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4BBB1" w14:textId="77777777" w:rsidR="002D720D" w:rsidRDefault="00000000">
      <w:pPr>
        <w:ind w:left="720" w:hanging="720"/>
        <w:jc w:val="center"/>
        <w:rPr>
          <w:rFonts w:ascii="Times New Roman" w:hAnsi="Times New Roman"/>
          <w:b/>
          <w:bCs/>
          <w:sz w:val="24"/>
          <w:szCs w:val="24"/>
        </w:rPr>
      </w:pPr>
      <w:r>
        <w:rPr>
          <w:rFonts w:ascii="Times New Roman" w:hAnsi="Times New Roman"/>
          <w:b/>
          <w:bCs/>
          <w:sz w:val="24"/>
          <w:szCs w:val="24"/>
        </w:rPr>
        <w:t>PSYCHOSOCIAL SUPPORT AS A PREDICTOR OF RECOVERY AMONG PATIENTS ATTENDING GOVERNMENT HOSPITALS IN OYO STATE, NIGERIA</w:t>
      </w:r>
    </w:p>
    <w:p w14:paraId="50E16EE9" w14:textId="77777777" w:rsidR="002D720D" w:rsidRDefault="002D720D">
      <w:pPr>
        <w:spacing w:after="0" w:line="240" w:lineRule="auto"/>
        <w:ind w:left="720" w:hanging="720"/>
        <w:jc w:val="center"/>
        <w:rPr>
          <w:rFonts w:ascii="Times New Roman" w:hAnsi="Times New Roman"/>
          <w:b/>
          <w:bCs/>
          <w:sz w:val="24"/>
          <w:szCs w:val="24"/>
        </w:rPr>
      </w:pPr>
    </w:p>
    <w:p w14:paraId="7368B2FD" w14:textId="77777777" w:rsidR="002D720D" w:rsidRDefault="00000000">
      <w:pPr>
        <w:ind w:left="720" w:hanging="720"/>
        <w:rPr>
          <w:rFonts w:ascii="Times New Roman" w:hAnsi="Times New Roman"/>
          <w:b/>
          <w:bCs/>
          <w:sz w:val="24"/>
          <w:szCs w:val="24"/>
        </w:rPr>
      </w:pPr>
      <w:r>
        <w:rPr>
          <w:rFonts w:ascii="Times New Roman" w:hAnsi="Times New Roman"/>
          <w:b/>
          <w:bCs/>
          <w:sz w:val="24"/>
          <w:szCs w:val="24"/>
        </w:rPr>
        <w:t>Abstract</w:t>
      </w:r>
    </w:p>
    <w:p w14:paraId="7895B2AF" w14:textId="77777777" w:rsidR="00A74E3A" w:rsidRDefault="00A74E3A" w:rsidP="00A74E3A">
      <w:pPr>
        <w:pStyle w:val="NormalWeb"/>
        <w:jc w:val="both"/>
      </w:pPr>
      <w:r w:rsidRPr="00A74E3A">
        <w:rPr>
          <w:rStyle w:val="Strong"/>
          <w:highlight w:val="yellow"/>
        </w:rPr>
        <w:t>Background:</w:t>
      </w:r>
      <w:r w:rsidRPr="00A74E3A">
        <w:rPr>
          <w:highlight w:val="yellow"/>
        </w:rPr>
        <w:t xml:space="preserve"> Recovery from illness involves physical and emotional dimensions that may be shaped by the psychosocial resources available to patients. The study addressed the need to understand recovery beyond medical treatment alone within government hospital settings. This study examined psychosocial support as a predictor of recovery among patients attending government hospitals in Oyo State, Nigeria. </w:t>
      </w:r>
      <w:r w:rsidRPr="00A74E3A">
        <w:rPr>
          <w:rStyle w:val="Strong"/>
          <w:highlight w:val="yellow"/>
        </w:rPr>
        <w:t>Methods:</w:t>
      </w:r>
      <w:r w:rsidRPr="00A74E3A">
        <w:rPr>
          <w:highlight w:val="yellow"/>
        </w:rPr>
        <w:t xml:space="preserve"> A correlational research design was used. The study population comprised 235 inpatients and outpatients attending State Hospital, Ring Road, Ibadan, and </w:t>
      </w:r>
      <w:proofErr w:type="spellStart"/>
      <w:r w:rsidRPr="00A74E3A">
        <w:rPr>
          <w:highlight w:val="yellow"/>
        </w:rPr>
        <w:t>Adeoyo</w:t>
      </w:r>
      <w:proofErr w:type="spellEnd"/>
      <w:r w:rsidRPr="00A74E3A">
        <w:rPr>
          <w:highlight w:val="yellow"/>
        </w:rPr>
        <w:t xml:space="preserve"> Maternity Hospital, Ibadan. Data were collected using the Psychosocial Support and Recovery of Patients Questionnaire (PSRQ), which had an overall Cronbach’s alpha coefficient of 0.86. Of the 235 questionnaires administered, 231 were retrieved and found usable, giving a 98.3% response rate. Data were </w:t>
      </w:r>
      <w:proofErr w:type="spellStart"/>
      <w:r w:rsidRPr="00A74E3A">
        <w:rPr>
          <w:highlight w:val="yellow"/>
        </w:rPr>
        <w:t>analysed</w:t>
      </w:r>
      <w:proofErr w:type="spellEnd"/>
      <w:r w:rsidRPr="00A74E3A">
        <w:rPr>
          <w:highlight w:val="yellow"/>
        </w:rPr>
        <w:t xml:space="preserve"> using frequencies, percentages, and Pearson product-moment correlation, with hypotheses tested at the 0.05 significance level. </w:t>
      </w:r>
      <w:r w:rsidRPr="00A74E3A">
        <w:rPr>
          <w:rStyle w:val="Strong"/>
          <w:highlight w:val="yellow"/>
        </w:rPr>
        <w:t>Results:</w:t>
      </w:r>
      <w:r w:rsidRPr="00A74E3A">
        <w:rPr>
          <w:highlight w:val="yellow"/>
        </w:rPr>
        <w:t xml:space="preserve"> Psychosocial support was significantly and positively related to emotional recovery (</w:t>
      </w:r>
      <w:r w:rsidRPr="00A74E3A">
        <w:rPr>
          <w:rStyle w:val="Emphasis"/>
          <w:highlight w:val="yellow"/>
        </w:rPr>
        <w:t>r</w:t>
      </w:r>
      <w:r w:rsidRPr="00A74E3A">
        <w:rPr>
          <w:highlight w:val="yellow"/>
        </w:rPr>
        <w:t xml:space="preserve"> = .594, </w:t>
      </w:r>
      <w:r w:rsidRPr="00A74E3A">
        <w:rPr>
          <w:rStyle w:val="Emphasis"/>
          <w:highlight w:val="yellow"/>
        </w:rPr>
        <w:t>p</w:t>
      </w:r>
      <w:r w:rsidRPr="00A74E3A">
        <w:rPr>
          <w:highlight w:val="yellow"/>
        </w:rPr>
        <w:t xml:space="preserve"> &lt; .05) and physical recovery (</w:t>
      </w:r>
      <w:r w:rsidRPr="00A74E3A">
        <w:rPr>
          <w:rStyle w:val="Emphasis"/>
          <w:highlight w:val="yellow"/>
        </w:rPr>
        <w:t>r</w:t>
      </w:r>
      <w:r w:rsidRPr="00A74E3A">
        <w:rPr>
          <w:highlight w:val="yellow"/>
        </w:rPr>
        <w:t xml:space="preserve"> = .536, </w:t>
      </w:r>
      <w:r w:rsidRPr="00A74E3A">
        <w:rPr>
          <w:rStyle w:val="Emphasis"/>
          <w:highlight w:val="yellow"/>
        </w:rPr>
        <w:t>p</w:t>
      </w:r>
      <w:r w:rsidRPr="00A74E3A">
        <w:rPr>
          <w:highlight w:val="yellow"/>
        </w:rPr>
        <w:t xml:space="preserve"> &lt; .05). These findings indicate that higher psychosocial support was associated with better reported recovery outcomes among the participants. </w:t>
      </w:r>
      <w:r w:rsidRPr="00A74E3A">
        <w:rPr>
          <w:rStyle w:val="Strong"/>
          <w:highlight w:val="yellow"/>
        </w:rPr>
        <w:t>Conclusion:</w:t>
      </w:r>
      <w:r w:rsidRPr="00A74E3A">
        <w:rPr>
          <w:highlight w:val="yellow"/>
        </w:rPr>
        <w:t xml:space="preserve"> Psychosocial support is an important correlate of patient recovery in the selected government hospitals. Strengthening psychosocial services, supporting appropriate family involvement, establishing patient-support </w:t>
      </w:r>
      <w:proofErr w:type="spellStart"/>
      <w:r w:rsidRPr="00A74E3A">
        <w:rPr>
          <w:highlight w:val="yellow"/>
        </w:rPr>
        <w:t>programmes</w:t>
      </w:r>
      <w:proofErr w:type="spellEnd"/>
      <w:r w:rsidRPr="00A74E3A">
        <w:rPr>
          <w:highlight w:val="yellow"/>
        </w:rPr>
        <w:t>, and improving post-discharge follow-up may help create a more supportive recovery environment.</w:t>
      </w:r>
    </w:p>
    <w:p w14:paraId="3FBF2751" w14:textId="77777777" w:rsidR="002D720D" w:rsidRDefault="00000000">
      <w:r>
        <w:rPr>
          <w:rFonts w:ascii="Times New Roman" w:hAnsi="Times New Roman"/>
          <w:b/>
          <w:bCs/>
          <w:sz w:val="24"/>
          <w:szCs w:val="24"/>
        </w:rPr>
        <w:t>Keywords:</w:t>
      </w:r>
      <w:r>
        <w:rPr>
          <w:rFonts w:ascii="Times New Roman" w:hAnsi="Times New Roman"/>
          <w:sz w:val="24"/>
          <w:szCs w:val="24"/>
        </w:rPr>
        <w:t xml:space="preserve"> Emotional recovery, Government hospitals, Patient recovery, Physical recovery, Psychosocial support, </w:t>
      </w:r>
      <w:proofErr w:type="gramStart"/>
      <w:r>
        <w:rPr>
          <w:rFonts w:ascii="Times New Roman" w:hAnsi="Times New Roman"/>
          <w:sz w:val="24"/>
          <w:szCs w:val="24"/>
        </w:rPr>
        <w:t>Social</w:t>
      </w:r>
      <w:proofErr w:type="gramEnd"/>
      <w:r>
        <w:rPr>
          <w:rFonts w:ascii="Times New Roman" w:hAnsi="Times New Roman"/>
          <w:sz w:val="24"/>
          <w:szCs w:val="24"/>
        </w:rPr>
        <w:t xml:space="preserve"> support.</w:t>
      </w:r>
    </w:p>
    <w:p w14:paraId="23542B7D" w14:textId="77777777" w:rsidR="002D720D" w:rsidRDefault="002D720D">
      <w:pPr>
        <w:ind w:left="720" w:hanging="720"/>
        <w:rPr>
          <w:rFonts w:ascii="Times New Roman" w:hAnsi="Times New Roman"/>
          <w:sz w:val="24"/>
          <w:szCs w:val="24"/>
        </w:rPr>
      </w:pPr>
    </w:p>
    <w:p w14:paraId="6F1524D0" w14:textId="77777777" w:rsidR="002D720D" w:rsidRDefault="00000000">
      <w:pPr>
        <w:ind w:left="720" w:hanging="720"/>
        <w:rPr>
          <w:rFonts w:ascii="Times New Roman" w:hAnsi="Times New Roman"/>
          <w:b/>
          <w:bCs/>
          <w:sz w:val="24"/>
          <w:szCs w:val="24"/>
        </w:rPr>
      </w:pPr>
      <w:r>
        <w:rPr>
          <w:rFonts w:ascii="Times New Roman" w:hAnsi="Times New Roman"/>
          <w:b/>
          <w:bCs/>
          <w:sz w:val="24"/>
          <w:szCs w:val="24"/>
        </w:rPr>
        <w:t>Introduction</w:t>
      </w:r>
    </w:p>
    <w:p w14:paraId="19322791" w14:textId="77777777" w:rsidR="002D720D" w:rsidRDefault="00000000">
      <w:pPr>
        <w:spacing w:line="480" w:lineRule="auto"/>
        <w:jc w:val="both"/>
      </w:pPr>
      <w:r>
        <w:rPr>
          <w:rFonts w:ascii="Times New Roman" w:hAnsi="Times New Roman"/>
          <w:sz w:val="24"/>
          <w:szCs w:val="24"/>
        </w:rPr>
        <w:t>Recovery from illness is rarely a single event that occurs immediately after diagnosis or treatment. Rather, it is a gradual process through which patients regain physical functioning, emotional stability, confidence, independence and the ability to participate meaningfully in everyday life. The length and pattern of recovery may differ considerably from one patient to another because illness affects people in different ways and their capacity to cope with its consequences is not the same. Research on chronic illness shows that psychological adaptation, coping and social resources can shape how individuals experience illness and their subsequent health outcomes (</w:t>
      </w:r>
      <w:proofErr w:type="spellStart"/>
      <w:r>
        <w:rPr>
          <w:rFonts w:ascii="Times New Roman" w:hAnsi="Times New Roman"/>
          <w:sz w:val="24"/>
          <w:szCs w:val="24"/>
        </w:rPr>
        <w:t>Kristofferzon</w:t>
      </w:r>
      <w:proofErr w:type="spellEnd"/>
      <w:r>
        <w:rPr>
          <w:rFonts w:ascii="Times New Roman" w:hAnsi="Times New Roman"/>
          <w:sz w:val="24"/>
          <w:szCs w:val="24"/>
        </w:rPr>
        <w:t xml:space="preserve"> et al., 2018; Cheng et al., 2020; Linde et al., 2023). Thus, effective healthcare cannot be limited to the diagnosis of disease and </w:t>
      </w:r>
      <w:r>
        <w:rPr>
          <w:rFonts w:ascii="Times New Roman" w:hAnsi="Times New Roman"/>
          <w:sz w:val="24"/>
          <w:szCs w:val="24"/>
        </w:rPr>
        <w:lastRenderedPageBreak/>
        <w:t xml:space="preserve">administration of medication alone. Increasingly, attention is being drawn to the social and psychological circumstances surrounding the patient because these factors can either support or complicate the recovery process. </w:t>
      </w:r>
    </w:p>
    <w:p w14:paraId="34249DA6" w14:textId="77777777" w:rsidR="002D720D" w:rsidRPr="00A74E3A" w:rsidRDefault="00000000">
      <w:pPr>
        <w:spacing w:line="480" w:lineRule="auto"/>
        <w:jc w:val="both"/>
      </w:pPr>
      <w:r>
        <w:rPr>
          <w:rFonts w:ascii="Times New Roman" w:hAnsi="Times New Roman"/>
          <w:sz w:val="24"/>
          <w:szCs w:val="24"/>
        </w:rPr>
        <w:t xml:space="preserve">One of the factors that deserves particular attention in this regard is psychosocial support. Psychosocial support encompasses the emotional, social, informational, practical and interpersonal resources available to an individual during periods of illness and vulnerability. It may come from family members, friends, health professionals, peers, religious groups and wider community networks. Lauzier-Jobin and Houle (2021) found that caregiver support can contribute to mental health recovery by providing emotional reassurance, practical assistance and a sense of connection. Similarly, Egmose et al. (2023) reported that peer support can contribute to both personal and clinical recovery, while </w:t>
      </w:r>
      <w:proofErr w:type="spellStart"/>
      <w:r>
        <w:rPr>
          <w:rFonts w:ascii="Times New Roman" w:hAnsi="Times New Roman"/>
          <w:sz w:val="24"/>
          <w:szCs w:val="24"/>
        </w:rPr>
        <w:t>Jambawo</w:t>
      </w:r>
      <w:proofErr w:type="spellEnd"/>
      <w:r>
        <w:rPr>
          <w:rFonts w:ascii="Times New Roman" w:hAnsi="Times New Roman"/>
          <w:sz w:val="24"/>
          <w:szCs w:val="24"/>
        </w:rPr>
        <w:t xml:space="preserve"> et al. (2024) found that peer-support interventions produced significant, although generally modest, improvements in recovery and empowerment among people with schizophrenia. These findings suggest that patients do not recover in isolation; the </w:t>
      </w:r>
      <w:r w:rsidRPr="00A74E3A">
        <w:rPr>
          <w:rFonts w:ascii="Times New Roman" w:hAnsi="Times New Roman"/>
          <w:sz w:val="24"/>
          <w:szCs w:val="24"/>
        </w:rPr>
        <w:t xml:space="preserve">relationships and support systems around them can become an important part of the recovery environment. </w:t>
      </w:r>
      <w:r w:rsidRPr="00A74E3A">
        <w:rPr>
          <w:highlight w:val="yellow"/>
        </w:rPr>
        <w:t xml:space="preserve"> Recent Nigerian evidence among adults with depression also identified a significant association between social support networks and recovery, with family members, healthcare professionals and religious institutions reported as major sources of support (</w:t>
      </w:r>
      <w:proofErr w:type="spellStart"/>
      <w:r w:rsidRPr="00A74E3A">
        <w:rPr>
          <w:highlight w:val="yellow"/>
        </w:rPr>
        <w:t>Iwegbu</w:t>
      </w:r>
      <w:proofErr w:type="spellEnd"/>
      <w:r w:rsidRPr="00A74E3A">
        <w:rPr>
          <w:highlight w:val="yellow"/>
        </w:rPr>
        <w:t xml:space="preserve"> et al., 2026).</w:t>
      </w:r>
    </w:p>
    <w:p w14:paraId="7BC0B714" w14:textId="77777777" w:rsidR="002D720D" w:rsidRPr="00A74E3A" w:rsidRDefault="00000000">
      <w:pPr>
        <w:spacing w:line="480" w:lineRule="auto"/>
        <w:jc w:val="both"/>
      </w:pPr>
      <w:r w:rsidRPr="00A74E3A">
        <w:rPr>
          <w:rFonts w:ascii="Times New Roman" w:hAnsi="Times New Roman"/>
          <w:sz w:val="24"/>
          <w:szCs w:val="24"/>
        </w:rPr>
        <w:t>Psychosocial support becomes particularly important</w:t>
      </w:r>
      <w:r>
        <w:rPr>
          <w:rFonts w:ascii="Times New Roman" w:hAnsi="Times New Roman"/>
          <w:sz w:val="24"/>
          <w:szCs w:val="24"/>
        </w:rPr>
        <w:t xml:space="preserve"> because illness often creates needs that medical treatment alone cannot adequately address. A patient may require someone to listen to fears and frustrations, provide encouragement, assist with treatment-related decisions, offer practical or financial help, or simply remain present during difficult periods. Family support is especially important because family members are often the people closest to the patient and may remain involved before, during and after hospital treatment. However, the quality of this support can vary according to family relationships, social circumstances and the demands </w:t>
      </w:r>
      <w:r>
        <w:rPr>
          <w:rFonts w:ascii="Times New Roman" w:hAnsi="Times New Roman"/>
          <w:sz w:val="24"/>
          <w:szCs w:val="24"/>
        </w:rPr>
        <w:lastRenderedPageBreak/>
        <w:t xml:space="preserve">created by illness. Evidence from Nigeria illustrates this complexity. Udoh et al. (2021), for instance, documented psychological distress and caregiver burden among family caregivers of people with mental illness, showing that the caregiving experience can itself become stressful when adequate support is unavailable. At the same time, </w:t>
      </w:r>
      <w:proofErr w:type="spellStart"/>
      <w:r>
        <w:rPr>
          <w:rFonts w:ascii="Times New Roman" w:hAnsi="Times New Roman"/>
          <w:sz w:val="24"/>
          <w:szCs w:val="24"/>
        </w:rPr>
        <w:t>Olamuyiwa</w:t>
      </w:r>
      <w:proofErr w:type="spellEnd"/>
      <w:r>
        <w:rPr>
          <w:rFonts w:ascii="Times New Roman" w:hAnsi="Times New Roman"/>
          <w:sz w:val="24"/>
          <w:szCs w:val="24"/>
        </w:rPr>
        <w:t xml:space="preserve"> and </w:t>
      </w:r>
      <w:proofErr w:type="spellStart"/>
      <w:r>
        <w:rPr>
          <w:rFonts w:ascii="Times New Roman" w:hAnsi="Times New Roman"/>
          <w:sz w:val="24"/>
          <w:szCs w:val="24"/>
        </w:rPr>
        <w:t>Alabere</w:t>
      </w:r>
      <w:proofErr w:type="spellEnd"/>
      <w:r>
        <w:rPr>
          <w:rFonts w:ascii="Times New Roman" w:hAnsi="Times New Roman"/>
          <w:sz w:val="24"/>
          <w:szCs w:val="24"/>
        </w:rPr>
        <w:t xml:space="preserve"> (2022) found that perceived social support was positively associated with health-related quality of life among breast cancer patients in Port Harcourt, with family emerging as an important source of support. These findings </w:t>
      </w:r>
      <w:r w:rsidRPr="00A74E3A">
        <w:rPr>
          <w:rFonts w:ascii="Times New Roman" w:hAnsi="Times New Roman"/>
          <w:sz w:val="24"/>
          <w:szCs w:val="24"/>
        </w:rPr>
        <w:t xml:space="preserve">point to the need to consider not only whether support exists, but also how accessible and meaningful that support is to patients. </w:t>
      </w:r>
      <w:r w:rsidRPr="00A74E3A">
        <w:rPr>
          <w:highlight w:val="yellow"/>
        </w:rPr>
        <w:t xml:space="preserve"> A recent Nigerian analysis of informal caregiving further described physical strain, emotional exhaustion, economic hardship and social isolation among caregivers, indicating that the capacity of support networks is relevant alongside their availability (Barrah, 2025).</w:t>
      </w:r>
    </w:p>
    <w:p w14:paraId="2B3C68F0" w14:textId="77777777" w:rsidR="002D720D" w:rsidRPr="00A74E3A" w:rsidRDefault="00000000">
      <w:pPr>
        <w:spacing w:line="480" w:lineRule="auto"/>
        <w:jc w:val="both"/>
      </w:pPr>
      <w:r w:rsidRPr="00A74E3A">
        <w:rPr>
          <w:rFonts w:ascii="Times New Roman" w:hAnsi="Times New Roman"/>
          <w:sz w:val="24"/>
          <w:szCs w:val="24"/>
        </w:rPr>
        <w:t>The significance of psychosocial support is also evident in the way patients cope with treatment and manage the demands associated with illness.</w:t>
      </w:r>
      <w:r>
        <w:rPr>
          <w:rFonts w:ascii="Times New Roman" w:hAnsi="Times New Roman"/>
          <w:sz w:val="24"/>
          <w:szCs w:val="24"/>
        </w:rPr>
        <w:t xml:space="preserve"> Treatment can involve prolonged hospital visits, medication routines, physical limitations, financial </w:t>
      </w:r>
      <w:r>
        <w:rPr>
          <w:rFonts w:ascii="Times New Roman" w:hAnsi="Times New Roman"/>
          <w:sz w:val="24"/>
          <w:szCs w:val="24"/>
          <w:highlight w:val="yellow"/>
        </w:rPr>
        <w:t>pressures,</w:t>
      </w:r>
      <w:r>
        <w:rPr>
          <w:rFonts w:ascii="Times New Roman" w:hAnsi="Times New Roman"/>
          <w:sz w:val="24"/>
          <w:szCs w:val="24"/>
        </w:rPr>
        <w:t xml:space="preserve"> and uncertainty about the future. Without adequate social and emotional support, these demands may become overwhelming and may affect patients' willingness or ability to remain engaged with care. </w:t>
      </w:r>
      <w:r>
        <w:rPr>
          <w:rFonts w:ascii="Times New Roman" w:hAnsi="Times New Roman"/>
          <w:sz w:val="24"/>
          <w:szCs w:val="24"/>
          <w:highlight w:val="yellow"/>
        </w:rPr>
        <w:t>Pan</w:t>
      </w:r>
      <w:r>
        <w:rPr>
          <w:rFonts w:ascii="Times New Roman" w:hAnsi="Times New Roman"/>
          <w:sz w:val="24"/>
          <w:szCs w:val="24"/>
        </w:rPr>
        <w:t xml:space="preserve"> </w:t>
      </w:r>
      <w:r>
        <w:rPr>
          <w:rFonts w:ascii="Times New Roman" w:hAnsi="Times New Roman"/>
          <w:sz w:val="24"/>
          <w:szCs w:val="24"/>
          <w:highlight w:val="yellow"/>
        </w:rPr>
        <w:t>et</w:t>
      </w:r>
      <w:r>
        <w:rPr>
          <w:rFonts w:ascii="Times New Roman" w:hAnsi="Times New Roman"/>
          <w:sz w:val="24"/>
          <w:szCs w:val="24"/>
        </w:rPr>
        <w:t xml:space="preserve"> </w:t>
      </w:r>
      <w:r>
        <w:rPr>
          <w:rFonts w:ascii="Times New Roman" w:hAnsi="Times New Roman"/>
          <w:sz w:val="24"/>
          <w:szCs w:val="24"/>
          <w:highlight w:val="yellow"/>
        </w:rPr>
        <w:t>al.</w:t>
      </w:r>
      <w:r>
        <w:rPr>
          <w:rFonts w:ascii="Times New Roman" w:hAnsi="Times New Roman"/>
          <w:sz w:val="24"/>
          <w:szCs w:val="24"/>
        </w:rPr>
        <w:t xml:space="preserve"> (2021), for example, found a significant positive relationship between social support and treatment adherence among patients with hypertension, while Nørskov et al. (2021) reported that social support was relevant to healthcare adherence and distress among long-term </w:t>
      </w:r>
      <w:r>
        <w:rPr>
          <w:rFonts w:ascii="Times New Roman" w:hAnsi="Times New Roman"/>
          <w:sz w:val="24"/>
          <w:szCs w:val="24"/>
          <w:highlight w:val="yellow"/>
        </w:rPr>
        <w:t>haematopoietic</w:t>
      </w:r>
      <w:r>
        <w:rPr>
          <w:rFonts w:ascii="Times New Roman" w:hAnsi="Times New Roman"/>
          <w:sz w:val="24"/>
          <w:szCs w:val="24"/>
        </w:rPr>
        <w:t xml:space="preserve"> cell transplantation survivors. In a systematic review, Maynard et al. (2023) further found evidence that psychosocial support interventions can improve treatment-related outcomes among people living with tuberculosis. Taken together, these findings reinforce the argument that </w:t>
      </w:r>
      <w:r w:rsidRPr="00A74E3A">
        <w:rPr>
          <w:rFonts w:ascii="Times New Roman" w:hAnsi="Times New Roman"/>
          <w:sz w:val="24"/>
          <w:szCs w:val="24"/>
        </w:rPr>
        <w:t>recovery is influenced not only by the clinical treatment received but also by the psychosocial resources available to patients as they navigate illness and treatment.</w:t>
      </w:r>
      <w:r w:rsidRPr="00A74E3A">
        <w:rPr>
          <w:highlight w:val="yellow"/>
        </w:rPr>
        <w:t xml:space="preserve"> A recent scoping review of adult critical-care studies found that psychosocial </w:t>
      </w:r>
      <w:r w:rsidRPr="00A74E3A">
        <w:rPr>
          <w:highlight w:val="yellow"/>
        </w:rPr>
        <w:lastRenderedPageBreak/>
        <w:t>approaches such as relaxation, psychotherapy, positive suggestions and spiritual or religious support may alleviate psychological distress, while also noting substantial heterogeneity and limited evidence for broader clinical outcomes (Pant et al., 2025).</w:t>
      </w:r>
    </w:p>
    <w:p w14:paraId="47927D9A" w14:textId="77777777" w:rsidR="002D720D" w:rsidRPr="00A74E3A" w:rsidRDefault="00000000">
      <w:pPr>
        <w:spacing w:line="480" w:lineRule="auto"/>
        <w:jc w:val="both"/>
      </w:pPr>
      <w:r>
        <w:rPr>
          <w:rFonts w:ascii="Times New Roman" w:hAnsi="Times New Roman"/>
          <w:sz w:val="24"/>
          <w:szCs w:val="24"/>
        </w:rPr>
        <w:t xml:space="preserve">The issue becomes even more important in developing health systems where patients may have to depend heavily on family and informal networks for assistance. In such settings, shortages of specialised psychosocial services, economic </w:t>
      </w:r>
      <w:r>
        <w:rPr>
          <w:rFonts w:ascii="Times New Roman" w:hAnsi="Times New Roman"/>
          <w:sz w:val="24"/>
          <w:szCs w:val="24"/>
          <w:highlight w:val="yellow"/>
        </w:rPr>
        <w:t>difficulties,</w:t>
      </w:r>
      <w:r>
        <w:rPr>
          <w:rFonts w:ascii="Times New Roman" w:hAnsi="Times New Roman"/>
          <w:sz w:val="24"/>
          <w:szCs w:val="24"/>
        </w:rPr>
        <w:t xml:space="preserve"> and limited access to continuous professional support may place greater responsibility on families and communities. This situation can be particularly challenging for patients with long-term or complex health conditions because recovery may extend beyond the period of hospitalisation.</w:t>
      </w:r>
      <w:r>
        <w:rPr>
          <w:rFonts w:ascii="Times New Roman" w:hAnsi="Times New Roman"/>
          <w:sz w:val="24"/>
          <w:szCs w:val="24"/>
          <w:highlight w:val="yellow"/>
        </w:rPr>
        <w:t xml:space="preserve"> Vera</w:t>
      </w:r>
      <w:r>
        <w:rPr>
          <w:rFonts w:ascii="Times New Roman" w:hAnsi="Times New Roman"/>
          <w:sz w:val="24"/>
          <w:szCs w:val="24"/>
        </w:rPr>
        <w:t xml:space="preserve"> San Juan et al. (2021) observed from service-user and informal-caregiver perspectives that recovery from severe mental health problems is multidimensional and involves social relationships and support. Likewise, </w:t>
      </w:r>
      <w:proofErr w:type="spellStart"/>
      <w:r>
        <w:rPr>
          <w:rFonts w:ascii="Times New Roman" w:hAnsi="Times New Roman"/>
          <w:sz w:val="24"/>
          <w:szCs w:val="24"/>
        </w:rPr>
        <w:t>Mousavizadeh</w:t>
      </w:r>
      <w:proofErr w:type="spellEnd"/>
      <w:r>
        <w:rPr>
          <w:rFonts w:ascii="Times New Roman" w:hAnsi="Times New Roman"/>
          <w:sz w:val="24"/>
          <w:szCs w:val="24"/>
        </w:rPr>
        <w:t xml:space="preserve"> and </w:t>
      </w:r>
      <w:proofErr w:type="spellStart"/>
      <w:r>
        <w:rPr>
          <w:rFonts w:ascii="Times New Roman" w:hAnsi="Times New Roman"/>
          <w:sz w:val="24"/>
          <w:szCs w:val="24"/>
        </w:rPr>
        <w:t>Jandaghian</w:t>
      </w:r>
      <w:proofErr w:type="spellEnd"/>
      <w:r>
        <w:rPr>
          <w:rFonts w:ascii="Times New Roman" w:hAnsi="Times New Roman"/>
          <w:sz w:val="24"/>
          <w:szCs w:val="24"/>
        </w:rPr>
        <w:t xml:space="preserve"> Bidgoli (2023) noted the importance of recovery-oriented practices within community-based mental health services, while Sood et al. (2024) demonstrated the feasibility and potential clinical value of psychosocial care programmes for people with psychosis in low-resource settings. These studies highlight the need for health services to </w:t>
      </w:r>
      <w:r w:rsidRPr="00A74E3A">
        <w:rPr>
          <w:rFonts w:ascii="Times New Roman" w:hAnsi="Times New Roman"/>
          <w:sz w:val="24"/>
          <w:szCs w:val="24"/>
        </w:rPr>
        <w:t>look beyond the immediate management of symptoms and create conditions that support patients' broader recovery.</w:t>
      </w:r>
      <w:r w:rsidRPr="00A74E3A">
        <w:rPr>
          <w:highlight w:val="yellow"/>
        </w:rPr>
        <w:t xml:space="preserve"> Similarly, a qualitative evidence synthesis of post-hospital critical-illness recovery emphasised person-centred, adaptable support and integration with existing outpatient and community resources as important considerations when designing recovery interventions (Stewart et al., 2025).</w:t>
      </w:r>
    </w:p>
    <w:p w14:paraId="59E9628C" w14:textId="77777777" w:rsidR="002D720D" w:rsidRDefault="00000000">
      <w:pPr>
        <w:spacing w:line="480" w:lineRule="auto"/>
        <w:jc w:val="both"/>
      </w:pPr>
      <w:r w:rsidRPr="00A74E3A">
        <w:rPr>
          <w:rFonts w:ascii="Times New Roman" w:hAnsi="Times New Roman"/>
          <w:sz w:val="24"/>
          <w:szCs w:val="24"/>
        </w:rPr>
        <w:t xml:space="preserve">In Nigeria, the relevance of psychosocial factors to patients' wellbeing is particularly evident, although the available evidence is still fragmented across specific diseases and health conditions. </w:t>
      </w:r>
      <w:proofErr w:type="spellStart"/>
      <w:r w:rsidRPr="00A74E3A">
        <w:rPr>
          <w:rFonts w:ascii="Times New Roman" w:hAnsi="Times New Roman"/>
          <w:sz w:val="24"/>
          <w:szCs w:val="24"/>
        </w:rPr>
        <w:t>Nwagha</w:t>
      </w:r>
      <w:proofErr w:type="spellEnd"/>
      <w:r w:rsidRPr="00A74E3A">
        <w:rPr>
          <w:rFonts w:ascii="Times New Roman" w:hAnsi="Times New Roman"/>
          <w:sz w:val="24"/>
          <w:szCs w:val="24"/>
        </w:rPr>
        <w:t xml:space="preserve"> and </w:t>
      </w:r>
      <w:proofErr w:type="spellStart"/>
      <w:r w:rsidRPr="00A74E3A">
        <w:rPr>
          <w:rFonts w:ascii="Times New Roman" w:hAnsi="Times New Roman"/>
          <w:sz w:val="24"/>
          <w:szCs w:val="24"/>
        </w:rPr>
        <w:t>Omotowo</w:t>
      </w:r>
      <w:proofErr w:type="spellEnd"/>
      <w:r w:rsidRPr="00A74E3A">
        <w:rPr>
          <w:rFonts w:ascii="Times New Roman" w:hAnsi="Times New Roman"/>
          <w:sz w:val="24"/>
          <w:szCs w:val="24"/>
        </w:rPr>
        <w:t xml:space="preserve"> (2020) found that adults with</w:t>
      </w:r>
      <w:r>
        <w:rPr>
          <w:rFonts w:ascii="Times New Roman" w:hAnsi="Times New Roman"/>
          <w:sz w:val="24"/>
          <w:szCs w:val="24"/>
        </w:rPr>
        <w:t xml:space="preserve"> sickle cell disease experienced impaired psychosocial health-related quality of life, pointing to the need for patient-focused interventions. In another Nigerian study, social support was identified as an </w:t>
      </w:r>
      <w:r>
        <w:rPr>
          <w:rFonts w:ascii="Times New Roman" w:hAnsi="Times New Roman"/>
          <w:sz w:val="24"/>
          <w:szCs w:val="24"/>
        </w:rPr>
        <w:lastRenderedPageBreak/>
        <w:t xml:space="preserve">important determinant of health-related quality of life among patients with epilepsy </w:t>
      </w:r>
      <w:r>
        <w:rPr>
          <w:rFonts w:ascii="Times New Roman" w:hAnsi="Times New Roman"/>
          <w:sz w:val="24"/>
          <w:szCs w:val="24"/>
          <w:highlight w:val="yellow"/>
        </w:rPr>
        <w:t>(</w:t>
      </w:r>
      <w:proofErr w:type="spellStart"/>
      <w:r>
        <w:rPr>
          <w:rFonts w:ascii="Times New Roman" w:hAnsi="Times New Roman"/>
          <w:sz w:val="24"/>
          <w:szCs w:val="24"/>
          <w:highlight w:val="yellow"/>
        </w:rPr>
        <w:t>Iwuozo</w:t>
      </w:r>
      <w:proofErr w:type="spellEnd"/>
      <w:r>
        <w:rPr>
          <w:rFonts w:ascii="Times New Roman" w:hAnsi="Times New Roman"/>
          <w:sz w:val="24"/>
          <w:szCs w:val="24"/>
        </w:rPr>
        <w:t xml:space="preserve"> </w:t>
      </w:r>
      <w:r>
        <w:rPr>
          <w:rFonts w:ascii="Times New Roman" w:hAnsi="Times New Roman"/>
          <w:sz w:val="24"/>
          <w:szCs w:val="24"/>
          <w:highlight w:val="yellow"/>
        </w:rPr>
        <w:t>et</w:t>
      </w:r>
      <w:r>
        <w:rPr>
          <w:rFonts w:ascii="Times New Roman" w:hAnsi="Times New Roman"/>
          <w:sz w:val="24"/>
          <w:szCs w:val="24"/>
        </w:rPr>
        <w:t xml:space="preserve"> </w:t>
      </w:r>
      <w:r>
        <w:rPr>
          <w:rFonts w:ascii="Times New Roman" w:hAnsi="Times New Roman"/>
          <w:sz w:val="24"/>
          <w:szCs w:val="24"/>
          <w:highlight w:val="yellow"/>
        </w:rPr>
        <w:t>al.,</w:t>
      </w:r>
      <w:r>
        <w:rPr>
          <w:rFonts w:ascii="Times New Roman" w:hAnsi="Times New Roman"/>
          <w:sz w:val="24"/>
          <w:szCs w:val="24"/>
        </w:rPr>
        <w:t xml:space="preserve"> 2020), while findings among Nigerian patients with type 2 diabetes showed that enacted social support could influence the relationship between psychological distress and diabetes-related quality of life </w:t>
      </w:r>
      <w:r>
        <w:rPr>
          <w:rFonts w:ascii="Times New Roman" w:hAnsi="Times New Roman"/>
          <w:sz w:val="24"/>
          <w:szCs w:val="24"/>
          <w:highlight w:val="yellow"/>
        </w:rPr>
        <w:t>(Onu</w:t>
      </w:r>
      <w:r>
        <w:rPr>
          <w:rFonts w:ascii="Times New Roman" w:hAnsi="Times New Roman"/>
          <w:sz w:val="24"/>
          <w:szCs w:val="24"/>
        </w:rPr>
        <w:t xml:space="preserve"> </w:t>
      </w:r>
      <w:r>
        <w:rPr>
          <w:rFonts w:ascii="Times New Roman" w:hAnsi="Times New Roman"/>
          <w:sz w:val="24"/>
          <w:szCs w:val="24"/>
          <w:highlight w:val="yellow"/>
        </w:rPr>
        <w:t>et</w:t>
      </w:r>
      <w:r>
        <w:rPr>
          <w:rFonts w:ascii="Times New Roman" w:hAnsi="Times New Roman"/>
          <w:sz w:val="24"/>
          <w:szCs w:val="24"/>
        </w:rPr>
        <w:t xml:space="preserve"> </w:t>
      </w:r>
      <w:r>
        <w:rPr>
          <w:rFonts w:ascii="Times New Roman" w:hAnsi="Times New Roman"/>
          <w:sz w:val="24"/>
          <w:szCs w:val="24"/>
          <w:highlight w:val="yellow"/>
        </w:rPr>
        <w:t>al.,</w:t>
      </w:r>
      <w:r>
        <w:rPr>
          <w:rFonts w:ascii="Times New Roman" w:hAnsi="Times New Roman"/>
          <w:sz w:val="24"/>
          <w:szCs w:val="24"/>
        </w:rPr>
        <w:t xml:space="preserve"> 2021). More recently, evidence from Nigeria has shown that perceived social support can significantly predict health-related quality of life among people living with tuberculosis (</w:t>
      </w:r>
      <w:proofErr w:type="spellStart"/>
      <w:r>
        <w:rPr>
          <w:rFonts w:ascii="Times New Roman" w:hAnsi="Times New Roman"/>
          <w:sz w:val="24"/>
          <w:szCs w:val="24"/>
        </w:rPr>
        <w:t>Olamuyiwa</w:t>
      </w:r>
      <w:proofErr w:type="spellEnd"/>
      <w:r>
        <w:rPr>
          <w:rFonts w:ascii="Times New Roman" w:hAnsi="Times New Roman"/>
          <w:sz w:val="24"/>
          <w:szCs w:val="24"/>
        </w:rPr>
        <w:t xml:space="preserve"> &amp; </w:t>
      </w:r>
      <w:proofErr w:type="spellStart"/>
      <w:r>
        <w:rPr>
          <w:rFonts w:ascii="Times New Roman" w:hAnsi="Times New Roman"/>
          <w:sz w:val="24"/>
          <w:szCs w:val="24"/>
        </w:rPr>
        <w:t>Alabere</w:t>
      </w:r>
      <w:proofErr w:type="spellEnd"/>
      <w:r>
        <w:rPr>
          <w:rFonts w:ascii="Times New Roman" w:hAnsi="Times New Roman"/>
          <w:sz w:val="24"/>
          <w:szCs w:val="24"/>
        </w:rPr>
        <w:t xml:space="preserve">, 2022; </w:t>
      </w:r>
      <w:proofErr w:type="spellStart"/>
      <w:r>
        <w:rPr>
          <w:rFonts w:ascii="Times New Roman" w:hAnsi="Times New Roman"/>
          <w:sz w:val="24"/>
          <w:szCs w:val="24"/>
          <w:highlight w:val="yellow"/>
        </w:rPr>
        <w:t>Jambawo</w:t>
      </w:r>
      <w:proofErr w:type="spellEnd"/>
      <w:r>
        <w:rPr>
          <w:rFonts w:ascii="Times New Roman" w:hAnsi="Times New Roman"/>
          <w:sz w:val="24"/>
          <w:szCs w:val="24"/>
        </w:rPr>
        <w:t xml:space="preserve"> </w:t>
      </w:r>
      <w:r>
        <w:rPr>
          <w:rFonts w:ascii="Times New Roman" w:hAnsi="Times New Roman"/>
          <w:sz w:val="24"/>
          <w:szCs w:val="24"/>
          <w:highlight w:val="yellow"/>
        </w:rPr>
        <w:t>et</w:t>
      </w:r>
      <w:r>
        <w:rPr>
          <w:rFonts w:ascii="Times New Roman" w:hAnsi="Times New Roman"/>
          <w:sz w:val="24"/>
          <w:szCs w:val="24"/>
        </w:rPr>
        <w:t xml:space="preserve"> </w:t>
      </w:r>
      <w:r>
        <w:rPr>
          <w:rFonts w:ascii="Times New Roman" w:hAnsi="Times New Roman"/>
          <w:sz w:val="24"/>
          <w:szCs w:val="24"/>
          <w:highlight w:val="yellow"/>
        </w:rPr>
        <w:t>al.,</w:t>
      </w:r>
      <w:r>
        <w:rPr>
          <w:rFonts w:ascii="Times New Roman" w:hAnsi="Times New Roman"/>
          <w:sz w:val="24"/>
          <w:szCs w:val="24"/>
        </w:rPr>
        <w:t xml:space="preserve"> 2024). Although these studies provide useful evidence, many have concentrated on particular diseases or specific outcomes such as quality of life, treatment </w:t>
      </w:r>
      <w:r>
        <w:rPr>
          <w:rFonts w:ascii="Times New Roman" w:hAnsi="Times New Roman"/>
          <w:sz w:val="24"/>
          <w:szCs w:val="24"/>
          <w:highlight w:val="yellow"/>
        </w:rPr>
        <w:t>adherence,</w:t>
      </w:r>
      <w:r>
        <w:rPr>
          <w:rFonts w:ascii="Times New Roman" w:hAnsi="Times New Roman"/>
          <w:sz w:val="24"/>
          <w:szCs w:val="24"/>
        </w:rPr>
        <w:t xml:space="preserve"> or psychological distress rather than examining psychosocial support as a broader predictor of patient recovery across government hospitals. This leaves an important area that requires further investigation.</w:t>
      </w:r>
    </w:p>
    <w:p w14:paraId="69767A63" w14:textId="77777777" w:rsidR="002D720D" w:rsidRDefault="00000000">
      <w:pPr>
        <w:spacing w:line="480" w:lineRule="auto"/>
        <w:jc w:val="both"/>
      </w:pPr>
      <w:r>
        <w:rPr>
          <w:rFonts w:ascii="Times New Roman" w:hAnsi="Times New Roman"/>
          <w:sz w:val="24"/>
          <w:szCs w:val="24"/>
        </w:rPr>
        <w:t xml:space="preserve">Empirical evidence from Oyo State further strengthens the need for the present study. </w:t>
      </w:r>
      <w:proofErr w:type="spellStart"/>
      <w:r>
        <w:rPr>
          <w:rFonts w:ascii="Times New Roman" w:hAnsi="Times New Roman"/>
          <w:sz w:val="24"/>
          <w:szCs w:val="24"/>
        </w:rPr>
        <w:t>Ayangunna</w:t>
      </w:r>
      <w:proofErr w:type="spellEnd"/>
      <w:r>
        <w:rPr>
          <w:rFonts w:ascii="Times New Roman" w:hAnsi="Times New Roman"/>
          <w:sz w:val="24"/>
          <w:szCs w:val="24"/>
        </w:rPr>
        <w:t xml:space="preserve"> and </w:t>
      </w:r>
      <w:proofErr w:type="spellStart"/>
      <w:r>
        <w:rPr>
          <w:rFonts w:ascii="Times New Roman" w:hAnsi="Times New Roman"/>
          <w:sz w:val="24"/>
          <w:szCs w:val="24"/>
        </w:rPr>
        <w:t>Owadara</w:t>
      </w:r>
      <w:proofErr w:type="spellEnd"/>
      <w:r>
        <w:rPr>
          <w:rFonts w:ascii="Times New Roman" w:hAnsi="Times New Roman"/>
          <w:sz w:val="24"/>
          <w:szCs w:val="24"/>
        </w:rPr>
        <w:t xml:space="preserve"> (2021) investigated self-efficacy and social support among patients in selected state hospitals in Oyo State and reported that unresolved psychosocial issues constitute part of the challenges affecting patients' wellbeing. Although their study found no statistically significant relationship between social support and patients' physical wellbeing, they recommended greater involvement of family members in patient care and the integration of professional social workers into state hospitals. This finding is important because it suggests that the role of psychosocial support may be more complex than simply improving physical wellbeing and may require investigation through other dimensions of patient recovery. Evidence from other settings provides a complementary picture: </w:t>
      </w:r>
      <w:proofErr w:type="spellStart"/>
      <w:r>
        <w:rPr>
          <w:rFonts w:ascii="Times New Roman" w:hAnsi="Times New Roman"/>
          <w:sz w:val="24"/>
          <w:szCs w:val="24"/>
        </w:rPr>
        <w:t>Olamuyiwa</w:t>
      </w:r>
      <w:proofErr w:type="spellEnd"/>
      <w:r>
        <w:rPr>
          <w:rFonts w:ascii="Times New Roman" w:hAnsi="Times New Roman"/>
          <w:sz w:val="24"/>
          <w:szCs w:val="24"/>
        </w:rPr>
        <w:t xml:space="preserve"> and </w:t>
      </w:r>
      <w:proofErr w:type="spellStart"/>
      <w:r>
        <w:rPr>
          <w:rFonts w:ascii="Times New Roman" w:hAnsi="Times New Roman"/>
          <w:sz w:val="24"/>
          <w:szCs w:val="24"/>
        </w:rPr>
        <w:t>Alabere</w:t>
      </w:r>
      <w:proofErr w:type="spellEnd"/>
      <w:r>
        <w:rPr>
          <w:rFonts w:ascii="Times New Roman" w:hAnsi="Times New Roman"/>
          <w:sz w:val="24"/>
          <w:szCs w:val="24"/>
        </w:rPr>
        <w:t xml:space="preserve"> (2022) found a positive relationship between perceived social support and health-related quality of life among Nigerian breast cancer patients, while Maynard et al. (2023) reported beneficial treatment-related effects of psychosocial support interventions. Similarly, </w:t>
      </w:r>
      <w:proofErr w:type="spellStart"/>
      <w:r>
        <w:rPr>
          <w:rFonts w:ascii="Times New Roman" w:hAnsi="Times New Roman"/>
          <w:sz w:val="24"/>
          <w:szCs w:val="24"/>
        </w:rPr>
        <w:t>Jambawo</w:t>
      </w:r>
      <w:proofErr w:type="spellEnd"/>
      <w:r>
        <w:rPr>
          <w:rFonts w:ascii="Times New Roman" w:hAnsi="Times New Roman"/>
          <w:sz w:val="24"/>
          <w:szCs w:val="24"/>
        </w:rPr>
        <w:t xml:space="preserve"> et al. (2024) found that peer support significantly improved recovery outcomes among people with schizophrenia.</w:t>
      </w:r>
    </w:p>
    <w:p w14:paraId="01420687" w14:textId="77777777" w:rsidR="002D720D" w:rsidRDefault="00000000">
      <w:pPr>
        <w:spacing w:line="480" w:lineRule="auto"/>
        <w:jc w:val="both"/>
        <w:rPr>
          <w:rFonts w:ascii="Times New Roman" w:hAnsi="Times New Roman"/>
          <w:sz w:val="24"/>
          <w:szCs w:val="24"/>
        </w:rPr>
      </w:pPr>
      <w:r>
        <w:rPr>
          <w:rFonts w:ascii="Times New Roman" w:hAnsi="Times New Roman"/>
          <w:sz w:val="24"/>
          <w:szCs w:val="24"/>
        </w:rPr>
        <w:lastRenderedPageBreak/>
        <w:t>The motivation for this study therefore arises from the recognition that a patient's recovery may depend on more than the diagnosis made, drugs administered or procedures performed in the hospital. In everyday hospital practice, patients are often confronted with fear, uncertainty, financial concerns, dependence on others and the emotional strain associated with illness, yet the psychosocial resources available to help them deal with these challenges may differ substantially. The researcher is particularly interested in understanding whether the support patients receive from their social environment can help explain differences in their recovery experiences. This concern is strengthened by the evidence that social support is associated with quality of life, treatment engagement and recovery across different patient groups (</w:t>
      </w:r>
      <w:proofErr w:type="spellStart"/>
      <w:r>
        <w:rPr>
          <w:rFonts w:ascii="Times New Roman" w:hAnsi="Times New Roman"/>
          <w:sz w:val="24"/>
          <w:szCs w:val="24"/>
        </w:rPr>
        <w:t>Arabyat</w:t>
      </w:r>
      <w:proofErr w:type="spellEnd"/>
      <w:r>
        <w:rPr>
          <w:rFonts w:ascii="Times New Roman" w:hAnsi="Times New Roman"/>
          <w:sz w:val="24"/>
          <w:szCs w:val="24"/>
        </w:rPr>
        <w:t xml:space="preserve"> &amp; Raisch, 2019; Lauzier-Jobin &amp; Houle, 2021; Zomer et al., 2024).</w:t>
      </w:r>
    </w:p>
    <w:p w14:paraId="5D01255C" w14:textId="77777777" w:rsidR="002D720D" w:rsidRDefault="00000000">
      <w:pPr>
        <w:spacing w:line="480" w:lineRule="auto"/>
        <w:jc w:val="both"/>
        <w:rPr>
          <w:rFonts w:ascii="Times New Roman" w:hAnsi="Times New Roman"/>
          <w:sz w:val="24"/>
          <w:szCs w:val="24"/>
        </w:rPr>
      </w:pPr>
      <w:r>
        <w:rPr>
          <w:rFonts w:ascii="Times New Roman" w:hAnsi="Times New Roman"/>
          <w:b/>
          <w:sz w:val="24"/>
          <w:highlight w:val="yellow"/>
        </w:rPr>
        <w:t>Objective of the Study</w:t>
      </w:r>
    </w:p>
    <w:p w14:paraId="10031CBB" w14:textId="77777777" w:rsidR="002D720D" w:rsidRDefault="00000000">
      <w:pPr>
        <w:spacing w:line="480" w:lineRule="auto"/>
        <w:jc w:val="both"/>
        <w:rPr>
          <w:rFonts w:ascii="Times New Roman" w:hAnsi="Times New Roman"/>
          <w:sz w:val="24"/>
          <w:szCs w:val="24"/>
        </w:rPr>
      </w:pPr>
      <w:r>
        <w:rPr>
          <w:rFonts w:ascii="Times New Roman" w:hAnsi="Times New Roman"/>
          <w:sz w:val="24"/>
        </w:rPr>
        <w:t>Against this background, the study seeks to examine psychosocial support as a predictor of recovery among patients attending government hospitals in Oyo State, Nigeria.</w:t>
      </w:r>
    </w:p>
    <w:p w14:paraId="6271FCDC" w14:textId="77777777" w:rsidR="002D720D" w:rsidRDefault="00000000">
      <w:pPr>
        <w:spacing w:line="480" w:lineRule="auto"/>
        <w:jc w:val="both"/>
        <w:rPr>
          <w:rFonts w:ascii="Times New Roman" w:hAnsi="Times New Roman"/>
          <w:b/>
          <w:bCs/>
          <w:sz w:val="24"/>
          <w:szCs w:val="24"/>
        </w:rPr>
      </w:pPr>
      <w:r>
        <w:rPr>
          <w:rFonts w:ascii="Times New Roman" w:hAnsi="Times New Roman"/>
          <w:b/>
          <w:bCs/>
          <w:sz w:val="24"/>
          <w:szCs w:val="24"/>
        </w:rPr>
        <w:t>Statement of the Problem</w:t>
      </w:r>
    </w:p>
    <w:p w14:paraId="49FE7656" w14:textId="77777777" w:rsidR="002D720D" w:rsidRDefault="00000000">
      <w:pPr>
        <w:spacing w:line="480" w:lineRule="auto"/>
        <w:jc w:val="both"/>
      </w:pPr>
      <w:r>
        <w:rPr>
          <w:rFonts w:ascii="Times New Roman" w:hAnsi="Times New Roman"/>
          <w:sz w:val="24"/>
          <w:szCs w:val="24"/>
        </w:rPr>
        <w:t>Patients attending government hospitals may experience fear, anxiety, loneliness, financial difficulties, uncertainty about their condition and concerns about their families while undergoing treatment. Some may have strong family and community support, whereas others may have limited social networks or experience strained family relationships. These differences can influence how patients cope with illness and the extent to which they regain their wellbeing. Where psychosocial needs are overlooked, patients may receive appropriate medical treatment but still struggle with the emotional and social consequences of their illness.</w:t>
      </w:r>
    </w:p>
    <w:p w14:paraId="420EA918" w14:textId="77777777" w:rsidR="002D720D" w:rsidRDefault="00000000">
      <w:pPr>
        <w:spacing w:line="480" w:lineRule="auto"/>
        <w:jc w:val="both"/>
      </w:pPr>
      <w:r>
        <w:rPr>
          <w:rFonts w:ascii="Times New Roman" w:hAnsi="Times New Roman"/>
          <w:sz w:val="24"/>
          <w:szCs w:val="24"/>
        </w:rPr>
        <w:t xml:space="preserve">The situation is particularly concerning in Nigeria, where families frequently play a major role in supporting relatives during illness. Family members may provide money for treatment, </w:t>
      </w:r>
      <w:r>
        <w:rPr>
          <w:rFonts w:ascii="Times New Roman" w:hAnsi="Times New Roman"/>
          <w:sz w:val="24"/>
          <w:szCs w:val="24"/>
        </w:rPr>
        <w:lastRenderedPageBreak/>
        <w:t>accompany patients to the hospital, assist with medication and daily activities, provide emotional encouragement and communicate with healthcare providers. However, not every patient has access to such support. Economic hardship, changing family structures, geographical separation, stigma and the burden placed on caregivers may weaken the support available to patients. Existing Nigerian studies have demonstrated relationships between social support and outcomes such as quality of life, psychological wellbeing and treatment-related experiences, but much of the available evidence has focused on particular diseases or specific dimensions of health rather than recovery as a broader outcome.</w:t>
      </w:r>
    </w:p>
    <w:p w14:paraId="4779CE1E" w14:textId="77777777" w:rsidR="002D720D" w:rsidRDefault="00000000">
      <w:pPr>
        <w:spacing w:line="480" w:lineRule="auto"/>
        <w:jc w:val="both"/>
      </w:pPr>
      <w:r>
        <w:rPr>
          <w:rFonts w:ascii="Times New Roman" w:hAnsi="Times New Roman"/>
          <w:sz w:val="24"/>
          <w:szCs w:val="24"/>
        </w:rPr>
        <w:t>The concern is also evident in Oyo State, where patients attending government hospitals may depend substantially on family members and other informal networks for assistance during and after treatment. Although previous research in the state has examined issues such as self-efficacy, social support and patients' physical wellbeing, the evidence does not sufficiently establish whether psychosocial support can predict patients' overall recovery. More importantly, there appears to be limited empirical evidence examining psychosocial support across patients attending government hospitals rather than restricting attention to a single disease condition. This creates uncertainty about the extent to which emotional, social, informational, practical and companionship support contribute to patients' recovery within the government hospital environment in Oyo State.</w:t>
      </w:r>
    </w:p>
    <w:p w14:paraId="26E52AEB" w14:textId="77777777" w:rsidR="002D720D" w:rsidRDefault="00000000">
      <w:pPr>
        <w:spacing w:line="480" w:lineRule="auto"/>
        <w:jc w:val="both"/>
      </w:pPr>
      <w:r>
        <w:rPr>
          <w:rFonts w:ascii="Times New Roman" w:hAnsi="Times New Roman"/>
          <w:sz w:val="24"/>
          <w:szCs w:val="24"/>
        </w:rPr>
        <w:t xml:space="preserve">Consequently, a problem exists where the medical needs of patients may receive considerable attention while the psychosocial resources that accompany and sustain recovery receive comparatively less systematic consideration. It is not yet sufficiently clear whether patients who receive stronger psychosocial support actually experience better recovery than those with limited support, or which aspects of psychosocial support are most relevant to recovery. It is against this background that the researcher is concerned about the apparent gap between </w:t>
      </w:r>
      <w:r>
        <w:rPr>
          <w:rFonts w:ascii="Times New Roman" w:hAnsi="Times New Roman"/>
          <w:sz w:val="24"/>
          <w:szCs w:val="24"/>
        </w:rPr>
        <w:lastRenderedPageBreak/>
        <w:t xml:space="preserve">medical treatment and the broader psychosocial needs of patients attending government hospitals in Oyo State. </w:t>
      </w:r>
    </w:p>
    <w:p w14:paraId="40AC40EE" w14:textId="77777777" w:rsidR="002D720D" w:rsidRDefault="00000000">
      <w:pPr>
        <w:spacing w:line="240" w:lineRule="auto"/>
        <w:jc w:val="both"/>
        <w:rPr>
          <w:rFonts w:ascii="Times New Roman" w:hAnsi="Times New Roman"/>
          <w:b/>
          <w:bCs/>
          <w:sz w:val="24"/>
          <w:szCs w:val="24"/>
        </w:rPr>
      </w:pPr>
      <w:r>
        <w:rPr>
          <w:rFonts w:ascii="Times New Roman" w:hAnsi="Times New Roman"/>
          <w:b/>
          <w:bCs/>
          <w:sz w:val="24"/>
          <w:szCs w:val="24"/>
        </w:rPr>
        <w:t>Hypotheses</w:t>
      </w:r>
    </w:p>
    <w:p w14:paraId="2B43AFD9" w14:textId="77777777" w:rsidR="002D720D" w:rsidRDefault="00000000">
      <w:pPr>
        <w:pStyle w:val="ListParagraph"/>
        <w:numPr>
          <w:ilvl w:val="0"/>
          <w:numId w:val="2"/>
        </w:numPr>
        <w:spacing w:after="200" w:line="480" w:lineRule="auto"/>
        <w:jc w:val="both"/>
        <w:rPr>
          <w:rFonts w:ascii="Times New Roman" w:hAnsi="Times New Roman"/>
          <w:sz w:val="24"/>
          <w:szCs w:val="24"/>
        </w:rPr>
      </w:pPr>
      <w:r>
        <w:rPr>
          <w:rFonts w:ascii="Times New Roman" w:hAnsi="Times New Roman"/>
          <w:sz w:val="24"/>
          <w:szCs w:val="24"/>
        </w:rPr>
        <w:t xml:space="preserve">There is no significant relationship between emotional support and recovery among patients attending government hospitals in Oyo </w:t>
      </w:r>
      <w:r>
        <w:rPr>
          <w:rFonts w:ascii="Times New Roman" w:hAnsi="Times New Roman"/>
          <w:sz w:val="24"/>
          <w:szCs w:val="24"/>
          <w:highlight w:val="yellow"/>
        </w:rPr>
        <w:t>State,</w:t>
      </w:r>
      <w:r>
        <w:rPr>
          <w:rFonts w:ascii="Times New Roman" w:hAnsi="Times New Roman"/>
          <w:sz w:val="24"/>
          <w:szCs w:val="24"/>
        </w:rPr>
        <w:t xml:space="preserve"> </w:t>
      </w:r>
      <w:r>
        <w:rPr>
          <w:rFonts w:ascii="Times New Roman" w:hAnsi="Times New Roman"/>
          <w:sz w:val="24"/>
          <w:szCs w:val="24"/>
          <w:highlight w:val="yellow"/>
        </w:rPr>
        <w:t>Nigeria.</w:t>
      </w:r>
    </w:p>
    <w:p w14:paraId="5EBDD2F3" w14:textId="77777777" w:rsidR="002D720D" w:rsidRDefault="00000000">
      <w:pPr>
        <w:pStyle w:val="ListParagraph"/>
        <w:numPr>
          <w:ilvl w:val="0"/>
          <w:numId w:val="2"/>
        </w:numPr>
        <w:spacing w:after="200" w:line="480" w:lineRule="auto"/>
        <w:jc w:val="both"/>
        <w:rPr>
          <w:rFonts w:ascii="Times New Roman" w:hAnsi="Times New Roman"/>
          <w:sz w:val="24"/>
          <w:szCs w:val="24"/>
        </w:rPr>
      </w:pPr>
      <w:r>
        <w:rPr>
          <w:rFonts w:ascii="Times New Roman" w:hAnsi="Times New Roman"/>
          <w:sz w:val="24"/>
          <w:szCs w:val="24"/>
        </w:rPr>
        <w:t xml:space="preserve">There is no significant relationship between companionship support and recovery among patients attending government hospitals in Oyo </w:t>
      </w:r>
      <w:r>
        <w:rPr>
          <w:rFonts w:ascii="Times New Roman" w:hAnsi="Times New Roman"/>
          <w:sz w:val="24"/>
          <w:szCs w:val="24"/>
          <w:highlight w:val="yellow"/>
        </w:rPr>
        <w:t>State,</w:t>
      </w:r>
      <w:r>
        <w:rPr>
          <w:rFonts w:ascii="Times New Roman" w:hAnsi="Times New Roman"/>
          <w:sz w:val="24"/>
          <w:szCs w:val="24"/>
        </w:rPr>
        <w:t xml:space="preserve"> </w:t>
      </w:r>
      <w:r>
        <w:rPr>
          <w:rFonts w:ascii="Times New Roman" w:hAnsi="Times New Roman"/>
          <w:sz w:val="24"/>
          <w:szCs w:val="24"/>
          <w:highlight w:val="yellow"/>
        </w:rPr>
        <w:t>Nigeria.</w:t>
      </w:r>
    </w:p>
    <w:p w14:paraId="33529A2E" w14:textId="77777777" w:rsidR="002D720D" w:rsidRDefault="00000000">
      <w:pPr>
        <w:spacing w:line="240" w:lineRule="auto"/>
        <w:jc w:val="both"/>
        <w:rPr>
          <w:rFonts w:ascii="Times New Roman" w:hAnsi="Times New Roman"/>
          <w:b/>
          <w:bCs/>
          <w:sz w:val="24"/>
          <w:szCs w:val="24"/>
        </w:rPr>
      </w:pPr>
      <w:r>
        <w:rPr>
          <w:rFonts w:ascii="Times New Roman" w:hAnsi="Times New Roman"/>
          <w:b/>
          <w:bCs/>
          <w:sz w:val="24"/>
          <w:szCs w:val="24"/>
        </w:rPr>
        <w:t>Theoretical Underpinning</w:t>
      </w:r>
    </w:p>
    <w:p w14:paraId="02F1B1C1" w14:textId="77777777" w:rsidR="002D720D" w:rsidRDefault="00000000">
      <w:pPr>
        <w:spacing w:line="240" w:lineRule="auto"/>
        <w:jc w:val="both"/>
        <w:rPr>
          <w:rFonts w:ascii="Times New Roman" w:hAnsi="Times New Roman"/>
          <w:b/>
          <w:bCs/>
          <w:sz w:val="24"/>
          <w:szCs w:val="24"/>
        </w:rPr>
      </w:pPr>
      <w:r>
        <w:rPr>
          <w:rFonts w:ascii="Times New Roman" w:hAnsi="Times New Roman"/>
          <w:b/>
          <w:bCs/>
          <w:sz w:val="24"/>
          <w:szCs w:val="24"/>
        </w:rPr>
        <w:t>Family Systems Theory</w:t>
      </w:r>
    </w:p>
    <w:p w14:paraId="0D3CE0D4" w14:textId="77777777" w:rsidR="002D720D" w:rsidRDefault="00000000">
      <w:pPr>
        <w:spacing w:line="480" w:lineRule="auto"/>
        <w:jc w:val="both"/>
      </w:pPr>
      <w:r>
        <w:rPr>
          <w:rFonts w:ascii="Times New Roman" w:hAnsi="Times New Roman"/>
          <w:sz w:val="24"/>
          <w:szCs w:val="24"/>
        </w:rPr>
        <w:t>Family Systems Theory, developed by Murray Bowen, explains the family as an emotional unit in which members are interconnected and interdependent. The theory maintains that an individual cannot be adequately understood in isolation because the behaviour, emotions and experiences of one family member influence those of others. Family members occupy different roles and are expected to respond to one another according to established patterns and relationship expectations. These interactional patterns may promote stability, but they can also produce dysfunction when they become rigid or place excessive demands on particular members.</w:t>
      </w:r>
    </w:p>
    <w:p w14:paraId="7389E2D5" w14:textId="77777777" w:rsidR="002D720D" w:rsidRDefault="00000000">
      <w:pPr>
        <w:spacing w:line="480" w:lineRule="auto"/>
        <w:jc w:val="both"/>
      </w:pPr>
      <w:r>
        <w:rPr>
          <w:rFonts w:ascii="Times New Roman" w:hAnsi="Times New Roman"/>
          <w:sz w:val="24"/>
          <w:szCs w:val="24"/>
        </w:rPr>
        <w:t xml:space="preserve">Bowen's theory is built around eight interrelated concepts: triangles, differentiation of self, nuclear family emotional system, family projection process, multigenerational transmission process, emotional cut-off, sibling position and societal emotional process. Together, these concepts explain how emotional processes operate within families and how patterns of interaction can be maintained or transmitted across generations. The nuclear family emotional system, for example, identifies marital conflict, dysfunction in one spouse, impairment of a child and emotional distance as major patterns through which family problems may emerge. </w:t>
      </w:r>
      <w:r>
        <w:rPr>
          <w:rFonts w:ascii="Times New Roman" w:hAnsi="Times New Roman"/>
          <w:sz w:val="24"/>
          <w:szCs w:val="24"/>
        </w:rPr>
        <w:lastRenderedPageBreak/>
        <w:t>The theory therefore emphasizes that changes affecting one member can have consequences for the functioning and wellbeing of the entire family system.</w:t>
      </w:r>
    </w:p>
    <w:p w14:paraId="0BCFF098" w14:textId="77777777" w:rsidR="002D720D" w:rsidRDefault="00000000">
      <w:pPr>
        <w:spacing w:line="480" w:lineRule="auto"/>
        <w:jc w:val="both"/>
      </w:pPr>
      <w:r>
        <w:rPr>
          <w:rFonts w:ascii="Times New Roman" w:hAnsi="Times New Roman"/>
          <w:sz w:val="24"/>
          <w:szCs w:val="24"/>
        </w:rPr>
        <w:t>The theory is particularly relevant to understanding family support during illness and recovery. A patient's illness may alter established family roles and responsibilities. A family member may have to provide emotional encouragement, financial assistance, companionship, transportation, medication support or help with daily activities. Although such adjustments can strengthen family relationships and facilitate recovery, prolonged caregiving demands may also create emotional, social and financial strain. Thus, the quality of relationships and patterns of interaction within the family can influence the support available to a patient during illness.</w:t>
      </w:r>
    </w:p>
    <w:p w14:paraId="434DBF13" w14:textId="77777777" w:rsidR="002D720D" w:rsidRDefault="00000000">
      <w:pPr>
        <w:spacing w:line="480" w:lineRule="auto"/>
        <w:jc w:val="both"/>
      </w:pPr>
      <w:r>
        <w:rPr>
          <w:rFonts w:ascii="Times New Roman" w:hAnsi="Times New Roman"/>
          <w:sz w:val="24"/>
          <w:szCs w:val="24"/>
        </w:rPr>
        <w:t>Family Systems Theory provides a useful framework for explaining psychosocial support as a predictor of patient recovery. Patients attending government hospitals do not exist independently of their families and wider social environments. Their illness can affect family functioning, while the family's response can, in turn, influence the patient's recovery experience. When family members provide encouragement, companionship, financial assistance and practical help, they may create a supportive environment that enhances patients' ability to cope with illness and adhere to treatment. Conversely, emotional distance, family conflict or inadequate support may make recovery more difficult. The theory therefore supports the assumption that patient recovery should be understood within the context of the relationships and support systems surrounding the patient. It provides a basis for examining how family interactions and available psychosocial resources contribute to recovery among patients attending government hospitals in Oyo State, Nigeria.</w:t>
      </w:r>
    </w:p>
    <w:p w14:paraId="18A81D29" w14:textId="77777777" w:rsidR="002D720D" w:rsidRDefault="00000000">
      <w:pPr>
        <w:spacing w:line="480" w:lineRule="auto"/>
        <w:jc w:val="both"/>
        <w:rPr>
          <w:rFonts w:ascii="Times New Roman" w:hAnsi="Times New Roman"/>
          <w:b/>
          <w:bCs/>
          <w:sz w:val="24"/>
          <w:szCs w:val="24"/>
        </w:rPr>
      </w:pPr>
      <w:r>
        <w:rPr>
          <w:rFonts w:ascii="Times New Roman" w:hAnsi="Times New Roman"/>
          <w:b/>
          <w:bCs/>
          <w:sz w:val="24"/>
          <w:szCs w:val="24"/>
        </w:rPr>
        <w:t>Methodology</w:t>
      </w:r>
    </w:p>
    <w:p w14:paraId="04737EE5" w14:textId="77777777" w:rsidR="002D720D" w:rsidRDefault="00000000">
      <w:pPr>
        <w:spacing w:line="480" w:lineRule="auto"/>
        <w:jc w:val="both"/>
      </w:pPr>
      <w:r>
        <w:rPr>
          <w:rFonts w:ascii="Times New Roman" w:hAnsi="Times New Roman"/>
          <w:sz w:val="24"/>
          <w:szCs w:val="24"/>
        </w:rPr>
        <w:lastRenderedPageBreak/>
        <w:t xml:space="preserve">The study adopted a </w:t>
      </w:r>
      <w:r>
        <w:rPr>
          <w:rFonts w:ascii="Times New Roman" w:hAnsi="Times New Roman"/>
          <w:sz w:val="24"/>
          <w:szCs w:val="24"/>
          <w:highlight w:val="yellow"/>
        </w:rPr>
        <w:t>correlational</w:t>
      </w:r>
      <w:r>
        <w:rPr>
          <w:rFonts w:ascii="Times New Roman" w:hAnsi="Times New Roman"/>
          <w:sz w:val="24"/>
          <w:szCs w:val="24"/>
        </w:rPr>
        <w:t xml:space="preserve"> research design to examine psychosocial support as a predictor of recovery among patients attending government hospitals in Oyo State, Nigeria. The design was considered appropriate because it enabled the researcher to obtain self-reported information from patients and examine the relationships between psychosocial support and dimensions of patient recovery, namely emotional and companionship recovery. The study population comprised 235 </w:t>
      </w:r>
      <w:r>
        <w:rPr>
          <w:rFonts w:ascii="Times New Roman" w:hAnsi="Times New Roman"/>
          <w:sz w:val="24"/>
          <w:szCs w:val="24"/>
          <w:highlight w:val="yellow"/>
        </w:rPr>
        <w:t>inpatients</w:t>
      </w:r>
      <w:r>
        <w:rPr>
          <w:rFonts w:ascii="Times New Roman" w:hAnsi="Times New Roman"/>
          <w:sz w:val="24"/>
          <w:szCs w:val="24"/>
        </w:rPr>
        <w:t xml:space="preserve"> and </w:t>
      </w:r>
      <w:r>
        <w:rPr>
          <w:rFonts w:ascii="Times New Roman" w:hAnsi="Times New Roman"/>
          <w:sz w:val="24"/>
          <w:szCs w:val="24"/>
          <w:highlight w:val="yellow"/>
        </w:rPr>
        <w:t>outpatients</w:t>
      </w:r>
      <w:r>
        <w:rPr>
          <w:rFonts w:ascii="Times New Roman" w:hAnsi="Times New Roman"/>
          <w:sz w:val="24"/>
          <w:szCs w:val="24"/>
        </w:rPr>
        <w:t xml:space="preserve"> attending State Hospital, Ring Road, Ibadan, and </w:t>
      </w:r>
      <w:proofErr w:type="spellStart"/>
      <w:r>
        <w:rPr>
          <w:rFonts w:ascii="Times New Roman" w:hAnsi="Times New Roman"/>
          <w:sz w:val="24"/>
          <w:szCs w:val="24"/>
        </w:rPr>
        <w:t>Adeoyo</w:t>
      </w:r>
      <w:proofErr w:type="spellEnd"/>
      <w:r>
        <w:rPr>
          <w:rFonts w:ascii="Times New Roman" w:hAnsi="Times New Roman"/>
          <w:sz w:val="24"/>
          <w:szCs w:val="24"/>
        </w:rPr>
        <w:t xml:space="preserve"> Maternity Hospital, Ibadan, Oyo State. The population included both children and adults receiving care in the selected hospitals. The entire population of 235 patients was selected for the study using a simple random sampling technique, which provided eligible patients with an equal opportunity </w:t>
      </w:r>
      <w:r>
        <w:rPr>
          <w:rFonts w:ascii="Times New Roman" w:hAnsi="Times New Roman"/>
          <w:sz w:val="24"/>
          <w:szCs w:val="24"/>
          <w:highlight w:val="yellow"/>
        </w:rPr>
        <w:t>to</w:t>
      </w:r>
      <w:r>
        <w:rPr>
          <w:rFonts w:ascii="Times New Roman" w:hAnsi="Times New Roman"/>
          <w:sz w:val="24"/>
          <w:szCs w:val="24"/>
        </w:rPr>
        <w:t xml:space="preserve"> </w:t>
      </w:r>
      <w:r>
        <w:rPr>
          <w:rFonts w:ascii="Times New Roman" w:hAnsi="Times New Roman"/>
          <w:sz w:val="24"/>
          <w:szCs w:val="24"/>
          <w:highlight w:val="yellow"/>
        </w:rPr>
        <w:t>participate</w:t>
      </w:r>
      <w:r>
        <w:rPr>
          <w:rFonts w:ascii="Times New Roman" w:hAnsi="Times New Roman"/>
          <w:sz w:val="24"/>
          <w:szCs w:val="24"/>
        </w:rPr>
        <w:t xml:space="preserve"> in the research.</w:t>
      </w:r>
    </w:p>
    <w:p w14:paraId="5DD7D83A" w14:textId="77777777" w:rsidR="002D720D" w:rsidRDefault="00000000">
      <w:pPr>
        <w:spacing w:line="480" w:lineRule="auto"/>
        <w:jc w:val="both"/>
      </w:pPr>
      <w:r>
        <w:rPr>
          <w:rFonts w:ascii="Times New Roman" w:hAnsi="Times New Roman"/>
          <w:sz w:val="24"/>
          <w:szCs w:val="24"/>
        </w:rPr>
        <w:t xml:space="preserve">Data were collected using a structured questionnaire titled Psychosocial Support and Recovery of Patients Questionnaire (PSRQ). The instrument consisted of two sections. Section A contained seven items on respondents' demographic characteristics, while Section B comprised 35 items measuring psychosocial support and patient recovery across emotional, physical and social dimensions. Responses were obtained on a four-point Likert scale ranging from Strongly Agree (4) to Strongly Disagree (1). The questionnaire was adapted from established measures of social support and related psychosocial constructs. The instrument was subjected to face and content validation by the researcher's supervisor and lecturers with relevant expertise. For reliability, the validated questionnaire was pilot-tested among 20 patients from male and female wards of </w:t>
      </w:r>
      <w:proofErr w:type="spellStart"/>
      <w:r>
        <w:rPr>
          <w:rFonts w:ascii="Times New Roman" w:hAnsi="Times New Roman"/>
          <w:sz w:val="24"/>
          <w:szCs w:val="24"/>
        </w:rPr>
        <w:t>Oyomesi</w:t>
      </w:r>
      <w:proofErr w:type="spellEnd"/>
      <w:r>
        <w:rPr>
          <w:rFonts w:ascii="Times New Roman" w:hAnsi="Times New Roman"/>
          <w:sz w:val="24"/>
          <w:szCs w:val="24"/>
        </w:rPr>
        <w:t xml:space="preserve"> Private Hospital, </w:t>
      </w:r>
      <w:proofErr w:type="spellStart"/>
      <w:r>
        <w:rPr>
          <w:rFonts w:ascii="Times New Roman" w:hAnsi="Times New Roman"/>
          <w:sz w:val="24"/>
          <w:szCs w:val="24"/>
        </w:rPr>
        <w:t>Orogun</w:t>
      </w:r>
      <w:proofErr w:type="spellEnd"/>
      <w:r>
        <w:rPr>
          <w:rFonts w:ascii="Times New Roman" w:hAnsi="Times New Roman"/>
          <w:sz w:val="24"/>
          <w:szCs w:val="24"/>
        </w:rPr>
        <w:t>, Ibadan, which was not included in the study population. Cronbach's alpha coefficients were 0.82 for</w:t>
      </w:r>
      <w:r>
        <w:rPr>
          <w:rFonts w:ascii="Times New Roman" w:hAnsi="Times New Roman"/>
          <w:b/>
          <w:bCs/>
          <w:sz w:val="24"/>
          <w:szCs w:val="24"/>
        </w:rPr>
        <w:t xml:space="preserve"> </w:t>
      </w:r>
      <w:r>
        <w:rPr>
          <w:rFonts w:ascii="Times New Roman" w:hAnsi="Times New Roman"/>
          <w:sz w:val="24"/>
          <w:szCs w:val="24"/>
        </w:rPr>
        <w:t>emotional recovery, 0.75 for physical recovery, 0.62 for social recovery, and 0.86 for the overall instrument, indicating acceptable internal consistency.</w:t>
      </w:r>
    </w:p>
    <w:p w14:paraId="3C8F1C63" w14:textId="77777777" w:rsidR="002D720D" w:rsidRDefault="00000000">
      <w:pPr>
        <w:spacing w:line="480" w:lineRule="auto"/>
        <w:jc w:val="both"/>
      </w:pPr>
      <w:r>
        <w:rPr>
          <w:rFonts w:ascii="Times New Roman" w:hAnsi="Times New Roman"/>
          <w:sz w:val="24"/>
          <w:szCs w:val="24"/>
        </w:rPr>
        <w:t xml:space="preserve">Following approval from the selected hospitals, the researcher, assisted by three trained research assistants, administered the questionnaires directly to respondents. Of the 235 </w:t>
      </w:r>
      <w:r>
        <w:rPr>
          <w:rFonts w:ascii="Times New Roman" w:hAnsi="Times New Roman"/>
          <w:sz w:val="24"/>
          <w:szCs w:val="24"/>
        </w:rPr>
        <w:lastRenderedPageBreak/>
        <w:t xml:space="preserve">questionnaires administered, 231 were retrieved and found usable, representing a 98.3% response rate. Data were coded and analysed using descriptive and inferential statistics. Frequencies and percentages were used to </w:t>
      </w:r>
      <w:r>
        <w:rPr>
          <w:rFonts w:ascii="Times New Roman" w:hAnsi="Times New Roman"/>
          <w:sz w:val="24"/>
          <w:szCs w:val="24"/>
          <w:highlight w:val="yellow"/>
        </w:rPr>
        <w:t>summarise</w:t>
      </w:r>
      <w:r>
        <w:rPr>
          <w:rFonts w:ascii="Times New Roman" w:hAnsi="Times New Roman"/>
          <w:sz w:val="24"/>
          <w:szCs w:val="24"/>
        </w:rPr>
        <w:t xml:space="preserve"> respondents' demographic characteristics, while Pearson </w:t>
      </w:r>
      <w:r>
        <w:rPr>
          <w:rFonts w:ascii="Times New Roman" w:hAnsi="Times New Roman"/>
          <w:sz w:val="24"/>
          <w:szCs w:val="24"/>
          <w:highlight w:val="yellow"/>
        </w:rPr>
        <w:t>product-moment</w:t>
      </w:r>
      <w:r>
        <w:rPr>
          <w:rFonts w:ascii="Times New Roman" w:hAnsi="Times New Roman"/>
          <w:sz w:val="24"/>
          <w:szCs w:val="24"/>
        </w:rPr>
        <w:t xml:space="preserve"> </w:t>
      </w:r>
      <w:r>
        <w:rPr>
          <w:rFonts w:ascii="Times New Roman" w:hAnsi="Times New Roman"/>
          <w:sz w:val="24"/>
          <w:szCs w:val="24"/>
          <w:highlight w:val="yellow"/>
        </w:rPr>
        <w:t>correlation</w:t>
      </w:r>
      <w:r>
        <w:rPr>
          <w:rFonts w:ascii="Times New Roman" w:hAnsi="Times New Roman"/>
          <w:sz w:val="24"/>
          <w:szCs w:val="24"/>
        </w:rPr>
        <w:t xml:space="preserve"> (PPMC) and </w:t>
      </w:r>
      <w:r>
        <w:rPr>
          <w:rFonts w:ascii="Times New Roman" w:hAnsi="Times New Roman"/>
          <w:sz w:val="24"/>
          <w:szCs w:val="24"/>
          <w:highlight w:val="yellow"/>
        </w:rPr>
        <w:t>analysis</w:t>
      </w:r>
      <w:r>
        <w:rPr>
          <w:rFonts w:ascii="Times New Roman" w:hAnsi="Times New Roman"/>
          <w:sz w:val="24"/>
          <w:szCs w:val="24"/>
        </w:rPr>
        <w:t xml:space="preserve"> of </w:t>
      </w:r>
      <w:r>
        <w:rPr>
          <w:rFonts w:ascii="Times New Roman" w:hAnsi="Times New Roman"/>
          <w:sz w:val="24"/>
          <w:szCs w:val="24"/>
          <w:highlight w:val="yellow"/>
        </w:rPr>
        <w:t>variance</w:t>
      </w:r>
      <w:r>
        <w:rPr>
          <w:rFonts w:ascii="Times New Roman" w:hAnsi="Times New Roman"/>
          <w:sz w:val="24"/>
          <w:szCs w:val="24"/>
        </w:rPr>
        <w:t xml:space="preserve"> (ANOVA) were used to examine the relationships among the study variables and</w:t>
      </w:r>
      <w:r>
        <w:rPr>
          <w:rFonts w:ascii="Times New Roman" w:hAnsi="Times New Roman"/>
          <w:sz w:val="24"/>
          <w:szCs w:val="24"/>
          <w:highlight w:val="yellow"/>
        </w:rPr>
        <w:t xml:space="preserve"> to</w:t>
      </w:r>
      <w:r>
        <w:rPr>
          <w:rFonts w:ascii="Times New Roman" w:hAnsi="Times New Roman"/>
          <w:sz w:val="24"/>
          <w:szCs w:val="24"/>
        </w:rPr>
        <w:t xml:space="preserve"> test the hypotheses. All hypotheses were tested at the 0.05 level of significance.</w:t>
      </w:r>
    </w:p>
    <w:p w14:paraId="5940CA58" w14:textId="77777777" w:rsidR="002D720D" w:rsidRDefault="00000000">
      <w:pPr>
        <w:spacing w:line="480" w:lineRule="auto"/>
        <w:jc w:val="both"/>
        <w:rPr>
          <w:rFonts w:ascii="Times New Roman" w:hAnsi="Times New Roman"/>
          <w:b/>
          <w:bCs/>
          <w:sz w:val="24"/>
          <w:szCs w:val="24"/>
        </w:rPr>
      </w:pPr>
      <w:r>
        <w:rPr>
          <w:rFonts w:ascii="Times New Roman" w:hAnsi="Times New Roman"/>
          <w:b/>
          <w:bCs/>
          <w:sz w:val="24"/>
          <w:szCs w:val="24"/>
        </w:rPr>
        <w:t>Results and Discussion</w:t>
      </w:r>
    </w:p>
    <w:p w14:paraId="259F7DA5" w14:textId="77777777" w:rsidR="002D720D" w:rsidRDefault="00000000">
      <w:pPr>
        <w:spacing w:line="480" w:lineRule="auto"/>
        <w:rPr>
          <w:rFonts w:ascii="Times New Roman" w:hAnsi="Times New Roman"/>
          <w:b/>
          <w:bCs/>
          <w:kern w:val="2"/>
          <w:sz w:val="24"/>
          <w:szCs w:val="24"/>
        </w:rPr>
      </w:pPr>
      <w:r>
        <w:rPr>
          <w:rFonts w:ascii="Times New Roman" w:hAnsi="Times New Roman"/>
          <w:b/>
          <w:bCs/>
          <w:kern w:val="2"/>
          <w:sz w:val="24"/>
          <w:szCs w:val="24"/>
        </w:rPr>
        <w:t xml:space="preserve">Analysis of Demographic Variables of </w:t>
      </w:r>
      <w:r>
        <w:rPr>
          <w:rFonts w:ascii="Times New Roman" w:hAnsi="Times New Roman"/>
          <w:b/>
          <w:bCs/>
          <w:kern w:val="2"/>
          <w:sz w:val="24"/>
          <w:szCs w:val="24"/>
          <w:highlight w:val="yellow"/>
        </w:rPr>
        <w:t>Respondents</w:t>
      </w:r>
    </w:p>
    <w:p w14:paraId="72A3D717" w14:textId="77777777" w:rsidR="002D720D" w:rsidRDefault="00000000">
      <w:pPr>
        <w:spacing w:after="0" w:line="480" w:lineRule="auto"/>
        <w:rPr>
          <w:rFonts w:ascii="Times New Roman" w:hAnsi="Times New Roman"/>
          <w:b/>
          <w:sz w:val="24"/>
          <w:szCs w:val="24"/>
        </w:rPr>
      </w:pPr>
      <w:r>
        <w:rPr>
          <w:rFonts w:ascii="Times New Roman" w:hAnsi="Times New Roman"/>
          <w:b/>
          <w:sz w:val="24"/>
          <w:szCs w:val="24"/>
        </w:rPr>
        <w:t>Table 1: Frequency distribution of respondents by sex</w:t>
      </w:r>
    </w:p>
    <w:tbl>
      <w:tblPr>
        <w:tblW w:w="7344" w:type="dxa"/>
        <w:tblInd w:w="108" w:type="dxa"/>
        <w:tblLayout w:type="fixed"/>
        <w:tblLook w:val="0000" w:firstRow="0" w:lastRow="0" w:firstColumn="0" w:lastColumn="0" w:noHBand="0" w:noVBand="0"/>
      </w:tblPr>
      <w:tblGrid>
        <w:gridCol w:w="2448"/>
        <w:gridCol w:w="2448"/>
        <w:gridCol w:w="2448"/>
      </w:tblGrid>
      <w:tr w:rsidR="002D720D" w14:paraId="58296544" w14:textId="77777777">
        <w:trPr>
          <w:trHeight w:val="23"/>
        </w:trPr>
        <w:tc>
          <w:tcPr>
            <w:tcW w:w="2448" w:type="dxa"/>
            <w:tcBorders>
              <w:top w:val="single" w:sz="4" w:space="0" w:color="000000"/>
              <w:left w:val="single" w:sz="4" w:space="0" w:color="000000"/>
              <w:bottom w:val="single" w:sz="4" w:space="0" w:color="000000"/>
              <w:right w:val="single" w:sz="4" w:space="0" w:color="000000"/>
            </w:tcBorders>
          </w:tcPr>
          <w:p w14:paraId="127F7762"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Sex</w:t>
            </w:r>
          </w:p>
        </w:tc>
        <w:tc>
          <w:tcPr>
            <w:tcW w:w="2448" w:type="dxa"/>
            <w:tcBorders>
              <w:top w:val="single" w:sz="4" w:space="0" w:color="000000"/>
              <w:left w:val="single" w:sz="4" w:space="0" w:color="000000"/>
              <w:bottom w:val="single" w:sz="4" w:space="0" w:color="000000"/>
              <w:right w:val="single" w:sz="4" w:space="0" w:color="000000"/>
            </w:tcBorders>
          </w:tcPr>
          <w:p w14:paraId="3F139EFA"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Frequency </w:t>
            </w:r>
          </w:p>
        </w:tc>
        <w:tc>
          <w:tcPr>
            <w:tcW w:w="2448" w:type="dxa"/>
            <w:tcBorders>
              <w:top w:val="single" w:sz="4" w:space="0" w:color="000000"/>
              <w:left w:val="single" w:sz="4" w:space="0" w:color="000000"/>
              <w:bottom w:val="single" w:sz="4" w:space="0" w:color="000000"/>
              <w:right w:val="single" w:sz="4" w:space="0" w:color="000000"/>
            </w:tcBorders>
          </w:tcPr>
          <w:p w14:paraId="6EC6B562"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Percentage </w:t>
            </w:r>
          </w:p>
        </w:tc>
      </w:tr>
      <w:tr w:rsidR="002D720D" w14:paraId="1E8B82CE" w14:textId="77777777">
        <w:trPr>
          <w:trHeight w:val="23"/>
        </w:trPr>
        <w:tc>
          <w:tcPr>
            <w:tcW w:w="2448" w:type="dxa"/>
            <w:tcBorders>
              <w:top w:val="single" w:sz="4" w:space="0" w:color="000000"/>
              <w:left w:val="single" w:sz="4" w:space="0" w:color="000000"/>
              <w:bottom w:val="single" w:sz="4" w:space="0" w:color="000000"/>
              <w:right w:val="single" w:sz="4" w:space="0" w:color="000000"/>
            </w:tcBorders>
          </w:tcPr>
          <w:p w14:paraId="471EB480"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Male</w:t>
            </w:r>
          </w:p>
          <w:p w14:paraId="7FFF6152" w14:textId="77777777" w:rsidR="002D720D" w:rsidRDefault="00000000">
            <w:pPr>
              <w:rPr>
                <w:rFonts w:ascii="Times New Roman" w:hAnsi="Times New Roman"/>
                <w:sz w:val="24"/>
                <w:szCs w:val="24"/>
                <w:lang w:val="en-US"/>
              </w:rPr>
            </w:pPr>
            <w:r>
              <w:rPr>
                <w:rFonts w:ascii="Times New Roman" w:hAnsi="Times New Roman"/>
                <w:sz w:val="24"/>
                <w:szCs w:val="24"/>
                <w:lang w:val="en-US"/>
              </w:rPr>
              <w:t>Female</w:t>
            </w:r>
          </w:p>
        </w:tc>
        <w:tc>
          <w:tcPr>
            <w:tcW w:w="2448" w:type="dxa"/>
            <w:tcBorders>
              <w:top w:val="single" w:sz="4" w:space="0" w:color="000000"/>
              <w:left w:val="single" w:sz="4" w:space="0" w:color="000000"/>
              <w:bottom w:val="single" w:sz="4" w:space="0" w:color="000000"/>
              <w:right w:val="single" w:sz="4" w:space="0" w:color="000000"/>
            </w:tcBorders>
          </w:tcPr>
          <w:p w14:paraId="03458A4B"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105</w:t>
            </w:r>
          </w:p>
          <w:p w14:paraId="1DD70A55" w14:textId="77777777" w:rsidR="002D720D" w:rsidRDefault="00000000">
            <w:pPr>
              <w:rPr>
                <w:rFonts w:ascii="Times New Roman" w:hAnsi="Times New Roman"/>
                <w:sz w:val="24"/>
                <w:szCs w:val="24"/>
                <w:lang w:val="en-US"/>
              </w:rPr>
            </w:pPr>
            <w:r>
              <w:rPr>
                <w:rFonts w:ascii="Times New Roman" w:hAnsi="Times New Roman"/>
                <w:sz w:val="24"/>
                <w:szCs w:val="24"/>
                <w:lang w:val="en-US"/>
              </w:rPr>
              <w:t>126</w:t>
            </w:r>
          </w:p>
        </w:tc>
        <w:tc>
          <w:tcPr>
            <w:tcW w:w="2448" w:type="dxa"/>
            <w:tcBorders>
              <w:top w:val="single" w:sz="4" w:space="0" w:color="000000"/>
              <w:left w:val="single" w:sz="4" w:space="0" w:color="000000"/>
              <w:bottom w:val="single" w:sz="4" w:space="0" w:color="000000"/>
              <w:right w:val="single" w:sz="4" w:space="0" w:color="000000"/>
            </w:tcBorders>
          </w:tcPr>
          <w:p w14:paraId="5DB4235D"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45.5</w:t>
            </w:r>
          </w:p>
          <w:p w14:paraId="62BD9860" w14:textId="77777777" w:rsidR="002D720D" w:rsidRDefault="00000000">
            <w:pPr>
              <w:rPr>
                <w:rFonts w:ascii="Times New Roman" w:hAnsi="Times New Roman"/>
                <w:sz w:val="24"/>
                <w:szCs w:val="24"/>
                <w:lang w:val="en-US"/>
              </w:rPr>
            </w:pPr>
            <w:r>
              <w:rPr>
                <w:rFonts w:ascii="Times New Roman" w:hAnsi="Times New Roman"/>
                <w:sz w:val="24"/>
                <w:szCs w:val="24"/>
                <w:lang w:val="en-US"/>
              </w:rPr>
              <w:t>54.5</w:t>
            </w:r>
          </w:p>
        </w:tc>
      </w:tr>
      <w:tr w:rsidR="002D720D" w14:paraId="24A26279" w14:textId="77777777">
        <w:trPr>
          <w:trHeight w:val="23"/>
        </w:trPr>
        <w:tc>
          <w:tcPr>
            <w:tcW w:w="2448" w:type="dxa"/>
            <w:tcBorders>
              <w:top w:val="single" w:sz="4" w:space="0" w:color="000000"/>
              <w:left w:val="single" w:sz="4" w:space="0" w:color="000000"/>
              <w:bottom w:val="single" w:sz="4" w:space="0" w:color="000000"/>
              <w:right w:val="single" w:sz="4" w:space="0" w:color="000000"/>
            </w:tcBorders>
          </w:tcPr>
          <w:p w14:paraId="6925C9D6" w14:textId="77777777" w:rsidR="002D720D" w:rsidRDefault="00000000">
            <w:pPr>
              <w:rPr>
                <w:rFonts w:ascii="Times New Roman" w:hAnsi="Times New Roman"/>
                <w:sz w:val="24"/>
                <w:szCs w:val="24"/>
                <w:lang w:val="en-US"/>
              </w:rPr>
            </w:pPr>
            <w:r>
              <w:rPr>
                <w:rFonts w:ascii="Times New Roman" w:hAnsi="Times New Roman"/>
                <w:sz w:val="24"/>
                <w:szCs w:val="24"/>
                <w:lang w:val="en-US"/>
              </w:rPr>
              <w:t xml:space="preserve">Total </w:t>
            </w:r>
          </w:p>
        </w:tc>
        <w:tc>
          <w:tcPr>
            <w:tcW w:w="2448" w:type="dxa"/>
            <w:tcBorders>
              <w:top w:val="single" w:sz="4" w:space="0" w:color="000000"/>
              <w:left w:val="single" w:sz="4" w:space="0" w:color="000000"/>
              <w:bottom w:val="single" w:sz="4" w:space="0" w:color="000000"/>
              <w:right w:val="single" w:sz="4" w:space="0" w:color="000000"/>
            </w:tcBorders>
          </w:tcPr>
          <w:p w14:paraId="69BD0F00" w14:textId="77777777" w:rsidR="002D720D" w:rsidRDefault="00000000">
            <w:pPr>
              <w:rPr>
                <w:rFonts w:ascii="Times New Roman" w:hAnsi="Times New Roman"/>
                <w:sz w:val="24"/>
                <w:szCs w:val="24"/>
                <w:lang w:val="en-US"/>
              </w:rPr>
            </w:pPr>
            <w:r>
              <w:rPr>
                <w:rFonts w:ascii="Times New Roman" w:hAnsi="Times New Roman"/>
                <w:sz w:val="24"/>
                <w:szCs w:val="24"/>
                <w:lang w:val="en-US"/>
              </w:rPr>
              <w:t>231</w:t>
            </w:r>
          </w:p>
        </w:tc>
        <w:tc>
          <w:tcPr>
            <w:tcW w:w="2448" w:type="dxa"/>
            <w:tcBorders>
              <w:top w:val="single" w:sz="4" w:space="0" w:color="000000"/>
              <w:left w:val="single" w:sz="4" w:space="0" w:color="000000"/>
              <w:bottom w:val="single" w:sz="4" w:space="0" w:color="000000"/>
              <w:right w:val="single" w:sz="4" w:space="0" w:color="000000"/>
            </w:tcBorders>
          </w:tcPr>
          <w:p w14:paraId="14F5614C" w14:textId="77777777" w:rsidR="002D720D" w:rsidRDefault="00000000">
            <w:pPr>
              <w:rPr>
                <w:rFonts w:ascii="Times New Roman" w:hAnsi="Times New Roman"/>
                <w:sz w:val="24"/>
                <w:szCs w:val="24"/>
                <w:lang w:val="en-US"/>
              </w:rPr>
            </w:pPr>
            <w:r>
              <w:rPr>
                <w:rFonts w:ascii="Times New Roman" w:hAnsi="Times New Roman"/>
                <w:sz w:val="24"/>
                <w:szCs w:val="24"/>
                <w:lang w:val="en-US"/>
              </w:rPr>
              <w:t>100</w:t>
            </w:r>
          </w:p>
        </w:tc>
      </w:tr>
    </w:tbl>
    <w:p w14:paraId="04A888D6" w14:textId="77777777" w:rsidR="002D720D" w:rsidRDefault="002D720D">
      <w:pPr>
        <w:spacing w:after="0"/>
        <w:jc w:val="both"/>
        <w:rPr>
          <w:rFonts w:ascii="Times New Roman" w:hAnsi="Times New Roman"/>
          <w:b/>
          <w:bCs/>
          <w:sz w:val="12"/>
          <w:szCs w:val="24"/>
        </w:rPr>
      </w:pPr>
    </w:p>
    <w:p w14:paraId="50963B27" w14:textId="77777777" w:rsidR="002D720D" w:rsidRDefault="00000000">
      <w:pPr>
        <w:spacing w:after="0"/>
        <w:jc w:val="both"/>
        <w:rPr>
          <w:rFonts w:ascii="Times New Roman" w:hAnsi="Times New Roman"/>
          <w:b/>
          <w:bCs/>
          <w:sz w:val="24"/>
          <w:szCs w:val="24"/>
        </w:rPr>
      </w:pPr>
      <w:r>
        <w:rPr>
          <w:rFonts w:ascii="Times New Roman" w:hAnsi="Times New Roman"/>
          <w:b/>
          <w:bCs/>
          <w:sz w:val="24"/>
          <w:szCs w:val="24"/>
        </w:rPr>
        <w:t xml:space="preserve">Figure 1: Frequency distribution of respondents by sex </w:t>
      </w:r>
    </w:p>
    <w:p w14:paraId="2E6836F6" w14:textId="77777777" w:rsidR="002D720D" w:rsidRDefault="002D720D">
      <w:pPr>
        <w:spacing w:after="0"/>
        <w:jc w:val="both"/>
        <w:rPr>
          <w:rFonts w:ascii="Times New Roman" w:hAnsi="Times New Roman"/>
          <w:b/>
          <w:bCs/>
          <w:sz w:val="6"/>
          <w:szCs w:val="24"/>
        </w:rPr>
      </w:pPr>
    </w:p>
    <w:p w14:paraId="6F115581" w14:textId="77777777" w:rsidR="002D720D" w:rsidRDefault="00000000">
      <w:pPr>
        <w:spacing w:after="0"/>
        <w:jc w:val="both"/>
        <w:rPr>
          <w:rFonts w:ascii="Times New Roman" w:hAnsi="Times New Roman"/>
          <w:b/>
          <w:bCs/>
          <w:sz w:val="24"/>
          <w:szCs w:val="24"/>
        </w:rPr>
      </w:pPr>
      <w:r>
        <w:rPr>
          <w:rFonts w:ascii="Times New Roman" w:hAnsi="Times New Roman"/>
          <w:b/>
          <w:sz w:val="24"/>
          <w:szCs w:val="24"/>
          <w:lang w:val="en-US" w:eastAsia="en-US"/>
        </w:rPr>
        <w:pict w14:anchorId="65BE4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2055" type="#_x0000_t75" style="position:absolute;left:0;text-align:left;margin-left:0;margin-top:0;width:50pt;height:50pt;z-index:1;visibility:hidden">
            <o:lock v:ext="edit" selection="t"/>
          </v:shape>
        </w:pict>
      </w:r>
      <w:r>
        <w:rPr>
          <w:rFonts w:ascii="Times New Roman" w:hAnsi="Times New Roman"/>
          <w:b/>
          <w:sz w:val="24"/>
          <w:szCs w:val="24"/>
          <w:lang w:val="en-US" w:eastAsia="en-US"/>
        </w:rPr>
        <w:object w:dxaOrig="7681" w:dyaOrig="3584" w14:anchorId="4F57DDDC">
          <v:shape id="ole_rId2" o:spid="_x0000_i1025" type="#_x0000_t75" style="width:374.25pt;height:184.2pt;visibility:visible" o:ole="">
            <v:imagedata r:id="rId7" o:title=""/>
          </v:shape>
          <o:OLEObject Type="Embed" ProgID="Excel.Sheet.12" ShapeID="ole_rId2" DrawAspect="Content" ObjectID="_1852878733" r:id="rId8"/>
        </w:object>
      </w:r>
    </w:p>
    <w:p w14:paraId="070A236A" w14:textId="77777777" w:rsidR="002D720D" w:rsidRDefault="002D720D">
      <w:pPr>
        <w:spacing w:after="0"/>
        <w:jc w:val="both"/>
        <w:rPr>
          <w:rFonts w:ascii="Times New Roman" w:hAnsi="Times New Roman"/>
          <w:b/>
          <w:bCs/>
          <w:sz w:val="16"/>
          <w:szCs w:val="24"/>
        </w:rPr>
      </w:pPr>
    </w:p>
    <w:p w14:paraId="2AFD3C34" w14:textId="77777777" w:rsidR="002D720D" w:rsidRDefault="00000000">
      <w:pPr>
        <w:spacing w:after="0" w:line="480" w:lineRule="auto"/>
        <w:jc w:val="both"/>
        <w:rPr>
          <w:rFonts w:ascii="Times New Roman" w:hAnsi="Times New Roman"/>
          <w:sz w:val="24"/>
          <w:szCs w:val="24"/>
        </w:rPr>
      </w:pPr>
      <w:r>
        <w:rPr>
          <w:rFonts w:ascii="Times New Roman" w:hAnsi="Times New Roman"/>
          <w:sz w:val="24"/>
          <w:szCs w:val="24"/>
        </w:rPr>
        <w:t>Table</w:t>
      </w:r>
      <w:r>
        <w:rPr>
          <w:rFonts w:ascii="Times New Roman" w:hAnsi="Times New Roman"/>
          <w:sz w:val="24"/>
          <w:szCs w:val="24"/>
          <w:highlight w:val="yellow"/>
        </w:rPr>
        <w:t xml:space="preserve"> 1</w:t>
      </w:r>
      <w:r>
        <w:rPr>
          <w:rFonts w:ascii="Times New Roman" w:hAnsi="Times New Roman"/>
          <w:sz w:val="24"/>
          <w:szCs w:val="24"/>
        </w:rPr>
        <w:t xml:space="preserve"> and Figure 1 above </w:t>
      </w:r>
      <w:r>
        <w:rPr>
          <w:rFonts w:ascii="Times New Roman" w:hAnsi="Times New Roman"/>
          <w:sz w:val="24"/>
          <w:szCs w:val="24"/>
          <w:highlight w:val="yellow"/>
        </w:rPr>
        <w:t>show</w:t>
      </w:r>
      <w:r>
        <w:rPr>
          <w:rFonts w:ascii="Times New Roman" w:hAnsi="Times New Roman"/>
          <w:sz w:val="24"/>
          <w:szCs w:val="24"/>
        </w:rPr>
        <w:t xml:space="preserve"> that </w:t>
      </w:r>
      <w:r>
        <w:rPr>
          <w:rFonts w:ascii="Times New Roman" w:hAnsi="Times New Roman"/>
          <w:sz w:val="24"/>
          <w:szCs w:val="24"/>
          <w:highlight w:val="yellow"/>
        </w:rPr>
        <w:t>105 (45.5%)</w:t>
      </w:r>
      <w:r>
        <w:rPr>
          <w:rFonts w:ascii="Times New Roman" w:hAnsi="Times New Roman"/>
          <w:sz w:val="24"/>
          <w:szCs w:val="24"/>
        </w:rPr>
        <w:t xml:space="preserve"> respondents are </w:t>
      </w:r>
      <w:r>
        <w:rPr>
          <w:rFonts w:ascii="Times New Roman" w:hAnsi="Times New Roman"/>
          <w:sz w:val="24"/>
          <w:szCs w:val="24"/>
          <w:highlight w:val="yellow"/>
        </w:rPr>
        <w:t>male</w:t>
      </w:r>
      <w:r>
        <w:rPr>
          <w:rFonts w:ascii="Times New Roman" w:hAnsi="Times New Roman"/>
          <w:sz w:val="24"/>
          <w:szCs w:val="24"/>
        </w:rPr>
        <w:t xml:space="preserve"> and </w:t>
      </w:r>
      <w:r>
        <w:rPr>
          <w:rFonts w:ascii="Times New Roman" w:hAnsi="Times New Roman"/>
          <w:sz w:val="24"/>
          <w:szCs w:val="24"/>
          <w:highlight w:val="yellow"/>
        </w:rPr>
        <w:t>126</w:t>
      </w:r>
      <w:r>
        <w:rPr>
          <w:rFonts w:ascii="Times New Roman" w:hAnsi="Times New Roman"/>
          <w:sz w:val="24"/>
          <w:szCs w:val="24"/>
        </w:rPr>
        <w:t xml:space="preserve"> </w:t>
      </w:r>
      <w:r>
        <w:rPr>
          <w:rFonts w:ascii="Times New Roman" w:hAnsi="Times New Roman"/>
          <w:sz w:val="24"/>
          <w:szCs w:val="24"/>
          <w:highlight w:val="yellow"/>
        </w:rPr>
        <w:t>(54.5%)</w:t>
      </w:r>
      <w:r>
        <w:rPr>
          <w:rFonts w:ascii="Times New Roman" w:hAnsi="Times New Roman"/>
          <w:sz w:val="24"/>
          <w:szCs w:val="24"/>
        </w:rPr>
        <w:t xml:space="preserve"> are </w:t>
      </w:r>
      <w:r>
        <w:rPr>
          <w:rFonts w:ascii="Times New Roman" w:hAnsi="Times New Roman"/>
          <w:sz w:val="24"/>
          <w:szCs w:val="24"/>
          <w:highlight w:val="yellow"/>
        </w:rPr>
        <w:t>female.</w:t>
      </w:r>
    </w:p>
    <w:p w14:paraId="4FFB4E30" w14:textId="77777777" w:rsidR="002D720D" w:rsidRDefault="002D720D">
      <w:pPr>
        <w:spacing w:after="0" w:line="480" w:lineRule="auto"/>
        <w:jc w:val="both"/>
        <w:rPr>
          <w:rFonts w:ascii="Times New Roman" w:hAnsi="Times New Roman"/>
          <w:sz w:val="24"/>
          <w:szCs w:val="24"/>
        </w:rPr>
      </w:pPr>
    </w:p>
    <w:p w14:paraId="76F36339" w14:textId="77777777" w:rsidR="002D720D" w:rsidRDefault="002D720D">
      <w:pPr>
        <w:spacing w:after="0" w:line="480" w:lineRule="auto"/>
        <w:jc w:val="both"/>
        <w:rPr>
          <w:rFonts w:ascii="Times New Roman" w:hAnsi="Times New Roman"/>
          <w:sz w:val="24"/>
          <w:szCs w:val="24"/>
        </w:rPr>
      </w:pPr>
    </w:p>
    <w:p w14:paraId="72326F19" w14:textId="77777777" w:rsidR="002D720D" w:rsidRDefault="00000000">
      <w:pPr>
        <w:spacing w:after="0" w:line="240" w:lineRule="auto"/>
        <w:rPr>
          <w:rFonts w:ascii="Times New Roman" w:hAnsi="Times New Roman"/>
          <w:b/>
          <w:sz w:val="24"/>
          <w:szCs w:val="24"/>
        </w:rPr>
      </w:pPr>
      <w:r>
        <w:rPr>
          <w:rFonts w:ascii="Times New Roman" w:hAnsi="Times New Roman"/>
          <w:b/>
          <w:sz w:val="24"/>
          <w:szCs w:val="24"/>
        </w:rPr>
        <w:t>Table 2: Frequency distribution of respondents by age</w:t>
      </w:r>
    </w:p>
    <w:tbl>
      <w:tblPr>
        <w:tblpPr w:rightFromText="180" w:vertAnchor="text" w:tblpX="5" w:tblpY="1"/>
        <w:tblOverlap w:val="never"/>
        <w:tblW w:w="7344" w:type="dxa"/>
        <w:tblLayout w:type="fixed"/>
        <w:tblLook w:val="0000" w:firstRow="0" w:lastRow="0" w:firstColumn="0" w:lastColumn="0" w:noHBand="0" w:noVBand="0"/>
      </w:tblPr>
      <w:tblGrid>
        <w:gridCol w:w="2448"/>
        <w:gridCol w:w="2448"/>
        <w:gridCol w:w="2448"/>
      </w:tblGrid>
      <w:tr w:rsidR="002D720D" w14:paraId="26085D32" w14:textId="77777777">
        <w:tc>
          <w:tcPr>
            <w:tcW w:w="2448" w:type="dxa"/>
            <w:tcBorders>
              <w:top w:val="single" w:sz="4" w:space="0" w:color="000000"/>
              <w:left w:val="single" w:sz="4" w:space="0" w:color="000000"/>
              <w:bottom w:val="single" w:sz="4" w:space="0" w:color="000000"/>
              <w:right w:val="single" w:sz="4" w:space="0" w:color="000000"/>
            </w:tcBorders>
            <w:vAlign w:val="bottom"/>
          </w:tcPr>
          <w:p w14:paraId="13DD19C8"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lastRenderedPageBreak/>
              <w:t>Age group</w:t>
            </w:r>
          </w:p>
        </w:tc>
        <w:tc>
          <w:tcPr>
            <w:tcW w:w="2448" w:type="dxa"/>
            <w:tcBorders>
              <w:top w:val="single" w:sz="4" w:space="0" w:color="000000"/>
              <w:left w:val="single" w:sz="4" w:space="0" w:color="000000"/>
              <w:bottom w:val="single" w:sz="4" w:space="0" w:color="000000"/>
              <w:right w:val="single" w:sz="4" w:space="0" w:color="000000"/>
            </w:tcBorders>
            <w:vAlign w:val="bottom"/>
          </w:tcPr>
          <w:p w14:paraId="2432BF56"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Frequency </w:t>
            </w:r>
          </w:p>
        </w:tc>
        <w:tc>
          <w:tcPr>
            <w:tcW w:w="2448" w:type="dxa"/>
            <w:tcBorders>
              <w:top w:val="single" w:sz="4" w:space="0" w:color="000000"/>
              <w:left w:val="single" w:sz="4" w:space="0" w:color="000000"/>
              <w:bottom w:val="single" w:sz="4" w:space="0" w:color="000000"/>
              <w:right w:val="single" w:sz="4" w:space="0" w:color="000000"/>
            </w:tcBorders>
            <w:vAlign w:val="bottom"/>
          </w:tcPr>
          <w:p w14:paraId="49E30A20"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Percentage </w:t>
            </w:r>
          </w:p>
        </w:tc>
      </w:tr>
      <w:tr w:rsidR="002D720D" w14:paraId="03BF2DF0" w14:textId="77777777">
        <w:trPr>
          <w:trHeight w:val="1008"/>
        </w:trPr>
        <w:tc>
          <w:tcPr>
            <w:tcW w:w="2448" w:type="dxa"/>
            <w:tcBorders>
              <w:top w:val="single" w:sz="4" w:space="0" w:color="000000"/>
              <w:left w:val="single" w:sz="4" w:space="0" w:color="000000"/>
              <w:bottom w:val="single" w:sz="4" w:space="0" w:color="000000"/>
              <w:right w:val="single" w:sz="4" w:space="0" w:color="000000"/>
            </w:tcBorders>
            <w:vAlign w:val="bottom"/>
          </w:tcPr>
          <w:p w14:paraId="29EC0C66"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18-20 years</w:t>
            </w:r>
          </w:p>
          <w:p w14:paraId="5FA47899"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21-30 years</w:t>
            </w:r>
          </w:p>
          <w:p w14:paraId="43B373BA"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31-40 years</w:t>
            </w:r>
          </w:p>
          <w:p w14:paraId="566B80DC" w14:textId="77777777" w:rsidR="002D720D" w:rsidRDefault="00000000">
            <w:pPr>
              <w:rPr>
                <w:rFonts w:ascii="Times New Roman" w:hAnsi="Times New Roman"/>
                <w:sz w:val="24"/>
                <w:szCs w:val="24"/>
              </w:rPr>
            </w:pPr>
            <w:r>
              <w:rPr>
                <w:rFonts w:ascii="Times New Roman" w:hAnsi="Times New Roman"/>
                <w:sz w:val="24"/>
                <w:szCs w:val="24"/>
                <w:lang w:val="en-US"/>
              </w:rPr>
              <w:t>41 years and above</w:t>
            </w:r>
          </w:p>
        </w:tc>
        <w:tc>
          <w:tcPr>
            <w:tcW w:w="2448" w:type="dxa"/>
            <w:tcBorders>
              <w:top w:val="single" w:sz="4" w:space="0" w:color="000000"/>
              <w:left w:val="single" w:sz="4" w:space="0" w:color="000000"/>
              <w:bottom w:val="single" w:sz="4" w:space="0" w:color="000000"/>
              <w:right w:val="single" w:sz="4" w:space="0" w:color="000000"/>
            </w:tcBorders>
            <w:vAlign w:val="bottom"/>
          </w:tcPr>
          <w:p w14:paraId="753B4D0A"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35</w:t>
            </w:r>
          </w:p>
          <w:p w14:paraId="7F075FA8"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87</w:t>
            </w:r>
          </w:p>
          <w:p w14:paraId="58EDA6F1"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57</w:t>
            </w:r>
          </w:p>
          <w:p w14:paraId="302A4F95" w14:textId="77777777" w:rsidR="002D720D" w:rsidRDefault="00000000">
            <w:pPr>
              <w:rPr>
                <w:rFonts w:ascii="Times New Roman" w:hAnsi="Times New Roman"/>
                <w:sz w:val="24"/>
                <w:szCs w:val="24"/>
                <w:lang w:val="en-US"/>
              </w:rPr>
            </w:pPr>
            <w:r>
              <w:rPr>
                <w:rFonts w:ascii="Times New Roman" w:hAnsi="Times New Roman"/>
                <w:sz w:val="24"/>
                <w:szCs w:val="24"/>
                <w:lang w:val="en-US"/>
              </w:rPr>
              <w:t>52</w:t>
            </w:r>
          </w:p>
        </w:tc>
        <w:tc>
          <w:tcPr>
            <w:tcW w:w="2448" w:type="dxa"/>
            <w:tcBorders>
              <w:top w:val="single" w:sz="4" w:space="0" w:color="000000"/>
              <w:left w:val="single" w:sz="4" w:space="0" w:color="000000"/>
              <w:bottom w:val="single" w:sz="4" w:space="0" w:color="000000"/>
              <w:right w:val="single" w:sz="4" w:space="0" w:color="000000"/>
            </w:tcBorders>
            <w:vAlign w:val="bottom"/>
          </w:tcPr>
          <w:p w14:paraId="623BCD69"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15.1</w:t>
            </w:r>
          </w:p>
          <w:p w14:paraId="2B441D85"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37.7</w:t>
            </w:r>
          </w:p>
          <w:p w14:paraId="6F2D5220"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24.7</w:t>
            </w:r>
          </w:p>
          <w:p w14:paraId="38B49B86" w14:textId="77777777" w:rsidR="002D720D" w:rsidRDefault="00000000">
            <w:pPr>
              <w:rPr>
                <w:rFonts w:ascii="Times New Roman" w:hAnsi="Times New Roman"/>
                <w:sz w:val="24"/>
                <w:szCs w:val="24"/>
                <w:lang w:val="en-US"/>
              </w:rPr>
            </w:pPr>
            <w:r>
              <w:rPr>
                <w:rFonts w:ascii="Times New Roman" w:hAnsi="Times New Roman"/>
                <w:sz w:val="24"/>
                <w:szCs w:val="24"/>
                <w:lang w:val="en-US"/>
              </w:rPr>
              <w:t>22.5</w:t>
            </w:r>
          </w:p>
        </w:tc>
      </w:tr>
      <w:tr w:rsidR="002D720D" w14:paraId="29A70E88" w14:textId="77777777">
        <w:trPr>
          <w:trHeight w:val="315"/>
        </w:trPr>
        <w:tc>
          <w:tcPr>
            <w:tcW w:w="2448" w:type="dxa"/>
            <w:tcBorders>
              <w:top w:val="single" w:sz="4" w:space="0" w:color="000000"/>
              <w:left w:val="single" w:sz="4" w:space="0" w:color="000000"/>
              <w:bottom w:val="single" w:sz="4" w:space="0" w:color="000000"/>
              <w:right w:val="single" w:sz="4" w:space="0" w:color="000000"/>
            </w:tcBorders>
            <w:vAlign w:val="bottom"/>
          </w:tcPr>
          <w:p w14:paraId="585203E3" w14:textId="77777777" w:rsidR="002D720D" w:rsidRDefault="00000000">
            <w:pPr>
              <w:rPr>
                <w:rFonts w:ascii="Times New Roman" w:hAnsi="Times New Roman"/>
                <w:sz w:val="24"/>
                <w:szCs w:val="24"/>
                <w:lang w:val="en-US"/>
              </w:rPr>
            </w:pPr>
            <w:r>
              <w:rPr>
                <w:rFonts w:ascii="Times New Roman" w:hAnsi="Times New Roman"/>
                <w:sz w:val="24"/>
                <w:szCs w:val="24"/>
                <w:lang w:val="en-US"/>
              </w:rPr>
              <w:t xml:space="preserve">Total </w:t>
            </w:r>
          </w:p>
        </w:tc>
        <w:tc>
          <w:tcPr>
            <w:tcW w:w="2448" w:type="dxa"/>
            <w:tcBorders>
              <w:top w:val="single" w:sz="4" w:space="0" w:color="000000"/>
              <w:left w:val="single" w:sz="4" w:space="0" w:color="000000"/>
              <w:bottom w:val="single" w:sz="4" w:space="0" w:color="000000"/>
              <w:right w:val="single" w:sz="4" w:space="0" w:color="000000"/>
            </w:tcBorders>
            <w:vAlign w:val="bottom"/>
          </w:tcPr>
          <w:p w14:paraId="5D6C020A" w14:textId="77777777" w:rsidR="002D720D" w:rsidRDefault="00000000">
            <w:pPr>
              <w:rPr>
                <w:rFonts w:ascii="Times New Roman" w:hAnsi="Times New Roman"/>
                <w:sz w:val="24"/>
                <w:szCs w:val="24"/>
                <w:lang w:val="en-US"/>
              </w:rPr>
            </w:pPr>
            <w:r>
              <w:rPr>
                <w:rFonts w:ascii="Times New Roman" w:hAnsi="Times New Roman"/>
                <w:sz w:val="24"/>
                <w:szCs w:val="24"/>
                <w:lang w:val="en-US"/>
              </w:rPr>
              <w:t>231</w:t>
            </w:r>
          </w:p>
        </w:tc>
        <w:tc>
          <w:tcPr>
            <w:tcW w:w="2448" w:type="dxa"/>
            <w:tcBorders>
              <w:top w:val="single" w:sz="4" w:space="0" w:color="000000"/>
              <w:left w:val="single" w:sz="4" w:space="0" w:color="000000"/>
              <w:bottom w:val="single" w:sz="4" w:space="0" w:color="000000"/>
              <w:right w:val="single" w:sz="4" w:space="0" w:color="000000"/>
            </w:tcBorders>
            <w:vAlign w:val="bottom"/>
          </w:tcPr>
          <w:p w14:paraId="13972D07" w14:textId="77777777" w:rsidR="002D720D" w:rsidRDefault="00000000">
            <w:pPr>
              <w:rPr>
                <w:rFonts w:ascii="Times New Roman" w:hAnsi="Times New Roman"/>
                <w:sz w:val="24"/>
                <w:szCs w:val="24"/>
                <w:lang w:val="en-US"/>
              </w:rPr>
            </w:pPr>
            <w:r>
              <w:rPr>
                <w:rFonts w:ascii="Times New Roman" w:hAnsi="Times New Roman"/>
                <w:sz w:val="24"/>
                <w:szCs w:val="24"/>
                <w:lang w:val="en-US"/>
              </w:rPr>
              <w:t>100</w:t>
            </w:r>
          </w:p>
        </w:tc>
      </w:tr>
    </w:tbl>
    <w:p w14:paraId="08E53899" w14:textId="77777777" w:rsidR="002D720D" w:rsidRDefault="002D720D">
      <w:pPr>
        <w:spacing w:after="0"/>
        <w:rPr>
          <w:rFonts w:ascii="Times New Roman" w:hAnsi="Times New Roman"/>
          <w:sz w:val="24"/>
          <w:szCs w:val="24"/>
        </w:rPr>
      </w:pPr>
    </w:p>
    <w:p w14:paraId="5CB8FA1B" w14:textId="77777777" w:rsidR="002D720D" w:rsidRDefault="002D720D">
      <w:pPr>
        <w:spacing w:after="0"/>
        <w:jc w:val="both"/>
        <w:rPr>
          <w:rFonts w:ascii="Times New Roman" w:hAnsi="Times New Roman"/>
          <w:b/>
          <w:bCs/>
          <w:sz w:val="24"/>
          <w:szCs w:val="24"/>
        </w:rPr>
      </w:pPr>
    </w:p>
    <w:p w14:paraId="3F5FC450" w14:textId="77777777" w:rsidR="002D720D" w:rsidRDefault="002D720D">
      <w:pPr>
        <w:spacing w:after="0"/>
        <w:jc w:val="both"/>
        <w:rPr>
          <w:rFonts w:ascii="Times New Roman" w:hAnsi="Times New Roman"/>
          <w:b/>
          <w:bCs/>
          <w:sz w:val="24"/>
          <w:szCs w:val="24"/>
        </w:rPr>
      </w:pPr>
    </w:p>
    <w:p w14:paraId="57FAF71F" w14:textId="77777777" w:rsidR="002D720D" w:rsidRDefault="002D720D">
      <w:pPr>
        <w:spacing w:after="0"/>
        <w:jc w:val="both"/>
        <w:rPr>
          <w:rFonts w:ascii="Times New Roman" w:hAnsi="Times New Roman"/>
          <w:b/>
          <w:bCs/>
          <w:sz w:val="24"/>
          <w:szCs w:val="24"/>
        </w:rPr>
      </w:pPr>
    </w:p>
    <w:p w14:paraId="51E733BB" w14:textId="77777777" w:rsidR="002D720D" w:rsidRDefault="002D720D">
      <w:pPr>
        <w:spacing w:after="0"/>
        <w:jc w:val="both"/>
        <w:rPr>
          <w:rFonts w:ascii="Times New Roman" w:hAnsi="Times New Roman"/>
          <w:b/>
          <w:bCs/>
          <w:sz w:val="24"/>
          <w:szCs w:val="24"/>
        </w:rPr>
      </w:pPr>
    </w:p>
    <w:p w14:paraId="2DB8741C" w14:textId="77777777" w:rsidR="002D720D" w:rsidRDefault="002D720D">
      <w:pPr>
        <w:spacing w:after="0"/>
        <w:jc w:val="both"/>
        <w:rPr>
          <w:rFonts w:ascii="Times New Roman" w:hAnsi="Times New Roman"/>
          <w:b/>
          <w:bCs/>
          <w:sz w:val="24"/>
          <w:szCs w:val="24"/>
        </w:rPr>
      </w:pPr>
    </w:p>
    <w:p w14:paraId="184B3496" w14:textId="77777777" w:rsidR="002D720D" w:rsidRDefault="002D720D">
      <w:pPr>
        <w:spacing w:after="0"/>
        <w:jc w:val="both"/>
        <w:rPr>
          <w:rFonts w:ascii="Times New Roman" w:hAnsi="Times New Roman"/>
          <w:b/>
          <w:bCs/>
          <w:sz w:val="24"/>
          <w:szCs w:val="24"/>
        </w:rPr>
      </w:pPr>
    </w:p>
    <w:p w14:paraId="182D0CE0" w14:textId="77777777" w:rsidR="002D720D" w:rsidRDefault="00000000">
      <w:pPr>
        <w:spacing w:after="0"/>
        <w:jc w:val="both"/>
        <w:rPr>
          <w:rFonts w:ascii="Times New Roman" w:hAnsi="Times New Roman"/>
          <w:b/>
          <w:bCs/>
          <w:sz w:val="24"/>
          <w:szCs w:val="24"/>
        </w:rPr>
      </w:pPr>
      <w:r>
        <w:rPr>
          <w:rFonts w:ascii="Times New Roman" w:hAnsi="Times New Roman"/>
          <w:b/>
          <w:bCs/>
          <w:sz w:val="24"/>
          <w:szCs w:val="24"/>
        </w:rPr>
        <w:t xml:space="preserve">Figure 2: Frequency distribution of respondents by age </w:t>
      </w:r>
    </w:p>
    <w:p w14:paraId="1353B190" w14:textId="77777777" w:rsidR="002D720D" w:rsidRDefault="002D720D">
      <w:pPr>
        <w:spacing w:after="0"/>
        <w:jc w:val="both"/>
        <w:rPr>
          <w:rFonts w:ascii="Times New Roman" w:hAnsi="Times New Roman"/>
          <w:b/>
          <w:bCs/>
          <w:sz w:val="16"/>
          <w:szCs w:val="24"/>
        </w:rPr>
      </w:pPr>
    </w:p>
    <w:p w14:paraId="0CCFA008" w14:textId="77777777" w:rsidR="002D720D" w:rsidRDefault="00000000">
      <w:pPr>
        <w:spacing w:after="0"/>
        <w:rPr>
          <w:rFonts w:ascii="Times New Roman" w:hAnsi="Times New Roman"/>
          <w:sz w:val="24"/>
          <w:szCs w:val="24"/>
        </w:rPr>
      </w:pPr>
      <w:r>
        <w:rPr>
          <w:rFonts w:ascii="Times New Roman" w:hAnsi="Times New Roman"/>
          <w:sz w:val="24"/>
          <w:szCs w:val="24"/>
          <w:lang w:val="en-US" w:eastAsia="en-US"/>
        </w:rPr>
        <w:pict w14:anchorId="78E7338F">
          <v:shape id="_x0000_tole_rId4" o:spid="_x0000_s2053" type="#_x0000_t75" style="position:absolute;margin-left:0;margin-top:0;width:50pt;height:50pt;z-index:2;visibility:hidden">
            <o:lock v:ext="edit" selection="t"/>
          </v:shape>
        </w:pict>
      </w:r>
      <w:r>
        <w:rPr>
          <w:rFonts w:ascii="Times New Roman" w:hAnsi="Times New Roman"/>
          <w:sz w:val="24"/>
          <w:szCs w:val="24"/>
          <w:lang w:val="en-US" w:eastAsia="en-US"/>
        </w:rPr>
        <w:object w:dxaOrig="7681" w:dyaOrig="3584" w14:anchorId="58B1F1B4">
          <v:shape id="ole_rId4" o:spid="_x0000_i1026" type="#_x0000_t75" style="width:369.1pt;height:184.2pt;visibility:visible" o:ole="">
            <v:imagedata r:id="rId9" o:title=""/>
          </v:shape>
          <o:OLEObject Type="Embed" ProgID="Excel.Sheet.12" ShapeID="ole_rId4" DrawAspect="Content" ObjectID="_1852878734" r:id="rId10"/>
        </w:object>
      </w:r>
    </w:p>
    <w:p w14:paraId="143B07A9" w14:textId="77777777" w:rsidR="002D720D" w:rsidRDefault="002D720D">
      <w:pPr>
        <w:spacing w:after="0"/>
        <w:rPr>
          <w:rFonts w:ascii="Times New Roman" w:hAnsi="Times New Roman"/>
          <w:sz w:val="16"/>
          <w:szCs w:val="24"/>
        </w:rPr>
      </w:pPr>
    </w:p>
    <w:p w14:paraId="37A18D13" w14:textId="77777777" w:rsidR="002D720D" w:rsidRDefault="00000000">
      <w:pPr>
        <w:spacing w:after="0" w:line="480" w:lineRule="auto"/>
        <w:jc w:val="both"/>
        <w:rPr>
          <w:rFonts w:ascii="Times New Roman" w:hAnsi="Times New Roman"/>
          <w:sz w:val="24"/>
          <w:szCs w:val="24"/>
        </w:rPr>
      </w:pPr>
      <w:r>
        <w:rPr>
          <w:rFonts w:ascii="Times New Roman" w:hAnsi="Times New Roman"/>
          <w:sz w:val="24"/>
          <w:szCs w:val="24"/>
        </w:rPr>
        <w:t>Table</w:t>
      </w:r>
      <w:r>
        <w:rPr>
          <w:rFonts w:ascii="Times New Roman" w:hAnsi="Times New Roman"/>
          <w:sz w:val="24"/>
          <w:szCs w:val="24"/>
          <w:highlight w:val="yellow"/>
        </w:rPr>
        <w:t xml:space="preserve"> 2</w:t>
      </w:r>
      <w:r>
        <w:rPr>
          <w:rFonts w:ascii="Times New Roman" w:hAnsi="Times New Roman"/>
          <w:sz w:val="24"/>
          <w:szCs w:val="24"/>
        </w:rPr>
        <w:t xml:space="preserve"> and </w:t>
      </w:r>
      <w:r>
        <w:rPr>
          <w:rFonts w:ascii="Times New Roman" w:hAnsi="Times New Roman"/>
          <w:sz w:val="24"/>
          <w:szCs w:val="24"/>
          <w:highlight w:val="yellow"/>
        </w:rPr>
        <w:t>Figure 2</w:t>
      </w:r>
      <w:r>
        <w:rPr>
          <w:rFonts w:ascii="Times New Roman" w:hAnsi="Times New Roman"/>
          <w:sz w:val="24"/>
          <w:szCs w:val="24"/>
        </w:rPr>
        <w:t xml:space="preserve"> above </w:t>
      </w:r>
      <w:r>
        <w:rPr>
          <w:rFonts w:ascii="Times New Roman" w:hAnsi="Times New Roman"/>
          <w:sz w:val="24"/>
          <w:szCs w:val="24"/>
          <w:highlight w:val="yellow"/>
        </w:rPr>
        <w:t>show</w:t>
      </w:r>
      <w:r>
        <w:rPr>
          <w:rFonts w:ascii="Times New Roman" w:hAnsi="Times New Roman"/>
          <w:sz w:val="24"/>
          <w:szCs w:val="24"/>
        </w:rPr>
        <w:t xml:space="preserve"> that </w:t>
      </w:r>
      <w:r>
        <w:rPr>
          <w:rFonts w:ascii="Times New Roman" w:hAnsi="Times New Roman"/>
          <w:sz w:val="24"/>
          <w:szCs w:val="24"/>
          <w:highlight w:val="yellow"/>
        </w:rPr>
        <w:t>35 (15.2%)</w:t>
      </w:r>
      <w:r>
        <w:rPr>
          <w:rFonts w:ascii="Times New Roman" w:hAnsi="Times New Roman"/>
          <w:sz w:val="24"/>
          <w:szCs w:val="24"/>
        </w:rPr>
        <w:t xml:space="preserve"> respondents are </w:t>
      </w:r>
      <w:r>
        <w:rPr>
          <w:rFonts w:ascii="Times New Roman" w:hAnsi="Times New Roman"/>
          <w:sz w:val="24"/>
          <w:szCs w:val="24"/>
          <w:highlight w:val="yellow"/>
        </w:rPr>
        <w:t>aged</w:t>
      </w:r>
      <w:r>
        <w:rPr>
          <w:rFonts w:ascii="Times New Roman" w:hAnsi="Times New Roman"/>
          <w:sz w:val="24"/>
          <w:szCs w:val="24"/>
        </w:rPr>
        <w:t xml:space="preserve"> </w:t>
      </w:r>
      <w:r>
        <w:rPr>
          <w:rFonts w:ascii="Times New Roman" w:hAnsi="Times New Roman"/>
          <w:sz w:val="24"/>
          <w:szCs w:val="24"/>
          <w:highlight w:val="yellow"/>
        </w:rPr>
        <w:t>18–20</w:t>
      </w:r>
      <w:r>
        <w:rPr>
          <w:rFonts w:ascii="Times New Roman" w:hAnsi="Times New Roman"/>
          <w:sz w:val="24"/>
          <w:szCs w:val="24"/>
        </w:rPr>
        <w:t xml:space="preserve"> years, </w:t>
      </w:r>
      <w:r>
        <w:rPr>
          <w:rFonts w:ascii="Times New Roman" w:hAnsi="Times New Roman"/>
          <w:sz w:val="24"/>
          <w:szCs w:val="24"/>
          <w:highlight w:val="yellow"/>
        </w:rPr>
        <w:t>87 (37.7%)</w:t>
      </w:r>
      <w:r>
        <w:rPr>
          <w:rFonts w:ascii="Times New Roman" w:hAnsi="Times New Roman"/>
          <w:sz w:val="24"/>
          <w:szCs w:val="24"/>
        </w:rPr>
        <w:t xml:space="preserve"> are </w:t>
      </w:r>
      <w:r>
        <w:rPr>
          <w:rFonts w:ascii="Times New Roman" w:hAnsi="Times New Roman"/>
          <w:sz w:val="24"/>
          <w:szCs w:val="24"/>
          <w:highlight w:val="yellow"/>
        </w:rPr>
        <w:t>aged</w:t>
      </w:r>
      <w:r>
        <w:rPr>
          <w:rFonts w:ascii="Times New Roman" w:hAnsi="Times New Roman"/>
          <w:sz w:val="24"/>
          <w:szCs w:val="24"/>
        </w:rPr>
        <w:t xml:space="preserve"> </w:t>
      </w:r>
      <w:r>
        <w:rPr>
          <w:rFonts w:ascii="Times New Roman" w:hAnsi="Times New Roman"/>
          <w:sz w:val="24"/>
          <w:szCs w:val="24"/>
          <w:highlight w:val="yellow"/>
        </w:rPr>
        <w:t>21–30</w:t>
      </w:r>
      <w:r>
        <w:rPr>
          <w:rFonts w:ascii="Times New Roman" w:hAnsi="Times New Roman"/>
          <w:sz w:val="24"/>
          <w:szCs w:val="24"/>
        </w:rPr>
        <w:t xml:space="preserve"> years, </w:t>
      </w:r>
      <w:r>
        <w:rPr>
          <w:rFonts w:ascii="Times New Roman" w:hAnsi="Times New Roman"/>
          <w:sz w:val="24"/>
          <w:szCs w:val="24"/>
          <w:highlight w:val="yellow"/>
        </w:rPr>
        <w:t>57 (24.7%)</w:t>
      </w:r>
      <w:r>
        <w:rPr>
          <w:rFonts w:ascii="Times New Roman" w:hAnsi="Times New Roman"/>
          <w:sz w:val="24"/>
          <w:szCs w:val="24"/>
        </w:rPr>
        <w:t xml:space="preserve"> are </w:t>
      </w:r>
      <w:r>
        <w:rPr>
          <w:rFonts w:ascii="Times New Roman" w:hAnsi="Times New Roman"/>
          <w:sz w:val="24"/>
          <w:szCs w:val="24"/>
          <w:highlight w:val="yellow"/>
        </w:rPr>
        <w:t>aged</w:t>
      </w:r>
      <w:r>
        <w:rPr>
          <w:rFonts w:ascii="Times New Roman" w:hAnsi="Times New Roman"/>
          <w:sz w:val="24"/>
          <w:szCs w:val="24"/>
        </w:rPr>
        <w:t xml:space="preserve"> </w:t>
      </w:r>
      <w:r>
        <w:rPr>
          <w:rFonts w:ascii="Times New Roman" w:hAnsi="Times New Roman"/>
          <w:sz w:val="24"/>
          <w:szCs w:val="24"/>
          <w:highlight w:val="yellow"/>
        </w:rPr>
        <w:t>31–40</w:t>
      </w:r>
      <w:r>
        <w:rPr>
          <w:rFonts w:ascii="Times New Roman" w:hAnsi="Times New Roman"/>
          <w:sz w:val="24"/>
          <w:szCs w:val="24"/>
        </w:rPr>
        <w:t xml:space="preserve"> years, and </w:t>
      </w:r>
      <w:r>
        <w:rPr>
          <w:rFonts w:ascii="Times New Roman" w:hAnsi="Times New Roman"/>
          <w:sz w:val="24"/>
          <w:szCs w:val="24"/>
          <w:highlight w:val="yellow"/>
        </w:rPr>
        <w:t>52 (22.5%)</w:t>
      </w:r>
      <w:r>
        <w:rPr>
          <w:rFonts w:ascii="Times New Roman" w:hAnsi="Times New Roman"/>
          <w:sz w:val="24"/>
          <w:szCs w:val="24"/>
        </w:rPr>
        <w:t xml:space="preserve"> are</w:t>
      </w:r>
      <w:r>
        <w:rPr>
          <w:rFonts w:ascii="Times New Roman" w:hAnsi="Times New Roman"/>
          <w:sz w:val="24"/>
          <w:szCs w:val="24"/>
          <w:highlight w:val="yellow"/>
        </w:rPr>
        <w:t xml:space="preserve"> aged</w:t>
      </w:r>
      <w:r>
        <w:rPr>
          <w:rFonts w:ascii="Times New Roman" w:hAnsi="Times New Roman"/>
          <w:sz w:val="24"/>
          <w:szCs w:val="24"/>
        </w:rPr>
        <w:t xml:space="preserve"> 41 years and above.</w:t>
      </w:r>
    </w:p>
    <w:p w14:paraId="4BADF1F6" w14:textId="77777777" w:rsidR="002D720D" w:rsidRDefault="002D720D">
      <w:pPr>
        <w:spacing w:after="0"/>
        <w:rPr>
          <w:rFonts w:ascii="Times New Roman" w:hAnsi="Times New Roman"/>
          <w:sz w:val="4"/>
          <w:szCs w:val="24"/>
        </w:rPr>
      </w:pPr>
    </w:p>
    <w:p w14:paraId="6B283EF5" w14:textId="77777777" w:rsidR="002D720D" w:rsidRDefault="00000000">
      <w:pPr>
        <w:spacing w:after="0" w:line="240" w:lineRule="auto"/>
      </w:pPr>
      <w:r>
        <w:rPr>
          <w:rFonts w:ascii="Times New Roman" w:hAnsi="Times New Roman"/>
          <w:b/>
          <w:sz w:val="24"/>
          <w:szCs w:val="24"/>
        </w:rPr>
        <w:t>Table 3:</w:t>
      </w:r>
      <w:r>
        <w:rPr>
          <w:rFonts w:ascii="Times New Roman" w:hAnsi="Times New Roman"/>
          <w:b/>
          <w:sz w:val="24"/>
          <w:szCs w:val="24"/>
        </w:rPr>
        <w:tab/>
        <w:t>Frequency distribution of respondents by religion</w:t>
      </w:r>
    </w:p>
    <w:p w14:paraId="02043FFC" w14:textId="77777777" w:rsidR="002D720D" w:rsidRDefault="002D720D">
      <w:pPr>
        <w:spacing w:after="0" w:line="240" w:lineRule="auto"/>
        <w:rPr>
          <w:rFonts w:ascii="Times New Roman" w:hAnsi="Times New Roman"/>
          <w:b/>
          <w:sz w:val="16"/>
          <w:szCs w:val="24"/>
        </w:rPr>
      </w:pPr>
    </w:p>
    <w:tbl>
      <w:tblPr>
        <w:tblW w:w="7758" w:type="dxa"/>
        <w:tblLayout w:type="fixed"/>
        <w:tblLook w:val="0000" w:firstRow="0" w:lastRow="0" w:firstColumn="0" w:lastColumn="0" w:noHBand="0" w:noVBand="0"/>
      </w:tblPr>
      <w:tblGrid>
        <w:gridCol w:w="3082"/>
        <w:gridCol w:w="3079"/>
        <w:gridCol w:w="1597"/>
      </w:tblGrid>
      <w:tr w:rsidR="002D720D" w14:paraId="2C3F12CA" w14:textId="77777777">
        <w:tc>
          <w:tcPr>
            <w:tcW w:w="3082" w:type="dxa"/>
            <w:tcBorders>
              <w:top w:val="single" w:sz="4" w:space="0" w:color="000000"/>
              <w:left w:val="single" w:sz="4" w:space="0" w:color="000000"/>
              <w:bottom w:val="single" w:sz="4" w:space="0" w:color="000000"/>
              <w:right w:val="single" w:sz="4" w:space="0" w:color="000000"/>
            </w:tcBorders>
          </w:tcPr>
          <w:p w14:paraId="78174723"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Religion </w:t>
            </w:r>
          </w:p>
        </w:tc>
        <w:tc>
          <w:tcPr>
            <w:tcW w:w="3079" w:type="dxa"/>
            <w:tcBorders>
              <w:top w:val="single" w:sz="4" w:space="0" w:color="000000"/>
              <w:left w:val="single" w:sz="4" w:space="0" w:color="000000"/>
              <w:bottom w:val="single" w:sz="4" w:space="0" w:color="000000"/>
              <w:right w:val="single" w:sz="4" w:space="0" w:color="000000"/>
            </w:tcBorders>
          </w:tcPr>
          <w:p w14:paraId="30110A72"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Frequency </w:t>
            </w:r>
          </w:p>
        </w:tc>
        <w:tc>
          <w:tcPr>
            <w:tcW w:w="1597" w:type="dxa"/>
            <w:tcBorders>
              <w:top w:val="single" w:sz="4" w:space="0" w:color="000000"/>
              <w:left w:val="single" w:sz="4" w:space="0" w:color="000000"/>
              <w:bottom w:val="single" w:sz="4" w:space="0" w:color="000000"/>
              <w:right w:val="single" w:sz="4" w:space="0" w:color="000000"/>
            </w:tcBorders>
          </w:tcPr>
          <w:p w14:paraId="18CA8438" w14:textId="77777777" w:rsidR="002D720D" w:rsidRDefault="00000000">
            <w:pPr>
              <w:spacing w:after="0" w:line="240" w:lineRule="auto"/>
              <w:rPr>
                <w:rFonts w:ascii="Times New Roman" w:hAnsi="Times New Roman"/>
                <w:b/>
                <w:sz w:val="24"/>
                <w:szCs w:val="24"/>
                <w:lang w:val="en-US"/>
              </w:rPr>
            </w:pPr>
            <w:r>
              <w:rPr>
                <w:rFonts w:ascii="Times New Roman" w:hAnsi="Times New Roman"/>
                <w:b/>
                <w:sz w:val="24"/>
                <w:szCs w:val="24"/>
                <w:lang w:val="en-US"/>
              </w:rPr>
              <w:t xml:space="preserve">Percentage </w:t>
            </w:r>
          </w:p>
        </w:tc>
      </w:tr>
      <w:tr w:rsidR="002D720D" w14:paraId="6296C69A" w14:textId="77777777">
        <w:trPr>
          <w:trHeight w:val="1080"/>
        </w:trPr>
        <w:tc>
          <w:tcPr>
            <w:tcW w:w="3082" w:type="dxa"/>
            <w:tcBorders>
              <w:top w:val="single" w:sz="4" w:space="0" w:color="000000"/>
              <w:left w:val="single" w:sz="4" w:space="0" w:color="000000"/>
              <w:bottom w:val="single" w:sz="4" w:space="0" w:color="000000"/>
              <w:right w:val="single" w:sz="4" w:space="0" w:color="000000"/>
            </w:tcBorders>
          </w:tcPr>
          <w:p w14:paraId="0AC09CF0"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Christianity</w:t>
            </w:r>
          </w:p>
          <w:p w14:paraId="1A515697"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Islam</w:t>
            </w:r>
          </w:p>
          <w:p w14:paraId="3D73A98F"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Traditional</w:t>
            </w:r>
          </w:p>
          <w:p w14:paraId="193CB076" w14:textId="77777777" w:rsidR="002D720D" w:rsidRDefault="00000000">
            <w:pPr>
              <w:rPr>
                <w:rFonts w:ascii="Times New Roman" w:hAnsi="Times New Roman"/>
                <w:sz w:val="24"/>
                <w:szCs w:val="24"/>
                <w:lang w:val="en-US"/>
              </w:rPr>
            </w:pPr>
            <w:r>
              <w:rPr>
                <w:rFonts w:ascii="Times New Roman" w:hAnsi="Times New Roman"/>
                <w:sz w:val="24"/>
                <w:szCs w:val="24"/>
                <w:lang w:val="en-US"/>
              </w:rPr>
              <w:t>Others</w:t>
            </w:r>
          </w:p>
        </w:tc>
        <w:tc>
          <w:tcPr>
            <w:tcW w:w="3079" w:type="dxa"/>
            <w:tcBorders>
              <w:top w:val="single" w:sz="4" w:space="0" w:color="000000"/>
              <w:left w:val="single" w:sz="4" w:space="0" w:color="000000"/>
              <w:bottom w:val="single" w:sz="4" w:space="0" w:color="000000"/>
              <w:right w:val="single" w:sz="4" w:space="0" w:color="000000"/>
            </w:tcBorders>
          </w:tcPr>
          <w:p w14:paraId="484A6CB8"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138</w:t>
            </w:r>
          </w:p>
          <w:p w14:paraId="6A399E1E"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74</w:t>
            </w:r>
          </w:p>
          <w:p w14:paraId="3F73C57B"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18</w:t>
            </w:r>
          </w:p>
          <w:p w14:paraId="576BDEB1" w14:textId="77777777" w:rsidR="002D720D" w:rsidRDefault="00000000">
            <w:pPr>
              <w:rPr>
                <w:rFonts w:ascii="Times New Roman" w:hAnsi="Times New Roman"/>
                <w:sz w:val="24"/>
                <w:szCs w:val="24"/>
                <w:lang w:val="en-US"/>
              </w:rPr>
            </w:pPr>
            <w:r>
              <w:rPr>
                <w:rFonts w:ascii="Times New Roman" w:hAnsi="Times New Roman"/>
                <w:sz w:val="24"/>
                <w:szCs w:val="24"/>
                <w:lang w:val="en-US"/>
              </w:rPr>
              <w:t>1</w:t>
            </w:r>
          </w:p>
        </w:tc>
        <w:tc>
          <w:tcPr>
            <w:tcW w:w="1597" w:type="dxa"/>
            <w:tcBorders>
              <w:top w:val="single" w:sz="4" w:space="0" w:color="000000"/>
              <w:left w:val="single" w:sz="4" w:space="0" w:color="000000"/>
              <w:bottom w:val="single" w:sz="4" w:space="0" w:color="000000"/>
              <w:right w:val="single" w:sz="4" w:space="0" w:color="000000"/>
            </w:tcBorders>
          </w:tcPr>
          <w:p w14:paraId="604B126D"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59.7</w:t>
            </w:r>
          </w:p>
          <w:p w14:paraId="3B0ECF8B"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32.0</w:t>
            </w:r>
          </w:p>
          <w:p w14:paraId="423CC935" w14:textId="77777777" w:rsidR="002D720D" w:rsidRDefault="00000000">
            <w:pPr>
              <w:spacing w:after="0" w:line="240" w:lineRule="auto"/>
              <w:rPr>
                <w:rFonts w:ascii="Times New Roman" w:hAnsi="Times New Roman"/>
                <w:sz w:val="24"/>
                <w:szCs w:val="24"/>
                <w:lang w:val="en-US"/>
              </w:rPr>
            </w:pPr>
            <w:r>
              <w:rPr>
                <w:rFonts w:ascii="Times New Roman" w:hAnsi="Times New Roman"/>
                <w:sz w:val="24"/>
                <w:szCs w:val="24"/>
                <w:lang w:val="en-US"/>
              </w:rPr>
              <w:t>7.8</w:t>
            </w:r>
          </w:p>
          <w:p w14:paraId="30FFDB8F" w14:textId="77777777" w:rsidR="002D720D" w:rsidRDefault="00000000">
            <w:pPr>
              <w:rPr>
                <w:rFonts w:ascii="Times New Roman" w:hAnsi="Times New Roman"/>
                <w:sz w:val="24"/>
                <w:szCs w:val="24"/>
                <w:lang w:val="en-US"/>
              </w:rPr>
            </w:pPr>
            <w:r>
              <w:rPr>
                <w:rFonts w:ascii="Times New Roman" w:hAnsi="Times New Roman"/>
                <w:sz w:val="24"/>
                <w:szCs w:val="24"/>
                <w:lang w:val="en-US"/>
              </w:rPr>
              <w:t>0.4</w:t>
            </w:r>
          </w:p>
        </w:tc>
      </w:tr>
      <w:tr w:rsidR="002D720D" w14:paraId="646F37E8" w14:textId="77777777">
        <w:trPr>
          <w:trHeight w:val="300"/>
        </w:trPr>
        <w:tc>
          <w:tcPr>
            <w:tcW w:w="3082" w:type="dxa"/>
            <w:tcBorders>
              <w:top w:val="single" w:sz="4" w:space="0" w:color="000000"/>
              <w:left w:val="single" w:sz="4" w:space="0" w:color="000000"/>
              <w:bottom w:val="single" w:sz="4" w:space="0" w:color="000000"/>
              <w:right w:val="single" w:sz="4" w:space="0" w:color="000000"/>
            </w:tcBorders>
          </w:tcPr>
          <w:p w14:paraId="4D4DF0FD" w14:textId="77777777" w:rsidR="002D720D" w:rsidRDefault="00000000">
            <w:pPr>
              <w:rPr>
                <w:rFonts w:ascii="Times New Roman" w:hAnsi="Times New Roman"/>
                <w:sz w:val="24"/>
                <w:szCs w:val="24"/>
                <w:lang w:val="en-US"/>
              </w:rPr>
            </w:pPr>
            <w:r>
              <w:rPr>
                <w:rFonts w:ascii="Times New Roman" w:hAnsi="Times New Roman"/>
                <w:sz w:val="24"/>
                <w:szCs w:val="24"/>
                <w:lang w:val="en-US"/>
              </w:rPr>
              <w:t xml:space="preserve">Total </w:t>
            </w:r>
          </w:p>
        </w:tc>
        <w:tc>
          <w:tcPr>
            <w:tcW w:w="3079" w:type="dxa"/>
            <w:tcBorders>
              <w:top w:val="single" w:sz="4" w:space="0" w:color="000000"/>
              <w:left w:val="single" w:sz="4" w:space="0" w:color="000000"/>
              <w:bottom w:val="single" w:sz="4" w:space="0" w:color="000000"/>
              <w:right w:val="single" w:sz="4" w:space="0" w:color="000000"/>
            </w:tcBorders>
          </w:tcPr>
          <w:p w14:paraId="4222FB18" w14:textId="77777777" w:rsidR="002D720D" w:rsidRDefault="00000000">
            <w:pPr>
              <w:rPr>
                <w:rFonts w:ascii="Times New Roman" w:hAnsi="Times New Roman"/>
                <w:sz w:val="24"/>
                <w:szCs w:val="24"/>
                <w:lang w:val="en-US"/>
              </w:rPr>
            </w:pPr>
            <w:r>
              <w:rPr>
                <w:rFonts w:ascii="Times New Roman" w:hAnsi="Times New Roman"/>
                <w:sz w:val="24"/>
                <w:szCs w:val="24"/>
                <w:lang w:val="en-US"/>
              </w:rPr>
              <w:t>231</w:t>
            </w:r>
          </w:p>
        </w:tc>
        <w:tc>
          <w:tcPr>
            <w:tcW w:w="1597" w:type="dxa"/>
            <w:tcBorders>
              <w:top w:val="single" w:sz="4" w:space="0" w:color="000000"/>
              <w:left w:val="single" w:sz="4" w:space="0" w:color="000000"/>
              <w:bottom w:val="single" w:sz="4" w:space="0" w:color="000000"/>
              <w:right w:val="single" w:sz="4" w:space="0" w:color="000000"/>
            </w:tcBorders>
          </w:tcPr>
          <w:p w14:paraId="530791BF" w14:textId="77777777" w:rsidR="002D720D" w:rsidRDefault="00000000">
            <w:pPr>
              <w:rPr>
                <w:rFonts w:ascii="Times New Roman" w:hAnsi="Times New Roman"/>
                <w:sz w:val="24"/>
                <w:szCs w:val="24"/>
                <w:lang w:val="en-US"/>
              </w:rPr>
            </w:pPr>
            <w:r>
              <w:rPr>
                <w:rFonts w:ascii="Times New Roman" w:hAnsi="Times New Roman"/>
                <w:sz w:val="24"/>
                <w:szCs w:val="24"/>
                <w:lang w:val="en-US"/>
              </w:rPr>
              <w:t>100</w:t>
            </w:r>
          </w:p>
        </w:tc>
      </w:tr>
    </w:tbl>
    <w:p w14:paraId="19C0B239" w14:textId="77777777" w:rsidR="002D720D" w:rsidRDefault="002D720D">
      <w:pPr>
        <w:spacing w:after="0"/>
        <w:jc w:val="both"/>
        <w:rPr>
          <w:rFonts w:ascii="Times New Roman" w:hAnsi="Times New Roman"/>
          <w:b/>
          <w:bCs/>
          <w:sz w:val="8"/>
          <w:szCs w:val="24"/>
        </w:rPr>
      </w:pPr>
    </w:p>
    <w:p w14:paraId="1082009D" w14:textId="77777777" w:rsidR="002D720D" w:rsidRDefault="002D720D">
      <w:pPr>
        <w:spacing w:after="0"/>
        <w:jc w:val="both"/>
        <w:rPr>
          <w:rFonts w:ascii="Times New Roman" w:hAnsi="Times New Roman"/>
          <w:b/>
          <w:bCs/>
          <w:sz w:val="24"/>
          <w:szCs w:val="24"/>
        </w:rPr>
      </w:pPr>
    </w:p>
    <w:p w14:paraId="665E3A95" w14:textId="77777777" w:rsidR="002D720D" w:rsidRDefault="00000000">
      <w:pPr>
        <w:spacing w:after="0"/>
        <w:jc w:val="both"/>
      </w:pPr>
      <w:r>
        <w:rPr>
          <w:rFonts w:ascii="Times New Roman" w:hAnsi="Times New Roman"/>
          <w:b/>
          <w:bCs/>
          <w:sz w:val="24"/>
          <w:szCs w:val="24"/>
        </w:rPr>
        <w:t>Figure 3: Percentage distribution of respondents by religion</w:t>
      </w:r>
    </w:p>
    <w:p w14:paraId="47FA6522" w14:textId="77777777" w:rsidR="002D720D" w:rsidRDefault="002D720D">
      <w:pPr>
        <w:spacing w:after="0"/>
        <w:jc w:val="both"/>
        <w:rPr>
          <w:rFonts w:ascii="Times New Roman" w:hAnsi="Times New Roman"/>
          <w:b/>
          <w:bCs/>
          <w:sz w:val="10"/>
          <w:szCs w:val="24"/>
          <w:lang w:val="en-US" w:eastAsia="en-US"/>
        </w:rPr>
      </w:pPr>
    </w:p>
    <w:p w14:paraId="6C069E9E" w14:textId="77777777" w:rsidR="002D720D" w:rsidRDefault="00000000">
      <w:pPr>
        <w:spacing w:after="0"/>
        <w:jc w:val="both"/>
        <w:rPr>
          <w:rFonts w:ascii="Times New Roman" w:hAnsi="Times New Roman"/>
          <w:b/>
          <w:bCs/>
          <w:sz w:val="24"/>
          <w:szCs w:val="24"/>
          <w:lang w:val="en-US" w:eastAsia="en-US"/>
        </w:rPr>
      </w:pPr>
      <w:r>
        <w:rPr>
          <w:rFonts w:ascii="Times New Roman" w:hAnsi="Times New Roman"/>
          <w:b/>
          <w:sz w:val="24"/>
          <w:szCs w:val="24"/>
          <w:lang w:val="en-US" w:eastAsia="en-US"/>
        </w:rPr>
        <w:lastRenderedPageBreak/>
        <w:pict w14:anchorId="3D9270DD">
          <v:shape id="_x0000_tole_rId6" o:spid="_x0000_s2051" type="#_x0000_t75" style="position:absolute;left:0;text-align:left;margin-left:0;margin-top:0;width:50pt;height:50pt;z-index:3;visibility:hidden">
            <o:lock v:ext="edit" selection="t"/>
          </v:shape>
        </w:pict>
      </w:r>
      <w:r>
        <w:rPr>
          <w:rFonts w:ascii="Times New Roman" w:hAnsi="Times New Roman"/>
          <w:b/>
          <w:sz w:val="24"/>
          <w:szCs w:val="24"/>
          <w:lang w:val="en-US" w:eastAsia="en-US"/>
        </w:rPr>
        <w:object w:dxaOrig="7681" w:dyaOrig="3840" w14:anchorId="3600AC65">
          <v:shape id="ole_rId6" o:spid="_x0000_i1027" type="#_x0000_t75" style="width:380.1pt;height:196.55pt;visibility:visible" o:ole="">
            <v:imagedata r:id="rId11" o:title=""/>
          </v:shape>
          <o:OLEObject Type="Embed" ProgID="Excel.Sheet.12" ShapeID="ole_rId6" DrawAspect="Content" ObjectID="_1852878735" r:id="rId12"/>
        </w:object>
      </w:r>
    </w:p>
    <w:p w14:paraId="5500085C" w14:textId="77777777" w:rsidR="002D720D" w:rsidRDefault="002D720D">
      <w:pPr>
        <w:spacing w:after="0"/>
        <w:jc w:val="both"/>
        <w:rPr>
          <w:rFonts w:ascii="Times New Roman" w:hAnsi="Times New Roman"/>
          <w:b/>
          <w:bCs/>
          <w:sz w:val="14"/>
          <w:szCs w:val="24"/>
          <w:lang w:val="en-US" w:eastAsia="en-US"/>
        </w:rPr>
      </w:pPr>
    </w:p>
    <w:p w14:paraId="7D4DA016" w14:textId="77777777" w:rsidR="002D720D" w:rsidRDefault="00000000">
      <w:pPr>
        <w:spacing w:line="480" w:lineRule="auto"/>
        <w:jc w:val="both"/>
        <w:rPr>
          <w:rFonts w:ascii="Times New Roman" w:hAnsi="Times New Roman"/>
          <w:sz w:val="24"/>
          <w:szCs w:val="24"/>
        </w:rPr>
      </w:pPr>
      <w:r>
        <w:rPr>
          <w:rFonts w:ascii="Times New Roman" w:hAnsi="Times New Roman"/>
          <w:sz w:val="24"/>
          <w:szCs w:val="24"/>
        </w:rPr>
        <w:t>Table</w:t>
      </w:r>
      <w:r>
        <w:rPr>
          <w:rFonts w:ascii="Times New Roman" w:hAnsi="Times New Roman"/>
          <w:sz w:val="24"/>
          <w:szCs w:val="24"/>
          <w:highlight w:val="yellow"/>
        </w:rPr>
        <w:t xml:space="preserve"> 3</w:t>
      </w:r>
      <w:r>
        <w:rPr>
          <w:rFonts w:ascii="Times New Roman" w:hAnsi="Times New Roman"/>
          <w:sz w:val="24"/>
          <w:szCs w:val="24"/>
        </w:rPr>
        <w:t xml:space="preserve"> and </w:t>
      </w:r>
      <w:r>
        <w:rPr>
          <w:rFonts w:ascii="Times New Roman" w:hAnsi="Times New Roman"/>
          <w:sz w:val="24"/>
          <w:szCs w:val="24"/>
          <w:highlight w:val="yellow"/>
        </w:rPr>
        <w:t>Figure 3</w:t>
      </w:r>
      <w:r>
        <w:rPr>
          <w:rFonts w:ascii="Times New Roman" w:hAnsi="Times New Roman"/>
          <w:sz w:val="24"/>
          <w:szCs w:val="24"/>
        </w:rPr>
        <w:t xml:space="preserve"> above </w:t>
      </w:r>
      <w:r>
        <w:rPr>
          <w:rFonts w:ascii="Times New Roman" w:hAnsi="Times New Roman"/>
          <w:sz w:val="24"/>
          <w:szCs w:val="24"/>
          <w:highlight w:val="yellow"/>
        </w:rPr>
        <w:t>show</w:t>
      </w:r>
      <w:r>
        <w:rPr>
          <w:rFonts w:ascii="Times New Roman" w:hAnsi="Times New Roman"/>
          <w:sz w:val="24"/>
          <w:szCs w:val="24"/>
        </w:rPr>
        <w:t xml:space="preserve"> that </w:t>
      </w:r>
      <w:r>
        <w:rPr>
          <w:rFonts w:ascii="Times New Roman" w:hAnsi="Times New Roman"/>
          <w:sz w:val="24"/>
          <w:szCs w:val="24"/>
          <w:highlight w:val="yellow"/>
        </w:rPr>
        <w:t>138 (59.7%)</w:t>
      </w:r>
      <w:r>
        <w:rPr>
          <w:rFonts w:ascii="Times New Roman" w:hAnsi="Times New Roman"/>
          <w:sz w:val="24"/>
          <w:szCs w:val="24"/>
        </w:rPr>
        <w:t xml:space="preserve"> respondents are Christians, </w:t>
      </w:r>
      <w:r>
        <w:rPr>
          <w:rFonts w:ascii="Times New Roman" w:hAnsi="Times New Roman"/>
          <w:sz w:val="24"/>
          <w:szCs w:val="24"/>
          <w:highlight w:val="yellow"/>
        </w:rPr>
        <w:t>74 (32.0%)</w:t>
      </w:r>
      <w:r>
        <w:rPr>
          <w:rFonts w:ascii="Times New Roman" w:hAnsi="Times New Roman"/>
          <w:sz w:val="24"/>
          <w:szCs w:val="24"/>
        </w:rPr>
        <w:t xml:space="preserve"> are Muslims, </w:t>
      </w:r>
      <w:r>
        <w:rPr>
          <w:rFonts w:ascii="Times New Roman" w:hAnsi="Times New Roman"/>
          <w:sz w:val="24"/>
          <w:szCs w:val="24"/>
          <w:highlight w:val="yellow"/>
        </w:rPr>
        <w:t>18 (7.8%)</w:t>
      </w:r>
      <w:r>
        <w:rPr>
          <w:rFonts w:ascii="Times New Roman" w:hAnsi="Times New Roman"/>
          <w:sz w:val="24"/>
          <w:szCs w:val="24"/>
        </w:rPr>
        <w:t xml:space="preserve"> are </w:t>
      </w:r>
      <w:r>
        <w:rPr>
          <w:rFonts w:ascii="Times New Roman" w:hAnsi="Times New Roman"/>
          <w:sz w:val="24"/>
          <w:szCs w:val="24"/>
          <w:highlight w:val="yellow"/>
        </w:rPr>
        <w:t>traditional</w:t>
      </w:r>
      <w:r>
        <w:rPr>
          <w:rFonts w:ascii="Times New Roman" w:hAnsi="Times New Roman"/>
          <w:sz w:val="24"/>
          <w:szCs w:val="24"/>
        </w:rPr>
        <w:t xml:space="preserve"> </w:t>
      </w:r>
      <w:r>
        <w:rPr>
          <w:rFonts w:ascii="Times New Roman" w:hAnsi="Times New Roman"/>
          <w:sz w:val="24"/>
          <w:szCs w:val="24"/>
          <w:highlight w:val="yellow"/>
        </w:rPr>
        <w:t>worshippers,</w:t>
      </w:r>
      <w:r>
        <w:rPr>
          <w:rFonts w:ascii="Times New Roman" w:hAnsi="Times New Roman"/>
          <w:sz w:val="24"/>
          <w:szCs w:val="24"/>
        </w:rPr>
        <w:t xml:space="preserve"> and </w:t>
      </w:r>
      <w:r>
        <w:rPr>
          <w:rFonts w:ascii="Times New Roman" w:hAnsi="Times New Roman"/>
          <w:sz w:val="24"/>
          <w:szCs w:val="24"/>
          <w:highlight w:val="yellow"/>
        </w:rPr>
        <w:t>1 (0.4%)</w:t>
      </w:r>
      <w:r>
        <w:rPr>
          <w:rFonts w:ascii="Times New Roman" w:hAnsi="Times New Roman"/>
          <w:sz w:val="24"/>
          <w:szCs w:val="24"/>
        </w:rPr>
        <w:t xml:space="preserve"> belongs to </w:t>
      </w:r>
      <w:r>
        <w:rPr>
          <w:rFonts w:ascii="Times New Roman" w:hAnsi="Times New Roman"/>
          <w:sz w:val="24"/>
          <w:szCs w:val="24"/>
          <w:highlight w:val="yellow"/>
        </w:rPr>
        <w:t>another</w:t>
      </w:r>
      <w:r>
        <w:rPr>
          <w:rFonts w:ascii="Times New Roman" w:hAnsi="Times New Roman"/>
          <w:sz w:val="24"/>
          <w:szCs w:val="24"/>
        </w:rPr>
        <w:t xml:space="preserve"> religious group not disclosed in the study.</w:t>
      </w:r>
    </w:p>
    <w:p w14:paraId="26037710" w14:textId="77777777" w:rsidR="002D720D" w:rsidRDefault="00000000">
      <w:pPr>
        <w:spacing w:line="480" w:lineRule="auto"/>
        <w:jc w:val="both"/>
        <w:rPr>
          <w:rFonts w:ascii="Times New Roman" w:hAnsi="Times New Roman"/>
          <w:b/>
          <w:sz w:val="24"/>
          <w:szCs w:val="24"/>
        </w:rPr>
      </w:pPr>
      <w:r>
        <w:rPr>
          <w:rFonts w:ascii="Times New Roman" w:hAnsi="Times New Roman"/>
          <w:b/>
          <w:sz w:val="24"/>
          <w:szCs w:val="24"/>
        </w:rPr>
        <w:t>Results and Discussion</w:t>
      </w:r>
    </w:p>
    <w:p w14:paraId="6DFB5915" w14:textId="77777777" w:rsidR="002D720D" w:rsidRDefault="00000000">
      <w:pPr>
        <w:spacing w:line="480" w:lineRule="auto"/>
        <w:jc w:val="both"/>
      </w:pPr>
      <w:r>
        <w:rPr>
          <w:rFonts w:ascii="Times New Roman" w:hAnsi="Times New Roman"/>
          <w:b/>
          <w:sz w:val="24"/>
          <w:szCs w:val="24"/>
        </w:rPr>
        <w:t>Hypothesis one:</w:t>
      </w:r>
      <w:r>
        <w:rPr>
          <w:rFonts w:ascii="Times New Roman" w:hAnsi="Times New Roman"/>
          <w:sz w:val="24"/>
          <w:szCs w:val="24"/>
        </w:rPr>
        <w:t xml:space="preserve"> There is no significant relationship between psychosocial support and emotional recovery among patients attending government hospitals in Oyo State, Nigeria</w:t>
      </w:r>
    </w:p>
    <w:p w14:paraId="5E956447" w14:textId="77777777" w:rsidR="002D720D" w:rsidRDefault="00000000">
      <w:pPr>
        <w:spacing w:line="240" w:lineRule="auto"/>
        <w:jc w:val="both"/>
      </w:pPr>
      <w:r>
        <w:rPr>
          <w:rFonts w:ascii="Times New Roman" w:hAnsi="Times New Roman"/>
          <w:b/>
          <w:sz w:val="24"/>
          <w:szCs w:val="24"/>
        </w:rPr>
        <w:t xml:space="preserve">Table 4: </w:t>
      </w:r>
      <w:r>
        <w:t>Pearson Product Moment Correlation (PPMC) showing the relationship between psychosocial support and emotional recovery among patients</w:t>
      </w:r>
    </w:p>
    <w:tbl>
      <w:tblPr>
        <w:tblW w:w="5000" w:type="pct"/>
        <w:tblLayout w:type="fixed"/>
        <w:tblLook w:val="0000" w:firstRow="0" w:lastRow="0" w:firstColumn="0" w:lastColumn="0" w:noHBand="0" w:noVBand="0"/>
      </w:tblPr>
      <w:tblGrid>
        <w:gridCol w:w="2698"/>
        <w:gridCol w:w="1267"/>
        <w:gridCol w:w="1175"/>
        <w:gridCol w:w="895"/>
        <w:gridCol w:w="867"/>
        <w:gridCol w:w="1044"/>
        <w:gridCol w:w="1296"/>
      </w:tblGrid>
      <w:tr w:rsidR="002D720D" w14:paraId="67E94EF8" w14:textId="77777777">
        <w:trPr>
          <w:trHeight w:val="260"/>
        </w:trPr>
        <w:tc>
          <w:tcPr>
            <w:tcW w:w="2634" w:type="dxa"/>
            <w:tcBorders>
              <w:top w:val="single" w:sz="4" w:space="0" w:color="000000"/>
              <w:left w:val="single" w:sz="4" w:space="0" w:color="000000"/>
              <w:bottom w:val="single" w:sz="4" w:space="0" w:color="000000"/>
              <w:right w:val="single" w:sz="4" w:space="0" w:color="000000"/>
            </w:tcBorders>
          </w:tcPr>
          <w:p w14:paraId="2434D621"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Variables</w:t>
            </w:r>
            <w:r>
              <w:rPr>
                <w:rFonts w:ascii="Times New Roman" w:hAnsi="Times New Roman"/>
                <w:b/>
                <w:sz w:val="24"/>
                <w:szCs w:val="24"/>
                <w:lang w:val="en-US"/>
              </w:rPr>
              <w:tab/>
            </w:r>
          </w:p>
        </w:tc>
        <w:tc>
          <w:tcPr>
            <w:tcW w:w="1237" w:type="dxa"/>
            <w:tcBorders>
              <w:top w:val="single" w:sz="4" w:space="0" w:color="000000"/>
              <w:left w:val="single" w:sz="4" w:space="0" w:color="000000"/>
              <w:bottom w:val="single" w:sz="4" w:space="0" w:color="000000"/>
              <w:right w:val="single" w:sz="4" w:space="0" w:color="000000"/>
            </w:tcBorders>
          </w:tcPr>
          <w:p w14:paraId="1A077DC4"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Mean</w:t>
            </w:r>
          </w:p>
        </w:tc>
        <w:tc>
          <w:tcPr>
            <w:tcW w:w="1148" w:type="dxa"/>
            <w:tcBorders>
              <w:top w:val="single" w:sz="4" w:space="0" w:color="000000"/>
              <w:left w:val="single" w:sz="4" w:space="0" w:color="000000"/>
              <w:bottom w:val="single" w:sz="4" w:space="0" w:color="000000"/>
              <w:right w:val="single" w:sz="4" w:space="0" w:color="000000"/>
            </w:tcBorders>
          </w:tcPr>
          <w:p w14:paraId="2C709083"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Std. Dev.</w:t>
            </w:r>
          </w:p>
        </w:tc>
        <w:tc>
          <w:tcPr>
            <w:tcW w:w="874" w:type="dxa"/>
            <w:tcBorders>
              <w:top w:val="single" w:sz="4" w:space="0" w:color="000000"/>
              <w:left w:val="single" w:sz="4" w:space="0" w:color="000000"/>
              <w:bottom w:val="single" w:sz="4" w:space="0" w:color="000000"/>
              <w:right w:val="single" w:sz="4" w:space="0" w:color="000000"/>
            </w:tcBorders>
          </w:tcPr>
          <w:p w14:paraId="7564AFED"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n</w:t>
            </w:r>
          </w:p>
        </w:tc>
        <w:tc>
          <w:tcPr>
            <w:tcW w:w="847" w:type="dxa"/>
            <w:tcBorders>
              <w:top w:val="single" w:sz="4" w:space="0" w:color="000000"/>
              <w:left w:val="single" w:sz="4" w:space="0" w:color="000000"/>
              <w:bottom w:val="single" w:sz="4" w:space="0" w:color="000000"/>
              <w:right w:val="single" w:sz="4" w:space="0" w:color="000000"/>
            </w:tcBorders>
          </w:tcPr>
          <w:p w14:paraId="32BE1C19"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r</w:t>
            </w:r>
          </w:p>
        </w:tc>
        <w:tc>
          <w:tcPr>
            <w:tcW w:w="1020" w:type="dxa"/>
            <w:tcBorders>
              <w:top w:val="single" w:sz="4" w:space="0" w:color="000000"/>
              <w:left w:val="single" w:sz="4" w:space="0" w:color="000000"/>
              <w:bottom w:val="single" w:sz="4" w:space="0" w:color="000000"/>
              <w:right w:val="single" w:sz="4" w:space="0" w:color="000000"/>
            </w:tcBorders>
          </w:tcPr>
          <w:p w14:paraId="4248AE71"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p-value</w:t>
            </w:r>
          </w:p>
        </w:tc>
        <w:tc>
          <w:tcPr>
            <w:tcW w:w="1266" w:type="dxa"/>
            <w:tcBorders>
              <w:top w:val="single" w:sz="4" w:space="0" w:color="000000"/>
              <w:left w:val="single" w:sz="4" w:space="0" w:color="000000"/>
              <w:bottom w:val="single" w:sz="4" w:space="0" w:color="000000"/>
              <w:right w:val="single" w:sz="4" w:space="0" w:color="000000"/>
            </w:tcBorders>
          </w:tcPr>
          <w:p w14:paraId="79590A33"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Remarks</w:t>
            </w:r>
          </w:p>
        </w:tc>
      </w:tr>
      <w:tr w:rsidR="002D720D" w14:paraId="46FFD94F" w14:textId="77777777">
        <w:trPr>
          <w:trHeight w:val="755"/>
        </w:trPr>
        <w:tc>
          <w:tcPr>
            <w:tcW w:w="2634" w:type="dxa"/>
            <w:tcBorders>
              <w:top w:val="single" w:sz="4" w:space="0" w:color="000000"/>
              <w:left w:val="single" w:sz="4" w:space="0" w:color="000000"/>
              <w:bottom w:val="single" w:sz="4" w:space="0" w:color="000000"/>
              <w:right w:val="single" w:sz="4" w:space="0" w:color="000000"/>
            </w:tcBorders>
          </w:tcPr>
          <w:p w14:paraId="7C877773"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Emotional recovery</w:t>
            </w:r>
          </w:p>
          <w:p w14:paraId="73FE848A" w14:textId="77777777" w:rsidR="002D720D" w:rsidRDefault="002D720D">
            <w:pPr>
              <w:spacing w:after="0" w:line="240" w:lineRule="auto"/>
              <w:jc w:val="both"/>
              <w:rPr>
                <w:rFonts w:ascii="Times New Roman" w:hAnsi="Times New Roman"/>
                <w:sz w:val="24"/>
                <w:szCs w:val="24"/>
                <w:lang w:val="en-US"/>
              </w:rPr>
            </w:pPr>
          </w:p>
          <w:p w14:paraId="062F9574" w14:textId="77777777" w:rsidR="002D720D" w:rsidRDefault="002D720D">
            <w:pPr>
              <w:spacing w:after="0" w:line="240" w:lineRule="auto"/>
              <w:jc w:val="both"/>
              <w:rPr>
                <w:rFonts w:ascii="Times New Roman" w:hAnsi="Times New Roman"/>
                <w:sz w:val="24"/>
                <w:szCs w:val="24"/>
                <w:lang w:val="en-US"/>
              </w:rPr>
            </w:pPr>
          </w:p>
          <w:p w14:paraId="6A85253B"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Psychosocial support</w:t>
            </w:r>
          </w:p>
        </w:tc>
        <w:tc>
          <w:tcPr>
            <w:tcW w:w="1237" w:type="dxa"/>
            <w:tcBorders>
              <w:top w:val="single" w:sz="4" w:space="0" w:color="000000"/>
              <w:left w:val="single" w:sz="4" w:space="0" w:color="000000"/>
              <w:bottom w:val="single" w:sz="4" w:space="0" w:color="000000"/>
              <w:right w:val="single" w:sz="4" w:space="0" w:color="000000"/>
            </w:tcBorders>
          </w:tcPr>
          <w:p w14:paraId="10F23B14"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45.0346</w:t>
            </w:r>
          </w:p>
          <w:p w14:paraId="37D11E4C" w14:textId="77777777" w:rsidR="002D720D" w:rsidRDefault="002D720D">
            <w:pPr>
              <w:spacing w:after="0" w:line="240" w:lineRule="auto"/>
              <w:jc w:val="both"/>
              <w:rPr>
                <w:rFonts w:ascii="Times New Roman" w:hAnsi="Times New Roman"/>
                <w:sz w:val="24"/>
                <w:szCs w:val="24"/>
                <w:lang w:val="en-US"/>
              </w:rPr>
            </w:pPr>
          </w:p>
          <w:p w14:paraId="6C840DA4"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30.9870</w:t>
            </w:r>
          </w:p>
        </w:tc>
        <w:tc>
          <w:tcPr>
            <w:tcW w:w="1148" w:type="dxa"/>
            <w:tcBorders>
              <w:top w:val="single" w:sz="4" w:space="0" w:color="000000"/>
              <w:left w:val="single" w:sz="4" w:space="0" w:color="000000"/>
              <w:bottom w:val="single" w:sz="4" w:space="0" w:color="000000"/>
              <w:right w:val="single" w:sz="4" w:space="0" w:color="000000"/>
            </w:tcBorders>
          </w:tcPr>
          <w:p w14:paraId="210C4A16"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4.4437</w:t>
            </w:r>
          </w:p>
          <w:p w14:paraId="6F82EB0E" w14:textId="77777777" w:rsidR="002D720D" w:rsidRDefault="002D720D">
            <w:pPr>
              <w:spacing w:after="0" w:line="240" w:lineRule="auto"/>
              <w:jc w:val="both"/>
              <w:rPr>
                <w:rFonts w:ascii="Times New Roman" w:hAnsi="Times New Roman"/>
                <w:sz w:val="24"/>
                <w:szCs w:val="24"/>
                <w:lang w:val="en-US"/>
              </w:rPr>
            </w:pPr>
          </w:p>
          <w:p w14:paraId="0C8079B7"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2.2678</w:t>
            </w:r>
          </w:p>
        </w:tc>
        <w:tc>
          <w:tcPr>
            <w:tcW w:w="874" w:type="dxa"/>
            <w:tcBorders>
              <w:top w:val="single" w:sz="4" w:space="0" w:color="000000"/>
              <w:left w:val="single" w:sz="4" w:space="0" w:color="000000"/>
              <w:bottom w:val="single" w:sz="4" w:space="0" w:color="000000"/>
              <w:right w:val="single" w:sz="4" w:space="0" w:color="000000"/>
            </w:tcBorders>
          </w:tcPr>
          <w:p w14:paraId="37CA1E40" w14:textId="77777777" w:rsidR="002D720D" w:rsidRDefault="002D720D">
            <w:pPr>
              <w:snapToGrid w:val="0"/>
              <w:spacing w:after="0" w:line="240" w:lineRule="auto"/>
              <w:jc w:val="both"/>
              <w:rPr>
                <w:rFonts w:ascii="Times New Roman" w:hAnsi="Times New Roman"/>
                <w:sz w:val="24"/>
                <w:szCs w:val="24"/>
                <w:lang w:val="en-US"/>
              </w:rPr>
            </w:pPr>
          </w:p>
          <w:p w14:paraId="5FF73CA3"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231</w:t>
            </w:r>
          </w:p>
        </w:tc>
        <w:tc>
          <w:tcPr>
            <w:tcW w:w="847" w:type="dxa"/>
            <w:tcBorders>
              <w:top w:val="single" w:sz="4" w:space="0" w:color="000000"/>
              <w:left w:val="single" w:sz="4" w:space="0" w:color="000000"/>
              <w:bottom w:val="single" w:sz="4" w:space="0" w:color="000000"/>
              <w:right w:val="single" w:sz="4" w:space="0" w:color="000000"/>
            </w:tcBorders>
          </w:tcPr>
          <w:p w14:paraId="2ADE2CAE" w14:textId="77777777" w:rsidR="002D720D" w:rsidRDefault="002D720D">
            <w:pPr>
              <w:snapToGrid w:val="0"/>
              <w:spacing w:after="0" w:line="240" w:lineRule="auto"/>
              <w:jc w:val="both"/>
              <w:rPr>
                <w:rFonts w:ascii="Times New Roman" w:hAnsi="Times New Roman"/>
                <w:sz w:val="24"/>
                <w:szCs w:val="24"/>
                <w:lang w:val="en-US"/>
              </w:rPr>
            </w:pPr>
          </w:p>
          <w:p w14:paraId="2864E588"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.594</w:t>
            </w:r>
          </w:p>
        </w:tc>
        <w:tc>
          <w:tcPr>
            <w:tcW w:w="1020" w:type="dxa"/>
            <w:tcBorders>
              <w:top w:val="single" w:sz="4" w:space="0" w:color="000000"/>
              <w:left w:val="single" w:sz="4" w:space="0" w:color="000000"/>
              <w:bottom w:val="single" w:sz="4" w:space="0" w:color="000000"/>
              <w:right w:val="single" w:sz="4" w:space="0" w:color="000000"/>
            </w:tcBorders>
          </w:tcPr>
          <w:p w14:paraId="41C64F79" w14:textId="77777777" w:rsidR="002D720D" w:rsidRDefault="002D720D">
            <w:pPr>
              <w:snapToGrid w:val="0"/>
              <w:spacing w:after="0" w:line="240" w:lineRule="auto"/>
              <w:jc w:val="both"/>
              <w:rPr>
                <w:rFonts w:ascii="Times New Roman" w:hAnsi="Times New Roman"/>
                <w:sz w:val="24"/>
                <w:szCs w:val="24"/>
                <w:lang w:val="en-US"/>
              </w:rPr>
            </w:pPr>
          </w:p>
          <w:p w14:paraId="6FE3B038"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.000</w:t>
            </w:r>
          </w:p>
        </w:tc>
        <w:tc>
          <w:tcPr>
            <w:tcW w:w="1266" w:type="dxa"/>
            <w:tcBorders>
              <w:top w:val="single" w:sz="4" w:space="0" w:color="000000"/>
              <w:left w:val="single" w:sz="4" w:space="0" w:color="000000"/>
              <w:bottom w:val="single" w:sz="4" w:space="0" w:color="000000"/>
              <w:right w:val="single" w:sz="4" w:space="0" w:color="000000"/>
            </w:tcBorders>
          </w:tcPr>
          <w:p w14:paraId="0CEC3754" w14:textId="77777777" w:rsidR="002D720D" w:rsidRDefault="002D720D">
            <w:pPr>
              <w:snapToGrid w:val="0"/>
              <w:spacing w:after="0" w:line="240" w:lineRule="auto"/>
              <w:jc w:val="both"/>
              <w:rPr>
                <w:rFonts w:ascii="Times New Roman" w:hAnsi="Times New Roman"/>
                <w:sz w:val="24"/>
                <w:szCs w:val="24"/>
                <w:lang w:val="en-US"/>
              </w:rPr>
            </w:pPr>
          </w:p>
          <w:p w14:paraId="5D13430B"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Sig.</w:t>
            </w:r>
          </w:p>
        </w:tc>
      </w:tr>
    </w:tbl>
    <w:p w14:paraId="60407D25" w14:textId="77777777" w:rsidR="002D720D" w:rsidRDefault="00000000">
      <w:pPr>
        <w:spacing w:line="480" w:lineRule="auto"/>
        <w:jc w:val="both"/>
        <w:rPr>
          <w:rFonts w:ascii="Times New Roman" w:hAnsi="Times New Roman"/>
          <w:sz w:val="24"/>
          <w:szCs w:val="24"/>
        </w:rPr>
      </w:pPr>
      <w:r>
        <w:rPr>
          <w:rFonts w:ascii="Times New Roman" w:hAnsi="Times New Roman"/>
          <w:sz w:val="24"/>
          <w:szCs w:val="24"/>
        </w:rPr>
        <w:t>Sig. at 0.05 level</w:t>
      </w:r>
    </w:p>
    <w:p w14:paraId="250DDF4B" w14:textId="77777777" w:rsidR="002D720D" w:rsidRDefault="00000000">
      <w:pPr>
        <w:spacing w:line="480" w:lineRule="auto"/>
        <w:jc w:val="both"/>
        <w:rPr>
          <w:rFonts w:ascii="Times New Roman" w:hAnsi="Times New Roman"/>
          <w:sz w:val="24"/>
          <w:szCs w:val="24"/>
        </w:rPr>
      </w:pPr>
      <w:r>
        <w:rPr>
          <w:rFonts w:ascii="Times New Roman" w:hAnsi="Times New Roman"/>
          <w:sz w:val="24"/>
          <w:szCs w:val="24"/>
        </w:rPr>
        <w:t xml:space="preserve">Table 4 shows that there is a significant relationship between psychosocial support and emotional recovery among patients attending State Hospital, Ring Road, Ibadan, and </w:t>
      </w:r>
      <w:proofErr w:type="spellStart"/>
      <w:r>
        <w:rPr>
          <w:rFonts w:ascii="Times New Roman" w:hAnsi="Times New Roman"/>
          <w:sz w:val="24"/>
          <w:szCs w:val="24"/>
        </w:rPr>
        <w:t>Adeoyo</w:t>
      </w:r>
      <w:proofErr w:type="spellEnd"/>
      <w:r>
        <w:rPr>
          <w:rFonts w:ascii="Times New Roman" w:hAnsi="Times New Roman"/>
          <w:sz w:val="24"/>
          <w:szCs w:val="24"/>
        </w:rPr>
        <w:t xml:space="preserve"> Maternity Hospital, Ibadan, Oyo </w:t>
      </w:r>
      <w:r>
        <w:rPr>
          <w:rFonts w:ascii="Times New Roman" w:hAnsi="Times New Roman"/>
          <w:sz w:val="24"/>
          <w:szCs w:val="24"/>
          <w:highlight w:val="yellow"/>
        </w:rPr>
        <w:t>State, Nigeria (r = .594, n = 231, p &lt; .05). Hence, psychosocial support was positively associated with emotional recovery among the patients</w:t>
      </w:r>
      <w:r>
        <w:rPr>
          <w:rFonts w:ascii="Times New Roman" w:hAnsi="Times New Roman"/>
          <w:sz w:val="24"/>
          <w:szCs w:val="24"/>
        </w:rPr>
        <w:t xml:space="preserve"> in the study.</w:t>
      </w:r>
    </w:p>
    <w:p w14:paraId="203BF479" w14:textId="77777777" w:rsidR="002D720D" w:rsidRDefault="00000000">
      <w:pPr>
        <w:autoSpaceDE w:val="0"/>
        <w:spacing w:after="0" w:line="480" w:lineRule="auto"/>
        <w:ind w:firstLine="720"/>
        <w:jc w:val="both"/>
      </w:pPr>
      <w:r>
        <w:rPr>
          <w:rFonts w:ascii="Times New Roman" w:hAnsi="Times New Roman"/>
          <w:sz w:val="24"/>
          <w:szCs w:val="24"/>
        </w:rPr>
        <w:lastRenderedPageBreak/>
        <w:t xml:space="preserve">This result supports the views of </w:t>
      </w:r>
      <w:proofErr w:type="spellStart"/>
      <w:r>
        <w:rPr>
          <w:rFonts w:ascii="Times New Roman" w:hAnsi="Times New Roman"/>
          <w:sz w:val="24"/>
          <w:szCs w:val="24"/>
          <w:highlight w:val="yellow"/>
        </w:rPr>
        <w:t>Deindl</w:t>
      </w:r>
      <w:proofErr w:type="spellEnd"/>
      <w:r>
        <w:rPr>
          <w:rFonts w:ascii="Times New Roman" w:hAnsi="Times New Roman"/>
          <w:sz w:val="24"/>
          <w:szCs w:val="24"/>
        </w:rPr>
        <w:t xml:space="preserve"> </w:t>
      </w:r>
      <w:r>
        <w:rPr>
          <w:rFonts w:ascii="Times New Roman" w:hAnsi="Times New Roman"/>
          <w:sz w:val="24"/>
          <w:szCs w:val="24"/>
          <w:highlight w:val="yellow"/>
        </w:rPr>
        <w:t>et</w:t>
      </w:r>
      <w:r>
        <w:rPr>
          <w:rFonts w:ascii="Times New Roman" w:hAnsi="Times New Roman"/>
          <w:sz w:val="24"/>
          <w:szCs w:val="24"/>
        </w:rPr>
        <w:t xml:space="preserve"> </w:t>
      </w:r>
      <w:r>
        <w:rPr>
          <w:rFonts w:ascii="Times New Roman" w:hAnsi="Times New Roman"/>
          <w:sz w:val="24"/>
          <w:szCs w:val="24"/>
          <w:highlight w:val="yellow"/>
        </w:rPr>
        <w:t>al.</w:t>
      </w:r>
      <w:r>
        <w:rPr>
          <w:rFonts w:ascii="Times New Roman" w:hAnsi="Times New Roman"/>
          <w:sz w:val="24"/>
          <w:szCs w:val="24"/>
        </w:rPr>
        <w:t xml:space="preserve"> (2016) that support from other </w:t>
      </w:r>
      <w:r>
        <w:rPr>
          <w:rFonts w:ascii="Times New Roman" w:hAnsi="Times New Roman"/>
          <w:sz w:val="24"/>
          <w:szCs w:val="24"/>
          <w:highlight w:val="yellow"/>
        </w:rPr>
        <w:t>people,</w:t>
      </w:r>
      <w:r>
        <w:rPr>
          <w:rFonts w:ascii="Times New Roman" w:hAnsi="Times New Roman"/>
          <w:sz w:val="24"/>
          <w:szCs w:val="24"/>
        </w:rPr>
        <w:t xml:space="preserve"> in the form of aid, assistance, personal </w:t>
      </w:r>
      <w:r>
        <w:rPr>
          <w:rFonts w:ascii="Times New Roman" w:hAnsi="Times New Roman"/>
          <w:sz w:val="24"/>
          <w:szCs w:val="24"/>
          <w:highlight w:val="yellow"/>
        </w:rPr>
        <w:t>affirmation,</w:t>
      </w:r>
      <w:r>
        <w:rPr>
          <w:rFonts w:ascii="Times New Roman" w:hAnsi="Times New Roman"/>
          <w:sz w:val="24"/>
          <w:szCs w:val="24"/>
        </w:rPr>
        <w:t xml:space="preserve"> and </w:t>
      </w:r>
      <w:r>
        <w:rPr>
          <w:rFonts w:ascii="Times New Roman" w:hAnsi="Times New Roman"/>
          <w:sz w:val="24"/>
          <w:szCs w:val="24"/>
          <w:highlight w:val="yellow"/>
        </w:rPr>
        <w:t>information,</w:t>
      </w:r>
      <w:r>
        <w:rPr>
          <w:rFonts w:ascii="Times New Roman" w:hAnsi="Times New Roman"/>
          <w:sz w:val="24"/>
          <w:szCs w:val="24"/>
        </w:rPr>
        <w:t xml:space="preserve"> is necessary when stressful </w:t>
      </w:r>
      <w:r>
        <w:rPr>
          <w:rFonts w:ascii="Times New Roman" w:hAnsi="Times New Roman"/>
          <w:sz w:val="24"/>
          <w:szCs w:val="24"/>
          <w:highlight w:val="yellow"/>
        </w:rPr>
        <w:t>events,</w:t>
      </w:r>
      <w:r>
        <w:rPr>
          <w:rFonts w:ascii="Times New Roman" w:hAnsi="Times New Roman"/>
          <w:sz w:val="24"/>
          <w:szCs w:val="24"/>
        </w:rPr>
        <w:t xml:space="preserve"> such as </w:t>
      </w:r>
      <w:r>
        <w:rPr>
          <w:rFonts w:ascii="Times New Roman" w:hAnsi="Times New Roman"/>
          <w:sz w:val="24"/>
          <w:szCs w:val="24"/>
          <w:highlight w:val="yellow"/>
        </w:rPr>
        <w:t>changes</w:t>
      </w:r>
      <w:r>
        <w:rPr>
          <w:rFonts w:ascii="Times New Roman" w:hAnsi="Times New Roman"/>
          <w:sz w:val="24"/>
          <w:szCs w:val="24"/>
        </w:rPr>
        <w:t xml:space="preserve"> in health and </w:t>
      </w:r>
      <w:r>
        <w:rPr>
          <w:rFonts w:ascii="Times New Roman" w:hAnsi="Times New Roman"/>
          <w:sz w:val="24"/>
          <w:szCs w:val="24"/>
          <w:highlight w:val="yellow"/>
        </w:rPr>
        <w:t>illness,</w:t>
      </w:r>
      <w:r>
        <w:rPr>
          <w:rFonts w:ascii="Times New Roman" w:hAnsi="Times New Roman"/>
          <w:sz w:val="24"/>
          <w:szCs w:val="24"/>
        </w:rPr>
        <w:t xml:space="preserve"> are experienced. Furthermore, while support from other people does not necessarily alter the demands of a situation, it </w:t>
      </w:r>
      <w:r>
        <w:rPr>
          <w:rFonts w:ascii="Times New Roman" w:hAnsi="Times New Roman"/>
          <w:sz w:val="24"/>
          <w:szCs w:val="24"/>
          <w:highlight w:val="yellow"/>
        </w:rPr>
        <w:t>may</w:t>
      </w:r>
      <w:r>
        <w:rPr>
          <w:rFonts w:ascii="Times New Roman" w:hAnsi="Times New Roman"/>
          <w:sz w:val="24"/>
          <w:szCs w:val="24"/>
        </w:rPr>
        <w:t xml:space="preserve"> lessen </w:t>
      </w:r>
      <w:r>
        <w:rPr>
          <w:rFonts w:ascii="Times New Roman" w:hAnsi="Times New Roman"/>
          <w:sz w:val="24"/>
          <w:szCs w:val="24"/>
          <w:highlight w:val="yellow"/>
        </w:rPr>
        <w:t>their</w:t>
      </w:r>
      <w:r>
        <w:rPr>
          <w:rFonts w:ascii="Times New Roman" w:hAnsi="Times New Roman"/>
          <w:sz w:val="24"/>
          <w:szCs w:val="24"/>
        </w:rPr>
        <w:t xml:space="preserve"> consequences. Appropriate support </w:t>
      </w:r>
      <w:r>
        <w:rPr>
          <w:rFonts w:ascii="Times New Roman" w:hAnsi="Times New Roman"/>
          <w:sz w:val="24"/>
          <w:szCs w:val="24"/>
          <w:highlight w:val="yellow"/>
        </w:rPr>
        <w:t>can</w:t>
      </w:r>
      <w:r>
        <w:rPr>
          <w:rFonts w:ascii="Times New Roman" w:hAnsi="Times New Roman"/>
          <w:sz w:val="24"/>
          <w:szCs w:val="24"/>
        </w:rPr>
        <w:t xml:space="preserve"> provide </w:t>
      </w:r>
      <w:r>
        <w:rPr>
          <w:rFonts w:ascii="Times New Roman" w:hAnsi="Times New Roman"/>
          <w:sz w:val="24"/>
          <w:szCs w:val="24"/>
          <w:highlight w:val="yellow"/>
        </w:rPr>
        <w:t>additional</w:t>
      </w:r>
      <w:r>
        <w:rPr>
          <w:rFonts w:ascii="Times New Roman" w:hAnsi="Times New Roman"/>
          <w:sz w:val="24"/>
          <w:szCs w:val="24"/>
        </w:rPr>
        <w:t xml:space="preserve"> </w:t>
      </w:r>
      <w:r>
        <w:rPr>
          <w:rFonts w:ascii="Times New Roman" w:hAnsi="Times New Roman"/>
          <w:sz w:val="24"/>
          <w:szCs w:val="24"/>
          <w:highlight w:val="yellow"/>
        </w:rPr>
        <w:t>capacity</w:t>
      </w:r>
      <w:r>
        <w:rPr>
          <w:rFonts w:ascii="Times New Roman" w:hAnsi="Times New Roman"/>
          <w:sz w:val="24"/>
          <w:szCs w:val="24"/>
        </w:rPr>
        <w:t xml:space="preserve"> for meeting demands and counteract feelings of helplessness and hopelessness. The support patients receive </w:t>
      </w:r>
      <w:r>
        <w:rPr>
          <w:rFonts w:ascii="Times New Roman" w:hAnsi="Times New Roman"/>
          <w:sz w:val="24"/>
          <w:szCs w:val="24"/>
          <w:highlight w:val="yellow"/>
        </w:rPr>
        <w:t>helps</w:t>
      </w:r>
      <w:r>
        <w:rPr>
          <w:rFonts w:ascii="Times New Roman" w:hAnsi="Times New Roman"/>
          <w:sz w:val="24"/>
          <w:szCs w:val="24"/>
        </w:rPr>
        <w:t xml:space="preserve"> them evaluate their situation </w:t>
      </w:r>
      <w:r>
        <w:rPr>
          <w:rFonts w:ascii="Times New Roman" w:hAnsi="Times New Roman"/>
          <w:sz w:val="24"/>
          <w:szCs w:val="24"/>
          <w:highlight w:val="yellow"/>
        </w:rPr>
        <w:t>realistically,</w:t>
      </w:r>
      <w:r>
        <w:rPr>
          <w:rFonts w:ascii="Times New Roman" w:hAnsi="Times New Roman"/>
          <w:sz w:val="24"/>
          <w:szCs w:val="24"/>
        </w:rPr>
        <w:t xml:space="preserve"> challenge and alter their existing </w:t>
      </w:r>
      <w:r>
        <w:rPr>
          <w:rFonts w:ascii="Times New Roman" w:hAnsi="Times New Roman"/>
          <w:sz w:val="24"/>
          <w:szCs w:val="24"/>
          <w:highlight w:val="yellow"/>
        </w:rPr>
        <w:t>perspectives,</w:t>
      </w:r>
      <w:r>
        <w:rPr>
          <w:rFonts w:ascii="Times New Roman" w:hAnsi="Times New Roman"/>
          <w:sz w:val="24"/>
          <w:szCs w:val="24"/>
        </w:rPr>
        <w:t xml:space="preserve"> maintain their self-esteem by reinforcing </w:t>
      </w:r>
      <w:r>
        <w:rPr>
          <w:rFonts w:ascii="Times New Roman" w:hAnsi="Times New Roman"/>
          <w:sz w:val="24"/>
          <w:szCs w:val="24"/>
          <w:highlight w:val="yellow"/>
        </w:rPr>
        <w:t>the</w:t>
      </w:r>
      <w:r>
        <w:rPr>
          <w:rFonts w:ascii="Times New Roman" w:hAnsi="Times New Roman"/>
          <w:sz w:val="24"/>
          <w:szCs w:val="24"/>
        </w:rPr>
        <w:t xml:space="preserve"> belief that they are able to </w:t>
      </w:r>
      <w:r>
        <w:rPr>
          <w:rFonts w:ascii="Times New Roman" w:hAnsi="Times New Roman"/>
          <w:sz w:val="24"/>
          <w:szCs w:val="24"/>
          <w:highlight w:val="yellow"/>
        </w:rPr>
        <w:t>manage,</w:t>
      </w:r>
      <w:r>
        <w:rPr>
          <w:rFonts w:ascii="Times New Roman" w:hAnsi="Times New Roman"/>
          <w:sz w:val="24"/>
          <w:szCs w:val="24"/>
        </w:rPr>
        <w:t xml:space="preserve"> and establish emotional balance by absorbing the impact of strong feelings. </w:t>
      </w:r>
      <w:r>
        <w:rPr>
          <w:rFonts w:ascii="Times New Roman" w:hAnsi="Times New Roman"/>
          <w:sz w:val="24"/>
          <w:szCs w:val="24"/>
          <w:highlight w:val="yellow"/>
        </w:rPr>
        <w:t>Heinze</w:t>
      </w:r>
      <w:r>
        <w:rPr>
          <w:rFonts w:ascii="Times New Roman" w:hAnsi="Times New Roman"/>
          <w:sz w:val="24"/>
          <w:szCs w:val="24"/>
        </w:rPr>
        <w:t xml:space="preserve"> </w:t>
      </w:r>
      <w:r>
        <w:rPr>
          <w:rFonts w:ascii="Times New Roman" w:hAnsi="Times New Roman"/>
          <w:sz w:val="24"/>
          <w:szCs w:val="24"/>
          <w:highlight w:val="yellow"/>
        </w:rPr>
        <w:t>et</w:t>
      </w:r>
      <w:r>
        <w:rPr>
          <w:rFonts w:ascii="Times New Roman" w:hAnsi="Times New Roman"/>
          <w:sz w:val="24"/>
          <w:szCs w:val="24"/>
        </w:rPr>
        <w:t xml:space="preserve"> </w:t>
      </w:r>
      <w:r>
        <w:rPr>
          <w:rFonts w:ascii="Times New Roman" w:hAnsi="Times New Roman"/>
          <w:sz w:val="24"/>
          <w:szCs w:val="24"/>
          <w:highlight w:val="yellow"/>
        </w:rPr>
        <w:t>al.</w:t>
      </w:r>
      <w:r>
        <w:rPr>
          <w:rFonts w:ascii="Times New Roman" w:hAnsi="Times New Roman"/>
          <w:sz w:val="24"/>
          <w:szCs w:val="24"/>
        </w:rPr>
        <w:t xml:space="preserve"> (2015) also found </w:t>
      </w:r>
      <w:r>
        <w:rPr>
          <w:rFonts w:ascii="Times New Roman" w:hAnsi="Times New Roman"/>
          <w:sz w:val="24"/>
          <w:szCs w:val="24"/>
          <w:highlight w:val="yellow"/>
        </w:rPr>
        <w:t>that,</w:t>
      </w:r>
      <w:r>
        <w:rPr>
          <w:rFonts w:ascii="Times New Roman" w:hAnsi="Times New Roman"/>
          <w:sz w:val="24"/>
          <w:szCs w:val="24"/>
        </w:rPr>
        <w:t xml:space="preserve"> as a result of supportive social networks, people </w:t>
      </w:r>
      <w:r>
        <w:rPr>
          <w:rFonts w:ascii="Times New Roman" w:hAnsi="Times New Roman"/>
          <w:sz w:val="24"/>
          <w:szCs w:val="24"/>
          <w:highlight w:val="yellow"/>
        </w:rPr>
        <w:t xml:space="preserve">may </w:t>
      </w:r>
      <w:r>
        <w:rPr>
          <w:rFonts w:ascii="Times New Roman" w:hAnsi="Times New Roman"/>
          <w:sz w:val="24"/>
          <w:szCs w:val="24"/>
        </w:rPr>
        <w:t xml:space="preserve">experience a sense of competence, </w:t>
      </w:r>
      <w:r>
        <w:rPr>
          <w:rFonts w:ascii="Times New Roman" w:hAnsi="Times New Roman"/>
          <w:sz w:val="24"/>
          <w:szCs w:val="24"/>
          <w:highlight w:val="yellow"/>
        </w:rPr>
        <w:t>empowerment,</w:t>
      </w:r>
      <w:r>
        <w:rPr>
          <w:rFonts w:ascii="Times New Roman" w:hAnsi="Times New Roman"/>
          <w:sz w:val="24"/>
          <w:szCs w:val="24"/>
        </w:rPr>
        <w:t xml:space="preserve"> and </w:t>
      </w:r>
      <w:r>
        <w:rPr>
          <w:rFonts w:ascii="Times New Roman" w:hAnsi="Times New Roman"/>
          <w:sz w:val="24"/>
          <w:szCs w:val="24"/>
          <w:highlight w:val="yellow"/>
        </w:rPr>
        <w:t>well-being</w:t>
      </w:r>
      <w:r>
        <w:rPr>
          <w:rFonts w:ascii="Times New Roman" w:hAnsi="Times New Roman"/>
          <w:sz w:val="24"/>
          <w:szCs w:val="24"/>
        </w:rPr>
        <w:t xml:space="preserve"> and feel validated. There is evidence of a positive correlation between </w:t>
      </w:r>
      <w:r>
        <w:rPr>
          <w:rFonts w:ascii="Times New Roman" w:hAnsi="Times New Roman"/>
          <w:sz w:val="24"/>
          <w:szCs w:val="24"/>
          <w:highlight w:val="yellow"/>
        </w:rPr>
        <w:t>strong</w:t>
      </w:r>
      <w:r>
        <w:rPr>
          <w:rFonts w:ascii="Times New Roman" w:hAnsi="Times New Roman"/>
          <w:sz w:val="24"/>
          <w:szCs w:val="24"/>
        </w:rPr>
        <w:t xml:space="preserve"> </w:t>
      </w:r>
      <w:r>
        <w:rPr>
          <w:rFonts w:ascii="Times New Roman" w:hAnsi="Times New Roman"/>
          <w:sz w:val="24"/>
          <w:szCs w:val="24"/>
          <w:highlight w:val="yellow"/>
        </w:rPr>
        <w:t>social-network</w:t>
      </w:r>
      <w:r>
        <w:rPr>
          <w:rFonts w:ascii="Times New Roman" w:hAnsi="Times New Roman"/>
          <w:sz w:val="24"/>
          <w:szCs w:val="24"/>
        </w:rPr>
        <w:t xml:space="preserve"> </w:t>
      </w:r>
      <w:r>
        <w:rPr>
          <w:rFonts w:ascii="Times New Roman" w:hAnsi="Times New Roman"/>
          <w:sz w:val="24"/>
          <w:szCs w:val="24"/>
          <w:highlight w:val="yellow"/>
        </w:rPr>
        <w:t>connections</w:t>
      </w:r>
      <w:r>
        <w:rPr>
          <w:rFonts w:ascii="Times New Roman" w:hAnsi="Times New Roman"/>
          <w:sz w:val="24"/>
          <w:szCs w:val="24"/>
        </w:rPr>
        <w:t xml:space="preserve"> and physical and mental </w:t>
      </w:r>
      <w:r>
        <w:rPr>
          <w:rFonts w:ascii="Times New Roman" w:hAnsi="Times New Roman"/>
          <w:sz w:val="24"/>
          <w:szCs w:val="24"/>
          <w:highlight w:val="yellow"/>
        </w:rPr>
        <w:t>health,</w:t>
      </w:r>
      <w:r>
        <w:rPr>
          <w:rFonts w:ascii="Times New Roman" w:hAnsi="Times New Roman"/>
          <w:sz w:val="24"/>
          <w:szCs w:val="24"/>
        </w:rPr>
        <w:t xml:space="preserve"> </w:t>
      </w:r>
      <w:r>
        <w:rPr>
          <w:rFonts w:ascii="Times New Roman" w:hAnsi="Times New Roman"/>
          <w:sz w:val="24"/>
          <w:szCs w:val="24"/>
          <w:highlight w:val="yellow"/>
        </w:rPr>
        <w:t>as well as</w:t>
      </w:r>
      <w:r>
        <w:rPr>
          <w:rFonts w:ascii="Times New Roman" w:hAnsi="Times New Roman"/>
          <w:sz w:val="24"/>
          <w:szCs w:val="24"/>
        </w:rPr>
        <w:t xml:space="preserve"> reduced mortality. In addition, Graven and Grant (2013) </w:t>
      </w:r>
      <w:r>
        <w:rPr>
          <w:rFonts w:ascii="Times New Roman" w:hAnsi="Times New Roman"/>
          <w:sz w:val="24"/>
          <w:szCs w:val="24"/>
          <w:highlight w:val="yellow"/>
        </w:rPr>
        <w:t>reported</w:t>
      </w:r>
      <w:r>
        <w:rPr>
          <w:rFonts w:ascii="Times New Roman" w:hAnsi="Times New Roman"/>
          <w:sz w:val="24"/>
          <w:szCs w:val="24"/>
        </w:rPr>
        <w:t xml:space="preserve"> that social support is positively related to </w:t>
      </w:r>
      <w:r>
        <w:rPr>
          <w:rFonts w:ascii="Times New Roman" w:hAnsi="Times New Roman"/>
          <w:sz w:val="24"/>
          <w:szCs w:val="24"/>
          <w:highlight w:val="yellow"/>
        </w:rPr>
        <w:t>health,</w:t>
      </w:r>
      <w:r>
        <w:rPr>
          <w:rFonts w:ascii="Times New Roman" w:hAnsi="Times New Roman"/>
          <w:sz w:val="24"/>
          <w:szCs w:val="24"/>
        </w:rPr>
        <w:t xml:space="preserve"> recovery from illness, and self-care in chronic </w:t>
      </w:r>
      <w:r>
        <w:rPr>
          <w:rFonts w:ascii="Times New Roman" w:hAnsi="Times New Roman"/>
          <w:sz w:val="24"/>
          <w:szCs w:val="24"/>
          <w:highlight w:val="yellow"/>
        </w:rPr>
        <w:t>illness.</w:t>
      </w:r>
    </w:p>
    <w:p w14:paraId="371E9096" w14:textId="77777777" w:rsidR="002D720D" w:rsidRDefault="00000000">
      <w:pPr>
        <w:spacing w:line="480" w:lineRule="auto"/>
        <w:jc w:val="both"/>
      </w:pPr>
      <w:r>
        <w:rPr>
          <w:rFonts w:ascii="Times New Roman" w:hAnsi="Times New Roman"/>
          <w:b/>
          <w:sz w:val="24"/>
          <w:szCs w:val="24"/>
        </w:rPr>
        <w:t>Hypothesis two:</w:t>
      </w:r>
      <w:r>
        <w:rPr>
          <w:rFonts w:ascii="Times New Roman" w:hAnsi="Times New Roman"/>
          <w:sz w:val="24"/>
          <w:szCs w:val="24"/>
        </w:rPr>
        <w:t xml:space="preserve"> There is no significant relationship between psychosocial support and physical recovery among patients attending government hospitals in Oyo State, Nigeria</w:t>
      </w:r>
    </w:p>
    <w:p w14:paraId="2A9DA109" w14:textId="77777777" w:rsidR="002D720D" w:rsidRDefault="00000000">
      <w:pPr>
        <w:spacing w:line="240" w:lineRule="auto"/>
        <w:jc w:val="both"/>
        <w:rPr>
          <w:rFonts w:ascii="Times New Roman" w:hAnsi="Times New Roman"/>
          <w:sz w:val="24"/>
          <w:szCs w:val="24"/>
        </w:rPr>
      </w:pPr>
      <w:r>
        <w:rPr>
          <w:rFonts w:ascii="Times New Roman" w:hAnsi="Times New Roman"/>
          <w:b/>
          <w:sz w:val="24"/>
          <w:szCs w:val="24"/>
        </w:rPr>
        <w:t>Table 5: Pearson Product Moment Correlation (PPMC) showing the relationship between psychosocial support and physical recovery among patients</w:t>
      </w:r>
    </w:p>
    <w:tbl>
      <w:tblPr>
        <w:tblW w:w="5000" w:type="pct"/>
        <w:tblLayout w:type="fixed"/>
        <w:tblLook w:val="0000" w:firstRow="0" w:lastRow="0" w:firstColumn="0" w:lastColumn="0" w:noHBand="0" w:noVBand="0"/>
      </w:tblPr>
      <w:tblGrid>
        <w:gridCol w:w="2692"/>
        <w:gridCol w:w="1190"/>
        <w:gridCol w:w="1368"/>
        <w:gridCol w:w="689"/>
        <w:gridCol w:w="760"/>
        <w:gridCol w:w="1168"/>
        <w:gridCol w:w="1375"/>
      </w:tblGrid>
      <w:tr w:rsidR="002D720D" w14:paraId="4973710D" w14:textId="77777777">
        <w:trPr>
          <w:trHeight w:val="260"/>
        </w:trPr>
        <w:tc>
          <w:tcPr>
            <w:tcW w:w="2629" w:type="dxa"/>
            <w:tcBorders>
              <w:top w:val="single" w:sz="4" w:space="0" w:color="000000"/>
              <w:left w:val="single" w:sz="4" w:space="0" w:color="000000"/>
              <w:bottom w:val="single" w:sz="4" w:space="0" w:color="000000"/>
              <w:right w:val="single" w:sz="4" w:space="0" w:color="000000"/>
            </w:tcBorders>
          </w:tcPr>
          <w:p w14:paraId="7C37A83D"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Variables</w:t>
            </w:r>
            <w:r>
              <w:rPr>
                <w:rFonts w:ascii="Times New Roman" w:hAnsi="Times New Roman"/>
                <w:b/>
                <w:sz w:val="24"/>
                <w:szCs w:val="24"/>
                <w:lang w:val="en-US"/>
              </w:rPr>
              <w:tab/>
            </w:r>
          </w:p>
        </w:tc>
        <w:tc>
          <w:tcPr>
            <w:tcW w:w="1162" w:type="dxa"/>
            <w:tcBorders>
              <w:top w:val="single" w:sz="4" w:space="0" w:color="000000"/>
              <w:left w:val="single" w:sz="4" w:space="0" w:color="000000"/>
              <w:bottom w:val="single" w:sz="4" w:space="0" w:color="000000"/>
              <w:right w:val="single" w:sz="4" w:space="0" w:color="000000"/>
            </w:tcBorders>
          </w:tcPr>
          <w:p w14:paraId="7E3E216B"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Mean</w:t>
            </w:r>
          </w:p>
        </w:tc>
        <w:tc>
          <w:tcPr>
            <w:tcW w:w="1336" w:type="dxa"/>
            <w:tcBorders>
              <w:top w:val="single" w:sz="4" w:space="0" w:color="000000"/>
              <w:left w:val="single" w:sz="4" w:space="0" w:color="000000"/>
              <w:bottom w:val="single" w:sz="4" w:space="0" w:color="000000"/>
              <w:right w:val="single" w:sz="4" w:space="0" w:color="000000"/>
            </w:tcBorders>
          </w:tcPr>
          <w:p w14:paraId="3095106A"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Std. Dev.</w:t>
            </w:r>
          </w:p>
        </w:tc>
        <w:tc>
          <w:tcPr>
            <w:tcW w:w="673" w:type="dxa"/>
            <w:tcBorders>
              <w:top w:val="single" w:sz="4" w:space="0" w:color="000000"/>
              <w:left w:val="single" w:sz="4" w:space="0" w:color="000000"/>
              <w:bottom w:val="single" w:sz="4" w:space="0" w:color="000000"/>
              <w:right w:val="single" w:sz="4" w:space="0" w:color="000000"/>
            </w:tcBorders>
          </w:tcPr>
          <w:p w14:paraId="61A386CD"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n</w:t>
            </w:r>
          </w:p>
        </w:tc>
        <w:tc>
          <w:tcPr>
            <w:tcW w:w="742" w:type="dxa"/>
            <w:tcBorders>
              <w:top w:val="single" w:sz="4" w:space="0" w:color="000000"/>
              <w:left w:val="single" w:sz="4" w:space="0" w:color="000000"/>
              <w:bottom w:val="single" w:sz="4" w:space="0" w:color="000000"/>
              <w:right w:val="single" w:sz="4" w:space="0" w:color="000000"/>
            </w:tcBorders>
          </w:tcPr>
          <w:p w14:paraId="59774D93"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r</w:t>
            </w:r>
          </w:p>
        </w:tc>
        <w:tc>
          <w:tcPr>
            <w:tcW w:w="1141" w:type="dxa"/>
            <w:tcBorders>
              <w:top w:val="single" w:sz="4" w:space="0" w:color="000000"/>
              <w:left w:val="single" w:sz="4" w:space="0" w:color="000000"/>
              <w:bottom w:val="single" w:sz="4" w:space="0" w:color="000000"/>
              <w:right w:val="single" w:sz="4" w:space="0" w:color="000000"/>
            </w:tcBorders>
          </w:tcPr>
          <w:p w14:paraId="50E7D7D8"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p-value</w:t>
            </w:r>
          </w:p>
        </w:tc>
        <w:tc>
          <w:tcPr>
            <w:tcW w:w="1343" w:type="dxa"/>
            <w:tcBorders>
              <w:top w:val="single" w:sz="4" w:space="0" w:color="000000"/>
              <w:left w:val="single" w:sz="4" w:space="0" w:color="000000"/>
              <w:bottom w:val="single" w:sz="4" w:space="0" w:color="000000"/>
              <w:right w:val="single" w:sz="4" w:space="0" w:color="000000"/>
            </w:tcBorders>
          </w:tcPr>
          <w:p w14:paraId="69505255" w14:textId="77777777" w:rsidR="002D720D" w:rsidRDefault="00000000">
            <w:pPr>
              <w:spacing w:after="0" w:line="240" w:lineRule="auto"/>
              <w:jc w:val="both"/>
              <w:rPr>
                <w:rFonts w:ascii="Times New Roman" w:hAnsi="Times New Roman"/>
                <w:b/>
                <w:sz w:val="24"/>
                <w:szCs w:val="24"/>
                <w:lang w:val="en-US"/>
              </w:rPr>
            </w:pPr>
            <w:r>
              <w:rPr>
                <w:rFonts w:ascii="Times New Roman" w:hAnsi="Times New Roman"/>
                <w:b/>
                <w:sz w:val="24"/>
                <w:szCs w:val="24"/>
                <w:lang w:val="en-US"/>
              </w:rPr>
              <w:t>Remarks</w:t>
            </w:r>
          </w:p>
        </w:tc>
      </w:tr>
      <w:tr w:rsidR="002D720D" w14:paraId="3D52D2CC" w14:textId="77777777">
        <w:trPr>
          <w:trHeight w:val="755"/>
        </w:trPr>
        <w:tc>
          <w:tcPr>
            <w:tcW w:w="2629" w:type="dxa"/>
            <w:tcBorders>
              <w:top w:val="single" w:sz="4" w:space="0" w:color="000000"/>
              <w:left w:val="single" w:sz="4" w:space="0" w:color="000000"/>
              <w:bottom w:val="single" w:sz="4" w:space="0" w:color="000000"/>
              <w:right w:val="single" w:sz="4" w:space="0" w:color="000000"/>
            </w:tcBorders>
          </w:tcPr>
          <w:p w14:paraId="6CC4E852"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Physical recovery</w:t>
            </w:r>
          </w:p>
          <w:p w14:paraId="59118182" w14:textId="77777777" w:rsidR="002D720D" w:rsidRDefault="002D720D">
            <w:pPr>
              <w:spacing w:after="0" w:line="240" w:lineRule="auto"/>
              <w:jc w:val="both"/>
              <w:rPr>
                <w:rFonts w:ascii="Times New Roman" w:hAnsi="Times New Roman"/>
                <w:sz w:val="24"/>
                <w:szCs w:val="24"/>
                <w:lang w:val="en-US"/>
              </w:rPr>
            </w:pPr>
          </w:p>
          <w:p w14:paraId="0FA22B7A" w14:textId="77777777" w:rsidR="002D720D" w:rsidRDefault="002D720D">
            <w:pPr>
              <w:spacing w:after="0" w:line="240" w:lineRule="auto"/>
              <w:jc w:val="both"/>
              <w:rPr>
                <w:rFonts w:ascii="Times New Roman" w:hAnsi="Times New Roman"/>
                <w:sz w:val="24"/>
                <w:szCs w:val="24"/>
                <w:lang w:val="en-US"/>
              </w:rPr>
            </w:pPr>
          </w:p>
          <w:p w14:paraId="5B6A933A" w14:textId="77777777" w:rsidR="002D720D" w:rsidRDefault="00000000">
            <w:pPr>
              <w:spacing w:after="0" w:line="240" w:lineRule="auto"/>
              <w:jc w:val="both"/>
            </w:pPr>
            <w:r>
              <w:rPr>
                <w:rFonts w:ascii="Times New Roman" w:hAnsi="Times New Roman"/>
                <w:sz w:val="24"/>
                <w:szCs w:val="24"/>
                <w:lang w:val="en-US"/>
              </w:rPr>
              <w:t>Psychosocial support</w:t>
            </w:r>
          </w:p>
        </w:tc>
        <w:tc>
          <w:tcPr>
            <w:tcW w:w="1162" w:type="dxa"/>
            <w:tcBorders>
              <w:top w:val="single" w:sz="4" w:space="0" w:color="000000"/>
              <w:left w:val="single" w:sz="4" w:space="0" w:color="000000"/>
              <w:bottom w:val="single" w:sz="4" w:space="0" w:color="000000"/>
              <w:right w:val="single" w:sz="4" w:space="0" w:color="000000"/>
            </w:tcBorders>
          </w:tcPr>
          <w:p w14:paraId="229F02D8"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34.4113</w:t>
            </w:r>
          </w:p>
          <w:p w14:paraId="493CEC17" w14:textId="77777777" w:rsidR="002D720D" w:rsidRDefault="002D720D">
            <w:pPr>
              <w:spacing w:after="0" w:line="240" w:lineRule="auto"/>
              <w:jc w:val="both"/>
              <w:rPr>
                <w:rFonts w:ascii="Times New Roman" w:hAnsi="Times New Roman"/>
                <w:sz w:val="24"/>
                <w:szCs w:val="24"/>
                <w:lang w:val="en-US"/>
              </w:rPr>
            </w:pPr>
          </w:p>
          <w:p w14:paraId="4139FD1B"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30.9870</w:t>
            </w:r>
          </w:p>
        </w:tc>
        <w:tc>
          <w:tcPr>
            <w:tcW w:w="1336" w:type="dxa"/>
            <w:tcBorders>
              <w:top w:val="single" w:sz="4" w:space="0" w:color="000000"/>
              <w:left w:val="single" w:sz="4" w:space="0" w:color="000000"/>
              <w:bottom w:val="single" w:sz="4" w:space="0" w:color="000000"/>
              <w:right w:val="single" w:sz="4" w:space="0" w:color="000000"/>
            </w:tcBorders>
          </w:tcPr>
          <w:p w14:paraId="68AFCAF9"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3.0459</w:t>
            </w:r>
          </w:p>
          <w:p w14:paraId="3B0AAE50" w14:textId="77777777" w:rsidR="002D720D" w:rsidRDefault="002D720D">
            <w:pPr>
              <w:spacing w:after="0" w:line="240" w:lineRule="auto"/>
              <w:jc w:val="both"/>
              <w:rPr>
                <w:rFonts w:ascii="Times New Roman" w:hAnsi="Times New Roman"/>
                <w:sz w:val="24"/>
                <w:szCs w:val="24"/>
                <w:lang w:val="en-US"/>
              </w:rPr>
            </w:pPr>
          </w:p>
          <w:p w14:paraId="23CE1692"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2.2678</w:t>
            </w:r>
          </w:p>
        </w:tc>
        <w:tc>
          <w:tcPr>
            <w:tcW w:w="673" w:type="dxa"/>
            <w:tcBorders>
              <w:top w:val="single" w:sz="4" w:space="0" w:color="000000"/>
              <w:left w:val="single" w:sz="4" w:space="0" w:color="000000"/>
              <w:bottom w:val="single" w:sz="4" w:space="0" w:color="000000"/>
              <w:right w:val="single" w:sz="4" w:space="0" w:color="000000"/>
            </w:tcBorders>
          </w:tcPr>
          <w:p w14:paraId="34449AE8" w14:textId="77777777" w:rsidR="002D720D" w:rsidRDefault="002D720D">
            <w:pPr>
              <w:snapToGrid w:val="0"/>
              <w:spacing w:after="0" w:line="240" w:lineRule="auto"/>
              <w:jc w:val="both"/>
              <w:rPr>
                <w:rFonts w:ascii="Times New Roman" w:hAnsi="Times New Roman"/>
                <w:sz w:val="24"/>
                <w:szCs w:val="24"/>
                <w:lang w:val="en-US"/>
              </w:rPr>
            </w:pPr>
          </w:p>
          <w:p w14:paraId="46F79524"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231</w:t>
            </w:r>
          </w:p>
        </w:tc>
        <w:tc>
          <w:tcPr>
            <w:tcW w:w="742" w:type="dxa"/>
            <w:tcBorders>
              <w:top w:val="single" w:sz="4" w:space="0" w:color="000000"/>
              <w:left w:val="single" w:sz="4" w:space="0" w:color="000000"/>
              <w:bottom w:val="single" w:sz="4" w:space="0" w:color="000000"/>
              <w:right w:val="single" w:sz="4" w:space="0" w:color="000000"/>
            </w:tcBorders>
          </w:tcPr>
          <w:p w14:paraId="23215E45" w14:textId="77777777" w:rsidR="002D720D" w:rsidRDefault="002D720D">
            <w:pPr>
              <w:snapToGrid w:val="0"/>
              <w:spacing w:after="0" w:line="240" w:lineRule="auto"/>
              <w:jc w:val="both"/>
              <w:rPr>
                <w:rFonts w:ascii="Times New Roman" w:hAnsi="Times New Roman"/>
                <w:sz w:val="24"/>
                <w:szCs w:val="24"/>
                <w:lang w:val="en-US"/>
              </w:rPr>
            </w:pPr>
          </w:p>
          <w:p w14:paraId="522A4EE3"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.536</w:t>
            </w:r>
          </w:p>
        </w:tc>
        <w:tc>
          <w:tcPr>
            <w:tcW w:w="1141" w:type="dxa"/>
            <w:tcBorders>
              <w:top w:val="single" w:sz="4" w:space="0" w:color="000000"/>
              <w:left w:val="single" w:sz="4" w:space="0" w:color="000000"/>
              <w:bottom w:val="single" w:sz="4" w:space="0" w:color="000000"/>
              <w:right w:val="single" w:sz="4" w:space="0" w:color="000000"/>
            </w:tcBorders>
          </w:tcPr>
          <w:p w14:paraId="3C2141CB" w14:textId="77777777" w:rsidR="002D720D" w:rsidRDefault="002D720D">
            <w:pPr>
              <w:snapToGrid w:val="0"/>
              <w:spacing w:after="0" w:line="240" w:lineRule="auto"/>
              <w:jc w:val="both"/>
              <w:rPr>
                <w:rFonts w:ascii="Times New Roman" w:hAnsi="Times New Roman"/>
                <w:sz w:val="24"/>
                <w:szCs w:val="24"/>
                <w:lang w:val="en-US"/>
              </w:rPr>
            </w:pPr>
          </w:p>
          <w:p w14:paraId="62E5CEBA"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.000</w:t>
            </w:r>
          </w:p>
        </w:tc>
        <w:tc>
          <w:tcPr>
            <w:tcW w:w="1343" w:type="dxa"/>
            <w:tcBorders>
              <w:top w:val="single" w:sz="4" w:space="0" w:color="000000"/>
              <w:left w:val="single" w:sz="4" w:space="0" w:color="000000"/>
              <w:bottom w:val="single" w:sz="4" w:space="0" w:color="000000"/>
              <w:right w:val="single" w:sz="4" w:space="0" w:color="000000"/>
            </w:tcBorders>
          </w:tcPr>
          <w:p w14:paraId="2538A870" w14:textId="77777777" w:rsidR="002D720D" w:rsidRDefault="002D720D">
            <w:pPr>
              <w:snapToGrid w:val="0"/>
              <w:spacing w:after="0" w:line="240" w:lineRule="auto"/>
              <w:jc w:val="both"/>
              <w:rPr>
                <w:rFonts w:ascii="Times New Roman" w:hAnsi="Times New Roman"/>
                <w:sz w:val="24"/>
                <w:szCs w:val="24"/>
                <w:lang w:val="en-US"/>
              </w:rPr>
            </w:pPr>
          </w:p>
          <w:p w14:paraId="09A295A0" w14:textId="77777777" w:rsidR="002D720D" w:rsidRDefault="00000000">
            <w:pPr>
              <w:spacing w:after="0" w:line="240" w:lineRule="auto"/>
              <w:jc w:val="both"/>
              <w:rPr>
                <w:rFonts w:ascii="Times New Roman" w:hAnsi="Times New Roman"/>
                <w:sz w:val="24"/>
                <w:szCs w:val="24"/>
                <w:lang w:val="en-US"/>
              </w:rPr>
            </w:pPr>
            <w:r>
              <w:rPr>
                <w:rFonts w:ascii="Times New Roman" w:hAnsi="Times New Roman"/>
                <w:sz w:val="24"/>
                <w:szCs w:val="24"/>
                <w:lang w:val="en-US"/>
              </w:rPr>
              <w:t>Sig.</w:t>
            </w:r>
          </w:p>
        </w:tc>
      </w:tr>
    </w:tbl>
    <w:p w14:paraId="2D6DB460" w14:textId="77777777" w:rsidR="002D720D" w:rsidRDefault="00000000">
      <w:pPr>
        <w:spacing w:line="480" w:lineRule="auto"/>
        <w:jc w:val="both"/>
        <w:rPr>
          <w:rFonts w:ascii="Times New Roman" w:hAnsi="Times New Roman"/>
          <w:sz w:val="24"/>
          <w:szCs w:val="24"/>
        </w:rPr>
      </w:pPr>
      <w:r>
        <w:rPr>
          <w:rFonts w:ascii="Times New Roman" w:hAnsi="Times New Roman"/>
          <w:sz w:val="24"/>
          <w:szCs w:val="24"/>
        </w:rPr>
        <w:t>Sig. at 0.05 level</w:t>
      </w:r>
    </w:p>
    <w:p w14:paraId="64AD9FAA" w14:textId="77777777" w:rsidR="002D720D" w:rsidRDefault="00000000">
      <w:pPr>
        <w:spacing w:line="480" w:lineRule="auto"/>
        <w:jc w:val="both"/>
      </w:pPr>
      <w:r>
        <w:rPr>
          <w:rFonts w:ascii="Times New Roman" w:hAnsi="Times New Roman"/>
          <w:sz w:val="24"/>
          <w:szCs w:val="24"/>
        </w:rPr>
        <w:t xml:space="preserve">Table 5 shows that there is a significant relationship between psychosocial support and physical recovery among patients attending State Hospital, Ring Road, Ibadan, and </w:t>
      </w:r>
      <w:proofErr w:type="spellStart"/>
      <w:r>
        <w:rPr>
          <w:rFonts w:ascii="Times New Roman" w:hAnsi="Times New Roman"/>
          <w:sz w:val="24"/>
          <w:szCs w:val="24"/>
        </w:rPr>
        <w:t>Adeoyo</w:t>
      </w:r>
      <w:proofErr w:type="spellEnd"/>
      <w:r>
        <w:rPr>
          <w:rFonts w:ascii="Times New Roman" w:hAnsi="Times New Roman"/>
          <w:sz w:val="24"/>
          <w:szCs w:val="24"/>
        </w:rPr>
        <w:t xml:space="preserve"> Maternity Hospital, Ibadan, Oyo </w:t>
      </w:r>
      <w:r>
        <w:rPr>
          <w:rFonts w:ascii="Times New Roman" w:hAnsi="Times New Roman"/>
          <w:sz w:val="24"/>
          <w:szCs w:val="24"/>
          <w:highlight w:val="yellow"/>
        </w:rPr>
        <w:t xml:space="preserve">State, Nigeria (r = .536, n = 231, p &lt; .05). Hence, </w:t>
      </w:r>
      <w:r>
        <w:rPr>
          <w:rFonts w:ascii="Times New Roman" w:hAnsi="Times New Roman"/>
          <w:sz w:val="24"/>
          <w:szCs w:val="24"/>
          <w:highlight w:val="yellow"/>
        </w:rPr>
        <w:lastRenderedPageBreak/>
        <w:t>psychosocial support was positively associated with physical recovery among the patients</w:t>
      </w:r>
      <w:r>
        <w:rPr>
          <w:rFonts w:ascii="Times New Roman" w:hAnsi="Times New Roman"/>
          <w:sz w:val="24"/>
          <w:szCs w:val="24"/>
        </w:rPr>
        <w:t xml:space="preserve"> in the study.</w:t>
      </w:r>
    </w:p>
    <w:p w14:paraId="73D31FF6" w14:textId="77777777" w:rsidR="002D720D" w:rsidRDefault="00000000">
      <w:pPr>
        <w:autoSpaceDE w:val="0"/>
        <w:spacing w:before="240" w:after="0" w:line="480" w:lineRule="auto"/>
        <w:ind w:firstLine="720"/>
        <w:jc w:val="both"/>
        <w:rPr>
          <w:rFonts w:ascii="Times New Roman" w:hAnsi="Times New Roman"/>
          <w:sz w:val="24"/>
          <w:szCs w:val="24"/>
        </w:rPr>
      </w:pPr>
      <w:r>
        <w:rPr>
          <w:rFonts w:ascii="Times New Roman" w:hAnsi="Times New Roman"/>
          <w:sz w:val="24"/>
          <w:szCs w:val="24"/>
        </w:rPr>
        <w:t xml:space="preserve">This result supports the views of Hannes and </w:t>
      </w:r>
      <w:proofErr w:type="spellStart"/>
      <w:r>
        <w:rPr>
          <w:rFonts w:ascii="Times New Roman" w:hAnsi="Times New Roman"/>
          <w:sz w:val="24"/>
          <w:szCs w:val="24"/>
        </w:rPr>
        <w:t>Macaitis</w:t>
      </w:r>
      <w:proofErr w:type="spellEnd"/>
      <w:r>
        <w:rPr>
          <w:rFonts w:ascii="Times New Roman" w:hAnsi="Times New Roman"/>
          <w:sz w:val="24"/>
          <w:szCs w:val="24"/>
        </w:rPr>
        <w:t xml:space="preserve"> (2012) that functional recovery is limited by </w:t>
      </w:r>
      <w:r>
        <w:rPr>
          <w:rFonts w:ascii="Times New Roman" w:hAnsi="Times New Roman"/>
          <w:sz w:val="24"/>
          <w:szCs w:val="24"/>
          <w:highlight w:val="yellow"/>
        </w:rPr>
        <w:t xml:space="preserve">a </w:t>
      </w:r>
      <w:r>
        <w:rPr>
          <w:rFonts w:ascii="Times New Roman" w:hAnsi="Times New Roman"/>
          <w:sz w:val="24"/>
          <w:szCs w:val="24"/>
        </w:rPr>
        <w:t xml:space="preserve">variety of factors. General factors include the </w:t>
      </w:r>
      <w:r>
        <w:rPr>
          <w:rFonts w:ascii="Times New Roman" w:hAnsi="Times New Roman"/>
          <w:sz w:val="24"/>
          <w:szCs w:val="24"/>
          <w:highlight w:val="yellow"/>
        </w:rPr>
        <w:t xml:space="preserve">individual's </w:t>
      </w:r>
      <w:r>
        <w:rPr>
          <w:rFonts w:ascii="Times New Roman" w:hAnsi="Times New Roman"/>
          <w:sz w:val="24"/>
          <w:szCs w:val="24"/>
        </w:rPr>
        <w:t xml:space="preserve">motivation and the services available to them. For example, a </w:t>
      </w:r>
      <w:r>
        <w:rPr>
          <w:rFonts w:ascii="Times New Roman" w:hAnsi="Times New Roman"/>
          <w:sz w:val="24"/>
          <w:szCs w:val="24"/>
          <w:highlight w:val="yellow"/>
        </w:rPr>
        <w:t>young,</w:t>
      </w:r>
      <w:r>
        <w:rPr>
          <w:rFonts w:ascii="Times New Roman" w:hAnsi="Times New Roman"/>
          <w:sz w:val="24"/>
          <w:szCs w:val="24"/>
        </w:rPr>
        <w:t xml:space="preserve"> motivated </w:t>
      </w:r>
      <w:r>
        <w:rPr>
          <w:rFonts w:ascii="Times New Roman" w:hAnsi="Times New Roman"/>
          <w:sz w:val="24"/>
          <w:szCs w:val="24"/>
          <w:highlight w:val="yellow"/>
        </w:rPr>
        <w:t>individual</w:t>
      </w:r>
      <w:r>
        <w:rPr>
          <w:rFonts w:ascii="Times New Roman" w:hAnsi="Times New Roman"/>
          <w:sz w:val="24"/>
          <w:szCs w:val="24"/>
        </w:rPr>
        <w:t xml:space="preserve"> with </w:t>
      </w:r>
      <w:r>
        <w:rPr>
          <w:rFonts w:ascii="Times New Roman" w:hAnsi="Times New Roman"/>
          <w:sz w:val="24"/>
          <w:szCs w:val="24"/>
          <w:highlight w:val="yellow"/>
        </w:rPr>
        <w:t>unlimited access to</w:t>
      </w:r>
      <w:r>
        <w:rPr>
          <w:rFonts w:ascii="Times New Roman" w:hAnsi="Times New Roman"/>
          <w:sz w:val="24"/>
          <w:szCs w:val="24"/>
        </w:rPr>
        <w:t xml:space="preserve"> physiotherapy </w:t>
      </w:r>
      <w:r>
        <w:rPr>
          <w:rFonts w:ascii="Times New Roman" w:hAnsi="Times New Roman"/>
          <w:sz w:val="24"/>
          <w:szCs w:val="24"/>
          <w:highlight w:val="yellow"/>
        </w:rPr>
        <w:t>is</w:t>
      </w:r>
      <w:r>
        <w:rPr>
          <w:rFonts w:ascii="Times New Roman" w:hAnsi="Times New Roman"/>
          <w:sz w:val="24"/>
          <w:szCs w:val="24"/>
        </w:rPr>
        <w:t xml:space="preserve"> likely</w:t>
      </w:r>
      <w:r>
        <w:rPr>
          <w:rFonts w:ascii="Times New Roman" w:hAnsi="Times New Roman"/>
          <w:sz w:val="24"/>
          <w:szCs w:val="24"/>
          <w:highlight w:val="yellow"/>
        </w:rPr>
        <w:t xml:space="preserve"> to</w:t>
      </w:r>
      <w:r>
        <w:rPr>
          <w:rFonts w:ascii="Times New Roman" w:hAnsi="Times New Roman"/>
          <w:sz w:val="24"/>
          <w:szCs w:val="24"/>
        </w:rPr>
        <w:t xml:space="preserve"> recover more effectively from the same </w:t>
      </w:r>
      <w:r>
        <w:rPr>
          <w:rFonts w:ascii="Times New Roman" w:hAnsi="Times New Roman"/>
          <w:sz w:val="24"/>
          <w:szCs w:val="24"/>
          <w:highlight w:val="yellow"/>
        </w:rPr>
        <w:t>injury</w:t>
      </w:r>
      <w:r>
        <w:rPr>
          <w:rFonts w:ascii="Times New Roman" w:hAnsi="Times New Roman"/>
          <w:sz w:val="24"/>
          <w:szCs w:val="24"/>
        </w:rPr>
        <w:t xml:space="preserve"> than </w:t>
      </w:r>
      <w:r>
        <w:rPr>
          <w:rFonts w:ascii="Times New Roman" w:hAnsi="Times New Roman"/>
          <w:sz w:val="24"/>
          <w:szCs w:val="24"/>
          <w:highlight w:val="yellow"/>
        </w:rPr>
        <w:t>an</w:t>
      </w:r>
      <w:r>
        <w:rPr>
          <w:rFonts w:ascii="Times New Roman" w:hAnsi="Times New Roman"/>
          <w:sz w:val="24"/>
          <w:szCs w:val="24"/>
        </w:rPr>
        <w:t xml:space="preserve"> </w:t>
      </w:r>
      <w:r>
        <w:rPr>
          <w:rFonts w:ascii="Times New Roman" w:hAnsi="Times New Roman"/>
          <w:sz w:val="24"/>
          <w:szCs w:val="24"/>
          <w:highlight w:val="yellow"/>
        </w:rPr>
        <w:t>older,</w:t>
      </w:r>
      <w:r>
        <w:rPr>
          <w:rFonts w:ascii="Times New Roman" w:hAnsi="Times New Roman"/>
          <w:sz w:val="24"/>
          <w:szCs w:val="24"/>
        </w:rPr>
        <w:t xml:space="preserve"> non-compliant patient</w:t>
      </w:r>
      <w:r>
        <w:rPr>
          <w:rFonts w:ascii="Times New Roman" w:hAnsi="Times New Roman"/>
          <w:sz w:val="24"/>
          <w:szCs w:val="24"/>
          <w:highlight w:val="yellow"/>
        </w:rPr>
        <w:t xml:space="preserve"> with dementia</w:t>
      </w:r>
      <w:r>
        <w:rPr>
          <w:rFonts w:ascii="Times New Roman" w:hAnsi="Times New Roman"/>
          <w:sz w:val="24"/>
          <w:szCs w:val="24"/>
        </w:rPr>
        <w:t xml:space="preserve"> who has no access to physical assistance. Additionally, Norton and </w:t>
      </w:r>
      <w:proofErr w:type="spellStart"/>
      <w:r>
        <w:rPr>
          <w:rFonts w:ascii="Times New Roman" w:hAnsi="Times New Roman"/>
          <w:sz w:val="24"/>
          <w:szCs w:val="24"/>
        </w:rPr>
        <w:t>Cuskelly</w:t>
      </w:r>
      <w:proofErr w:type="spellEnd"/>
      <w:r>
        <w:rPr>
          <w:rFonts w:ascii="Times New Roman" w:hAnsi="Times New Roman"/>
          <w:sz w:val="24"/>
          <w:szCs w:val="24"/>
        </w:rPr>
        <w:t xml:space="preserve"> (2021) contend </w:t>
      </w:r>
      <w:r>
        <w:rPr>
          <w:rFonts w:ascii="Times New Roman" w:hAnsi="Times New Roman"/>
          <w:sz w:val="24"/>
          <w:szCs w:val="24"/>
          <w:highlight w:val="yellow"/>
        </w:rPr>
        <w:t>that</w:t>
      </w:r>
      <w:r>
        <w:rPr>
          <w:rFonts w:ascii="Times New Roman" w:hAnsi="Times New Roman"/>
          <w:sz w:val="24"/>
          <w:szCs w:val="24"/>
        </w:rPr>
        <w:t xml:space="preserve"> financial support from family members should </w:t>
      </w:r>
      <w:r>
        <w:rPr>
          <w:rFonts w:ascii="Times New Roman" w:hAnsi="Times New Roman"/>
          <w:sz w:val="24"/>
          <w:szCs w:val="24"/>
          <w:highlight w:val="yellow"/>
        </w:rPr>
        <w:t>facilitate</w:t>
      </w:r>
      <w:r>
        <w:rPr>
          <w:rFonts w:ascii="Times New Roman" w:hAnsi="Times New Roman"/>
          <w:sz w:val="24"/>
          <w:szCs w:val="24"/>
        </w:rPr>
        <w:t xml:space="preserve"> </w:t>
      </w:r>
      <w:r>
        <w:rPr>
          <w:rFonts w:ascii="Times New Roman" w:hAnsi="Times New Roman"/>
          <w:sz w:val="24"/>
          <w:szCs w:val="24"/>
          <w:highlight w:val="yellow"/>
        </w:rPr>
        <w:t>access</w:t>
      </w:r>
      <w:r>
        <w:rPr>
          <w:rFonts w:ascii="Times New Roman" w:hAnsi="Times New Roman"/>
          <w:sz w:val="24"/>
          <w:szCs w:val="24"/>
        </w:rPr>
        <w:t xml:space="preserve"> </w:t>
      </w:r>
      <w:r>
        <w:rPr>
          <w:rFonts w:ascii="Times New Roman" w:hAnsi="Times New Roman"/>
          <w:sz w:val="24"/>
          <w:szCs w:val="24"/>
          <w:highlight w:val="yellow"/>
        </w:rPr>
        <w:t>to</w:t>
      </w:r>
      <w:r>
        <w:rPr>
          <w:rFonts w:ascii="Times New Roman" w:hAnsi="Times New Roman"/>
          <w:sz w:val="24"/>
          <w:szCs w:val="24"/>
        </w:rPr>
        <w:t xml:space="preserve"> adequate diagnosis and treatment options and </w:t>
      </w:r>
      <w:r>
        <w:rPr>
          <w:rFonts w:ascii="Times New Roman" w:hAnsi="Times New Roman"/>
          <w:sz w:val="24"/>
          <w:szCs w:val="24"/>
          <w:highlight w:val="yellow"/>
        </w:rPr>
        <w:t xml:space="preserve">help patients </w:t>
      </w:r>
      <w:r>
        <w:rPr>
          <w:rFonts w:ascii="Times New Roman" w:hAnsi="Times New Roman"/>
          <w:sz w:val="24"/>
          <w:szCs w:val="24"/>
        </w:rPr>
        <w:t>make fully informed choices.</w:t>
      </w:r>
    </w:p>
    <w:p w14:paraId="057E0D18" w14:textId="77777777" w:rsidR="002D720D" w:rsidRDefault="00000000">
      <w:pPr>
        <w:spacing w:line="480" w:lineRule="auto"/>
        <w:jc w:val="both"/>
        <w:rPr>
          <w:rFonts w:ascii="Times New Roman" w:hAnsi="Times New Roman"/>
          <w:b/>
          <w:bCs/>
          <w:sz w:val="24"/>
          <w:szCs w:val="24"/>
        </w:rPr>
      </w:pPr>
      <w:r>
        <w:rPr>
          <w:rFonts w:ascii="Times New Roman" w:hAnsi="Times New Roman"/>
          <w:b/>
          <w:bCs/>
          <w:sz w:val="24"/>
          <w:szCs w:val="24"/>
        </w:rPr>
        <w:t>Conclusion</w:t>
      </w:r>
    </w:p>
    <w:p w14:paraId="4FC8F469" w14:textId="77777777" w:rsidR="002D720D" w:rsidRDefault="00000000">
      <w:pPr>
        <w:spacing w:line="480" w:lineRule="auto"/>
        <w:jc w:val="both"/>
        <w:rPr>
          <w:rFonts w:ascii="Times New Roman" w:hAnsi="Times New Roman"/>
          <w:sz w:val="24"/>
          <w:szCs w:val="24"/>
        </w:rPr>
      </w:pPr>
      <w:r>
        <w:rPr>
          <w:rFonts w:ascii="Times New Roman" w:hAnsi="Times New Roman"/>
          <w:sz w:val="24"/>
          <w:szCs w:val="24"/>
        </w:rPr>
        <w:t xml:space="preserve">The study concludes that psychosocial support is an important factor </w:t>
      </w:r>
      <w:r>
        <w:rPr>
          <w:rFonts w:ascii="Times New Roman" w:hAnsi="Times New Roman"/>
          <w:sz w:val="24"/>
          <w:szCs w:val="24"/>
          <w:highlight w:val="yellow"/>
        </w:rPr>
        <w:t>associated with</w:t>
      </w:r>
      <w:r>
        <w:rPr>
          <w:rFonts w:ascii="Times New Roman" w:hAnsi="Times New Roman"/>
          <w:sz w:val="24"/>
          <w:szCs w:val="24"/>
        </w:rPr>
        <w:t xml:space="preserve"> the recovery of patients attending government hospitals in Oyo State, Nigeria. The findings </w:t>
      </w:r>
      <w:r>
        <w:rPr>
          <w:rFonts w:ascii="Times New Roman" w:hAnsi="Times New Roman"/>
          <w:sz w:val="24"/>
          <w:szCs w:val="24"/>
          <w:highlight w:val="yellow"/>
        </w:rPr>
        <w:t>showed</w:t>
      </w:r>
      <w:r>
        <w:rPr>
          <w:rFonts w:ascii="Times New Roman" w:hAnsi="Times New Roman"/>
          <w:sz w:val="24"/>
          <w:szCs w:val="24"/>
        </w:rPr>
        <w:t xml:space="preserve"> significant positive relationships between psychosocial support and both emotional and physical recovery. Specifically, the relationship with emotional recovery was moderately strong (r = .594, p &lt; .05), while the relationship with physical recovery was positive and moderate (r = .536, p &lt; .05). These findings </w:t>
      </w:r>
      <w:r>
        <w:rPr>
          <w:rFonts w:ascii="Times New Roman" w:hAnsi="Times New Roman"/>
          <w:sz w:val="24"/>
          <w:szCs w:val="24"/>
          <w:highlight w:val="yellow"/>
        </w:rPr>
        <w:t>suggest</w:t>
      </w:r>
      <w:r>
        <w:rPr>
          <w:rFonts w:ascii="Times New Roman" w:hAnsi="Times New Roman"/>
          <w:sz w:val="24"/>
          <w:szCs w:val="24"/>
        </w:rPr>
        <w:t xml:space="preserve"> that patients </w:t>
      </w:r>
      <w:r>
        <w:rPr>
          <w:rFonts w:ascii="Times New Roman" w:hAnsi="Times New Roman"/>
          <w:sz w:val="24"/>
          <w:szCs w:val="24"/>
          <w:highlight w:val="yellow"/>
        </w:rPr>
        <w:t>reporting</w:t>
      </w:r>
      <w:r>
        <w:rPr>
          <w:rFonts w:ascii="Times New Roman" w:hAnsi="Times New Roman"/>
          <w:sz w:val="24"/>
          <w:szCs w:val="24"/>
        </w:rPr>
        <w:t xml:space="preserve"> adequate emotional, social, practical, </w:t>
      </w:r>
      <w:r>
        <w:rPr>
          <w:rFonts w:ascii="Times New Roman" w:hAnsi="Times New Roman"/>
          <w:sz w:val="24"/>
          <w:szCs w:val="24"/>
          <w:highlight w:val="yellow"/>
        </w:rPr>
        <w:t>informational,</w:t>
      </w:r>
      <w:r>
        <w:rPr>
          <w:rFonts w:ascii="Times New Roman" w:hAnsi="Times New Roman"/>
          <w:sz w:val="24"/>
          <w:szCs w:val="24"/>
        </w:rPr>
        <w:t xml:space="preserve"> and financial support </w:t>
      </w:r>
      <w:r>
        <w:rPr>
          <w:rFonts w:ascii="Times New Roman" w:hAnsi="Times New Roman"/>
          <w:sz w:val="24"/>
          <w:szCs w:val="24"/>
          <w:highlight w:val="yellow"/>
        </w:rPr>
        <w:t>may</w:t>
      </w:r>
      <w:r>
        <w:rPr>
          <w:rFonts w:ascii="Times New Roman" w:hAnsi="Times New Roman"/>
          <w:sz w:val="24"/>
          <w:szCs w:val="24"/>
        </w:rPr>
        <w:t xml:space="preserve"> experience better recovery outcomes. The study therefore concludes that patient recovery should not be viewed solely from a medical perspective. Rather, psychosocial support should be integrated into hospital care because supportive relationships and resources </w:t>
      </w:r>
      <w:r>
        <w:rPr>
          <w:rFonts w:ascii="Times New Roman" w:hAnsi="Times New Roman"/>
          <w:sz w:val="24"/>
          <w:szCs w:val="24"/>
          <w:highlight w:val="yellow"/>
        </w:rPr>
        <w:t>may</w:t>
      </w:r>
      <w:r>
        <w:rPr>
          <w:rFonts w:ascii="Times New Roman" w:hAnsi="Times New Roman"/>
          <w:sz w:val="24"/>
          <w:szCs w:val="24"/>
        </w:rPr>
        <w:t xml:space="preserve"> strengthen patients’ coping abilities, emotional </w:t>
      </w:r>
      <w:r>
        <w:rPr>
          <w:rFonts w:ascii="Times New Roman" w:hAnsi="Times New Roman"/>
          <w:sz w:val="24"/>
          <w:szCs w:val="24"/>
          <w:highlight w:val="yellow"/>
        </w:rPr>
        <w:t>well-being,</w:t>
      </w:r>
      <w:r>
        <w:rPr>
          <w:rFonts w:ascii="Times New Roman" w:hAnsi="Times New Roman"/>
          <w:sz w:val="24"/>
          <w:szCs w:val="24"/>
        </w:rPr>
        <w:t xml:space="preserve"> and capacity to participate actively in their recovery.</w:t>
      </w:r>
    </w:p>
    <w:p w14:paraId="6B553DCD" w14:textId="77777777" w:rsidR="002D720D" w:rsidRDefault="00000000">
      <w:pPr>
        <w:spacing w:line="480" w:lineRule="auto"/>
        <w:jc w:val="both"/>
        <w:rPr>
          <w:rFonts w:ascii="Times New Roman" w:hAnsi="Times New Roman"/>
          <w:b/>
          <w:bCs/>
          <w:sz w:val="24"/>
          <w:szCs w:val="24"/>
        </w:rPr>
      </w:pPr>
      <w:r>
        <w:rPr>
          <w:rFonts w:ascii="Times New Roman" w:hAnsi="Times New Roman"/>
          <w:b/>
          <w:bCs/>
          <w:sz w:val="24"/>
          <w:szCs w:val="24"/>
        </w:rPr>
        <w:t>Recommendations</w:t>
      </w:r>
    </w:p>
    <w:p w14:paraId="4030E3A0" w14:textId="77777777" w:rsidR="002D720D" w:rsidRDefault="00000000">
      <w:pPr>
        <w:spacing w:line="480" w:lineRule="auto"/>
        <w:jc w:val="both"/>
        <w:rPr>
          <w:rFonts w:ascii="Times New Roman" w:hAnsi="Times New Roman"/>
          <w:sz w:val="24"/>
          <w:szCs w:val="24"/>
        </w:rPr>
      </w:pPr>
      <w:r>
        <w:rPr>
          <w:rFonts w:ascii="Times New Roman" w:hAnsi="Times New Roman"/>
          <w:sz w:val="24"/>
          <w:szCs w:val="24"/>
        </w:rPr>
        <w:t xml:space="preserve">Based on the findings of the study, the following recommendations were made: </w:t>
      </w:r>
    </w:p>
    <w:p w14:paraId="2E99383C" w14:textId="77777777" w:rsidR="002D720D" w:rsidRDefault="00000000">
      <w:pPr>
        <w:pStyle w:val="ListParagraph"/>
        <w:numPr>
          <w:ilvl w:val="0"/>
          <w:numId w:val="3"/>
        </w:numPr>
        <w:spacing w:line="480" w:lineRule="auto"/>
        <w:jc w:val="both"/>
        <w:rPr>
          <w:rFonts w:ascii="Times New Roman" w:hAnsi="Times New Roman"/>
          <w:sz w:val="24"/>
          <w:szCs w:val="24"/>
        </w:rPr>
      </w:pPr>
      <w:r>
        <w:rPr>
          <w:rFonts w:ascii="Times New Roman" w:hAnsi="Times New Roman"/>
          <w:sz w:val="24"/>
          <w:szCs w:val="24"/>
        </w:rPr>
        <w:lastRenderedPageBreak/>
        <w:t xml:space="preserve">Government hospitals should strengthen psychosocial support services by integrating social workers, counsellors and other relevant professionals into multidisciplinary healthcare teams to provide patients with emotional, social and practical assistance throughout the treatment and recovery process. </w:t>
      </w:r>
    </w:p>
    <w:p w14:paraId="470F17BC" w14:textId="77777777" w:rsidR="002D720D" w:rsidRDefault="00000000">
      <w:pPr>
        <w:pStyle w:val="ListParagraph"/>
        <w:numPr>
          <w:ilvl w:val="0"/>
          <w:numId w:val="3"/>
        </w:numPr>
        <w:spacing w:line="480" w:lineRule="auto"/>
        <w:jc w:val="both"/>
        <w:rPr>
          <w:rFonts w:ascii="Times New Roman" w:hAnsi="Times New Roman"/>
          <w:sz w:val="24"/>
          <w:szCs w:val="24"/>
        </w:rPr>
      </w:pPr>
      <w:r>
        <w:rPr>
          <w:rFonts w:ascii="Times New Roman" w:hAnsi="Times New Roman"/>
          <w:sz w:val="24"/>
          <w:szCs w:val="24"/>
        </w:rPr>
        <w:t xml:space="preserve">Healthcare providers should encourage appropriate family involvement in patient care. Families should be educated on how to provide emotional encouragement, companionship, financial assistance and practical support without compromising patients’ privacy, independence or participation in treatment decisions. </w:t>
      </w:r>
    </w:p>
    <w:p w14:paraId="290E5B25" w14:textId="77777777" w:rsidR="002D720D" w:rsidRDefault="00000000">
      <w:pPr>
        <w:pStyle w:val="ListParagraph"/>
        <w:numPr>
          <w:ilvl w:val="0"/>
          <w:numId w:val="3"/>
        </w:numPr>
        <w:spacing w:line="480" w:lineRule="auto"/>
        <w:jc w:val="both"/>
        <w:rPr>
          <w:rFonts w:ascii="Times New Roman" w:hAnsi="Times New Roman"/>
          <w:sz w:val="24"/>
          <w:szCs w:val="24"/>
        </w:rPr>
      </w:pPr>
      <w:r>
        <w:rPr>
          <w:rFonts w:ascii="Times New Roman" w:hAnsi="Times New Roman"/>
          <w:sz w:val="24"/>
          <w:szCs w:val="24"/>
        </w:rPr>
        <w:t xml:space="preserve">Government and hospital administrators should establish patient-support programmes such as counselling, peer-support groups and patient education services. Such programmes can help patients cope with fear, anxiety, treatment demands and other challenges that may hinder emotional and physical recovery. </w:t>
      </w:r>
    </w:p>
    <w:p w14:paraId="26CB57BC" w14:textId="77777777" w:rsidR="002D720D" w:rsidRDefault="00000000">
      <w:pPr>
        <w:pStyle w:val="ListParagraph"/>
        <w:numPr>
          <w:ilvl w:val="0"/>
          <w:numId w:val="3"/>
        </w:numPr>
        <w:spacing w:line="480" w:lineRule="auto"/>
        <w:jc w:val="both"/>
        <w:rPr>
          <w:rFonts w:ascii="Times New Roman" w:hAnsi="Times New Roman"/>
          <w:sz w:val="24"/>
          <w:szCs w:val="24"/>
        </w:rPr>
      </w:pPr>
      <w:r>
        <w:rPr>
          <w:rFonts w:ascii="Times New Roman" w:hAnsi="Times New Roman"/>
          <w:sz w:val="24"/>
          <w:szCs w:val="24"/>
        </w:rPr>
        <w:t>Hospitals should strengthen referral and follow-up mechanisms for patients after discharge. Regular follow-up through social workers, community health personnel or designated hospital support services would help identify patients experiencing inadequate psychosocial support and connect them with appropriate family, community and professional resources.</w:t>
      </w:r>
    </w:p>
    <w:p w14:paraId="61F19119" w14:textId="28619DA6" w:rsidR="002D720D" w:rsidRPr="00A74E3A" w:rsidRDefault="00A74E3A" w:rsidP="00A74E3A">
      <w:pPr>
        <w:spacing w:line="480" w:lineRule="auto"/>
        <w:jc w:val="both"/>
        <w:rPr>
          <w:rFonts w:ascii="Times New Roman" w:hAnsi="Times New Roman"/>
          <w:b/>
          <w:bCs/>
          <w:sz w:val="24"/>
          <w:szCs w:val="24"/>
        </w:rPr>
      </w:pPr>
      <w:r w:rsidRPr="00A74E3A">
        <w:rPr>
          <w:rFonts w:ascii="Times New Roman" w:hAnsi="Times New Roman"/>
          <w:b/>
          <w:bCs/>
          <w:sz w:val="24"/>
          <w:szCs w:val="24"/>
        </w:rPr>
        <w:t>Limitations</w:t>
      </w:r>
    </w:p>
    <w:p w14:paraId="3C7392DB" w14:textId="77777777" w:rsidR="00A74E3A" w:rsidRDefault="00A74E3A" w:rsidP="00A74E3A">
      <w:pPr>
        <w:pStyle w:val="NormalWeb"/>
        <w:jc w:val="both"/>
      </w:pPr>
      <w:r>
        <w:t xml:space="preserve">The findings are limited to patients from two government hospitals in Oyo State and should therefore be interpreted within that setting. The correlational design identifies associations but does not establish causality. The study also relied on self-reported questionnaire responses, which may reflect respondents’ perceptions and experiences. The hospital-based sample may limit </w:t>
      </w:r>
      <w:proofErr w:type="spellStart"/>
      <w:r>
        <w:t>generalisability</w:t>
      </w:r>
      <w:proofErr w:type="spellEnd"/>
      <w:r>
        <w:t xml:space="preserve"> to other healthcare settings or patient populations. Future studies involving more hospitals and longitudinal designs could further clarify how psychosocial support relates to recovery over time.</w:t>
      </w:r>
    </w:p>
    <w:p w14:paraId="7780702D" w14:textId="77777777" w:rsidR="00A74E3A" w:rsidRPr="00A74E3A" w:rsidRDefault="00A74E3A" w:rsidP="00A74E3A">
      <w:pPr>
        <w:spacing w:line="480" w:lineRule="auto"/>
        <w:jc w:val="both"/>
        <w:rPr>
          <w:rFonts w:ascii="Times New Roman" w:hAnsi="Times New Roman"/>
          <w:sz w:val="24"/>
          <w:szCs w:val="24"/>
        </w:rPr>
      </w:pPr>
    </w:p>
    <w:p w14:paraId="0B586911" w14:textId="77777777" w:rsidR="002D720D" w:rsidRDefault="002D720D">
      <w:pPr>
        <w:pStyle w:val="ListParagraph"/>
        <w:spacing w:line="480" w:lineRule="auto"/>
        <w:jc w:val="both"/>
        <w:rPr>
          <w:rFonts w:ascii="Times New Roman" w:hAnsi="Times New Roman"/>
          <w:sz w:val="24"/>
          <w:szCs w:val="24"/>
        </w:rPr>
      </w:pPr>
    </w:p>
    <w:p w14:paraId="59C363C0" w14:textId="77777777" w:rsidR="002D720D" w:rsidRDefault="00000000">
      <w:pPr>
        <w:spacing w:after="0" w:line="240" w:lineRule="auto"/>
        <w:rPr>
          <w:rFonts w:ascii="Arial" w:hAnsi="Arial" w:cs="Arial"/>
          <w:b/>
          <w:sz w:val="20"/>
          <w:szCs w:val="20"/>
          <w:lang w:val="en-US"/>
        </w:rPr>
      </w:pPr>
      <w:r>
        <w:rPr>
          <w:rFonts w:ascii="Arial" w:hAnsi="Arial" w:cs="Arial"/>
          <w:b/>
          <w:sz w:val="20"/>
          <w:szCs w:val="20"/>
          <w:lang w:val="en-US"/>
        </w:rPr>
        <w:lastRenderedPageBreak/>
        <w:t>Declaration of AI Use</w:t>
      </w:r>
    </w:p>
    <w:p w14:paraId="37D6ADE4" w14:textId="77777777" w:rsidR="002D720D" w:rsidRDefault="002D720D">
      <w:pPr>
        <w:spacing w:after="0" w:line="240" w:lineRule="auto"/>
        <w:rPr>
          <w:rFonts w:ascii="Arial" w:hAnsi="Arial" w:cs="Arial"/>
          <w:b/>
          <w:sz w:val="20"/>
          <w:szCs w:val="20"/>
          <w:lang w:val="en-US"/>
        </w:rPr>
      </w:pPr>
    </w:p>
    <w:p w14:paraId="41D9E84F" w14:textId="77777777" w:rsidR="002D720D" w:rsidRDefault="00000000">
      <w:pPr>
        <w:spacing w:after="0" w:line="240" w:lineRule="auto"/>
        <w:rPr>
          <w:rFonts w:ascii="Arial" w:hAnsi="Arial" w:cs="Arial"/>
          <w:sz w:val="20"/>
          <w:szCs w:val="20"/>
          <w:lang w:val="en-US"/>
        </w:rPr>
      </w:pPr>
      <w:bookmarkStart w:id="0" w:name="_Hlk238550938"/>
      <w:r>
        <w:rPr>
          <w:rFonts w:ascii="Arial"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Pr>
          <w:rFonts w:ascii="Arial" w:hAnsi="Arial" w:cs="Arial"/>
          <w:sz w:val="20"/>
          <w:szCs w:val="20"/>
          <w:lang w:val="en-US"/>
        </w:rPr>
        <w:t>.</w:t>
      </w:r>
    </w:p>
    <w:p w14:paraId="472E939C" w14:textId="77777777" w:rsidR="002D720D" w:rsidRDefault="002D720D">
      <w:pPr>
        <w:spacing w:line="480" w:lineRule="auto"/>
        <w:jc w:val="both"/>
        <w:rPr>
          <w:rFonts w:ascii="Times New Roman" w:hAnsi="Times New Roman"/>
          <w:sz w:val="24"/>
          <w:szCs w:val="24"/>
        </w:rPr>
      </w:pPr>
      <w:bookmarkStart w:id="1" w:name="_Hlk237856463"/>
      <w:bookmarkStart w:id="2" w:name="_Hlk239068730"/>
      <w:bookmarkStart w:id="3" w:name="_Hlk237862032"/>
      <w:bookmarkEnd w:id="1"/>
      <w:bookmarkEnd w:id="2"/>
      <w:bookmarkEnd w:id="3"/>
    </w:p>
    <w:p w14:paraId="60E1A4BB" w14:textId="77777777" w:rsidR="002D720D" w:rsidRDefault="00000000">
      <w:pPr>
        <w:spacing w:line="240" w:lineRule="auto"/>
        <w:jc w:val="both"/>
        <w:rPr>
          <w:rFonts w:ascii="Times New Roman" w:hAnsi="Times New Roman"/>
          <w:b/>
          <w:bCs/>
          <w:sz w:val="24"/>
          <w:szCs w:val="24"/>
        </w:rPr>
      </w:pPr>
      <w:r>
        <w:rPr>
          <w:rFonts w:ascii="Times New Roman" w:hAnsi="Times New Roman"/>
          <w:b/>
          <w:bCs/>
          <w:sz w:val="24"/>
          <w:szCs w:val="24"/>
        </w:rPr>
        <w:t>References</w:t>
      </w:r>
    </w:p>
    <w:p w14:paraId="4B798AB3" w14:textId="77777777" w:rsidR="002D720D" w:rsidRDefault="00000000">
      <w:pPr>
        <w:spacing w:line="240" w:lineRule="auto"/>
        <w:ind w:left="720" w:hanging="720"/>
        <w:jc w:val="both"/>
      </w:pPr>
      <w:proofErr w:type="spellStart"/>
      <w:r>
        <w:rPr>
          <w:highlight w:val="yellow"/>
        </w:rPr>
        <w:t>Arabyat</w:t>
      </w:r>
      <w:proofErr w:type="spellEnd"/>
      <w:r>
        <w:rPr>
          <w:highlight w:val="yellow"/>
        </w:rPr>
        <w:t xml:space="preserve">, R. M., &amp; Raisch, D. W. (2019). Relationships between social/emotional support and quality of life, depression and disability in patients with chronic obstructive pulmonary disease: An analysis based on propensity score matching. </w:t>
      </w:r>
      <w:r>
        <w:rPr>
          <w:i/>
          <w:highlight w:val="yellow"/>
        </w:rPr>
        <w:t xml:space="preserve">Annals of </w:t>
      </w:r>
      <w:proofErr w:type="spellStart"/>
      <w:r>
        <w:rPr>
          <w:i/>
          <w:highlight w:val="yellow"/>
        </w:rPr>
        <w:t>Behavioral</w:t>
      </w:r>
      <w:proofErr w:type="spellEnd"/>
      <w:r>
        <w:rPr>
          <w:i/>
          <w:highlight w:val="yellow"/>
        </w:rPr>
        <w:t xml:space="preserve"> Medicine, 53</w:t>
      </w:r>
      <w:r>
        <w:rPr>
          <w:highlight w:val="yellow"/>
        </w:rPr>
        <w:t xml:space="preserve">(10), 918–927. </w:t>
      </w:r>
      <w:hyperlink r:id="rId13">
        <w:r>
          <w:rPr>
            <w:color w:val="0563C1"/>
            <w:highlight w:val="yellow"/>
            <w:u w:val="single"/>
          </w:rPr>
          <w:t>https://doi.org/10.1093/abm/kaz002</w:t>
        </w:r>
      </w:hyperlink>
    </w:p>
    <w:p w14:paraId="10CADD08" w14:textId="77777777" w:rsidR="002D720D" w:rsidRPr="00A74E3A" w:rsidRDefault="00000000">
      <w:pPr>
        <w:spacing w:line="240" w:lineRule="auto"/>
        <w:ind w:left="720" w:hanging="720"/>
        <w:jc w:val="both"/>
      </w:pPr>
      <w:proofErr w:type="spellStart"/>
      <w:r>
        <w:rPr>
          <w:highlight w:val="yellow"/>
        </w:rPr>
        <w:t>Ayangunna</w:t>
      </w:r>
      <w:proofErr w:type="spellEnd"/>
      <w:r>
        <w:rPr>
          <w:highlight w:val="yellow"/>
        </w:rPr>
        <w:t xml:space="preserve">, J. A., &amp; </w:t>
      </w:r>
      <w:proofErr w:type="spellStart"/>
      <w:r>
        <w:rPr>
          <w:highlight w:val="yellow"/>
        </w:rPr>
        <w:t>Owadara</w:t>
      </w:r>
      <w:proofErr w:type="spellEnd"/>
      <w:r>
        <w:rPr>
          <w:highlight w:val="yellow"/>
        </w:rPr>
        <w:t xml:space="preserve">, F. O. (2021). Influence of self-efficacy and social support on patients’ physical well-being in selected state hospitals in Oyo State, Nigeria. </w:t>
      </w:r>
      <w:r>
        <w:rPr>
          <w:i/>
          <w:highlight w:val="yellow"/>
        </w:rPr>
        <w:t>African Journal of Educational Management, 18</w:t>
      </w:r>
      <w:r>
        <w:rPr>
          <w:highlight w:val="yellow"/>
        </w:rPr>
        <w:t xml:space="preserve">(1), 25–41. </w:t>
      </w:r>
      <w:hyperlink r:id="rId14">
        <w:r w:rsidRPr="00A74E3A">
          <w:rPr>
            <w:color w:val="0563C1"/>
            <w:highlight w:val="yellow"/>
            <w:u w:val="single"/>
          </w:rPr>
          <w:t>https://journals.ui.edu.ng/index.php/ajem/article/view/307</w:t>
        </w:r>
      </w:hyperlink>
    </w:p>
    <w:p w14:paraId="518E33E0" w14:textId="77777777" w:rsidR="002D720D" w:rsidRPr="00A74E3A" w:rsidRDefault="00000000">
      <w:pPr>
        <w:spacing w:line="240" w:lineRule="auto"/>
        <w:ind w:left="720" w:hanging="720"/>
        <w:jc w:val="both"/>
        <w:rPr>
          <w:rFonts w:ascii="Times New Roman" w:hAnsi="Times New Roman"/>
          <w:sz w:val="24"/>
          <w:szCs w:val="24"/>
        </w:rPr>
      </w:pPr>
      <w:r w:rsidRPr="00A74E3A">
        <w:rPr>
          <w:highlight w:val="yellow"/>
        </w:rPr>
        <w:t xml:space="preserve">Barrah, V. U. (2025). Burnout and burden among informal caregivers of older adults in Nigeria: Implications for public health and social support. Journal of Medicine and Health Research, 10(2), 100–112. </w:t>
      </w:r>
      <w:hyperlink r:id="rId15">
        <w:r w:rsidRPr="00A74E3A">
          <w:rPr>
            <w:color w:val="0563C1"/>
            <w:highlight w:val="yellow"/>
            <w:u w:val="single"/>
          </w:rPr>
          <w:t>https://doi.org/10.56557/jomahr/2025/v10i29512</w:t>
        </w:r>
      </w:hyperlink>
    </w:p>
    <w:p w14:paraId="57690C83" w14:textId="77777777" w:rsidR="002D720D" w:rsidRPr="00A74E3A" w:rsidRDefault="00000000">
      <w:pPr>
        <w:spacing w:line="240" w:lineRule="auto"/>
        <w:ind w:left="720" w:hanging="720"/>
        <w:jc w:val="both"/>
        <w:rPr>
          <w:rFonts w:ascii="Times New Roman" w:hAnsi="Times New Roman"/>
          <w:sz w:val="24"/>
          <w:szCs w:val="24"/>
        </w:rPr>
      </w:pPr>
      <w:r w:rsidRPr="00A74E3A">
        <w:rPr>
          <w:highlight w:val="yellow"/>
        </w:rPr>
        <w:t xml:space="preserve">Cheng, C., Yang, C.-Y., Inder, K., &amp; Chan, S. W.-C. (2020). Illness perceptions, coping strategies, and quality of life in people with multiple chronic conditions. </w:t>
      </w:r>
      <w:r w:rsidRPr="00A74E3A">
        <w:rPr>
          <w:i/>
          <w:highlight w:val="yellow"/>
        </w:rPr>
        <w:t>Journal of Nursing Scholarship, 52</w:t>
      </w:r>
      <w:r w:rsidRPr="00A74E3A">
        <w:rPr>
          <w:highlight w:val="yellow"/>
        </w:rPr>
        <w:t xml:space="preserve">(2), 145–154. </w:t>
      </w:r>
      <w:hyperlink r:id="rId16">
        <w:r w:rsidRPr="00A74E3A">
          <w:rPr>
            <w:color w:val="0563C1"/>
            <w:highlight w:val="yellow"/>
            <w:u w:val="single"/>
          </w:rPr>
          <w:t>https://doi.org/10.1111/jnu.12540</w:t>
        </w:r>
      </w:hyperlink>
    </w:p>
    <w:p w14:paraId="7411EC42" w14:textId="77777777" w:rsidR="002D720D" w:rsidRPr="00A74E3A" w:rsidRDefault="00000000">
      <w:pPr>
        <w:spacing w:line="240" w:lineRule="auto"/>
        <w:ind w:left="720" w:hanging="720"/>
        <w:jc w:val="both"/>
        <w:rPr>
          <w:rFonts w:ascii="Times New Roman" w:hAnsi="Times New Roman"/>
          <w:sz w:val="24"/>
          <w:szCs w:val="24"/>
        </w:rPr>
      </w:pPr>
      <w:proofErr w:type="spellStart"/>
      <w:r w:rsidRPr="00A74E3A">
        <w:rPr>
          <w:highlight w:val="yellow"/>
        </w:rPr>
        <w:t>Deindl</w:t>
      </w:r>
      <w:proofErr w:type="spellEnd"/>
      <w:r w:rsidRPr="00A74E3A">
        <w:rPr>
          <w:highlight w:val="yellow"/>
        </w:rPr>
        <w:t xml:space="preserve">, C., Brandt, M., &amp; Hank, K. (2016). Social networks, social cohesion, and later-life health. </w:t>
      </w:r>
      <w:r w:rsidRPr="00A74E3A">
        <w:rPr>
          <w:i/>
          <w:highlight w:val="yellow"/>
        </w:rPr>
        <w:t>Social Indicators Research, 126</w:t>
      </w:r>
      <w:r w:rsidRPr="00A74E3A">
        <w:rPr>
          <w:highlight w:val="yellow"/>
        </w:rPr>
        <w:t xml:space="preserve">(3), 1175–1187. </w:t>
      </w:r>
      <w:hyperlink r:id="rId17">
        <w:r w:rsidRPr="00A74E3A">
          <w:rPr>
            <w:color w:val="0563C1"/>
            <w:highlight w:val="yellow"/>
            <w:u w:val="single"/>
          </w:rPr>
          <w:t>https://doi.org/10.1007/s11205-015-0926-5</w:t>
        </w:r>
      </w:hyperlink>
    </w:p>
    <w:p w14:paraId="6EA184AD" w14:textId="77777777" w:rsidR="002D720D" w:rsidRPr="00A74E3A" w:rsidRDefault="00000000">
      <w:pPr>
        <w:spacing w:line="240" w:lineRule="auto"/>
        <w:ind w:left="720" w:hanging="720"/>
        <w:jc w:val="both"/>
      </w:pPr>
      <w:r w:rsidRPr="00A74E3A">
        <w:rPr>
          <w:highlight w:val="yellow"/>
        </w:rPr>
        <w:t xml:space="preserve">Egmose, C. H., Poulsen, C. H., Hjorthøj, C., Mundy, S. S., Hellström, L., Nielsen, M. N., Korsbek, L., Rasmussen, K. S., &amp; Eplov, L. F. (2023). The effectiveness of peer support in personal and clinical recovery: Systematic review and meta-analysis. </w:t>
      </w:r>
      <w:r w:rsidRPr="00A74E3A">
        <w:rPr>
          <w:i/>
          <w:highlight w:val="yellow"/>
        </w:rPr>
        <w:t>Psychiatric Services, 74</w:t>
      </w:r>
      <w:r w:rsidRPr="00A74E3A">
        <w:rPr>
          <w:highlight w:val="yellow"/>
        </w:rPr>
        <w:t xml:space="preserve">(8), 847–858. </w:t>
      </w:r>
      <w:hyperlink r:id="rId18">
        <w:r w:rsidRPr="00A74E3A">
          <w:rPr>
            <w:color w:val="0563C1"/>
            <w:highlight w:val="yellow"/>
            <w:u w:val="single"/>
          </w:rPr>
          <w:t>https://doi.org/10.1176/appi.ps.202100138</w:t>
        </w:r>
      </w:hyperlink>
    </w:p>
    <w:p w14:paraId="456BE5D8" w14:textId="77777777" w:rsidR="002D720D" w:rsidRPr="00A74E3A" w:rsidRDefault="00000000">
      <w:pPr>
        <w:autoSpaceDE w:val="0"/>
        <w:spacing w:line="240" w:lineRule="auto"/>
        <w:ind w:left="540" w:hanging="540"/>
        <w:jc w:val="both"/>
        <w:rPr>
          <w:rFonts w:ascii="Times New Roman" w:hAnsi="Times New Roman"/>
          <w:i/>
          <w:sz w:val="24"/>
          <w:szCs w:val="24"/>
        </w:rPr>
      </w:pPr>
      <w:r w:rsidRPr="00A74E3A">
        <w:rPr>
          <w:highlight w:val="yellow"/>
        </w:rPr>
        <w:t xml:space="preserve">Graven, L. J., &amp; Grant, J. (2013). The impact of social support on depressive symptoms in individuals with heart failure: Update and review. </w:t>
      </w:r>
      <w:r w:rsidRPr="00A74E3A">
        <w:rPr>
          <w:i/>
          <w:highlight w:val="yellow"/>
        </w:rPr>
        <w:t>The Journal of Cardiovascular Nursing, 28</w:t>
      </w:r>
      <w:r w:rsidRPr="00A74E3A">
        <w:rPr>
          <w:highlight w:val="yellow"/>
        </w:rPr>
        <w:t xml:space="preserve">(5), 429–443. </w:t>
      </w:r>
      <w:hyperlink r:id="rId19">
        <w:r w:rsidRPr="00A74E3A">
          <w:rPr>
            <w:color w:val="0563C1"/>
            <w:highlight w:val="yellow"/>
            <w:u w:val="single"/>
          </w:rPr>
          <w:t>https://doi.org/10.1097/JCN.0b013e3182578b9d</w:t>
        </w:r>
      </w:hyperlink>
    </w:p>
    <w:p w14:paraId="575D7931" w14:textId="77777777" w:rsidR="002D720D" w:rsidRPr="00A74E3A" w:rsidRDefault="00000000">
      <w:pPr>
        <w:shd w:val="clear" w:color="auto" w:fill="FFFFFF"/>
        <w:spacing w:after="0" w:line="240" w:lineRule="auto"/>
        <w:ind w:left="540" w:hanging="540"/>
        <w:jc w:val="both"/>
        <w:textAlignment w:val="baseline"/>
        <w:rPr>
          <w:rStyle w:val="HTMLCite"/>
          <w:rFonts w:ascii="Times New Roman" w:hAnsi="Times New Roman"/>
          <w:iCs w:val="0"/>
          <w:color w:val="000000"/>
          <w:sz w:val="24"/>
          <w:szCs w:val="24"/>
        </w:rPr>
      </w:pPr>
      <w:r w:rsidRPr="00A74E3A">
        <w:rPr>
          <w:highlight w:val="yellow"/>
        </w:rPr>
        <w:t xml:space="preserve">Hannes, K., &amp; </w:t>
      </w:r>
      <w:proofErr w:type="spellStart"/>
      <w:r w:rsidRPr="00A74E3A">
        <w:rPr>
          <w:highlight w:val="yellow"/>
        </w:rPr>
        <w:t>Macaitis</w:t>
      </w:r>
      <w:proofErr w:type="spellEnd"/>
      <w:r w:rsidRPr="00A74E3A">
        <w:rPr>
          <w:highlight w:val="yellow"/>
        </w:rPr>
        <w:t xml:space="preserve">, K. (2012). A move to more systematic and transparent approaches in qualitative evidence synthesis: Update on a review of published papers. </w:t>
      </w:r>
      <w:r w:rsidRPr="00A74E3A">
        <w:rPr>
          <w:i/>
          <w:highlight w:val="yellow"/>
        </w:rPr>
        <w:t>Qualitative Research, 12</w:t>
      </w:r>
      <w:r w:rsidRPr="00A74E3A">
        <w:rPr>
          <w:highlight w:val="yellow"/>
        </w:rPr>
        <w:t xml:space="preserve">(4), 402–442. </w:t>
      </w:r>
      <w:hyperlink r:id="rId20">
        <w:r w:rsidRPr="00A74E3A">
          <w:rPr>
            <w:color w:val="0563C1"/>
            <w:highlight w:val="yellow"/>
            <w:u w:val="single"/>
          </w:rPr>
          <w:t>https://doi.org/10.1177/1468794111432992</w:t>
        </w:r>
      </w:hyperlink>
    </w:p>
    <w:p w14:paraId="37FF31F4" w14:textId="77777777" w:rsidR="002D720D" w:rsidRPr="00A74E3A" w:rsidRDefault="00000000">
      <w:pPr>
        <w:shd w:val="clear" w:color="auto" w:fill="FFFFFF"/>
        <w:spacing w:line="240" w:lineRule="auto"/>
        <w:ind w:left="540" w:hanging="540"/>
        <w:jc w:val="both"/>
        <w:textAlignment w:val="baseline"/>
        <w:rPr>
          <w:rStyle w:val="HTMLCite"/>
          <w:rFonts w:ascii="Times New Roman" w:eastAsia="Times New Roman" w:hAnsi="Times New Roman"/>
          <w:i w:val="0"/>
          <w:iCs w:val="0"/>
          <w:color w:val="000000"/>
          <w:sz w:val="24"/>
          <w:szCs w:val="24"/>
        </w:rPr>
      </w:pPr>
      <w:r w:rsidRPr="00A74E3A">
        <w:rPr>
          <w:highlight w:val="yellow"/>
        </w:rPr>
        <w:t xml:space="preserve">Heinze, J. E., Kruger, D. J., Reischl, T. M., </w:t>
      </w:r>
      <w:proofErr w:type="spellStart"/>
      <w:r w:rsidRPr="00A74E3A">
        <w:rPr>
          <w:highlight w:val="yellow"/>
        </w:rPr>
        <w:t>Cupal</w:t>
      </w:r>
      <w:proofErr w:type="spellEnd"/>
      <w:r w:rsidRPr="00A74E3A">
        <w:rPr>
          <w:highlight w:val="yellow"/>
        </w:rPr>
        <w:t xml:space="preserve">, S., &amp; Zimmerman, M. A. (2015). Relationships among disease, social support, and perceived health: A lifespan approach. American Journal of Community Psychology, 56(3–4), 268–279. </w:t>
      </w:r>
      <w:hyperlink r:id="rId21">
        <w:r w:rsidRPr="00A74E3A">
          <w:rPr>
            <w:color w:val="0563C1"/>
            <w:highlight w:val="yellow"/>
            <w:u w:val="single"/>
          </w:rPr>
          <w:t>https://doi.org/10.1007/s10464-015-9758-3</w:t>
        </w:r>
      </w:hyperlink>
    </w:p>
    <w:p w14:paraId="542C3FB9" w14:textId="77777777" w:rsidR="002D720D" w:rsidRPr="00A74E3A" w:rsidRDefault="00000000">
      <w:pPr>
        <w:spacing w:line="240" w:lineRule="auto"/>
        <w:ind w:left="720" w:hanging="720"/>
        <w:jc w:val="both"/>
        <w:rPr>
          <w:rFonts w:ascii="Times New Roman" w:hAnsi="Times New Roman"/>
          <w:sz w:val="24"/>
          <w:szCs w:val="24"/>
        </w:rPr>
      </w:pPr>
      <w:proofErr w:type="spellStart"/>
      <w:r w:rsidRPr="00A74E3A">
        <w:rPr>
          <w:highlight w:val="yellow"/>
        </w:rPr>
        <w:t>Iwegbu</w:t>
      </w:r>
      <w:proofErr w:type="spellEnd"/>
      <w:r w:rsidRPr="00A74E3A">
        <w:rPr>
          <w:highlight w:val="yellow"/>
        </w:rPr>
        <w:t xml:space="preserve">, J. C., </w:t>
      </w:r>
      <w:proofErr w:type="spellStart"/>
      <w:r w:rsidRPr="00A74E3A">
        <w:rPr>
          <w:highlight w:val="yellow"/>
        </w:rPr>
        <w:t>Iwegbu</w:t>
      </w:r>
      <w:proofErr w:type="spellEnd"/>
      <w:r w:rsidRPr="00A74E3A">
        <w:rPr>
          <w:highlight w:val="yellow"/>
        </w:rPr>
        <w:t xml:space="preserve">, R. E., </w:t>
      </w:r>
      <w:proofErr w:type="spellStart"/>
      <w:r w:rsidRPr="00A74E3A">
        <w:rPr>
          <w:highlight w:val="yellow"/>
        </w:rPr>
        <w:t>Asiwe</w:t>
      </w:r>
      <w:proofErr w:type="spellEnd"/>
      <w:r w:rsidRPr="00A74E3A">
        <w:rPr>
          <w:highlight w:val="yellow"/>
        </w:rPr>
        <w:t xml:space="preserve">, N., &amp; Osamudiamen, S. B. (2026). Social support networks and recovery from depression: A medical sociological study of mental health patients in </w:t>
      </w:r>
      <w:proofErr w:type="spellStart"/>
      <w:r w:rsidRPr="00A74E3A">
        <w:rPr>
          <w:highlight w:val="yellow"/>
        </w:rPr>
        <w:t>Ikpoba</w:t>
      </w:r>
      <w:proofErr w:type="spellEnd"/>
      <w:r w:rsidRPr="00A74E3A">
        <w:rPr>
          <w:highlight w:val="yellow"/>
        </w:rPr>
        <w:t xml:space="preserve">-Okha LGA, Edo State, Nigeria. International Neuropsychiatric Disease Journal, 23(5), 1–9. </w:t>
      </w:r>
      <w:hyperlink r:id="rId22">
        <w:r w:rsidRPr="00A74E3A">
          <w:rPr>
            <w:color w:val="0563C1"/>
            <w:highlight w:val="yellow"/>
            <w:u w:val="single"/>
          </w:rPr>
          <w:t>https://doi.org/10.9734/indj/2026/v23i5575</w:t>
        </w:r>
      </w:hyperlink>
    </w:p>
    <w:p w14:paraId="40956D21" w14:textId="77777777" w:rsidR="002D720D" w:rsidRPr="00A74E3A" w:rsidRDefault="00000000">
      <w:pPr>
        <w:spacing w:line="240" w:lineRule="auto"/>
        <w:ind w:left="720" w:hanging="720"/>
        <w:jc w:val="both"/>
        <w:rPr>
          <w:rFonts w:ascii="Times New Roman" w:hAnsi="Times New Roman"/>
          <w:sz w:val="24"/>
          <w:szCs w:val="24"/>
        </w:rPr>
      </w:pPr>
      <w:proofErr w:type="spellStart"/>
      <w:r w:rsidRPr="00A74E3A">
        <w:rPr>
          <w:highlight w:val="yellow"/>
        </w:rPr>
        <w:t>Iwuozo</w:t>
      </w:r>
      <w:proofErr w:type="spellEnd"/>
      <w:r w:rsidRPr="00A74E3A">
        <w:rPr>
          <w:highlight w:val="yellow"/>
        </w:rPr>
        <w:t xml:space="preserve">, E. U., </w:t>
      </w:r>
      <w:proofErr w:type="spellStart"/>
      <w:r w:rsidRPr="00A74E3A">
        <w:rPr>
          <w:highlight w:val="yellow"/>
        </w:rPr>
        <w:t>Obiako</w:t>
      </w:r>
      <w:proofErr w:type="spellEnd"/>
      <w:r w:rsidRPr="00A74E3A">
        <w:rPr>
          <w:highlight w:val="yellow"/>
        </w:rPr>
        <w:t xml:space="preserve">, O. R., </w:t>
      </w:r>
      <w:proofErr w:type="spellStart"/>
      <w:r w:rsidRPr="00A74E3A">
        <w:rPr>
          <w:highlight w:val="yellow"/>
        </w:rPr>
        <w:t>Onyemocho</w:t>
      </w:r>
      <w:proofErr w:type="spellEnd"/>
      <w:r w:rsidRPr="00A74E3A">
        <w:rPr>
          <w:highlight w:val="yellow"/>
        </w:rPr>
        <w:t xml:space="preserve">, A., &amp; Ogunniyi, A. (2020). Determinants of health-related quality of life in persons with epilepsy seen at a tertiary hospital in North Western Nigeria. </w:t>
      </w:r>
      <w:r w:rsidRPr="00A74E3A">
        <w:rPr>
          <w:i/>
          <w:highlight w:val="yellow"/>
        </w:rPr>
        <w:lastRenderedPageBreak/>
        <w:t>West African Journal of Medicine, 37</w:t>
      </w:r>
      <w:r w:rsidRPr="00A74E3A">
        <w:rPr>
          <w:highlight w:val="yellow"/>
        </w:rPr>
        <w:t xml:space="preserve">(5), 475–480. </w:t>
      </w:r>
      <w:hyperlink r:id="rId23">
        <w:r w:rsidRPr="00A74E3A">
          <w:rPr>
            <w:color w:val="0563C1"/>
            <w:highlight w:val="yellow"/>
            <w:u w:val="single"/>
          </w:rPr>
          <w:t>https://pubmed.ncbi.nlm.nih.gov/33058122/</w:t>
        </w:r>
      </w:hyperlink>
    </w:p>
    <w:p w14:paraId="3F886B6C" w14:textId="77777777" w:rsidR="002D720D" w:rsidRPr="00A74E3A" w:rsidRDefault="00000000">
      <w:pPr>
        <w:spacing w:line="240" w:lineRule="auto"/>
        <w:ind w:left="720" w:hanging="720"/>
        <w:jc w:val="both"/>
      </w:pPr>
      <w:proofErr w:type="spellStart"/>
      <w:r w:rsidRPr="00A74E3A">
        <w:rPr>
          <w:highlight w:val="yellow"/>
        </w:rPr>
        <w:t>Jambawo</w:t>
      </w:r>
      <w:proofErr w:type="spellEnd"/>
      <w:r w:rsidRPr="00A74E3A">
        <w:rPr>
          <w:highlight w:val="yellow"/>
        </w:rPr>
        <w:t xml:space="preserve">, S. M., </w:t>
      </w:r>
      <w:proofErr w:type="spellStart"/>
      <w:r w:rsidRPr="00A74E3A">
        <w:rPr>
          <w:highlight w:val="yellow"/>
        </w:rPr>
        <w:t>Owolewa</w:t>
      </w:r>
      <w:proofErr w:type="spellEnd"/>
      <w:r w:rsidRPr="00A74E3A">
        <w:rPr>
          <w:highlight w:val="yellow"/>
        </w:rPr>
        <w:t xml:space="preserve">, R., &amp; </w:t>
      </w:r>
      <w:proofErr w:type="spellStart"/>
      <w:r w:rsidRPr="00A74E3A">
        <w:rPr>
          <w:highlight w:val="yellow"/>
        </w:rPr>
        <w:t>Jambawo</w:t>
      </w:r>
      <w:proofErr w:type="spellEnd"/>
      <w:r w:rsidRPr="00A74E3A">
        <w:rPr>
          <w:highlight w:val="yellow"/>
        </w:rPr>
        <w:t xml:space="preserve">, T. T. (2024). The effectiveness of peer support on the recovery and empowerment of people with schizophrenia: A systematic review and meta-analysis. </w:t>
      </w:r>
      <w:r w:rsidRPr="00A74E3A">
        <w:rPr>
          <w:i/>
          <w:highlight w:val="yellow"/>
        </w:rPr>
        <w:t>Schizophrenia Research, 274</w:t>
      </w:r>
      <w:r w:rsidRPr="00A74E3A">
        <w:rPr>
          <w:highlight w:val="yellow"/>
        </w:rPr>
        <w:t xml:space="preserve">, 270–279. </w:t>
      </w:r>
      <w:hyperlink r:id="rId24">
        <w:r w:rsidRPr="00A74E3A">
          <w:rPr>
            <w:color w:val="0563C1"/>
            <w:highlight w:val="yellow"/>
            <w:u w:val="single"/>
          </w:rPr>
          <w:t>https://doi.org/10.1016/j.schres.2024.10.006</w:t>
        </w:r>
      </w:hyperlink>
    </w:p>
    <w:p w14:paraId="6F8DDF4E" w14:textId="77777777" w:rsidR="002D720D" w:rsidRPr="00A74E3A" w:rsidRDefault="00000000">
      <w:pPr>
        <w:spacing w:line="240" w:lineRule="auto"/>
        <w:ind w:left="720" w:hanging="720"/>
        <w:jc w:val="both"/>
      </w:pPr>
      <w:proofErr w:type="spellStart"/>
      <w:r w:rsidRPr="00A74E3A">
        <w:rPr>
          <w:highlight w:val="yellow"/>
        </w:rPr>
        <w:t>Kristofferzon</w:t>
      </w:r>
      <w:proofErr w:type="spellEnd"/>
      <w:r w:rsidRPr="00A74E3A">
        <w:rPr>
          <w:highlight w:val="yellow"/>
        </w:rPr>
        <w:t xml:space="preserve">, M.-L., Engström, M., &amp; Nilsson, A. (2018). Coping mediates the relationship between sense of coherence and mental quality of life in patients with chronic illness: A cross-sectional study. </w:t>
      </w:r>
      <w:r w:rsidRPr="00A74E3A">
        <w:rPr>
          <w:i/>
          <w:highlight w:val="yellow"/>
        </w:rPr>
        <w:t>Quality of Life Research, 27</w:t>
      </w:r>
      <w:r w:rsidRPr="00A74E3A">
        <w:rPr>
          <w:highlight w:val="yellow"/>
        </w:rPr>
        <w:t xml:space="preserve">(7), 1855–1863. </w:t>
      </w:r>
      <w:hyperlink r:id="rId25">
        <w:r w:rsidRPr="00A74E3A">
          <w:rPr>
            <w:color w:val="0563C1"/>
            <w:highlight w:val="yellow"/>
            <w:u w:val="single"/>
          </w:rPr>
          <w:t>https://doi.org/10.1007/s11136-018-1845-0</w:t>
        </w:r>
      </w:hyperlink>
    </w:p>
    <w:p w14:paraId="30BCA1B5" w14:textId="77777777" w:rsidR="002D720D" w:rsidRPr="00A74E3A" w:rsidRDefault="00000000">
      <w:pPr>
        <w:spacing w:line="240" w:lineRule="auto"/>
        <w:ind w:left="720" w:hanging="720"/>
        <w:jc w:val="both"/>
      </w:pPr>
      <w:r w:rsidRPr="00A74E3A">
        <w:rPr>
          <w:highlight w:val="yellow"/>
        </w:rPr>
        <w:t xml:space="preserve">Lauzier-Jobin, F., &amp; Houle, J. (2021). Caregiver support in mental health recovery: </w:t>
      </w:r>
      <w:proofErr w:type="gramStart"/>
      <w:r w:rsidRPr="00A74E3A">
        <w:rPr>
          <w:highlight w:val="yellow"/>
        </w:rPr>
        <w:t>A critical realist qualitative research</w:t>
      </w:r>
      <w:proofErr w:type="gramEnd"/>
      <w:r w:rsidRPr="00A74E3A">
        <w:rPr>
          <w:highlight w:val="yellow"/>
        </w:rPr>
        <w:t xml:space="preserve">. </w:t>
      </w:r>
      <w:r w:rsidRPr="00A74E3A">
        <w:rPr>
          <w:i/>
          <w:highlight w:val="yellow"/>
        </w:rPr>
        <w:t>Qualitative Health Research, 31</w:t>
      </w:r>
      <w:r w:rsidRPr="00A74E3A">
        <w:rPr>
          <w:highlight w:val="yellow"/>
        </w:rPr>
        <w:t xml:space="preserve">(13), 2440–2453. </w:t>
      </w:r>
      <w:hyperlink r:id="rId26">
        <w:r w:rsidRPr="00A74E3A">
          <w:rPr>
            <w:color w:val="0563C1"/>
            <w:highlight w:val="yellow"/>
            <w:u w:val="single"/>
          </w:rPr>
          <w:t>https://doi.org/10.1177/10497323211039828</w:t>
        </w:r>
      </w:hyperlink>
    </w:p>
    <w:p w14:paraId="4F9465A9" w14:textId="77777777" w:rsidR="002D720D" w:rsidRPr="00A74E3A" w:rsidRDefault="00000000">
      <w:pPr>
        <w:spacing w:line="240" w:lineRule="auto"/>
        <w:ind w:left="720" w:hanging="720"/>
        <w:jc w:val="both"/>
      </w:pPr>
      <w:r w:rsidRPr="00A74E3A">
        <w:rPr>
          <w:highlight w:val="yellow"/>
        </w:rPr>
        <w:t>Linde, J., Schmid, M. T., Ruud, T., Skar-</w:t>
      </w:r>
      <w:proofErr w:type="spellStart"/>
      <w:r w:rsidRPr="00A74E3A">
        <w:rPr>
          <w:highlight w:val="yellow"/>
        </w:rPr>
        <w:t>Fröding</w:t>
      </w:r>
      <w:proofErr w:type="spellEnd"/>
      <w:r w:rsidRPr="00A74E3A">
        <w:rPr>
          <w:highlight w:val="yellow"/>
        </w:rPr>
        <w:t xml:space="preserve">, R., &amp; Biringer, E. (2023). Social factors and recovery: A longitudinal study of patients with psychosis in mental health services. </w:t>
      </w:r>
      <w:r w:rsidRPr="00A74E3A">
        <w:rPr>
          <w:i/>
          <w:highlight w:val="yellow"/>
        </w:rPr>
        <w:t>Community Mental Health Journal, 59</w:t>
      </w:r>
      <w:r w:rsidRPr="00A74E3A">
        <w:rPr>
          <w:highlight w:val="yellow"/>
        </w:rPr>
        <w:t xml:space="preserve">(2), 294–305. </w:t>
      </w:r>
      <w:hyperlink r:id="rId27">
        <w:r w:rsidRPr="00A74E3A">
          <w:rPr>
            <w:color w:val="0563C1"/>
            <w:highlight w:val="yellow"/>
            <w:u w:val="single"/>
          </w:rPr>
          <w:t>https://doi.org/10.1007/s10597-022-01007-8</w:t>
        </w:r>
      </w:hyperlink>
    </w:p>
    <w:p w14:paraId="0B0CD41F" w14:textId="77777777" w:rsidR="002D720D" w:rsidRPr="00A74E3A" w:rsidRDefault="00000000">
      <w:pPr>
        <w:spacing w:line="240" w:lineRule="auto"/>
        <w:ind w:left="720" w:hanging="720"/>
        <w:jc w:val="both"/>
      </w:pPr>
      <w:r w:rsidRPr="00A74E3A">
        <w:rPr>
          <w:highlight w:val="yellow"/>
        </w:rPr>
        <w:t xml:space="preserve">Maynard, C., Tariq, S., </w:t>
      </w:r>
      <w:proofErr w:type="spellStart"/>
      <w:r w:rsidRPr="00A74E3A">
        <w:rPr>
          <w:highlight w:val="yellow"/>
        </w:rPr>
        <w:t>Sotgiu</w:t>
      </w:r>
      <w:proofErr w:type="spellEnd"/>
      <w:r w:rsidRPr="00A74E3A">
        <w:rPr>
          <w:highlight w:val="yellow"/>
        </w:rPr>
        <w:t xml:space="preserve">, G., Migliori, G. B., van den Boom, M., &amp; Field, N. (2023). Psychosocial support interventions to improve treatment outcomes for people living with tuberculosis: A mixed methods systematic review and meta-analysis. </w:t>
      </w:r>
      <w:proofErr w:type="spellStart"/>
      <w:r w:rsidRPr="00A74E3A">
        <w:rPr>
          <w:i/>
          <w:highlight w:val="yellow"/>
        </w:rPr>
        <w:t>eClinicalMedicine</w:t>
      </w:r>
      <w:proofErr w:type="spellEnd"/>
      <w:r w:rsidRPr="00A74E3A">
        <w:rPr>
          <w:i/>
          <w:highlight w:val="yellow"/>
        </w:rPr>
        <w:t>, 61</w:t>
      </w:r>
      <w:r w:rsidRPr="00A74E3A">
        <w:rPr>
          <w:highlight w:val="yellow"/>
        </w:rPr>
        <w:t xml:space="preserve">, 102057. </w:t>
      </w:r>
      <w:hyperlink r:id="rId28">
        <w:r w:rsidRPr="00A74E3A">
          <w:rPr>
            <w:color w:val="0563C1"/>
            <w:highlight w:val="yellow"/>
            <w:u w:val="single"/>
          </w:rPr>
          <w:t>https://doi.org/10.1016/j.eclinm.2023.102057</w:t>
        </w:r>
      </w:hyperlink>
    </w:p>
    <w:p w14:paraId="063266EE" w14:textId="77777777" w:rsidR="002D720D" w:rsidRPr="00A74E3A" w:rsidRDefault="00000000">
      <w:pPr>
        <w:spacing w:line="240" w:lineRule="auto"/>
        <w:ind w:left="720" w:hanging="720"/>
        <w:jc w:val="both"/>
      </w:pPr>
      <w:proofErr w:type="spellStart"/>
      <w:r w:rsidRPr="00A74E3A">
        <w:rPr>
          <w:highlight w:val="yellow"/>
        </w:rPr>
        <w:t>Mousavizadeh</w:t>
      </w:r>
      <w:proofErr w:type="spellEnd"/>
      <w:r w:rsidRPr="00A74E3A">
        <w:rPr>
          <w:highlight w:val="yellow"/>
        </w:rPr>
        <w:t xml:space="preserve">, S. N., &amp; </w:t>
      </w:r>
      <w:proofErr w:type="spellStart"/>
      <w:r w:rsidRPr="00A74E3A">
        <w:rPr>
          <w:highlight w:val="yellow"/>
        </w:rPr>
        <w:t>Jandaghian</w:t>
      </w:r>
      <w:proofErr w:type="spellEnd"/>
      <w:r w:rsidRPr="00A74E3A">
        <w:rPr>
          <w:highlight w:val="yellow"/>
        </w:rPr>
        <w:t xml:space="preserve"> Bidgoli, M. A. (2023). Recovery-oriented practices in community-based mental health services: A systematic review. </w:t>
      </w:r>
      <w:r w:rsidRPr="00A74E3A">
        <w:rPr>
          <w:i/>
          <w:highlight w:val="yellow"/>
        </w:rPr>
        <w:t>Iranian Journal of Psychiatry, 18</w:t>
      </w:r>
      <w:r w:rsidRPr="00A74E3A">
        <w:rPr>
          <w:highlight w:val="yellow"/>
        </w:rPr>
        <w:t xml:space="preserve">(3), 332–351. </w:t>
      </w:r>
      <w:hyperlink r:id="rId29">
        <w:r w:rsidRPr="00A74E3A">
          <w:rPr>
            <w:color w:val="0563C1"/>
            <w:highlight w:val="yellow"/>
            <w:u w:val="single"/>
          </w:rPr>
          <w:t>https://doi.org/10.18502/ijps.v18i3.13013</w:t>
        </w:r>
      </w:hyperlink>
    </w:p>
    <w:p w14:paraId="56A37EBE" w14:textId="77777777" w:rsidR="002D720D" w:rsidRPr="00A74E3A" w:rsidRDefault="00000000">
      <w:pPr>
        <w:spacing w:line="240" w:lineRule="auto"/>
        <w:ind w:left="720" w:hanging="720"/>
        <w:jc w:val="both"/>
      </w:pPr>
      <w:r w:rsidRPr="00A74E3A">
        <w:rPr>
          <w:highlight w:val="yellow"/>
        </w:rPr>
        <w:t xml:space="preserve">Nørskov, K. H., Yi, J. C., Crouch, M.-L., Fiscalini, A. S., Flowers, M. E. D., &amp; Syrjala, K. L. (2021). Social support as a moderator of healthcare adherence and distress in long-term hematopoietic cell transplantation survivors. </w:t>
      </w:r>
      <w:r w:rsidRPr="00A74E3A">
        <w:rPr>
          <w:i/>
          <w:highlight w:val="yellow"/>
        </w:rPr>
        <w:t>Journal of Cancer Survivorship, 15</w:t>
      </w:r>
      <w:r w:rsidRPr="00A74E3A">
        <w:rPr>
          <w:highlight w:val="yellow"/>
        </w:rPr>
        <w:t xml:space="preserve">(6), 866–875. </w:t>
      </w:r>
      <w:hyperlink r:id="rId30">
        <w:r w:rsidRPr="00A74E3A">
          <w:rPr>
            <w:color w:val="0563C1"/>
            <w:highlight w:val="yellow"/>
            <w:u w:val="single"/>
          </w:rPr>
          <w:t>https://doi.org/10.1007/s11764-020-00979-4</w:t>
        </w:r>
      </w:hyperlink>
    </w:p>
    <w:p w14:paraId="59422766" w14:textId="77777777" w:rsidR="002D720D" w:rsidRPr="00A74E3A" w:rsidRDefault="00000000">
      <w:pPr>
        <w:spacing w:line="240" w:lineRule="auto"/>
        <w:ind w:left="720" w:hanging="720"/>
        <w:jc w:val="both"/>
      </w:pPr>
      <w:r w:rsidRPr="00A74E3A">
        <w:rPr>
          <w:highlight w:val="yellow"/>
        </w:rPr>
        <w:t xml:space="preserve">Norton, M. J., &amp; </w:t>
      </w:r>
      <w:proofErr w:type="spellStart"/>
      <w:r w:rsidRPr="00A74E3A">
        <w:rPr>
          <w:highlight w:val="yellow"/>
        </w:rPr>
        <w:t>Cuskelly</w:t>
      </w:r>
      <w:proofErr w:type="spellEnd"/>
      <w:r w:rsidRPr="00A74E3A">
        <w:rPr>
          <w:highlight w:val="yellow"/>
        </w:rPr>
        <w:t xml:space="preserve">, K. (2021). Family recovery interventions with families of mental health service users: A systematic review of the literature. </w:t>
      </w:r>
      <w:r w:rsidRPr="00A74E3A">
        <w:rPr>
          <w:i/>
          <w:highlight w:val="yellow"/>
        </w:rPr>
        <w:t>International Journal of Environmental Research and Public Health, 18</w:t>
      </w:r>
      <w:r w:rsidRPr="00A74E3A">
        <w:rPr>
          <w:highlight w:val="yellow"/>
        </w:rPr>
        <w:t xml:space="preserve">(15), 7858. </w:t>
      </w:r>
      <w:hyperlink r:id="rId31">
        <w:r w:rsidRPr="00A74E3A">
          <w:rPr>
            <w:color w:val="0563C1"/>
            <w:highlight w:val="yellow"/>
            <w:u w:val="single"/>
          </w:rPr>
          <w:t>https://doi.org/10.3390/ijerph18157858</w:t>
        </w:r>
      </w:hyperlink>
    </w:p>
    <w:p w14:paraId="59EE4EDE" w14:textId="77777777" w:rsidR="002D720D" w:rsidRPr="00A74E3A" w:rsidRDefault="00000000">
      <w:pPr>
        <w:spacing w:line="240" w:lineRule="auto"/>
        <w:ind w:left="720" w:hanging="720"/>
        <w:jc w:val="both"/>
      </w:pPr>
      <w:proofErr w:type="spellStart"/>
      <w:r w:rsidRPr="00A74E3A">
        <w:rPr>
          <w:highlight w:val="yellow"/>
        </w:rPr>
        <w:t>Nwagha</w:t>
      </w:r>
      <w:proofErr w:type="spellEnd"/>
      <w:r w:rsidRPr="00A74E3A">
        <w:rPr>
          <w:highlight w:val="yellow"/>
        </w:rPr>
        <w:t xml:space="preserve">, T., &amp; </w:t>
      </w:r>
      <w:proofErr w:type="spellStart"/>
      <w:r w:rsidRPr="00A74E3A">
        <w:rPr>
          <w:highlight w:val="yellow"/>
        </w:rPr>
        <w:t>Omotowo</w:t>
      </w:r>
      <w:proofErr w:type="spellEnd"/>
      <w:r w:rsidRPr="00A74E3A">
        <w:rPr>
          <w:highlight w:val="yellow"/>
        </w:rPr>
        <w:t xml:space="preserve">, B. I. (2020). Determinants of psychosocial health-related quality of life of adults with sickle cell disease in a Nigerian setting. </w:t>
      </w:r>
      <w:r w:rsidRPr="00A74E3A">
        <w:rPr>
          <w:i/>
          <w:highlight w:val="yellow"/>
        </w:rPr>
        <w:t>Nigerian Medical Journal, 61</w:t>
      </w:r>
      <w:r w:rsidRPr="00A74E3A">
        <w:rPr>
          <w:highlight w:val="yellow"/>
        </w:rPr>
        <w:t xml:space="preserve">(3), 114–119. </w:t>
      </w:r>
      <w:hyperlink r:id="rId32">
        <w:r w:rsidRPr="00A74E3A">
          <w:rPr>
            <w:color w:val="0563C1"/>
            <w:highlight w:val="yellow"/>
            <w:u w:val="single"/>
          </w:rPr>
          <w:t>https://doi.org/10.4103/nmj.NMJ_122_19</w:t>
        </w:r>
      </w:hyperlink>
    </w:p>
    <w:p w14:paraId="26547A2F" w14:textId="77777777" w:rsidR="002D720D" w:rsidRPr="00A74E3A" w:rsidRDefault="00000000">
      <w:pPr>
        <w:spacing w:line="240" w:lineRule="auto"/>
        <w:ind w:left="720" w:hanging="720"/>
        <w:jc w:val="both"/>
      </w:pPr>
      <w:proofErr w:type="spellStart"/>
      <w:r w:rsidRPr="00A74E3A">
        <w:rPr>
          <w:highlight w:val="yellow"/>
        </w:rPr>
        <w:t>Olamuyiwa</w:t>
      </w:r>
      <w:proofErr w:type="spellEnd"/>
      <w:r w:rsidRPr="00A74E3A">
        <w:rPr>
          <w:highlight w:val="yellow"/>
        </w:rPr>
        <w:t xml:space="preserve">, T. E., &amp; </w:t>
      </w:r>
      <w:proofErr w:type="spellStart"/>
      <w:r w:rsidRPr="00A74E3A">
        <w:rPr>
          <w:highlight w:val="yellow"/>
        </w:rPr>
        <w:t>Alabere</w:t>
      </w:r>
      <w:proofErr w:type="spellEnd"/>
      <w:r w:rsidRPr="00A74E3A">
        <w:rPr>
          <w:highlight w:val="yellow"/>
        </w:rPr>
        <w:t xml:space="preserve">, I. D. (2022). Social support and health-related quality of life among breast cancer patients in Port Harcourt, Nigeria. </w:t>
      </w:r>
      <w:r w:rsidRPr="00A74E3A">
        <w:rPr>
          <w:i/>
          <w:highlight w:val="yellow"/>
        </w:rPr>
        <w:t>Asian Journal of Medicine and Health, 20</w:t>
      </w:r>
      <w:r w:rsidRPr="00A74E3A">
        <w:rPr>
          <w:highlight w:val="yellow"/>
        </w:rPr>
        <w:t xml:space="preserve">(12), 144–156. </w:t>
      </w:r>
      <w:hyperlink r:id="rId33">
        <w:r w:rsidRPr="00A74E3A">
          <w:rPr>
            <w:color w:val="0563C1"/>
            <w:highlight w:val="yellow"/>
            <w:u w:val="single"/>
          </w:rPr>
          <w:t>https://doi.org/10.9734/ajmah/2022/v20i12777</w:t>
        </w:r>
      </w:hyperlink>
    </w:p>
    <w:p w14:paraId="11E02742" w14:textId="77777777" w:rsidR="002D720D" w:rsidRPr="00A74E3A" w:rsidRDefault="00000000">
      <w:pPr>
        <w:spacing w:line="240" w:lineRule="auto"/>
        <w:ind w:left="720" w:hanging="720"/>
        <w:jc w:val="both"/>
        <w:rPr>
          <w:rFonts w:ascii="Times New Roman" w:hAnsi="Times New Roman"/>
          <w:sz w:val="24"/>
          <w:szCs w:val="24"/>
        </w:rPr>
      </w:pPr>
      <w:r w:rsidRPr="00A74E3A">
        <w:rPr>
          <w:highlight w:val="yellow"/>
        </w:rPr>
        <w:t xml:space="preserve">Onu, D. U., </w:t>
      </w:r>
      <w:proofErr w:type="spellStart"/>
      <w:r w:rsidRPr="00A74E3A">
        <w:rPr>
          <w:highlight w:val="yellow"/>
        </w:rPr>
        <w:t>Ifeagwazi</w:t>
      </w:r>
      <w:proofErr w:type="spellEnd"/>
      <w:r w:rsidRPr="00A74E3A">
        <w:rPr>
          <w:highlight w:val="yellow"/>
        </w:rPr>
        <w:t xml:space="preserve">, C. M., &amp; </w:t>
      </w:r>
      <w:proofErr w:type="spellStart"/>
      <w:r w:rsidRPr="00A74E3A">
        <w:rPr>
          <w:highlight w:val="yellow"/>
        </w:rPr>
        <w:t>Onyedibe</w:t>
      </w:r>
      <w:proofErr w:type="spellEnd"/>
      <w:r w:rsidRPr="00A74E3A">
        <w:rPr>
          <w:highlight w:val="yellow"/>
        </w:rPr>
        <w:t xml:space="preserve">, M.-C. C. (2021). Enacted support matters in the relationship between psychological distress and health-related quality of life among type 2 diabetes patients in Nigeria. </w:t>
      </w:r>
      <w:r w:rsidRPr="00A74E3A">
        <w:rPr>
          <w:i/>
          <w:highlight w:val="yellow"/>
        </w:rPr>
        <w:t>Psychology, Health &amp; Medicine, 26</w:t>
      </w:r>
      <w:r w:rsidRPr="00A74E3A">
        <w:rPr>
          <w:highlight w:val="yellow"/>
        </w:rPr>
        <w:t xml:space="preserve">(8), 947–954. </w:t>
      </w:r>
      <w:hyperlink r:id="rId34">
        <w:r w:rsidRPr="00A74E3A">
          <w:rPr>
            <w:color w:val="0563C1"/>
            <w:highlight w:val="yellow"/>
            <w:u w:val="single"/>
          </w:rPr>
          <w:t>https://doi.org/10.1080/13548506.2020.1778755</w:t>
        </w:r>
      </w:hyperlink>
    </w:p>
    <w:p w14:paraId="5F4EBBB5" w14:textId="77777777" w:rsidR="002D720D" w:rsidRPr="00A74E3A" w:rsidRDefault="00000000">
      <w:pPr>
        <w:spacing w:line="240" w:lineRule="auto"/>
        <w:ind w:left="720" w:hanging="720"/>
        <w:jc w:val="both"/>
        <w:rPr>
          <w:rFonts w:ascii="Times New Roman" w:hAnsi="Times New Roman"/>
          <w:sz w:val="24"/>
          <w:szCs w:val="24"/>
        </w:rPr>
      </w:pPr>
      <w:r w:rsidRPr="00A74E3A">
        <w:rPr>
          <w:highlight w:val="yellow"/>
        </w:rPr>
        <w:t xml:space="preserve">Pant, U., Vyas, K., &amp; </w:t>
      </w:r>
      <w:proofErr w:type="spellStart"/>
      <w:r w:rsidRPr="00A74E3A">
        <w:rPr>
          <w:highlight w:val="yellow"/>
        </w:rPr>
        <w:t>Papathanassoglou</w:t>
      </w:r>
      <w:proofErr w:type="spellEnd"/>
      <w:r w:rsidRPr="00A74E3A">
        <w:rPr>
          <w:highlight w:val="yellow"/>
        </w:rPr>
        <w:t xml:space="preserve">, E. (2025). Psychosocial support interventions for adult critically ill patients during the acute phase of their ICU stay: A scoping review. Healthcare, 13(17), 2182. </w:t>
      </w:r>
      <w:hyperlink r:id="rId35">
        <w:r w:rsidRPr="00A74E3A">
          <w:rPr>
            <w:color w:val="0563C1"/>
            <w:highlight w:val="yellow"/>
            <w:u w:val="single"/>
          </w:rPr>
          <w:t>https://doi.org/10.3390/healthcare13172182</w:t>
        </w:r>
      </w:hyperlink>
    </w:p>
    <w:p w14:paraId="6A83F973" w14:textId="77777777" w:rsidR="002D720D" w:rsidRPr="00A74E3A" w:rsidRDefault="00000000">
      <w:pPr>
        <w:spacing w:line="240" w:lineRule="auto"/>
        <w:ind w:left="720" w:hanging="720"/>
        <w:jc w:val="both"/>
        <w:rPr>
          <w:rFonts w:ascii="Times New Roman" w:hAnsi="Times New Roman"/>
          <w:sz w:val="24"/>
          <w:szCs w:val="24"/>
        </w:rPr>
      </w:pPr>
      <w:r w:rsidRPr="00A74E3A">
        <w:rPr>
          <w:highlight w:val="yellow"/>
        </w:rPr>
        <w:lastRenderedPageBreak/>
        <w:t xml:space="preserve">Pan, J., Hu, B., Wu, L., &amp; Li, Y. (2021). The effect of social support on treatment adherence in hypertension in China. </w:t>
      </w:r>
      <w:r w:rsidRPr="00A74E3A">
        <w:rPr>
          <w:i/>
          <w:highlight w:val="yellow"/>
        </w:rPr>
        <w:t>Patient Preference and Adherence, 15</w:t>
      </w:r>
      <w:r w:rsidRPr="00A74E3A">
        <w:rPr>
          <w:highlight w:val="yellow"/>
        </w:rPr>
        <w:t xml:space="preserve">, 1953–1961. </w:t>
      </w:r>
      <w:hyperlink r:id="rId36">
        <w:r w:rsidRPr="00A74E3A">
          <w:rPr>
            <w:color w:val="0563C1"/>
            <w:highlight w:val="yellow"/>
            <w:u w:val="single"/>
          </w:rPr>
          <w:t>https://doi.org/10.2147/PPA.S325793</w:t>
        </w:r>
      </w:hyperlink>
    </w:p>
    <w:p w14:paraId="6405A3CA" w14:textId="77777777" w:rsidR="002D720D" w:rsidRPr="00A74E3A" w:rsidRDefault="00000000">
      <w:pPr>
        <w:spacing w:line="240" w:lineRule="auto"/>
        <w:ind w:left="720" w:hanging="720"/>
        <w:jc w:val="both"/>
      </w:pPr>
      <w:r w:rsidRPr="00A74E3A">
        <w:rPr>
          <w:highlight w:val="yellow"/>
        </w:rPr>
        <w:t xml:space="preserve">Vera San Juan, N., Gronholm, P. C., Heslin, M., Lawrence, V., Bain, M., Okuma, A., &amp; Evans-Lacko, S. (2021). Recovery from severe mental health problems: A systematic review of service user and informal caregiver perspectives. </w:t>
      </w:r>
      <w:r w:rsidRPr="00A74E3A">
        <w:rPr>
          <w:i/>
          <w:highlight w:val="yellow"/>
        </w:rPr>
        <w:t>Frontiers in Psychiatry, 12</w:t>
      </w:r>
      <w:r w:rsidRPr="00A74E3A">
        <w:rPr>
          <w:highlight w:val="yellow"/>
        </w:rPr>
        <w:t xml:space="preserve">, 712026. </w:t>
      </w:r>
      <w:hyperlink r:id="rId37">
        <w:r w:rsidRPr="00A74E3A">
          <w:rPr>
            <w:color w:val="0563C1"/>
            <w:highlight w:val="yellow"/>
            <w:u w:val="single"/>
          </w:rPr>
          <w:t>https://doi.org/10.3389/fpsyt.2021.712026</w:t>
        </w:r>
      </w:hyperlink>
    </w:p>
    <w:p w14:paraId="4769759E" w14:textId="77777777" w:rsidR="002D720D" w:rsidRPr="00A74E3A" w:rsidRDefault="00000000">
      <w:pPr>
        <w:spacing w:line="240" w:lineRule="auto"/>
        <w:ind w:left="720" w:hanging="720"/>
        <w:jc w:val="both"/>
      </w:pPr>
      <w:r w:rsidRPr="00A74E3A">
        <w:rPr>
          <w:highlight w:val="yellow"/>
        </w:rPr>
        <w:t xml:space="preserve">Sood, M., Chadda, R. K., Singh, P., Chawla, N., Patel, R., Patil, V., Padmavati, R., Thara, R., Mohan, M., Iyer, S., Shah, J., Madan, J., Birchwood, M., Meyer, C., </w:t>
      </w:r>
      <w:proofErr w:type="spellStart"/>
      <w:r w:rsidRPr="00A74E3A">
        <w:rPr>
          <w:highlight w:val="yellow"/>
        </w:rPr>
        <w:t>Lilford</w:t>
      </w:r>
      <w:proofErr w:type="spellEnd"/>
      <w:r w:rsidRPr="00A74E3A">
        <w:rPr>
          <w:highlight w:val="yellow"/>
        </w:rPr>
        <w:t xml:space="preserve">, R. J., Furtado, V., Currie, G., &amp; Singh, S. P. (2024). Pilot study to test the feasibility and clinical efficacy of a psychosocial care programme for patients with psychosis in low-resource settings. </w:t>
      </w:r>
      <w:r w:rsidRPr="00A74E3A">
        <w:rPr>
          <w:i/>
          <w:highlight w:val="yellow"/>
        </w:rPr>
        <w:t>Asian Journal of Psychiatry, 99</w:t>
      </w:r>
      <w:r w:rsidRPr="00A74E3A">
        <w:rPr>
          <w:highlight w:val="yellow"/>
        </w:rPr>
        <w:t xml:space="preserve">, 104120. </w:t>
      </w:r>
      <w:hyperlink r:id="rId38">
        <w:r w:rsidRPr="00A74E3A">
          <w:rPr>
            <w:color w:val="0563C1"/>
            <w:highlight w:val="yellow"/>
            <w:u w:val="single"/>
          </w:rPr>
          <w:t>https://doi.org/10.1016/j.ajp.2024.104120</w:t>
        </w:r>
      </w:hyperlink>
    </w:p>
    <w:p w14:paraId="33D20431" w14:textId="77777777" w:rsidR="002D720D" w:rsidRPr="00A74E3A" w:rsidRDefault="00000000">
      <w:pPr>
        <w:spacing w:line="240" w:lineRule="auto"/>
        <w:ind w:left="720" w:hanging="720"/>
        <w:jc w:val="both"/>
      </w:pPr>
      <w:r w:rsidRPr="00A74E3A">
        <w:rPr>
          <w:highlight w:val="yellow"/>
        </w:rPr>
        <w:t xml:space="preserve">Stewart, J., Pauley, E., Wilson, D., Bradley, J., Hart, N., &amp; McAuley, D. (2025). Factors to consider when designing post-hospital interventions to support critical illness recovery: Systematic review and qualitative evidence synthesis. Journal of the Intensive Care Society, 26(1), 80–95. </w:t>
      </w:r>
      <w:hyperlink r:id="rId39">
        <w:r w:rsidRPr="00A74E3A">
          <w:rPr>
            <w:color w:val="0563C1"/>
            <w:highlight w:val="yellow"/>
            <w:u w:val="single"/>
          </w:rPr>
          <w:t>https://doi.org/10.1177/17511437241308674</w:t>
        </w:r>
      </w:hyperlink>
    </w:p>
    <w:p w14:paraId="1AF7A4D1" w14:textId="77777777" w:rsidR="002D720D" w:rsidRPr="00A74E3A" w:rsidRDefault="00000000">
      <w:pPr>
        <w:spacing w:line="240" w:lineRule="auto"/>
        <w:ind w:left="720" w:hanging="720"/>
        <w:jc w:val="both"/>
      </w:pPr>
      <w:r w:rsidRPr="00A74E3A">
        <w:rPr>
          <w:highlight w:val="yellow"/>
        </w:rPr>
        <w:t xml:space="preserve">Udoh, E. E., </w:t>
      </w:r>
      <w:proofErr w:type="spellStart"/>
      <w:r w:rsidRPr="00A74E3A">
        <w:rPr>
          <w:highlight w:val="yellow"/>
        </w:rPr>
        <w:t>Omorere</w:t>
      </w:r>
      <w:proofErr w:type="spellEnd"/>
      <w:r w:rsidRPr="00A74E3A">
        <w:rPr>
          <w:highlight w:val="yellow"/>
        </w:rPr>
        <w:t xml:space="preserve">, D. E., Sunday, O., Osasu, O. S., &amp; Amoo, B. A. (2021). Psychological distress and burden of care among family caregivers of patients with mental illness in a neuropsychiatric outpatient clinic in Nigeria. </w:t>
      </w:r>
      <w:r w:rsidRPr="00A74E3A">
        <w:rPr>
          <w:i/>
          <w:highlight w:val="yellow"/>
        </w:rPr>
        <w:t>PLOS ONE, 16</w:t>
      </w:r>
      <w:r w:rsidRPr="00A74E3A">
        <w:rPr>
          <w:highlight w:val="yellow"/>
        </w:rPr>
        <w:t xml:space="preserve">(5), e0250309. </w:t>
      </w:r>
      <w:hyperlink r:id="rId40">
        <w:r w:rsidRPr="00A74E3A">
          <w:rPr>
            <w:color w:val="0563C1"/>
            <w:highlight w:val="yellow"/>
            <w:u w:val="single"/>
          </w:rPr>
          <w:t>https://doi.org/10.1371/journal.pone.0250309</w:t>
        </w:r>
      </w:hyperlink>
    </w:p>
    <w:p w14:paraId="297AB7AD" w14:textId="77777777" w:rsidR="002D720D" w:rsidRPr="00A74E3A" w:rsidRDefault="00000000">
      <w:pPr>
        <w:spacing w:line="240" w:lineRule="auto"/>
        <w:ind w:left="720" w:hanging="720"/>
        <w:jc w:val="both"/>
        <w:rPr>
          <w:rFonts w:ascii="Times New Roman" w:hAnsi="Times New Roman"/>
          <w:sz w:val="24"/>
          <w:szCs w:val="24"/>
        </w:rPr>
      </w:pPr>
      <w:r w:rsidRPr="00A74E3A">
        <w:rPr>
          <w:highlight w:val="yellow"/>
        </w:rPr>
        <w:t xml:space="preserve">Zomer, L., </w:t>
      </w:r>
      <w:proofErr w:type="spellStart"/>
      <w:r w:rsidRPr="00A74E3A">
        <w:rPr>
          <w:highlight w:val="yellow"/>
        </w:rPr>
        <w:t>Voskes</w:t>
      </w:r>
      <w:proofErr w:type="spellEnd"/>
      <w:r w:rsidRPr="00A74E3A">
        <w:rPr>
          <w:highlight w:val="yellow"/>
        </w:rPr>
        <w:t xml:space="preserve">, Y., van </w:t>
      </w:r>
      <w:proofErr w:type="spellStart"/>
      <w:r w:rsidRPr="00A74E3A">
        <w:rPr>
          <w:highlight w:val="yellow"/>
        </w:rPr>
        <w:t>Weeghel</w:t>
      </w:r>
      <w:proofErr w:type="spellEnd"/>
      <w:r w:rsidRPr="00A74E3A">
        <w:rPr>
          <w:highlight w:val="yellow"/>
        </w:rPr>
        <w:t xml:space="preserve">, J., </w:t>
      </w:r>
      <w:proofErr w:type="spellStart"/>
      <w:r w:rsidRPr="00A74E3A">
        <w:rPr>
          <w:highlight w:val="yellow"/>
        </w:rPr>
        <w:t>Widdershoven</w:t>
      </w:r>
      <w:proofErr w:type="spellEnd"/>
      <w:r w:rsidRPr="00A74E3A">
        <w:rPr>
          <w:highlight w:val="yellow"/>
        </w:rPr>
        <w:t xml:space="preserve">, G., </w:t>
      </w:r>
      <w:proofErr w:type="spellStart"/>
      <w:r w:rsidRPr="00A74E3A">
        <w:rPr>
          <w:highlight w:val="yellow"/>
        </w:rPr>
        <w:t>Twisk</w:t>
      </w:r>
      <w:proofErr w:type="spellEnd"/>
      <w:r w:rsidRPr="00A74E3A">
        <w:rPr>
          <w:highlight w:val="yellow"/>
        </w:rPr>
        <w:t xml:space="preserve">, J., &amp; van der Meer, L. (2024). Recovery-oriented care in long-term mental health settings: Relationship between the active recovery triad (ART) model, recovery-oriented care, and recovery of service users. </w:t>
      </w:r>
      <w:r w:rsidRPr="00A74E3A">
        <w:rPr>
          <w:i/>
          <w:highlight w:val="yellow"/>
        </w:rPr>
        <w:t>Psychiatric Rehabilitation Journal, 47</w:t>
      </w:r>
      <w:r w:rsidRPr="00A74E3A">
        <w:rPr>
          <w:highlight w:val="yellow"/>
        </w:rPr>
        <w:t xml:space="preserve">(2), 129–141. </w:t>
      </w:r>
      <w:hyperlink r:id="rId41">
        <w:r w:rsidRPr="00A74E3A">
          <w:rPr>
            <w:color w:val="0563C1"/>
            <w:highlight w:val="yellow"/>
            <w:u w:val="single"/>
          </w:rPr>
          <w:t>https://doi.org/10.1037/prj0000622</w:t>
        </w:r>
      </w:hyperlink>
    </w:p>
    <w:p w14:paraId="63E521D7" w14:textId="77777777" w:rsidR="002D720D" w:rsidRPr="00A74E3A" w:rsidRDefault="002D720D">
      <w:pPr>
        <w:spacing w:line="480" w:lineRule="auto"/>
        <w:jc w:val="both"/>
        <w:rPr>
          <w:rFonts w:ascii="Times New Roman" w:hAnsi="Times New Roman"/>
          <w:sz w:val="24"/>
          <w:szCs w:val="24"/>
        </w:rPr>
      </w:pPr>
    </w:p>
    <w:p w14:paraId="68502592" w14:textId="77777777" w:rsidR="002D720D" w:rsidRPr="00A74E3A" w:rsidRDefault="002D720D">
      <w:pPr>
        <w:rPr>
          <w:rFonts w:ascii="Times New Roman" w:hAnsi="Times New Roman"/>
          <w:sz w:val="24"/>
          <w:szCs w:val="24"/>
        </w:rPr>
      </w:pPr>
    </w:p>
    <w:sectPr w:rsidR="002D720D" w:rsidRPr="00A74E3A">
      <w:headerReference w:type="default" r:id="rId42"/>
      <w:footerReference w:type="default" r:id="rId43"/>
      <w:pgSz w:w="11906" w:h="16838"/>
      <w:pgMar w:top="1440" w:right="1440" w:bottom="1440" w:left="144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BEB00" w14:textId="77777777" w:rsidR="00621410" w:rsidRDefault="00621410">
      <w:pPr>
        <w:spacing w:after="0" w:line="240" w:lineRule="auto"/>
      </w:pPr>
      <w:r>
        <w:separator/>
      </w:r>
    </w:p>
  </w:endnote>
  <w:endnote w:type="continuationSeparator" w:id="0">
    <w:p w14:paraId="43CF66E5" w14:textId="77777777" w:rsidR="00621410" w:rsidRDefault="00621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B5DA" w14:textId="77777777" w:rsidR="002D720D" w:rsidRDefault="002D7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C9E90" w14:textId="77777777" w:rsidR="00621410" w:rsidRDefault="00621410">
      <w:pPr>
        <w:spacing w:after="0" w:line="240" w:lineRule="auto"/>
      </w:pPr>
      <w:r>
        <w:separator/>
      </w:r>
    </w:p>
  </w:footnote>
  <w:footnote w:type="continuationSeparator" w:id="0">
    <w:p w14:paraId="35FC0C29" w14:textId="77777777" w:rsidR="00621410" w:rsidRDefault="00621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7151" w14:textId="77777777" w:rsidR="002D720D" w:rsidRDefault="00000000">
    <w:pPr>
      <w:pStyle w:val="Header"/>
      <w:rPr>
        <w:lang w:val="en-US" w:eastAsia="en-US"/>
      </w:rPr>
    </w:pPr>
    <w:r>
      <w:rPr>
        <w:lang w:val="en-US" w:eastAsia="en-US"/>
      </w:rPr>
      <w:pict w14:anchorId="141D09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229158" o:spid="_x0000_s1025" type="#_x0000_t136" style="position:absolute;margin-left:0;margin-top:0;width:535.75pt;height:81.85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B6783"/>
    <w:multiLevelType w:val="multilevel"/>
    <w:tmpl w:val="8E4EBBE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42B72D1A"/>
    <w:multiLevelType w:val="multilevel"/>
    <w:tmpl w:val="0E60CFFC"/>
    <w:lvl w:ilvl="0">
      <w:start w:val="1"/>
      <w:numFmt w:val="decimal"/>
      <w:lvlText w:val="%1."/>
      <w:lvlJc w:val="left"/>
      <w:pPr>
        <w:tabs>
          <w:tab w:val="num" w:pos="0"/>
        </w:tabs>
        <w:ind w:left="720" w:hanging="360"/>
      </w:pPr>
    </w:lvl>
    <w:lvl w:ilvl="1">
      <w:start w:val="2"/>
      <w:numFmt w:val="decimal"/>
      <w:isLgl/>
      <w:lvlText w:val="%1.%2"/>
      <w:lvlJc w:val="left"/>
      <w:pPr>
        <w:tabs>
          <w:tab w:val="num" w:pos="0"/>
        </w:tabs>
        <w:ind w:left="360" w:hanging="360"/>
      </w:pPr>
      <w:rPr>
        <w:b/>
      </w:r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160" w:hanging="72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240" w:hanging="1080"/>
      </w:pPr>
    </w:lvl>
    <w:lvl w:ilvl="6">
      <w:start w:val="1"/>
      <w:numFmt w:val="decimal"/>
      <w:isLgl/>
      <w:lvlText w:val="%1.%2.%3.%4.%5.%6.%7"/>
      <w:lvlJc w:val="left"/>
      <w:pPr>
        <w:tabs>
          <w:tab w:val="num" w:pos="0"/>
        </w:tabs>
        <w:ind w:left="3960" w:hanging="1440"/>
      </w:pPr>
    </w:lvl>
    <w:lvl w:ilvl="7">
      <w:start w:val="1"/>
      <w:numFmt w:val="decimal"/>
      <w:isLgl/>
      <w:lvlText w:val="%1.%2.%3.%4.%5.%6.%7.%8"/>
      <w:lvlJc w:val="left"/>
      <w:pPr>
        <w:tabs>
          <w:tab w:val="num" w:pos="0"/>
        </w:tabs>
        <w:ind w:left="4320" w:hanging="1440"/>
      </w:pPr>
    </w:lvl>
    <w:lvl w:ilvl="8">
      <w:start w:val="1"/>
      <w:numFmt w:val="decimal"/>
      <w:isLgl/>
      <w:lvlText w:val="%1.%2.%3.%4.%5.%6.%7.%8.%9"/>
      <w:lvlJc w:val="left"/>
      <w:pPr>
        <w:tabs>
          <w:tab w:val="num" w:pos="0"/>
        </w:tabs>
        <w:ind w:left="5040" w:hanging="1800"/>
      </w:pPr>
    </w:lvl>
  </w:abstractNum>
  <w:abstractNum w:abstractNumId="2" w15:restartNumberingAfterBreak="0">
    <w:nsid w:val="713136A2"/>
    <w:multiLevelType w:val="multilevel"/>
    <w:tmpl w:val="56289DC4"/>
    <w:lvl w:ilvl="0">
      <w:start w:val="1"/>
      <w:numFmt w:val="decimal"/>
      <w:lvlText w:val="%1."/>
      <w:lvlJc w:val="left"/>
      <w:pPr>
        <w:tabs>
          <w:tab w:val="num" w:pos="0"/>
        </w:tabs>
        <w:ind w:left="720" w:hanging="360"/>
      </w:pPr>
    </w:lvl>
    <w:lvl w:ilvl="1">
      <w:start w:val="2"/>
      <w:numFmt w:val="decimal"/>
      <w:isLgl/>
      <w:lvlText w:val="%1.%2"/>
      <w:lvlJc w:val="left"/>
      <w:pPr>
        <w:tabs>
          <w:tab w:val="num" w:pos="0"/>
        </w:tabs>
        <w:ind w:left="360" w:hanging="360"/>
      </w:pPr>
      <w:rPr>
        <w:b/>
      </w:r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160" w:hanging="72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240" w:hanging="1080"/>
      </w:pPr>
    </w:lvl>
    <w:lvl w:ilvl="6">
      <w:start w:val="1"/>
      <w:numFmt w:val="decimal"/>
      <w:isLgl/>
      <w:lvlText w:val="%1.%2.%3.%4.%5.%6.%7"/>
      <w:lvlJc w:val="left"/>
      <w:pPr>
        <w:tabs>
          <w:tab w:val="num" w:pos="0"/>
        </w:tabs>
        <w:ind w:left="3960" w:hanging="1440"/>
      </w:pPr>
    </w:lvl>
    <w:lvl w:ilvl="7">
      <w:start w:val="1"/>
      <w:numFmt w:val="decimal"/>
      <w:isLgl/>
      <w:lvlText w:val="%1.%2.%3.%4.%5.%6.%7.%8"/>
      <w:lvlJc w:val="left"/>
      <w:pPr>
        <w:tabs>
          <w:tab w:val="num" w:pos="0"/>
        </w:tabs>
        <w:ind w:left="4320" w:hanging="1440"/>
      </w:pPr>
    </w:lvl>
    <w:lvl w:ilvl="8">
      <w:start w:val="1"/>
      <w:numFmt w:val="decimal"/>
      <w:isLgl/>
      <w:lvlText w:val="%1.%2.%3.%4.%5.%6.%7.%8.%9"/>
      <w:lvlJc w:val="left"/>
      <w:pPr>
        <w:tabs>
          <w:tab w:val="num" w:pos="0"/>
        </w:tabs>
        <w:ind w:left="5040" w:hanging="1800"/>
      </w:pPr>
    </w:lvl>
  </w:abstractNum>
  <w:num w:numId="1" w16cid:durableId="1091852132">
    <w:abstractNumId w:val="0"/>
  </w:num>
  <w:num w:numId="2" w16cid:durableId="707487041">
    <w:abstractNumId w:val="2"/>
  </w:num>
  <w:num w:numId="3" w16cid:durableId="1336569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oNotTrackMoves/>
  <w:defaultTabStop w:val="720"/>
  <w:autoHyphenation/>
  <w:hyphenationZone w:val="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720D"/>
    <w:rsid w:val="002D720D"/>
    <w:rsid w:val="00621410"/>
    <w:rsid w:val="00680204"/>
    <w:rsid w:val="00A74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4CC3C34C"/>
  <w15:docId w15:val="{2634E5B9-D1E0-4678-9389-123695FD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val="en-GB" w:eastAsia="zh-C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Times New Roman"/>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Times New Roman"/>
      <w:color w:val="595959"/>
    </w:rPr>
  </w:style>
  <w:style w:type="paragraph" w:styleId="Heading8">
    <w:name w:val="heading 8"/>
    <w:basedOn w:val="Normal"/>
    <w:next w:val="Normal"/>
    <w:qFormat/>
    <w:pPr>
      <w:keepNext/>
      <w:keepLines/>
      <w:numPr>
        <w:ilvl w:val="7"/>
        <w:numId w:val="1"/>
      </w:numPr>
      <w:spacing w:after="0"/>
      <w:outlineLvl w:val="7"/>
    </w:pPr>
    <w:rPr>
      <w:rFonts w:eastAsia="Times New Roman"/>
      <w:i/>
      <w:iCs/>
      <w:color w:val="272727"/>
    </w:rPr>
  </w:style>
  <w:style w:type="paragraph" w:styleId="Heading9">
    <w:name w:val="heading 9"/>
    <w:basedOn w:val="Normal"/>
    <w:next w:val="Normal"/>
    <w:qFormat/>
    <w:pPr>
      <w:keepNext/>
      <w:keepLines/>
      <w:numPr>
        <w:ilvl w:val="8"/>
        <w:numId w:val="1"/>
      </w:numPr>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1">
    <w:name w:val="WW8Num1z1"/>
    <w:qFormat/>
    <w:rPr>
      <w:b/>
    </w:rPr>
  </w:style>
  <w:style w:type="character" w:customStyle="1" w:styleId="WW8Num1z2">
    <w:name w:val="WW8Num1z2"/>
    <w:qFormat/>
  </w:style>
  <w:style w:type="character" w:customStyle="1" w:styleId="WW8Num2z1">
    <w:name w:val="WW8Num2z1"/>
    <w:qFormat/>
    <w:rPr>
      <w:b/>
    </w:rPr>
  </w:style>
  <w:style w:type="character" w:customStyle="1" w:styleId="WW8Num2z2">
    <w:name w:val="WW8Num2z2"/>
    <w:qFormat/>
  </w:style>
  <w:style w:type="character" w:customStyle="1" w:styleId="Heading1Char">
    <w:name w:val="Heading 1 Char"/>
    <w:qFormat/>
    <w:rPr>
      <w:rFonts w:ascii="Calibri Light" w:eastAsia="Times New Roman" w:hAnsi="Calibri Light" w:cs="Times New Roman"/>
      <w:color w:val="2F5496"/>
      <w:sz w:val="40"/>
      <w:szCs w:val="40"/>
    </w:rPr>
  </w:style>
  <w:style w:type="character" w:customStyle="1" w:styleId="Heading2Char">
    <w:name w:val="Heading 2 Char"/>
    <w:qFormat/>
    <w:rPr>
      <w:rFonts w:ascii="Calibri Light" w:eastAsia="Times New Roman" w:hAnsi="Calibri Light" w:cs="Times New Roman"/>
      <w:color w:val="2F5496"/>
      <w:sz w:val="32"/>
      <w:szCs w:val="32"/>
    </w:rPr>
  </w:style>
  <w:style w:type="character" w:customStyle="1" w:styleId="Heading3Char">
    <w:name w:val="Heading 3 Char"/>
    <w:qFormat/>
    <w:rPr>
      <w:rFonts w:eastAsia="Times New Roman" w:cs="Times New Roman"/>
      <w:color w:val="2F5496"/>
      <w:sz w:val="28"/>
      <w:szCs w:val="28"/>
    </w:rPr>
  </w:style>
  <w:style w:type="character" w:customStyle="1" w:styleId="Heading4Char">
    <w:name w:val="Heading 4 Char"/>
    <w:qFormat/>
    <w:rPr>
      <w:rFonts w:eastAsia="Times New Roman" w:cs="Times New Roman"/>
      <w:i/>
      <w:iCs/>
      <w:color w:val="2F5496"/>
    </w:rPr>
  </w:style>
  <w:style w:type="character" w:customStyle="1" w:styleId="Heading5Char">
    <w:name w:val="Heading 5 Char"/>
    <w:qFormat/>
    <w:rPr>
      <w:rFonts w:eastAsia="Times New Roman" w:cs="Times New Roman"/>
      <w:color w:val="2F5496"/>
    </w:rPr>
  </w:style>
  <w:style w:type="character" w:customStyle="1" w:styleId="Heading6Char">
    <w:name w:val="Heading 6 Char"/>
    <w:qFormat/>
    <w:rPr>
      <w:rFonts w:eastAsia="Times New Roman" w:cs="Times New Roman"/>
      <w:i/>
      <w:iCs/>
      <w:color w:val="595959"/>
    </w:rPr>
  </w:style>
  <w:style w:type="character" w:customStyle="1" w:styleId="Heading7Char">
    <w:name w:val="Heading 7 Char"/>
    <w:qFormat/>
    <w:rPr>
      <w:rFonts w:eastAsia="Times New Roman" w:cs="Times New Roman"/>
      <w:color w:val="595959"/>
    </w:rPr>
  </w:style>
  <w:style w:type="character" w:customStyle="1" w:styleId="Heading8Char">
    <w:name w:val="Heading 8 Char"/>
    <w:qFormat/>
    <w:rPr>
      <w:rFonts w:eastAsia="Times New Roman" w:cs="Times New Roman"/>
      <w:i/>
      <w:iCs/>
      <w:color w:val="272727"/>
    </w:rPr>
  </w:style>
  <w:style w:type="character" w:customStyle="1" w:styleId="Heading9Char">
    <w:name w:val="Heading 9 Char"/>
    <w:qFormat/>
    <w:rPr>
      <w:rFonts w:eastAsia="Times New Roman" w:cs="Times New Roman"/>
      <w:color w:val="272727"/>
    </w:rPr>
  </w:style>
  <w:style w:type="character" w:customStyle="1" w:styleId="TitleChar">
    <w:name w:val="Title Char"/>
    <w:qFormat/>
    <w:rPr>
      <w:rFonts w:ascii="Calibri Light" w:eastAsia="Times New Roman" w:hAnsi="Calibri Light" w:cs="Times New Roman"/>
      <w:spacing w:val="-10"/>
      <w:kern w:val="2"/>
      <w:sz w:val="56"/>
      <w:szCs w:val="56"/>
    </w:rPr>
  </w:style>
  <w:style w:type="character" w:customStyle="1" w:styleId="SubtitleChar">
    <w:name w:val="Subtitle Char"/>
    <w:qFormat/>
    <w:rPr>
      <w:rFonts w:eastAsia="Times New Roman" w:cs="Times New Roman"/>
      <w:color w:val="595959"/>
      <w:spacing w:val="15"/>
      <w:sz w:val="28"/>
      <w:szCs w:val="28"/>
    </w:rPr>
  </w:style>
  <w:style w:type="character" w:customStyle="1" w:styleId="QuoteChar">
    <w:name w:val="Quote Char"/>
    <w:qFormat/>
    <w:rPr>
      <w:i/>
      <w:iCs/>
      <w:color w:val="404040"/>
    </w:rPr>
  </w:style>
  <w:style w:type="character" w:styleId="IntenseEmphasis">
    <w:name w:val="Intense Emphasis"/>
    <w:qFormat/>
    <w:rPr>
      <w:i/>
      <w:iCs/>
      <w:color w:val="2F5496"/>
    </w:rPr>
  </w:style>
  <w:style w:type="character" w:customStyle="1" w:styleId="IntenseQuoteChar">
    <w:name w:val="Intense Quote Char"/>
    <w:qFormat/>
    <w:rPr>
      <w:i/>
      <w:iCs/>
      <w:color w:val="2F5496"/>
    </w:rPr>
  </w:style>
  <w:style w:type="character" w:styleId="IntenseReference">
    <w:name w:val="Intense Reference"/>
    <w:qFormat/>
    <w:rPr>
      <w:b/>
      <w:bCs/>
      <w:smallCaps/>
      <w:color w:val="2F5496"/>
      <w:spacing w:val="5"/>
    </w:rPr>
  </w:style>
  <w:style w:type="character" w:styleId="Hyperlink">
    <w:name w:val="Hyperlink"/>
    <w:rPr>
      <w:color w:val="0563C1"/>
      <w:u w:val="single"/>
    </w:rPr>
  </w:style>
  <w:style w:type="character" w:styleId="HTMLCite">
    <w:name w:val="HTML Cite"/>
    <w:qFormat/>
    <w:rPr>
      <w:rFonts w:ascii="Calibri" w:eastAsia="Calibri" w:hAnsi="Calibri" w:cs="Times New Roman"/>
      <w:i/>
      <w:iCs/>
    </w:rPr>
  </w:style>
  <w:style w:type="character" w:styleId="UnresolvedMention">
    <w:name w:val="Unresolved Mention"/>
    <w:qFormat/>
    <w:rPr>
      <w:color w:val="605E5C"/>
      <w:shd w:val="clear" w:color="auto" w:fill="E1DFDD"/>
    </w:rPr>
  </w:style>
  <w:style w:type="character" w:customStyle="1" w:styleId="HeaderChar">
    <w:name w:val="Header Char"/>
    <w:qFormat/>
    <w:rPr>
      <w:sz w:val="22"/>
      <w:szCs w:val="22"/>
      <w:lang w:val="en-GB"/>
    </w:rPr>
  </w:style>
  <w:style w:type="character" w:customStyle="1" w:styleId="FooterChar">
    <w:name w:val="Footer Char"/>
    <w:qFormat/>
    <w:rPr>
      <w:sz w:val="22"/>
      <w:szCs w:val="22"/>
      <w:lang w:val="en-GB"/>
    </w:rPr>
  </w:style>
  <w:style w:type="paragraph" w:customStyle="1" w:styleId="Heading">
    <w:name w:val="Heading"/>
    <w:basedOn w:val="Normal"/>
    <w:next w:val="Normal"/>
    <w:qFormat/>
    <w:pPr>
      <w:spacing w:after="80" w:line="240" w:lineRule="auto"/>
      <w:contextualSpacing/>
    </w:pPr>
    <w:rPr>
      <w:rFonts w:ascii="Calibri Light" w:eastAsia="Times New Roman" w:hAnsi="Calibri Light"/>
      <w:spacing w:val="-10"/>
      <w:kern w:val="2"/>
      <w:sz w:val="56"/>
      <w:szCs w:val="56"/>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Times New Roman"/>
      <w:color w:val="595959"/>
      <w:spacing w:val="15"/>
      <w:sz w:val="28"/>
      <w:szCs w:val="28"/>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paragraph" w:styleId="NormalWeb">
    <w:name w:val="Normal (Web)"/>
    <w:basedOn w:val="Normal"/>
    <w:uiPriority w:val="99"/>
    <w:semiHidden/>
    <w:unhideWhenUsed/>
    <w:rsid w:val="00A74E3A"/>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character" w:styleId="Strong">
    <w:name w:val="Strong"/>
    <w:uiPriority w:val="22"/>
    <w:qFormat/>
    <w:rsid w:val="00A74E3A"/>
    <w:rPr>
      <w:b/>
      <w:bCs/>
    </w:rPr>
  </w:style>
  <w:style w:type="character" w:styleId="Emphasis">
    <w:name w:val="Emphasis"/>
    <w:uiPriority w:val="20"/>
    <w:qFormat/>
    <w:rsid w:val="00A74E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93/abm/kaz002" TargetMode="External"/><Relationship Id="rId18" Type="http://schemas.openxmlformats.org/officeDocument/2006/relationships/hyperlink" Target="https://doi.org/10.1176/appi.ps.202100138" TargetMode="External"/><Relationship Id="rId26" Type="http://schemas.openxmlformats.org/officeDocument/2006/relationships/hyperlink" Target="https://doi.org/10.1177/10497323211039828" TargetMode="External"/><Relationship Id="rId39" Type="http://schemas.openxmlformats.org/officeDocument/2006/relationships/hyperlink" Target="https://doi.org/10.1177/17511437241308674" TargetMode="External"/><Relationship Id="rId21" Type="http://schemas.openxmlformats.org/officeDocument/2006/relationships/hyperlink" Target="https://doi.org/10.1007/s10464-015-9758-3" TargetMode="External"/><Relationship Id="rId34" Type="http://schemas.openxmlformats.org/officeDocument/2006/relationships/hyperlink" Target="https://doi.org/10.1080/13548506.2020.1778755" TargetMode="External"/><Relationship Id="rId42"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111/jnu.12540" TargetMode="External"/><Relationship Id="rId29" Type="http://schemas.openxmlformats.org/officeDocument/2006/relationships/hyperlink" Target="https://doi.org/10.18502/ijps.v18i3.1301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doi.org/10.1016/j.schres.2024.10.006" TargetMode="External"/><Relationship Id="rId32" Type="http://schemas.openxmlformats.org/officeDocument/2006/relationships/hyperlink" Target="https://doi.org/10.4103/nmj.NMJ_122_19" TargetMode="External"/><Relationship Id="rId37" Type="http://schemas.openxmlformats.org/officeDocument/2006/relationships/hyperlink" Target="https://doi.org/10.3389/fpsyt.2021.712026" TargetMode="External"/><Relationship Id="rId40" Type="http://schemas.openxmlformats.org/officeDocument/2006/relationships/hyperlink" Target="https://doi.org/10.1371/journal.pone.0250309"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56557/jomahr/2025/v10i29512" TargetMode="External"/><Relationship Id="rId23" Type="http://schemas.openxmlformats.org/officeDocument/2006/relationships/hyperlink" Target="https://pubmed.ncbi.nlm.nih.gov/33058122/" TargetMode="External"/><Relationship Id="rId28" Type="http://schemas.openxmlformats.org/officeDocument/2006/relationships/hyperlink" Target="https://doi.org/10.1016/j.eclinm.2023.102057" TargetMode="External"/><Relationship Id="rId36" Type="http://schemas.openxmlformats.org/officeDocument/2006/relationships/hyperlink" Target="https://doi.org/10.2147/PPA.S325793" TargetMode="External"/><Relationship Id="rId10" Type="http://schemas.openxmlformats.org/officeDocument/2006/relationships/package" Target="embeddings/Microsoft_Excel_Worksheet1.xlsx"/><Relationship Id="rId19" Type="http://schemas.openxmlformats.org/officeDocument/2006/relationships/hyperlink" Target="https://doi.org/10.1097/JCN.0b013e3182578b9d" TargetMode="External"/><Relationship Id="rId31" Type="http://schemas.openxmlformats.org/officeDocument/2006/relationships/hyperlink" Target="https://doi.org/10.3390/ijerph18157858"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journals.ui.edu.ng/index.php/ajem/article/view/307" TargetMode="External"/><Relationship Id="rId22" Type="http://schemas.openxmlformats.org/officeDocument/2006/relationships/hyperlink" Target="https://doi.org/10.9734/indj/2026/v23i5575" TargetMode="External"/><Relationship Id="rId27" Type="http://schemas.openxmlformats.org/officeDocument/2006/relationships/hyperlink" Target="https://doi.org/10.1007/s10597-022-01007-8" TargetMode="External"/><Relationship Id="rId30" Type="http://schemas.openxmlformats.org/officeDocument/2006/relationships/hyperlink" Target="https://doi.org/10.1007/s11764-020-00979-4" TargetMode="External"/><Relationship Id="rId35" Type="http://schemas.openxmlformats.org/officeDocument/2006/relationships/hyperlink" Target="https://doi.org/10.3390/healthcare13172182" TargetMode="External"/><Relationship Id="rId43" Type="http://schemas.openxmlformats.org/officeDocument/2006/relationships/footer" Target="footer1.xml"/><Relationship Id="rId8" Type="http://schemas.openxmlformats.org/officeDocument/2006/relationships/package" Target="embeddings/Microsoft_Excel_Worksheet.xlsx"/><Relationship Id="rId3" Type="http://schemas.openxmlformats.org/officeDocument/2006/relationships/settings" Target="settings.xml"/><Relationship Id="rId12" Type="http://schemas.openxmlformats.org/officeDocument/2006/relationships/package" Target="embeddings/Microsoft_Excel_Worksheet2.xlsx"/><Relationship Id="rId17" Type="http://schemas.openxmlformats.org/officeDocument/2006/relationships/hyperlink" Target="https://doi.org/10.1007/s11205-015-0926-5" TargetMode="External"/><Relationship Id="rId25" Type="http://schemas.openxmlformats.org/officeDocument/2006/relationships/hyperlink" Target="https://doi.org/10.1007/s11136-018-1845-0" TargetMode="External"/><Relationship Id="rId33" Type="http://schemas.openxmlformats.org/officeDocument/2006/relationships/hyperlink" Target="https://doi.org/10.9734/ajmah/2022/v20i12777" TargetMode="External"/><Relationship Id="rId38" Type="http://schemas.openxmlformats.org/officeDocument/2006/relationships/hyperlink" Target="https://doi.org/10.1016/j.ajp.2024.104120" TargetMode="External"/><Relationship Id="rId20" Type="http://schemas.openxmlformats.org/officeDocument/2006/relationships/hyperlink" Target="https://doi.org/10.1177/1468794111432992" TargetMode="External"/><Relationship Id="rId41" Type="http://schemas.openxmlformats.org/officeDocument/2006/relationships/hyperlink" Target="https://doi.org/10.1037/prj0000622"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19</Pages>
  <Words>6021</Words>
  <Characters>34326</Characters>
  <Application>Microsoft Office Word</Application>
  <DocSecurity>0</DocSecurity>
  <Lines>286</Lines>
  <Paragraphs>80</Paragraphs>
  <ScaleCrop>false</ScaleCrop>
  <Company/>
  <LinksUpToDate>false</LinksUpToDate>
  <CharactersWithSpaces>40267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Adeniji</dc:creator>
  <cp:keywords/>
  <dc:description/>
  <cp:lastModifiedBy>SDI PC New 16</cp:lastModifiedBy>
  <cp:revision>8</cp:revision>
  <dcterms:created xsi:type="dcterms:W3CDTF">2026-09-02T06:07:00Z</dcterms:created>
  <dcterms:modified xsi:type="dcterms:W3CDTF">2026-10-07T06:15:00Z</dcterms:modified>
  <dc:language>en-US</dc:language>
</cp:coreProperties>
</file>