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24DA3" w14:textId="77777777" w:rsidR="003C3C4F" w:rsidRDefault="00000000">
      <w:pPr>
        <w:spacing w:after="0"/>
        <w:jc w:val="center"/>
        <w:rPr>
          <w:b/>
          <w:bCs/>
          <w:sz w:val="28"/>
          <w:szCs w:val="28"/>
        </w:rPr>
      </w:pPr>
      <w:r>
        <w:rPr>
          <w:b/>
          <w:bCs/>
          <w:sz w:val="28"/>
          <w:szCs w:val="28"/>
        </w:rPr>
        <w:t>ELECTRONIC PAYMENT SYSTEMS AND THE PROFITABILITY OF COMMERCIAL BANKS IN NAIROBI CITY COUNTY, KENYA</w:t>
      </w:r>
    </w:p>
    <w:p w14:paraId="09690DA1" w14:textId="77777777" w:rsidR="003C3C4F" w:rsidRDefault="003C3C4F">
      <w:pPr>
        <w:spacing w:after="0"/>
        <w:jc w:val="center"/>
        <w:rPr>
          <w:b/>
          <w:bCs/>
          <w:sz w:val="28"/>
          <w:szCs w:val="28"/>
        </w:rPr>
      </w:pPr>
    </w:p>
    <w:p w14:paraId="1E3CA1CC" w14:textId="77777777" w:rsidR="003C3C4F" w:rsidRDefault="003C3C4F">
      <w:pPr>
        <w:spacing w:after="0"/>
        <w:jc w:val="center"/>
        <w:rPr>
          <w:b/>
          <w:bCs/>
          <w:sz w:val="28"/>
          <w:szCs w:val="28"/>
        </w:rPr>
      </w:pPr>
    </w:p>
    <w:p w14:paraId="1717CD74" w14:textId="77777777" w:rsidR="003C3C4F" w:rsidRDefault="00000000">
      <w:pPr>
        <w:pBdr>
          <w:top w:val="single" w:sz="4" w:space="1" w:color="000000"/>
          <w:bottom w:val="single" w:sz="4" w:space="1" w:color="000000"/>
        </w:pBdr>
        <w:spacing w:after="0"/>
        <w:rPr>
          <w:b/>
          <w:szCs w:val="24"/>
        </w:rPr>
      </w:pPr>
      <w:r>
        <w:rPr>
          <w:b/>
          <w:szCs w:val="24"/>
        </w:rPr>
        <w:t>Abstract</w:t>
      </w:r>
    </w:p>
    <w:p w14:paraId="0731936A" w14:textId="77777777" w:rsidR="003C3C4F" w:rsidRDefault="00000000">
      <w:pPr>
        <w:pStyle w:val="NoSpacing"/>
      </w:pPr>
      <w:r>
        <w:rPr>
          <w:szCs w:val="24"/>
        </w:rPr>
        <w:t xml:space="preserve">Within the banking industry, payment services are a fundamental activity that contributes substantially to operating revenues and costs and influences the market share of banking institutions, particularly through credit provision. Digital technologies are being </w:t>
      </w:r>
      <w:r>
        <w:rPr>
          <w:szCs w:val="24"/>
          <w:highlight w:val="yellow"/>
        </w:rPr>
        <w:t>rap</w:t>
      </w:r>
      <w:r>
        <w:rPr>
          <w:szCs w:val="24"/>
        </w:rPr>
        <w:t>i</w:t>
      </w:r>
      <w:r>
        <w:rPr>
          <w:szCs w:val="24"/>
          <w:highlight w:val="yellow"/>
        </w:rPr>
        <w:t>d</w:t>
      </w:r>
      <w:r>
        <w:rPr>
          <w:szCs w:val="24"/>
        </w:rPr>
        <w:t xml:space="preserve">ly incorporated into Kenya’s banking sector, </w:t>
      </w:r>
      <w:r>
        <w:rPr>
          <w:szCs w:val="24"/>
          <w:highlight w:val="yellow"/>
        </w:rPr>
        <w:t>yet</w:t>
      </w:r>
      <w:r>
        <w:rPr>
          <w:szCs w:val="24"/>
        </w:rPr>
        <w:t xml:space="preserve"> it </w:t>
      </w:r>
      <w:r>
        <w:rPr>
          <w:szCs w:val="24"/>
          <w:highlight w:val="yellow"/>
        </w:rPr>
        <w:t>rema</w:t>
      </w:r>
      <w:r>
        <w:rPr>
          <w:szCs w:val="24"/>
        </w:rPr>
        <w:t>i</w:t>
      </w:r>
      <w:r>
        <w:rPr>
          <w:szCs w:val="24"/>
          <w:highlight w:val="yellow"/>
        </w:rPr>
        <w:t>n</w:t>
      </w:r>
      <w:r>
        <w:rPr>
          <w:szCs w:val="24"/>
        </w:rPr>
        <w:t xml:space="preserve">s unclear how these advances actually affect profitability. </w:t>
      </w:r>
      <w:r>
        <w:t xml:space="preserve">There are therefore concerns about the impact </w:t>
      </w:r>
      <w:r>
        <w:rPr>
          <w:highlight w:val="yellow"/>
        </w:rPr>
        <w:t>of</w:t>
      </w:r>
      <w:r>
        <w:t xml:space="preserve"> electronic payment </w:t>
      </w:r>
      <w:r>
        <w:rPr>
          <w:highlight w:val="yellow"/>
        </w:rPr>
        <w:t>syst</w:t>
      </w:r>
      <w:r>
        <w:t>e</w:t>
      </w:r>
      <w:r>
        <w:rPr>
          <w:highlight w:val="yellow"/>
        </w:rPr>
        <w:t>ms</w:t>
      </w:r>
      <w:r>
        <w:t xml:space="preserve"> on financial performance. This study investigated how electronic payment systems affect the profitability of commercial banks in Nairobi City County, Kenya. </w:t>
      </w:r>
      <w:r>
        <w:rPr>
          <w:highlight w:val="yellow"/>
        </w:rPr>
        <w:t>The Resource-Based View Theory, Technology Acceptance Model, and Agency Theory, which together describe the adoption of financial technology and its performance implications, served as the theoretical foundation of the study</w:t>
      </w:r>
      <w:r>
        <w:t xml:space="preserve">. </w:t>
      </w:r>
      <w:r>
        <w:rPr>
          <w:highlight w:val="yellow"/>
        </w:rPr>
        <w:t>The specific objectives were to e</w:t>
      </w:r>
      <w:r>
        <w:t>valuat</w:t>
      </w:r>
      <w:r>
        <w:rPr>
          <w:highlight w:val="yellow"/>
        </w:rPr>
        <w:t>e</w:t>
      </w:r>
      <w:r>
        <w:t xml:space="preserve"> the </w:t>
      </w:r>
      <w:r>
        <w:rPr>
          <w:highlight w:val="yellow"/>
        </w:rPr>
        <w:t>effe</w:t>
      </w:r>
      <w:r>
        <w:t>ct</w:t>
      </w:r>
      <w:r>
        <w:rPr>
          <w:highlight w:val="yellow"/>
        </w:rPr>
        <w:t>s</w:t>
      </w:r>
      <w:r>
        <w:t xml:space="preserve"> of automated teller machine</w:t>
      </w:r>
      <w:r>
        <w:rPr>
          <w:highlight w:val="yellow"/>
        </w:rPr>
        <w:t>s</w:t>
      </w:r>
      <w:r>
        <w:t xml:space="preserve">, mobile banking, and internet banking on bank profitability. </w:t>
      </w:r>
      <w:r>
        <w:rPr>
          <w:highlight w:val="yellow"/>
        </w:rPr>
        <w:t>A descriptiv</w:t>
      </w:r>
      <w:r>
        <w:t xml:space="preserve">e research approach was </w:t>
      </w:r>
      <w:r>
        <w:rPr>
          <w:highlight w:val="yellow"/>
        </w:rPr>
        <w:t>a</w:t>
      </w:r>
      <w:r>
        <w:t>d</w:t>
      </w:r>
      <w:r>
        <w:rPr>
          <w:highlight w:val="yellow"/>
        </w:rPr>
        <w:t>o</w:t>
      </w:r>
      <w:r>
        <w:t>pte</w:t>
      </w:r>
      <w:r>
        <w:rPr>
          <w:highlight w:val="yellow"/>
        </w:rPr>
        <w:t>d</w:t>
      </w:r>
      <w:r>
        <w:t>. A sample of 157 respondents was se</w:t>
      </w:r>
      <w:r>
        <w:rPr>
          <w:highlight w:val="yellow"/>
        </w:rPr>
        <w:t>lected usi</w:t>
      </w:r>
      <w:r>
        <w:t>n</w:t>
      </w:r>
      <w:r>
        <w:rPr>
          <w:highlight w:val="yellow"/>
        </w:rPr>
        <w:t>g</w:t>
      </w:r>
      <w:r>
        <w:t xml:space="preserve"> simple random sampling from </w:t>
      </w:r>
      <w:r>
        <w:rPr>
          <w:highlight w:val="yellow"/>
        </w:rPr>
        <w:t>a</w:t>
      </w:r>
      <w:r>
        <w:t xml:space="preserve"> target population of 258 employees from s</w:t>
      </w:r>
      <w:r>
        <w:rPr>
          <w:highlight w:val="yellow"/>
        </w:rPr>
        <w:t>el</w:t>
      </w:r>
      <w:r>
        <w:t>ec</w:t>
      </w:r>
      <w:r>
        <w:rPr>
          <w:highlight w:val="yellow"/>
        </w:rPr>
        <w:t>ted</w:t>
      </w:r>
      <w:r>
        <w:t xml:space="preserve"> commercial banks in Nairobi City County</w:t>
      </w:r>
      <w:r>
        <w:rPr>
          <w:highlight w:val="yellow"/>
        </w:rPr>
        <w:t>, Kenya</w:t>
      </w:r>
      <w:r>
        <w:t xml:space="preserve">. </w:t>
      </w:r>
      <w:r>
        <w:rPr>
          <w:highlight w:val="yellow"/>
        </w:rPr>
        <w:t>P</w:t>
      </w:r>
      <w:r>
        <w:t>rimary data</w:t>
      </w:r>
      <w:r>
        <w:rPr>
          <w:highlight w:val="yellow"/>
        </w:rPr>
        <w:t xml:space="preserve"> were collected using</w:t>
      </w:r>
      <w:r>
        <w:t xml:space="preserve"> structured questionnaires. The reliability of the research </w:t>
      </w:r>
      <w:r>
        <w:rPr>
          <w:highlight w:val="yellow"/>
        </w:rPr>
        <w:t>ins</w:t>
      </w:r>
      <w:r>
        <w:t>t</w:t>
      </w:r>
      <w:r>
        <w:rPr>
          <w:highlight w:val="yellow"/>
        </w:rPr>
        <w:t>rument</w:t>
      </w:r>
      <w:r>
        <w:t xml:space="preserve"> was evaluated using Cronbach's </w:t>
      </w:r>
      <w:r>
        <w:rPr>
          <w:highlight w:val="yellow"/>
        </w:rPr>
        <w:t>a</w:t>
      </w:r>
      <w:r>
        <w:t>lpha coefficient</w:t>
      </w:r>
      <w:r>
        <w:rPr>
          <w:highlight w:val="yellow"/>
        </w:rPr>
        <w:t>s</w:t>
      </w:r>
      <w:r>
        <w:t>. With alpha value</w:t>
      </w:r>
      <w:r>
        <w:rPr>
          <w:highlight w:val="yellow"/>
        </w:rPr>
        <w:t>s</w:t>
      </w:r>
      <w:r>
        <w:t xml:space="preserve"> of 0.781 for automated teller machine</w:t>
      </w:r>
      <w:r>
        <w:rPr>
          <w:highlight w:val="yellow"/>
        </w:rPr>
        <w:t>s</w:t>
      </w:r>
      <w:r>
        <w:t xml:space="preserve">, 0.843 for mobile banking, 0.802 for internet banking, and 0.865 for bank profitability, the results showed satisfactory internal consistency across all variables. </w:t>
      </w:r>
      <w:r>
        <w:rPr>
          <w:highlight w:val="yellow"/>
        </w:rPr>
        <w:t>C</w:t>
      </w:r>
      <w:r>
        <w:t xml:space="preserve">onstruct and content validity </w:t>
      </w:r>
      <w:r>
        <w:rPr>
          <w:highlight w:val="yellow"/>
        </w:rPr>
        <w:t xml:space="preserve">assessments </w:t>
      </w:r>
      <w:r>
        <w:t xml:space="preserve">were used to </w:t>
      </w:r>
      <w:r>
        <w:rPr>
          <w:highlight w:val="yellow"/>
        </w:rPr>
        <w:t>est</w:t>
      </w:r>
      <w:r>
        <w:t>a</w:t>
      </w:r>
      <w:r>
        <w:rPr>
          <w:highlight w:val="yellow"/>
        </w:rPr>
        <w:t>blish</w:t>
      </w:r>
      <w:r>
        <w:t xml:space="preserve"> the validity of the instrument. The </w:t>
      </w:r>
      <w:r>
        <w:rPr>
          <w:highlight w:val="yellow"/>
        </w:rPr>
        <w:t xml:space="preserve">suitability of the </w:t>
      </w:r>
      <w:r>
        <w:t xml:space="preserve">data for regression analysis was verified </w:t>
      </w:r>
      <w:r>
        <w:rPr>
          <w:highlight w:val="yellow"/>
        </w:rPr>
        <w:t>using</w:t>
      </w:r>
      <w:r>
        <w:t xml:space="preserve"> diagnostic tests for autocorrelation, heteroscedasticity, multicollinearity, and normality. Descriptive </w:t>
      </w:r>
      <w:r>
        <w:rPr>
          <w:highlight w:val="yellow"/>
        </w:rPr>
        <w:t xml:space="preserve">statistics </w:t>
      </w:r>
      <w:r>
        <w:t xml:space="preserve">and </w:t>
      </w:r>
      <w:r>
        <w:rPr>
          <w:highlight w:val="yellow"/>
        </w:rPr>
        <w:t>m</w:t>
      </w:r>
      <w:r>
        <w:t>ultiple regression estimation technique</w:t>
      </w:r>
      <w:r>
        <w:rPr>
          <w:highlight w:val="yellow"/>
        </w:rPr>
        <w:t>s</w:t>
      </w:r>
      <w:r>
        <w:t xml:space="preserve"> were u</w:t>
      </w:r>
      <w:r>
        <w:rPr>
          <w:highlight w:val="yellow"/>
        </w:rPr>
        <w:t>s</w:t>
      </w:r>
      <w:r>
        <w:t>ed to a</w:t>
      </w:r>
      <w:r>
        <w:rPr>
          <w:highlight w:val="yellow"/>
        </w:rPr>
        <w:t>naly</w:t>
      </w:r>
      <w:r>
        <w:t xml:space="preserve">se the data at a 95 per cent confidence level. </w:t>
      </w:r>
      <w:r>
        <w:rPr>
          <w:highlight w:val="yellow"/>
        </w:rPr>
        <w:t>T</w:t>
      </w:r>
      <w:r>
        <w:t xml:space="preserve">he regression </w:t>
      </w:r>
      <w:r>
        <w:rPr>
          <w:highlight w:val="yellow"/>
        </w:rPr>
        <w:t>results sh</w:t>
      </w:r>
      <w:r>
        <w:t xml:space="preserve">owed that mobile banking </w:t>
      </w:r>
      <w:r>
        <w:rPr>
          <w:highlight w:val="yellow"/>
        </w:rPr>
        <w:t>h</w:t>
      </w:r>
      <w:r>
        <w:t xml:space="preserve">ad a favourable and </w:t>
      </w:r>
      <w:r>
        <w:rPr>
          <w:highlight w:val="yellow"/>
        </w:rPr>
        <w:t>s</w:t>
      </w:r>
      <w:r>
        <w:t>ta</w:t>
      </w:r>
      <w:r>
        <w:rPr>
          <w:highlight w:val="yellow"/>
        </w:rPr>
        <w:t>tistica</w:t>
      </w:r>
      <w:r>
        <w:t>l</w:t>
      </w:r>
      <w:r>
        <w:rPr>
          <w:highlight w:val="yellow"/>
        </w:rPr>
        <w:t xml:space="preserve">ly significant </w:t>
      </w:r>
      <w:r>
        <w:t>e</w:t>
      </w:r>
      <w:r>
        <w:rPr>
          <w:highlight w:val="yellow"/>
        </w:rPr>
        <w:t>ffe</w:t>
      </w:r>
      <w:r>
        <w:t xml:space="preserve">ct on profitability. </w:t>
      </w:r>
      <w:r>
        <w:rPr>
          <w:highlight w:val="yellow"/>
        </w:rPr>
        <w:t>Internet banking also had a favourable and statistically significant effect, a</w:t>
      </w:r>
      <w:r>
        <w:t>lthough its contribution was comparatively smaller because of lower adoption levels. Automated teller machine</w:t>
      </w:r>
      <w:r>
        <w:rPr>
          <w:highlight w:val="yellow"/>
        </w:rPr>
        <w:t>s,</w:t>
      </w:r>
      <w:r>
        <w:t xml:space="preserve"> on the other hand, demonstrated a favourable but </w:t>
      </w:r>
      <w:r>
        <w:rPr>
          <w:highlight w:val="yellow"/>
        </w:rPr>
        <w:t>statistically i</w:t>
      </w:r>
      <w:r>
        <w:t>n</w:t>
      </w:r>
      <w:r>
        <w:rPr>
          <w:highlight w:val="yellow"/>
        </w:rPr>
        <w:t>s</w:t>
      </w:r>
      <w:r>
        <w:t>ig</w:t>
      </w:r>
      <w:r>
        <w:rPr>
          <w:highlight w:val="yellow"/>
        </w:rPr>
        <w:t>n</w:t>
      </w:r>
      <w:r>
        <w:t>i</w:t>
      </w:r>
      <w:r>
        <w:rPr>
          <w:highlight w:val="yellow"/>
        </w:rPr>
        <w:t xml:space="preserve">ficant </w:t>
      </w:r>
      <w:r>
        <w:t>e</w:t>
      </w:r>
      <w:r>
        <w:rPr>
          <w:highlight w:val="yellow"/>
        </w:rPr>
        <w:t>ffe</w:t>
      </w:r>
      <w:r>
        <w:t xml:space="preserve">ct on profitability, indicating indirect benefits primarily through increased efficiency and service accessibility rather than direct profit </w:t>
      </w:r>
      <w:r>
        <w:rPr>
          <w:highlight w:val="yellow"/>
        </w:rPr>
        <w:t>gene</w:t>
      </w:r>
      <w:r>
        <w:t>r</w:t>
      </w:r>
      <w:r>
        <w:rPr>
          <w:highlight w:val="yellow"/>
        </w:rPr>
        <w:t>a</w:t>
      </w:r>
      <w:r>
        <w:t xml:space="preserve">tion. </w:t>
      </w:r>
      <w:r>
        <w:rPr>
          <w:highlight w:val="yellow"/>
        </w:rPr>
        <w:t>The fin</w:t>
      </w:r>
      <w:r>
        <w:t>ding</w:t>
      </w:r>
      <w:r>
        <w:rPr>
          <w:highlight w:val="yellow"/>
        </w:rPr>
        <w:t>s</w:t>
      </w:r>
      <w:r>
        <w:t xml:space="preserve"> </w:t>
      </w:r>
      <w:r>
        <w:rPr>
          <w:highlight w:val="yellow"/>
        </w:rPr>
        <w:t>indica</w:t>
      </w:r>
      <w:r>
        <w:t>t</w:t>
      </w:r>
      <w:r>
        <w:rPr>
          <w:highlight w:val="yellow"/>
        </w:rPr>
        <w:t>e</w:t>
      </w:r>
      <w:r>
        <w:t xml:space="preserve"> th</w:t>
      </w:r>
      <w:r>
        <w:rPr>
          <w:highlight w:val="yellow"/>
        </w:rPr>
        <w:t>a</w:t>
      </w:r>
      <w:r>
        <w:t xml:space="preserve">t electronic payment systems </w:t>
      </w:r>
      <w:r>
        <w:rPr>
          <w:highlight w:val="yellow"/>
        </w:rPr>
        <w:t>impr</w:t>
      </w:r>
      <w:r>
        <w:t>o</w:t>
      </w:r>
      <w:r>
        <w:rPr>
          <w:highlight w:val="yellow"/>
        </w:rPr>
        <w:t>v</w:t>
      </w:r>
      <w:r>
        <w:t xml:space="preserve">e commercial banks’ profitability, especially </w:t>
      </w:r>
      <w:r>
        <w:rPr>
          <w:highlight w:val="yellow"/>
        </w:rPr>
        <w:t>t</w:t>
      </w:r>
      <w:r>
        <w:t>h</w:t>
      </w:r>
      <w:r>
        <w:rPr>
          <w:highlight w:val="yellow"/>
        </w:rPr>
        <w:t>r</w:t>
      </w:r>
      <w:r>
        <w:t>o</w:t>
      </w:r>
      <w:r>
        <w:rPr>
          <w:highlight w:val="yellow"/>
        </w:rPr>
        <w:t>ugh</w:t>
      </w:r>
      <w:r>
        <w:t xml:space="preserve"> internet and mobile banking. The study </w:t>
      </w:r>
      <w:r>
        <w:rPr>
          <w:highlight w:val="yellow"/>
        </w:rPr>
        <w:t xml:space="preserve">recommends </w:t>
      </w:r>
      <w:r>
        <w:t>sust</w:t>
      </w:r>
      <w:r>
        <w:rPr>
          <w:highlight w:val="yellow"/>
        </w:rPr>
        <w:t>ai</w:t>
      </w:r>
      <w:r>
        <w:t>ne</w:t>
      </w:r>
      <w:r>
        <w:rPr>
          <w:highlight w:val="yellow"/>
        </w:rPr>
        <w:t>d</w:t>
      </w:r>
      <w:r>
        <w:t xml:space="preserve"> investment in </w:t>
      </w:r>
      <w:r>
        <w:rPr>
          <w:highlight w:val="yellow"/>
        </w:rPr>
        <w:t>ATM</w:t>
      </w:r>
      <w:r>
        <w:t xml:space="preserve"> infrastructure, </w:t>
      </w:r>
      <w:r>
        <w:rPr>
          <w:highlight w:val="yellow"/>
        </w:rPr>
        <w:t>c</w:t>
      </w:r>
      <w:r>
        <w:t>on</w:t>
      </w:r>
      <w:r>
        <w:rPr>
          <w:highlight w:val="yellow"/>
        </w:rPr>
        <w:t>t</w:t>
      </w:r>
      <w:r>
        <w:t>in</w:t>
      </w:r>
      <w:r>
        <w:rPr>
          <w:highlight w:val="yellow"/>
        </w:rPr>
        <w:t>uous</w:t>
      </w:r>
      <w:r>
        <w:t xml:space="preserve"> innovation and user-centred enhancement of mobile banking platforms, improved customer education, and streamlining of internet banking systems</w:t>
      </w:r>
      <w:r>
        <w:rPr>
          <w:highlight w:val="yellow"/>
        </w:rPr>
        <w:t xml:space="preserve"> to increase adoption and overall bank profitability</w:t>
      </w:r>
      <w:r>
        <w:t>.</w:t>
      </w:r>
    </w:p>
    <w:p w14:paraId="13F10CCC" w14:textId="77777777" w:rsidR="003C3C4F" w:rsidRDefault="00000000">
      <w:pPr>
        <w:pStyle w:val="NoSpacing"/>
      </w:pPr>
      <w:r>
        <w:rPr>
          <w:b/>
        </w:rPr>
        <w:t xml:space="preserve">Keywords: </w:t>
      </w:r>
      <w:r>
        <w:rPr>
          <w:rFonts w:eastAsia="Times New Roman"/>
        </w:rPr>
        <w:t>Mobile Banking</w:t>
      </w:r>
      <w:r>
        <w:t>, Profitability, Commercial Banks, Electronic Banking, Internet Banking, Automated Teller Machine</w:t>
      </w:r>
    </w:p>
    <w:p w14:paraId="2184A5EF" w14:textId="77777777" w:rsidR="003C3C4F" w:rsidRDefault="003C3C4F">
      <w:pPr>
        <w:pStyle w:val="NoSpacing"/>
        <w:rPr>
          <w:b/>
        </w:rPr>
      </w:pPr>
    </w:p>
    <w:p w14:paraId="78DE81A9" w14:textId="77777777" w:rsidR="003C3C4F" w:rsidRDefault="00000000">
      <w:pPr>
        <w:pStyle w:val="Heading2"/>
      </w:pPr>
      <w:r>
        <w:t>1.1 Introduction</w:t>
      </w:r>
    </w:p>
    <w:p w14:paraId="0B21274F" w14:textId="77777777" w:rsidR="003C3C4F" w:rsidRDefault="00000000">
      <w:pPr>
        <w:rPr>
          <w:szCs w:val="24"/>
        </w:rPr>
      </w:pPr>
      <w:r>
        <w:lastRenderedPageBreak/>
        <w:t xml:space="preserve">One important indicator of the viability and </w:t>
      </w:r>
      <w:r>
        <w:rPr>
          <w:highlight w:val="yellow"/>
        </w:rPr>
        <w:t xml:space="preserve">financial </w:t>
      </w:r>
      <w:r>
        <w:t>soundness of commercial banks is profitability (Abu et al., 2026). According to Dietrich and Wanzenried (2011), bank profitability is shaped by bank-specific, industry-specific, and macroeconomic conditions and is central to the sustainability of banking operations. Financial institutions may face c</w:t>
      </w:r>
      <w:r>
        <w:rPr>
          <w:highlight w:val="yellow"/>
        </w:rPr>
        <w:t>ha</w:t>
      </w:r>
      <w:r>
        <w:t>l</w:t>
      </w:r>
      <w:r>
        <w:rPr>
          <w:highlight w:val="yellow"/>
        </w:rPr>
        <w:t>leng</w:t>
      </w:r>
      <w:r>
        <w:t xml:space="preserve">es </w:t>
      </w:r>
      <w:r>
        <w:rPr>
          <w:highlight w:val="yellow"/>
        </w:rPr>
        <w:t>such as</w:t>
      </w:r>
      <w:r>
        <w:t xml:space="preserve"> instability, diminished lending potential, and eroded investor confidence in the absence of steady profitability. As a result, increasing profitability continues to be a top priority for banks world</w:t>
      </w:r>
      <w:r>
        <w:rPr>
          <w:highlight w:val="yellow"/>
        </w:rPr>
        <w:t>wide</w:t>
      </w:r>
      <w:r>
        <w:t xml:space="preserve"> (Sabti &amp; Mohammed, 2020). Profitability is a crucial measure of a commercial bank's long-term sustainability, financial health, and capacity to foster wider economic expansion (Abu et al., 2026; Achor &amp; Utulu, 2026).</w:t>
      </w:r>
    </w:p>
    <w:p w14:paraId="11EDBF5E" w14:textId="77777777" w:rsidR="003C3C4F" w:rsidRDefault="00000000">
      <w:r>
        <w:rPr>
          <w:szCs w:val="24"/>
        </w:rPr>
        <w:t xml:space="preserve">Profitability </w:t>
      </w:r>
      <w:r>
        <w:rPr>
          <w:szCs w:val="24"/>
          <w:highlight w:val="yellow"/>
        </w:rPr>
        <w:t>indicate</w:t>
      </w:r>
      <w:r>
        <w:rPr>
          <w:szCs w:val="24"/>
        </w:rPr>
        <w:t xml:space="preserve">s how </w:t>
      </w:r>
      <w:r>
        <w:rPr>
          <w:szCs w:val="24"/>
          <w:highlight w:val="yellow"/>
        </w:rPr>
        <w:t>effectiv</w:t>
      </w:r>
      <w:r>
        <w:rPr>
          <w:szCs w:val="24"/>
        </w:rPr>
        <w:t>el</w:t>
      </w:r>
      <w:r>
        <w:rPr>
          <w:szCs w:val="24"/>
          <w:highlight w:val="yellow"/>
        </w:rPr>
        <w:t>y</w:t>
      </w:r>
      <w:r>
        <w:rPr>
          <w:szCs w:val="24"/>
        </w:rPr>
        <w:t xml:space="preserve"> a bank </w:t>
      </w:r>
      <w:r>
        <w:rPr>
          <w:szCs w:val="24"/>
          <w:highlight w:val="yellow"/>
        </w:rPr>
        <w:t>gene</w:t>
      </w:r>
      <w:r>
        <w:rPr>
          <w:szCs w:val="24"/>
        </w:rPr>
        <w:t>r</w:t>
      </w:r>
      <w:r>
        <w:rPr>
          <w:szCs w:val="24"/>
          <w:highlight w:val="yellow"/>
        </w:rPr>
        <w:t>at</w:t>
      </w:r>
      <w:r>
        <w:rPr>
          <w:szCs w:val="24"/>
        </w:rPr>
        <w:t xml:space="preserve">es </w:t>
      </w:r>
      <w:r>
        <w:rPr>
          <w:szCs w:val="24"/>
          <w:highlight w:val="yellow"/>
        </w:rPr>
        <w:t>suffici</w:t>
      </w:r>
      <w:r>
        <w:rPr>
          <w:szCs w:val="24"/>
        </w:rPr>
        <w:t>en</w:t>
      </w:r>
      <w:r>
        <w:rPr>
          <w:szCs w:val="24"/>
          <w:highlight w:val="yellow"/>
        </w:rPr>
        <w:t>t</w:t>
      </w:r>
      <w:r>
        <w:rPr>
          <w:szCs w:val="24"/>
        </w:rPr>
        <w:t xml:space="preserve"> returns to support its operations, add value for shareholders, and </w:t>
      </w:r>
      <w:r>
        <w:rPr>
          <w:szCs w:val="24"/>
          <w:highlight w:val="yellow"/>
        </w:rPr>
        <w:t>maintain</w:t>
      </w:r>
      <w:r>
        <w:rPr>
          <w:szCs w:val="24"/>
        </w:rPr>
        <w:t xml:space="preserve"> a competitive edge in a </w:t>
      </w:r>
      <w:r>
        <w:rPr>
          <w:szCs w:val="24"/>
          <w:highlight w:val="yellow"/>
        </w:rPr>
        <w:t xml:space="preserve">rapidly changing </w:t>
      </w:r>
      <w:r>
        <w:rPr>
          <w:szCs w:val="24"/>
        </w:rPr>
        <w:t xml:space="preserve">financial industry. Evidence from banking research indicates that profitability varies with both institution-specific and broader economic conditions (Dietrich &amp; Wanzenried, 2011). Return on Assets (ROA) is a crucial </w:t>
      </w:r>
      <w:r>
        <w:rPr>
          <w:szCs w:val="24"/>
          <w:highlight w:val="yellow"/>
        </w:rPr>
        <w:t>mea</w:t>
      </w:r>
      <w:r>
        <w:rPr>
          <w:szCs w:val="24"/>
        </w:rPr>
        <w:t>s</w:t>
      </w:r>
      <w:r>
        <w:rPr>
          <w:szCs w:val="24"/>
          <w:highlight w:val="yellow"/>
        </w:rPr>
        <w:t>ure</w:t>
      </w:r>
      <w:r>
        <w:rPr>
          <w:szCs w:val="24"/>
        </w:rPr>
        <w:t xml:space="preserve"> </w:t>
      </w:r>
      <w:r>
        <w:rPr>
          <w:szCs w:val="24"/>
          <w:highlight w:val="yellow"/>
        </w:rPr>
        <w:t>o</w:t>
      </w:r>
      <w:r>
        <w:rPr>
          <w:szCs w:val="24"/>
        </w:rPr>
        <w:t xml:space="preserve">f profitability because it indicates how effectively banks employ their resources to generate net profits (Basnet, 2024; Oyasor, 2025). </w:t>
      </w:r>
      <w:r>
        <w:rPr>
          <w:szCs w:val="24"/>
          <w:highlight w:val="yellow"/>
        </w:rPr>
        <w:t>Giv</w:t>
      </w:r>
      <w:r>
        <w:rPr>
          <w:szCs w:val="24"/>
        </w:rPr>
        <w:t>e</w:t>
      </w:r>
      <w:r>
        <w:rPr>
          <w:szCs w:val="24"/>
          <w:highlight w:val="yellow"/>
        </w:rPr>
        <w:t>n</w:t>
      </w:r>
      <w:r>
        <w:rPr>
          <w:szCs w:val="24"/>
        </w:rPr>
        <w:t xml:space="preserve"> its importance, increasing profitability continues to be a top priority for banks world</w:t>
      </w:r>
      <w:r>
        <w:rPr>
          <w:szCs w:val="24"/>
          <w:highlight w:val="yellow"/>
        </w:rPr>
        <w:t>wide</w:t>
      </w:r>
      <w:r>
        <w:rPr>
          <w:szCs w:val="24"/>
        </w:rPr>
        <w:t xml:space="preserve"> (Sabti &amp; Mohammed, 2020).</w:t>
      </w:r>
    </w:p>
    <w:p w14:paraId="68D33F6E" w14:textId="77777777" w:rsidR="003C3C4F" w:rsidRDefault="00000000">
      <w:r>
        <w:t>Global banking systems have undergone radical transformation as a result of technological innovation. In the United States, non</w:t>
      </w:r>
      <w:r>
        <w:rPr>
          <w:highlight w:val="yellow"/>
        </w:rPr>
        <w:t>-</w:t>
      </w:r>
      <w:r>
        <w:t>cash payments continued to grow, with cards accounting for 84 per</w:t>
      </w:r>
      <w:r>
        <w:rPr>
          <w:highlight w:val="yellow"/>
        </w:rPr>
        <w:t xml:space="preserve"> </w:t>
      </w:r>
      <w:r>
        <w:t xml:space="preserve">cent of the increase in the number of payment transactions between 2018 and 2021 (Board of Governors of the Federal Reserve System, 2023). Evidence also links digital payment channels with changes in bank efficiency and productivity (Wang &amp; Gunawan, 2022; Sarker et al., 2024). The transition to digital financial services has also </w:t>
      </w:r>
      <w:r>
        <w:rPr>
          <w:highlight w:val="yellow"/>
        </w:rPr>
        <w:t>ad</w:t>
      </w:r>
      <w:r>
        <w:t>v</w:t>
      </w:r>
      <w:r>
        <w:rPr>
          <w:highlight w:val="yellow"/>
        </w:rPr>
        <w:t>anc</w:t>
      </w:r>
      <w:r>
        <w:t>ed notably in Europe. The European Central Bank (2022) reported that online payments accounted for 17 per</w:t>
      </w:r>
      <w:r>
        <w:rPr>
          <w:highlight w:val="yellow"/>
        </w:rPr>
        <w:t xml:space="preserve"> </w:t>
      </w:r>
      <w:r>
        <w:t>cent of non-recurring day-to-day payments in the euro area in 2022, up from 6 per</w:t>
      </w:r>
      <w:r>
        <w:rPr>
          <w:highlight w:val="yellow"/>
        </w:rPr>
        <w:t xml:space="preserve"> </w:t>
      </w:r>
      <w:r>
        <w:t>cent in 2019. Digital innovation adoption has also been associated with positive long-term effects on bank performance (Scott et al., 2017).</w:t>
      </w:r>
    </w:p>
    <w:p w14:paraId="0B354757" w14:textId="77777777" w:rsidR="00332606" w:rsidRDefault="00000000">
      <w:r>
        <w:rPr>
          <w:b/>
          <w:highlight w:val="yellow"/>
        </w:rPr>
        <w:t xml:space="preserve">Recent empirical evidence further indicates that the profitability implications of bank digitalisation can vary across institutional settings and stages of technological adoption, with studies reporting both efficiency-related gains and cases in which digital </w:t>
      </w:r>
      <w:r>
        <w:rPr>
          <w:b/>
          <w:highlight w:val="yellow"/>
        </w:rPr>
        <w:lastRenderedPageBreak/>
        <w:t>transformation has not translated into higher return on assets (Citterio et al., 2024; He et al., 2025; Zhang, 2026).</w:t>
      </w:r>
    </w:p>
    <w:p w14:paraId="15FE890F" w14:textId="77777777" w:rsidR="003C3C4F" w:rsidRDefault="00000000">
      <w:r>
        <w:rPr>
          <w:highlight w:val="yellow"/>
        </w:rPr>
        <w:t xml:space="preserve">The development of digital finance in Africa began largely with innovations in mobile money, which helped increase SMEs' access to external sources of finance. In Sub-Saharan Africa, mobile money start-ups and services have emerged as important developments in the evolution of financial technology (Pyoko et al., 2023). </w:t>
      </w:r>
      <w:r>
        <w:t>Due to increased access to mobile devices and the desire for greater financial inclusion, the use of electronic banking has also grown rapidly throughout Africa (Sopitan et al., 2025). According to GSMA (2023), Sub-Saharan Africa had 763 million registered mobile money accounts in 2022. Kenyan evidence has also linked mobile and internet banking adoption with improved performance of financial institutions (Okiro &amp; Ndungu, 2013). However, differen</w:t>
      </w:r>
      <w:r>
        <w:rPr>
          <w:highlight w:val="yellow"/>
        </w:rPr>
        <w:t>ces in</w:t>
      </w:r>
      <w:r>
        <w:t xml:space="preserve"> infrastructure capacit</w:t>
      </w:r>
      <w:r>
        <w:rPr>
          <w:highlight w:val="yellow"/>
        </w:rPr>
        <w:t>y</w:t>
      </w:r>
      <w:r>
        <w:t xml:space="preserve"> and legal frameworks </w:t>
      </w:r>
      <w:r>
        <w:rPr>
          <w:highlight w:val="yellow"/>
        </w:rPr>
        <w:t>across</w:t>
      </w:r>
      <w:r>
        <w:t xml:space="preserve"> African nations can lead to different financial outcomes.</w:t>
      </w:r>
    </w:p>
    <w:p w14:paraId="60DCBD9E" w14:textId="77777777" w:rsidR="003C3C4F" w:rsidRDefault="00000000">
      <w:r>
        <w:rPr>
          <w:highlight w:val="yellow"/>
        </w:rPr>
        <w:t>The transformation of payment services has largely been driven by advances in mobile technology and the growing integration of fintech. Consequently, banks have expanded their digital platforms, improved operational processes, and created opportunities for generating additional revenue (Naira &amp; Akims, 2026).</w:t>
      </w:r>
      <w:r>
        <w:t xml:space="preserve"> Kenya has also been at the forefront of digital banking innovation in Africa, with platforms such as M-Pesa expanding access to financial services. The Central Bank of Kenya (2023a) documents the continued expansion of mobile and digital banking activity in the country. The Kenya Bankers Association's 2023 customer survey reported mobile banking as the most preferred banking channel (69.9 per</w:t>
      </w:r>
      <w:r>
        <w:rPr>
          <w:highlight w:val="yellow"/>
        </w:rPr>
        <w:t xml:space="preserve"> </w:t>
      </w:r>
      <w:r>
        <w:t>cent), while internet/online banking and ATMs were preferred by 24.6 per</w:t>
      </w:r>
      <w:r>
        <w:rPr>
          <w:highlight w:val="yellow"/>
        </w:rPr>
        <w:t xml:space="preserve"> </w:t>
      </w:r>
      <w:r>
        <w:t>cent and 17.7 per</w:t>
      </w:r>
      <w:r>
        <w:rPr>
          <w:highlight w:val="yellow"/>
        </w:rPr>
        <w:t xml:space="preserve"> </w:t>
      </w:r>
      <w:r>
        <w:t xml:space="preserve">cent of respondents, respectively (Kenya Bankers Association, 2024). Even though these technologies have made financial services more accessible and convenient, their direct effects on bank profitability remain an important empirical question in Kenya (Mateka et al., 2017). Electronic payment systems are especially relevant in Nairobi County, Kenya's primary commercial and financial hub. </w:t>
      </w:r>
      <w:r>
        <w:rPr>
          <w:highlight w:val="yellow"/>
        </w:rPr>
        <w:t xml:space="preserve">Sector statistics from the </w:t>
      </w:r>
      <w:r>
        <w:t>Communications Authority of Kenya (2024) document</w:t>
      </w:r>
      <w:r>
        <w:rPr>
          <w:highlight w:val="yellow"/>
        </w:rPr>
        <w:t xml:space="preserve"> the</w:t>
      </w:r>
      <w:r>
        <w:t xml:space="preserve"> continued expansion of digital communication services that support electronic financial access. The banking service landscape in the city has changed as a result of the increased adoption of ATMs, mobile banking, Point of Sale (POS), and internet banking. Despite these </w:t>
      </w:r>
      <w:r>
        <w:lastRenderedPageBreak/>
        <w:t>developments, security, network, and infrastructure challenges can still influence digital banking performance (Kimonye &amp; Muchelule, 2024; Sirengo &amp; Muturi, 2022).</w:t>
      </w:r>
    </w:p>
    <w:p w14:paraId="0F6346F2" w14:textId="77777777" w:rsidR="00332606" w:rsidRDefault="00000000">
      <w:r>
        <w:rPr>
          <w:b/>
          <w:highlight w:val="yellow"/>
        </w:rPr>
        <w:t>Recent Kenyan evidence also indicates that e-banking channels can be associated with the financial performance of commercial banks (Mwakera et al., 2024), while channel-specific evidence from another emerging-market banking context shows that ATMs, point-of-sale systems, and internet banking can have different profitability effects (Nkwa et al., 2026).</w:t>
      </w:r>
    </w:p>
    <w:p w14:paraId="6EA55EA5" w14:textId="77777777" w:rsidR="003C3C4F" w:rsidRDefault="00000000">
      <w:pPr>
        <w:pStyle w:val="Heading2"/>
      </w:pPr>
      <w:r>
        <w:t>1.2 Statement of the Problem</w:t>
      </w:r>
    </w:p>
    <w:p w14:paraId="592CCAA3" w14:textId="77777777" w:rsidR="003C3C4F" w:rsidRDefault="00000000">
      <w:pPr>
        <w:rPr>
          <w:szCs w:val="24"/>
        </w:rPr>
      </w:pPr>
      <w:r>
        <w:rPr>
          <w:szCs w:val="24"/>
          <w:highlight w:val="yellow"/>
        </w:rPr>
        <w:t>The financial intermediation role performed by commercial banks aligns with the rationale of achieving the goals and objectives of the banking sector (Akims et al., 2020).</w:t>
      </w:r>
      <w:r>
        <w:rPr>
          <w:szCs w:val="24"/>
        </w:rPr>
        <w:t xml:space="preserve"> Within the banking industry, payment services are a fundamental activity that contributes substantially to operating revenues and costs and influences the market share of banking institutions, particularly through credit provision (Misati et al., 2010). </w:t>
      </w:r>
      <w:r>
        <w:rPr>
          <w:szCs w:val="24"/>
          <w:highlight w:val="yellow"/>
        </w:rPr>
        <w:t>A r</w:t>
      </w:r>
      <w:r>
        <w:rPr>
          <w:szCs w:val="24"/>
        </w:rPr>
        <w:t xml:space="preserve">ecent report by Kimonye and Muchelule (2024) indicated that bank customers in Kenya previously encountered long queues, transaction-related challenges, security risks, and network failures. Such difficulties are mostly associated with the sector’s limited consideration of customer interests in its efforts to satisfy customer requirements. Although digital technologies are being </w:t>
      </w:r>
      <w:r>
        <w:rPr>
          <w:szCs w:val="24"/>
          <w:highlight w:val="yellow"/>
        </w:rPr>
        <w:t>rap</w:t>
      </w:r>
      <w:r>
        <w:rPr>
          <w:szCs w:val="24"/>
        </w:rPr>
        <w:t>i</w:t>
      </w:r>
      <w:r>
        <w:rPr>
          <w:szCs w:val="24"/>
          <w:highlight w:val="yellow"/>
        </w:rPr>
        <w:t>d</w:t>
      </w:r>
      <w:r>
        <w:rPr>
          <w:szCs w:val="24"/>
        </w:rPr>
        <w:t xml:space="preserve">ly incorporated into Kenya’s banking sector, it </w:t>
      </w:r>
      <w:r>
        <w:rPr>
          <w:szCs w:val="24"/>
          <w:highlight w:val="yellow"/>
        </w:rPr>
        <w:t>rema</w:t>
      </w:r>
      <w:r>
        <w:rPr>
          <w:szCs w:val="24"/>
        </w:rPr>
        <w:t>i</w:t>
      </w:r>
      <w:r>
        <w:rPr>
          <w:szCs w:val="24"/>
          <w:highlight w:val="yellow"/>
        </w:rPr>
        <w:t>n</w:t>
      </w:r>
      <w:r>
        <w:rPr>
          <w:szCs w:val="24"/>
        </w:rPr>
        <w:t xml:space="preserve">s unclear how these advances will actually affect profitability. Some </w:t>
      </w:r>
      <w:r>
        <w:rPr>
          <w:szCs w:val="24"/>
          <w:highlight w:val="yellow"/>
        </w:rPr>
        <w:t>schol</w:t>
      </w:r>
      <w:r>
        <w:rPr>
          <w:szCs w:val="24"/>
        </w:rPr>
        <w:t>a</w:t>
      </w:r>
      <w:r>
        <w:rPr>
          <w:szCs w:val="24"/>
          <w:highlight w:val="yellow"/>
        </w:rPr>
        <w:t>r</w:t>
      </w:r>
      <w:r>
        <w:rPr>
          <w:szCs w:val="24"/>
        </w:rPr>
        <w:t>s contend that</w:t>
      </w:r>
      <w:r>
        <w:rPr>
          <w:szCs w:val="24"/>
          <w:highlight w:val="yellow"/>
        </w:rPr>
        <w:t>,</w:t>
      </w:r>
      <w:r>
        <w:rPr>
          <w:szCs w:val="24"/>
        </w:rPr>
        <w:t xml:space="preserve"> by reducing operating costs and increasing transaction efficiency, digital banking platforms improve financial results.</w:t>
      </w:r>
    </w:p>
    <w:p w14:paraId="2666C23B" w14:textId="77777777" w:rsidR="003C3C4F" w:rsidRDefault="00000000">
      <w:pPr>
        <w:rPr>
          <w:szCs w:val="24"/>
        </w:rPr>
      </w:pPr>
      <w:r>
        <w:rPr>
          <w:szCs w:val="24"/>
        </w:rPr>
        <w:t>The study by Kimonye and Muchelule (2024)</w:t>
      </w:r>
      <w:r>
        <w:rPr>
          <w:szCs w:val="24"/>
          <w:highlight w:val="yellow"/>
        </w:rPr>
        <w:t>,</w:t>
      </w:r>
      <w:r>
        <w:rPr>
          <w:szCs w:val="24"/>
        </w:rPr>
        <w:t xml:space="preserve"> for instance</w:t>
      </w:r>
      <w:r>
        <w:rPr>
          <w:szCs w:val="24"/>
          <w:highlight w:val="yellow"/>
        </w:rPr>
        <w:t>,</w:t>
      </w:r>
      <w:r>
        <w:rPr>
          <w:szCs w:val="24"/>
        </w:rPr>
        <w:t xml:space="preserve"> sought to establish the relationship between electronic payment systems and the financial performance of commercial banks in Kenya</w:t>
      </w:r>
      <w:r>
        <w:rPr>
          <w:szCs w:val="24"/>
          <w:highlight w:val="yellow"/>
        </w:rPr>
        <w:t>,</w:t>
      </w:r>
      <w:r>
        <w:rPr>
          <w:szCs w:val="24"/>
        </w:rPr>
        <w:t xml:space="preserve"> and the results established a significant relationship between electronic payment systems and the financial performance of commercial banks. Akan (2023)</w:t>
      </w:r>
      <w:r>
        <w:rPr>
          <w:szCs w:val="24"/>
          <w:highlight w:val="yellow"/>
        </w:rPr>
        <w:t xml:space="preserve"> also</w:t>
      </w:r>
      <w:r>
        <w:rPr>
          <w:szCs w:val="24"/>
        </w:rPr>
        <w:t xml:space="preserve"> investigated the effect of electronic payment systems on the return on equity of quoted commercial banks in Nigeria</w:t>
      </w:r>
      <w:r>
        <w:rPr>
          <w:szCs w:val="24"/>
          <w:highlight w:val="yellow"/>
        </w:rPr>
        <w:t>,</w:t>
      </w:r>
      <w:r>
        <w:rPr>
          <w:szCs w:val="24"/>
        </w:rPr>
        <w:t xml:space="preserve"> with the study establishing that electronic payment systems significantly influence the profitability of quoted commercial banks in Nigeria. However, opposing viewpoints in</w:t>
      </w:r>
      <w:r>
        <w:rPr>
          <w:szCs w:val="24"/>
          <w:highlight w:val="yellow"/>
        </w:rPr>
        <w:t>dica</w:t>
      </w:r>
      <w:r>
        <w:rPr>
          <w:szCs w:val="24"/>
        </w:rPr>
        <w:t>t</w:t>
      </w:r>
      <w:r>
        <w:rPr>
          <w:szCs w:val="24"/>
          <w:highlight w:val="yellow"/>
        </w:rPr>
        <w:t>e</w:t>
      </w:r>
      <w:r>
        <w:rPr>
          <w:szCs w:val="24"/>
        </w:rPr>
        <w:t xml:space="preserve"> that these po</w:t>
      </w:r>
      <w:r>
        <w:rPr>
          <w:szCs w:val="24"/>
          <w:highlight w:val="yellow"/>
        </w:rPr>
        <w:t>tent</w:t>
      </w:r>
      <w:r>
        <w:rPr>
          <w:szCs w:val="24"/>
        </w:rPr>
        <w:t>i</w:t>
      </w:r>
      <w:r>
        <w:rPr>
          <w:szCs w:val="24"/>
          <w:highlight w:val="yellow"/>
        </w:rPr>
        <w:t>a</w:t>
      </w:r>
      <w:r>
        <w:rPr>
          <w:szCs w:val="24"/>
        </w:rPr>
        <w:t xml:space="preserve">l advantages can be outweighed by the high </w:t>
      </w:r>
      <w:r>
        <w:rPr>
          <w:szCs w:val="24"/>
          <w:highlight w:val="yellow"/>
        </w:rPr>
        <w:t>co</w:t>
      </w:r>
      <w:r>
        <w:rPr>
          <w:szCs w:val="24"/>
        </w:rPr>
        <w:t>s</w:t>
      </w:r>
      <w:r>
        <w:rPr>
          <w:szCs w:val="24"/>
          <w:highlight w:val="yellow"/>
        </w:rPr>
        <w:t>t</w:t>
      </w:r>
      <w:r>
        <w:rPr>
          <w:szCs w:val="24"/>
        </w:rPr>
        <w:t xml:space="preserve">s of </w:t>
      </w:r>
      <w:r>
        <w:rPr>
          <w:szCs w:val="24"/>
          <w:highlight w:val="yellow"/>
        </w:rPr>
        <w:t>e</w:t>
      </w:r>
      <w:r>
        <w:rPr>
          <w:szCs w:val="24"/>
        </w:rPr>
        <w:t>st</w:t>
      </w:r>
      <w:r>
        <w:rPr>
          <w:szCs w:val="24"/>
          <w:highlight w:val="yellow"/>
        </w:rPr>
        <w:t>ablish</w:t>
      </w:r>
      <w:r>
        <w:rPr>
          <w:szCs w:val="24"/>
        </w:rPr>
        <w:t xml:space="preserve">ing and maintaining digital systems. Additionally, some consumers are reluctant to </w:t>
      </w:r>
      <w:r>
        <w:rPr>
          <w:szCs w:val="24"/>
          <w:highlight w:val="yellow"/>
        </w:rPr>
        <w:t>fu</w:t>
      </w:r>
      <w:r>
        <w:rPr>
          <w:szCs w:val="24"/>
        </w:rPr>
        <w:t xml:space="preserve">lly adopt digital banking channels </w:t>
      </w:r>
      <w:r>
        <w:rPr>
          <w:szCs w:val="24"/>
          <w:highlight w:val="yellow"/>
        </w:rPr>
        <w:t>beca</w:t>
      </w:r>
      <w:r>
        <w:rPr>
          <w:szCs w:val="24"/>
        </w:rPr>
        <w:t>u</w:t>
      </w:r>
      <w:r>
        <w:rPr>
          <w:szCs w:val="24"/>
          <w:highlight w:val="yellow"/>
        </w:rPr>
        <w:t>s</w:t>
      </w:r>
      <w:r>
        <w:rPr>
          <w:szCs w:val="24"/>
        </w:rPr>
        <w:t>e o</w:t>
      </w:r>
      <w:r>
        <w:rPr>
          <w:szCs w:val="24"/>
          <w:highlight w:val="yellow"/>
        </w:rPr>
        <w:t>f</w:t>
      </w:r>
      <w:r>
        <w:rPr>
          <w:szCs w:val="24"/>
        </w:rPr>
        <w:t xml:space="preserve"> </w:t>
      </w:r>
      <w:r>
        <w:rPr>
          <w:szCs w:val="24"/>
          <w:highlight w:val="yellow"/>
        </w:rPr>
        <w:t>c</w:t>
      </w:r>
      <w:r>
        <w:rPr>
          <w:szCs w:val="24"/>
        </w:rPr>
        <w:t>o</w:t>
      </w:r>
      <w:r>
        <w:rPr>
          <w:szCs w:val="24"/>
          <w:highlight w:val="yellow"/>
        </w:rPr>
        <w:t>nce</w:t>
      </w:r>
      <w:r>
        <w:rPr>
          <w:szCs w:val="24"/>
        </w:rPr>
        <w:t>r</w:t>
      </w:r>
      <w:r>
        <w:rPr>
          <w:szCs w:val="24"/>
          <w:highlight w:val="yellow"/>
        </w:rPr>
        <w:t>n</w:t>
      </w:r>
      <w:r>
        <w:rPr>
          <w:szCs w:val="24"/>
        </w:rPr>
        <w:t xml:space="preserve">s about cybersecurity, technical reliability, and user-friendliness (Osiolo &amp; Sije, 2023). </w:t>
      </w:r>
      <w:r>
        <w:rPr>
          <w:szCs w:val="24"/>
        </w:rPr>
        <w:lastRenderedPageBreak/>
        <w:t>Given th</w:t>
      </w:r>
      <w:r>
        <w:rPr>
          <w:szCs w:val="24"/>
          <w:highlight w:val="yellow"/>
        </w:rPr>
        <w:t>e</w:t>
      </w:r>
      <w:r>
        <w:rPr>
          <w:szCs w:val="24"/>
        </w:rPr>
        <w:t>se combined perspectives in the current literature, it i</w:t>
      </w:r>
      <w:r>
        <w:rPr>
          <w:szCs w:val="24"/>
          <w:highlight w:val="yellow"/>
        </w:rPr>
        <w:t>s</w:t>
      </w:r>
      <w:r>
        <w:rPr>
          <w:szCs w:val="24"/>
        </w:rPr>
        <w:t xml:space="preserve"> worthwhile to </w:t>
      </w:r>
      <w:r>
        <w:rPr>
          <w:szCs w:val="24"/>
          <w:highlight w:val="yellow"/>
        </w:rPr>
        <w:t>ex</w:t>
      </w:r>
      <w:r>
        <w:rPr>
          <w:szCs w:val="24"/>
        </w:rPr>
        <w:t>a</w:t>
      </w:r>
      <w:r>
        <w:rPr>
          <w:szCs w:val="24"/>
          <w:highlight w:val="yellow"/>
        </w:rPr>
        <w:t>min</w:t>
      </w:r>
      <w:r>
        <w:rPr>
          <w:szCs w:val="24"/>
        </w:rPr>
        <w:t xml:space="preserve">e how distinct digital </w:t>
      </w:r>
      <w:r>
        <w:rPr>
          <w:szCs w:val="24"/>
          <w:highlight w:val="yellow"/>
        </w:rPr>
        <w:t>paym</w:t>
      </w:r>
      <w:r>
        <w:rPr>
          <w:szCs w:val="24"/>
        </w:rPr>
        <w:t>e</w:t>
      </w:r>
      <w:r>
        <w:rPr>
          <w:szCs w:val="24"/>
          <w:highlight w:val="yellow"/>
        </w:rPr>
        <w:t>nt</w:t>
      </w:r>
      <w:r>
        <w:rPr>
          <w:szCs w:val="24"/>
        </w:rPr>
        <w:t xml:space="preserve"> methods, particularly ATMs, IB, and MB, affect </w:t>
      </w:r>
      <w:r>
        <w:rPr>
          <w:szCs w:val="24"/>
          <w:highlight w:val="yellow"/>
        </w:rPr>
        <w:t>the p</w:t>
      </w:r>
      <w:r>
        <w:rPr>
          <w:szCs w:val="24"/>
        </w:rPr>
        <w:t>ro</w:t>
      </w:r>
      <w:r>
        <w:rPr>
          <w:szCs w:val="24"/>
          <w:highlight w:val="yellow"/>
        </w:rPr>
        <w:t>fita</w:t>
      </w:r>
      <w:r>
        <w:rPr>
          <w:szCs w:val="24"/>
        </w:rPr>
        <w:t>bi</w:t>
      </w:r>
      <w:r>
        <w:rPr>
          <w:szCs w:val="24"/>
          <w:highlight w:val="yellow"/>
        </w:rPr>
        <w:t>lity of</w:t>
      </w:r>
      <w:r>
        <w:rPr>
          <w:szCs w:val="24"/>
        </w:rPr>
        <w:t xml:space="preserve"> commercial banks </w:t>
      </w:r>
      <w:r>
        <w:rPr>
          <w:szCs w:val="24"/>
          <w:highlight w:val="yellow"/>
        </w:rPr>
        <w:t>in Nai</w:t>
      </w:r>
      <w:r>
        <w:rPr>
          <w:szCs w:val="24"/>
        </w:rPr>
        <w:t>robi. ROA is the most important overall performance metric. Hence</w:t>
      </w:r>
      <w:r>
        <w:rPr>
          <w:szCs w:val="24"/>
          <w:highlight w:val="yellow"/>
        </w:rPr>
        <w:t>,</w:t>
      </w:r>
      <w:r>
        <w:rPr>
          <w:szCs w:val="24"/>
        </w:rPr>
        <w:t xml:space="preserve"> this study s</w:t>
      </w:r>
      <w:r>
        <w:rPr>
          <w:szCs w:val="24"/>
          <w:highlight w:val="yellow"/>
        </w:rPr>
        <w:t>ought</w:t>
      </w:r>
      <w:r>
        <w:rPr>
          <w:szCs w:val="24"/>
        </w:rPr>
        <w:t xml:space="preserve"> to analy</w:t>
      </w:r>
      <w:r>
        <w:rPr>
          <w:szCs w:val="24"/>
          <w:highlight w:val="yellow"/>
        </w:rPr>
        <w:t>s</w:t>
      </w:r>
      <w:r>
        <w:rPr>
          <w:szCs w:val="24"/>
        </w:rPr>
        <w:t>e how electronic payment systems affect the profitability of commercial banks in Nairobi County, Kenya.</w:t>
      </w:r>
    </w:p>
    <w:p w14:paraId="4F36244E" w14:textId="77777777" w:rsidR="00332606" w:rsidRDefault="00000000">
      <w:pPr>
        <w:rPr>
          <w:szCs w:val="24"/>
        </w:rPr>
      </w:pPr>
      <w:r>
        <w:rPr>
          <w:b/>
          <w:highlight w:val="yellow"/>
        </w:rPr>
        <w:t>Although the literature reviewed in this manuscript links electronic and digital banking to bank performance, the reported findings differ across countries and banking channels, and recent channel-specific evidence covering automated teller machines, internet banking, and mobile banking together within Nairobi City County remains limited. Accordingly, the present study addresses this contextual gap by examining the separate effects of these electronic payment channels on the profitability of commercial banks operating in Nairobi City County, using return on assets as the profitability measure.</w:t>
      </w:r>
    </w:p>
    <w:p w14:paraId="6B1B9A20" w14:textId="77777777" w:rsidR="003C3C4F" w:rsidRDefault="00000000">
      <w:pPr>
        <w:pStyle w:val="Heading2"/>
      </w:pPr>
      <w:r>
        <w:t xml:space="preserve">1.3 Study’s Objective </w:t>
      </w:r>
    </w:p>
    <w:p w14:paraId="1CF4BD01" w14:textId="77777777" w:rsidR="003C3C4F" w:rsidRDefault="00000000">
      <w:pPr>
        <w:pStyle w:val="Heading3"/>
      </w:pPr>
      <w:r>
        <w:t>1.3.1 General Objectives</w:t>
      </w:r>
    </w:p>
    <w:p w14:paraId="7403A11B" w14:textId="77777777" w:rsidR="003C3C4F" w:rsidRDefault="00000000">
      <w:r>
        <w:t>The major goal of this investigation is to analy</w:t>
      </w:r>
      <w:r>
        <w:rPr>
          <w:highlight w:val="yellow"/>
        </w:rPr>
        <w:t>s</w:t>
      </w:r>
      <w:r>
        <w:t>e how electronic payment systems affect the profitability of commercial banks in Nairobi County, Kenya.</w:t>
      </w:r>
    </w:p>
    <w:p w14:paraId="4A488F88" w14:textId="77777777" w:rsidR="003C3C4F" w:rsidRDefault="00000000">
      <w:pPr>
        <w:pStyle w:val="Heading3"/>
        <w:spacing w:line="240" w:lineRule="auto"/>
      </w:pPr>
      <w:r>
        <w:t>1.3.1 Specific Objectives</w:t>
      </w:r>
    </w:p>
    <w:p w14:paraId="5CB71EA9" w14:textId="77777777" w:rsidR="003C3C4F" w:rsidRDefault="00000000">
      <w:pPr>
        <w:numPr>
          <w:ilvl w:val="0"/>
          <w:numId w:val="2"/>
        </w:numPr>
        <w:spacing w:after="240" w:line="276" w:lineRule="auto"/>
        <w:contextualSpacing/>
        <w:rPr>
          <w:rFonts w:eastAsia="Calibri"/>
          <w:szCs w:val="24"/>
        </w:rPr>
      </w:pPr>
      <w:r>
        <w:rPr>
          <w:rFonts w:eastAsia="Calibri"/>
          <w:szCs w:val="24"/>
        </w:rPr>
        <w:t>To assess how using Automated Teller Machines (ATMs) affects the profitability of commercial banks in Nairobi County, Kenya.</w:t>
      </w:r>
    </w:p>
    <w:p w14:paraId="78201375" w14:textId="77777777" w:rsidR="003C3C4F" w:rsidRDefault="00000000">
      <w:pPr>
        <w:numPr>
          <w:ilvl w:val="0"/>
          <w:numId w:val="2"/>
        </w:numPr>
        <w:spacing w:after="200" w:line="276" w:lineRule="auto"/>
        <w:contextualSpacing/>
        <w:rPr>
          <w:rFonts w:eastAsia="Calibri"/>
          <w:szCs w:val="24"/>
        </w:rPr>
      </w:pPr>
      <w:r>
        <w:rPr>
          <w:rFonts w:eastAsia="Calibri"/>
          <w:szCs w:val="24"/>
        </w:rPr>
        <w:t>To establish how internet banking affects the profitability of commercial banks in Nairobi County, Kenya.</w:t>
      </w:r>
    </w:p>
    <w:p w14:paraId="01975616" w14:textId="77777777" w:rsidR="003C3C4F" w:rsidRDefault="00000000">
      <w:pPr>
        <w:numPr>
          <w:ilvl w:val="0"/>
          <w:numId w:val="2"/>
        </w:numPr>
        <w:spacing w:after="200" w:line="276" w:lineRule="auto"/>
        <w:contextualSpacing/>
        <w:rPr>
          <w:rFonts w:eastAsia="Calibri"/>
          <w:szCs w:val="24"/>
        </w:rPr>
      </w:pPr>
      <w:r>
        <w:rPr>
          <w:rFonts w:eastAsia="Times New Roman"/>
          <w:szCs w:val="24"/>
        </w:rPr>
        <w:t>To determine whether mobile banking influence</w:t>
      </w:r>
      <w:r>
        <w:rPr>
          <w:rFonts w:eastAsia="Times New Roman"/>
          <w:szCs w:val="24"/>
          <w:highlight w:val="yellow"/>
        </w:rPr>
        <w:t>s</w:t>
      </w:r>
      <w:r>
        <w:rPr>
          <w:rFonts w:eastAsia="Times New Roman"/>
          <w:szCs w:val="24"/>
        </w:rPr>
        <w:t xml:space="preserve"> the profitability of commercial banks in Nairobi County, Kenya.</w:t>
      </w:r>
    </w:p>
    <w:p w14:paraId="25CE30BB" w14:textId="77777777" w:rsidR="003C3C4F" w:rsidRDefault="00000000">
      <w:pPr>
        <w:pStyle w:val="Heading2"/>
        <w:spacing w:line="276" w:lineRule="auto"/>
      </w:pPr>
      <w:r>
        <w:t>1.4 Research Hypotheses</w:t>
      </w:r>
    </w:p>
    <w:p w14:paraId="72304C40" w14:textId="77777777" w:rsidR="003C3C4F" w:rsidRDefault="00000000">
      <w:pPr>
        <w:spacing w:after="240" w:line="276" w:lineRule="auto"/>
        <w:rPr>
          <w:rFonts w:eastAsia="Times New Roman"/>
          <w:szCs w:val="24"/>
        </w:rPr>
      </w:pPr>
      <w:r>
        <w:rPr>
          <w:rFonts w:eastAsia="Times New Roman"/>
          <w:szCs w:val="24"/>
        </w:rPr>
        <w:t xml:space="preserve">This study aimed to </w:t>
      </w:r>
      <w:r>
        <w:rPr>
          <w:rFonts w:eastAsia="Times New Roman"/>
          <w:szCs w:val="24"/>
          <w:highlight w:val="yellow"/>
        </w:rPr>
        <w:t>t</w:t>
      </w:r>
      <w:r>
        <w:rPr>
          <w:rFonts w:eastAsia="Times New Roman"/>
          <w:szCs w:val="24"/>
        </w:rPr>
        <w:t>e</w:t>
      </w:r>
      <w:r>
        <w:rPr>
          <w:rFonts w:eastAsia="Times New Roman"/>
          <w:szCs w:val="24"/>
          <w:highlight w:val="yellow"/>
        </w:rPr>
        <w:t>st</w:t>
      </w:r>
      <w:r>
        <w:rPr>
          <w:rFonts w:eastAsia="Times New Roman"/>
          <w:szCs w:val="24"/>
        </w:rPr>
        <w:t xml:space="preserve"> the </w:t>
      </w:r>
      <w:r>
        <w:rPr>
          <w:rFonts w:eastAsia="Times New Roman"/>
          <w:szCs w:val="24"/>
          <w:highlight w:val="yellow"/>
        </w:rPr>
        <w:t>followi</w:t>
      </w:r>
      <w:r>
        <w:rPr>
          <w:rFonts w:eastAsia="Times New Roman"/>
          <w:szCs w:val="24"/>
        </w:rPr>
        <w:t>n</w:t>
      </w:r>
      <w:r>
        <w:rPr>
          <w:rFonts w:eastAsia="Times New Roman"/>
          <w:szCs w:val="24"/>
          <w:highlight w:val="yellow"/>
        </w:rPr>
        <w:t>g</w:t>
      </w:r>
      <w:r>
        <w:rPr>
          <w:rFonts w:eastAsia="Times New Roman"/>
          <w:szCs w:val="24"/>
        </w:rPr>
        <w:t xml:space="preserve"> null hypotheses:</w:t>
      </w:r>
    </w:p>
    <w:p w14:paraId="41EA222E" w14:textId="77777777" w:rsidR="003C3C4F" w:rsidRDefault="00000000">
      <w:pPr>
        <w:spacing w:after="0" w:line="276" w:lineRule="auto"/>
        <w:rPr>
          <w:rFonts w:eastAsia="Times New Roman"/>
          <w:szCs w:val="24"/>
        </w:rPr>
      </w:pPr>
      <w:r>
        <w:rPr>
          <w:rFonts w:eastAsia="Times New Roman"/>
          <w:b/>
          <w:szCs w:val="24"/>
        </w:rPr>
        <w:t>H₀1:</w:t>
      </w:r>
      <w:r>
        <w:rPr>
          <w:rFonts w:eastAsia="Times New Roman"/>
          <w:szCs w:val="24"/>
        </w:rPr>
        <w:t xml:space="preserve"> Automated Teller Machine utili</w:t>
      </w:r>
      <w:r>
        <w:rPr>
          <w:rFonts w:eastAsia="Times New Roman"/>
          <w:szCs w:val="24"/>
          <w:highlight w:val="yellow"/>
        </w:rPr>
        <w:t>s</w:t>
      </w:r>
      <w:r>
        <w:rPr>
          <w:rFonts w:eastAsia="Times New Roman"/>
          <w:szCs w:val="24"/>
        </w:rPr>
        <w:t xml:space="preserve">ation has no significant effect </w:t>
      </w:r>
      <w:r>
        <w:rPr>
          <w:rFonts w:eastAsia="Times New Roman"/>
          <w:szCs w:val="24"/>
          <w:highlight w:val="yellow"/>
        </w:rPr>
        <w:t>on</w:t>
      </w:r>
      <w:r>
        <w:rPr>
          <w:rFonts w:eastAsia="Times New Roman"/>
          <w:szCs w:val="24"/>
        </w:rPr>
        <w:t xml:space="preserve"> the profitability of commercial banks in Nairobi County, Kenya.</w:t>
      </w:r>
    </w:p>
    <w:p w14:paraId="4E2E28BC" w14:textId="77777777" w:rsidR="003C3C4F" w:rsidRDefault="00000000">
      <w:pPr>
        <w:spacing w:after="0" w:line="276" w:lineRule="auto"/>
        <w:rPr>
          <w:rFonts w:eastAsia="Times New Roman"/>
          <w:szCs w:val="24"/>
        </w:rPr>
      </w:pPr>
      <w:r>
        <w:rPr>
          <w:rFonts w:eastAsia="Times New Roman"/>
          <w:b/>
          <w:szCs w:val="24"/>
        </w:rPr>
        <w:t xml:space="preserve">H₀2: </w:t>
      </w:r>
      <w:r>
        <w:rPr>
          <w:rFonts w:eastAsia="Times New Roman"/>
          <w:szCs w:val="24"/>
        </w:rPr>
        <w:t>Internet banking has no significant effect on the profitability of commercial banks in Nairobi County, Kenya.</w:t>
      </w:r>
    </w:p>
    <w:p w14:paraId="5BDD8EF5" w14:textId="77777777" w:rsidR="003C3C4F" w:rsidRDefault="00000000">
      <w:pPr>
        <w:spacing w:line="276" w:lineRule="auto"/>
        <w:rPr>
          <w:szCs w:val="24"/>
        </w:rPr>
      </w:pPr>
      <w:r>
        <w:rPr>
          <w:rFonts w:eastAsia="Times New Roman"/>
          <w:b/>
          <w:szCs w:val="24"/>
        </w:rPr>
        <w:lastRenderedPageBreak/>
        <w:t>H₀3:</w:t>
      </w:r>
      <w:r>
        <w:rPr>
          <w:rFonts w:eastAsia="Times New Roman"/>
          <w:szCs w:val="24"/>
        </w:rPr>
        <w:t xml:space="preserve"> Mobile banking do</w:t>
      </w:r>
      <w:r>
        <w:rPr>
          <w:rFonts w:eastAsia="Times New Roman"/>
          <w:szCs w:val="24"/>
          <w:highlight w:val="yellow"/>
        </w:rPr>
        <w:t>es</w:t>
      </w:r>
      <w:r>
        <w:rPr>
          <w:rFonts w:eastAsia="Times New Roman"/>
          <w:szCs w:val="24"/>
        </w:rPr>
        <w:t xml:space="preserve"> not have any significant effect on the profitability of commercial banks in Nairobi County, Kenya.</w:t>
      </w:r>
    </w:p>
    <w:p w14:paraId="5DC244F6" w14:textId="77777777" w:rsidR="003C3C4F" w:rsidRDefault="00000000">
      <w:pPr>
        <w:pStyle w:val="Heading2"/>
      </w:pPr>
      <w:r>
        <w:t>2.1 Theoretical Review</w:t>
      </w:r>
    </w:p>
    <w:p w14:paraId="00DC8A28" w14:textId="77777777" w:rsidR="003C3C4F" w:rsidRDefault="00000000">
      <w:r>
        <w:rPr>
          <w:szCs w:val="24"/>
        </w:rPr>
        <w:t>Penrose (1959) provided an important foundation for the Resource-Based View (RBV) by conceptualising the firm as a bundle of productive resources. The RBV was subsequently developed around the proposition that valuable and difficult-to-imitate resources can underpin sustained competitive advantage (Barney, 1991; Barney &amp; Arikan, 2005; Peteraf &amp; Barney, 2003). Freeman (2010) emphasises the wider stakeholder relationships through which organisations create and sustain value, while Kotler and Armstrong (2012) similarly stress value creation in organisational strategy. In this investigation, a commercial bank is treated as a collection of assets and capabilities, many of which are intangible and managerial. Because the RBV views resources and capabilities as important determinants of performance, this perspective is pertinent to the study. ATMs and mobile banking are therefore considered technological resources whose performance contribution depends on how effectively they are deployed.</w:t>
      </w:r>
    </w:p>
    <w:p w14:paraId="27ACCC84" w14:textId="77777777" w:rsidR="003C3C4F" w:rsidRDefault="00000000">
      <w:r>
        <w:t xml:space="preserve">The Technology Acceptance Model (TAM), advanced through Davis (1993), offers a theoretical framework for understanding how customers accept and use new technologies. TAM is extensively </w:t>
      </w:r>
      <w:r>
        <w:rPr>
          <w:highlight w:val="yellow"/>
        </w:rPr>
        <w:t>ap</w:t>
      </w:r>
      <w:r>
        <w:t>pl</w:t>
      </w:r>
      <w:r>
        <w:rPr>
          <w:highlight w:val="yellow"/>
        </w:rPr>
        <w:t>i</w:t>
      </w:r>
      <w:r>
        <w:t>ed to evaluate behavio</w:t>
      </w:r>
      <w:r>
        <w:rPr>
          <w:highlight w:val="yellow"/>
        </w:rPr>
        <w:t>u</w:t>
      </w:r>
      <w:r>
        <w:t xml:space="preserve">ral intentions and </w:t>
      </w:r>
      <w:r>
        <w:rPr>
          <w:highlight w:val="yellow"/>
        </w:rPr>
        <w:t>actu</w:t>
      </w:r>
      <w:r>
        <w:t xml:space="preserve">al </w:t>
      </w:r>
      <w:r>
        <w:rPr>
          <w:highlight w:val="yellow"/>
        </w:rPr>
        <w:t>syst</w:t>
      </w:r>
      <w:r>
        <w:t>e</w:t>
      </w:r>
      <w:r>
        <w:rPr>
          <w:highlight w:val="yellow"/>
        </w:rPr>
        <w:t>m</w:t>
      </w:r>
      <w:r>
        <w:t xml:space="preserve"> u</w:t>
      </w:r>
      <w:r>
        <w:rPr>
          <w:highlight w:val="yellow"/>
        </w:rPr>
        <w:t>se</w:t>
      </w:r>
      <w:r>
        <w:t xml:space="preserve"> within the context of </w:t>
      </w:r>
      <w:r>
        <w:rPr>
          <w:highlight w:val="yellow"/>
        </w:rPr>
        <w:t>d</w:t>
      </w:r>
      <w:r>
        <w:t>i</w:t>
      </w:r>
      <w:r>
        <w:rPr>
          <w:highlight w:val="yellow"/>
        </w:rPr>
        <w:t>gi</w:t>
      </w:r>
      <w:r>
        <w:t xml:space="preserve">tal innovation (Bankole et al., 2011). According to the model, </w:t>
      </w:r>
      <w:r>
        <w:rPr>
          <w:highlight w:val="yellow"/>
        </w:rPr>
        <w:t>two pri</w:t>
      </w:r>
      <w:r>
        <w:t>m</w:t>
      </w:r>
      <w:r>
        <w:rPr>
          <w:highlight w:val="yellow"/>
        </w:rPr>
        <w:t>a</w:t>
      </w:r>
      <w:r>
        <w:t>r</w:t>
      </w:r>
      <w:r>
        <w:rPr>
          <w:highlight w:val="yellow"/>
        </w:rPr>
        <w:t>y</w:t>
      </w:r>
      <w:r>
        <w:t xml:space="preserve"> </w:t>
      </w:r>
      <w:r>
        <w:rPr>
          <w:highlight w:val="yellow"/>
        </w:rPr>
        <w:t>fact</w:t>
      </w:r>
      <w:r>
        <w:t>o</w:t>
      </w:r>
      <w:r>
        <w:rPr>
          <w:highlight w:val="yellow"/>
        </w:rPr>
        <w:t>r</w:t>
      </w:r>
      <w:r>
        <w:t>s</w:t>
      </w:r>
      <w:r>
        <w:rPr>
          <w:highlight w:val="yellow"/>
        </w:rPr>
        <w:t>,</w:t>
      </w:r>
      <w:r>
        <w:t xml:space="preserve"> perceived usefulness (PU) and perceived ease of use (PEOU)</w:t>
      </w:r>
      <w:r>
        <w:rPr>
          <w:highlight w:val="yellow"/>
        </w:rPr>
        <w:t>,</w:t>
      </w:r>
      <w:r>
        <w:t xml:space="preserve"> </w:t>
      </w:r>
      <w:r>
        <w:rPr>
          <w:highlight w:val="yellow"/>
        </w:rPr>
        <w:t>shape</w:t>
      </w:r>
      <w:r>
        <w:t xml:space="preserve"> customers</w:t>
      </w:r>
      <w:r>
        <w:rPr>
          <w:highlight w:val="yellow"/>
        </w:rPr>
        <w:t>'</w:t>
      </w:r>
      <w:r>
        <w:t xml:space="preserve"> attitudes to</w:t>
      </w:r>
      <w:r>
        <w:rPr>
          <w:highlight w:val="yellow"/>
        </w:rPr>
        <w:t>wards</w:t>
      </w:r>
      <w:r>
        <w:t xml:space="preserve"> a technological </w:t>
      </w:r>
      <w:r>
        <w:rPr>
          <w:highlight w:val="yellow"/>
        </w:rPr>
        <w:t>syst</w:t>
      </w:r>
      <w:r>
        <w:t>e</w:t>
      </w:r>
      <w:r>
        <w:rPr>
          <w:highlight w:val="yellow"/>
        </w:rPr>
        <w:t>m</w:t>
      </w:r>
      <w:r>
        <w:t xml:space="preserve">. These attitudes </w:t>
      </w:r>
      <w:r>
        <w:rPr>
          <w:highlight w:val="yellow"/>
        </w:rPr>
        <w:t>influ</w:t>
      </w:r>
      <w:r>
        <w:t>en</w:t>
      </w:r>
      <w:r>
        <w:rPr>
          <w:highlight w:val="yellow"/>
        </w:rPr>
        <w:t>c</w:t>
      </w:r>
      <w:r>
        <w:t xml:space="preserve">e their </w:t>
      </w:r>
      <w:r>
        <w:rPr>
          <w:highlight w:val="yellow"/>
        </w:rPr>
        <w:t>inten</w:t>
      </w:r>
      <w:r>
        <w:t>ti</w:t>
      </w:r>
      <w:r>
        <w:rPr>
          <w:highlight w:val="yellow"/>
        </w:rPr>
        <w:t>on</w:t>
      </w:r>
      <w:r>
        <w:t xml:space="preserve"> to </w:t>
      </w:r>
      <w:r>
        <w:rPr>
          <w:highlight w:val="yellow"/>
        </w:rPr>
        <w:t>use</w:t>
      </w:r>
      <w:r>
        <w:t xml:space="preserve"> the technology, which </w:t>
      </w:r>
      <w:r>
        <w:rPr>
          <w:highlight w:val="yellow"/>
        </w:rPr>
        <w:t>ult</w:t>
      </w:r>
      <w:r>
        <w:t>i</w:t>
      </w:r>
      <w:r>
        <w:rPr>
          <w:highlight w:val="yellow"/>
        </w:rPr>
        <w:t>ma</w:t>
      </w:r>
      <w:r>
        <w:t>tel</w:t>
      </w:r>
      <w:r>
        <w:rPr>
          <w:highlight w:val="yellow"/>
        </w:rPr>
        <w:t>y</w:t>
      </w:r>
      <w:r>
        <w:t xml:space="preserve"> predicts </w:t>
      </w:r>
      <w:r>
        <w:rPr>
          <w:highlight w:val="yellow"/>
        </w:rPr>
        <w:t>actu</w:t>
      </w:r>
      <w:r>
        <w:t xml:space="preserve">al </w:t>
      </w:r>
      <w:r>
        <w:rPr>
          <w:highlight w:val="yellow"/>
        </w:rPr>
        <w:t>syst</w:t>
      </w:r>
      <w:r>
        <w:t>e</w:t>
      </w:r>
      <w:r>
        <w:rPr>
          <w:highlight w:val="yellow"/>
        </w:rPr>
        <w:t>m</w:t>
      </w:r>
      <w:r>
        <w:t xml:space="preserve"> adoption. Furthermore, PEOU has a </w:t>
      </w:r>
      <w:r>
        <w:rPr>
          <w:highlight w:val="yellow"/>
        </w:rPr>
        <w:t>d</w:t>
      </w:r>
      <w:r>
        <w:t>i</w:t>
      </w:r>
      <w:r>
        <w:rPr>
          <w:highlight w:val="yellow"/>
        </w:rPr>
        <w:t>rec</w:t>
      </w:r>
      <w:r>
        <w:t xml:space="preserve">t effect on PU, implying that </w:t>
      </w:r>
      <w:r>
        <w:rPr>
          <w:highlight w:val="yellow"/>
        </w:rPr>
        <w:t>us</w:t>
      </w:r>
      <w:r>
        <w:t>er</w:t>
      </w:r>
      <w:r>
        <w:rPr>
          <w:highlight w:val="yellow"/>
        </w:rPr>
        <w:t>-frie</w:t>
      </w:r>
      <w:r>
        <w:t>n</w:t>
      </w:r>
      <w:r>
        <w:rPr>
          <w:highlight w:val="yellow"/>
        </w:rPr>
        <w:t>d</w:t>
      </w:r>
      <w:r>
        <w:t>l</w:t>
      </w:r>
      <w:r>
        <w:rPr>
          <w:highlight w:val="yellow"/>
        </w:rPr>
        <w:t>y</w:t>
      </w:r>
      <w:r>
        <w:t xml:space="preserve"> s</w:t>
      </w:r>
      <w:r>
        <w:rPr>
          <w:highlight w:val="yellow"/>
        </w:rPr>
        <w:t>ys</w:t>
      </w:r>
      <w:r>
        <w:t>t</w:t>
      </w:r>
      <w:r>
        <w:rPr>
          <w:highlight w:val="yellow"/>
        </w:rPr>
        <w:t>ems a</w:t>
      </w:r>
      <w:r>
        <w:t xml:space="preserve">re also regarded as </w:t>
      </w:r>
      <w:r>
        <w:rPr>
          <w:highlight w:val="yellow"/>
        </w:rPr>
        <w:t>mo</w:t>
      </w:r>
      <w:r>
        <w:t xml:space="preserve">re </w:t>
      </w:r>
      <w:r>
        <w:rPr>
          <w:highlight w:val="yellow"/>
        </w:rPr>
        <w:t>us</w:t>
      </w:r>
      <w:r>
        <w:t>ef</w:t>
      </w:r>
      <w:r>
        <w:rPr>
          <w:highlight w:val="yellow"/>
        </w:rPr>
        <w:t>u</w:t>
      </w:r>
      <w:r>
        <w:t xml:space="preserve">l (Chitungo &amp; Munongo, 2013). Later extensions of TAM have </w:t>
      </w:r>
      <w:r>
        <w:rPr>
          <w:highlight w:val="yellow"/>
        </w:rPr>
        <w:t>int</w:t>
      </w:r>
      <w:r>
        <w:t>ro</w:t>
      </w:r>
      <w:r>
        <w:rPr>
          <w:highlight w:val="yellow"/>
        </w:rPr>
        <w:t>d</w:t>
      </w:r>
      <w:r>
        <w:t>u</w:t>
      </w:r>
      <w:r>
        <w:rPr>
          <w:highlight w:val="yellow"/>
        </w:rPr>
        <w:t>ced addi</w:t>
      </w:r>
      <w:r>
        <w:t>t</w:t>
      </w:r>
      <w:r>
        <w:rPr>
          <w:highlight w:val="yellow"/>
        </w:rPr>
        <w:t>ional</w:t>
      </w:r>
      <w:r>
        <w:t xml:space="preserve"> </w:t>
      </w:r>
      <w:r>
        <w:rPr>
          <w:highlight w:val="yellow"/>
        </w:rPr>
        <w:t>fac</w:t>
      </w:r>
      <w:r>
        <w:t>t</w:t>
      </w:r>
      <w:r>
        <w:rPr>
          <w:highlight w:val="yellow"/>
        </w:rPr>
        <w:t>o</w:t>
      </w:r>
      <w:r>
        <w:t xml:space="preserve">rs </w:t>
      </w:r>
      <w:r>
        <w:rPr>
          <w:highlight w:val="yellow"/>
        </w:rPr>
        <w:t>su</w:t>
      </w:r>
      <w:r>
        <w:t>c</w:t>
      </w:r>
      <w:r>
        <w:rPr>
          <w:highlight w:val="yellow"/>
        </w:rPr>
        <w:t>h a</w:t>
      </w:r>
      <w:r>
        <w:t>s value perceptions, r</w:t>
      </w:r>
      <w:r>
        <w:rPr>
          <w:highlight w:val="yellow"/>
        </w:rPr>
        <w:t>isk</w:t>
      </w:r>
      <w:r>
        <w:t xml:space="preserve"> concerns, </w:t>
      </w:r>
      <w:r>
        <w:rPr>
          <w:highlight w:val="yellow"/>
        </w:rPr>
        <w:t>us</w:t>
      </w:r>
      <w:r>
        <w:t>er innovativeness</w:t>
      </w:r>
      <w:r>
        <w:rPr>
          <w:highlight w:val="yellow"/>
        </w:rPr>
        <w:t>,</w:t>
      </w:r>
      <w:r>
        <w:t xml:space="preserve"> and </w:t>
      </w:r>
      <w:r>
        <w:rPr>
          <w:highlight w:val="yellow"/>
        </w:rPr>
        <w:t>inf</w:t>
      </w:r>
      <w:r>
        <w:t>or</w:t>
      </w:r>
      <w:r>
        <w:rPr>
          <w:highlight w:val="yellow"/>
        </w:rPr>
        <w:t>mation</w:t>
      </w:r>
      <w:r>
        <w:t xml:space="preserve"> security (Venkatesh et al., 2003). TAM is particular</w:t>
      </w:r>
      <w:r>
        <w:rPr>
          <w:highlight w:val="yellow"/>
        </w:rPr>
        <w:t>ly</w:t>
      </w:r>
      <w:r>
        <w:t xml:space="preserve"> relevant to this s</w:t>
      </w:r>
      <w:r>
        <w:rPr>
          <w:highlight w:val="yellow"/>
        </w:rPr>
        <w:t>t</w:t>
      </w:r>
      <w:r>
        <w:t xml:space="preserve">udy </w:t>
      </w:r>
      <w:r>
        <w:rPr>
          <w:highlight w:val="yellow"/>
        </w:rPr>
        <w:t>bec</w:t>
      </w:r>
      <w:r>
        <w:t>a</w:t>
      </w:r>
      <w:r>
        <w:rPr>
          <w:highlight w:val="yellow"/>
        </w:rPr>
        <w:t>u</w:t>
      </w:r>
      <w:r>
        <w:t>s</w:t>
      </w:r>
      <w:r>
        <w:rPr>
          <w:highlight w:val="yellow"/>
        </w:rPr>
        <w:t>e</w:t>
      </w:r>
      <w:r>
        <w:t xml:space="preserve"> it offers </w:t>
      </w:r>
      <w:r>
        <w:rPr>
          <w:highlight w:val="yellow"/>
        </w:rPr>
        <w:t>in</w:t>
      </w:r>
      <w:r>
        <w:t>s</w:t>
      </w:r>
      <w:r>
        <w:rPr>
          <w:highlight w:val="yellow"/>
        </w:rPr>
        <w:t>igh</w:t>
      </w:r>
      <w:r>
        <w:t xml:space="preserve">t into how consumer perceptions of </w:t>
      </w:r>
      <w:r>
        <w:rPr>
          <w:highlight w:val="yellow"/>
        </w:rPr>
        <w:t>d</w:t>
      </w:r>
      <w:r>
        <w:t>i</w:t>
      </w:r>
      <w:r>
        <w:rPr>
          <w:highlight w:val="yellow"/>
        </w:rPr>
        <w:t>gi</w:t>
      </w:r>
      <w:r>
        <w:t>tal banking s</w:t>
      </w:r>
      <w:r>
        <w:rPr>
          <w:highlight w:val="yellow"/>
        </w:rPr>
        <w:t>ys</w:t>
      </w:r>
      <w:r>
        <w:t>t</w:t>
      </w:r>
      <w:r>
        <w:rPr>
          <w:highlight w:val="yellow"/>
        </w:rPr>
        <w:t>ems, s</w:t>
      </w:r>
      <w:r>
        <w:t>uc</w:t>
      </w:r>
      <w:r>
        <w:rPr>
          <w:highlight w:val="yellow"/>
        </w:rPr>
        <w:t>h a</w:t>
      </w:r>
      <w:r>
        <w:t xml:space="preserve">s </w:t>
      </w:r>
      <w:r>
        <w:rPr>
          <w:highlight w:val="yellow"/>
        </w:rPr>
        <w:t>m</w:t>
      </w:r>
      <w:r>
        <w:t>o</w:t>
      </w:r>
      <w:r>
        <w:rPr>
          <w:highlight w:val="yellow"/>
        </w:rPr>
        <w:t>b</w:t>
      </w:r>
      <w:r>
        <w:t>i</w:t>
      </w:r>
      <w:r>
        <w:rPr>
          <w:highlight w:val="yellow"/>
        </w:rPr>
        <w:t>l</w:t>
      </w:r>
      <w:r>
        <w:t>e and internet banking</w:t>
      </w:r>
      <w:r>
        <w:rPr>
          <w:highlight w:val="yellow"/>
        </w:rPr>
        <w:t>,</w:t>
      </w:r>
      <w:r>
        <w:t xml:space="preserve"> </w:t>
      </w:r>
      <w:r>
        <w:rPr>
          <w:highlight w:val="yellow"/>
        </w:rPr>
        <w:t>a</w:t>
      </w:r>
      <w:r>
        <w:t xml:space="preserve">ffect adoption rates, which in </w:t>
      </w:r>
      <w:r>
        <w:rPr>
          <w:highlight w:val="yellow"/>
        </w:rPr>
        <w:t>turn in</w:t>
      </w:r>
      <w:r>
        <w:t>fl</w:t>
      </w:r>
      <w:r>
        <w:rPr>
          <w:highlight w:val="yellow"/>
        </w:rPr>
        <w:t>u</w:t>
      </w:r>
      <w:r>
        <w:t>en</w:t>
      </w:r>
      <w:r>
        <w:rPr>
          <w:highlight w:val="yellow"/>
        </w:rPr>
        <w:t>c</w:t>
      </w:r>
      <w:r>
        <w:t>e banks</w:t>
      </w:r>
      <w:r>
        <w:rPr>
          <w:highlight w:val="yellow"/>
        </w:rPr>
        <w:t>'</w:t>
      </w:r>
      <w:r>
        <w:t xml:space="preserve"> profitability. When customers </w:t>
      </w:r>
      <w:r>
        <w:rPr>
          <w:highlight w:val="yellow"/>
        </w:rPr>
        <w:t>fin</w:t>
      </w:r>
      <w:r>
        <w:t>d th</w:t>
      </w:r>
      <w:r>
        <w:rPr>
          <w:highlight w:val="yellow"/>
        </w:rPr>
        <w:t>e</w:t>
      </w:r>
      <w:r>
        <w:t>se s</w:t>
      </w:r>
      <w:r>
        <w:rPr>
          <w:highlight w:val="yellow"/>
        </w:rPr>
        <w:t>ys</w:t>
      </w:r>
      <w:r>
        <w:t>te</w:t>
      </w:r>
      <w:r>
        <w:rPr>
          <w:highlight w:val="yellow"/>
        </w:rPr>
        <w:t>m</w:t>
      </w:r>
      <w:r>
        <w:t xml:space="preserve">s </w:t>
      </w:r>
      <w:r>
        <w:rPr>
          <w:highlight w:val="yellow"/>
        </w:rPr>
        <w:t>us</w:t>
      </w:r>
      <w:r>
        <w:t>ef</w:t>
      </w:r>
      <w:r>
        <w:rPr>
          <w:highlight w:val="yellow"/>
        </w:rPr>
        <w:t>u</w:t>
      </w:r>
      <w:r>
        <w:t xml:space="preserve">l and </w:t>
      </w:r>
      <w:r>
        <w:rPr>
          <w:highlight w:val="yellow"/>
        </w:rPr>
        <w:t>ea</w:t>
      </w:r>
      <w:r>
        <w:t>s</w:t>
      </w:r>
      <w:r>
        <w:rPr>
          <w:highlight w:val="yellow"/>
        </w:rPr>
        <w:t>y</w:t>
      </w:r>
      <w:r>
        <w:t xml:space="preserve"> to navigate, adoption increases, </w:t>
      </w:r>
      <w:r>
        <w:rPr>
          <w:highlight w:val="yellow"/>
        </w:rPr>
        <w:t>le</w:t>
      </w:r>
      <w:r>
        <w:t>a</w:t>
      </w:r>
      <w:r>
        <w:rPr>
          <w:highlight w:val="yellow"/>
        </w:rPr>
        <w:t>d</w:t>
      </w:r>
      <w:r>
        <w:t>in</w:t>
      </w:r>
      <w:r>
        <w:rPr>
          <w:highlight w:val="yellow"/>
        </w:rPr>
        <w:t>g</w:t>
      </w:r>
      <w:r>
        <w:t xml:space="preserve"> to c</w:t>
      </w:r>
      <w:r>
        <w:rPr>
          <w:highlight w:val="yellow"/>
        </w:rPr>
        <w:t>ost</w:t>
      </w:r>
      <w:r>
        <w:t xml:space="preserve"> savings and operational </w:t>
      </w:r>
      <w:r>
        <w:rPr>
          <w:highlight w:val="yellow"/>
        </w:rPr>
        <w:t>improv</w:t>
      </w:r>
      <w:r>
        <w:t xml:space="preserve">ements that </w:t>
      </w:r>
      <w:r>
        <w:rPr>
          <w:highlight w:val="yellow"/>
        </w:rPr>
        <w:t>pos</w:t>
      </w:r>
      <w:r>
        <w:t>it</w:t>
      </w:r>
      <w:r>
        <w:rPr>
          <w:highlight w:val="yellow"/>
        </w:rPr>
        <w:t>iv</w:t>
      </w:r>
      <w:r>
        <w:t xml:space="preserve">ely affect ROA. Thus, TAM is applied to </w:t>
      </w:r>
      <w:r>
        <w:rPr>
          <w:highlight w:val="yellow"/>
        </w:rPr>
        <w:t>exam</w:t>
      </w:r>
      <w:r>
        <w:t>i</w:t>
      </w:r>
      <w:r>
        <w:rPr>
          <w:highlight w:val="yellow"/>
        </w:rPr>
        <w:t>n</w:t>
      </w:r>
      <w:r>
        <w:t>e how consumer engagement with digital banking s</w:t>
      </w:r>
      <w:r>
        <w:rPr>
          <w:highlight w:val="yellow"/>
        </w:rPr>
        <w:t>ys</w:t>
      </w:r>
      <w:r>
        <w:t>te</w:t>
      </w:r>
      <w:r>
        <w:rPr>
          <w:highlight w:val="yellow"/>
        </w:rPr>
        <w:t>m</w:t>
      </w:r>
      <w:r>
        <w:t xml:space="preserve">s affects </w:t>
      </w:r>
      <w:r>
        <w:rPr>
          <w:highlight w:val="yellow"/>
        </w:rPr>
        <w:t>finan</w:t>
      </w:r>
      <w:r>
        <w:t>cial performance in Nairobi-based commercial banks.</w:t>
      </w:r>
    </w:p>
    <w:p w14:paraId="2B2EAF55" w14:textId="77777777" w:rsidR="003C3C4F" w:rsidRDefault="00000000">
      <w:r>
        <w:lastRenderedPageBreak/>
        <w:t xml:space="preserve">Agency Theory, </w:t>
      </w:r>
      <w:r>
        <w:rPr>
          <w:highlight w:val="yellow"/>
        </w:rPr>
        <w:t>intro</w:t>
      </w:r>
      <w:r>
        <w:t>d</w:t>
      </w:r>
      <w:r>
        <w:rPr>
          <w:highlight w:val="yellow"/>
        </w:rPr>
        <w:t>uc</w:t>
      </w:r>
      <w:r>
        <w:t xml:space="preserve">ed </w:t>
      </w:r>
      <w:r>
        <w:rPr>
          <w:highlight w:val="yellow"/>
        </w:rPr>
        <w:t>by</w:t>
      </w:r>
      <w:r>
        <w:t xml:space="preserve"> Jensen and Meckling (1976), explores the dynamics </w:t>
      </w:r>
      <w:r>
        <w:rPr>
          <w:highlight w:val="yellow"/>
        </w:rPr>
        <w:t>between</w:t>
      </w:r>
      <w:r>
        <w:t xml:space="preserve"> principals (shareholders) and agents (managers) in organi</w:t>
      </w:r>
      <w:r>
        <w:rPr>
          <w:highlight w:val="yellow"/>
        </w:rPr>
        <w:t>s</w:t>
      </w:r>
      <w:r>
        <w:t xml:space="preserve">ational decision-making. The </w:t>
      </w:r>
      <w:r>
        <w:rPr>
          <w:highlight w:val="yellow"/>
        </w:rPr>
        <w:t>the</w:t>
      </w:r>
      <w:r>
        <w:t>o</w:t>
      </w:r>
      <w:r>
        <w:rPr>
          <w:highlight w:val="yellow"/>
        </w:rPr>
        <w:t>ry</w:t>
      </w:r>
      <w:r>
        <w:t xml:space="preserve"> addresses the </w:t>
      </w:r>
      <w:r>
        <w:rPr>
          <w:highlight w:val="yellow"/>
        </w:rPr>
        <w:t>prob</w:t>
      </w:r>
      <w:r>
        <w:t>l</w:t>
      </w:r>
      <w:r>
        <w:rPr>
          <w:highlight w:val="yellow"/>
        </w:rPr>
        <w:t>em</w:t>
      </w:r>
      <w:r>
        <w:t xml:space="preserve"> of </w:t>
      </w:r>
      <w:r>
        <w:rPr>
          <w:highlight w:val="yellow"/>
        </w:rPr>
        <w:t>g</w:t>
      </w:r>
      <w:r>
        <w:t>o</w:t>
      </w:r>
      <w:r>
        <w:rPr>
          <w:highlight w:val="yellow"/>
        </w:rPr>
        <w:t>al</w:t>
      </w:r>
      <w:r>
        <w:t xml:space="preserve"> misalignment, which can </w:t>
      </w:r>
      <w:r>
        <w:rPr>
          <w:highlight w:val="yellow"/>
        </w:rPr>
        <w:t>arise</w:t>
      </w:r>
      <w:r>
        <w:t xml:space="preserve"> wh</w:t>
      </w:r>
      <w:r>
        <w:rPr>
          <w:highlight w:val="yellow"/>
        </w:rPr>
        <w:t>en</w:t>
      </w:r>
      <w:r>
        <w:t xml:space="preserve"> agents, who normally </w:t>
      </w:r>
      <w:r>
        <w:rPr>
          <w:highlight w:val="yellow"/>
        </w:rPr>
        <w:t>p</w:t>
      </w:r>
      <w:r>
        <w:t>o</w:t>
      </w:r>
      <w:r>
        <w:rPr>
          <w:highlight w:val="yellow"/>
        </w:rPr>
        <w:t>ssess</w:t>
      </w:r>
      <w:r>
        <w:t xml:space="preserve"> </w:t>
      </w:r>
      <w:r>
        <w:rPr>
          <w:highlight w:val="yellow"/>
        </w:rPr>
        <w:t>mo</w:t>
      </w:r>
      <w:r>
        <w:t>re</w:t>
      </w:r>
      <w:r>
        <w:rPr>
          <w:highlight w:val="yellow"/>
        </w:rPr>
        <w:t xml:space="preserve"> inf</w:t>
      </w:r>
      <w:r>
        <w:t>ormat</w:t>
      </w:r>
      <w:r>
        <w:rPr>
          <w:highlight w:val="yellow"/>
        </w:rPr>
        <w:t>ion about</w:t>
      </w:r>
      <w:r>
        <w:t xml:space="preserve"> the firm</w:t>
      </w:r>
      <w:r>
        <w:rPr>
          <w:highlight w:val="yellow"/>
        </w:rPr>
        <w:t>'</w:t>
      </w:r>
      <w:r>
        <w:t xml:space="preserve">s operations, act </w:t>
      </w:r>
      <w:r>
        <w:rPr>
          <w:highlight w:val="yellow"/>
        </w:rPr>
        <w:t>in</w:t>
      </w:r>
      <w:r>
        <w:t xml:space="preserve"> their </w:t>
      </w:r>
      <w:r>
        <w:rPr>
          <w:highlight w:val="yellow"/>
        </w:rPr>
        <w:t>own int</w:t>
      </w:r>
      <w:r>
        <w:t>er</w:t>
      </w:r>
      <w:r>
        <w:rPr>
          <w:highlight w:val="yellow"/>
        </w:rPr>
        <w:t>e</w:t>
      </w:r>
      <w:r>
        <w:t>s</w:t>
      </w:r>
      <w:r>
        <w:rPr>
          <w:highlight w:val="yellow"/>
        </w:rPr>
        <w:t>ts</w:t>
      </w:r>
      <w:r>
        <w:t xml:space="preserve"> instead of prioriti</w:t>
      </w:r>
      <w:r>
        <w:rPr>
          <w:highlight w:val="yellow"/>
        </w:rPr>
        <w:t>s</w:t>
      </w:r>
      <w:r>
        <w:t xml:space="preserve">ing shareholder value (Eisenhardt, 1989). To </w:t>
      </w:r>
      <w:r>
        <w:rPr>
          <w:highlight w:val="yellow"/>
        </w:rPr>
        <w:t>a</w:t>
      </w:r>
      <w:r>
        <w:t>d</w:t>
      </w:r>
      <w:r>
        <w:rPr>
          <w:highlight w:val="yellow"/>
        </w:rPr>
        <w:t>dr</w:t>
      </w:r>
      <w:r>
        <w:t>e</w:t>
      </w:r>
      <w:r>
        <w:rPr>
          <w:highlight w:val="yellow"/>
        </w:rPr>
        <w:t>ss</w:t>
      </w:r>
      <w:r>
        <w:t xml:space="preserve"> th</w:t>
      </w:r>
      <w:r>
        <w:rPr>
          <w:highlight w:val="yellow"/>
        </w:rPr>
        <w:t>e</w:t>
      </w:r>
      <w:r>
        <w:t>se conflicts, or</w:t>
      </w:r>
      <w:r>
        <w:rPr>
          <w:highlight w:val="yellow"/>
        </w:rPr>
        <w:t>ganis</w:t>
      </w:r>
      <w:r>
        <w:t xml:space="preserve">ations </w:t>
      </w:r>
      <w:r>
        <w:rPr>
          <w:highlight w:val="yellow"/>
        </w:rPr>
        <w:t>im</w:t>
      </w:r>
      <w:r>
        <w:t>p</w:t>
      </w:r>
      <w:r>
        <w:rPr>
          <w:highlight w:val="yellow"/>
        </w:rPr>
        <w:t>lemen</w:t>
      </w:r>
      <w:r>
        <w:t xml:space="preserve">t mechanisms </w:t>
      </w:r>
      <w:r>
        <w:rPr>
          <w:highlight w:val="yellow"/>
        </w:rPr>
        <w:t>su</w:t>
      </w:r>
      <w:r>
        <w:t>c</w:t>
      </w:r>
      <w:r>
        <w:rPr>
          <w:highlight w:val="yellow"/>
        </w:rPr>
        <w:t>h a</w:t>
      </w:r>
      <w:r>
        <w:t>s monitoring, performance-related incentives</w:t>
      </w:r>
      <w:r>
        <w:rPr>
          <w:highlight w:val="yellow"/>
        </w:rPr>
        <w:t>,</w:t>
      </w:r>
      <w:r>
        <w:t xml:space="preserve"> and </w:t>
      </w:r>
      <w:r>
        <w:rPr>
          <w:highlight w:val="yellow"/>
        </w:rPr>
        <w:t>acco</w:t>
      </w:r>
      <w:r>
        <w:t>u</w:t>
      </w:r>
      <w:r>
        <w:rPr>
          <w:highlight w:val="yellow"/>
        </w:rPr>
        <w:t>ntabili</w:t>
      </w:r>
      <w:r>
        <w:t xml:space="preserve">ty frameworks to align the </w:t>
      </w:r>
      <w:r>
        <w:rPr>
          <w:highlight w:val="yellow"/>
        </w:rPr>
        <w:t>intere</w:t>
      </w:r>
      <w:r>
        <w:t>sts of managers with th</w:t>
      </w:r>
      <w:r>
        <w:rPr>
          <w:highlight w:val="yellow"/>
        </w:rPr>
        <w:t>os</w:t>
      </w:r>
      <w:r>
        <w:t>e of shareholders (Daily et al., 2003). For this study, Agency Theory help</w:t>
      </w:r>
      <w:r>
        <w:rPr>
          <w:highlight w:val="yellow"/>
        </w:rPr>
        <w:t>s</w:t>
      </w:r>
      <w:r>
        <w:t xml:space="preserve"> e</w:t>
      </w:r>
      <w:r>
        <w:rPr>
          <w:highlight w:val="yellow"/>
        </w:rPr>
        <w:t>xpl</w:t>
      </w:r>
      <w:r>
        <w:t xml:space="preserve">ain how mobile banking investments </w:t>
      </w:r>
      <w:r>
        <w:rPr>
          <w:highlight w:val="yellow"/>
        </w:rPr>
        <w:t xml:space="preserve">may </w:t>
      </w:r>
      <w:r>
        <w:t>improve financial performance</w:t>
      </w:r>
      <w:r>
        <w:rPr>
          <w:highlight w:val="yellow"/>
        </w:rPr>
        <w:t>,</w:t>
      </w:r>
      <w:r>
        <w:t xml:space="preserve"> </w:t>
      </w:r>
      <w:r>
        <w:rPr>
          <w:highlight w:val="yellow"/>
        </w:rPr>
        <w:t>such as</w:t>
      </w:r>
      <w:r>
        <w:t xml:space="preserve"> ROA</w:t>
      </w:r>
      <w:r>
        <w:rPr>
          <w:highlight w:val="yellow"/>
        </w:rPr>
        <w:t>,</w:t>
      </w:r>
      <w:r>
        <w:t xml:space="preserve"> or serve managerial agendas (Fama &amp; Jensen, 1983). It evaluates whether mobile banking reduces corporate costs and operational inefficiencies. It a</w:t>
      </w:r>
      <w:r>
        <w:rPr>
          <w:highlight w:val="yellow"/>
        </w:rPr>
        <w:t>lso a</w:t>
      </w:r>
      <w:r>
        <w:t xml:space="preserve">ssesses </w:t>
      </w:r>
      <w:r>
        <w:rPr>
          <w:highlight w:val="yellow"/>
        </w:rPr>
        <w:t>whether</w:t>
      </w:r>
      <w:r>
        <w:t xml:space="preserve"> performance incentives tied to digital improvements motivate management toward</w:t>
      </w:r>
      <w:r>
        <w:rPr>
          <w:highlight w:val="yellow"/>
        </w:rPr>
        <w:t>s</w:t>
      </w:r>
      <w:r>
        <w:t xml:space="preserve"> profitability,</w:t>
      </w:r>
      <w:r>
        <w:rPr>
          <w:highlight w:val="yellow"/>
        </w:rPr>
        <w:t xml:space="preserve"> thereby</w:t>
      </w:r>
      <w:r>
        <w:t xml:space="preserve"> supporting shareholder interests in commercial banks.</w:t>
      </w:r>
    </w:p>
    <w:p w14:paraId="39092AE1" w14:textId="77777777" w:rsidR="003C3C4F" w:rsidRDefault="00000000">
      <w:pPr>
        <w:pStyle w:val="Heading2"/>
      </w:pPr>
      <w:r>
        <w:t>2.2 Empirical Review</w:t>
      </w:r>
    </w:p>
    <w:p w14:paraId="2FBED783" w14:textId="77777777" w:rsidR="003C3C4F" w:rsidRDefault="00000000">
      <w:r>
        <w:t xml:space="preserve">Osiolo and Sije (2023) investigated how MB affected </w:t>
      </w:r>
      <w:r>
        <w:rPr>
          <w:highlight w:val="yellow"/>
        </w:rPr>
        <w:t xml:space="preserve">the performance of </w:t>
      </w:r>
      <w:r>
        <w:t xml:space="preserve">Kenyan </w:t>
      </w:r>
      <w:r>
        <w:rPr>
          <w:highlight w:val="yellow"/>
        </w:rPr>
        <w:t>co</w:t>
      </w:r>
      <w:r>
        <w:t>m</w:t>
      </w:r>
      <w:r>
        <w:rPr>
          <w:highlight w:val="yellow"/>
        </w:rPr>
        <w:t>m</w:t>
      </w:r>
      <w:r>
        <w:t>e</w:t>
      </w:r>
      <w:r>
        <w:rPr>
          <w:highlight w:val="yellow"/>
        </w:rPr>
        <w:t>rc</w:t>
      </w:r>
      <w:r>
        <w:t>i</w:t>
      </w:r>
      <w:r>
        <w:rPr>
          <w:highlight w:val="yellow"/>
        </w:rPr>
        <w:t>al</w:t>
      </w:r>
      <w:r>
        <w:t xml:space="preserve"> banks. The inquiry utili</w:t>
      </w:r>
      <w:r>
        <w:rPr>
          <w:highlight w:val="yellow"/>
        </w:rPr>
        <w:t>s</w:t>
      </w:r>
      <w:r>
        <w:t xml:space="preserve">ed a descriptive research approach. </w:t>
      </w:r>
      <w:r>
        <w:rPr>
          <w:highlight w:val="yellow"/>
        </w:rPr>
        <w:t xml:space="preserve">The target population comprised </w:t>
      </w:r>
      <w:r>
        <w:t>42</w:t>
      </w:r>
      <w:r>
        <w:rPr>
          <w:highlight w:val="yellow"/>
        </w:rPr>
        <w:t xml:space="preserve"> licensed</w:t>
      </w:r>
      <w:r>
        <w:t xml:space="preserve"> Kenyan commercial banks</w:t>
      </w:r>
      <w:r>
        <w:rPr>
          <w:highlight w:val="yellow"/>
        </w:rPr>
        <w:t>.</w:t>
      </w:r>
      <w:r>
        <w:t xml:space="preserve"> </w:t>
      </w:r>
      <w:r>
        <w:rPr>
          <w:highlight w:val="yellow"/>
        </w:rPr>
        <w:t>T</w:t>
      </w:r>
      <w:r>
        <w:t>h</w:t>
      </w:r>
      <w:r>
        <w:rPr>
          <w:highlight w:val="yellow"/>
        </w:rPr>
        <w:t>ree</w:t>
      </w:r>
      <w:r>
        <w:t xml:space="preserve"> </w:t>
      </w:r>
      <w:r>
        <w:rPr>
          <w:highlight w:val="yellow"/>
        </w:rPr>
        <w:t>emp</w:t>
      </w:r>
      <w:r>
        <w:t>l</w:t>
      </w:r>
      <w:r>
        <w:rPr>
          <w:highlight w:val="yellow"/>
        </w:rPr>
        <w:t>oy</w:t>
      </w:r>
      <w:r>
        <w:t xml:space="preserve">ees </w:t>
      </w:r>
      <w:r>
        <w:rPr>
          <w:highlight w:val="yellow"/>
        </w:rPr>
        <w:t>w</w:t>
      </w:r>
      <w:r>
        <w:t>e</w:t>
      </w:r>
      <w:r>
        <w:rPr>
          <w:highlight w:val="yellow"/>
        </w:rPr>
        <w:t>r</w:t>
      </w:r>
      <w:r>
        <w:t>e target</w:t>
      </w:r>
      <w:r>
        <w:rPr>
          <w:highlight w:val="yellow"/>
        </w:rPr>
        <w:t>ed</w:t>
      </w:r>
      <w:r>
        <w:t xml:space="preserve"> </w:t>
      </w:r>
      <w:r>
        <w:rPr>
          <w:highlight w:val="yellow"/>
        </w:rPr>
        <w:t xml:space="preserve">from </w:t>
      </w:r>
      <w:r>
        <w:t>each commercial bank, for a total of 126 responde</w:t>
      </w:r>
      <w:r>
        <w:rPr>
          <w:highlight w:val="yellow"/>
        </w:rPr>
        <w:t>nt</w:t>
      </w:r>
      <w:r>
        <w:t xml:space="preserve">s. Data were gathered using structured questionnaires. Both descriptive and inferential analyses were performed on the </w:t>
      </w:r>
      <w:r>
        <w:rPr>
          <w:highlight w:val="yellow"/>
        </w:rPr>
        <w:t>collec</w:t>
      </w:r>
      <w:r>
        <w:t xml:space="preserve">ted data. The outcome demonstrated that mobile banking notably and favourably affects </w:t>
      </w:r>
      <w:r>
        <w:rPr>
          <w:highlight w:val="yellow"/>
        </w:rPr>
        <w:t xml:space="preserve">the performance of </w:t>
      </w:r>
      <w:r>
        <w:t xml:space="preserve">Kenyan </w:t>
      </w:r>
      <w:r>
        <w:rPr>
          <w:highlight w:val="yellow"/>
        </w:rPr>
        <w:t>co</w:t>
      </w:r>
      <w:r>
        <w:t>m</w:t>
      </w:r>
      <w:r>
        <w:rPr>
          <w:highlight w:val="yellow"/>
        </w:rPr>
        <w:t>m</w:t>
      </w:r>
      <w:r>
        <w:t>e</w:t>
      </w:r>
      <w:r>
        <w:rPr>
          <w:highlight w:val="yellow"/>
        </w:rPr>
        <w:t>rc</w:t>
      </w:r>
      <w:r>
        <w:t>i</w:t>
      </w:r>
      <w:r>
        <w:rPr>
          <w:highlight w:val="yellow"/>
        </w:rPr>
        <w:t>al</w:t>
      </w:r>
      <w:r>
        <w:t xml:space="preserve"> banks. The inquiry inferred that</w:t>
      </w:r>
      <w:r>
        <w:rPr>
          <w:highlight w:val="yellow"/>
        </w:rPr>
        <w:t>,</w:t>
      </w:r>
      <w:r>
        <w:t xml:space="preserve"> f</w:t>
      </w:r>
      <w:r>
        <w:rPr>
          <w:highlight w:val="yellow"/>
        </w:rPr>
        <w:t>or</w:t>
      </w:r>
      <w:r>
        <w:t xml:space="preserve"> Kenyan commercial banks to </w:t>
      </w:r>
      <w:r>
        <w:rPr>
          <w:highlight w:val="yellow"/>
        </w:rPr>
        <w:t>per</w:t>
      </w:r>
      <w:r>
        <w:t>fo</w:t>
      </w:r>
      <w:r>
        <w:rPr>
          <w:highlight w:val="yellow"/>
        </w:rPr>
        <w:t>rm</w:t>
      </w:r>
      <w:r>
        <w:t xml:space="preserve"> better, MB should be given primary emphasis. Similar</w:t>
      </w:r>
      <w:r>
        <w:rPr>
          <w:highlight w:val="yellow"/>
        </w:rPr>
        <w:t>ly</w:t>
      </w:r>
      <w:r>
        <w:t xml:space="preserve">, the </w:t>
      </w:r>
      <w:r>
        <w:rPr>
          <w:highlight w:val="yellow"/>
        </w:rPr>
        <w:t>p</w:t>
      </w:r>
      <w:r>
        <w:t>re</w:t>
      </w:r>
      <w:r>
        <w:rPr>
          <w:highlight w:val="yellow"/>
        </w:rPr>
        <w:t>s</w:t>
      </w:r>
      <w:r>
        <w:t xml:space="preserve">ent inquiry </w:t>
      </w:r>
      <w:r>
        <w:rPr>
          <w:highlight w:val="yellow"/>
        </w:rPr>
        <w:t>focu</w:t>
      </w:r>
      <w:r>
        <w:t>se</w:t>
      </w:r>
      <w:r>
        <w:rPr>
          <w:highlight w:val="yellow"/>
        </w:rPr>
        <w:t>s</w:t>
      </w:r>
      <w:r>
        <w:t xml:space="preserve"> on Kenyan commercial banks; however, its timeframe i</w:t>
      </w:r>
      <w:r>
        <w:rPr>
          <w:highlight w:val="yellow"/>
        </w:rPr>
        <w:t>s</w:t>
      </w:r>
      <w:r>
        <w:t xml:space="preserve"> 2026, so it </w:t>
      </w:r>
      <w:r>
        <w:rPr>
          <w:highlight w:val="yellow"/>
        </w:rPr>
        <w:t>prov</w:t>
      </w:r>
      <w:r>
        <w:t>i</w:t>
      </w:r>
      <w:r>
        <w:rPr>
          <w:highlight w:val="yellow"/>
        </w:rPr>
        <w:t>des</w:t>
      </w:r>
      <w:r>
        <w:t xml:space="preserve"> </w:t>
      </w:r>
      <w:r>
        <w:rPr>
          <w:highlight w:val="yellow"/>
        </w:rPr>
        <w:t>m</w:t>
      </w:r>
      <w:r>
        <w:t>o</w:t>
      </w:r>
      <w:r>
        <w:rPr>
          <w:highlight w:val="yellow"/>
        </w:rPr>
        <w:t>r</w:t>
      </w:r>
      <w:r>
        <w:t>e recent empirical data.</w:t>
      </w:r>
    </w:p>
    <w:p w14:paraId="475E8F9C" w14:textId="77777777" w:rsidR="003C3C4F" w:rsidRDefault="00000000">
      <w:r>
        <w:t xml:space="preserve">Basnet (2024) investigated how mobile banking affected </w:t>
      </w:r>
      <w:r>
        <w:rPr>
          <w:highlight w:val="yellow"/>
        </w:rPr>
        <w:t xml:space="preserve">the profitability of </w:t>
      </w:r>
      <w:r>
        <w:t>Nepalese commercial banks. The se</w:t>
      </w:r>
      <w:r>
        <w:rPr>
          <w:highlight w:val="yellow"/>
        </w:rPr>
        <w:t>lected</w:t>
      </w:r>
      <w:r>
        <w:t xml:space="preserve"> dependent variables </w:t>
      </w:r>
      <w:r>
        <w:rPr>
          <w:highlight w:val="yellow"/>
        </w:rPr>
        <w:t>we</w:t>
      </w:r>
      <w:r>
        <w:t xml:space="preserve">re ROA and ROE. Eight commercial banks </w:t>
      </w:r>
      <w:r>
        <w:rPr>
          <w:highlight w:val="yellow"/>
        </w:rPr>
        <w:t>and</w:t>
      </w:r>
      <w:r>
        <w:t xml:space="preserve"> 130 respondents provided primary and secondary data for the inquiry. A structured questionnaire </w:t>
      </w:r>
      <w:r>
        <w:rPr>
          <w:highlight w:val="yellow"/>
        </w:rPr>
        <w:t>wa</w:t>
      </w:r>
      <w:r>
        <w:t xml:space="preserve">s </w:t>
      </w:r>
      <w:r>
        <w:rPr>
          <w:highlight w:val="yellow"/>
        </w:rPr>
        <w:t>d</w:t>
      </w:r>
      <w:r>
        <w:t>e</w:t>
      </w:r>
      <w:r>
        <w:rPr>
          <w:highlight w:val="yellow"/>
        </w:rPr>
        <w:t>velop</w:t>
      </w:r>
      <w:r>
        <w:t>ed to accomplish the inquiry's o</w:t>
      </w:r>
      <w:r>
        <w:rPr>
          <w:highlight w:val="yellow"/>
        </w:rPr>
        <w:t>bjective</w:t>
      </w:r>
      <w:r>
        <w:t xml:space="preserve">. Regression models and correlation coefficients were used to </w:t>
      </w:r>
      <w:r>
        <w:rPr>
          <w:highlight w:val="yellow"/>
        </w:rPr>
        <w:t>analy</w:t>
      </w:r>
      <w:r>
        <w:t xml:space="preserve">se the data. According to the outcome, ROA and ROE are favourably </w:t>
      </w:r>
      <w:r>
        <w:rPr>
          <w:highlight w:val="yellow"/>
        </w:rPr>
        <w:t>assoc</w:t>
      </w:r>
      <w:r>
        <w:t>i</w:t>
      </w:r>
      <w:r>
        <w:rPr>
          <w:highlight w:val="yellow"/>
        </w:rPr>
        <w:t>at</w:t>
      </w:r>
      <w:r>
        <w:t xml:space="preserve">ed with mobile banking. The inquiry established that ROE and ROA increase with the quality of mobile banking services offered by banks. Although Basnet (2024) </w:t>
      </w:r>
      <w:r>
        <w:rPr>
          <w:highlight w:val="yellow"/>
        </w:rPr>
        <w:lastRenderedPageBreak/>
        <w:t>focu</w:t>
      </w:r>
      <w:r>
        <w:t xml:space="preserve">sed on </w:t>
      </w:r>
      <w:r>
        <w:rPr>
          <w:highlight w:val="yellow"/>
        </w:rPr>
        <w:t>the performan</w:t>
      </w:r>
      <w:r>
        <w:t xml:space="preserve">ce of Nepalese commercial banks, the present investigation </w:t>
      </w:r>
      <w:r>
        <w:rPr>
          <w:highlight w:val="yellow"/>
        </w:rPr>
        <w:t>fo</w:t>
      </w:r>
      <w:r>
        <w:t>c</w:t>
      </w:r>
      <w:r>
        <w:rPr>
          <w:highlight w:val="yellow"/>
        </w:rPr>
        <w:t>us</w:t>
      </w:r>
      <w:r>
        <w:t>e</w:t>
      </w:r>
      <w:r>
        <w:rPr>
          <w:highlight w:val="yellow"/>
        </w:rPr>
        <w:t>s</w:t>
      </w:r>
      <w:r>
        <w:t xml:space="preserve"> on </w:t>
      </w:r>
      <w:r>
        <w:rPr>
          <w:highlight w:val="yellow"/>
        </w:rPr>
        <w:t>the performan</w:t>
      </w:r>
      <w:r>
        <w:t xml:space="preserve">ce of Kenyan commercial banks. Comparable evidence from Zambia </w:t>
      </w:r>
      <w:r>
        <w:rPr>
          <w:highlight w:val="yellow"/>
        </w:rPr>
        <w:t>wa</w:t>
      </w:r>
      <w:r>
        <w:t>s reported by Chimanga and Kawimbe (2024).</w:t>
      </w:r>
    </w:p>
    <w:p w14:paraId="11B83768" w14:textId="77777777" w:rsidR="003C3C4F" w:rsidRDefault="00000000">
      <w:pPr>
        <w:rPr>
          <w:highlight w:val="yellow"/>
        </w:rPr>
      </w:pPr>
      <w:r>
        <w:rPr>
          <w:highlight w:val="yellow"/>
        </w:rPr>
        <w:t>Okoh and Erhabor (2025) investigated how internet banking affected Nigerian banks' performance. The research approach utilised in the inquiry was ex post facto. The econometric analysis was conducted using monthly time-series data from 2009 to 2017. The long- and short-term effects were estimated using the ARDL estimation technique. According to the outcome, internet transactions have a major impact on Nigerian bank liquidity. The investigation deduced that, to maintain and enhance long-term benefits, banks need to step up their efforts to update and protect online transactions. The aforementioned investigation focused on selected Nigerian banks. The present investigation focuses on Kenyan commercial banks.</w:t>
      </w:r>
    </w:p>
    <w:p w14:paraId="63323B30" w14:textId="77777777" w:rsidR="003C3C4F" w:rsidRDefault="00000000">
      <w:r>
        <w:rPr>
          <w:highlight w:val="yellow"/>
        </w:rPr>
        <w:t>Williams (2025) assessed how ATMs affected the profitability of Nigerian deposit money banks from 2014 to 2024. The inquiry utilised a quantitative research approach. A panel regression estimation technique was employed to analyse the data. According to the outcome, ATM transactions greatly increase bank profitability by lowering cost-to-income ratios. The inquiry deduced that ATMs help Nigeria's deposit money institutions operate more effectively overall. The present investigation focuses on Kenyan banks, whereas the aforesaid investigation focused on banks in Nigeria.</w:t>
      </w:r>
    </w:p>
    <w:p w14:paraId="1915994D" w14:textId="77777777" w:rsidR="003C3C4F" w:rsidRDefault="00000000">
      <w:r>
        <w:t>Sopitan et al. (2025) utili</w:t>
      </w:r>
      <w:r>
        <w:rPr>
          <w:highlight w:val="yellow"/>
        </w:rPr>
        <w:t>s</w:t>
      </w:r>
      <w:r>
        <w:t xml:space="preserve">ed a descriptive survey </w:t>
      </w:r>
      <w:r>
        <w:rPr>
          <w:highlight w:val="yellow"/>
        </w:rPr>
        <w:t>r</w:t>
      </w:r>
      <w:r>
        <w:t>es</w:t>
      </w:r>
      <w:r>
        <w:rPr>
          <w:highlight w:val="yellow"/>
        </w:rPr>
        <w:t>e</w:t>
      </w:r>
      <w:r>
        <w:t>a</w:t>
      </w:r>
      <w:r>
        <w:rPr>
          <w:highlight w:val="yellow"/>
        </w:rPr>
        <w:t>rch</w:t>
      </w:r>
      <w:r>
        <w:t xml:space="preserve"> approach to explore how IB affected Nigerian commercial banks' performance. A purposive sample of 120 respondents was se</w:t>
      </w:r>
      <w:r>
        <w:rPr>
          <w:highlight w:val="yellow"/>
        </w:rPr>
        <w:t>lected</w:t>
      </w:r>
      <w:r>
        <w:t xml:space="preserve"> from the target group, which included more than 2,500 Stanbic IBTC Bank Plc relationship officers. Structured questionnaires were u</w:t>
      </w:r>
      <w:r>
        <w:rPr>
          <w:highlight w:val="yellow"/>
        </w:rPr>
        <w:t>s</w:t>
      </w:r>
      <w:r>
        <w:t xml:space="preserve">ed </w:t>
      </w:r>
      <w:r>
        <w:rPr>
          <w:highlight w:val="yellow"/>
        </w:rPr>
        <w:t>to</w:t>
      </w:r>
      <w:r>
        <w:t xml:space="preserve"> gather data. </w:t>
      </w:r>
      <w:r>
        <w:rPr>
          <w:highlight w:val="yellow"/>
        </w:rPr>
        <w:t>A m</w:t>
      </w:r>
      <w:r>
        <w:t>ultiple regression estimation technique was u</w:t>
      </w:r>
      <w:r>
        <w:rPr>
          <w:highlight w:val="yellow"/>
        </w:rPr>
        <w:t>s</w:t>
      </w:r>
      <w:r>
        <w:t xml:space="preserve">ed in the inquiry. The outcome demonstrated a strong favourable </w:t>
      </w:r>
      <w:r>
        <w:rPr>
          <w:highlight w:val="yellow"/>
        </w:rPr>
        <w:t>relationship between on</w:t>
      </w:r>
      <w:r>
        <w:t>lin</w:t>
      </w:r>
      <w:r>
        <w:rPr>
          <w:highlight w:val="yellow"/>
        </w:rPr>
        <w:t>e ban</w:t>
      </w:r>
      <w:r>
        <w:t>k</w:t>
      </w:r>
      <w:r>
        <w:rPr>
          <w:highlight w:val="yellow"/>
        </w:rPr>
        <w:t>ing</w:t>
      </w:r>
      <w:r>
        <w:t xml:space="preserve"> a</w:t>
      </w:r>
      <w:r>
        <w:rPr>
          <w:highlight w:val="yellow"/>
        </w:rPr>
        <w:t>nd the perfor</w:t>
      </w:r>
      <w:r>
        <w:t>m</w:t>
      </w:r>
      <w:r>
        <w:rPr>
          <w:highlight w:val="yellow"/>
        </w:rPr>
        <w:t xml:space="preserve">ance </w:t>
      </w:r>
      <w:r>
        <w:t>o</w:t>
      </w:r>
      <w:r>
        <w:rPr>
          <w:highlight w:val="yellow"/>
        </w:rPr>
        <w:t>f</w:t>
      </w:r>
      <w:r>
        <w:t xml:space="preserve"> Nigerian commercial banks. The significance of IB in improving banking operations and customer </w:t>
      </w:r>
      <w:r>
        <w:rPr>
          <w:highlight w:val="yellow"/>
        </w:rPr>
        <w:t>s</w:t>
      </w:r>
      <w:r>
        <w:t>a</w:t>
      </w:r>
      <w:r>
        <w:rPr>
          <w:highlight w:val="yellow"/>
        </w:rPr>
        <w:t>t</w:t>
      </w:r>
      <w:r>
        <w:t>i</w:t>
      </w:r>
      <w:r>
        <w:rPr>
          <w:highlight w:val="yellow"/>
        </w:rPr>
        <w:t>sfactio</w:t>
      </w:r>
      <w:r>
        <w:t xml:space="preserve">n was highlighted in the inquiry's conclusion. The </w:t>
      </w:r>
      <w:r>
        <w:rPr>
          <w:highlight w:val="yellow"/>
        </w:rPr>
        <w:t>prese</w:t>
      </w:r>
      <w:r>
        <w:t>n</w:t>
      </w:r>
      <w:r>
        <w:rPr>
          <w:highlight w:val="yellow"/>
        </w:rPr>
        <w:t>t</w:t>
      </w:r>
      <w:r>
        <w:t xml:space="preserve"> investigation focu</w:t>
      </w:r>
      <w:r>
        <w:rPr>
          <w:highlight w:val="yellow"/>
        </w:rPr>
        <w:t>se</w:t>
      </w:r>
      <w:r>
        <w:t xml:space="preserve">s on Kenyan commercial banks, whereas the previous </w:t>
      </w:r>
      <w:r>
        <w:rPr>
          <w:highlight w:val="yellow"/>
        </w:rPr>
        <w:t>investigati</w:t>
      </w:r>
      <w:r>
        <w:t xml:space="preserve">on was based on the </w:t>
      </w:r>
      <w:r>
        <w:rPr>
          <w:highlight w:val="yellow"/>
        </w:rPr>
        <w:t>performan</w:t>
      </w:r>
      <w:r>
        <w:t>ce of Nigerian banks.</w:t>
      </w:r>
    </w:p>
    <w:p w14:paraId="6CA6D1EC" w14:textId="77777777" w:rsidR="003C3C4F" w:rsidRDefault="00000000">
      <w:pPr>
        <w:rPr>
          <w:highlight w:val="yellow"/>
        </w:rPr>
      </w:pPr>
      <w:r>
        <w:t xml:space="preserve">Abu et al. (2026) investigated how ATMs affected </w:t>
      </w:r>
      <w:r>
        <w:rPr>
          <w:highlight w:val="yellow"/>
        </w:rPr>
        <w:t xml:space="preserve">the profitability of </w:t>
      </w:r>
      <w:r>
        <w:t>Nigerian deposit money banks from 2010</w:t>
      </w:r>
      <w:r>
        <w:rPr>
          <w:highlight w:val="yellow"/>
        </w:rPr>
        <w:t xml:space="preserve"> to </w:t>
      </w:r>
      <w:r>
        <w:t>2024. ROA served as a proxy for bank profitability. The data w</w:t>
      </w:r>
      <w:r>
        <w:rPr>
          <w:highlight w:val="yellow"/>
        </w:rPr>
        <w:t xml:space="preserve">ere </w:t>
      </w:r>
      <w:r>
        <w:t>a</w:t>
      </w:r>
      <w:r>
        <w:rPr>
          <w:highlight w:val="yellow"/>
        </w:rPr>
        <w:t>naly</w:t>
      </w:r>
      <w:r>
        <w:t xml:space="preserve">sed </w:t>
      </w:r>
      <w:r>
        <w:lastRenderedPageBreak/>
        <w:t>using the Autoregressive Distributed Lag (ARDL) model. The outcome showed that ATM transactions had a noteworthy and favourable impact on ROA, indicating that higher ATM usage boosts bank profitability. The analysis deduced that consistent investment in effective ATM infrastructure will increase cost</w:t>
      </w:r>
      <w:r>
        <w:rPr>
          <w:highlight w:val="yellow"/>
        </w:rPr>
        <w:t>-</w:t>
      </w:r>
      <w:r>
        <w:t xml:space="preserve">effectiveness and service dependability. Although Abu et al. (2026) </w:t>
      </w:r>
      <w:r>
        <w:rPr>
          <w:highlight w:val="yellow"/>
        </w:rPr>
        <w:t>focu</w:t>
      </w:r>
      <w:r>
        <w:t>sed on</w:t>
      </w:r>
      <w:r>
        <w:rPr>
          <w:highlight w:val="yellow"/>
        </w:rPr>
        <w:t xml:space="preserve"> the</w:t>
      </w:r>
      <w:r>
        <w:t xml:space="preserve"> profitability of banks in Nigeria, the present investigation </w:t>
      </w:r>
      <w:r>
        <w:rPr>
          <w:highlight w:val="yellow"/>
        </w:rPr>
        <w:t>fo</w:t>
      </w:r>
      <w:r>
        <w:t>c</w:t>
      </w:r>
      <w:r>
        <w:rPr>
          <w:highlight w:val="yellow"/>
        </w:rPr>
        <w:t>us</w:t>
      </w:r>
      <w:r>
        <w:t>e</w:t>
      </w:r>
      <w:r>
        <w:rPr>
          <w:highlight w:val="yellow"/>
        </w:rPr>
        <w:t>s</w:t>
      </w:r>
      <w:r>
        <w:t xml:space="preserve"> on </w:t>
      </w:r>
      <w:r>
        <w:rPr>
          <w:highlight w:val="yellow"/>
        </w:rPr>
        <w:t>the performan</w:t>
      </w:r>
      <w:r>
        <w:t xml:space="preserve">ce of Kenyan </w:t>
      </w:r>
      <w:r>
        <w:rPr>
          <w:highlight w:val="yellow"/>
        </w:rPr>
        <w:t>commercial banks.</w:t>
      </w:r>
    </w:p>
    <w:p w14:paraId="56D0385A" w14:textId="77777777" w:rsidR="003C3C4F" w:rsidRDefault="00000000">
      <w:pPr>
        <w:pStyle w:val="Heading2"/>
        <w:pageBreakBefore/>
        <w:rPr>
          <w:highlight w:val="yellow"/>
        </w:rPr>
      </w:pPr>
      <w:r>
        <w:rPr>
          <w:highlight w:val="yellow"/>
        </w:rPr>
        <w:lastRenderedPageBreak/>
        <w:t>2.3 Conceptual Framework</w:t>
      </w:r>
    </w:p>
    <w:p w14:paraId="0D0ECB03" w14:textId="77777777" w:rsidR="003C3C4F" w:rsidRDefault="003C3C4F">
      <w:pPr>
        <w:rPr>
          <w:highlight w:val="yellow"/>
        </w:rPr>
      </w:pPr>
    </w:p>
    <w:p w14:paraId="0B8EDE4D" w14:textId="77777777" w:rsidR="003C3C4F" w:rsidRDefault="003C3C4F">
      <w:pPr>
        <w:rPr>
          <w:highlight w:val="yellow"/>
        </w:rPr>
      </w:pPr>
    </w:p>
    <w:p w14:paraId="02F2E9E5" w14:textId="77777777" w:rsidR="003C3C4F" w:rsidRDefault="003C3C4F">
      <w:pPr>
        <w:rPr>
          <w:highlight w:val="yellow"/>
        </w:rPr>
      </w:pPr>
    </w:p>
    <w:p w14:paraId="3C03B954" w14:textId="77777777" w:rsidR="003C3C4F" w:rsidRDefault="003C3C4F">
      <w:pPr>
        <w:rPr>
          <w:highlight w:val="yellow"/>
        </w:rPr>
      </w:pPr>
    </w:p>
    <w:p w14:paraId="75E99BC3" w14:textId="77777777" w:rsidR="003C3C4F" w:rsidRDefault="003C3C4F">
      <w:pPr>
        <w:rPr>
          <w:highlight w:val="yellow"/>
        </w:rPr>
      </w:pPr>
    </w:p>
    <w:p w14:paraId="1E098D4A" w14:textId="77777777" w:rsidR="003C3C4F" w:rsidRDefault="003C3C4F">
      <w:pPr>
        <w:rPr>
          <w:highlight w:val="yellow"/>
        </w:rPr>
      </w:pPr>
    </w:p>
    <w:p w14:paraId="6F7E16B0" w14:textId="77777777" w:rsidR="003C3C4F" w:rsidRDefault="003C3C4F">
      <w:pPr>
        <w:rPr>
          <w:highlight w:val="yellow"/>
        </w:rPr>
      </w:pPr>
    </w:p>
    <w:p w14:paraId="533950BA" w14:textId="77777777" w:rsidR="003C3C4F" w:rsidRDefault="003C3C4F">
      <w:pPr>
        <w:rPr>
          <w:highlight w:val="yellow"/>
        </w:rPr>
      </w:pPr>
    </w:p>
    <w:p w14:paraId="58DAD3E6" w14:textId="77777777" w:rsidR="003C3C4F" w:rsidRDefault="00000000">
      <w:pPr>
        <w:autoSpaceDE w:val="0"/>
        <w:spacing w:after="0"/>
        <w:rPr>
          <w:rFonts w:eastAsia="Calibri"/>
          <w:szCs w:val="24"/>
          <w:highlight w:val="yellow"/>
        </w:rPr>
      </w:pPr>
      <w:r>
        <w:rPr>
          <w:rFonts w:eastAsia="Calibri"/>
          <w:b/>
          <w:szCs w:val="24"/>
          <w:highlight w:val="yellow"/>
        </w:rPr>
        <w:t>Independent Variable</w:t>
      </w:r>
      <w:r>
        <w:rPr>
          <w:rFonts w:eastAsia="Calibri"/>
          <w:b/>
          <w:szCs w:val="24"/>
          <w:highlight w:val="yellow"/>
        </w:rPr>
        <w:tab/>
      </w:r>
      <w:r>
        <w:rPr>
          <w:rFonts w:eastAsia="Calibri"/>
          <w:szCs w:val="24"/>
          <w:highlight w:val="yellow"/>
        </w:rPr>
        <w:tab/>
        <w:t xml:space="preserve">   </w:t>
      </w:r>
      <w:r>
        <w:rPr>
          <w:rFonts w:eastAsia="Calibri"/>
          <w:b/>
          <w:szCs w:val="24"/>
          <w:highlight w:val="yellow"/>
        </w:rPr>
        <w:tab/>
      </w:r>
      <w:r>
        <w:rPr>
          <w:rFonts w:eastAsia="Calibri"/>
          <w:b/>
          <w:szCs w:val="24"/>
          <w:highlight w:val="yellow"/>
        </w:rPr>
        <w:tab/>
      </w:r>
      <w:r>
        <w:rPr>
          <w:rFonts w:eastAsia="Calibri"/>
          <w:b/>
          <w:szCs w:val="24"/>
          <w:highlight w:val="yellow"/>
        </w:rPr>
        <w:tab/>
      </w:r>
      <w:r>
        <w:rPr>
          <w:rFonts w:eastAsia="Calibri"/>
          <w:b/>
          <w:szCs w:val="24"/>
          <w:highlight w:val="yellow"/>
        </w:rPr>
        <w:tab/>
        <w:t xml:space="preserve">           Dependent Variable</w:t>
      </w:r>
      <w:r>
        <w:rPr>
          <w:noProof/>
        </w:rPr>
        <w:pict w14:anchorId="4FB648A1">
          <v:shapetype id="_x0000_t202" coordsize="21600,21600" o:spt="202" path="m,l,21600r21600,l21600,xe">
            <v:stroke joinstyle="miter"/>
            <v:path gradientshapeok="t" o:connecttype="rect"/>
          </v:shapetype>
          <v:shape id="Frame1" o:spid="_x0000_s2059" type="#_x0000_t202" style="position:absolute;left:0;text-align:left;margin-left:-16.5pt;margin-top:24.75pt;width:215.25pt;height:328.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">
            <v:textbox>
              <w:txbxContent>
                <w:p w14:paraId="59325A04" w14:textId="77777777" w:rsidR="003C3C4F" w:rsidRDefault="00000000">
                  <w:pPr>
                    <w:jc w:val="center"/>
                    <w:rPr>
                      <w:b/>
                      <w:sz w:val="20"/>
                      <w:szCs w:val="20"/>
                    </w:rPr>
                  </w:pPr>
                  <w:r>
                    <w:rPr>
                      <w:b/>
                      <w:szCs w:val="24"/>
                    </w:rPr>
                    <w:t>Financial technology</w:t>
                  </w:r>
                </w:p>
                <w:p w14:paraId="7BB430C1" w14:textId="77777777" w:rsidR="003C3C4F" w:rsidRDefault="003C3C4F">
                  <w:pPr>
                    <w:rPr>
                      <w:b/>
                      <w:sz w:val="20"/>
                      <w:szCs w:val="20"/>
                    </w:rPr>
                  </w:pPr>
                </w:p>
              </w:txbxContent>
            </v:textbox>
          </v:shape>
        </w:pict>
      </w:r>
    </w:p>
    <w:p w14:paraId="5E0000B6" w14:textId="77777777" w:rsidR="003C3C4F" w:rsidRDefault="00000000">
      <w:pPr>
        <w:tabs>
          <w:tab w:val="left" w:pos="1980"/>
        </w:tabs>
        <w:ind w:left="720"/>
        <w:rPr>
          <w:rFonts w:eastAsia="Calibri"/>
          <w:szCs w:val="24"/>
          <w:highlight w:val="yellow"/>
        </w:rPr>
      </w:pPr>
      <w:r>
        <w:rPr>
          <w:rFonts w:eastAsia="Times New Roman"/>
          <w:szCs w:val="24"/>
          <w:highlight w:val="yellow"/>
        </w:rPr>
        <w:t xml:space="preserve"> </w:t>
      </w:r>
    </w:p>
    <w:p w14:paraId="41281E02" w14:textId="77777777" w:rsidR="003C3C4F" w:rsidRDefault="00000000">
      <w:pPr>
        <w:jc w:val="center"/>
        <w:rPr>
          <w:rFonts w:eastAsia="Calibri"/>
          <w:szCs w:val="24"/>
          <w:highlight w:val="yellow"/>
        </w:rPr>
      </w:pPr>
      <w:r>
        <w:rPr>
          <w:rFonts w:eastAsia="Times New Roman"/>
          <w:szCs w:val="24"/>
          <w:highlight w:val="yellow"/>
        </w:rPr>
        <w:t xml:space="preserve"> </w:t>
      </w:r>
      <w:r>
        <w:rPr>
          <w:noProof/>
        </w:rPr>
        <w:pict w14:anchorId="2FC7D7D1">
          <v:shape id="Frame2" o:spid="_x0000_s2058" type="#_x0000_t202" style="position:absolute;left:0;text-align:left;margin-left:-9.75pt;margin-top:3.1pt;width:194.45pt;height:92.25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">
            <v:textbox>
              <w:txbxContent>
                <w:p w14:paraId="27D87D1C" w14:textId="77777777" w:rsidR="003C3C4F" w:rsidRDefault="00000000">
                  <w:pPr>
                    <w:spacing w:line="240" w:lineRule="auto"/>
                    <w:rPr>
                      <w:b/>
                      <w:szCs w:val="24"/>
                      <w:highlight w:val="yellow"/>
                    </w:rPr>
                  </w:pPr>
                  <w:r>
                    <w:rPr>
                      <w:b/>
                      <w:szCs w:val="24"/>
                      <w:highlight w:val="yellow"/>
                    </w:rPr>
                    <w:t>Automated Teller Machine</w:t>
                  </w:r>
                </w:p>
                <w:p w14:paraId="37445CF6" w14:textId="77777777" w:rsidR="003C3C4F" w:rsidRDefault="00000000">
                  <w:pPr>
                    <w:numPr>
                      <w:ilvl w:val="0"/>
                      <w:numId w:val="4"/>
                    </w:numPr>
                    <w:spacing w:after="200" w:line="276" w:lineRule="auto"/>
                    <w:contextualSpacing/>
                    <w:rPr>
                      <w:szCs w:val="24"/>
                      <w:highlight w:val="yellow"/>
                    </w:rPr>
                  </w:pPr>
                  <w:r>
                    <w:rPr>
                      <w:szCs w:val="24"/>
                      <w:highlight w:val="yellow"/>
                    </w:rPr>
                    <w:t xml:space="preserve">Frequency of ATMs withdrawals and deposits </w:t>
                  </w:r>
                </w:p>
                <w:p w14:paraId="54AF0F46" w14:textId="77777777" w:rsidR="003C3C4F" w:rsidRDefault="00000000">
                  <w:pPr>
                    <w:numPr>
                      <w:ilvl w:val="0"/>
                      <w:numId w:val="4"/>
                    </w:numPr>
                    <w:spacing w:after="200" w:line="276" w:lineRule="auto"/>
                    <w:contextualSpacing/>
                    <w:rPr>
                      <w:szCs w:val="24"/>
                      <w:highlight w:val="yellow"/>
                    </w:rPr>
                  </w:pPr>
                  <w:r>
                    <w:rPr>
                      <w:szCs w:val="24"/>
                      <w:highlight w:val="yellow"/>
                    </w:rPr>
                    <w:t>Number of ATMs available per location</w:t>
                  </w:r>
                </w:p>
              </w:txbxContent>
            </v:textbox>
          </v:shape>
        </w:pict>
      </w:r>
    </w:p>
    <w:p w14:paraId="3B140F0A" w14:textId="77777777" w:rsidR="003C3C4F" w:rsidRDefault="00000000">
      <w:pPr>
        <w:tabs>
          <w:tab w:val="left" w:pos="8656"/>
        </w:tabs>
        <w:rPr>
          <w:rFonts w:eastAsia="Calibri"/>
          <w:szCs w:val="24"/>
          <w:highlight w:val="yellow"/>
        </w:rPr>
      </w:pPr>
      <w:r>
        <w:rPr>
          <w:noProof/>
        </w:rPr>
        <w:pict w14:anchorId="67983C46">
          <v:shapetype id="_x0000_t32" coordsize="21600,21600" o:spt="32" o:oned="t" path="m,l21600,21600e" filled="f">
            <v:path arrowok="t" fillok="f" o:connecttype="none"/>
            <o:lock v:ext="edit" shapetype="t"/>
          </v:shapetype>
          <v:shape id="Straight Arrow Connector 8" o:spid="_x0000_s2057" type="#_x0000_t32" style="position:absolute;left:0;text-align:left;margin-left:197.65pt;margin-top:14.65pt;width:62.35pt;height:1.6pt;z-index:4;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" strokeweight=".26mm">
            <v:stroke endarrow="block" joinstyle="miter"/>
          </v:shape>
        </w:pict>
      </w:r>
      <w:r w:rsidR="00951AFC">
        <w:rPr>
          <w:rFonts w:eastAsia="Calibri"/>
          <w:szCs w:val="24"/>
          <w:highlight w:val="yellow"/>
        </w:rPr>
        <w:tab/>
      </w:r>
    </w:p>
    <w:p w14:paraId="0B91C415" w14:textId="77777777" w:rsidR="003C3C4F" w:rsidRDefault="00000000">
      <w:pPr>
        <w:tabs>
          <w:tab w:val="center" w:pos="4680"/>
        </w:tabs>
        <w:rPr>
          <w:rFonts w:eastAsia="Calibri"/>
          <w:szCs w:val="24"/>
          <w:highlight w:val="yellow"/>
        </w:rPr>
      </w:pPr>
      <w:r>
        <w:rPr>
          <w:rFonts w:eastAsia="Calibri"/>
          <w:szCs w:val="24"/>
          <w:highlight w:val="yellow"/>
        </w:rPr>
        <w:tab/>
      </w:r>
      <w:r>
        <w:rPr>
          <w:noProof/>
        </w:rPr>
        <w:pict w14:anchorId="1D384A70">
          <v:shape id="Frame3" o:spid="_x0000_s2056" type="#_x0000_t202" style="position:absolute;left:0;text-align:left;margin-left:341.05pt;margin-top:23.95pt;width:138.75pt;height:116.2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">
            <v:textbox>
              <w:txbxContent>
                <w:p w14:paraId="58B64B92" w14:textId="77777777" w:rsidR="003C3C4F" w:rsidRDefault="003C3C4F">
                  <w:pPr>
                    <w:spacing w:line="240" w:lineRule="auto"/>
                    <w:rPr>
                      <w:b/>
                      <w:szCs w:val="24"/>
                    </w:rPr>
                  </w:pPr>
                </w:p>
                <w:p w14:paraId="647DFDB3" w14:textId="77777777" w:rsidR="003C3C4F" w:rsidRDefault="00000000">
                  <w:pPr>
                    <w:spacing w:line="240" w:lineRule="auto"/>
                    <w:rPr>
                      <w:b/>
                      <w:szCs w:val="24"/>
                      <w:highlight w:val="yellow"/>
                    </w:rPr>
                  </w:pPr>
                  <w:r>
                    <w:rPr>
                      <w:b/>
                      <w:szCs w:val="24"/>
                      <w:highlight w:val="yellow"/>
                    </w:rPr>
                    <w:t xml:space="preserve">Bank Profitability </w:t>
                  </w:r>
                </w:p>
                <w:p w14:paraId="507A97D0" w14:textId="77777777" w:rsidR="003C3C4F" w:rsidRDefault="00000000">
                  <w:pPr>
                    <w:numPr>
                      <w:ilvl w:val="0"/>
                      <w:numId w:val="4"/>
                    </w:numPr>
                    <w:spacing w:after="200" w:line="240" w:lineRule="auto"/>
                    <w:contextualSpacing/>
                    <w:rPr>
                      <w:szCs w:val="24"/>
                      <w:highlight w:val="yellow"/>
                    </w:rPr>
                  </w:pPr>
                  <w:r>
                    <w:rPr>
                      <w:szCs w:val="24"/>
                      <w:highlight w:val="yellow"/>
                    </w:rPr>
                    <w:t>ROA</w:t>
                  </w:r>
                </w:p>
              </w:txbxContent>
            </v:textbox>
          </v:shape>
        </w:pict>
      </w:r>
    </w:p>
    <w:p w14:paraId="721C1E1C" w14:textId="77777777" w:rsidR="003C3C4F" w:rsidRDefault="00000000">
      <w:pPr>
        <w:rPr>
          <w:rFonts w:eastAsia="Calibri"/>
          <w:szCs w:val="24"/>
          <w:highlight w:val="yellow"/>
          <w:lang w:eastAsia="en-US"/>
        </w:rPr>
      </w:pPr>
      <w:r>
        <w:rPr>
          <w:noProof/>
        </w:rPr>
        <w:pict w14:anchorId="3C40D39E">
          <v:shape id="Frame4" o:spid="_x0000_s2055" type="#_x0000_t202" style="position:absolute;left:0;text-align:left;margin-left:-9.75pt;margin-top:20.55pt;width:194.45pt;height:67.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">
            <v:textbox>
              <w:txbxContent>
                <w:p w14:paraId="6081DF56" w14:textId="77777777" w:rsidR="003C3C4F" w:rsidRDefault="00000000">
                  <w:pPr>
                    <w:spacing w:line="240" w:lineRule="auto"/>
                    <w:rPr>
                      <w:szCs w:val="24"/>
                      <w:highlight w:val="yellow"/>
                    </w:rPr>
                  </w:pPr>
                  <w:r>
                    <w:rPr>
                      <w:b/>
                      <w:szCs w:val="24"/>
                      <w:highlight w:val="yellow"/>
                    </w:rPr>
                    <w:t>Internet Banking</w:t>
                  </w:r>
                </w:p>
                <w:p w14:paraId="7161BE35" w14:textId="77777777" w:rsidR="003C3C4F" w:rsidRDefault="00000000">
                  <w:pPr>
                    <w:numPr>
                      <w:ilvl w:val="0"/>
                      <w:numId w:val="5"/>
                    </w:numPr>
                    <w:spacing w:after="200" w:line="276" w:lineRule="auto"/>
                    <w:contextualSpacing/>
                    <w:jc w:val="left"/>
                    <w:rPr>
                      <w:szCs w:val="24"/>
                      <w:highlight w:val="yellow"/>
                    </w:rPr>
                  </w:pPr>
                  <w:r>
                    <w:rPr>
                      <w:szCs w:val="24"/>
                      <w:highlight w:val="yellow"/>
                    </w:rPr>
                    <w:t>Number of subscribers</w:t>
                  </w:r>
                </w:p>
                <w:p w14:paraId="4DCADA89" w14:textId="77777777" w:rsidR="003C3C4F" w:rsidRDefault="00000000">
                  <w:pPr>
                    <w:numPr>
                      <w:ilvl w:val="0"/>
                      <w:numId w:val="5"/>
                    </w:numPr>
                    <w:spacing w:after="200" w:line="276" w:lineRule="auto"/>
                    <w:contextualSpacing/>
                    <w:jc w:val="left"/>
                    <w:rPr>
                      <w:szCs w:val="24"/>
                      <w:highlight w:val="yellow"/>
                    </w:rPr>
                  </w:pPr>
                  <w:r>
                    <w:rPr>
                      <w:szCs w:val="24"/>
                      <w:highlight w:val="yellow"/>
                    </w:rPr>
                    <w:t>Number of transactions</w:t>
                  </w:r>
                </w:p>
                <w:p w14:paraId="7A2E872B" w14:textId="77777777" w:rsidR="003C3C4F" w:rsidRDefault="003C3C4F">
                  <w:pPr>
                    <w:spacing w:line="240" w:lineRule="auto"/>
                    <w:contextualSpacing/>
                    <w:rPr>
                      <w:szCs w:val="24"/>
                      <w:highlight w:val="yellow"/>
                    </w:rPr>
                  </w:pPr>
                </w:p>
                <w:p w14:paraId="66046ECF" w14:textId="77777777" w:rsidR="003C3C4F" w:rsidRDefault="003C3C4F">
                  <w:pPr>
                    <w:spacing w:line="240" w:lineRule="auto"/>
                    <w:contextualSpacing/>
                    <w:rPr>
                      <w:szCs w:val="24"/>
                    </w:rPr>
                  </w:pPr>
                </w:p>
              </w:txbxContent>
            </v:textbox>
          </v:shape>
        </w:pict>
      </w:r>
    </w:p>
    <w:p w14:paraId="3BBC1920" w14:textId="77777777" w:rsidR="003C3C4F" w:rsidRDefault="003C3C4F">
      <w:pPr>
        <w:autoSpaceDE w:val="0"/>
        <w:spacing w:after="0"/>
        <w:rPr>
          <w:rFonts w:eastAsia="Calibri"/>
          <w:szCs w:val="24"/>
          <w:highlight w:val="yellow"/>
        </w:rPr>
      </w:pPr>
    </w:p>
    <w:p w14:paraId="3A1CAB54" w14:textId="77777777" w:rsidR="003C3C4F" w:rsidRDefault="00000000">
      <w:pPr>
        <w:autoSpaceDE w:val="0"/>
        <w:spacing w:after="0"/>
        <w:rPr>
          <w:rFonts w:eastAsia="Calibri"/>
          <w:szCs w:val="24"/>
          <w:highlight w:val="yellow"/>
          <w:lang w:eastAsia="en-US"/>
        </w:rPr>
      </w:pPr>
      <w:r>
        <w:rPr>
          <w:noProof/>
        </w:rPr>
        <w:pict w14:anchorId="5BDDFCD7">
          <v:shape id="Elbow Connector 3" o:spid="_x0000_s2054" type="#_x0000_t32" style="position:absolute;left:0;text-align:left;margin-left:259pt;margin-top:-86.25pt;width:3.65pt;height:206.7pt;z-index:1;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" strokeweight=".26mm">
            <v:stroke joinstyle="miter"/>
          </v:shape>
        </w:pict>
      </w:r>
      <w:r>
        <w:rPr>
          <w:noProof/>
        </w:rPr>
        <w:pict w14:anchorId="5B0F8626">
          <v:shape id="Straight Arrow Connector 4" o:spid="_x0000_s2053" type="#_x0000_t32" style="position:absolute;left:0;text-align:left;margin-left:199.15pt;margin-top:13.55pt;width:59.9pt;height:.85pt;z-index:7;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" strokeweight=".26mm">
            <v:stroke endarrow="block" joinstyle="miter"/>
          </v:shape>
        </w:pict>
      </w:r>
      <w:r>
        <w:rPr>
          <w:noProof/>
        </w:rPr>
        <w:pict w14:anchorId="2200F21C">
          <v:shape id="Straight Arrow Connector 5" o:spid="_x0000_s2052" type="#_x0000_t32" style="position:absolute;left:0;text-align:left;margin-left:262.5pt;margin-top:14.8pt;width:81.9pt;height:.1pt;z-index:8;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" strokeweight=".26mm">
            <v:stroke endarrow="block" joinstyle="miter"/>
          </v:shape>
        </w:pict>
      </w:r>
    </w:p>
    <w:p w14:paraId="78E59306" w14:textId="77777777" w:rsidR="003C3C4F" w:rsidRDefault="003C3C4F">
      <w:pPr>
        <w:autoSpaceDE w:val="0"/>
        <w:spacing w:after="0"/>
        <w:rPr>
          <w:rFonts w:eastAsia="Calibri"/>
          <w:szCs w:val="24"/>
          <w:highlight w:val="yellow"/>
        </w:rPr>
      </w:pPr>
    </w:p>
    <w:p w14:paraId="1A464165" w14:textId="77777777" w:rsidR="003C3C4F" w:rsidRDefault="00000000">
      <w:pPr>
        <w:autoSpaceDE w:val="0"/>
        <w:spacing w:after="0"/>
        <w:rPr>
          <w:rFonts w:eastAsia="Calibri"/>
          <w:szCs w:val="24"/>
          <w:highlight w:val="yellow"/>
          <w:lang w:eastAsia="en-US"/>
        </w:rPr>
      </w:pPr>
      <w:r>
        <w:rPr>
          <w:noProof/>
        </w:rPr>
        <w:pict w14:anchorId="2BF4F854">
          <v:shape id="Frame5" o:spid="_x0000_s2051" type="#_x0000_t202" style="position:absolute;left:0;text-align:left;margin-left:-9pt;margin-top:13pt;width:193.75pt;height:105pt;z-index:9;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">
            <v:textbox>
              <w:txbxContent>
                <w:p w14:paraId="727FFBFC" w14:textId="77777777" w:rsidR="003C3C4F" w:rsidRDefault="00000000">
                  <w:pPr>
                    <w:spacing w:line="240" w:lineRule="auto"/>
                    <w:rPr>
                      <w:color w:val="FF0000"/>
                      <w:szCs w:val="24"/>
                      <w:highlight w:val="yellow"/>
                    </w:rPr>
                  </w:pPr>
                  <w:r>
                    <w:rPr>
                      <w:b/>
                      <w:szCs w:val="24"/>
                      <w:highlight w:val="yellow"/>
                    </w:rPr>
                    <w:t>Mobile banking</w:t>
                  </w:r>
                </w:p>
                <w:p w14:paraId="32F2EDCE" w14:textId="77777777" w:rsidR="003C3C4F" w:rsidRDefault="00000000">
                  <w:pPr>
                    <w:pStyle w:val="ListParagraph"/>
                    <w:numPr>
                      <w:ilvl w:val="0"/>
                      <w:numId w:val="6"/>
                    </w:numPr>
                    <w:spacing w:after="0" w:line="276" w:lineRule="auto"/>
                    <w:rPr>
                      <w:szCs w:val="24"/>
                      <w:highlight w:val="yellow"/>
                    </w:rPr>
                  </w:pPr>
                  <w:r>
                    <w:rPr>
                      <w:szCs w:val="24"/>
                      <w:highlight w:val="yellow"/>
                    </w:rPr>
                    <w:t>Accessibility</w:t>
                  </w:r>
                </w:p>
                <w:p w14:paraId="2C99CA09" w14:textId="77777777" w:rsidR="003C3C4F" w:rsidRDefault="00000000">
                  <w:pPr>
                    <w:pStyle w:val="ListParagraph"/>
                    <w:numPr>
                      <w:ilvl w:val="0"/>
                      <w:numId w:val="6"/>
                    </w:numPr>
                    <w:spacing w:after="0" w:line="276" w:lineRule="auto"/>
                    <w:rPr>
                      <w:szCs w:val="24"/>
                      <w:highlight w:val="yellow"/>
                    </w:rPr>
                  </w:pPr>
                  <w:r>
                    <w:rPr>
                      <w:szCs w:val="24"/>
                      <w:highlight w:val="yellow"/>
                    </w:rPr>
                    <w:t>Number of users</w:t>
                  </w:r>
                </w:p>
                <w:p w14:paraId="22E878B6" w14:textId="77777777" w:rsidR="003C3C4F" w:rsidRDefault="00000000">
                  <w:pPr>
                    <w:numPr>
                      <w:ilvl w:val="0"/>
                      <w:numId w:val="6"/>
                    </w:numPr>
                    <w:spacing w:after="0" w:line="276" w:lineRule="auto"/>
                    <w:contextualSpacing/>
                    <w:jc w:val="left"/>
                    <w:rPr>
                      <w:szCs w:val="24"/>
                      <w:highlight w:val="yellow"/>
                    </w:rPr>
                  </w:pPr>
                  <w:r>
                    <w:rPr>
                      <w:szCs w:val="24"/>
                      <w:highlight w:val="yellow"/>
                    </w:rPr>
                    <w:t>Number of transactions</w:t>
                  </w:r>
                </w:p>
                <w:p w14:paraId="4B6BB5DC" w14:textId="77777777" w:rsidR="003C3C4F" w:rsidRDefault="00000000">
                  <w:pPr>
                    <w:pStyle w:val="ListParagraph"/>
                    <w:numPr>
                      <w:ilvl w:val="0"/>
                      <w:numId w:val="6"/>
                    </w:numPr>
                    <w:spacing w:after="0" w:line="276" w:lineRule="auto"/>
                    <w:rPr>
                      <w:szCs w:val="24"/>
                      <w:highlight w:val="yellow"/>
                    </w:rPr>
                  </w:pPr>
                  <w:r>
                    <w:rPr>
                      <w:szCs w:val="24"/>
                      <w:highlight w:val="yellow"/>
                    </w:rPr>
                    <w:t xml:space="preserve">Resources for training </w:t>
                  </w:r>
                </w:p>
              </w:txbxContent>
            </v:textbox>
          </v:shape>
        </w:pict>
      </w:r>
    </w:p>
    <w:p w14:paraId="14478F0B" w14:textId="77777777" w:rsidR="003C3C4F" w:rsidRDefault="003C3C4F">
      <w:pPr>
        <w:autoSpaceDE w:val="0"/>
        <w:spacing w:after="0"/>
        <w:rPr>
          <w:rFonts w:eastAsia="Calibri"/>
          <w:szCs w:val="24"/>
          <w:highlight w:val="yellow"/>
        </w:rPr>
      </w:pPr>
    </w:p>
    <w:p w14:paraId="18475A30" w14:textId="77777777" w:rsidR="003C3C4F" w:rsidRDefault="003C3C4F">
      <w:pPr>
        <w:autoSpaceDE w:val="0"/>
        <w:spacing w:after="0"/>
        <w:rPr>
          <w:rFonts w:eastAsia="Calibri"/>
          <w:szCs w:val="24"/>
          <w:highlight w:val="yellow"/>
        </w:rPr>
      </w:pPr>
    </w:p>
    <w:p w14:paraId="045B97F7" w14:textId="77777777" w:rsidR="003C3C4F" w:rsidRDefault="00000000">
      <w:pPr>
        <w:autoSpaceDE w:val="0"/>
        <w:spacing w:after="0"/>
        <w:ind w:left="5040" w:firstLine="720"/>
        <w:rPr>
          <w:rFonts w:eastAsia="Calibri"/>
          <w:szCs w:val="24"/>
          <w:highlight w:val="yellow"/>
        </w:rPr>
      </w:pPr>
      <w:r>
        <w:rPr>
          <w:noProof/>
        </w:rPr>
        <w:pict w14:anchorId="5D8A9349">
          <v:shape id="Straight Arrow Connector 1" o:spid="_x0000_s2050" type="#_x0000_t32" style="position:absolute;left:0;text-align:left;margin-left:199.85pt;margin-top:16.45pt;width:62.35pt;height:.1pt;z-index:10;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" strokeweight=".26mm">
            <v:stroke endarrow="block" joinstyle="miter"/>
          </v:shape>
        </w:pict>
      </w:r>
      <w:r w:rsidR="00951AFC">
        <w:rPr>
          <w:b/>
          <w:szCs w:val="24"/>
          <w:highlight w:val="yellow"/>
        </w:rPr>
        <w:t>Figure 2.1: Conceptual Framework</w:t>
      </w:r>
    </w:p>
    <w:p w14:paraId="48E19EDE" w14:textId="77777777" w:rsidR="003C3C4F" w:rsidRDefault="00000000">
      <w:pPr>
        <w:autoSpaceDE w:val="0"/>
        <w:spacing w:after="0"/>
        <w:ind w:left="5040" w:firstLine="720"/>
        <w:rPr>
          <w:rFonts w:eastAsia="Calibri"/>
          <w:b/>
          <w:szCs w:val="24"/>
        </w:rPr>
      </w:pPr>
      <w:r>
        <w:rPr>
          <w:rFonts w:eastAsia="Calibri"/>
          <w:b/>
          <w:szCs w:val="24"/>
          <w:highlight w:val="yellow"/>
        </w:rPr>
        <w:t>Source: Researcher (2026)</w:t>
      </w:r>
    </w:p>
    <w:p w14:paraId="12989713" w14:textId="6DFB4F7B" w:rsidR="003C3C4F" w:rsidRDefault="00000000">
      <w:pPr>
        <w:pStyle w:val="Heading1"/>
        <w:keepNext/>
        <w:spacing w:line="240" w:lineRule="auto"/>
        <w:jc w:val="left"/>
        <w:rPr>
          <w:b/>
          <w:bCs/>
          <w:color w:val="000000"/>
        </w:rPr>
      </w:pPr>
      <w:bookmarkStart w:id="0" w:name="_Hlk178762087"/>
      <w:bookmarkEnd w:id="0"/>
      <w:r>
        <w:rPr>
          <w:b/>
          <w:bCs/>
          <w:color w:val="000000"/>
        </w:rPr>
        <w:lastRenderedPageBreak/>
        <w:t>3.1 METHODOLOGY</w:t>
      </w:r>
    </w:p>
    <w:p w14:paraId="02E86103" w14:textId="77777777" w:rsidR="003C3C4F" w:rsidRDefault="00000000">
      <w:r>
        <w:t xml:space="preserve">This study applied a descriptive </w:t>
      </w:r>
      <w:r>
        <w:rPr>
          <w:highlight w:val="yellow"/>
        </w:rPr>
        <w:t>r</w:t>
      </w:r>
      <w:r>
        <w:t>es</w:t>
      </w:r>
      <w:r>
        <w:rPr>
          <w:highlight w:val="yellow"/>
        </w:rPr>
        <w:t>e</w:t>
      </w:r>
      <w:r>
        <w:t>a</w:t>
      </w:r>
      <w:r>
        <w:rPr>
          <w:highlight w:val="yellow"/>
        </w:rPr>
        <w:t>rch</w:t>
      </w:r>
      <w:r>
        <w:t xml:space="preserve"> approach because it is suitable for observing and analy</w:t>
      </w:r>
      <w:r>
        <w:rPr>
          <w:highlight w:val="yellow"/>
        </w:rPr>
        <w:t>s</w:t>
      </w:r>
      <w:r>
        <w:t>ing relationships between variables without manipulating them. As Kerlinger (1973) emphasi</w:t>
      </w:r>
      <w:r>
        <w:rPr>
          <w:highlight w:val="yellow"/>
        </w:rPr>
        <w:t>s</w:t>
      </w:r>
      <w:r>
        <w:t xml:space="preserve">ed, this design is effective </w:t>
      </w:r>
      <w:r>
        <w:rPr>
          <w:highlight w:val="yellow"/>
        </w:rPr>
        <w:t>for</w:t>
      </w:r>
      <w:r>
        <w:t xml:space="preserve"> examining basic knowledge and answering important research questions. Cooper and Schindler (2003) also support this design</w:t>
      </w:r>
      <w:r>
        <w:rPr>
          <w:highlight w:val="yellow"/>
        </w:rPr>
        <w:t xml:space="preserve"> for assessing relationships such as those between</w:t>
      </w:r>
      <w:r>
        <w:t xml:space="preserve"> electronic payment techniques and bank profitability under real conditions</w:t>
      </w:r>
      <w:r>
        <w:rPr>
          <w:highlight w:val="yellow"/>
        </w:rPr>
        <w:t>;</w:t>
      </w:r>
      <w:r>
        <w:t xml:space="preserve"> in this case, </w:t>
      </w:r>
      <w:r>
        <w:rPr>
          <w:highlight w:val="yellow"/>
        </w:rPr>
        <w:t>it was used t</w:t>
      </w:r>
      <w:r>
        <w:t xml:space="preserve">o assess the natural </w:t>
      </w:r>
      <w:r>
        <w:rPr>
          <w:highlight w:val="yellow"/>
        </w:rPr>
        <w:t>re</w:t>
      </w:r>
      <w:r>
        <w:t>l</w:t>
      </w:r>
      <w:r>
        <w:rPr>
          <w:highlight w:val="yellow"/>
        </w:rPr>
        <w:t>at</w:t>
      </w:r>
      <w:r>
        <w:t>i</w:t>
      </w:r>
      <w:r>
        <w:rPr>
          <w:highlight w:val="yellow"/>
        </w:rPr>
        <w:t>o</w:t>
      </w:r>
      <w:r>
        <w:t>n</w:t>
      </w:r>
      <w:r>
        <w:rPr>
          <w:highlight w:val="yellow"/>
        </w:rPr>
        <w:t>ship</w:t>
      </w:r>
      <w:r>
        <w:t xml:space="preserve"> among the </w:t>
      </w:r>
      <w:r>
        <w:rPr>
          <w:highlight w:val="yellow"/>
        </w:rPr>
        <w:t>st</w:t>
      </w:r>
      <w:r>
        <w:t>u</w:t>
      </w:r>
      <w:r>
        <w:rPr>
          <w:highlight w:val="yellow"/>
        </w:rPr>
        <w:t>d</w:t>
      </w:r>
      <w:r>
        <w:t>y variables.</w:t>
      </w:r>
    </w:p>
    <w:p w14:paraId="27DE70E8" w14:textId="77777777" w:rsidR="003C3C4F" w:rsidRDefault="00000000">
      <w:r>
        <w:t>The target population comprised employees of 43 commercial banks approved by the CBK and active in Nairobi City County. The CBK directory provides the official listing framework for licensed commercial banking institutions in Kenya (Central Bank of Kenya, 2023b). The respondents include</w:t>
      </w:r>
      <w:r>
        <w:rPr>
          <w:highlight w:val="yellow"/>
        </w:rPr>
        <w:t>d</w:t>
      </w:r>
      <w:r>
        <w:t xml:space="preserve"> industry managers, managers, finance managers, ICT managers</w:t>
      </w:r>
      <w:r>
        <w:rPr>
          <w:highlight w:val="yellow"/>
        </w:rPr>
        <w:t>,</w:t>
      </w:r>
      <w:r>
        <w:t xml:space="preserve"> and customer relationship managers. Six people (</w:t>
      </w:r>
      <w:r>
        <w:rPr>
          <w:highlight w:val="yellow"/>
        </w:rPr>
        <w:t>one</w:t>
      </w:r>
      <w:r>
        <w:t xml:space="preserve"> person from each role, in</w:t>
      </w:r>
      <w:r>
        <w:rPr>
          <w:highlight w:val="yellow"/>
        </w:rPr>
        <w:t>cluding the in</w:t>
      </w:r>
      <w:r>
        <w:t xml:space="preserve">dustry manager) </w:t>
      </w:r>
      <w:r>
        <w:rPr>
          <w:highlight w:val="yellow"/>
        </w:rPr>
        <w:t>we</w:t>
      </w:r>
      <w:r>
        <w:t xml:space="preserve">re selected from each bank to ensure balanced </w:t>
      </w:r>
      <w:r>
        <w:rPr>
          <w:highlight w:val="yellow"/>
        </w:rPr>
        <w:t>re</w:t>
      </w:r>
      <w:r>
        <w:t>presentation, leading to a total of 258 participants (43 banks x 6 respondents). A stratified random sampling approach was used</w:t>
      </w:r>
      <w:r>
        <w:rPr>
          <w:highlight w:val="yellow"/>
        </w:rPr>
        <w:t>,</w:t>
      </w:r>
      <w:r>
        <w:t xml:space="preserve"> with respondents grouped </w:t>
      </w:r>
      <w:r>
        <w:rPr>
          <w:highlight w:val="yellow"/>
        </w:rPr>
        <w:t>accord</w:t>
      </w:r>
      <w:r>
        <w:t>in</w:t>
      </w:r>
      <w:r>
        <w:rPr>
          <w:highlight w:val="yellow"/>
        </w:rPr>
        <w:t>g</w:t>
      </w:r>
      <w:r>
        <w:t xml:space="preserve"> t</w:t>
      </w:r>
      <w:r>
        <w:rPr>
          <w:highlight w:val="yellow"/>
        </w:rPr>
        <w:t>o</w:t>
      </w:r>
      <w:r>
        <w:t xml:space="preserve"> their job roles, after which proportional selection was made using simple random sampling within each stratum. To determine the sample size, Yamane's (1967) formula for finite populations was applied, r</w:t>
      </w:r>
      <w:r>
        <w:rPr>
          <w:highlight w:val="yellow"/>
        </w:rPr>
        <w:t>esult</w:t>
      </w:r>
      <w:r>
        <w:t xml:space="preserve">ing </w:t>
      </w:r>
      <w:r>
        <w:rPr>
          <w:highlight w:val="yellow"/>
        </w:rPr>
        <w:t>in</w:t>
      </w:r>
      <w:r>
        <w:t xml:space="preserve"> a sample size of 157.</w:t>
      </w:r>
    </w:p>
    <w:p w14:paraId="1B9E2C55" w14:textId="77777777" w:rsidR="003C3C4F" w:rsidRDefault="00000000">
      <w:r>
        <w:t>The study utili</w:t>
      </w:r>
      <w:r>
        <w:rPr>
          <w:highlight w:val="yellow"/>
        </w:rPr>
        <w:t>s</w:t>
      </w:r>
      <w:r>
        <w:t>ed primary data</w:t>
      </w:r>
      <w:r>
        <w:rPr>
          <w:highlight w:val="yellow"/>
        </w:rPr>
        <w:t>,</w:t>
      </w:r>
      <w:r>
        <w:t xml:space="preserve"> w</w:t>
      </w:r>
      <w:r>
        <w:rPr>
          <w:highlight w:val="yellow"/>
        </w:rPr>
        <w:t>hich</w:t>
      </w:r>
      <w:r>
        <w:t xml:space="preserve"> </w:t>
      </w:r>
      <w:r>
        <w:rPr>
          <w:highlight w:val="yellow"/>
        </w:rPr>
        <w:t>w</w:t>
      </w:r>
      <w:r>
        <w:t>ere</w:t>
      </w:r>
      <w:r>
        <w:rPr>
          <w:highlight w:val="yellow"/>
        </w:rPr>
        <w:t xml:space="preserve"> collecte</w:t>
      </w:r>
      <w:r>
        <w:t>d using questionnaires. The questionnaire comprised five principal sections. The first se</w:t>
      </w:r>
      <w:r>
        <w:rPr>
          <w:highlight w:val="yellow"/>
        </w:rPr>
        <w:t>ction</w:t>
      </w:r>
      <w:r>
        <w:t xml:space="preserve"> gathered demographic and </w:t>
      </w:r>
      <w:r>
        <w:rPr>
          <w:highlight w:val="yellow"/>
        </w:rPr>
        <w:t>prof</w:t>
      </w:r>
      <w:r>
        <w:t>e</w:t>
      </w:r>
      <w:r>
        <w:rPr>
          <w:highlight w:val="yellow"/>
        </w:rPr>
        <w:t>ssional</w:t>
      </w:r>
      <w:r>
        <w:t xml:space="preserve"> information. The second, third</w:t>
      </w:r>
      <w:r>
        <w:rPr>
          <w:highlight w:val="yellow"/>
        </w:rPr>
        <w:t>,</w:t>
      </w:r>
      <w:r>
        <w:t xml:space="preserve"> and fourth sections gathered data on the effect</w:t>
      </w:r>
      <w:r>
        <w:rPr>
          <w:highlight w:val="yellow"/>
        </w:rPr>
        <w:t>s</w:t>
      </w:r>
      <w:r>
        <w:t xml:space="preserve"> of ATMs, IB</w:t>
      </w:r>
      <w:r>
        <w:rPr>
          <w:highlight w:val="yellow"/>
        </w:rPr>
        <w:t>,</w:t>
      </w:r>
      <w:r>
        <w:t xml:space="preserve"> and MB, respectively. The </w:t>
      </w:r>
      <w:r>
        <w:rPr>
          <w:highlight w:val="yellow"/>
        </w:rPr>
        <w:t>final</w:t>
      </w:r>
      <w:r>
        <w:t xml:space="preserve"> se</w:t>
      </w:r>
      <w:r>
        <w:rPr>
          <w:highlight w:val="yellow"/>
        </w:rPr>
        <w:t>ction</w:t>
      </w:r>
      <w:r>
        <w:t xml:space="preserve"> examine</w:t>
      </w:r>
      <w:r>
        <w:rPr>
          <w:highlight w:val="yellow"/>
        </w:rPr>
        <w:t>d</w:t>
      </w:r>
      <w:r>
        <w:t xml:space="preserve"> </w:t>
      </w:r>
      <w:r>
        <w:rPr>
          <w:highlight w:val="yellow"/>
        </w:rPr>
        <w:t>b</w:t>
      </w:r>
      <w:r>
        <w:t>an</w:t>
      </w:r>
      <w:r>
        <w:rPr>
          <w:highlight w:val="yellow"/>
        </w:rPr>
        <w:t>k</w:t>
      </w:r>
      <w:r>
        <w:t xml:space="preserve"> performance. The instrument was further assessed to ascertain </w:t>
      </w:r>
      <w:r>
        <w:rPr>
          <w:highlight w:val="yellow"/>
        </w:rPr>
        <w:t>i</w:t>
      </w:r>
      <w:r>
        <w:t>t</w:t>
      </w:r>
      <w:r>
        <w:rPr>
          <w:highlight w:val="yellow"/>
        </w:rPr>
        <w:t>s</w:t>
      </w:r>
      <w:r>
        <w:t xml:space="preserve"> reliability a</w:t>
      </w:r>
      <w:r>
        <w:rPr>
          <w:highlight w:val="yellow"/>
        </w:rPr>
        <w:t>nd</w:t>
      </w:r>
      <w:r>
        <w:t xml:space="preserve"> validity. The </w:t>
      </w:r>
      <w:r>
        <w:rPr>
          <w:highlight w:val="yellow"/>
        </w:rPr>
        <w:t>collec</w:t>
      </w:r>
      <w:r>
        <w:t>ted data w</w:t>
      </w:r>
      <w:r>
        <w:rPr>
          <w:highlight w:val="yellow"/>
        </w:rPr>
        <w:t>ere</w:t>
      </w:r>
      <w:r>
        <w:t xml:space="preserve"> cleaned and </w:t>
      </w:r>
      <w:r>
        <w:rPr>
          <w:szCs w:val="24"/>
        </w:rPr>
        <w:t xml:space="preserve">coded </w:t>
      </w:r>
      <w:r>
        <w:rPr>
          <w:szCs w:val="24"/>
          <w:highlight w:val="yellow"/>
        </w:rPr>
        <w:t>befor</w:t>
      </w:r>
      <w:r>
        <w:rPr>
          <w:szCs w:val="24"/>
        </w:rPr>
        <w:t>e under</w:t>
      </w:r>
      <w:r>
        <w:rPr>
          <w:szCs w:val="24"/>
          <w:highlight w:val="yellow"/>
        </w:rPr>
        <w:t>goi</w:t>
      </w:r>
      <w:r>
        <w:rPr>
          <w:szCs w:val="24"/>
        </w:rPr>
        <w:t>n</w:t>
      </w:r>
      <w:r>
        <w:rPr>
          <w:szCs w:val="24"/>
          <w:highlight w:val="yellow"/>
        </w:rPr>
        <w:t>g</w:t>
      </w:r>
      <w:r>
        <w:rPr>
          <w:szCs w:val="24"/>
        </w:rPr>
        <w:t xml:space="preserve"> processing and statistical computation. Inferential statistics w</w:t>
      </w:r>
      <w:r>
        <w:rPr>
          <w:szCs w:val="24"/>
          <w:highlight w:val="yellow"/>
        </w:rPr>
        <w:t>ere</w:t>
      </w:r>
      <w:r>
        <w:rPr>
          <w:szCs w:val="24"/>
        </w:rPr>
        <w:t xml:space="preserve"> u</w:t>
      </w:r>
      <w:r>
        <w:rPr>
          <w:szCs w:val="24"/>
          <w:highlight w:val="yellow"/>
        </w:rPr>
        <w:t>s</w:t>
      </w:r>
      <w:r>
        <w:rPr>
          <w:szCs w:val="24"/>
        </w:rPr>
        <w:t>ed for</w:t>
      </w:r>
      <w:r>
        <w:rPr>
          <w:szCs w:val="24"/>
          <w:highlight w:val="yellow"/>
        </w:rPr>
        <w:t xml:space="preserve"> the</w:t>
      </w:r>
      <w:r>
        <w:rPr>
          <w:szCs w:val="24"/>
        </w:rPr>
        <w:t xml:space="preserve"> analysis. </w:t>
      </w:r>
      <w:r>
        <w:rPr>
          <w:szCs w:val="24"/>
          <w:highlight w:val="yellow"/>
        </w:rPr>
        <w:t>S</w:t>
      </w:r>
      <w:r>
        <w:rPr>
          <w:szCs w:val="24"/>
        </w:rPr>
        <w:t>tatistical m</w:t>
      </w:r>
      <w:r>
        <w:rPr>
          <w:szCs w:val="24"/>
          <w:highlight w:val="yellow"/>
        </w:rPr>
        <w:t>eas</w:t>
      </w:r>
      <w:r>
        <w:rPr>
          <w:szCs w:val="24"/>
        </w:rPr>
        <w:t>u</w:t>
      </w:r>
      <w:r>
        <w:rPr>
          <w:szCs w:val="24"/>
          <w:highlight w:val="yellow"/>
        </w:rPr>
        <w:t>re</w:t>
      </w:r>
      <w:r>
        <w:rPr>
          <w:szCs w:val="24"/>
        </w:rPr>
        <w:t>s, includ</w:t>
      </w:r>
      <w:r>
        <w:rPr>
          <w:szCs w:val="24"/>
          <w:highlight w:val="yellow"/>
        </w:rPr>
        <w:t>ing</w:t>
      </w:r>
      <w:r>
        <w:rPr>
          <w:szCs w:val="24"/>
        </w:rPr>
        <w:t xml:space="preserve"> means, standard deviations, correlations</w:t>
      </w:r>
      <w:r>
        <w:rPr>
          <w:szCs w:val="24"/>
          <w:highlight w:val="yellow"/>
        </w:rPr>
        <w:t>,</w:t>
      </w:r>
      <w:r>
        <w:rPr>
          <w:szCs w:val="24"/>
        </w:rPr>
        <w:t xml:space="preserve"> and regression e</w:t>
      </w:r>
      <w:r>
        <w:rPr>
          <w:szCs w:val="24"/>
          <w:highlight w:val="yellow"/>
        </w:rPr>
        <w:t>stim</w:t>
      </w:r>
      <w:r>
        <w:rPr>
          <w:szCs w:val="24"/>
        </w:rPr>
        <w:t>at</w:t>
      </w:r>
      <w:r>
        <w:rPr>
          <w:szCs w:val="24"/>
          <w:highlight w:val="yellow"/>
        </w:rPr>
        <w:t>es,</w:t>
      </w:r>
      <w:r>
        <w:rPr>
          <w:szCs w:val="24"/>
        </w:rPr>
        <w:t xml:space="preserve"> were displayed in table</w:t>
      </w:r>
      <w:r>
        <w:rPr>
          <w:szCs w:val="24"/>
          <w:highlight w:val="yellow"/>
        </w:rPr>
        <w:t>s</w:t>
      </w:r>
      <w:r>
        <w:rPr>
          <w:szCs w:val="24"/>
        </w:rPr>
        <w:t xml:space="preserve">. The </w:t>
      </w:r>
      <w:r>
        <w:rPr>
          <w:szCs w:val="24"/>
          <w:highlight w:val="yellow"/>
        </w:rPr>
        <w:t>re</w:t>
      </w:r>
      <w:r>
        <w:rPr>
          <w:szCs w:val="24"/>
        </w:rPr>
        <w:t>l</w:t>
      </w:r>
      <w:r>
        <w:rPr>
          <w:szCs w:val="24"/>
          <w:highlight w:val="yellow"/>
        </w:rPr>
        <w:t>at</w:t>
      </w:r>
      <w:r>
        <w:rPr>
          <w:szCs w:val="24"/>
        </w:rPr>
        <w:t>ions</w:t>
      </w:r>
      <w:r>
        <w:rPr>
          <w:szCs w:val="24"/>
          <w:highlight w:val="yellow"/>
        </w:rPr>
        <w:t>hip be</w:t>
      </w:r>
      <w:r>
        <w:rPr>
          <w:szCs w:val="24"/>
        </w:rPr>
        <w:t>t</w:t>
      </w:r>
      <w:r>
        <w:rPr>
          <w:szCs w:val="24"/>
          <w:highlight w:val="yellow"/>
        </w:rPr>
        <w:t>ween</w:t>
      </w:r>
      <w:r>
        <w:rPr>
          <w:szCs w:val="24"/>
        </w:rPr>
        <w:t xml:space="preserve"> the dependent variable (bank profitability) and </w:t>
      </w:r>
      <w:r>
        <w:rPr>
          <w:szCs w:val="24"/>
          <w:highlight w:val="yellow"/>
        </w:rPr>
        <w:t xml:space="preserve">the </w:t>
      </w:r>
      <w:r>
        <w:rPr>
          <w:szCs w:val="24"/>
        </w:rPr>
        <w:t>independent variables (EPS) was mode</w:t>
      </w:r>
      <w:r>
        <w:rPr>
          <w:szCs w:val="24"/>
          <w:highlight w:val="yellow"/>
        </w:rPr>
        <w:t>l</w:t>
      </w:r>
      <w:r>
        <w:rPr>
          <w:szCs w:val="24"/>
        </w:rPr>
        <w:t>led using multiple regression as follows:</w:t>
      </w:r>
    </w:p>
    <w:p w14:paraId="1E177E44" w14:textId="77777777" w:rsidR="003C3C4F" w:rsidRDefault="00000000">
      <w:pPr>
        <w:rPr>
          <w:color w:val="000000"/>
          <w:szCs w:val="24"/>
        </w:rPr>
      </w:pPr>
      <w:r>
        <w:rPr>
          <w:rFonts w:ascii="Cambria Math" w:hAnsi="Cambria Math" w:cs="Cambria Math"/>
          <w:color w:val="000000"/>
          <w:szCs w:val="24"/>
        </w:rPr>
        <w:t>𝑌</w:t>
      </w:r>
      <w:r>
        <w:rPr>
          <w:color w:val="000000"/>
          <w:szCs w:val="24"/>
        </w:rPr>
        <w:t>=</w:t>
      </w:r>
      <w:r>
        <w:rPr>
          <w:rFonts w:ascii="Cambria Math" w:hAnsi="Cambria Math" w:cs="Cambria Math"/>
          <w:color w:val="000000"/>
          <w:szCs w:val="24"/>
        </w:rPr>
        <w:t>𝛽</w:t>
      </w:r>
      <w:r>
        <w:rPr>
          <w:color w:val="000000"/>
          <w:szCs w:val="24"/>
        </w:rPr>
        <w:t>0+</w:t>
      </w:r>
      <w:r>
        <w:rPr>
          <w:rFonts w:ascii="Cambria Math" w:hAnsi="Cambria Math" w:cs="Cambria Math"/>
          <w:color w:val="000000"/>
          <w:szCs w:val="24"/>
        </w:rPr>
        <w:t>𝛽</w:t>
      </w:r>
      <w:r>
        <w:rPr>
          <w:color w:val="000000"/>
          <w:szCs w:val="24"/>
        </w:rPr>
        <w:t>1</w:t>
      </w:r>
      <w:r>
        <w:rPr>
          <w:rFonts w:ascii="Cambria Math" w:hAnsi="Cambria Math" w:cs="Cambria Math"/>
          <w:color w:val="000000"/>
          <w:szCs w:val="24"/>
        </w:rPr>
        <w:t>𝑋</w:t>
      </w:r>
      <w:r>
        <w:rPr>
          <w:color w:val="000000"/>
          <w:szCs w:val="24"/>
        </w:rPr>
        <w:t>1+</w:t>
      </w:r>
      <w:r>
        <w:rPr>
          <w:rFonts w:ascii="Cambria Math" w:hAnsi="Cambria Math" w:cs="Cambria Math"/>
          <w:color w:val="000000"/>
          <w:szCs w:val="24"/>
        </w:rPr>
        <w:t>𝛽</w:t>
      </w:r>
      <w:r>
        <w:rPr>
          <w:color w:val="000000"/>
          <w:szCs w:val="24"/>
        </w:rPr>
        <w:t>2</w:t>
      </w:r>
      <w:r>
        <w:rPr>
          <w:rFonts w:ascii="Cambria Math" w:hAnsi="Cambria Math" w:cs="Cambria Math"/>
          <w:color w:val="000000"/>
          <w:szCs w:val="24"/>
        </w:rPr>
        <w:t>𝑋</w:t>
      </w:r>
      <w:r>
        <w:rPr>
          <w:color w:val="000000"/>
          <w:szCs w:val="24"/>
        </w:rPr>
        <w:t>2+</w:t>
      </w:r>
      <w:r>
        <w:rPr>
          <w:rFonts w:ascii="Cambria Math" w:hAnsi="Cambria Math" w:cs="Cambria Math"/>
          <w:color w:val="000000"/>
          <w:szCs w:val="24"/>
        </w:rPr>
        <w:t>𝛽</w:t>
      </w:r>
      <w:r>
        <w:rPr>
          <w:color w:val="000000"/>
          <w:szCs w:val="24"/>
        </w:rPr>
        <w:t>3</w:t>
      </w:r>
      <w:r>
        <w:rPr>
          <w:rFonts w:ascii="Cambria Math" w:hAnsi="Cambria Math" w:cs="Cambria Math"/>
          <w:color w:val="000000"/>
          <w:szCs w:val="24"/>
        </w:rPr>
        <w:t>𝑋</w:t>
      </w:r>
      <w:r>
        <w:rPr>
          <w:color w:val="000000"/>
          <w:szCs w:val="24"/>
        </w:rPr>
        <w:t>3+</w:t>
      </w:r>
      <w:r>
        <w:rPr>
          <w:rFonts w:ascii="Cambria Math" w:hAnsi="Cambria Math" w:cs="Cambria Math"/>
          <w:color w:val="000000"/>
          <w:szCs w:val="24"/>
        </w:rPr>
        <w:t>𝜀</w:t>
      </w:r>
    </w:p>
    <w:p w14:paraId="0653B1D3" w14:textId="77777777" w:rsidR="003C3C4F" w:rsidRDefault="00000000">
      <w:pPr>
        <w:rPr>
          <w:color w:val="000000"/>
          <w:szCs w:val="24"/>
        </w:rPr>
      </w:pPr>
      <w:r>
        <w:rPr>
          <w:color w:val="000000"/>
          <w:szCs w:val="24"/>
        </w:rPr>
        <w:lastRenderedPageBreak/>
        <w:t>Where:</w:t>
      </w:r>
    </w:p>
    <w:p w14:paraId="53D9AB31" w14:textId="77777777" w:rsidR="003C3C4F" w:rsidRDefault="00000000">
      <w:pPr>
        <w:rPr>
          <w:color w:val="000000"/>
          <w:szCs w:val="24"/>
        </w:rPr>
      </w:pPr>
      <w:r>
        <w:rPr>
          <w:color w:val="000000"/>
          <w:szCs w:val="24"/>
        </w:rPr>
        <w:t>Y = Bank Profitability, β₀ = Intercept, X₁ = ATM usage, X₂ = Internet banking, X₃ = Mobile banking, β₁–β₃ = Coefficients of respective variables, and ε = Error term</w:t>
      </w:r>
      <w:r>
        <w:t>.</w:t>
      </w:r>
    </w:p>
    <w:p w14:paraId="608951D6" w14:textId="77777777" w:rsidR="003C3C4F" w:rsidRDefault="00000000">
      <w:pPr>
        <w:pStyle w:val="Heading1"/>
        <w:spacing w:before="0" w:line="240" w:lineRule="auto"/>
        <w:jc w:val="left"/>
        <w:rPr>
          <w:b/>
          <w:color w:val="000000"/>
        </w:rPr>
      </w:pPr>
      <w:r>
        <w:rPr>
          <w:b/>
          <w:color w:val="000000"/>
        </w:rPr>
        <w:t>4.0 DATA ANALYSIS AND DISCUSSIONS</w:t>
      </w:r>
    </w:p>
    <w:p w14:paraId="0F15732F" w14:textId="77777777" w:rsidR="003C3C4F" w:rsidRDefault="00000000">
      <w:pPr>
        <w:pStyle w:val="Heading2"/>
      </w:pPr>
      <w:r>
        <w:t>4.1 Regression Analysis Results</w:t>
      </w:r>
    </w:p>
    <w:p w14:paraId="44F08FE4" w14:textId="77777777" w:rsidR="003C3C4F" w:rsidRDefault="00000000">
      <w:pPr>
        <w:pStyle w:val="Heading3"/>
      </w:pPr>
      <w:r>
        <w:t>4.1.1 Regression Model Summary</w:t>
      </w:r>
    </w:p>
    <w:p w14:paraId="5BCCF20C" w14:textId="77777777" w:rsidR="003C3C4F" w:rsidRDefault="00000000">
      <w:r>
        <w:t>To examine h</w:t>
      </w:r>
      <w:r>
        <w:rPr>
          <w:highlight w:val="yellow"/>
        </w:rPr>
        <w:t>ow</w:t>
      </w:r>
      <w:r>
        <w:t xml:space="preserve"> effective</w:t>
      </w:r>
      <w:r>
        <w:rPr>
          <w:highlight w:val="yellow"/>
        </w:rPr>
        <w:t>ly</w:t>
      </w:r>
      <w:r>
        <w:t xml:space="preserve"> the regression model explains changes in bank profitability</w:t>
      </w:r>
      <w:r>
        <w:rPr>
          <w:highlight w:val="yellow"/>
        </w:rPr>
        <w:t>,</w:t>
      </w:r>
      <w:r>
        <w:t xml:space="preserve"> </w:t>
      </w:r>
      <w:r>
        <w:rPr>
          <w:highlight w:val="yellow"/>
        </w:rPr>
        <w:t>a mod</w:t>
      </w:r>
      <w:r>
        <w:t>e</w:t>
      </w:r>
      <w:r>
        <w:rPr>
          <w:highlight w:val="yellow"/>
        </w:rPr>
        <w:t>l</w:t>
      </w:r>
      <w:r>
        <w:t xml:space="preserve"> summary was </w:t>
      </w:r>
      <w:r>
        <w:rPr>
          <w:highlight w:val="yellow"/>
        </w:rPr>
        <w:t>p</w:t>
      </w:r>
      <w:r>
        <w:t>r</w:t>
      </w:r>
      <w:r>
        <w:rPr>
          <w:highlight w:val="yellow"/>
        </w:rPr>
        <w:t>ep</w:t>
      </w:r>
      <w:r>
        <w:t>a</w:t>
      </w:r>
      <w:r>
        <w:rPr>
          <w:highlight w:val="yellow"/>
        </w:rPr>
        <w:t>r</w:t>
      </w:r>
      <w:r>
        <w:t xml:space="preserve">ed. </w:t>
      </w:r>
      <w:r>
        <w:rPr>
          <w:highlight w:val="yellow"/>
        </w:rPr>
        <w:t>It</w:t>
      </w:r>
      <w:r>
        <w:t xml:space="preserve"> provides key statistics</w:t>
      </w:r>
      <w:r>
        <w:rPr>
          <w:highlight w:val="yellow"/>
        </w:rPr>
        <w:t>,</w:t>
      </w:r>
      <w:r>
        <w:t xml:space="preserve"> includ</w:t>
      </w:r>
      <w:r>
        <w:rPr>
          <w:highlight w:val="yellow"/>
        </w:rPr>
        <w:t>ing</w:t>
      </w:r>
      <w:r>
        <w:t xml:space="preserve"> the </w:t>
      </w:r>
      <w:r>
        <w:rPr>
          <w:highlight w:val="yellow"/>
        </w:rPr>
        <w:t>c</w:t>
      </w:r>
      <w:r>
        <w:t xml:space="preserve">orrelation </w:t>
      </w:r>
      <w:r>
        <w:rPr>
          <w:highlight w:val="yellow"/>
        </w:rPr>
        <w:t>c</w:t>
      </w:r>
      <w:r>
        <w:t xml:space="preserve">oefficient, </w:t>
      </w:r>
      <w:r>
        <w:rPr>
          <w:highlight w:val="yellow"/>
        </w:rPr>
        <w:t>c</w:t>
      </w:r>
      <w:r>
        <w:t>oefficient of determination, adjusted coefficient of determination</w:t>
      </w:r>
      <w:r>
        <w:rPr>
          <w:highlight w:val="yellow"/>
        </w:rPr>
        <w:t>,</w:t>
      </w:r>
      <w:r>
        <w:t xml:space="preserve"> and standard error of the estimat</w:t>
      </w:r>
      <w:r>
        <w:rPr>
          <w:highlight w:val="yellow"/>
        </w:rPr>
        <w:t>e</w:t>
      </w:r>
      <w:r>
        <w:t xml:space="preserve">. These measures indicate how effectively the electronic banking variables account for differences in ROA among commercial banks in NCC. The outcome denoted a strong favourable </w:t>
      </w:r>
      <w:r>
        <w:rPr>
          <w:highlight w:val="yellow"/>
        </w:rPr>
        <w:t>re</w:t>
      </w:r>
      <w:r>
        <w:t>l</w:t>
      </w:r>
      <w:r>
        <w:rPr>
          <w:highlight w:val="yellow"/>
        </w:rPr>
        <w:t>at</w:t>
      </w:r>
      <w:r>
        <w:t>ions</w:t>
      </w:r>
      <w:r>
        <w:rPr>
          <w:highlight w:val="yellow"/>
        </w:rPr>
        <w:t>hip be</w:t>
      </w:r>
      <w:r>
        <w:t>t</w:t>
      </w:r>
      <w:r>
        <w:rPr>
          <w:highlight w:val="yellow"/>
        </w:rPr>
        <w:t>ween</w:t>
      </w:r>
      <w:r>
        <w:t xml:space="preserve"> electronic banking technologies and bank profitability</w:t>
      </w:r>
      <w:r>
        <w:rPr>
          <w:highlight w:val="yellow"/>
        </w:rPr>
        <w:t>,</w:t>
      </w:r>
      <w:r>
        <w:t xml:space="preserve"> as shown by a correlation coefficient of 0.742. The R-square value of 0.551 </w:t>
      </w:r>
      <w:r>
        <w:rPr>
          <w:highlight w:val="yellow"/>
        </w:rPr>
        <w:t>in</w:t>
      </w:r>
      <w:r>
        <w:t>d</w:t>
      </w:r>
      <w:r>
        <w:rPr>
          <w:highlight w:val="yellow"/>
        </w:rPr>
        <w:t>ica</w:t>
      </w:r>
      <w:r>
        <w:t>tes that ATM, MB</w:t>
      </w:r>
      <w:r>
        <w:rPr>
          <w:highlight w:val="yellow"/>
        </w:rPr>
        <w:t>,</w:t>
      </w:r>
      <w:r>
        <w:t xml:space="preserve"> and IB </w:t>
      </w:r>
      <w:r>
        <w:rPr>
          <w:highlight w:val="yellow"/>
        </w:rPr>
        <w:t>joi</w:t>
      </w:r>
      <w:r>
        <w:t>n</w:t>
      </w:r>
      <w:r>
        <w:rPr>
          <w:highlight w:val="yellow"/>
        </w:rPr>
        <w:t>t</w:t>
      </w:r>
      <w:r>
        <w:t>ly explain 55.1% of the variation in Return on Assets. A</w:t>
      </w:r>
      <w:r>
        <w:rPr>
          <w:highlight w:val="yellow"/>
        </w:rPr>
        <w:t>fter taking</w:t>
      </w:r>
      <w:r>
        <w:t xml:space="preserve"> the number of predictors into </w:t>
      </w:r>
      <w:r>
        <w:rPr>
          <w:highlight w:val="yellow"/>
        </w:rPr>
        <w:t>ac</w:t>
      </w:r>
      <w:r>
        <w:t>co</w:t>
      </w:r>
      <w:r>
        <w:rPr>
          <w:highlight w:val="yellow"/>
        </w:rPr>
        <w:t>u</w:t>
      </w:r>
      <w:r>
        <w:t>nt, the adjusted R-square of 0.527</w:t>
      </w:r>
      <w:r>
        <w:rPr>
          <w:highlight w:val="yellow"/>
        </w:rPr>
        <w:t xml:space="preserve"> indicates that</w:t>
      </w:r>
      <w:r>
        <w:t xml:space="preserve"> the model still retains a high level of e</w:t>
      </w:r>
      <w:r>
        <w:rPr>
          <w:highlight w:val="yellow"/>
        </w:rPr>
        <w:t>xplanato</w:t>
      </w:r>
      <w:r>
        <w:t>r</w:t>
      </w:r>
      <w:r>
        <w:rPr>
          <w:highlight w:val="yellow"/>
        </w:rPr>
        <w:t>y</w:t>
      </w:r>
      <w:r>
        <w:t xml:space="preserve"> strength</w:t>
      </w:r>
      <w:r>
        <w:rPr>
          <w:highlight w:val="yellow"/>
        </w:rPr>
        <w:t>,</w:t>
      </w:r>
      <w:r>
        <w:t xml:space="preserve"> which </w:t>
      </w:r>
      <w:r>
        <w:rPr>
          <w:highlight w:val="yellow"/>
        </w:rPr>
        <w:t>supp</w:t>
      </w:r>
      <w:r>
        <w:t>or</w:t>
      </w:r>
      <w:r>
        <w:rPr>
          <w:highlight w:val="yellow"/>
        </w:rPr>
        <w:t>t</w:t>
      </w:r>
      <w:r>
        <w:t>s the explanation of bank profitability.</w:t>
      </w:r>
    </w:p>
    <w:p w14:paraId="606E967E" w14:textId="77777777" w:rsidR="003C3C4F" w:rsidRDefault="00000000">
      <w:pPr>
        <w:rPr>
          <w:b/>
        </w:rPr>
      </w:pPr>
      <w:r>
        <w:rPr>
          <w:b/>
        </w:rPr>
        <w:t>Table 1: Regression Model Summary</w:t>
      </w:r>
    </w:p>
    <w:tbl>
      <w:tblPr>
        <w:tblW w:w="5000" w:type="pct"/>
        <w:tblInd w:w="108" w:type="dxa"/>
        <w:tblLayout w:type="fixed"/>
        <w:tblLook w:val="04A0" w:firstRow="1" w:lastRow="0" w:firstColumn="1" w:lastColumn="0" w:noHBand="0" w:noVBand="1"/>
      </w:tblPr>
      <w:tblGrid>
        <w:gridCol w:w="1466"/>
        <w:gridCol w:w="1469"/>
        <w:gridCol w:w="1469"/>
        <w:gridCol w:w="2222"/>
        <w:gridCol w:w="2950"/>
      </w:tblGrid>
      <w:tr w:rsidR="003C3C4F" w14:paraId="5D197A25" w14:textId="77777777">
        <w:trPr>
          <w:trHeight w:val="300"/>
        </w:trPr>
        <w:tc>
          <w:tcPr>
            <w:tcW w:w="1433" w:type="dxa"/>
            <w:tcBorders>
              <w:top w:val="single" w:sz="4" w:space="0" w:color="000000"/>
              <w:bottom w:val="single" w:sz="4" w:space="0" w:color="000000"/>
            </w:tcBorders>
            <w:vAlign w:val="center"/>
          </w:tcPr>
          <w:p w14:paraId="0D903B57" w14:textId="77777777" w:rsidR="003C3C4F" w:rsidRDefault="00000000">
            <w:pPr>
              <w:spacing w:after="0" w:line="240" w:lineRule="auto"/>
              <w:jc w:val="center"/>
              <w:rPr>
                <w:rFonts w:eastAsia="Times New Roman"/>
                <w:b/>
                <w:bCs/>
                <w:color w:val="000000"/>
                <w:szCs w:val="24"/>
              </w:rPr>
            </w:pPr>
            <w:r>
              <w:rPr>
                <w:rFonts w:eastAsia="Times New Roman"/>
                <w:b/>
                <w:bCs/>
                <w:color w:val="000000"/>
                <w:szCs w:val="24"/>
              </w:rPr>
              <w:t>Model</w:t>
            </w:r>
          </w:p>
        </w:tc>
        <w:tc>
          <w:tcPr>
            <w:tcW w:w="1436" w:type="dxa"/>
            <w:tcBorders>
              <w:top w:val="single" w:sz="4" w:space="0" w:color="000000"/>
              <w:bottom w:val="single" w:sz="4" w:space="0" w:color="000000"/>
            </w:tcBorders>
            <w:vAlign w:val="center"/>
          </w:tcPr>
          <w:p w14:paraId="71412ABB" w14:textId="77777777" w:rsidR="003C3C4F" w:rsidRDefault="00000000">
            <w:pPr>
              <w:spacing w:after="0" w:line="240" w:lineRule="auto"/>
              <w:jc w:val="center"/>
              <w:rPr>
                <w:rFonts w:eastAsia="Times New Roman"/>
                <w:b/>
                <w:bCs/>
                <w:color w:val="000000"/>
                <w:szCs w:val="24"/>
              </w:rPr>
            </w:pPr>
            <w:r>
              <w:rPr>
                <w:rFonts w:eastAsia="Times New Roman"/>
                <w:b/>
                <w:bCs/>
                <w:color w:val="000000"/>
                <w:szCs w:val="24"/>
              </w:rPr>
              <w:t>R</w:t>
            </w:r>
          </w:p>
        </w:tc>
        <w:tc>
          <w:tcPr>
            <w:tcW w:w="1436" w:type="dxa"/>
            <w:tcBorders>
              <w:top w:val="single" w:sz="4" w:space="0" w:color="000000"/>
              <w:bottom w:val="single" w:sz="4" w:space="0" w:color="000000"/>
            </w:tcBorders>
            <w:vAlign w:val="center"/>
          </w:tcPr>
          <w:p w14:paraId="6C1135A0" w14:textId="77777777" w:rsidR="003C3C4F" w:rsidRDefault="00000000">
            <w:pPr>
              <w:spacing w:after="0" w:line="240" w:lineRule="auto"/>
              <w:jc w:val="center"/>
              <w:rPr>
                <w:rFonts w:eastAsia="Times New Roman"/>
                <w:b/>
                <w:bCs/>
                <w:color w:val="000000"/>
                <w:szCs w:val="24"/>
              </w:rPr>
            </w:pPr>
            <w:r>
              <w:rPr>
                <w:rFonts w:eastAsia="Times New Roman"/>
                <w:b/>
                <w:bCs/>
                <w:color w:val="000000"/>
                <w:szCs w:val="24"/>
              </w:rPr>
              <w:t>R Square</w:t>
            </w:r>
          </w:p>
        </w:tc>
        <w:tc>
          <w:tcPr>
            <w:tcW w:w="2172" w:type="dxa"/>
            <w:tcBorders>
              <w:top w:val="single" w:sz="4" w:space="0" w:color="000000"/>
              <w:bottom w:val="single" w:sz="4" w:space="0" w:color="000000"/>
            </w:tcBorders>
            <w:vAlign w:val="center"/>
          </w:tcPr>
          <w:p w14:paraId="6B433854" w14:textId="77777777" w:rsidR="003C3C4F" w:rsidRDefault="00000000">
            <w:pPr>
              <w:spacing w:after="0" w:line="240" w:lineRule="auto"/>
              <w:jc w:val="center"/>
              <w:rPr>
                <w:rFonts w:eastAsia="Times New Roman"/>
                <w:b/>
                <w:bCs/>
                <w:color w:val="000000"/>
                <w:szCs w:val="24"/>
              </w:rPr>
            </w:pPr>
            <w:r>
              <w:rPr>
                <w:rFonts w:eastAsia="Times New Roman"/>
                <w:b/>
                <w:bCs/>
                <w:color w:val="000000"/>
                <w:szCs w:val="24"/>
              </w:rPr>
              <w:t>Adjusted R Square</w:t>
            </w:r>
          </w:p>
        </w:tc>
        <w:tc>
          <w:tcPr>
            <w:tcW w:w="2883" w:type="dxa"/>
            <w:tcBorders>
              <w:top w:val="single" w:sz="4" w:space="0" w:color="000000"/>
              <w:bottom w:val="single" w:sz="4" w:space="0" w:color="000000"/>
            </w:tcBorders>
            <w:vAlign w:val="center"/>
          </w:tcPr>
          <w:p w14:paraId="0CD4DC70" w14:textId="77777777" w:rsidR="003C3C4F" w:rsidRDefault="00000000">
            <w:pPr>
              <w:spacing w:after="0" w:line="240" w:lineRule="auto"/>
              <w:jc w:val="center"/>
              <w:rPr>
                <w:rFonts w:eastAsia="Times New Roman"/>
                <w:b/>
                <w:bCs/>
                <w:color w:val="000000"/>
                <w:szCs w:val="24"/>
              </w:rPr>
            </w:pPr>
            <w:r>
              <w:rPr>
                <w:rFonts w:eastAsia="Times New Roman"/>
                <w:b/>
                <w:bCs/>
                <w:color w:val="000000"/>
                <w:szCs w:val="24"/>
              </w:rPr>
              <w:t>Std. Error of the Estimate</w:t>
            </w:r>
          </w:p>
        </w:tc>
      </w:tr>
      <w:tr w:rsidR="003C3C4F" w14:paraId="61395949" w14:textId="77777777">
        <w:trPr>
          <w:trHeight w:val="300"/>
        </w:trPr>
        <w:tc>
          <w:tcPr>
            <w:tcW w:w="1433" w:type="dxa"/>
            <w:tcBorders>
              <w:top w:val="single" w:sz="4" w:space="0" w:color="000000"/>
              <w:bottom w:val="single" w:sz="4" w:space="0" w:color="000000"/>
            </w:tcBorders>
            <w:vAlign w:val="center"/>
          </w:tcPr>
          <w:p w14:paraId="356FC5E4" w14:textId="77777777" w:rsidR="003C3C4F" w:rsidRDefault="00000000">
            <w:pPr>
              <w:spacing w:after="0" w:line="240" w:lineRule="auto"/>
              <w:jc w:val="right"/>
              <w:rPr>
                <w:rFonts w:eastAsia="Times New Roman"/>
                <w:color w:val="000000"/>
                <w:szCs w:val="24"/>
              </w:rPr>
            </w:pPr>
            <w:r>
              <w:rPr>
                <w:rFonts w:eastAsia="Times New Roman"/>
                <w:color w:val="000000"/>
                <w:szCs w:val="24"/>
              </w:rPr>
              <w:t>1</w:t>
            </w:r>
          </w:p>
        </w:tc>
        <w:tc>
          <w:tcPr>
            <w:tcW w:w="1436" w:type="dxa"/>
            <w:tcBorders>
              <w:top w:val="single" w:sz="4" w:space="0" w:color="000000"/>
              <w:bottom w:val="single" w:sz="4" w:space="0" w:color="000000"/>
            </w:tcBorders>
            <w:vAlign w:val="center"/>
          </w:tcPr>
          <w:p w14:paraId="1C079D9D" w14:textId="77777777" w:rsidR="003C3C4F" w:rsidRDefault="00000000">
            <w:pPr>
              <w:spacing w:after="0" w:line="240" w:lineRule="auto"/>
              <w:jc w:val="right"/>
              <w:rPr>
                <w:rFonts w:eastAsia="Times New Roman"/>
                <w:color w:val="000000"/>
                <w:szCs w:val="24"/>
              </w:rPr>
            </w:pPr>
            <w:r>
              <w:rPr>
                <w:rFonts w:eastAsia="Times New Roman"/>
                <w:color w:val="000000"/>
                <w:szCs w:val="24"/>
              </w:rPr>
              <w:t>0.742</w:t>
            </w:r>
          </w:p>
        </w:tc>
        <w:tc>
          <w:tcPr>
            <w:tcW w:w="1436" w:type="dxa"/>
            <w:tcBorders>
              <w:top w:val="single" w:sz="4" w:space="0" w:color="000000"/>
              <w:bottom w:val="single" w:sz="4" w:space="0" w:color="000000"/>
            </w:tcBorders>
            <w:vAlign w:val="center"/>
          </w:tcPr>
          <w:p w14:paraId="6B364515" w14:textId="77777777" w:rsidR="003C3C4F" w:rsidRDefault="00000000">
            <w:pPr>
              <w:spacing w:after="0" w:line="240" w:lineRule="auto"/>
              <w:jc w:val="right"/>
              <w:rPr>
                <w:rFonts w:eastAsia="Times New Roman"/>
                <w:color w:val="000000"/>
                <w:szCs w:val="24"/>
              </w:rPr>
            </w:pPr>
            <w:r>
              <w:rPr>
                <w:rFonts w:eastAsia="Times New Roman"/>
                <w:color w:val="000000"/>
                <w:szCs w:val="24"/>
              </w:rPr>
              <w:t>0.551</w:t>
            </w:r>
          </w:p>
        </w:tc>
        <w:tc>
          <w:tcPr>
            <w:tcW w:w="2172" w:type="dxa"/>
            <w:tcBorders>
              <w:top w:val="single" w:sz="4" w:space="0" w:color="000000"/>
              <w:bottom w:val="single" w:sz="4" w:space="0" w:color="000000"/>
            </w:tcBorders>
            <w:vAlign w:val="center"/>
          </w:tcPr>
          <w:p w14:paraId="1C05278C" w14:textId="77777777" w:rsidR="003C3C4F" w:rsidRDefault="00000000">
            <w:pPr>
              <w:spacing w:after="0" w:line="240" w:lineRule="auto"/>
              <w:jc w:val="right"/>
              <w:rPr>
                <w:rFonts w:eastAsia="Times New Roman"/>
                <w:color w:val="000000"/>
                <w:szCs w:val="24"/>
              </w:rPr>
            </w:pPr>
            <w:r>
              <w:rPr>
                <w:rFonts w:eastAsia="Times New Roman"/>
                <w:color w:val="000000"/>
                <w:szCs w:val="24"/>
              </w:rPr>
              <w:t>0.527</w:t>
            </w:r>
          </w:p>
        </w:tc>
        <w:tc>
          <w:tcPr>
            <w:tcW w:w="2883" w:type="dxa"/>
            <w:tcBorders>
              <w:top w:val="single" w:sz="4" w:space="0" w:color="000000"/>
              <w:bottom w:val="single" w:sz="4" w:space="0" w:color="000000"/>
            </w:tcBorders>
            <w:vAlign w:val="center"/>
          </w:tcPr>
          <w:p w14:paraId="0CCAF583" w14:textId="77777777" w:rsidR="003C3C4F" w:rsidRDefault="00000000">
            <w:pPr>
              <w:spacing w:after="0" w:line="240" w:lineRule="auto"/>
              <w:jc w:val="right"/>
              <w:rPr>
                <w:rFonts w:eastAsia="Times New Roman"/>
                <w:color w:val="000000"/>
                <w:szCs w:val="24"/>
              </w:rPr>
            </w:pPr>
            <w:r>
              <w:rPr>
                <w:rFonts w:eastAsia="Times New Roman"/>
                <w:color w:val="000000"/>
                <w:szCs w:val="24"/>
              </w:rPr>
              <w:t>0.031</w:t>
            </w:r>
          </w:p>
        </w:tc>
      </w:tr>
    </w:tbl>
    <w:p w14:paraId="70233649" w14:textId="77777777" w:rsidR="003C3C4F" w:rsidRDefault="00000000">
      <w:pPr>
        <w:spacing w:after="0" w:line="480" w:lineRule="auto"/>
        <w:rPr>
          <w:rFonts w:eastAsia="Times New Roman"/>
          <w:b/>
          <w:szCs w:val="24"/>
        </w:rPr>
      </w:pPr>
      <w:r>
        <w:rPr>
          <w:rFonts w:eastAsia="Times New Roman"/>
          <w:b/>
          <w:szCs w:val="24"/>
        </w:rPr>
        <w:t>Source: Researchers, 2026</w:t>
      </w:r>
    </w:p>
    <w:p w14:paraId="11E67686" w14:textId="77777777" w:rsidR="003C3C4F" w:rsidRDefault="00000000">
      <w:pPr>
        <w:pStyle w:val="Heading3"/>
      </w:pPr>
      <w:r>
        <w:t>4.1.2 Analysis of Variance (ANOVA)</w:t>
      </w:r>
    </w:p>
    <w:p w14:paraId="515DAAA7" w14:textId="77777777" w:rsidR="003C3C4F" w:rsidRDefault="00000000">
      <w:pPr>
        <w:rPr>
          <w:highlight w:val="yellow"/>
        </w:rPr>
      </w:pPr>
      <w:r>
        <w:rPr>
          <w:highlight w:val="yellow"/>
        </w:rPr>
        <w:t xml:space="preserve">ANOVA was conducted to determine whether the regression model was statistically significant. The test assessed whether the independent variables jointly influence the dependent variable. The F-statistic and its corresponding p-value indicate whether the regression model provides a statistically significant explanation of bank profitability. The ANOVA outcomes in Table 2 revealed that the model is statistically significant (F = 62.58, p &lt; 0.001), which shows that the </w:t>
      </w:r>
      <w:r>
        <w:rPr>
          <w:highlight w:val="yellow"/>
        </w:rPr>
        <w:lastRenderedPageBreak/>
        <w:t>independent variables together have a notable impact on bank profitability and that the model is suitable for further investigation.</w:t>
      </w:r>
    </w:p>
    <w:p w14:paraId="11689672" w14:textId="77777777" w:rsidR="003C3C4F" w:rsidRDefault="00000000">
      <w:pPr>
        <w:rPr>
          <w:b/>
          <w:highlight w:val="yellow"/>
        </w:rPr>
      </w:pPr>
      <w:r>
        <w:rPr>
          <w:b/>
          <w:highlight w:val="yellow"/>
        </w:rPr>
        <w:t>Table 2: ANOVA Results</w:t>
      </w:r>
    </w:p>
    <w:tbl>
      <w:tblPr>
        <w:tblW w:w="5000" w:type="pct"/>
        <w:tblInd w:w="108" w:type="dxa"/>
        <w:tblLayout w:type="fixed"/>
        <w:tblLook w:val="04A0" w:firstRow="1" w:lastRow="0" w:firstColumn="1" w:lastColumn="0" w:noHBand="0" w:noVBand="1"/>
      </w:tblPr>
      <w:tblGrid>
        <w:gridCol w:w="1774"/>
        <w:gridCol w:w="1902"/>
        <w:gridCol w:w="1408"/>
        <w:gridCol w:w="1674"/>
        <w:gridCol w:w="1408"/>
        <w:gridCol w:w="1410"/>
      </w:tblGrid>
      <w:tr w:rsidR="003C3C4F" w14:paraId="6FCFDF73" w14:textId="77777777">
        <w:trPr>
          <w:trHeight w:val="300"/>
        </w:trPr>
        <w:tc>
          <w:tcPr>
            <w:tcW w:w="1735" w:type="dxa"/>
            <w:tcBorders>
              <w:top w:val="single" w:sz="4" w:space="0" w:color="000000"/>
              <w:bottom w:val="single" w:sz="4" w:space="0" w:color="000000"/>
            </w:tcBorders>
            <w:vAlign w:val="center"/>
          </w:tcPr>
          <w:p w14:paraId="74605BB8" w14:textId="77777777" w:rsidR="003C3C4F" w:rsidRDefault="00000000">
            <w:pPr>
              <w:spacing w:after="0" w:line="240" w:lineRule="auto"/>
              <w:jc w:val="center"/>
              <w:rPr>
                <w:rFonts w:eastAsia="Times New Roman"/>
                <w:b/>
                <w:bCs/>
                <w:color w:val="000000"/>
                <w:szCs w:val="24"/>
                <w:highlight w:val="yellow"/>
              </w:rPr>
            </w:pPr>
            <w:r>
              <w:rPr>
                <w:rFonts w:eastAsia="Times New Roman"/>
                <w:b/>
                <w:bCs/>
                <w:color w:val="000000"/>
                <w:szCs w:val="24"/>
                <w:highlight w:val="yellow"/>
              </w:rPr>
              <w:t>Model</w:t>
            </w:r>
          </w:p>
        </w:tc>
        <w:tc>
          <w:tcPr>
            <w:tcW w:w="1859" w:type="dxa"/>
            <w:tcBorders>
              <w:top w:val="single" w:sz="4" w:space="0" w:color="000000"/>
              <w:bottom w:val="single" w:sz="4" w:space="0" w:color="000000"/>
            </w:tcBorders>
            <w:vAlign w:val="center"/>
          </w:tcPr>
          <w:p w14:paraId="2FAB868C" w14:textId="77777777" w:rsidR="003C3C4F" w:rsidRDefault="00000000">
            <w:pPr>
              <w:spacing w:after="0" w:line="240" w:lineRule="auto"/>
              <w:jc w:val="center"/>
              <w:rPr>
                <w:rFonts w:eastAsia="Times New Roman"/>
                <w:b/>
                <w:bCs/>
                <w:color w:val="000000"/>
                <w:szCs w:val="24"/>
                <w:highlight w:val="yellow"/>
              </w:rPr>
            </w:pPr>
            <w:r>
              <w:rPr>
                <w:rFonts w:eastAsia="Times New Roman"/>
                <w:b/>
                <w:bCs/>
                <w:color w:val="000000"/>
                <w:szCs w:val="24"/>
                <w:highlight w:val="yellow"/>
              </w:rPr>
              <w:t>Sum of Squares</w:t>
            </w:r>
          </w:p>
        </w:tc>
        <w:tc>
          <w:tcPr>
            <w:tcW w:w="1376" w:type="dxa"/>
            <w:tcBorders>
              <w:top w:val="single" w:sz="4" w:space="0" w:color="000000"/>
              <w:bottom w:val="single" w:sz="4" w:space="0" w:color="000000"/>
            </w:tcBorders>
            <w:vAlign w:val="center"/>
          </w:tcPr>
          <w:p w14:paraId="6255877E" w14:textId="77777777" w:rsidR="003C3C4F" w:rsidRDefault="00000000">
            <w:pPr>
              <w:spacing w:after="0" w:line="240" w:lineRule="auto"/>
              <w:jc w:val="center"/>
              <w:rPr>
                <w:rFonts w:eastAsia="Times New Roman"/>
                <w:b/>
                <w:bCs/>
                <w:color w:val="000000"/>
                <w:szCs w:val="24"/>
                <w:highlight w:val="yellow"/>
              </w:rPr>
            </w:pPr>
            <w:r>
              <w:rPr>
                <w:rFonts w:eastAsia="Times New Roman"/>
                <w:b/>
                <w:bCs/>
                <w:color w:val="000000"/>
                <w:szCs w:val="24"/>
                <w:highlight w:val="yellow"/>
              </w:rPr>
              <w:t>Df</w:t>
            </w:r>
          </w:p>
        </w:tc>
        <w:tc>
          <w:tcPr>
            <w:tcW w:w="1636" w:type="dxa"/>
            <w:tcBorders>
              <w:top w:val="single" w:sz="4" w:space="0" w:color="000000"/>
              <w:bottom w:val="single" w:sz="4" w:space="0" w:color="000000"/>
            </w:tcBorders>
            <w:vAlign w:val="center"/>
          </w:tcPr>
          <w:p w14:paraId="063BD66D" w14:textId="77777777" w:rsidR="003C3C4F" w:rsidRDefault="00000000">
            <w:pPr>
              <w:spacing w:after="0" w:line="240" w:lineRule="auto"/>
              <w:jc w:val="center"/>
              <w:rPr>
                <w:rFonts w:eastAsia="Times New Roman"/>
                <w:b/>
                <w:bCs/>
                <w:color w:val="000000"/>
                <w:szCs w:val="24"/>
                <w:highlight w:val="yellow"/>
              </w:rPr>
            </w:pPr>
            <w:r>
              <w:rPr>
                <w:rFonts w:eastAsia="Times New Roman"/>
                <w:b/>
                <w:bCs/>
                <w:color w:val="000000"/>
                <w:szCs w:val="24"/>
                <w:highlight w:val="yellow"/>
              </w:rPr>
              <w:t>Mean Square</w:t>
            </w:r>
          </w:p>
        </w:tc>
        <w:tc>
          <w:tcPr>
            <w:tcW w:w="1376" w:type="dxa"/>
            <w:tcBorders>
              <w:top w:val="single" w:sz="4" w:space="0" w:color="000000"/>
              <w:bottom w:val="single" w:sz="4" w:space="0" w:color="000000"/>
            </w:tcBorders>
            <w:vAlign w:val="center"/>
          </w:tcPr>
          <w:p w14:paraId="409DCB6B" w14:textId="77777777" w:rsidR="003C3C4F" w:rsidRDefault="00000000">
            <w:pPr>
              <w:spacing w:after="0" w:line="240" w:lineRule="auto"/>
              <w:jc w:val="center"/>
              <w:rPr>
                <w:rFonts w:eastAsia="Times New Roman"/>
                <w:b/>
                <w:bCs/>
                <w:color w:val="000000"/>
                <w:szCs w:val="24"/>
                <w:highlight w:val="yellow"/>
              </w:rPr>
            </w:pPr>
            <w:r>
              <w:rPr>
                <w:rFonts w:eastAsia="Times New Roman"/>
                <w:b/>
                <w:bCs/>
                <w:color w:val="000000"/>
                <w:szCs w:val="24"/>
                <w:highlight w:val="yellow"/>
              </w:rPr>
              <w:t>F</w:t>
            </w:r>
          </w:p>
        </w:tc>
        <w:tc>
          <w:tcPr>
            <w:tcW w:w="1378" w:type="dxa"/>
            <w:tcBorders>
              <w:top w:val="single" w:sz="4" w:space="0" w:color="000000"/>
              <w:bottom w:val="single" w:sz="4" w:space="0" w:color="000000"/>
            </w:tcBorders>
            <w:vAlign w:val="center"/>
          </w:tcPr>
          <w:p w14:paraId="0091AE14" w14:textId="77777777" w:rsidR="003C3C4F" w:rsidRDefault="00000000">
            <w:pPr>
              <w:spacing w:after="0" w:line="240" w:lineRule="auto"/>
              <w:jc w:val="center"/>
              <w:rPr>
                <w:rFonts w:eastAsia="Times New Roman"/>
                <w:b/>
                <w:bCs/>
                <w:color w:val="000000"/>
                <w:szCs w:val="24"/>
                <w:highlight w:val="yellow"/>
              </w:rPr>
            </w:pPr>
            <w:r>
              <w:rPr>
                <w:rFonts w:eastAsia="Times New Roman"/>
                <w:b/>
                <w:bCs/>
                <w:color w:val="000000"/>
                <w:szCs w:val="24"/>
                <w:highlight w:val="yellow"/>
              </w:rPr>
              <w:t>Sig.</w:t>
            </w:r>
          </w:p>
        </w:tc>
      </w:tr>
      <w:tr w:rsidR="003C3C4F" w14:paraId="2DBD641F" w14:textId="77777777">
        <w:trPr>
          <w:trHeight w:val="300"/>
        </w:trPr>
        <w:tc>
          <w:tcPr>
            <w:tcW w:w="1735" w:type="dxa"/>
            <w:tcBorders>
              <w:top w:val="single" w:sz="4" w:space="0" w:color="000000"/>
            </w:tcBorders>
            <w:vAlign w:val="center"/>
          </w:tcPr>
          <w:p w14:paraId="14BC22BC" w14:textId="77777777" w:rsidR="003C3C4F" w:rsidRDefault="00000000">
            <w:pPr>
              <w:spacing w:after="0" w:line="240" w:lineRule="auto"/>
              <w:rPr>
                <w:rFonts w:eastAsia="Times New Roman"/>
                <w:color w:val="000000"/>
                <w:szCs w:val="24"/>
                <w:highlight w:val="yellow"/>
              </w:rPr>
            </w:pPr>
            <w:r>
              <w:rPr>
                <w:rFonts w:eastAsia="Times New Roman"/>
                <w:color w:val="000000"/>
                <w:szCs w:val="24"/>
                <w:highlight w:val="yellow"/>
              </w:rPr>
              <w:t>Regression</w:t>
            </w:r>
          </w:p>
        </w:tc>
        <w:tc>
          <w:tcPr>
            <w:tcW w:w="1859" w:type="dxa"/>
            <w:tcBorders>
              <w:top w:val="single" w:sz="4" w:space="0" w:color="000000"/>
            </w:tcBorders>
            <w:vAlign w:val="center"/>
          </w:tcPr>
          <w:p w14:paraId="108D5127" w14:textId="77777777" w:rsidR="003C3C4F" w:rsidRDefault="00000000">
            <w:pPr>
              <w:spacing w:after="0" w:line="240" w:lineRule="auto"/>
              <w:jc w:val="right"/>
              <w:rPr>
                <w:rFonts w:eastAsia="Times New Roman"/>
                <w:color w:val="000000"/>
                <w:szCs w:val="24"/>
                <w:highlight w:val="yellow"/>
              </w:rPr>
            </w:pPr>
            <w:r>
              <w:rPr>
                <w:rFonts w:eastAsia="Times New Roman"/>
                <w:color w:val="000000"/>
                <w:szCs w:val="24"/>
                <w:highlight w:val="yellow"/>
              </w:rPr>
              <w:t>0.118</w:t>
            </w:r>
          </w:p>
        </w:tc>
        <w:tc>
          <w:tcPr>
            <w:tcW w:w="1376" w:type="dxa"/>
            <w:tcBorders>
              <w:top w:val="single" w:sz="4" w:space="0" w:color="000000"/>
            </w:tcBorders>
            <w:vAlign w:val="center"/>
          </w:tcPr>
          <w:p w14:paraId="186F0A41" w14:textId="77777777" w:rsidR="003C3C4F" w:rsidRDefault="00000000">
            <w:pPr>
              <w:spacing w:after="0" w:line="240" w:lineRule="auto"/>
              <w:jc w:val="right"/>
              <w:rPr>
                <w:rFonts w:eastAsia="Times New Roman"/>
                <w:color w:val="000000"/>
                <w:szCs w:val="24"/>
                <w:highlight w:val="yellow"/>
              </w:rPr>
            </w:pPr>
            <w:r>
              <w:rPr>
                <w:rFonts w:eastAsia="Times New Roman"/>
                <w:color w:val="000000"/>
                <w:szCs w:val="24"/>
                <w:highlight w:val="yellow"/>
              </w:rPr>
              <w:t>3</w:t>
            </w:r>
          </w:p>
        </w:tc>
        <w:tc>
          <w:tcPr>
            <w:tcW w:w="1636" w:type="dxa"/>
            <w:tcBorders>
              <w:top w:val="single" w:sz="4" w:space="0" w:color="000000"/>
            </w:tcBorders>
            <w:vAlign w:val="center"/>
          </w:tcPr>
          <w:p w14:paraId="76E92538" w14:textId="77777777" w:rsidR="003C3C4F" w:rsidRDefault="00000000">
            <w:pPr>
              <w:spacing w:after="0" w:line="240" w:lineRule="auto"/>
              <w:jc w:val="right"/>
              <w:rPr>
                <w:rFonts w:eastAsia="Times New Roman"/>
                <w:color w:val="000000"/>
                <w:szCs w:val="24"/>
                <w:highlight w:val="yellow"/>
              </w:rPr>
            </w:pPr>
            <w:r>
              <w:rPr>
                <w:rFonts w:eastAsia="Times New Roman"/>
                <w:color w:val="000000"/>
                <w:szCs w:val="24"/>
                <w:highlight w:val="yellow"/>
              </w:rPr>
              <w:t>0.039</w:t>
            </w:r>
          </w:p>
        </w:tc>
        <w:tc>
          <w:tcPr>
            <w:tcW w:w="1376" w:type="dxa"/>
            <w:tcBorders>
              <w:top w:val="single" w:sz="4" w:space="0" w:color="000000"/>
            </w:tcBorders>
            <w:vAlign w:val="center"/>
          </w:tcPr>
          <w:p w14:paraId="6945CBBA" w14:textId="77777777" w:rsidR="003C3C4F" w:rsidRDefault="00000000">
            <w:pPr>
              <w:spacing w:after="0" w:line="240" w:lineRule="auto"/>
              <w:jc w:val="right"/>
              <w:rPr>
                <w:rFonts w:eastAsia="Times New Roman"/>
                <w:color w:val="000000"/>
                <w:szCs w:val="24"/>
                <w:highlight w:val="yellow"/>
              </w:rPr>
            </w:pPr>
            <w:r>
              <w:rPr>
                <w:rFonts w:ascii="Arial" w:eastAsia="Times New Roman" w:hAnsi="Arial" w:cs="Arial"/>
                <w:kern w:val="0"/>
                <w:szCs w:val="24"/>
                <w:highlight w:val="yellow"/>
              </w:rPr>
              <w:t>62.58</w:t>
            </w:r>
          </w:p>
        </w:tc>
        <w:tc>
          <w:tcPr>
            <w:tcW w:w="1378" w:type="dxa"/>
            <w:tcBorders>
              <w:top w:val="single" w:sz="4" w:space="0" w:color="000000"/>
            </w:tcBorders>
            <w:vAlign w:val="center"/>
          </w:tcPr>
          <w:p w14:paraId="35A59E79" w14:textId="77777777" w:rsidR="003C3C4F" w:rsidRDefault="00000000">
            <w:pPr>
              <w:spacing w:after="0" w:line="240" w:lineRule="auto"/>
              <w:jc w:val="right"/>
              <w:rPr>
                <w:rFonts w:eastAsia="Times New Roman"/>
                <w:color w:val="000000"/>
                <w:szCs w:val="24"/>
                <w:highlight w:val="yellow"/>
              </w:rPr>
            </w:pPr>
            <w:r>
              <w:rPr>
                <w:rFonts w:eastAsia="Times New Roman"/>
                <w:color w:val="000000"/>
                <w:szCs w:val="24"/>
                <w:highlight w:val="yellow"/>
              </w:rPr>
              <w:t>.000</w:t>
            </w:r>
          </w:p>
        </w:tc>
      </w:tr>
      <w:tr w:rsidR="003C3C4F" w14:paraId="348D17C2" w14:textId="77777777">
        <w:trPr>
          <w:trHeight w:val="300"/>
        </w:trPr>
        <w:tc>
          <w:tcPr>
            <w:tcW w:w="1735" w:type="dxa"/>
            <w:tcBorders>
              <w:bottom w:val="single" w:sz="4" w:space="0" w:color="000000"/>
            </w:tcBorders>
            <w:vAlign w:val="center"/>
          </w:tcPr>
          <w:p w14:paraId="55B6BCC5" w14:textId="77777777" w:rsidR="003C3C4F" w:rsidRDefault="00000000">
            <w:pPr>
              <w:spacing w:after="0" w:line="240" w:lineRule="auto"/>
              <w:rPr>
                <w:rFonts w:eastAsia="Times New Roman"/>
                <w:color w:val="000000"/>
                <w:szCs w:val="24"/>
                <w:highlight w:val="yellow"/>
              </w:rPr>
            </w:pPr>
            <w:r>
              <w:rPr>
                <w:rFonts w:eastAsia="Times New Roman"/>
                <w:color w:val="000000"/>
                <w:szCs w:val="24"/>
                <w:highlight w:val="yellow"/>
              </w:rPr>
              <w:t>Residual</w:t>
            </w:r>
          </w:p>
        </w:tc>
        <w:tc>
          <w:tcPr>
            <w:tcW w:w="1859" w:type="dxa"/>
            <w:tcBorders>
              <w:bottom w:val="single" w:sz="4" w:space="0" w:color="000000"/>
            </w:tcBorders>
            <w:vAlign w:val="center"/>
          </w:tcPr>
          <w:p w14:paraId="5E74C4A8" w14:textId="77777777" w:rsidR="003C3C4F" w:rsidRDefault="00000000">
            <w:pPr>
              <w:spacing w:after="0" w:line="240" w:lineRule="auto"/>
              <w:jc w:val="right"/>
              <w:rPr>
                <w:rFonts w:eastAsia="Times New Roman"/>
                <w:color w:val="000000"/>
                <w:szCs w:val="24"/>
                <w:highlight w:val="yellow"/>
              </w:rPr>
            </w:pPr>
            <w:r>
              <w:rPr>
                <w:rFonts w:eastAsia="Times New Roman"/>
                <w:color w:val="000000"/>
                <w:szCs w:val="24"/>
                <w:highlight w:val="yellow"/>
              </w:rPr>
              <w:t>0.096</w:t>
            </w:r>
          </w:p>
        </w:tc>
        <w:tc>
          <w:tcPr>
            <w:tcW w:w="1376" w:type="dxa"/>
            <w:tcBorders>
              <w:bottom w:val="single" w:sz="4" w:space="0" w:color="000000"/>
            </w:tcBorders>
            <w:vAlign w:val="center"/>
          </w:tcPr>
          <w:p w14:paraId="40A93ADF" w14:textId="77777777" w:rsidR="003C3C4F" w:rsidRDefault="00000000">
            <w:pPr>
              <w:spacing w:after="0" w:line="240" w:lineRule="auto"/>
              <w:jc w:val="right"/>
              <w:rPr>
                <w:rFonts w:eastAsia="Times New Roman"/>
                <w:color w:val="000000"/>
                <w:szCs w:val="24"/>
                <w:highlight w:val="yellow"/>
              </w:rPr>
            </w:pPr>
            <w:r>
              <w:rPr>
                <w:rFonts w:ascii="Arial" w:eastAsia="Times New Roman" w:hAnsi="Arial" w:cs="Arial"/>
                <w:kern w:val="0"/>
                <w:szCs w:val="24"/>
                <w:highlight w:val="yellow"/>
              </w:rPr>
              <w:t>153</w:t>
            </w:r>
          </w:p>
        </w:tc>
        <w:tc>
          <w:tcPr>
            <w:tcW w:w="1636" w:type="dxa"/>
            <w:tcBorders>
              <w:bottom w:val="single" w:sz="4" w:space="0" w:color="000000"/>
            </w:tcBorders>
            <w:vAlign w:val="center"/>
          </w:tcPr>
          <w:p w14:paraId="37444EAF" w14:textId="77777777" w:rsidR="003C3C4F" w:rsidRDefault="00000000">
            <w:pPr>
              <w:spacing w:after="0" w:line="240" w:lineRule="auto"/>
              <w:jc w:val="right"/>
              <w:rPr>
                <w:rFonts w:eastAsia="Times New Roman"/>
                <w:color w:val="000000"/>
                <w:szCs w:val="24"/>
                <w:highlight w:val="yellow"/>
              </w:rPr>
            </w:pPr>
            <w:r>
              <w:rPr>
                <w:rFonts w:ascii="Arial" w:eastAsia="Times New Roman" w:hAnsi="Arial" w:cs="Arial"/>
                <w:kern w:val="0"/>
                <w:szCs w:val="24"/>
                <w:highlight w:val="yellow"/>
              </w:rPr>
              <w:t>0.000627</w:t>
            </w:r>
          </w:p>
        </w:tc>
        <w:tc>
          <w:tcPr>
            <w:tcW w:w="1376" w:type="dxa"/>
            <w:tcBorders>
              <w:bottom w:val="single" w:sz="4" w:space="0" w:color="000000"/>
            </w:tcBorders>
            <w:vAlign w:val="center"/>
          </w:tcPr>
          <w:p w14:paraId="528B68F6" w14:textId="77777777" w:rsidR="003C3C4F" w:rsidRDefault="00000000">
            <w:pPr>
              <w:spacing w:after="0" w:line="240" w:lineRule="auto"/>
              <w:rPr>
                <w:rFonts w:eastAsia="Times New Roman"/>
                <w:color w:val="000000"/>
                <w:szCs w:val="24"/>
                <w:highlight w:val="yellow"/>
              </w:rPr>
            </w:pPr>
            <w:r>
              <w:rPr>
                <w:rFonts w:eastAsia="Times New Roman"/>
                <w:color w:val="000000"/>
                <w:szCs w:val="24"/>
                <w:highlight w:val="yellow"/>
              </w:rPr>
              <w:t> </w:t>
            </w:r>
          </w:p>
        </w:tc>
        <w:tc>
          <w:tcPr>
            <w:tcW w:w="1378" w:type="dxa"/>
            <w:tcBorders>
              <w:bottom w:val="single" w:sz="4" w:space="0" w:color="000000"/>
            </w:tcBorders>
            <w:vAlign w:val="center"/>
          </w:tcPr>
          <w:p w14:paraId="494699F5" w14:textId="77777777" w:rsidR="003C3C4F" w:rsidRDefault="00000000">
            <w:pPr>
              <w:spacing w:after="0" w:line="240" w:lineRule="auto"/>
              <w:rPr>
                <w:rFonts w:eastAsia="Times New Roman"/>
                <w:color w:val="000000"/>
                <w:szCs w:val="24"/>
                <w:highlight w:val="yellow"/>
              </w:rPr>
            </w:pPr>
            <w:r>
              <w:rPr>
                <w:rFonts w:eastAsia="Times New Roman"/>
                <w:color w:val="000000"/>
                <w:szCs w:val="24"/>
                <w:highlight w:val="yellow"/>
              </w:rPr>
              <w:t> </w:t>
            </w:r>
          </w:p>
        </w:tc>
      </w:tr>
      <w:tr w:rsidR="003C3C4F" w14:paraId="1CAEF295" w14:textId="77777777">
        <w:trPr>
          <w:trHeight w:val="300"/>
        </w:trPr>
        <w:tc>
          <w:tcPr>
            <w:tcW w:w="1735" w:type="dxa"/>
            <w:tcBorders>
              <w:top w:val="single" w:sz="4" w:space="0" w:color="000000"/>
              <w:bottom w:val="single" w:sz="4" w:space="0" w:color="000000"/>
            </w:tcBorders>
            <w:vAlign w:val="center"/>
          </w:tcPr>
          <w:p w14:paraId="23D53975" w14:textId="77777777" w:rsidR="003C3C4F" w:rsidRDefault="00000000">
            <w:pPr>
              <w:spacing w:after="0" w:line="240" w:lineRule="auto"/>
              <w:rPr>
                <w:rFonts w:eastAsia="Times New Roman"/>
                <w:b/>
                <w:color w:val="000000"/>
                <w:szCs w:val="24"/>
                <w:highlight w:val="yellow"/>
              </w:rPr>
            </w:pPr>
            <w:r>
              <w:rPr>
                <w:rFonts w:eastAsia="Times New Roman"/>
                <w:b/>
                <w:color w:val="000000"/>
                <w:szCs w:val="24"/>
                <w:highlight w:val="yellow"/>
              </w:rPr>
              <w:t>Total</w:t>
            </w:r>
          </w:p>
        </w:tc>
        <w:tc>
          <w:tcPr>
            <w:tcW w:w="1859" w:type="dxa"/>
            <w:tcBorders>
              <w:top w:val="single" w:sz="4" w:space="0" w:color="000000"/>
              <w:bottom w:val="single" w:sz="4" w:space="0" w:color="000000"/>
            </w:tcBorders>
            <w:vAlign w:val="center"/>
          </w:tcPr>
          <w:p w14:paraId="4609F806" w14:textId="77777777" w:rsidR="003C3C4F" w:rsidRDefault="00000000">
            <w:pPr>
              <w:spacing w:after="0" w:line="240" w:lineRule="auto"/>
              <w:jc w:val="right"/>
              <w:rPr>
                <w:rFonts w:eastAsia="Times New Roman"/>
                <w:b/>
                <w:color w:val="000000"/>
                <w:szCs w:val="24"/>
                <w:highlight w:val="yellow"/>
              </w:rPr>
            </w:pPr>
            <w:r>
              <w:rPr>
                <w:rFonts w:eastAsia="Times New Roman"/>
                <w:b/>
                <w:color w:val="000000"/>
                <w:szCs w:val="24"/>
                <w:highlight w:val="yellow"/>
              </w:rPr>
              <w:t>0.214</w:t>
            </w:r>
          </w:p>
        </w:tc>
        <w:tc>
          <w:tcPr>
            <w:tcW w:w="1376" w:type="dxa"/>
            <w:tcBorders>
              <w:top w:val="single" w:sz="4" w:space="0" w:color="000000"/>
              <w:bottom w:val="single" w:sz="4" w:space="0" w:color="000000"/>
            </w:tcBorders>
            <w:vAlign w:val="center"/>
          </w:tcPr>
          <w:p w14:paraId="077CD2B4" w14:textId="77777777" w:rsidR="003C3C4F" w:rsidRDefault="00000000">
            <w:pPr>
              <w:spacing w:after="0" w:line="240" w:lineRule="auto"/>
              <w:jc w:val="right"/>
              <w:rPr>
                <w:rFonts w:eastAsia="Times New Roman"/>
                <w:b/>
                <w:color w:val="000000"/>
                <w:szCs w:val="24"/>
              </w:rPr>
            </w:pPr>
            <w:r>
              <w:rPr>
                <w:rFonts w:eastAsia="Times New Roman"/>
                <w:b/>
                <w:color w:val="000000"/>
                <w:szCs w:val="24"/>
                <w:highlight w:val="yellow"/>
              </w:rPr>
              <w:t>156</w:t>
            </w:r>
          </w:p>
        </w:tc>
        <w:tc>
          <w:tcPr>
            <w:tcW w:w="1636" w:type="dxa"/>
            <w:tcBorders>
              <w:top w:val="single" w:sz="4" w:space="0" w:color="000000"/>
              <w:bottom w:val="single" w:sz="4" w:space="0" w:color="000000"/>
            </w:tcBorders>
            <w:vAlign w:val="center"/>
          </w:tcPr>
          <w:p w14:paraId="5AABF2AB" w14:textId="77777777" w:rsidR="003C3C4F" w:rsidRDefault="00000000">
            <w:pPr>
              <w:spacing w:after="0" w:line="240" w:lineRule="auto"/>
              <w:rPr>
                <w:rFonts w:eastAsia="Times New Roman"/>
                <w:b/>
                <w:color w:val="000000"/>
                <w:szCs w:val="24"/>
              </w:rPr>
            </w:pPr>
            <w:r>
              <w:rPr>
                <w:rFonts w:eastAsia="Times New Roman"/>
                <w:b/>
                <w:color w:val="000000"/>
                <w:szCs w:val="24"/>
              </w:rPr>
              <w:t> </w:t>
            </w:r>
          </w:p>
        </w:tc>
        <w:tc>
          <w:tcPr>
            <w:tcW w:w="1376" w:type="dxa"/>
            <w:tcBorders>
              <w:top w:val="single" w:sz="4" w:space="0" w:color="000000"/>
              <w:bottom w:val="single" w:sz="4" w:space="0" w:color="000000"/>
            </w:tcBorders>
            <w:vAlign w:val="center"/>
          </w:tcPr>
          <w:p w14:paraId="11897B91" w14:textId="77777777" w:rsidR="003C3C4F" w:rsidRDefault="00000000">
            <w:pPr>
              <w:spacing w:after="0" w:line="240" w:lineRule="auto"/>
              <w:rPr>
                <w:rFonts w:eastAsia="Times New Roman"/>
                <w:b/>
                <w:color w:val="000000"/>
                <w:szCs w:val="24"/>
              </w:rPr>
            </w:pPr>
            <w:r>
              <w:rPr>
                <w:rFonts w:eastAsia="Times New Roman"/>
                <w:b/>
                <w:color w:val="000000"/>
                <w:szCs w:val="24"/>
              </w:rPr>
              <w:t> </w:t>
            </w:r>
          </w:p>
        </w:tc>
        <w:tc>
          <w:tcPr>
            <w:tcW w:w="1378" w:type="dxa"/>
            <w:tcBorders>
              <w:top w:val="single" w:sz="4" w:space="0" w:color="000000"/>
              <w:bottom w:val="single" w:sz="4" w:space="0" w:color="000000"/>
            </w:tcBorders>
            <w:vAlign w:val="center"/>
          </w:tcPr>
          <w:p w14:paraId="62561D4D" w14:textId="77777777" w:rsidR="003C3C4F" w:rsidRDefault="00000000">
            <w:pPr>
              <w:spacing w:after="0" w:line="240" w:lineRule="auto"/>
              <w:rPr>
                <w:rFonts w:eastAsia="Times New Roman"/>
                <w:b/>
                <w:color w:val="000000"/>
                <w:szCs w:val="24"/>
              </w:rPr>
            </w:pPr>
            <w:r>
              <w:rPr>
                <w:rFonts w:eastAsia="Times New Roman"/>
                <w:b/>
                <w:color w:val="000000"/>
                <w:szCs w:val="24"/>
              </w:rPr>
              <w:t> </w:t>
            </w:r>
          </w:p>
        </w:tc>
      </w:tr>
    </w:tbl>
    <w:p w14:paraId="7E9D0F46" w14:textId="77777777" w:rsidR="003C3C4F" w:rsidRDefault="00000000">
      <w:pPr>
        <w:spacing w:after="0" w:line="480" w:lineRule="auto"/>
        <w:rPr>
          <w:rFonts w:eastAsia="Times New Roman"/>
          <w:b/>
          <w:szCs w:val="24"/>
        </w:rPr>
      </w:pPr>
      <w:r>
        <w:rPr>
          <w:rFonts w:eastAsia="Times New Roman"/>
          <w:b/>
          <w:szCs w:val="24"/>
        </w:rPr>
        <w:t>Source: Researchers, 2026</w:t>
      </w:r>
    </w:p>
    <w:p w14:paraId="6A5FE5C4" w14:textId="77777777" w:rsidR="003C3C4F" w:rsidRDefault="00000000">
      <w:pPr>
        <w:pStyle w:val="Heading3"/>
      </w:pPr>
      <w:r>
        <w:t>4.1.3 Regression Coefficients</w:t>
      </w:r>
    </w:p>
    <w:p w14:paraId="7BFE7B6C" w14:textId="77777777" w:rsidR="003C3C4F" w:rsidRDefault="00000000">
      <w:r>
        <w:t xml:space="preserve">Regression analysis was performed to ascertain the individual impact of each explanatory variable on the </w:t>
      </w:r>
      <w:r>
        <w:rPr>
          <w:highlight w:val="yellow"/>
        </w:rPr>
        <w:t>d</w:t>
      </w:r>
      <w:r>
        <w:t>ep</w:t>
      </w:r>
      <w:r>
        <w:rPr>
          <w:highlight w:val="yellow"/>
        </w:rPr>
        <w:t>e</w:t>
      </w:r>
      <w:r>
        <w:t>n</w:t>
      </w:r>
      <w:r>
        <w:rPr>
          <w:highlight w:val="yellow"/>
        </w:rPr>
        <w:t>d</w:t>
      </w:r>
      <w:r>
        <w:t>e</w:t>
      </w:r>
      <w:r>
        <w:rPr>
          <w:highlight w:val="yellow"/>
        </w:rPr>
        <w:t>nt</w:t>
      </w:r>
      <w:r>
        <w:t xml:space="preserve"> variable </w:t>
      </w:r>
      <w:r>
        <w:rPr>
          <w:highlight w:val="yellow"/>
        </w:rPr>
        <w:t>a</w:t>
      </w:r>
      <w:r>
        <w:t xml:space="preserve">nd to investigate the impact of each EPS variable on profitability. The regression results provide </w:t>
      </w:r>
      <w:r>
        <w:rPr>
          <w:highlight w:val="yellow"/>
        </w:rPr>
        <w:t xml:space="preserve">both </w:t>
      </w:r>
      <w:r>
        <w:t>the direction a</w:t>
      </w:r>
      <w:r>
        <w:rPr>
          <w:highlight w:val="yellow"/>
        </w:rPr>
        <w:t>nd</w:t>
      </w:r>
      <w:r>
        <w:t xml:space="preserve"> magnitude of the effects. </w:t>
      </w:r>
      <w:r>
        <w:rPr>
          <w:highlight w:val="yellow"/>
        </w:rPr>
        <w:t>They</w:t>
      </w:r>
      <w:r>
        <w:t xml:space="preserve"> also show the </w:t>
      </w:r>
      <w:r>
        <w:rPr>
          <w:highlight w:val="yellow"/>
        </w:rPr>
        <w:t>relatio</w:t>
      </w:r>
      <w:r>
        <w:t>n</w:t>
      </w:r>
      <w:r>
        <w:rPr>
          <w:highlight w:val="yellow"/>
        </w:rPr>
        <w:t>sh</w:t>
      </w:r>
      <w:r>
        <w:t>i</w:t>
      </w:r>
      <w:r>
        <w:rPr>
          <w:highlight w:val="yellow"/>
        </w:rPr>
        <w:t>ps</w:t>
      </w:r>
      <w:r>
        <w:t xml:space="preserve"> among the st</w:t>
      </w:r>
      <w:r>
        <w:rPr>
          <w:highlight w:val="yellow"/>
        </w:rPr>
        <w:t>udy</w:t>
      </w:r>
      <w:r>
        <w:t xml:space="preserve"> variable</w:t>
      </w:r>
      <w:r>
        <w:rPr>
          <w:highlight w:val="yellow"/>
        </w:rPr>
        <w:t>s</w:t>
      </w:r>
      <w:r>
        <w:t>.</w:t>
      </w:r>
    </w:p>
    <w:p w14:paraId="6CD1DBA9" w14:textId="77777777" w:rsidR="003C3C4F" w:rsidRDefault="00000000">
      <w:pPr>
        <w:pStyle w:val="Heading3"/>
        <w:rPr>
          <w:b w:val="0"/>
        </w:rPr>
      </w:pPr>
      <w:r>
        <w:t>4.1.3.1 Regression Model</w:t>
      </w:r>
    </w:p>
    <w:p w14:paraId="49E4E54B" w14:textId="77777777" w:rsidR="003C3C4F" w:rsidRDefault="00000000">
      <w:r>
        <w:t xml:space="preserve">The regression </w:t>
      </w:r>
      <w:r>
        <w:rPr>
          <w:highlight w:val="yellow"/>
        </w:rPr>
        <w:t>coefficie</w:t>
      </w:r>
      <w:r>
        <w:t>n</w:t>
      </w:r>
      <w:r>
        <w:rPr>
          <w:highlight w:val="yellow"/>
        </w:rPr>
        <w:t>t</w:t>
      </w:r>
      <w:r>
        <w:t xml:space="preserve">s reflected in Table 3 indicate the </w:t>
      </w:r>
      <w:r>
        <w:rPr>
          <w:highlight w:val="yellow"/>
        </w:rPr>
        <w:t>re</w:t>
      </w:r>
      <w:r>
        <w:t>l</w:t>
      </w:r>
      <w:r>
        <w:rPr>
          <w:highlight w:val="yellow"/>
        </w:rPr>
        <w:t>at</w:t>
      </w:r>
      <w:r>
        <w:t>ions</w:t>
      </w:r>
      <w:r>
        <w:rPr>
          <w:highlight w:val="yellow"/>
        </w:rPr>
        <w:t>hips be</w:t>
      </w:r>
      <w:r>
        <w:t>t</w:t>
      </w:r>
      <w:r>
        <w:rPr>
          <w:highlight w:val="yellow"/>
        </w:rPr>
        <w:t>ween</w:t>
      </w:r>
      <w:r>
        <w:t xml:space="preserve"> the</w:t>
      </w:r>
      <w:r>
        <w:rPr>
          <w:highlight w:val="yellow"/>
        </w:rPr>
        <w:t xml:space="preserve"> EPS</w:t>
      </w:r>
      <w:r>
        <w:t xml:space="preserve"> variables and </w:t>
      </w:r>
      <w:r>
        <w:rPr>
          <w:highlight w:val="yellow"/>
        </w:rPr>
        <w:t>bank</w:t>
      </w:r>
      <w:r>
        <w:t xml:space="preserve"> profitability. The </w:t>
      </w:r>
      <w:r>
        <w:rPr>
          <w:highlight w:val="yellow"/>
        </w:rPr>
        <w:t>d</w:t>
      </w:r>
      <w:r>
        <w:t>ep</w:t>
      </w:r>
      <w:r>
        <w:rPr>
          <w:highlight w:val="yellow"/>
        </w:rPr>
        <w:t>e</w:t>
      </w:r>
      <w:r>
        <w:t>n</w:t>
      </w:r>
      <w:r>
        <w:rPr>
          <w:highlight w:val="yellow"/>
        </w:rPr>
        <w:t>d</w:t>
      </w:r>
      <w:r>
        <w:t>e</w:t>
      </w:r>
      <w:r>
        <w:rPr>
          <w:highlight w:val="yellow"/>
        </w:rPr>
        <w:t>nt</w:t>
      </w:r>
      <w:r>
        <w:t xml:space="preserve"> variable was ROA</w:t>
      </w:r>
      <w:r>
        <w:rPr>
          <w:highlight w:val="yellow"/>
        </w:rPr>
        <w:t>,</w:t>
      </w:r>
      <w:r>
        <w:t xml:space="preserve"> while the explanatory variables were ATMs, MB</w:t>
      </w:r>
      <w:r>
        <w:rPr>
          <w:highlight w:val="yellow"/>
        </w:rPr>
        <w:t>,</w:t>
      </w:r>
      <w:r>
        <w:t xml:space="preserve"> and IB. The estimated equation is stated as follows:</w:t>
      </w:r>
    </w:p>
    <w:p w14:paraId="6D3D54AC" w14:textId="77777777" w:rsidR="003C3C4F" w:rsidRDefault="00000000">
      <w:pPr>
        <w:spacing w:after="0" w:line="480" w:lineRule="auto"/>
        <w:rPr>
          <w:rFonts w:eastAsia="Times New Roman"/>
          <w:szCs w:val="24"/>
        </w:rPr>
      </w:pPr>
      <w:r>
        <w:rPr>
          <w:rFonts w:eastAsia="Times New Roman"/>
          <w:szCs w:val="24"/>
        </w:rPr>
        <w:t xml:space="preserve">ROA </w:t>
      </w:r>
      <w:r>
        <w:rPr>
          <w:rFonts w:eastAsia="Times New Roman"/>
          <w:szCs w:val="24"/>
        </w:rPr>
        <w:tab/>
        <w:t>=</w:t>
      </w:r>
      <w:r>
        <w:rPr>
          <w:rFonts w:eastAsia="Times New Roman"/>
          <w:szCs w:val="24"/>
        </w:rPr>
        <w:tab/>
        <w:t>0.021 + 0.004ATM + 0.018MB + 0.011IB</w:t>
      </w:r>
    </w:p>
    <w:p w14:paraId="64E62FEF" w14:textId="77777777" w:rsidR="003C3C4F" w:rsidRDefault="00000000">
      <w:pPr>
        <w:spacing w:after="0" w:line="480" w:lineRule="auto"/>
        <w:rPr>
          <w:rFonts w:eastAsia="Times New Roman"/>
          <w:szCs w:val="24"/>
        </w:rPr>
      </w:pPr>
      <w:r>
        <w:rPr>
          <w:rFonts w:eastAsia="Times New Roman"/>
          <w:szCs w:val="24"/>
        </w:rPr>
        <w:t xml:space="preserve">Where: </w:t>
      </w:r>
    </w:p>
    <w:p w14:paraId="6DC9E1ED" w14:textId="77777777" w:rsidR="003C3C4F" w:rsidRDefault="00000000">
      <w:pPr>
        <w:spacing w:after="0" w:line="480" w:lineRule="auto"/>
        <w:rPr>
          <w:rFonts w:eastAsia="Times New Roman"/>
          <w:szCs w:val="24"/>
        </w:rPr>
      </w:pPr>
      <w:r>
        <w:rPr>
          <w:rFonts w:eastAsia="Times New Roman"/>
          <w:szCs w:val="24"/>
        </w:rPr>
        <w:t xml:space="preserve">ROA </w:t>
      </w:r>
      <w:r>
        <w:rPr>
          <w:rFonts w:eastAsia="Times New Roman"/>
          <w:szCs w:val="24"/>
        </w:rPr>
        <w:tab/>
        <w:t>=</w:t>
      </w:r>
      <w:r>
        <w:rPr>
          <w:rFonts w:eastAsia="Times New Roman"/>
          <w:szCs w:val="24"/>
        </w:rPr>
        <w:tab/>
        <w:t>Return on Assets</w:t>
      </w:r>
    </w:p>
    <w:p w14:paraId="74ED35D5" w14:textId="77777777" w:rsidR="003C3C4F" w:rsidRDefault="00000000">
      <w:pPr>
        <w:spacing w:after="0" w:line="480" w:lineRule="auto"/>
        <w:rPr>
          <w:rFonts w:eastAsia="Times New Roman"/>
          <w:szCs w:val="24"/>
        </w:rPr>
      </w:pPr>
      <w:r>
        <w:rPr>
          <w:rFonts w:eastAsia="Times New Roman"/>
          <w:szCs w:val="24"/>
        </w:rPr>
        <w:t xml:space="preserve">ATM </w:t>
      </w:r>
      <w:r>
        <w:rPr>
          <w:rFonts w:eastAsia="Times New Roman"/>
          <w:szCs w:val="24"/>
        </w:rPr>
        <w:tab/>
        <w:t>=</w:t>
      </w:r>
      <w:r>
        <w:rPr>
          <w:rFonts w:eastAsia="Times New Roman"/>
          <w:szCs w:val="24"/>
        </w:rPr>
        <w:tab/>
        <w:t>Automated Teller Machine</w:t>
      </w:r>
    </w:p>
    <w:p w14:paraId="4B372C95" w14:textId="77777777" w:rsidR="003C3C4F" w:rsidRDefault="00000000">
      <w:pPr>
        <w:spacing w:after="0" w:line="480" w:lineRule="auto"/>
        <w:rPr>
          <w:rFonts w:eastAsia="Times New Roman"/>
          <w:szCs w:val="24"/>
        </w:rPr>
      </w:pPr>
      <w:r>
        <w:rPr>
          <w:rFonts w:eastAsia="Times New Roman"/>
          <w:szCs w:val="24"/>
        </w:rPr>
        <w:t>MB</w:t>
      </w:r>
      <w:r>
        <w:rPr>
          <w:rFonts w:eastAsia="Times New Roman"/>
          <w:szCs w:val="24"/>
        </w:rPr>
        <w:tab/>
        <w:t>=</w:t>
      </w:r>
      <w:r>
        <w:rPr>
          <w:rFonts w:eastAsia="Times New Roman"/>
          <w:szCs w:val="24"/>
        </w:rPr>
        <w:tab/>
        <w:t>Mobile Banking</w:t>
      </w:r>
    </w:p>
    <w:p w14:paraId="1EB621E1" w14:textId="77777777" w:rsidR="003C3C4F" w:rsidRDefault="00000000">
      <w:pPr>
        <w:spacing w:after="0" w:line="480" w:lineRule="auto"/>
        <w:rPr>
          <w:rFonts w:eastAsia="Times New Roman"/>
          <w:szCs w:val="24"/>
        </w:rPr>
      </w:pPr>
      <w:r>
        <w:rPr>
          <w:rFonts w:eastAsia="Times New Roman"/>
          <w:szCs w:val="24"/>
        </w:rPr>
        <w:t>IB</w:t>
      </w:r>
      <w:r>
        <w:rPr>
          <w:rFonts w:eastAsia="Times New Roman"/>
          <w:szCs w:val="24"/>
        </w:rPr>
        <w:tab/>
        <w:t>=</w:t>
      </w:r>
      <w:r>
        <w:rPr>
          <w:rFonts w:eastAsia="Times New Roman"/>
          <w:szCs w:val="24"/>
        </w:rPr>
        <w:tab/>
        <w:t>Represent Internet Banking</w:t>
      </w:r>
    </w:p>
    <w:p w14:paraId="4C3E6EBB" w14:textId="77777777" w:rsidR="003C3C4F" w:rsidRDefault="00000000">
      <w:pPr>
        <w:rPr>
          <w:b/>
        </w:rPr>
      </w:pPr>
      <w:r>
        <w:rPr>
          <w:b/>
        </w:rPr>
        <w:t>Table 3: Regression Coefficients</w:t>
      </w:r>
    </w:p>
    <w:tbl>
      <w:tblPr>
        <w:tblW w:w="5000" w:type="pct"/>
        <w:tblInd w:w="108" w:type="dxa"/>
        <w:tblLayout w:type="fixed"/>
        <w:tblLook w:val="04A0" w:firstRow="1" w:lastRow="0" w:firstColumn="1" w:lastColumn="0" w:noHBand="0" w:noVBand="1"/>
      </w:tblPr>
      <w:tblGrid>
        <w:gridCol w:w="3408"/>
        <w:gridCol w:w="2255"/>
        <w:gridCol w:w="1309"/>
        <w:gridCol w:w="1303"/>
        <w:gridCol w:w="1301"/>
      </w:tblGrid>
      <w:tr w:rsidR="003C3C4F" w14:paraId="1F38330F" w14:textId="77777777">
        <w:trPr>
          <w:trHeight w:val="300"/>
        </w:trPr>
        <w:tc>
          <w:tcPr>
            <w:tcW w:w="3331" w:type="dxa"/>
            <w:tcBorders>
              <w:top w:val="single" w:sz="4" w:space="0" w:color="000000"/>
              <w:bottom w:val="single" w:sz="4" w:space="0" w:color="000000"/>
            </w:tcBorders>
            <w:vAlign w:val="center"/>
          </w:tcPr>
          <w:p w14:paraId="122AEC67" w14:textId="77777777" w:rsidR="003C3C4F" w:rsidRDefault="00000000">
            <w:pPr>
              <w:spacing w:after="0" w:line="240" w:lineRule="auto"/>
              <w:jc w:val="center"/>
              <w:rPr>
                <w:rFonts w:eastAsia="Times New Roman"/>
                <w:b/>
                <w:bCs/>
                <w:color w:val="000000"/>
                <w:szCs w:val="24"/>
              </w:rPr>
            </w:pPr>
            <w:r>
              <w:rPr>
                <w:rFonts w:eastAsia="Times New Roman"/>
                <w:b/>
                <w:bCs/>
                <w:color w:val="000000"/>
                <w:szCs w:val="24"/>
              </w:rPr>
              <w:t>Variable</w:t>
            </w:r>
          </w:p>
        </w:tc>
        <w:tc>
          <w:tcPr>
            <w:tcW w:w="2204" w:type="dxa"/>
            <w:tcBorders>
              <w:top w:val="single" w:sz="4" w:space="0" w:color="000000"/>
              <w:bottom w:val="single" w:sz="4" w:space="0" w:color="000000"/>
            </w:tcBorders>
            <w:vAlign w:val="center"/>
          </w:tcPr>
          <w:p w14:paraId="13BBF78C" w14:textId="77777777" w:rsidR="003C3C4F" w:rsidRDefault="00000000">
            <w:pPr>
              <w:spacing w:after="0" w:line="240" w:lineRule="auto"/>
              <w:jc w:val="center"/>
              <w:rPr>
                <w:rFonts w:eastAsia="Times New Roman"/>
                <w:b/>
                <w:bCs/>
                <w:color w:val="000000"/>
                <w:szCs w:val="24"/>
              </w:rPr>
            </w:pPr>
            <w:r>
              <w:rPr>
                <w:rFonts w:eastAsia="Times New Roman"/>
                <w:b/>
                <w:bCs/>
                <w:color w:val="000000"/>
                <w:szCs w:val="24"/>
              </w:rPr>
              <w:t>Unstandardized β</w:t>
            </w:r>
          </w:p>
        </w:tc>
        <w:tc>
          <w:tcPr>
            <w:tcW w:w="1279" w:type="dxa"/>
            <w:tcBorders>
              <w:top w:val="single" w:sz="4" w:space="0" w:color="000000"/>
              <w:bottom w:val="single" w:sz="4" w:space="0" w:color="000000"/>
            </w:tcBorders>
            <w:vAlign w:val="center"/>
          </w:tcPr>
          <w:p w14:paraId="2D147E51" w14:textId="77777777" w:rsidR="003C3C4F" w:rsidRDefault="00000000">
            <w:pPr>
              <w:spacing w:after="0" w:line="240" w:lineRule="auto"/>
              <w:jc w:val="center"/>
              <w:rPr>
                <w:rFonts w:eastAsia="Times New Roman"/>
                <w:b/>
                <w:bCs/>
                <w:color w:val="000000"/>
                <w:szCs w:val="24"/>
              </w:rPr>
            </w:pPr>
            <w:r>
              <w:rPr>
                <w:rFonts w:eastAsia="Times New Roman"/>
                <w:b/>
                <w:bCs/>
                <w:color w:val="000000"/>
                <w:szCs w:val="24"/>
              </w:rPr>
              <w:t>Std. Error</w:t>
            </w:r>
          </w:p>
        </w:tc>
        <w:tc>
          <w:tcPr>
            <w:tcW w:w="1274" w:type="dxa"/>
            <w:tcBorders>
              <w:top w:val="single" w:sz="4" w:space="0" w:color="000000"/>
              <w:bottom w:val="single" w:sz="4" w:space="0" w:color="000000"/>
            </w:tcBorders>
            <w:vAlign w:val="center"/>
          </w:tcPr>
          <w:p w14:paraId="063EB5B5" w14:textId="77777777" w:rsidR="003C3C4F" w:rsidRDefault="00000000">
            <w:pPr>
              <w:spacing w:after="0" w:line="240" w:lineRule="auto"/>
              <w:jc w:val="center"/>
              <w:rPr>
                <w:rFonts w:eastAsia="Times New Roman"/>
                <w:b/>
                <w:bCs/>
                <w:color w:val="000000"/>
                <w:szCs w:val="24"/>
              </w:rPr>
            </w:pPr>
            <w:r>
              <w:rPr>
                <w:rFonts w:eastAsia="Times New Roman"/>
                <w:b/>
                <w:bCs/>
                <w:color w:val="000000"/>
                <w:szCs w:val="24"/>
              </w:rPr>
              <w:t>t-value</w:t>
            </w:r>
          </w:p>
        </w:tc>
        <w:tc>
          <w:tcPr>
            <w:tcW w:w="1272" w:type="dxa"/>
            <w:tcBorders>
              <w:top w:val="single" w:sz="4" w:space="0" w:color="000000"/>
              <w:bottom w:val="single" w:sz="4" w:space="0" w:color="000000"/>
            </w:tcBorders>
            <w:vAlign w:val="center"/>
          </w:tcPr>
          <w:p w14:paraId="2ECD90C9" w14:textId="77777777" w:rsidR="003C3C4F" w:rsidRDefault="00000000">
            <w:pPr>
              <w:spacing w:after="0" w:line="240" w:lineRule="auto"/>
              <w:jc w:val="center"/>
              <w:rPr>
                <w:rFonts w:eastAsia="Times New Roman"/>
                <w:b/>
                <w:bCs/>
                <w:color w:val="000000"/>
                <w:szCs w:val="24"/>
              </w:rPr>
            </w:pPr>
            <w:r>
              <w:rPr>
                <w:rFonts w:eastAsia="Times New Roman"/>
                <w:b/>
                <w:bCs/>
                <w:color w:val="000000"/>
                <w:szCs w:val="24"/>
              </w:rPr>
              <w:t>Sig.</w:t>
            </w:r>
          </w:p>
        </w:tc>
      </w:tr>
      <w:tr w:rsidR="003C3C4F" w14:paraId="353A78C9" w14:textId="77777777">
        <w:trPr>
          <w:trHeight w:val="300"/>
        </w:trPr>
        <w:tc>
          <w:tcPr>
            <w:tcW w:w="3331" w:type="dxa"/>
            <w:tcBorders>
              <w:top w:val="single" w:sz="4" w:space="0" w:color="000000"/>
            </w:tcBorders>
            <w:vAlign w:val="center"/>
          </w:tcPr>
          <w:p w14:paraId="4A0B773A" w14:textId="77777777" w:rsidR="003C3C4F" w:rsidRDefault="00000000">
            <w:pPr>
              <w:spacing w:after="0" w:line="240" w:lineRule="auto"/>
              <w:rPr>
                <w:rFonts w:eastAsia="Times New Roman"/>
                <w:color w:val="000000"/>
                <w:szCs w:val="24"/>
              </w:rPr>
            </w:pPr>
            <w:r>
              <w:rPr>
                <w:rFonts w:eastAsia="Times New Roman"/>
                <w:color w:val="000000"/>
                <w:szCs w:val="24"/>
              </w:rPr>
              <w:t>Constant</w:t>
            </w:r>
          </w:p>
        </w:tc>
        <w:tc>
          <w:tcPr>
            <w:tcW w:w="2204" w:type="dxa"/>
            <w:tcBorders>
              <w:top w:val="single" w:sz="4" w:space="0" w:color="000000"/>
            </w:tcBorders>
            <w:vAlign w:val="center"/>
          </w:tcPr>
          <w:p w14:paraId="34E9CF6D" w14:textId="77777777" w:rsidR="003C3C4F" w:rsidRDefault="00000000">
            <w:pPr>
              <w:spacing w:after="0" w:line="240" w:lineRule="auto"/>
              <w:jc w:val="right"/>
              <w:rPr>
                <w:rFonts w:eastAsia="Times New Roman"/>
                <w:color w:val="000000"/>
                <w:szCs w:val="24"/>
              </w:rPr>
            </w:pPr>
            <w:r>
              <w:rPr>
                <w:rFonts w:eastAsia="Times New Roman"/>
                <w:color w:val="000000"/>
                <w:szCs w:val="24"/>
              </w:rPr>
              <w:t>0.021</w:t>
            </w:r>
          </w:p>
        </w:tc>
        <w:tc>
          <w:tcPr>
            <w:tcW w:w="1279" w:type="dxa"/>
            <w:tcBorders>
              <w:top w:val="single" w:sz="4" w:space="0" w:color="000000"/>
            </w:tcBorders>
            <w:vAlign w:val="center"/>
          </w:tcPr>
          <w:p w14:paraId="08C75CE5" w14:textId="77777777" w:rsidR="003C3C4F" w:rsidRDefault="00000000">
            <w:pPr>
              <w:spacing w:after="0" w:line="240" w:lineRule="auto"/>
              <w:jc w:val="right"/>
              <w:rPr>
                <w:rFonts w:eastAsia="Times New Roman"/>
                <w:color w:val="000000"/>
                <w:szCs w:val="24"/>
              </w:rPr>
            </w:pPr>
            <w:r>
              <w:rPr>
                <w:rFonts w:eastAsia="Times New Roman"/>
                <w:color w:val="000000"/>
                <w:szCs w:val="24"/>
              </w:rPr>
              <w:t>0.009</w:t>
            </w:r>
          </w:p>
        </w:tc>
        <w:tc>
          <w:tcPr>
            <w:tcW w:w="1274" w:type="dxa"/>
            <w:tcBorders>
              <w:top w:val="single" w:sz="4" w:space="0" w:color="000000"/>
            </w:tcBorders>
            <w:vAlign w:val="center"/>
          </w:tcPr>
          <w:p w14:paraId="63437DED" w14:textId="77777777" w:rsidR="003C3C4F" w:rsidRDefault="00000000">
            <w:pPr>
              <w:spacing w:after="0" w:line="240" w:lineRule="auto"/>
              <w:jc w:val="right"/>
              <w:rPr>
                <w:rFonts w:eastAsia="Times New Roman"/>
                <w:color w:val="000000"/>
                <w:szCs w:val="24"/>
              </w:rPr>
            </w:pPr>
            <w:r>
              <w:rPr>
                <w:rFonts w:eastAsia="Times New Roman"/>
                <w:color w:val="000000"/>
                <w:szCs w:val="24"/>
              </w:rPr>
              <w:t>2.33</w:t>
            </w:r>
          </w:p>
        </w:tc>
        <w:tc>
          <w:tcPr>
            <w:tcW w:w="1272" w:type="dxa"/>
            <w:tcBorders>
              <w:top w:val="single" w:sz="4" w:space="0" w:color="000000"/>
            </w:tcBorders>
            <w:vAlign w:val="center"/>
          </w:tcPr>
          <w:p w14:paraId="2F42EAE7" w14:textId="77777777" w:rsidR="003C3C4F" w:rsidRDefault="00000000">
            <w:pPr>
              <w:spacing w:after="0" w:line="240" w:lineRule="auto"/>
              <w:jc w:val="right"/>
              <w:rPr>
                <w:rFonts w:eastAsia="Times New Roman"/>
                <w:color w:val="000000"/>
                <w:szCs w:val="24"/>
              </w:rPr>
            </w:pPr>
            <w:r>
              <w:rPr>
                <w:rFonts w:eastAsia="Times New Roman"/>
                <w:color w:val="000000"/>
                <w:szCs w:val="24"/>
              </w:rPr>
              <w:t>0.026</w:t>
            </w:r>
          </w:p>
        </w:tc>
      </w:tr>
      <w:tr w:rsidR="003C3C4F" w14:paraId="7B32CA2E" w14:textId="77777777">
        <w:trPr>
          <w:trHeight w:val="300"/>
        </w:trPr>
        <w:tc>
          <w:tcPr>
            <w:tcW w:w="3331" w:type="dxa"/>
            <w:vAlign w:val="center"/>
          </w:tcPr>
          <w:p w14:paraId="1F387AD5" w14:textId="77777777" w:rsidR="003C3C4F" w:rsidRDefault="00000000">
            <w:pPr>
              <w:spacing w:after="0" w:line="240" w:lineRule="auto"/>
              <w:rPr>
                <w:rFonts w:eastAsia="Times New Roman"/>
                <w:color w:val="000000"/>
                <w:szCs w:val="24"/>
              </w:rPr>
            </w:pPr>
            <w:r>
              <w:rPr>
                <w:rFonts w:eastAsia="Times New Roman"/>
                <w:color w:val="000000"/>
                <w:szCs w:val="24"/>
              </w:rPr>
              <w:lastRenderedPageBreak/>
              <w:t>ATMs</w:t>
            </w:r>
          </w:p>
        </w:tc>
        <w:tc>
          <w:tcPr>
            <w:tcW w:w="2204" w:type="dxa"/>
            <w:vAlign w:val="center"/>
          </w:tcPr>
          <w:p w14:paraId="54CCFF9D" w14:textId="77777777" w:rsidR="003C3C4F" w:rsidRDefault="00000000">
            <w:pPr>
              <w:spacing w:after="0" w:line="240" w:lineRule="auto"/>
              <w:jc w:val="right"/>
              <w:rPr>
                <w:rFonts w:eastAsia="Times New Roman"/>
                <w:color w:val="000000"/>
                <w:szCs w:val="24"/>
              </w:rPr>
            </w:pPr>
            <w:r>
              <w:rPr>
                <w:rFonts w:eastAsia="Times New Roman"/>
                <w:color w:val="000000"/>
                <w:szCs w:val="24"/>
              </w:rPr>
              <w:t>0.004</w:t>
            </w:r>
          </w:p>
        </w:tc>
        <w:tc>
          <w:tcPr>
            <w:tcW w:w="1279" w:type="dxa"/>
            <w:vAlign w:val="center"/>
          </w:tcPr>
          <w:p w14:paraId="577719C1" w14:textId="77777777" w:rsidR="003C3C4F" w:rsidRDefault="00000000">
            <w:pPr>
              <w:spacing w:after="0" w:line="240" w:lineRule="auto"/>
              <w:jc w:val="right"/>
              <w:rPr>
                <w:rFonts w:eastAsia="Times New Roman"/>
                <w:color w:val="000000"/>
                <w:szCs w:val="24"/>
              </w:rPr>
            </w:pPr>
            <w:r>
              <w:rPr>
                <w:rFonts w:eastAsia="Times New Roman"/>
                <w:color w:val="000000"/>
                <w:szCs w:val="24"/>
              </w:rPr>
              <w:t>0.003</w:t>
            </w:r>
          </w:p>
        </w:tc>
        <w:tc>
          <w:tcPr>
            <w:tcW w:w="1274" w:type="dxa"/>
            <w:vAlign w:val="center"/>
          </w:tcPr>
          <w:p w14:paraId="0F23D449" w14:textId="77777777" w:rsidR="003C3C4F" w:rsidRDefault="00000000">
            <w:pPr>
              <w:spacing w:after="0" w:line="240" w:lineRule="auto"/>
              <w:jc w:val="right"/>
              <w:rPr>
                <w:rFonts w:eastAsia="Times New Roman"/>
                <w:color w:val="000000"/>
                <w:szCs w:val="24"/>
              </w:rPr>
            </w:pPr>
            <w:r>
              <w:rPr>
                <w:rFonts w:eastAsia="Times New Roman"/>
                <w:color w:val="000000"/>
                <w:szCs w:val="24"/>
              </w:rPr>
              <w:t>1.21</w:t>
            </w:r>
          </w:p>
        </w:tc>
        <w:tc>
          <w:tcPr>
            <w:tcW w:w="1272" w:type="dxa"/>
            <w:vAlign w:val="center"/>
          </w:tcPr>
          <w:p w14:paraId="6C93BFD2" w14:textId="77777777" w:rsidR="003C3C4F" w:rsidRDefault="00000000">
            <w:pPr>
              <w:spacing w:after="0" w:line="240" w:lineRule="auto"/>
              <w:jc w:val="right"/>
              <w:rPr>
                <w:rFonts w:eastAsia="Times New Roman"/>
                <w:color w:val="000000"/>
                <w:szCs w:val="24"/>
              </w:rPr>
            </w:pPr>
            <w:r>
              <w:rPr>
                <w:rFonts w:eastAsia="Times New Roman"/>
                <w:color w:val="000000"/>
                <w:szCs w:val="24"/>
              </w:rPr>
              <w:t>0.235</w:t>
            </w:r>
          </w:p>
        </w:tc>
      </w:tr>
      <w:tr w:rsidR="003C3C4F" w14:paraId="6D7E4B3D" w14:textId="77777777">
        <w:trPr>
          <w:trHeight w:val="300"/>
        </w:trPr>
        <w:tc>
          <w:tcPr>
            <w:tcW w:w="3331" w:type="dxa"/>
            <w:vAlign w:val="center"/>
          </w:tcPr>
          <w:p w14:paraId="66834051" w14:textId="77777777" w:rsidR="003C3C4F" w:rsidRDefault="00000000">
            <w:pPr>
              <w:spacing w:after="0" w:line="240" w:lineRule="auto"/>
              <w:rPr>
                <w:rFonts w:eastAsia="Times New Roman"/>
                <w:color w:val="000000"/>
                <w:szCs w:val="24"/>
              </w:rPr>
            </w:pPr>
            <w:r>
              <w:rPr>
                <w:rFonts w:eastAsia="Times New Roman"/>
                <w:color w:val="000000"/>
                <w:szCs w:val="24"/>
              </w:rPr>
              <w:t>MB</w:t>
            </w:r>
          </w:p>
        </w:tc>
        <w:tc>
          <w:tcPr>
            <w:tcW w:w="2204" w:type="dxa"/>
            <w:vAlign w:val="center"/>
          </w:tcPr>
          <w:p w14:paraId="54475C22" w14:textId="77777777" w:rsidR="003C3C4F" w:rsidRDefault="00000000">
            <w:pPr>
              <w:spacing w:after="0" w:line="240" w:lineRule="auto"/>
              <w:jc w:val="right"/>
              <w:rPr>
                <w:rFonts w:eastAsia="Times New Roman"/>
                <w:color w:val="000000"/>
                <w:szCs w:val="24"/>
              </w:rPr>
            </w:pPr>
            <w:r>
              <w:rPr>
                <w:rFonts w:eastAsia="Times New Roman"/>
                <w:color w:val="000000"/>
                <w:szCs w:val="24"/>
              </w:rPr>
              <w:t>0.018</w:t>
            </w:r>
          </w:p>
        </w:tc>
        <w:tc>
          <w:tcPr>
            <w:tcW w:w="1279" w:type="dxa"/>
            <w:vAlign w:val="center"/>
          </w:tcPr>
          <w:p w14:paraId="50A67618" w14:textId="77777777" w:rsidR="003C3C4F" w:rsidRDefault="00000000">
            <w:pPr>
              <w:spacing w:after="0" w:line="240" w:lineRule="auto"/>
              <w:jc w:val="right"/>
              <w:rPr>
                <w:rFonts w:eastAsia="Times New Roman"/>
                <w:color w:val="000000"/>
                <w:szCs w:val="24"/>
              </w:rPr>
            </w:pPr>
            <w:r>
              <w:rPr>
                <w:rFonts w:eastAsia="Times New Roman"/>
                <w:color w:val="000000"/>
                <w:szCs w:val="24"/>
              </w:rPr>
              <w:t>0.005</w:t>
            </w:r>
          </w:p>
        </w:tc>
        <w:tc>
          <w:tcPr>
            <w:tcW w:w="1274" w:type="dxa"/>
            <w:vAlign w:val="center"/>
          </w:tcPr>
          <w:p w14:paraId="1D0D4638" w14:textId="77777777" w:rsidR="003C3C4F" w:rsidRDefault="00000000">
            <w:pPr>
              <w:spacing w:after="0" w:line="240" w:lineRule="auto"/>
              <w:jc w:val="right"/>
              <w:rPr>
                <w:rFonts w:eastAsia="Times New Roman"/>
                <w:color w:val="000000"/>
                <w:szCs w:val="24"/>
              </w:rPr>
            </w:pPr>
            <w:r>
              <w:rPr>
                <w:rFonts w:eastAsia="Times New Roman"/>
                <w:color w:val="000000"/>
                <w:szCs w:val="24"/>
              </w:rPr>
              <w:t>3.6</w:t>
            </w:r>
          </w:p>
        </w:tc>
        <w:tc>
          <w:tcPr>
            <w:tcW w:w="1272" w:type="dxa"/>
            <w:vAlign w:val="center"/>
          </w:tcPr>
          <w:p w14:paraId="214BA178" w14:textId="77777777" w:rsidR="003C3C4F" w:rsidRDefault="00000000">
            <w:pPr>
              <w:spacing w:after="0" w:line="240" w:lineRule="auto"/>
              <w:jc w:val="right"/>
              <w:rPr>
                <w:rFonts w:eastAsia="Times New Roman"/>
                <w:color w:val="000000"/>
                <w:szCs w:val="24"/>
              </w:rPr>
            </w:pPr>
            <w:r>
              <w:rPr>
                <w:rFonts w:eastAsia="Times New Roman"/>
                <w:color w:val="000000"/>
                <w:szCs w:val="24"/>
              </w:rPr>
              <w:t>0.001</w:t>
            </w:r>
          </w:p>
        </w:tc>
      </w:tr>
      <w:tr w:rsidR="003C3C4F" w14:paraId="2D47E4FF" w14:textId="77777777">
        <w:trPr>
          <w:trHeight w:val="300"/>
        </w:trPr>
        <w:tc>
          <w:tcPr>
            <w:tcW w:w="3331" w:type="dxa"/>
            <w:tcBorders>
              <w:bottom w:val="single" w:sz="4" w:space="0" w:color="000000"/>
            </w:tcBorders>
            <w:vAlign w:val="center"/>
          </w:tcPr>
          <w:p w14:paraId="21194A6A" w14:textId="77777777" w:rsidR="003C3C4F" w:rsidRDefault="00000000">
            <w:pPr>
              <w:spacing w:after="0" w:line="240" w:lineRule="auto"/>
              <w:rPr>
                <w:rFonts w:eastAsia="Times New Roman"/>
                <w:color w:val="000000"/>
                <w:szCs w:val="24"/>
              </w:rPr>
            </w:pPr>
            <w:r>
              <w:rPr>
                <w:rFonts w:eastAsia="Times New Roman"/>
                <w:color w:val="000000"/>
                <w:szCs w:val="24"/>
              </w:rPr>
              <w:t>IB</w:t>
            </w:r>
          </w:p>
        </w:tc>
        <w:tc>
          <w:tcPr>
            <w:tcW w:w="2204" w:type="dxa"/>
            <w:tcBorders>
              <w:bottom w:val="single" w:sz="4" w:space="0" w:color="000000"/>
            </w:tcBorders>
            <w:vAlign w:val="center"/>
          </w:tcPr>
          <w:p w14:paraId="624883AC" w14:textId="77777777" w:rsidR="003C3C4F" w:rsidRDefault="00000000">
            <w:pPr>
              <w:spacing w:after="0" w:line="240" w:lineRule="auto"/>
              <w:jc w:val="right"/>
              <w:rPr>
                <w:rFonts w:eastAsia="Times New Roman"/>
                <w:color w:val="000000"/>
                <w:szCs w:val="24"/>
              </w:rPr>
            </w:pPr>
            <w:r>
              <w:rPr>
                <w:rFonts w:eastAsia="Times New Roman"/>
                <w:color w:val="000000"/>
                <w:szCs w:val="24"/>
              </w:rPr>
              <w:t>0.011</w:t>
            </w:r>
          </w:p>
        </w:tc>
        <w:tc>
          <w:tcPr>
            <w:tcW w:w="1279" w:type="dxa"/>
            <w:tcBorders>
              <w:bottom w:val="single" w:sz="4" w:space="0" w:color="000000"/>
            </w:tcBorders>
            <w:vAlign w:val="center"/>
          </w:tcPr>
          <w:p w14:paraId="12F03C0C" w14:textId="77777777" w:rsidR="003C3C4F" w:rsidRDefault="00000000">
            <w:pPr>
              <w:spacing w:after="0" w:line="240" w:lineRule="auto"/>
              <w:jc w:val="right"/>
              <w:rPr>
                <w:rFonts w:eastAsia="Times New Roman"/>
                <w:color w:val="000000"/>
                <w:szCs w:val="24"/>
              </w:rPr>
            </w:pPr>
            <w:r>
              <w:rPr>
                <w:rFonts w:eastAsia="Times New Roman"/>
                <w:color w:val="000000"/>
                <w:szCs w:val="24"/>
              </w:rPr>
              <w:t>0.004</w:t>
            </w:r>
          </w:p>
        </w:tc>
        <w:tc>
          <w:tcPr>
            <w:tcW w:w="1274" w:type="dxa"/>
            <w:tcBorders>
              <w:bottom w:val="single" w:sz="4" w:space="0" w:color="000000"/>
            </w:tcBorders>
            <w:vAlign w:val="center"/>
          </w:tcPr>
          <w:p w14:paraId="253C54AE" w14:textId="77777777" w:rsidR="003C3C4F" w:rsidRDefault="00000000">
            <w:pPr>
              <w:spacing w:after="0" w:line="240" w:lineRule="auto"/>
              <w:jc w:val="right"/>
              <w:rPr>
                <w:rFonts w:eastAsia="Times New Roman"/>
                <w:color w:val="000000"/>
                <w:szCs w:val="24"/>
              </w:rPr>
            </w:pPr>
            <w:r>
              <w:rPr>
                <w:rFonts w:eastAsia="Times New Roman"/>
                <w:color w:val="000000"/>
                <w:szCs w:val="24"/>
              </w:rPr>
              <w:t>2.75</w:t>
            </w:r>
          </w:p>
        </w:tc>
        <w:tc>
          <w:tcPr>
            <w:tcW w:w="1272" w:type="dxa"/>
            <w:tcBorders>
              <w:bottom w:val="single" w:sz="4" w:space="0" w:color="000000"/>
            </w:tcBorders>
            <w:vAlign w:val="center"/>
          </w:tcPr>
          <w:p w14:paraId="16895328" w14:textId="77777777" w:rsidR="003C3C4F" w:rsidRDefault="00000000">
            <w:pPr>
              <w:spacing w:after="0" w:line="240" w:lineRule="auto"/>
              <w:jc w:val="right"/>
              <w:rPr>
                <w:rFonts w:eastAsia="Times New Roman"/>
                <w:color w:val="000000"/>
                <w:szCs w:val="24"/>
              </w:rPr>
            </w:pPr>
            <w:r>
              <w:rPr>
                <w:rFonts w:eastAsia="Times New Roman"/>
                <w:color w:val="000000"/>
                <w:szCs w:val="24"/>
              </w:rPr>
              <w:t>0.009</w:t>
            </w:r>
          </w:p>
        </w:tc>
      </w:tr>
    </w:tbl>
    <w:p w14:paraId="3A28DEB5" w14:textId="77777777" w:rsidR="003C3C4F" w:rsidRDefault="00000000">
      <w:pPr>
        <w:spacing w:after="0" w:line="480" w:lineRule="auto"/>
        <w:rPr>
          <w:rFonts w:eastAsia="Times New Roman"/>
          <w:b/>
          <w:szCs w:val="24"/>
        </w:rPr>
      </w:pPr>
      <w:r>
        <w:rPr>
          <w:rFonts w:eastAsia="Times New Roman"/>
          <w:b/>
          <w:szCs w:val="24"/>
        </w:rPr>
        <w:t>Source: Researchers, 2026</w:t>
      </w:r>
    </w:p>
    <w:p w14:paraId="4CF497F3" w14:textId="77777777" w:rsidR="003C3C4F" w:rsidRDefault="00000000">
      <w:r>
        <w:t>Table 3 revealed that the constant term has a value of 0.021</w:t>
      </w:r>
      <w:r>
        <w:rPr>
          <w:highlight w:val="yellow"/>
        </w:rPr>
        <w:t>,</w:t>
      </w:r>
      <w:r>
        <w:t xml:space="preserve"> which shows that</w:t>
      </w:r>
      <w:r>
        <w:rPr>
          <w:highlight w:val="yellow"/>
        </w:rPr>
        <w:t>,</w:t>
      </w:r>
      <w:r>
        <w:t xml:space="preserve"> all things be</w:t>
      </w:r>
      <w:r>
        <w:rPr>
          <w:highlight w:val="yellow"/>
        </w:rPr>
        <w:t>i</w:t>
      </w:r>
      <w:r>
        <w:t>n</w:t>
      </w:r>
      <w:r>
        <w:rPr>
          <w:highlight w:val="yellow"/>
        </w:rPr>
        <w:t>g</w:t>
      </w:r>
      <w:r>
        <w:t xml:space="preserve"> equal</w:t>
      </w:r>
      <w:r>
        <w:rPr>
          <w:highlight w:val="yellow"/>
        </w:rPr>
        <w:t xml:space="preserve"> and</w:t>
      </w:r>
      <w:r>
        <w:t xml:space="preserve"> when all other variables are held constant, bank profitability will stand at 0.021</w:t>
      </w:r>
      <w:r>
        <w:rPr>
          <w:highlight w:val="yellow"/>
        </w:rPr>
        <w:t>,</w:t>
      </w:r>
      <w:r>
        <w:t xml:space="preserve"> which is positive. This means that banks in the study can still generate profit even whe</w:t>
      </w:r>
      <w:r>
        <w:rPr>
          <w:highlight w:val="yellow"/>
        </w:rPr>
        <w:t>n</w:t>
      </w:r>
      <w:r>
        <w:t xml:space="preserve"> they d</w:t>
      </w:r>
      <w:r>
        <w:rPr>
          <w:highlight w:val="yellow"/>
        </w:rPr>
        <w:t>o</w:t>
      </w:r>
      <w:r>
        <w:t xml:space="preserve"> not utilise the various electronic tools or channels. The outcome in the table further shows that ATMs ha</w:t>
      </w:r>
      <w:r>
        <w:rPr>
          <w:highlight w:val="yellow"/>
        </w:rPr>
        <w:t>ve</w:t>
      </w:r>
      <w:r>
        <w:t xml:space="preserve"> a positive (0.004) and statistically insignificant (p &gt; 0.05) relationship with return on assets. This means that ATM </w:t>
      </w:r>
      <w:r>
        <w:rPr>
          <w:highlight w:val="yellow"/>
        </w:rPr>
        <w:t xml:space="preserve">use </w:t>
      </w:r>
      <w:r>
        <w:t xml:space="preserve">has moderate predictive power </w:t>
      </w:r>
      <w:r>
        <w:rPr>
          <w:highlight w:val="yellow"/>
        </w:rPr>
        <w:t>f</w:t>
      </w:r>
      <w:r>
        <w:t>o</w:t>
      </w:r>
      <w:r>
        <w:rPr>
          <w:highlight w:val="yellow"/>
        </w:rPr>
        <w:t>r</w:t>
      </w:r>
      <w:r>
        <w:t xml:space="preserve"> bank profitability. However, the results reveal that MB exhibited a favourable and noteworthy </w:t>
      </w:r>
      <w:r>
        <w:rPr>
          <w:highlight w:val="yellow"/>
        </w:rPr>
        <w:t>re</w:t>
      </w:r>
      <w:r>
        <w:t>l</w:t>
      </w:r>
      <w:r>
        <w:rPr>
          <w:highlight w:val="yellow"/>
        </w:rPr>
        <w:t>at</w:t>
      </w:r>
      <w:r>
        <w:t>i</w:t>
      </w:r>
      <w:r>
        <w:rPr>
          <w:highlight w:val="yellow"/>
        </w:rPr>
        <w:t>o</w:t>
      </w:r>
      <w:r>
        <w:t>n</w:t>
      </w:r>
      <w:r>
        <w:rPr>
          <w:highlight w:val="yellow"/>
        </w:rPr>
        <w:t>ship</w:t>
      </w:r>
      <w:r>
        <w:t xml:space="preserve"> with ROA</w:t>
      </w:r>
      <w:r>
        <w:rPr>
          <w:highlight w:val="yellow"/>
        </w:rPr>
        <w:t>,</w:t>
      </w:r>
      <w:r>
        <w:t xml:space="preserve"> with a coefficient of 0.018 and prob. = 0.001</w:t>
      </w:r>
      <w:r>
        <w:rPr>
          <w:highlight w:val="yellow"/>
        </w:rPr>
        <w:t>,</w:t>
      </w:r>
      <w:r>
        <w:t xml:space="preserve"> which is less than 0.05. This means that mobile banking</w:t>
      </w:r>
      <w:r>
        <w:rPr>
          <w:highlight w:val="yellow"/>
        </w:rPr>
        <w:t>,</w:t>
      </w:r>
      <w:r>
        <w:t xml:space="preserve"> when adopted</w:t>
      </w:r>
      <w:r>
        <w:rPr>
          <w:highlight w:val="yellow"/>
        </w:rPr>
        <w:t>,</w:t>
      </w:r>
      <w:r>
        <w:t xml:space="preserve"> can enhance the effectiveness and performance of banking services</w:t>
      </w:r>
      <w:r>
        <w:rPr>
          <w:highlight w:val="yellow"/>
        </w:rPr>
        <w:t xml:space="preserve"> and</w:t>
      </w:r>
      <w:r>
        <w:t>, hence</w:t>
      </w:r>
      <w:r>
        <w:rPr>
          <w:highlight w:val="yellow"/>
        </w:rPr>
        <w:t>,</w:t>
      </w:r>
      <w:r>
        <w:t xml:space="preserve"> increase </w:t>
      </w:r>
      <w:r>
        <w:rPr>
          <w:highlight w:val="yellow"/>
        </w:rPr>
        <w:t>ba</w:t>
      </w:r>
      <w:r>
        <w:t>n</w:t>
      </w:r>
      <w:r>
        <w:rPr>
          <w:highlight w:val="yellow"/>
        </w:rPr>
        <w:t>k</w:t>
      </w:r>
      <w:r>
        <w:t xml:space="preserve"> profitability. This result further indicates that mobile banking is a</w:t>
      </w:r>
      <w:r>
        <w:rPr>
          <w:highlight w:val="yellow"/>
        </w:rPr>
        <w:t>n</w:t>
      </w:r>
      <w:r>
        <w:t xml:space="preserve"> i</w:t>
      </w:r>
      <w:r>
        <w:rPr>
          <w:highlight w:val="yellow"/>
        </w:rPr>
        <w:t>n</w:t>
      </w:r>
      <w:r>
        <w:t>it</w:t>
      </w:r>
      <w:r>
        <w:rPr>
          <w:highlight w:val="yellow"/>
        </w:rPr>
        <w:t>i</w:t>
      </w:r>
      <w:r>
        <w:t xml:space="preserve">ative that cannot be </w:t>
      </w:r>
      <w:r>
        <w:rPr>
          <w:highlight w:val="yellow"/>
        </w:rPr>
        <w:t>dis</w:t>
      </w:r>
      <w:r>
        <w:t>r</w:t>
      </w:r>
      <w:r>
        <w:rPr>
          <w:highlight w:val="yellow"/>
        </w:rPr>
        <w:t>eg</w:t>
      </w:r>
      <w:r>
        <w:t>a</w:t>
      </w:r>
      <w:r>
        <w:rPr>
          <w:highlight w:val="yellow"/>
        </w:rPr>
        <w:t>rded</w:t>
      </w:r>
      <w:r>
        <w:t xml:space="preserve"> in the banking sector if profitability is to be achieved. In addition, the results show that internet banking also has a favourable and statistically notable </w:t>
      </w:r>
      <w:r>
        <w:rPr>
          <w:highlight w:val="yellow"/>
        </w:rPr>
        <w:t>re</w:t>
      </w:r>
      <w:r>
        <w:t>l</w:t>
      </w:r>
      <w:r>
        <w:rPr>
          <w:highlight w:val="yellow"/>
        </w:rPr>
        <w:t>at</w:t>
      </w:r>
      <w:r>
        <w:t>i</w:t>
      </w:r>
      <w:r>
        <w:rPr>
          <w:highlight w:val="yellow"/>
        </w:rPr>
        <w:t>o</w:t>
      </w:r>
      <w:r>
        <w:t>n</w:t>
      </w:r>
      <w:r>
        <w:rPr>
          <w:highlight w:val="yellow"/>
        </w:rPr>
        <w:t>ship</w:t>
      </w:r>
      <w:r>
        <w:t xml:space="preserve"> with ROA</w:t>
      </w:r>
      <w:r>
        <w:rPr>
          <w:highlight w:val="yellow"/>
        </w:rPr>
        <w:t>,</w:t>
      </w:r>
      <w:r>
        <w:t xml:space="preserve"> with a coefficient of 0.011 and prob. = 0.009</w:t>
      </w:r>
      <w:r>
        <w:rPr>
          <w:highlight w:val="yellow"/>
        </w:rPr>
        <w:t>,</w:t>
      </w:r>
      <w:r>
        <w:t xml:space="preserve"> which is less than 0.05. This indicat</w:t>
      </w:r>
      <w:r>
        <w:rPr>
          <w:highlight w:val="yellow"/>
        </w:rPr>
        <w:t>es</w:t>
      </w:r>
      <w:r>
        <w:t xml:space="preserve"> that IB exerts a favourable effect on the profitability of banks in the </w:t>
      </w:r>
      <w:r>
        <w:rPr>
          <w:highlight w:val="yellow"/>
        </w:rPr>
        <w:t>st</w:t>
      </w:r>
      <w:r>
        <w:t>u</w:t>
      </w:r>
      <w:r>
        <w:rPr>
          <w:highlight w:val="yellow"/>
        </w:rPr>
        <w:t>d</w:t>
      </w:r>
      <w:r>
        <w:t>y area. Based on th</w:t>
      </w:r>
      <w:r>
        <w:rPr>
          <w:highlight w:val="yellow"/>
        </w:rPr>
        <w:t>e</w:t>
      </w:r>
      <w:r>
        <w:t>s</w:t>
      </w:r>
      <w:r>
        <w:rPr>
          <w:highlight w:val="yellow"/>
        </w:rPr>
        <w:t>e</w:t>
      </w:r>
      <w:r>
        <w:t xml:space="preserve"> results</w:t>
      </w:r>
      <w:r>
        <w:rPr>
          <w:highlight w:val="yellow"/>
        </w:rPr>
        <w:t>,</w:t>
      </w:r>
      <w:r>
        <w:t xml:space="preserve"> internet banking is seen as a </w:t>
      </w:r>
      <w:r>
        <w:rPr>
          <w:highlight w:val="yellow"/>
        </w:rPr>
        <w:t>useful</w:t>
      </w:r>
      <w:r>
        <w:t xml:space="preserve"> channel that enhances banks</w:t>
      </w:r>
      <w:r>
        <w:rPr>
          <w:highlight w:val="yellow"/>
        </w:rPr>
        <w:t>'</w:t>
      </w:r>
      <w:r>
        <w:t xml:space="preserve"> financial operations an</w:t>
      </w:r>
      <w:r>
        <w:rPr>
          <w:highlight w:val="yellow"/>
        </w:rPr>
        <w:t>d</w:t>
      </w:r>
      <w:r>
        <w:t xml:space="preserve"> their ability to </w:t>
      </w:r>
      <w:r>
        <w:rPr>
          <w:highlight w:val="yellow"/>
        </w:rPr>
        <w:t>gener</w:t>
      </w:r>
      <w:r>
        <w:t>a</w:t>
      </w:r>
      <w:r>
        <w:rPr>
          <w:highlight w:val="yellow"/>
        </w:rPr>
        <w:t>t</w:t>
      </w:r>
      <w:r>
        <w:t>e more profits.</w:t>
      </w:r>
    </w:p>
    <w:p w14:paraId="5E762915" w14:textId="77777777" w:rsidR="003C3C4F" w:rsidRDefault="00000000">
      <w:pPr>
        <w:pStyle w:val="Heading2"/>
      </w:pPr>
      <w:r>
        <w:t xml:space="preserve">4.2 Discussion of Findings </w:t>
      </w:r>
    </w:p>
    <w:p w14:paraId="7612E25E" w14:textId="77777777" w:rsidR="003C3C4F" w:rsidRDefault="00000000">
      <w:r>
        <w:t xml:space="preserve">The findings of the </w:t>
      </w:r>
      <w:r>
        <w:rPr>
          <w:highlight w:val="yellow"/>
        </w:rPr>
        <w:t>prese</w:t>
      </w:r>
      <w:r>
        <w:t>n</w:t>
      </w:r>
      <w:r>
        <w:rPr>
          <w:highlight w:val="yellow"/>
        </w:rPr>
        <w:t>t</w:t>
      </w:r>
      <w:r>
        <w:t xml:space="preserve"> investigation </w:t>
      </w:r>
      <w:r>
        <w:rPr>
          <w:highlight w:val="yellow"/>
        </w:rPr>
        <w:t>are d</w:t>
      </w:r>
      <w:r>
        <w:t>is</w:t>
      </w:r>
      <w:r>
        <w:rPr>
          <w:highlight w:val="yellow"/>
        </w:rPr>
        <w:t>cusse</w:t>
      </w:r>
      <w:r>
        <w:t>d in line with the st</w:t>
      </w:r>
      <w:r>
        <w:rPr>
          <w:highlight w:val="yellow"/>
        </w:rPr>
        <w:t>udy</w:t>
      </w:r>
      <w:r>
        <w:t xml:space="preserve"> o</w:t>
      </w:r>
      <w:r>
        <w:rPr>
          <w:highlight w:val="yellow"/>
        </w:rPr>
        <w:t>bjec</w:t>
      </w:r>
      <w:r>
        <w:t>ti</w:t>
      </w:r>
      <w:r>
        <w:rPr>
          <w:highlight w:val="yellow"/>
        </w:rPr>
        <w:t>v</w:t>
      </w:r>
      <w:r>
        <w:t>es</w:t>
      </w:r>
      <w:r>
        <w:rPr>
          <w:highlight w:val="yellow"/>
        </w:rPr>
        <w:t>,</w:t>
      </w:r>
      <w:r>
        <w:t xml:space="preserve"> as follows:</w:t>
      </w:r>
    </w:p>
    <w:p w14:paraId="4D8324E3" w14:textId="77777777" w:rsidR="003C3C4F" w:rsidRDefault="00000000">
      <w:pPr>
        <w:pStyle w:val="Heading3"/>
      </w:pPr>
      <w:r>
        <w:t xml:space="preserve">4.2.1 Effects of Automated Teller Machines (ATMs) on the profitability of Banks. </w:t>
      </w:r>
    </w:p>
    <w:p w14:paraId="3B2AF24E" w14:textId="77777777" w:rsidR="003C3C4F" w:rsidRDefault="00000000">
      <w:r>
        <w:rPr>
          <w:highlight w:val="yellow"/>
        </w:rPr>
        <w:t>The primary objective of the investigation was to a</w:t>
      </w:r>
      <w:r>
        <w:t xml:space="preserve">ssess how ATMs affected </w:t>
      </w:r>
      <w:r>
        <w:rPr>
          <w:highlight w:val="yellow"/>
        </w:rPr>
        <w:t>th</w:t>
      </w:r>
      <w:r>
        <w:t xml:space="preserve">e profitability </w:t>
      </w:r>
      <w:r>
        <w:rPr>
          <w:highlight w:val="yellow"/>
        </w:rPr>
        <w:t>of b</w:t>
      </w:r>
      <w:r>
        <w:t>a</w:t>
      </w:r>
      <w:r>
        <w:rPr>
          <w:highlight w:val="yellow"/>
        </w:rPr>
        <w:t>nk</w:t>
      </w:r>
      <w:r>
        <w:t>s in</w:t>
      </w:r>
      <w:r>
        <w:rPr>
          <w:highlight w:val="yellow"/>
        </w:rPr>
        <w:t xml:space="preserve"> NCC, K</w:t>
      </w:r>
      <w:r>
        <w:t>e</w:t>
      </w:r>
      <w:r>
        <w:rPr>
          <w:highlight w:val="yellow"/>
        </w:rPr>
        <w:t>ny</w:t>
      </w:r>
      <w:r>
        <w:t>a. Regression analysis was utili</w:t>
      </w:r>
      <w:r>
        <w:rPr>
          <w:highlight w:val="yellow"/>
        </w:rPr>
        <w:t>s</w:t>
      </w:r>
      <w:r>
        <w:t>ed to accomplish this o</w:t>
      </w:r>
      <w:r>
        <w:rPr>
          <w:highlight w:val="yellow"/>
        </w:rPr>
        <w:t>bjective</w:t>
      </w:r>
      <w:r>
        <w:t>, and the outcome denoted that ATMs had a favourable but statistically i</w:t>
      </w:r>
      <w:r>
        <w:rPr>
          <w:highlight w:val="yellow"/>
        </w:rPr>
        <w:t>nsignific</w:t>
      </w:r>
      <w:r>
        <w:t xml:space="preserve">ant </w:t>
      </w:r>
      <w:r>
        <w:rPr>
          <w:highlight w:val="yellow"/>
        </w:rPr>
        <w:t>re</w:t>
      </w:r>
      <w:r>
        <w:t>l</w:t>
      </w:r>
      <w:r>
        <w:rPr>
          <w:highlight w:val="yellow"/>
        </w:rPr>
        <w:t>at</w:t>
      </w:r>
      <w:r>
        <w:t>i</w:t>
      </w:r>
      <w:r>
        <w:rPr>
          <w:highlight w:val="yellow"/>
        </w:rPr>
        <w:t>o</w:t>
      </w:r>
      <w:r>
        <w:t>n</w:t>
      </w:r>
      <w:r>
        <w:rPr>
          <w:highlight w:val="yellow"/>
        </w:rPr>
        <w:t>ship</w:t>
      </w:r>
      <w:r>
        <w:t xml:space="preserve"> with commercial banks' profitability. This result indicated that bank</w:t>
      </w:r>
      <w:r>
        <w:rPr>
          <w:highlight w:val="yellow"/>
        </w:rPr>
        <w:t xml:space="preserve"> profitability</w:t>
      </w:r>
      <w:r>
        <w:t xml:space="preserve"> is </w:t>
      </w:r>
      <w:r>
        <w:rPr>
          <w:highlight w:val="yellow"/>
        </w:rPr>
        <w:t>positively associate</w:t>
      </w:r>
      <w:r>
        <w:t xml:space="preserve">d </w:t>
      </w:r>
      <w:r>
        <w:rPr>
          <w:highlight w:val="yellow"/>
        </w:rPr>
        <w:t>wi</w:t>
      </w:r>
      <w:r>
        <w:t>th</w:t>
      </w:r>
      <w:r>
        <w:rPr>
          <w:highlight w:val="yellow"/>
        </w:rPr>
        <w:t xml:space="preserve"> ATM</w:t>
      </w:r>
      <w:r>
        <w:t xml:space="preserve"> use, </w:t>
      </w:r>
      <w:r>
        <w:rPr>
          <w:highlight w:val="yellow"/>
        </w:rPr>
        <w:t>al</w:t>
      </w:r>
      <w:r>
        <w:t>though the effect is not st</w:t>
      </w:r>
      <w:r>
        <w:rPr>
          <w:highlight w:val="yellow"/>
        </w:rPr>
        <w:t>atistically sig</w:t>
      </w:r>
      <w:r>
        <w:t>n</w:t>
      </w:r>
      <w:r>
        <w:rPr>
          <w:highlight w:val="yellow"/>
        </w:rPr>
        <w:t>ifica</w:t>
      </w:r>
      <w:r>
        <w:t>n</w:t>
      </w:r>
      <w:r>
        <w:rPr>
          <w:highlight w:val="yellow"/>
        </w:rPr>
        <w:t>t</w:t>
      </w:r>
      <w:r>
        <w:t xml:space="preserve">. Since the result </w:t>
      </w:r>
      <w:r>
        <w:lastRenderedPageBreak/>
        <w:t>reveals a positive relationship, it shows that bank operations</w:t>
      </w:r>
      <w:r>
        <w:rPr>
          <w:highlight w:val="yellow"/>
        </w:rPr>
        <w:t>,</w:t>
      </w:r>
      <w:r>
        <w:t xml:space="preserve"> efficient service delivery</w:t>
      </w:r>
      <w:r>
        <w:rPr>
          <w:highlight w:val="yellow"/>
        </w:rPr>
        <w:t>,</w:t>
      </w:r>
      <w:r>
        <w:t xml:space="preserve"> customer satisfaction</w:t>
      </w:r>
      <w:r>
        <w:rPr>
          <w:highlight w:val="yellow"/>
        </w:rPr>
        <w:t>,</w:t>
      </w:r>
      <w:r>
        <w:t xml:space="preserve"> and convenience are supported by the use of Automated Teller Machines. This corroborates the findings of Mang et al. (2023)</w:t>
      </w:r>
      <w:r>
        <w:rPr>
          <w:highlight w:val="yellow"/>
        </w:rPr>
        <w:t>,</w:t>
      </w:r>
      <w:r>
        <w:t xml:space="preserve"> who found that ATMs considerably boost GTB's profitability. The inquiry deduced that GTB's profitability is a</w:t>
      </w:r>
      <w:r>
        <w:rPr>
          <w:highlight w:val="yellow"/>
        </w:rPr>
        <w:t>ffe</w:t>
      </w:r>
      <w:r>
        <w:t>cted by ATMs and e-banking channels and that increasing investment in these channels boosts the company's operational profitability. This result also support</w:t>
      </w:r>
      <w:r>
        <w:rPr>
          <w:highlight w:val="yellow"/>
        </w:rPr>
        <w:t>s</w:t>
      </w:r>
      <w:r>
        <w:t xml:space="preserve"> the findings of Williams (2025) and Abu et al. (2026)</w:t>
      </w:r>
      <w:r>
        <w:rPr>
          <w:highlight w:val="yellow"/>
        </w:rPr>
        <w:t>,</w:t>
      </w:r>
      <w:r>
        <w:t xml:space="preserve"> who found that ATM transactions had a noteworthy and favourable impact on ROA, indicating that higher ATM usage boosts bank profitability. In addition, the finding is </w:t>
      </w:r>
      <w:r>
        <w:rPr>
          <w:highlight w:val="yellow"/>
        </w:rPr>
        <w:t>cons</w:t>
      </w:r>
      <w:r>
        <w:t>i</w:t>
      </w:r>
      <w:r>
        <w:rPr>
          <w:highlight w:val="yellow"/>
        </w:rPr>
        <w:t>ste</w:t>
      </w:r>
      <w:r>
        <w:t>n</w:t>
      </w:r>
      <w:r>
        <w:rPr>
          <w:highlight w:val="yellow"/>
        </w:rPr>
        <w:t>t</w:t>
      </w:r>
      <w:r>
        <w:t xml:space="preserve"> with the RBV as formulated by Wernerfelt (1984)</w:t>
      </w:r>
      <w:r>
        <w:rPr>
          <w:highlight w:val="yellow"/>
        </w:rPr>
        <w:t>,</w:t>
      </w:r>
      <w:r>
        <w:t xml:space="preserve"> which state</w:t>
      </w:r>
      <w:r>
        <w:rPr>
          <w:highlight w:val="yellow"/>
        </w:rPr>
        <w:t>s</w:t>
      </w:r>
      <w:r>
        <w:t xml:space="preserve"> that organisation</w:t>
      </w:r>
      <w:r>
        <w:rPr>
          <w:highlight w:val="yellow"/>
        </w:rPr>
        <w:t>al resource</w:t>
      </w:r>
      <w:r>
        <w:t xml:space="preserve">s are sustainable only if they </w:t>
      </w:r>
      <w:r>
        <w:rPr>
          <w:highlight w:val="yellow"/>
        </w:rPr>
        <w:t>c</w:t>
      </w:r>
      <w:r>
        <w:t>a</w:t>
      </w:r>
      <w:r>
        <w:rPr>
          <w:highlight w:val="yellow"/>
        </w:rPr>
        <w:t>n</w:t>
      </w:r>
      <w:r>
        <w:t xml:space="preserve"> produce sustained competitive advantage</w:t>
      </w:r>
      <w:r>
        <w:rPr>
          <w:highlight w:val="yellow"/>
        </w:rPr>
        <w:t>,</w:t>
      </w:r>
      <w:r>
        <w:t xml:space="preserve"> are not easily imitated</w:t>
      </w:r>
      <w:r>
        <w:rPr>
          <w:highlight w:val="yellow"/>
        </w:rPr>
        <w:t>,</w:t>
      </w:r>
      <w:r>
        <w:t xml:space="preserve"> and </w:t>
      </w:r>
      <w:r>
        <w:rPr>
          <w:highlight w:val="yellow"/>
        </w:rPr>
        <w:t>can</w:t>
      </w:r>
      <w:r>
        <w:t xml:space="preserve"> be </w:t>
      </w:r>
      <w:r>
        <w:rPr>
          <w:highlight w:val="yellow"/>
        </w:rPr>
        <w:t>r</w:t>
      </w:r>
      <w:r>
        <w:t>ea</w:t>
      </w:r>
      <w:r>
        <w:rPr>
          <w:highlight w:val="yellow"/>
        </w:rPr>
        <w:t>d</w:t>
      </w:r>
      <w:r>
        <w:t xml:space="preserve">ily deployed. </w:t>
      </w:r>
      <w:r>
        <w:rPr>
          <w:highlight w:val="yellow"/>
        </w:rPr>
        <w:t>Al</w:t>
      </w:r>
      <w:r>
        <w:t>though Automated Teller Machines are no longer rare resources</w:t>
      </w:r>
      <w:r>
        <w:rPr>
          <w:highlight w:val="yellow"/>
        </w:rPr>
        <w:t>,</w:t>
      </w:r>
      <w:r>
        <w:t xml:space="preserve"> they have become </w:t>
      </w:r>
      <w:r>
        <w:rPr>
          <w:highlight w:val="yellow"/>
        </w:rPr>
        <w:t xml:space="preserve">an integral </w:t>
      </w:r>
      <w:r>
        <w:t xml:space="preserve">part of the banking industry </w:t>
      </w:r>
      <w:r>
        <w:rPr>
          <w:highlight w:val="yellow"/>
        </w:rPr>
        <w:t>bec</w:t>
      </w:r>
      <w:r>
        <w:t>au</w:t>
      </w:r>
      <w:r>
        <w:rPr>
          <w:highlight w:val="yellow"/>
        </w:rPr>
        <w:t>s</w:t>
      </w:r>
      <w:r>
        <w:t>e o</w:t>
      </w:r>
      <w:r>
        <w:rPr>
          <w:highlight w:val="yellow"/>
        </w:rPr>
        <w:t>f</w:t>
      </w:r>
      <w:r>
        <w:t xml:space="preserve"> their essential r</w:t>
      </w:r>
      <w:r>
        <w:rPr>
          <w:highlight w:val="yellow"/>
        </w:rPr>
        <w:t>ol</w:t>
      </w:r>
      <w:r>
        <w:t>e in driving efficiency and subsequently improving profitability.</w:t>
      </w:r>
    </w:p>
    <w:p w14:paraId="799E6C01" w14:textId="77777777" w:rsidR="003C3C4F" w:rsidRDefault="00000000">
      <w:pPr>
        <w:pStyle w:val="Heading3"/>
      </w:pPr>
      <w:r>
        <w:t xml:space="preserve">4.2.2 Effect of Mobile Banking on the profitability of Commercial Banks  </w:t>
      </w:r>
    </w:p>
    <w:p w14:paraId="4DA2621E" w14:textId="77777777" w:rsidR="003C3C4F" w:rsidRDefault="00000000">
      <w:r>
        <w:t xml:space="preserve">The second objective of the </w:t>
      </w:r>
      <w:r>
        <w:rPr>
          <w:highlight w:val="yellow"/>
        </w:rPr>
        <w:t>p</w:t>
      </w:r>
      <w:r>
        <w:t>re</w:t>
      </w:r>
      <w:r>
        <w:rPr>
          <w:highlight w:val="yellow"/>
        </w:rPr>
        <w:t>s</w:t>
      </w:r>
      <w:r>
        <w:t xml:space="preserve">ent investigation was to </w:t>
      </w:r>
      <w:r>
        <w:rPr>
          <w:highlight w:val="yellow"/>
        </w:rPr>
        <w:t>exam</w:t>
      </w:r>
      <w:r>
        <w:t>ine how MB influence</w:t>
      </w:r>
      <w:r>
        <w:rPr>
          <w:highlight w:val="yellow"/>
        </w:rPr>
        <w:t>s</w:t>
      </w:r>
      <w:r>
        <w:t xml:space="preserve"> commercial banks</w:t>
      </w:r>
      <w:r>
        <w:rPr>
          <w:highlight w:val="yellow"/>
        </w:rPr>
        <w:t>'</w:t>
      </w:r>
      <w:r>
        <w:t xml:space="preserve"> profitability. The outcome denoted that MB has a positive and noteworthy </w:t>
      </w:r>
      <w:r>
        <w:rPr>
          <w:highlight w:val="yellow"/>
        </w:rPr>
        <w:t>re</w:t>
      </w:r>
      <w:r>
        <w:t>l</w:t>
      </w:r>
      <w:r>
        <w:rPr>
          <w:highlight w:val="yellow"/>
        </w:rPr>
        <w:t>at</w:t>
      </w:r>
      <w:r>
        <w:t>i</w:t>
      </w:r>
      <w:r>
        <w:rPr>
          <w:highlight w:val="yellow"/>
        </w:rPr>
        <w:t>o</w:t>
      </w:r>
      <w:r>
        <w:t>n</w:t>
      </w:r>
      <w:r>
        <w:rPr>
          <w:highlight w:val="yellow"/>
        </w:rPr>
        <w:t>ship</w:t>
      </w:r>
      <w:r>
        <w:t xml:space="preserve"> with commercial banks</w:t>
      </w:r>
      <w:r>
        <w:rPr>
          <w:highlight w:val="yellow"/>
        </w:rPr>
        <w:t>'</w:t>
      </w:r>
      <w:r>
        <w:t xml:space="preserve"> profitability in Nairobi, Kenya. This result shows that when banks implement mobile banking in </w:t>
      </w:r>
      <w:r>
        <w:rPr>
          <w:highlight w:val="yellow"/>
        </w:rPr>
        <w:t>the</w:t>
      </w:r>
      <w:r>
        <w:t>i</w:t>
      </w:r>
      <w:r>
        <w:rPr>
          <w:highlight w:val="yellow"/>
        </w:rPr>
        <w:t>r</w:t>
      </w:r>
      <w:r>
        <w:t xml:space="preserve"> operations, it </w:t>
      </w:r>
      <w:r>
        <w:rPr>
          <w:highlight w:val="yellow"/>
        </w:rPr>
        <w:t>c</w:t>
      </w:r>
      <w:r>
        <w:t>a</w:t>
      </w:r>
      <w:r>
        <w:rPr>
          <w:highlight w:val="yellow"/>
        </w:rPr>
        <w:t>n</w:t>
      </w:r>
      <w:r>
        <w:t xml:space="preserve"> positively </w:t>
      </w:r>
      <w:r>
        <w:rPr>
          <w:highlight w:val="yellow"/>
        </w:rPr>
        <w:t>affec</w:t>
      </w:r>
      <w:r>
        <w:t xml:space="preserve">t bank profitability. This is because the world is already </w:t>
      </w:r>
      <w:r>
        <w:rPr>
          <w:highlight w:val="yellow"/>
        </w:rPr>
        <w:t>bec</w:t>
      </w:r>
      <w:r>
        <w:t>o</w:t>
      </w:r>
      <w:r>
        <w:rPr>
          <w:highlight w:val="yellow"/>
        </w:rPr>
        <w:t>m</w:t>
      </w:r>
      <w:r>
        <w:t>ing</w:t>
      </w:r>
      <w:r>
        <w:rPr>
          <w:highlight w:val="yellow"/>
        </w:rPr>
        <w:t xml:space="preserve"> increasingly</w:t>
      </w:r>
      <w:r>
        <w:t xml:space="preserve"> digital</w:t>
      </w:r>
      <w:r>
        <w:rPr>
          <w:highlight w:val="yellow"/>
        </w:rPr>
        <w:t>;</w:t>
      </w:r>
      <w:r>
        <w:t xml:space="preserve"> hence</w:t>
      </w:r>
      <w:r>
        <w:rPr>
          <w:highlight w:val="yellow"/>
        </w:rPr>
        <w:t>,</w:t>
      </w:r>
      <w:r>
        <w:t xml:space="preserve"> bank</w:t>
      </w:r>
      <w:r>
        <w:rPr>
          <w:highlight w:val="yellow"/>
        </w:rPr>
        <w:t>ing</w:t>
      </w:r>
      <w:r>
        <w:t xml:space="preserve"> operations must al</w:t>
      </w:r>
      <w:r>
        <w:rPr>
          <w:highlight w:val="yellow"/>
        </w:rPr>
        <w:t>so al</w:t>
      </w:r>
      <w:r>
        <w:t>ign with th</w:t>
      </w:r>
      <w:r>
        <w:rPr>
          <w:highlight w:val="yellow"/>
        </w:rPr>
        <w:t>is</w:t>
      </w:r>
      <w:r>
        <w:t xml:space="preserve"> trend. People can now a</w:t>
      </w:r>
      <w:r>
        <w:rPr>
          <w:highlight w:val="yellow"/>
        </w:rPr>
        <w:t>cce</w:t>
      </w:r>
      <w:r>
        <w:t xml:space="preserve">ss banking services </w:t>
      </w:r>
      <w:r>
        <w:rPr>
          <w:highlight w:val="yellow"/>
        </w:rPr>
        <w:t>from</w:t>
      </w:r>
      <w:r>
        <w:t xml:space="preserve"> the comfort of the</w:t>
      </w:r>
      <w:r>
        <w:rPr>
          <w:highlight w:val="yellow"/>
        </w:rPr>
        <w:t>ir</w:t>
      </w:r>
      <w:r>
        <w:t xml:space="preserve"> homes</w:t>
      </w:r>
      <w:r>
        <w:rPr>
          <w:highlight w:val="yellow"/>
        </w:rPr>
        <w:t xml:space="preserve"> or </w:t>
      </w:r>
      <w:r>
        <w:t>beds</w:t>
      </w:r>
      <w:r>
        <w:rPr>
          <w:highlight w:val="yellow"/>
        </w:rPr>
        <w:t>,</w:t>
      </w:r>
      <w:r>
        <w:t xml:space="preserve"> which reduces transportation </w:t>
      </w:r>
      <w:r>
        <w:rPr>
          <w:highlight w:val="yellow"/>
        </w:rPr>
        <w:t>cos</w:t>
      </w:r>
      <w:r>
        <w:t>t</w:t>
      </w:r>
      <w:r>
        <w:rPr>
          <w:highlight w:val="yellow"/>
        </w:rPr>
        <w:t>s</w:t>
      </w:r>
      <w:r>
        <w:t xml:space="preserve"> ass</w:t>
      </w:r>
      <w:r>
        <w:rPr>
          <w:highlight w:val="yellow"/>
        </w:rPr>
        <w:t>ociat</w:t>
      </w:r>
      <w:r>
        <w:t>e</w:t>
      </w:r>
      <w:r>
        <w:rPr>
          <w:highlight w:val="yellow"/>
        </w:rPr>
        <w:t>d</w:t>
      </w:r>
      <w:r>
        <w:t xml:space="preserve"> </w:t>
      </w:r>
      <w:r>
        <w:rPr>
          <w:highlight w:val="yellow"/>
        </w:rPr>
        <w:t>wi</w:t>
      </w:r>
      <w:r>
        <w:t>th</w:t>
      </w:r>
      <w:r>
        <w:rPr>
          <w:highlight w:val="yellow"/>
        </w:rPr>
        <w:t xml:space="preserve"> visiting</w:t>
      </w:r>
      <w:r>
        <w:t xml:space="preserve"> physical banking halls and reduces congestion a</w:t>
      </w:r>
      <w:r>
        <w:rPr>
          <w:highlight w:val="yellow"/>
        </w:rPr>
        <w:t>nd</w:t>
      </w:r>
      <w:r>
        <w:t xml:space="preserve"> waiting time</w:t>
      </w:r>
      <w:r>
        <w:rPr>
          <w:highlight w:val="yellow"/>
        </w:rPr>
        <w:t>s</w:t>
      </w:r>
      <w:r>
        <w:t xml:space="preserve"> in banks. It also reduces banks</w:t>
      </w:r>
      <w:r>
        <w:rPr>
          <w:highlight w:val="yellow"/>
        </w:rPr>
        <w:t>'</w:t>
      </w:r>
      <w:r>
        <w:t xml:space="preserve"> operati</w:t>
      </w:r>
      <w:r>
        <w:rPr>
          <w:highlight w:val="yellow"/>
        </w:rPr>
        <w:t>ng c</w:t>
      </w:r>
      <w:r>
        <w:t>o</w:t>
      </w:r>
      <w:r>
        <w:rPr>
          <w:highlight w:val="yellow"/>
        </w:rPr>
        <w:t>st</w:t>
      </w:r>
      <w:r>
        <w:t>s, increase</w:t>
      </w:r>
      <w:r>
        <w:rPr>
          <w:highlight w:val="yellow"/>
        </w:rPr>
        <w:t>s</w:t>
      </w:r>
      <w:r>
        <w:t xml:space="preserve"> the volume of transactions</w:t>
      </w:r>
      <w:r>
        <w:rPr>
          <w:highlight w:val="yellow"/>
        </w:rPr>
        <w:t>,</w:t>
      </w:r>
      <w:r>
        <w:t xml:space="preserve"> and</w:t>
      </w:r>
      <w:r>
        <w:rPr>
          <w:highlight w:val="yellow"/>
        </w:rPr>
        <w:t xml:space="preserve"> improves</w:t>
      </w:r>
      <w:r>
        <w:t xml:space="preserve"> customers</w:t>
      </w:r>
      <w:r>
        <w:rPr>
          <w:highlight w:val="yellow"/>
        </w:rPr>
        <w:t>'</w:t>
      </w:r>
      <w:r>
        <w:t xml:space="preserve"> access to mobile loans</w:t>
      </w:r>
      <w:r>
        <w:rPr>
          <w:highlight w:val="yellow"/>
        </w:rPr>
        <w:t xml:space="preserve"> and</w:t>
      </w:r>
      <w:r>
        <w:t xml:space="preserve"> several other savings products </w:t>
      </w:r>
      <w:r>
        <w:rPr>
          <w:highlight w:val="yellow"/>
        </w:rPr>
        <w:t>thr</w:t>
      </w:r>
      <w:r>
        <w:t>o</w:t>
      </w:r>
      <w:r>
        <w:rPr>
          <w:highlight w:val="yellow"/>
        </w:rPr>
        <w:t>ugh</w:t>
      </w:r>
      <w:r>
        <w:t xml:space="preserve"> mobile applications. This outcome is </w:t>
      </w:r>
      <w:r>
        <w:rPr>
          <w:highlight w:val="yellow"/>
        </w:rPr>
        <w:t>cons</w:t>
      </w:r>
      <w:r>
        <w:t>i</w:t>
      </w:r>
      <w:r>
        <w:rPr>
          <w:highlight w:val="yellow"/>
        </w:rPr>
        <w:t>ste</w:t>
      </w:r>
      <w:r>
        <w:t>n</w:t>
      </w:r>
      <w:r>
        <w:rPr>
          <w:highlight w:val="yellow"/>
        </w:rPr>
        <w:t>t</w:t>
      </w:r>
      <w:r>
        <w:t xml:space="preserve"> with the </w:t>
      </w:r>
      <w:r>
        <w:rPr>
          <w:highlight w:val="yellow"/>
        </w:rPr>
        <w:t>finding</w:t>
      </w:r>
      <w:r>
        <w:t xml:space="preserve">s </w:t>
      </w:r>
      <w:r>
        <w:rPr>
          <w:highlight w:val="yellow"/>
        </w:rPr>
        <w:t>o</w:t>
      </w:r>
      <w:r>
        <w:t>f Osiolo and Sije (2023)</w:t>
      </w:r>
      <w:r>
        <w:rPr>
          <w:highlight w:val="yellow"/>
        </w:rPr>
        <w:t>,</w:t>
      </w:r>
      <w:r>
        <w:t xml:space="preserve"> who demonstrated that MB notably and favourably affects Kenyan commercial banks' performance. The outcome also corroborate</w:t>
      </w:r>
      <w:r>
        <w:rPr>
          <w:highlight w:val="yellow"/>
        </w:rPr>
        <w:t>s</w:t>
      </w:r>
      <w:r>
        <w:t xml:space="preserve"> the investigation</w:t>
      </w:r>
      <w:r>
        <w:rPr>
          <w:highlight w:val="yellow"/>
        </w:rPr>
        <w:t>s</w:t>
      </w:r>
      <w:r>
        <w:t xml:space="preserve"> by Sarker </w:t>
      </w:r>
      <w:r>
        <w:rPr>
          <w:i/>
        </w:rPr>
        <w:t>et al.</w:t>
      </w:r>
      <w:r>
        <w:t xml:space="preserve"> (2024) and Achor and Utulu (2026)</w:t>
      </w:r>
      <w:r>
        <w:rPr>
          <w:highlight w:val="yellow"/>
        </w:rPr>
        <w:t>,</w:t>
      </w:r>
      <w:r>
        <w:t xml:space="preserve"> who deduced that strengthening mobile banking platforms is beneficial for long-term profitability. Furthermore, the finding align</w:t>
      </w:r>
      <w:r>
        <w:rPr>
          <w:highlight w:val="yellow"/>
        </w:rPr>
        <w:t>s</w:t>
      </w:r>
      <w:r>
        <w:t xml:space="preserve"> with the TAM by Davis (1989)</w:t>
      </w:r>
      <w:r>
        <w:rPr>
          <w:highlight w:val="yellow"/>
        </w:rPr>
        <w:t>,</w:t>
      </w:r>
      <w:r>
        <w:t xml:space="preserve"> whi</w:t>
      </w:r>
      <w:r>
        <w:rPr>
          <w:highlight w:val="yellow"/>
        </w:rPr>
        <w:t>ch</w:t>
      </w:r>
      <w:r>
        <w:t xml:space="preserve"> emphasi</w:t>
      </w:r>
      <w:r>
        <w:rPr>
          <w:highlight w:val="yellow"/>
        </w:rPr>
        <w:t>s</w:t>
      </w:r>
      <w:r>
        <w:t>e</w:t>
      </w:r>
      <w:r>
        <w:rPr>
          <w:highlight w:val="yellow"/>
        </w:rPr>
        <w:t>s</w:t>
      </w:r>
      <w:r>
        <w:t xml:space="preserve"> that </w:t>
      </w:r>
      <w:r>
        <w:rPr>
          <w:highlight w:val="yellow"/>
        </w:rPr>
        <w:t>the pri</w:t>
      </w:r>
      <w:r>
        <w:t>m</w:t>
      </w:r>
      <w:r>
        <w:rPr>
          <w:highlight w:val="yellow"/>
        </w:rPr>
        <w:t>a</w:t>
      </w:r>
      <w:r>
        <w:t>r</w:t>
      </w:r>
      <w:r>
        <w:rPr>
          <w:highlight w:val="yellow"/>
        </w:rPr>
        <w:t>y</w:t>
      </w:r>
      <w:r>
        <w:t xml:space="preserve"> elements</w:t>
      </w:r>
      <w:r>
        <w:rPr>
          <w:highlight w:val="yellow"/>
        </w:rPr>
        <w:t>,</w:t>
      </w:r>
      <w:r>
        <w:t xml:space="preserve"> PU and PEOU</w:t>
      </w:r>
      <w:r>
        <w:rPr>
          <w:highlight w:val="yellow"/>
        </w:rPr>
        <w:t>,</w:t>
      </w:r>
      <w:r>
        <w:t xml:space="preserve"> </w:t>
      </w:r>
      <w:r>
        <w:rPr>
          <w:highlight w:val="yellow"/>
        </w:rPr>
        <w:t>shape</w:t>
      </w:r>
      <w:r>
        <w:t xml:space="preserve"> customers</w:t>
      </w:r>
      <w:r>
        <w:rPr>
          <w:highlight w:val="yellow"/>
        </w:rPr>
        <w:t>'</w:t>
      </w:r>
      <w:r>
        <w:t xml:space="preserve"> </w:t>
      </w:r>
      <w:r>
        <w:lastRenderedPageBreak/>
        <w:t>attitudes to</w:t>
      </w:r>
      <w:r>
        <w:rPr>
          <w:highlight w:val="yellow"/>
        </w:rPr>
        <w:t>wards</w:t>
      </w:r>
      <w:r>
        <w:t xml:space="preserve"> a technological </w:t>
      </w:r>
      <w:r>
        <w:rPr>
          <w:highlight w:val="yellow"/>
        </w:rPr>
        <w:t>syst</w:t>
      </w:r>
      <w:r>
        <w:t>e</w:t>
      </w:r>
      <w:r>
        <w:rPr>
          <w:highlight w:val="yellow"/>
        </w:rPr>
        <w:t>m</w:t>
      </w:r>
      <w:r>
        <w:t xml:space="preserve">. These attitudes </w:t>
      </w:r>
      <w:r>
        <w:rPr>
          <w:highlight w:val="yellow"/>
        </w:rPr>
        <w:t>influ</w:t>
      </w:r>
      <w:r>
        <w:t>en</w:t>
      </w:r>
      <w:r>
        <w:rPr>
          <w:highlight w:val="yellow"/>
        </w:rPr>
        <w:t>c</w:t>
      </w:r>
      <w:r>
        <w:t xml:space="preserve">e their </w:t>
      </w:r>
      <w:r>
        <w:rPr>
          <w:highlight w:val="yellow"/>
        </w:rPr>
        <w:t>inten</w:t>
      </w:r>
      <w:r>
        <w:t>ti</w:t>
      </w:r>
      <w:r>
        <w:rPr>
          <w:highlight w:val="yellow"/>
        </w:rPr>
        <w:t>on</w:t>
      </w:r>
      <w:r>
        <w:t xml:space="preserve"> to </w:t>
      </w:r>
      <w:r>
        <w:rPr>
          <w:highlight w:val="yellow"/>
        </w:rPr>
        <w:t>use</w:t>
      </w:r>
      <w:r>
        <w:t xml:space="preserve"> the technology, which </w:t>
      </w:r>
      <w:r>
        <w:rPr>
          <w:highlight w:val="yellow"/>
        </w:rPr>
        <w:t>ult</w:t>
      </w:r>
      <w:r>
        <w:t>i</w:t>
      </w:r>
      <w:r>
        <w:rPr>
          <w:highlight w:val="yellow"/>
        </w:rPr>
        <w:t>ma</w:t>
      </w:r>
      <w:r>
        <w:t>tel</w:t>
      </w:r>
      <w:r>
        <w:rPr>
          <w:highlight w:val="yellow"/>
        </w:rPr>
        <w:t>y</w:t>
      </w:r>
      <w:r>
        <w:t xml:space="preserve"> predicts </w:t>
      </w:r>
      <w:r>
        <w:rPr>
          <w:highlight w:val="yellow"/>
        </w:rPr>
        <w:t>actu</w:t>
      </w:r>
      <w:r>
        <w:t xml:space="preserve">al </w:t>
      </w:r>
      <w:r>
        <w:rPr>
          <w:highlight w:val="yellow"/>
        </w:rPr>
        <w:t>syst</w:t>
      </w:r>
      <w:r>
        <w:t>e</w:t>
      </w:r>
      <w:r>
        <w:rPr>
          <w:highlight w:val="yellow"/>
        </w:rPr>
        <w:t>m</w:t>
      </w:r>
      <w:r>
        <w:t xml:space="preserve"> adoption.</w:t>
      </w:r>
    </w:p>
    <w:p w14:paraId="699AE732" w14:textId="77777777" w:rsidR="003C3C4F" w:rsidRDefault="00000000">
      <w:pPr>
        <w:pStyle w:val="Heading3"/>
      </w:pPr>
      <w:r>
        <w:t>4.2.3 Effect of internet banking on the profitability of commercial banks</w:t>
      </w:r>
    </w:p>
    <w:p w14:paraId="76A4623F" w14:textId="77777777" w:rsidR="003C3C4F" w:rsidRDefault="00000000">
      <w:r>
        <w:t>The third o</w:t>
      </w:r>
      <w:r>
        <w:rPr>
          <w:highlight w:val="yellow"/>
        </w:rPr>
        <w:t>bjective</w:t>
      </w:r>
      <w:r>
        <w:t xml:space="preserve"> of the </w:t>
      </w:r>
      <w:r>
        <w:rPr>
          <w:highlight w:val="yellow"/>
        </w:rPr>
        <w:t>p</w:t>
      </w:r>
      <w:r>
        <w:t>re</w:t>
      </w:r>
      <w:r>
        <w:rPr>
          <w:highlight w:val="yellow"/>
        </w:rPr>
        <w:t>s</w:t>
      </w:r>
      <w:r>
        <w:t>ent investigation was to explore the effect of IB on the profitability of banks in Nairobi. To accomplish this o</w:t>
      </w:r>
      <w:r>
        <w:rPr>
          <w:highlight w:val="yellow"/>
        </w:rPr>
        <w:t>bjective</w:t>
      </w:r>
      <w:r>
        <w:t>, the regression outcome denoted that IB has a favourable and notable effect on commercial banks</w:t>
      </w:r>
      <w:r>
        <w:rPr>
          <w:highlight w:val="yellow"/>
        </w:rPr>
        <w:t>'</w:t>
      </w:r>
      <w:r>
        <w:t xml:space="preserve"> profitability in Nairobi. The positive result i</w:t>
      </w:r>
      <w:r>
        <w:rPr>
          <w:highlight w:val="yellow"/>
        </w:rPr>
        <w:t>ndic</w:t>
      </w:r>
      <w:r>
        <w:t>ate</w:t>
      </w:r>
      <w:r>
        <w:rPr>
          <w:highlight w:val="yellow"/>
        </w:rPr>
        <w:t>s</w:t>
      </w:r>
      <w:r>
        <w:t xml:space="preserve"> that internet banking is one of the technolog</w:t>
      </w:r>
      <w:r>
        <w:rPr>
          <w:highlight w:val="yellow"/>
        </w:rPr>
        <w:t>ical drivers</w:t>
      </w:r>
      <w:r>
        <w:t xml:space="preserve"> that must be </w:t>
      </w:r>
      <w:r>
        <w:rPr>
          <w:highlight w:val="yellow"/>
        </w:rPr>
        <w:t>adopt</w:t>
      </w:r>
      <w:r>
        <w:t>e</w:t>
      </w:r>
      <w:r>
        <w:rPr>
          <w:highlight w:val="yellow"/>
        </w:rPr>
        <w:t>d</w:t>
      </w:r>
      <w:r>
        <w:t xml:space="preserve"> by commercial banks in the 21</w:t>
      </w:r>
      <w:r>
        <w:rPr>
          <w:vertAlign w:val="superscript"/>
        </w:rPr>
        <w:t>st</w:t>
      </w:r>
      <w:r>
        <w:t xml:space="preserve"> century. This means that internet banking influences commercial banks</w:t>
      </w:r>
      <w:r>
        <w:rPr>
          <w:highlight w:val="yellow"/>
        </w:rPr>
        <w:t>'</w:t>
      </w:r>
      <w:r>
        <w:t xml:space="preserve"> financial operations and enhances </w:t>
      </w:r>
      <w:r>
        <w:rPr>
          <w:highlight w:val="yellow"/>
        </w:rPr>
        <w:t xml:space="preserve">their </w:t>
      </w:r>
      <w:r>
        <w:t>profitability. The finding of this study support</w:t>
      </w:r>
      <w:r>
        <w:rPr>
          <w:highlight w:val="yellow"/>
        </w:rPr>
        <w:t>s</w:t>
      </w:r>
      <w:r>
        <w:t xml:space="preserve"> th</w:t>
      </w:r>
      <w:r>
        <w:rPr>
          <w:highlight w:val="yellow"/>
        </w:rPr>
        <w:t>ose</w:t>
      </w:r>
      <w:r>
        <w:t xml:space="preserve"> of </w:t>
      </w:r>
      <w:r>
        <w:rPr>
          <w:rFonts w:eastAsia="Times New Roman"/>
          <w:szCs w:val="24"/>
        </w:rPr>
        <w:t xml:space="preserve">Okoh and Erhabor (2025) and </w:t>
      </w:r>
      <w:r>
        <w:t>Sopitan et al. (2025)</w:t>
      </w:r>
      <w:r>
        <w:rPr>
          <w:highlight w:val="yellow"/>
        </w:rPr>
        <w:t>,</w:t>
      </w:r>
      <w:r>
        <w:t xml:space="preserve"> who found that bank-involved digital payments are advantageous to commercial banks' efficiency and profitability. </w:t>
      </w:r>
      <w:r>
        <w:rPr>
          <w:highlight w:val="yellow"/>
        </w:rPr>
        <w:t>This</w:t>
      </w:r>
      <w:r>
        <w:t xml:space="preserve"> </w:t>
      </w:r>
      <w:r>
        <w:rPr>
          <w:highlight w:val="yellow"/>
        </w:rPr>
        <w:t>finding is a</w:t>
      </w:r>
      <w:r>
        <w:t xml:space="preserve">lso supported by the studies </w:t>
      </w:r>
      <w:r>
        <w:rPr>
          <w:highlight w:val="yellow"/>
        </w:rPr>
        <w:t>of</w:t>
      </w:r>
      <w:r>
        <w:t xml:space="preserve"> Sopitan et al. (2025) and Oyasor (2025)</w:t>
      </w:r>
      <w:r>
        <w:rPr>
          <w:highlight w:val="yellow"/>
        </w:rPr>
        <w:t>,</w:t>
      </w:r>
      <w:r>
        <w:t xml:space="preserve"> wh</w:t>
      </w:r>
      <w:r>
        <w:rPr>
          <w:highlight w:val="yellow"/>
        </w:rPr>
        <w:t>ich</w:t>
      </w:r>
      <w:r>
        <w:t xml:space="preserve"> demonstrated that internet banking favourably improves bank performance as </w:t>
      </w:r>
      <w:r>
        <w:rPr>
          <w:highlight w:val="yellow"/>
        </w:rPr>
        <w:t>m</w:t>
      </w:r>
      <w:r>
        <w:t>e</w:t>
      </w:r>
      <w:r>
        <w:rPr>
          <w:highlight w:val="yellow"/>
        </w:rPr>
        <w:t>asu</w:t>
      </w:r>
      <w:r>
        <w:t xml:space="preserve">red by ROA. This result is </w:t>
      </w:r>
      <w:r>
        <w:rPr>
          <w:highlight w:val="yellow"/>
        </w:rPr>
        <w:t>cons</w:t>
      </w:r>
      <w:r>
        <w:t>i</w:t>
      </w:r>
      <w:r>
        <w:rPr>
          <w:highlight w:val="yellow"/>
        </w:rPr>
        <w:t>ste</w:t>
      </w:r>
      <w:r>
        <w:t>n</w:t>
      </w:r>
      <w:r>
        <w:rPr>
          <w:highlight w:val="yellow"/>
        </w:rPr>
        <w:t>t</w:t>
      </w:r>
      <w:r>
        <w:t xml:space="preserve"> with Rogers</w:t>
      </w:r>
      <w:r>
        <w:rPr>
          <w:highlight w:val="yellow"/>
        </w:rPr>
        <w:t>'</w:t>
      </w:r>
      <w:r>
        <w:t xml:space="preserve"> (2003) Innovation Diffusion Theory. The theory state</w:t>
      </w:r>
      <w:r>
        <w:rPr>
          <w:highlight w:val="yellow"/>
        </w:rPr>
        <w:t>s</w:t>
      </w:r>
      <w:r>
        <w:t xml:space="preserve"> that the gains </w:t>
      </w:r>
      <w:r>
        <w:rPr>
          <w:highlight w:val="yellow"/>
        </w:rPr>
        <w:t>fr</w:t>
      </w:r>
      <w:r>
        <w:t>o</w:t>
      </w:r>
      <w:r>
        <w:rPr>
          <w:highlight w:val="yellow"/>
        </w:rPr>
        <w:t>m</w:t>
      </w:r>
      <w:r>
        <w:t xml:space="preserve"> techn</w:t>
      </w:r>
      <w:r>
        <w:rPr>
          <w:highlight w:val="yellow"/>
        </w:rPr>
        <w:t>olog</w:t>
      </w:r>
      <w:r>
        <w:t>ical in</w:t>
      </w:r>
      <w:r>
        <w:rPr>
          <w:highlight w:val="yellow"/>
        </w:rPr>
        <w:t>no</w:t>
      </w:r>
      <w:r>
        <w:t>v</w:t>
      </w:r>
      <w:r>
        <w:rPr>
          <w:highlight w:val="yellow"/>
        </w:rPr>
        <w:t>a</w:t>
      </w:r>
      <w:r>
        <w:t xml:space="preserve">tion </w:t>
      </w:r>
      <w:r>
        <w:rPr>
          <w:highlight w:val="yellow"/>
        </w:rPr>
        <w:t>inc</w:t>
      </w:r>
      <w:r>
        <w:t>r</w:t>
      </w:r>
      <w:r>
        <w:rPr>
          <w:highlight w:val="yellow"/>
        </w:rPr>
        <w:t>ea</w:t>
      </w:r>
      <w:r>
        <w:t xml:space="preserve">se as adoption spreads </w:t>
      </w:r>
      <w:r>
        <w:rPr>
          <w:highlight w:val="yellow"/>
        </w:rPr>
        <w:t>amo</w:t>
      </w:r>
      <w:r>
        <w:t>n</w:t>
      </w:r>
      <w:r>
        <w:rPr>
          <w:highlight w:val="yellow"/>
        </w:rPr>
        <w:t>g</w:t>
      </w:r>
      <w:r>
        <w:t xml:space="preserve"> users.</w:t>
      </w:r>
    </w:p>
    <w:p w14:paraId="1B59F91C" w14:textId="77777777" w:rsidR="003C3C4F" w:rsidRDefault="00000000">
      <w:pPr>
        <w:pStyle w:val="Heading2"/>
      </w:pPr>
      <w:r>
        <w:t>5.1 Summary of Findings</w:t>
      </w:r>
    </w:p>
    <w:p w14:paraId="65B66223" w14:textId="77777777" w:rsidR="003C3C4F" w:rsidRDefault="00000000">
      <w:r>
        <w:t xml:space="preserve">The </w:t>
      </w:r>
      <w:r>
        <w:rPr>
          <w:highlight w:val="yellow"/>
        </w:rPr>
        <w:t>p</w:t>
      </w:r>
      <w:r>
        <w:t>re</w:t>
      </w:r>
      <w:r>
        <w:rPr>
          <w:highlight w:val="yellow"/>
        </w:rPr>
        <w:t>s</w:t>
      </w:r>
      <w:r>
        <w:t>ent investigation explored the influence of ATMs, MB</w:t>
      </w:r>
      <w:r>
        <w:rPr>
          <w:highlight w:val="yellow"/>
        </w:rPr>
        <w:t>,</w:t>
      </w:r>
      <w:r>
        <w:t xml:space="preserve"> and IB on</w:t>
      </w:r>
      <w:r>
        <w:rPr>
          <w:highlight w:val="yellow"/>
        </w:rPr>
        <w:t xml:space="preserve"> the profitability of</w:t>
      </w:r>
      <w:r>
        <w:t xml:space="preserve"> commercial banks in NCC</w:t>
      </w:r>
      <w:r>
        <w:rPr>
          <w:highlight w:val="yellow"/>
        </w:rPr>
        <w:t xml:space="preserve">, </w:t>
      </w:r>
      <w:r>
        <w:t>Kenya. The analysis was c</w:t>
      </w:r>
      <w:r>
        <w:rPr>
          <w:highlight w:val="yellow"/>
        </w:rPr>
        <w:t>onduct</w:t>
      </w:r>
      <w:r>
        <w:t xml:space="preserve">ed using structured questionnaires and regression analysis to ascertain the direction and magnitude of the </w:t>
      </w:r>
      <w:r>
        <w:rPr>
          <w:highlight w:val="yellow"/>
        </w:rPr>
        <w:t xml:space="preserve">effects of the </w:t>
      </w:r>
      <w:r>
        <w:t>variables on bank profitability. The following findings emerged from the analysis.</w:t>
      </w:r>
    </w:p>
    <w:p w14:paraId="20DFD70C" w14:textId="77777777" w:rsidR="003C3C4F" w:rsidRDefault="00000000">
      <w:r>
        <w:t xml:space="preserve">The outcome of the investigation indicated that there is a favourable but negligible </w:t>
      </w:r>
      <w:r>
        <w:rPr>
          <w:highlight w:val="yellow"/>
        </w:rPr>
        <w:t>re</w:t>
      </w:r>
      <w:r>
        <w:t>l</w:t>
      </w:r>
      <w:r>
        <w:rPr>
          <w:highlight w:val="yellow"/>
        </w:rPr>
        <w:t>at</w:t>
      </w:r>
      <w:r>
        <w:t>i</w:t>
      </w:r>
      <w:r>
        <w:rPr>
          <w:highlight w:val="yellow"/>
        </w:rPr>
        <w:t>o</w:t>
      </w:r>
      <w:r>
        <w:t>n</w:t>
      </w:r>
      <w:r>
        <w:rPr>
          <w:highlight w:val="yellow"/>
        </w:rPr>
        <w:t>ship</w:t>
      </w:r>
      <w:r>
        <w:t xml:space="preserve"> </w:t>
      </w:r>
      <w:r>
        <w:rPr>
          <w:highlight w:val="yellow"/>
        </w:rPr>
        <w:t>between</w:t>
      </w:r>
      <w:r>
        <w:t xml:space="preserve"> the adoption of ATMs and commercial banks</w:t>
      </w:r>
      <w:r>
        <w:rPr>
          <w:highlight w:val="yellow"/>
        </w:rPr>
        <w:t>'</w:t>
      </w:r>
      <w:r>
        <w:t xml:space="preserve"> profitability in Kenya. This was further </w:t>
      </w:r>
      <w:r>
        <w:rPr>
          <w:highlight w:val="yellow"/>
        </w:rPr>
        <w:t>supp</w:t>
      </w:r>
      <w:r>
        <w:t>or</w:t>
      </w:r>
      <w:r>
        <w:rPr>
          <w:highlight w:val="yellow"/>
        </w:rPr>
        <w:t>t</w:t>
      </w:r>
      <w:r>
        <w:t>ed by 76.5% of respondents</w:t>
      </w:r>
      <w:r>
        <w:rPr>
          <w:highlight w:val="yellow"/>
        </w:rPr>
        <w:t>,</w:t>
      </w:r>
      <w:r>
        <w:t xml:space="preserve"> who indicated frequent use of ATMs. This is because ATMs improve customers</w:t>
      </w:r>
      <w:r>
        <w:rPr>
          <w:highlight w:val="yellow"/>
        </w:rPr>
        <w:t>'</w:t>
      </w:r>
      <w:r>
        <w:t xml:space="preserve"> ability to carry out </w:t>
      </w:r>
      <w:r>
        <w:rPr>
          <w:highlight w:val="yellow"/>
        </w:rPr>
        <w:t xml:space="preserve">a </w:t>
      </w:r>
      <w:r>
        <w:t>variety of bank</w:t>
      </w:r>
      <w:r>
        <w:rPr>
          <w:highlight w:val="yellow"/>
        </w:rPr>
        <w:t>-</w:t>
      </w:r>
      <w:r>
        <w:t xml:space="preserve">related activities with ease and </w:t>
      </w:r>
      <w:r>
        <w:rPr>
          <w:highlight w:val="yellow"/>
        </w:rPr>
        <w:t>are</w:t>
      </w:r>
      <w:r>
        <w:t xml:space="preserve"> cost</w:t>
      </w:r>
      <w:r>
        <w:rPr>
          <w:highlight w:val="yellow"/>
        </w:rPr>
        <w:t>-</w:t>
      </w:r>
      <w:r>
        <w:t>effective.</w:t>
      </w:r>
    </w:p>
    <w:p w14:paraId="4649A447" w14:textId="77777777" w:rsidR="003C3C4F" w:rsidRDefault="00000000">
      <w:r>
        <w:t>The study further reve</w:t>
      </w:r>
      <w:r>
        <w:rPr>
          <w:highlight w:val="yellow"/>
        </w:rPr>
        <w:t>a</w:t>
      </w:r>
      <w:r>
        <w:t xml:space="preserve">led that there is a strong favourable </w:t>
      </w:r>
      <w:r>
        <w:rPr>
          <w:highlight w:val="yellow"/>
        </w:rPr>
        <w:t>re</w:t>
      </w:r>
      <w:r>
        <w:t>l</w:t>
      </w:r>
      <w:r>
        <w:rPr>
          <w:highlight w:val="yellow"/>
        </w:rPr>
        <w:t>at</w:t>
      </w:r>
      <w:r>
        <w:t>ions</w:t>
      </w:r>
      <w:r>
        <w:rPr>
          <w:highlight w:val="yellow"/>
        </w:rPr>
        <w:t>hip be</w:t>
      </w:r>
      <w:r>
        <w:t>t</w:t>
      </w:r>
      <w:r>
        <w:rPr>
          <w:highlight w:val="yellow"/>
        </w:rPr>
        <w:t>ween</w:t>
      </w:r>
      <w:r>
        <w:t xml:space="preserve"> MB and commercial banks</w:t>
      </w:r>
      <w:r>
        <w:rPr>
          <w:highlight w:val="yellow"/>
        </w:rPr>
        <w:t>'</w:t>
      </w:r>
      <w:r>
        <w:t xml:space="preserve"> profitability. This was </w:t>
      </w:r>
      <w:r>
        <w:rPr>
          <w:highlight w:val="yellow"/>
        </w:rPr>
        <w:t>supp</w:t>
      </w:r>
      <w:r>
        <w:t>or</w:t>
      </w:r>
      <w:r>
        <w:rPr>
          <w:highlight w:val="yellow"/>
        </w:rPr>
        <w:t>t</w:t>
      </w:r>
      <w:r>
        <w:t xml:space="preserve">ed by </w:t>
      </w:r>
      <w:r>
        <w:rPr>
          <w:highlight w:val="yellow"/>
        </w:rPr>
        <w:t>68.4% of</w:t>
      </w:r>
      <w:r>
        <w:t xml:space="preserve"> respondents</w:t>
      </w:r>
      <w:r>
        <w:rPr>
          <w:highlight w:val="yellow"/>
        </w:rPr>
        <w:t>,</w:t>
      </w:r>
      <w:r>
        <w:t xml:space="preserve"> who acknowledged the use of mobile channels in their dealings with commercial banks. In addition, </w:t>
      </w:r>
      <w:r>
        <w:lastRenderedPageBreak/>
        <w:t>the respondents agreed that MB has reduced their waiting times, ease</w:t>
      </w:r>
      <w:r>
        <w:rPr>
          <w:highlight w:val="yellow"/>
        </w:rPr>
        <w:t>d</w:t>
      </w:r>
      <w:r>
        <w:t xml:space="preserve"> transportation cost</w:t>
      </w:r>
      <w:r>
        <w:rPr>
          <w:highlight w:val="yellow"/>
        </w:rPr>
        <w:t>s,</w:t>
      </w:r>
      <w:r>
        <w:t xml:space="preserve"> and enhanced fast and efficient banking activities in the study </w:t>
      </w:r>
      <w:r>
        <w:rPr>
          <w:highlight w:val="yellow"/>
        </w:rPr>
        <w:t>a</w:t>
      </w:r>
      <w:r>
        <w:t>rea.</w:t>
      </w:r>
    </w:p>
    <w:p w14:paraId="1230051F" w14:textId="77777777" w:rsidR="003C3C4F" w:rsidRDefault="00000000">
      <w:r>
        <w:t>The outcome denoted that IB has a positive and statistically noteworthy relat</w:t>
      </w:r>
      <w:r>
        <w:rPr>
          <w:highlight w:val="yellow"/>
        </w:rPr>
        <w:t>ion</w:t>
      </w:r>
      <w:r>
        <w:t>ship with commercial banks</w:t>
      </w:r>
      <w:r>
        <w:rPr>
          <w:highlight w:val="yellow"/>
        </w:rPr>
        <w:t>'</w:t>
      </w:r>
      <w:r>
        <w:t xml:space="preserve"> profitability</w:t>
      </w:r>
      <w:r>
        <w:rPr>
          <w:highlight w:val="yellow"/>
        </w:rPr>
        <w:t>, as</w:t>
      </w:r>
      <w:r>
        <w:t xml:space="preserve"> proxied by ROA. </w:t>
      </w:r>
      <w:r>
        <w:rPr>
          <w:highlight w:val="yellow"/>
        </w:rPr>
        <w:t>Alt</w:t>
      </w:r>
      <w:r>
        <w:t xml:space="preserve">hough respondents indicated </w:t>
      </w:r>
      <w:r>
        <w:rPr>
          <w:highlight w:val="yellow"/>
        </w:rPr>
        <w:t>rel</w:t>
      </w:r>
      <w:r>
        <w:t>at</w:t>
      </w:r>
      <w:r>
        <w:rPr>
          <w:highlight w:val="yellow"/>
        </w:rPr>
        <w:t>iv</w:t>
      </w:r>
      <w:r>
        <w:t xml:space="preserve">ely </w:t>
      </w:r>
      <w:r>
        <w:rPr>
          <w:highlight w:val="yellow"/>
        </w:rPr>
        <w:t>low</w:t>
      </w:r>
      <w:r>
        <w:t xml:space="preserve"> internet banking</w:t>
      </w:r>
      <w:r>
        <w:rPr>
          <w:highlight w:val="yellow"/>
        </w:rPr>
        <w:t xml:space="preserve"> use (39%)</w:t>
      </w:r>
      <w:r>
        <w:t>, t</w:t>
      </w:r>
      <w:r>
        <w:rPr>
          <w:highlight w:val="yellow"/>
        </w:rPr>
        <w:t>he</w:t>
      </w:r>
      <w:r>
        <w:t xml:space="preserve"> majority still attest</w:t>
      </w:r>
      <w:r>
        <w:rPr>
          <w:highlight w:val="yellow"/>
        </w:rPr>
        <w:t>ed</w:t>
      </w:r>
      <w:r>
        <w:t xml:space="preserve"> to the fact that internet banking is effective in carrying out </w:t>
      </w:r>
      <w:r>
        <w:rPr>
          <w:highlight w:val="yellow"/>
        </w:rPr>
        <w:t xml:space="preserve">a </w:t>
      </w:r>
      <w:r>
        <w:t>v</w:t>
      </w:r>
      <w:r>
        <w:rPr>
          <w:highlight w:val="yellow"/>
        </w:rPr>
        <w:t>a</w:t>
      </w:r>
      <w:r>
        <w:t>ri</w:t>
      </w:r>
      <w:r>
        <w:rPr>
          <w:highlight w:val="yellow"/>
        </w:rPr>
        <w:t>e</w:t>
      </w:r>
      <w:r>
        <w:t>t</w:t>
      </w:r>
      <w:r>
        <w:rPr>
          <w:highlight w:val="yellow"/>
        </w:rPr>
        <w:t>y</w:t>
      </w:r>
      <w:r>
        <w:t xml:space="preserve"> of online transactions and</w:t>
      </w:r>
      <w:r>
        <w:rPr>
          <w:highlight w:val="yellow"/>
        </w:rPr>
        <w:t>/</w:t>
      </w:r>
      <w:r>
        <w:t>or business</w:t>
      </w:r>
      <w:r>
        <w:rPr>
          <w:highlight w:val="yellow"/>
        </w:rPr>
        <w:t xml:space="preserve"> activiti</w:t>
      </w:r>
      <w:r>
        <w:t xml:space="preserve">es. The study also shows that internet banking services encourage customer growth by </w:t>
      </w:r>
      <w:r>
        <w:rPr>
          <w:highlight w:val="yellow"/>
        </w:rPr>
        <w:t>inc</w:t>
      </w:r>
      <w:r>
        <w:t>r</w:t>
      </w:r>
      <w:r>
        <w:rPr>
          <w:highlight w:val="yellow"/>
        </w:rPr>
        <w:t>ea</w:t>
      </w:r>
      <w:r>
        <w:t>sing accessibility to a range of services.</w:t>
      </w:r>
    </w:p>
    <w:p w14:paraId="57413B1F" w14:textId="77777777" w:rsidR="003C3C4F" w:rsidRDefault="00000000">
      <w:pPr>
        <w:pStyle w:val="Heading2"/>
      </w:pPr>
      <w:r>
        <w:t xml:space="preserve">5.3 Conclusion </w:t>
      </w:r>
    </w:p>
    <w:p w14:paraId="7C85EB53" w14:textId="77777777" w:rsidR="003C3C4F" w:rsidRDefault="00000000">
      <w:r>
        <w:t>The impact of EPS on banks</w:t>
      </w:r>
      <w:r>
        <w:rPr>
          <w:highlight w:val="yellow"/>
        </w:rPr>
        <w:t>'</w:t>
      </w:r>
      <w:r>
        <w:t xml:space="preserve"> profitability cannot be overemphasi</w:t>
      </w:r>
      <w:r>
        <w:rPr>
          <w:highlight w:val="yellow"/>
        </w:rPr>
        <w:t>s</w:t>
      </w:r>
      <w:r>
        <w:t>ed. The adoption of EPS has changed the way banks operate</w:t>
      </w:r>
      <w:r>
        <w:rPr>
          <w:highlight w:val="yellow"/>
        </w:rPr>
        <w:t>,</w:t>
      </w:r>
      <w:r>
        <w:t xml:space="preserve"> and this helps increas</w:t>
      </w:r>
      <w:r>
        <w:rPr>
          <w:highlight w:val="yellow"/>
        </w:rPr>
        <w:t>e</w:t>
      </w:r>
      <w:r>
        <w:t xml:space="preserve"> the profit margin of commercial banks </w:t>
      </w:r>
      <w:r>
        <w:rPr>
          <w:highlight w:val="yellow"/>
        </w:rPr>
        <w:t>thro</w:t>
      </w:r>
      <w:r>
        <w:t>u</w:t>
      </w:r>
      <w:r>
        <w:rPr>
          <w:highlight w:val="yellow"/>
        </w:rPr>
        <w:t>gh</w:t>
      </w:r>
      <w:r>
        <w:t xml:space="preserve"> the availa</w:t>
      </w:r>
      <w:r>
        <w:rPr>
          <w:highlight w:val="yellow"/>
        </w:rPr>
        <w:t>bility, convenience, and accessi</w:t>
      </w:r>
      <w:r>
        <w:t xml:space="preserve">bility of online products offered by commercial banks. The study concluded that ATMs remain a vital tool for delivering </w:t>
      </w:r>
      <w:r>
        <w:rPr>
          <w:highlight w:val="yellow"/>
        </w:rPr>
        <w:t>conv</w:t>
      </w:r>
      <w:r>
        <w:t>e</w:t>
      </w:r>
      <w:r>
        <w:rPr>
          <w:highlight w:val="yellow"/>
        </w:rPr>
        <w:t>n</w:t>
      </w:r>
      <w:r>
        <w:t>ient and a</w:t>
      </w:r>
      <w:r>
        <w:rPr>
          <w:highlight w:val="yellow"/>
        </w:rPr>
        <w:t>ccess</w:t>
      </w:r>
      <w:r>
        <w:t>ible banking services. It was also concluded that ATMs improve customer satisfaction, reduc</w:t>
      </w:r>
      <w:r>
        <w:rPr>
          <w:highlight w:val="yellow"/>
        </w:rPr>
        <w:t>e</w:t>
      </w:r>
      <w:r>
        <w:t xml:space="preserve"> in-branch congestion, and lower operational costs. It was found that there is a favourable</w:t>
      </w:r>
      <w:r>
        <w:rPr>
          <w:highlight w:val="yellow"/>
        </w:rPr>
        <w:t>,</w:t>
      </w:r>
      <w:r>
        <w:t xml:space="preserve"> though insignificant</w:t>
      </w:r>
      <w:r>
        <w:rPr>
          <w:highlight w:val="yellow"/>
        </w:rPr>
        <w:t>,</w:t>
      </w:r>
      <w:r>
        <w:t xml:space="preserve"> </w:t>
      </w:r>
      <w:r>
        <w:rPr>
          <w:highlight w:val="yellow"/>
        </w:rPr>
        <w:t>re</w:t>
      </w:r>
      <w:r>
        <w:t>l</w:t>
      </w:r>
      <w:r>
        <w:rPr>
          <w:highlight w:val="yellow"/>
        </w:rPr>
        <w:t>at</w:t>
      </w:r>
      <w:r>
        <w:t>ions</w:t>
      </w:r>
      <w:r>
        <w:rPr>
          <w:highlight w:val="yellow"/>
        </w:rPr>
        <w:t>hip be</w:t>
      </w:r>
      <w:r>
        <w:t>t</w:t>
      </w:r>
      <w:r>
        <w:rPr>
          <w:highlight w:val="yellow"/>
        </w:rPr>
        <w:t>w</w:t>
      </w:r>
      <w:r>
        <w:t>ee</w:t>
      </w:r>
      <w:r>
        <w:rPr>
          <w:highlight w:val="yellow"/>
        </w:rPr>
        <w:t>n</w:t>
      </w:r>
      <w:r>
        <w:t xml:space="preserve"> ATM</w:t>
      </w:r>
      <w:r>
        <w:rPr>
          <w:highlight w:val="yellow"/>
        </w:rPr>
        <w:t xml:space="preserve"> u</w:t>
      </w:r>
      <w:r>
        <w:t>s</w:t>
      </w:r>
      <w:r>
        <w:rPr>
          <w:highlight w:val="yellow"/>
        </w:rPr>
        <w:t>e</w:t>
      </w:r>
      <w:r>
        <w:t xml:space="preserve"> and bank profitability. Furthermore, the inquiry inferred that MB has a favourable and statistically notable impact on </w:t>
      </w:r>
      <w:r>
        <w:rPr>
          <w:highlight w:val="yellow"/>
        </w:rPr>
        <w:t>bank</w:t>
      </w:r>
      <w:r>
        <w:t xml:space="preserve"> profitability. The inquiry inferred that the use of MB creates an atmosphere of convenience, enable</w:t>
      </w:r>
      <w:r>
        <w:rPr>
          <w:highlight w:val="yellow"/>
        </w:rPr>
        <w:t>s</w:t>
      </w:r>
      <w:r>
        <w:t xml:space="preserve"> remote businesses </w:t>
      </w:r>
      <w:r>
        <w:rPr>
          <w:highlight w:val="yellow"/>
        </w:rPr>
        <w:t xml:space="preserve">to </w:t>
      </w:r>
      <w:r>
        <w:t>flourish</w:t>
      </w:r>
      <w:r>
        <w:rPr>
          <w:highlight w:val="yellow"/>
        </w:rPr>
        <w:t>,</w:t>
      </w:r>
      <w:r>
        <w:t xml:space="preserve"> and improve</w:t>
      </w:r>
      <w:r>
        <w:rPr>
          <w:highlight w:val="yellow"/>
        </w:rPr>
        <w:t>s</w:t>
      </w:r>
      <w:r>
        <w:t xml:space="preserve"> efficiency a</w:t>
      </w:r>
      <w:r>
        <w:rPr>
          <w:highlight w:val="yellow"/>
        </w:rPr>
        <w:t>nd</w:t>
      </w:r>
      <w:r>
        <w:t xml:space="preserve"> customer engagement. Mobile banking has helped increase </w:t>
      </w:r>
      <w:r>
        <w:rPr>
          <w:highlight w:val="yellow"/>
        </w:rPr>
        <w:t xml:space="preserve">banks' </w:t>
      </w:r>
      <w:r>
        <w:t>customer base and wide</w:t>
      </w:r>
      <w:r>
        <w:rPr>
          <w:highlight w:val="yellow"/>
        </w:rPr>
        <w:t>n the</w:t>
      </w:r>
      <w:r>
        <w:t xml:space="preserve"> coverage of banking services. Consequently, it was inferred that there is </w:t>
      </w:r>
      <w:r>
        <w:rPr>
          <w:highlight w:val="yellow"/>
        </w:rPr>
        <w:t xml:space="preserve">a </w:t>
      </w:r>
      <w:r>
        <w:t xml:space="preserve">positive and noteworthy </w:t>
      </w:r>
      <w:r>
        <w:rPr>
          <w:highlight w:val="yellow"/>
        </w:rPr>
        <w:t>re</w:t>
      </w:r>
      <w:r>
        <w:t>l</w:t>
      </w:r>
      <w:r>
        <w:rPr>
          <w:highlight w:val="yellow"/>
        </w:rPr>
        <w:t>at</w:t>
      </w:r>
      <w:r>
        <w:t>ions</w:t>
      </w:r>
      <w:r>
        <w:rPr>
          <w:highlight w:val="yellow"/>
        </w:rPr>
        <w:t>hip be</w:t>
      </w:r>
      <w:r>
        <w:t>t</w:t>
      </w:r>
      <w:r>
        <w:rPr>
          <w:highlight w:val="yellow"/>
        </w:rPr>
        <w:t>ween</w:t>
      </w:r>
      <w:r>
        <w:t xml:space="preserve"> IB and commercial banks</w:t>
      </w:r>
      <w:r>
        <w:rPr>
          <w:highlight w:val="yellow"/>
        </w:rPr>
        <w:t>'</w:t>
      </w:r>
      <w:r>
        <w:t xml:space="preserve"> profitability. </w:t>
      </w:r>
      <w:r>
        <w:rPr>
          <w:highlight w:val="yellow"/>
        </w:rPr>
        <w:t>H</w:t>
      </w:r>
      <w:r>
        <w:t>o</w:t>
      </w:r>
      <w:r>
        <w:rPr>
          <w:highlight w:val="yellow"/>
        </w:rPr>
        <w:t>wever</w:t>
      </w:r>
      <w:r>
        <w:t xml:space="preserve">, respondents indicated </w:t>
      </w:r>
      <w:r>
        <w:rPr>
          <w:highlight w:val="yellow"/>
        </w:rPr>
        <w:t>a</w:t>
      </w:r>
      <w:r>
        <w:t xml:space="preserve"> lower rate of internet banking </w:t>
      </w:r>
      <w:r>
        <w:rPr>
          <w:highlight w:val="yellow"/>
        </w:rPr>
        <w:t xml:space="preserve">adoption, </w:t>
      </w:r>
      <w:r>
        <w:t xml:space="preserve">possibly </w:t>
      </w:r>
      <w:r>
        <w:rPr>
          <w:highlight w:val="yellow"/>
        </w:rPr>
        <w:t>beca</w:t>
      </w:r>
      <w:r>
        <w:t>u</w:t>
      </w:r>
      <w:r>
        <w:rPr>
          <w:highlight w:val="yellow"/>
        </w:rPr>
        <w:t>s</w:t>
      </w:r>
      <w:r>
        <w:t>e of</w:t>
      </w:r>
      <w:r>
        <w:rPr>
          <w:highlight w:val="yellow"/>
        </w:rPr>
        <w:t xml:space="preserve"> limited</w:t>
      </w:r>
      <w:r>
        <w:t xml:space="preserve"> infrastructure</w:t>
      </w:r>
      <w:r>
        <w:rPr>
          <w:highlight w:val="yellow"/>
        </w:rPr>
        <w:t>,</w:t>
      </w:r>
      <w:r>
        <w:t xml:space="preserve"> such as network coverage</w:t>
      </w:r>
      <w:r>
        <w:rPr>
          <w:highlight w:val="yellow"/>
        </w:rPr>
        <w:t>,</w:t>
      </w:r>
      <w:r>
        <w:t xml:space="preserve"> and low</w:t>
      </w:r>
      <w:r>
        <w:rPr>
          <w:highlight w:val="yellow"/>
        </w:rPr>
        <w:t xml:space="preserve"> customer</w:t>
      </w:r>
      <w:r>
        <w:t xml:space="preserve"> awareness. Internet banking </w:t>
      </w:r>
      <w:r>
        <w:rPr>
          <w:highlight w:val="yellow"/>
        </w:rPr>
        <w:t>h</w:t>
      </w:r>
      <w:r>
        <w:t>a</w:t>
      </w:r>
      <w:r>
        <w:rPr>
          <w:highlight w:val="yellow"/>
        </w:rPr>
        <w:t>s</w:t>
      </w:r>
      <w:r>
        <w:t xml:space="preserve"> major potential </w:t>
      </w:r>
      <w:r>
        <w:rPr>
          <w:highlight w:val="yellow"/>
        </w:rPr>
        <w:t>in the</w:t>
      </w:r>
      <w:r>
        <w:t xml:space="preserve"> digital transformation of commercial banks and contributes to </w:t>
      </w:r>
      <w:r>
        <w:rPr>
          <w:highlight w:val="yellow"/>
        </w:rPr>
        <w:t xml:space="preserve">their </w:t>
      </w:r>
      <w:r>
        <w:t>long</w:t>
      </w:r>
      <w:r>
        <w:rPr>
          <w:highlight w:val="yellow"/>
        </w:rPr>
        <w:t>-</w:t>
      </w:r>
      <w:r>
        <w:t xml:space="preserve">term financial </w:t>
      </w:r>
      <w:r>
        <w:rPr>
          <w:highlight w:val="yellow"/>
        </w:rPr>
        <w:t>op</w:t>
      </w:r>
      <w:r>
        <w:t>e</w:t>
      </w:r>
      <w:r>
        <w:rPr>
          <w:highlight w:val="yellow"/>
        </w:rPr>
        <w:t>r</w:t>
      </w:r>
      <w:r>
        <w:t>a</w:t>
      </w:r>
      <w:r>
        <w:rPr>
          <w:highlight w:val="yellow"/>
        </w:rPr>
        <w:t>t</w:t>
      </w:r>
      <w:r>
        <w:t>i</w:t>
      </w:r>
      <w:r>
        <w:rPr>
          <w:highlight w:val="yellow"/>
        </w:rPr>
        <w:t>o</w:t>
      </w:r>
      <w:r>
        <w:t>ns.</w:t>
      </w:r>
    </w:p>
    <w:p w14:paraId="38A1D1E7" w14:textId="77777777" w:rsidR="003C3C4F" w:rsidRDefault="00000000">
      <w:pPr>
        <w:pStyle w:val="Heading2"/>
      </w:pPr>
      <w:r>
        <w:t>5.4 Recommendations</w:t>
      </w:r>
    </w:p>
    <w:p w14:paraId="32FE6369" w14:textId="77777777" w:rsidR="003C3C4F" w:rsidRDefault="00000000">
      <w:r>
        <w:lastRenderedPageBreak/>
        <w:t>Based on the analysis and subsequent outcomes, the study proposed several practical recommendations capable of enhancing the efficiency and profitability of automated payment systems in commercial banks.</w:t>
      </w:r>
    </w:p>
    <w:p w14:paraId="64387A79" w14:textId="77777777" w:rsidR="003C3C4F" w:rsidRDefault="00000000">
      <w:pPr>
        <w:pStyle w:val="ListParagraph"/>
        <w:numPr>
          <w:ilvl w:val="0"/>
          <w:numId w:val="3"/>
        </w:numPr>
      </w:pPr>
      <w:r>
        <w:t>The outcome suggest</w:t>
      </w:r>
      <w:r>
        <w:rPr>
          <w:highlight w:val="yellow"/>
        </w:rPr>
        <w:t>s</w:t>
      </w:r>
      <w:r>
        <w:t xml:space="preserve"> that banks should invest heavily </w:t>
      </w:r>
      <w:r>
        <w:rPr>
          <w:highlight w:val="yellow"/>
        </w:rPr>
        <w:t>i</w:t>
      </w:r>
      <w:r>
        <w:t>n upgrading and overhaul</w:t>
      </w:r>
      <w:r>
        <w:rPr>
          <w:highlight w:val="yellow"/>
        </w:rPr>
        <w:t>ing</w:t>
      </w:r>
      <w:r>
        <w:t xml:space="preserve"> existing ATM infrastructure and </w:t>
      </w:r>
      <w:r>
        <w:rPr>
          <w:highlight w:val="yellow"/>
        </w:rPr>
        <w:t>expa</w:t>
      </w:r>
      <w:r>
        <w:t>n</w:t>
      </w:r>
      <w:r>
        <w:rPr>
          <w:highlight w:val="yellow"/>
        </w:rPr>
        <w:t>d</w:t>
      </w:r>
      <w:r>
        <w:t>ing ATM networks, especially in underserve</w:t>
      </w:r>
      <w:r>
        <w:rPr>
          <w:highlight w:val="yellow"/>
        </w:rPr>
        <w:t>d</w:t>
      </w:r>
      <w:r>
        <w:t xml:space="preserve"> areas where banking services are inadequate.</w:t>
      </w:r>
    </w:p>
    <w:p w14:paraId="65BF7129" w14:textId="77777777" w:rsidR="003C3C4F" w:rsidRDefault="00000000">
      <w:pPr>
        <w:pStyle w:val="ListParagraph"/>
        <w:numPr>
          <w:ilvl w:val="0"/>
          <w:numId w:val="3"/>
        </w:numPr>
      </w:pPr>
      <w:r>
        <w:t xml:space="preserve">Commercial banks are encouraged to invest in upgrading existing ATM infrastructure and expanding ATM networks, especially in underserved or rural areas where physical banking services are limited. This would </w:t>
      </w:r>
      <w:r>
        <w:rPr>
          <w:highlight w:val="yellow"/>
        </w:rPr>
        <w:t>incr</w:t>
      </w:r>
      <w:r>
        <w:t>ea</w:t>
      </w:r>
      <w:r>
        <w:rPr>
          <w:highlight w:val="yellow"/>
        </w:rPr>
        <w:t>se</w:t>
      </w:r>
      <w:r>
        <w:t xml:space="preserve"> availability and accessibility for customers, eventually enhancing satisfaction and allegiance.</w:t>
      </w:r>
    </w:p>
    <w:p w14:paraId="7C651FBC" w14:textId="77777777" w:rsidR="003C3C4F" w:rsidRDefault="00000000">
      <w:pPr>
        <w:pStyle w:val="ListParagraph"/>
        <w:numPr>
          <w:ilvl w:val="0"/>
          <w:numId w:val="3"/>
        </w:numPr>
      </w:pPr>
      <w:r>
        <w:t xml:space="preserve">Financial institutions </w:t>
      </w:r>
      <w:r>
        <w:rPr>
          <w:highlight w:val="yellow"/>
        </w:rPr>
        <w:t>sho</w:t>
      </w:r>
      <w:r>
        <w:t>u</w:t>
      </w:r>
      <w:r>
        <w:rPr>
          <w:highlight w:val="yellow"/>
        </w:rPr>
        <w:t>ld</w:t>
      </w:r>
      <w:r>
        <w:t xml:space="preserve"> focus on </w:t>
      </w:r>
      <w:r>
        <w:rPr>
          <w:highlight w:val="yellow"/>
        </w:rPr>
        <w:t>c</w:t>
      </w:r>
      <w:r>
        <w:t>on</w:t>
      </w:r>
      <w:r>
        <w:rPr>
          <w:highlight w:val="yellow"/>
        </w:rPr>
        <w:t>t</w:t>
      </w:r>
      <w:r>
        <w:t>in</w:t>
      </w:r>
      <w:r>
        <w:rPr>
          <w:highlight w:val="yellow"/>
        </w:rPr>
        <w:t>uous</w:t>
      </w:r>
      <w:r>
        <w:t xml:space="preserve"> innovation in their mobile banking platforms, </w:t>
      </w:r>
      <w:r>
        <w:rPr>
          <w:highlight w:val="yellow"/>
        </w:rPr>
        <w:t>ensur</w:t>
      </w:r>
      <w:r>
        <w:t xml:space="preserve">ing that mobile applications are easy to use, secure, and </w:t>
      </w:r>
      <w:r>
        <w:rPr>
          <w:highlight w:val="yellow"/>
        </w:rPr>
        <w:t>c</w:t>
      </w:r>
      <w:r>
        <w:t>o</w:t>
      </w:r>
      <w:r>
        <w:rPr>
          <w:highlight w:val="yellow"/>
        </w:rPr>
        <w:t>mpatibl</w:t>
      </w:r>
      <w:r>
        <w:t>e across different devices. Improving the usability of these app</w:t>
      </w:r>
      <w:r>
        <w:rPr>
          <w:highlight w:val="yellow"/>
        </w:rPr>
        <w:t>lication</w:t>
      </w:r>
      <w:r>
        <w:t xml:space="preserve">s can help </w:t>
      </w:r>
      <w:r>
        <w:rPr>
          <w:highlight w:val="yellow"/>
        </w:rPr>
        <w:t>att</w:t>
      </w:r>
      <w:r>
        <w:t>r</w:t>
      </w:r>
      <w:r>
        <w:rPr>
          <w:highlight w:val="yellow"/>
        </w:rPr>
        <w:t>act</w:t>
      </w:r>
      <w:r>
        <w:t xml:space="preserve"> new customers and re</w:t>
      </w:r>
      <w:r>
        <w:rPr>
          <w:highlight w:val="yellow"/>
        </w:rPr>
        <w:t>tai</w:t>
      </w:r>
      <w:r>
        <w:t>n</w:t>
      </w:r>
      <w:r>
        <w:rPr>
          <w:highlight w:val="yellow"/>
        </w:rPr>
        <w:t xml:space="preserve"> exis</w:t>
      </w:r>
      <w:r>
        <w:t>t</w:t>
      </w:r>
      <w:r>
        <w:rPr>
          <w:highlight w:val="yellow"/>
        </w:rPr>
        <w:t>ing</w:t>
      </w:r>
      <w:r>
        <w:t xml:space="preserve"> ones.</w:t>
      </w:r>
    </w:p>
    <w:p w14:paraId="4E7F7A70" w14:textId="77777777" w:rsidR="003C3C4F" w:rsidRDefault="00000000">
      <w:pPr>
        <w:pStyle w:val="ListParagraph"/>
        <w:numPr>
          <w:ilvl w:val="0"/>
          <w:numId w:val="3"/>
        </w:numPr>
      </w:pPr>
      <w:r>
        <w:t>Considering the relatively low use of internet banking, banks should mak</w:t>
      </w:r>
      <w:r>
        <w:rPr>
          <w:highlight w:val="yellow"/>
        </w:rPr>
        <w:t>e</w:t>
      </w:r>
      <w:r>
        <w:t xml:space="preserve"> their platforms easier to use a</w:t>
      </w:r>
      <w:r>
        <w:rPr>
          <w:highlight w:val="yellow"/>
        </w:rPr>
        <w:t>nd</w:t>
      </w:r>
      <w:r>
        <w:t xml:space="preserve"> more user-friendly for people with varying levels of digital knowledge. </w:t>
      </w:r>
      <w:r>
        <w:rPr>
          <w:highlight w:val="yellow"/>
        </w:rPr>
        <w:t>E</w:t>
      </w:r>
      <w:r>
        <w:t>ducating customers about the advantages and safety aspects of online banking can also help increase trust and promote wider adoption.</w:t>
      </w:r>
    </w:p>
    <w:p w14:paraId="0B89005E" w14:textId="77777777" w:rsidR="003C3C4F" w:rsidRDefault="00000000">
      <w:pPr>
        <w:pStyle w:val="Heading2"/>
      </w:pPr>
      <w:r>
        <w:t>5.5 Suggestions for Further Research</w:t>
      </w:r>
    </w:p>
    <w:p w14:paraId="21DFDC49" w14:textId="77777777" w:rsidR="003C3C4F" w:rsidRDefault="00000000">
      <w:r>
        <w:t xml:space="preserve">The investigation explored how electronic payment systems affect bank profitability, but further research is needed to </w:t>
      </w:r>
      <w:r>
        <w:rPr>
          <w:highlight w:val="yellow"/>
        </w:rPr>
        <w:t>ex</w:t>
      </w:r>
      <w:r>
        <w:t>a</w:t>
      </w:r>
      <w:r>
        <w:rPr>
          <w:highlight w:val="yellow"/>
        </w:rPr>
        <w:t>mine</w:t>
      </w:r>
      <w:r>
        <w:t xml:space="preserve"> other factors that may influence this area, such as customer satisfaction levels, the efficiency of bank employees, </w:t>
      </w:r>
      <w:r>
        <w:rPr>
          <w:highlight w:val="yellow"/>
        </w:rPr>
        <w:t>and</w:t>
      </w:r>
      <w:r>
        <w:t xml:space="preserve"> the role of regulatory policies in shaping the performance of digital banking services.</w:t>
      </w:r>
    </w:p>
    <w:p w14:paraId="24129099" w14:textId="77777777" w:rsidR="003C3C4F" w:rsidRDefault="00000000">
      <w:r>
        <w:t>Additionally, future research should investigate the specific ba</w:t>
      </w:r>
      <w:r>
        <w:rPr>
          <w:highlight w:val="yellow"/>
        </w:rPr>
        <w:t>rri</w:t>
      </w:r>
      <w:r>
        <w:t>e</w:t>
      </w:r>
      <w:r>
        <w:rPr>
          <w:highlight w:val="yellow"/>
        </w:rPr>
        <w:t>r</w:t>
      </w:r>
      <w:r>
        <w:t xml:space="preserve">s that </w:t>
      </w:r>
      <w:r>
        <w:rPr>
          <w:highlight w:val="yellow"/>
        </w:rPr>
        <w:t>preven</w:t>
      </w:r>
      <w:r>
        <w:t xml:space="preserve">t people from using internet banking and evaluate ways to overcome these challenges, including better policy support, </w:t>
      </w:r>
      <w:r>
        <w:rPr>
          <w:highlight w:val="yellow"/>
        </w:rPr>
        <w:t xml:space="preserve">user-centred </w:t>
      </w:r>
      <w:r>
        <w:t xml:space="preserve">designs, </w:t>
      </w:r>
      <w:r>
        <w:rPr>
          <w:highlight w:val="yellow"/>
        </w:rPr>
        <w:t>and</w:t>
      </w:r>
      <w:r>
        <w:t xml:space="preserve"> improved digital infrastructure.</w:t>
      </w:r>
    </w:p>
    <w:p w14:paraId="7741FA45" w14:textId="77777777" w:rsidR="003C3C4F" w:rsidRDefault="00000000">
      <w:pPr>
        <w:pStyle w:val="Heading2"/>
        <w:rPr>
          <w:highlight w:val="yellow"/>
        </w:rPr>
      </w:pPr>
      <w:r>
        <w:rPr>
          <w:highlight w:val="yellow"/>
        </w:rPr>
        <w:t>5.6 Limitations of the Study</w:t>
      </w:r>
    </w:p>
    <w:p w14:paraId="392B2E37" w14:textId="77777777" w:rsidR="003C3C4F" w:rsidRDefault="00000000">
      <w:pPr>
        <w:rPr>
          <w:highlight w:val="yellow"/>
        </w:rPr>
      </w:pPr>
      <w:r>
        <w:rPr>
          <w:highlight w:val="yellow"/>
        </w:rPr>
        <w:lastRenderedPageBreak/>
        <w:t>Although this study provided valuable insights into the relationship between electronic payment systems and commercial bank profitability, it has several limitations that should be considered when interpreting the findings:</w:t>
      </w:r>
    </w:p>
    <w:p w14:paraId="4898C547" w14:textId="77777777" w:rsidR="003C3C4F" w:rsidRDefault="00000000">
      <w:pPr>
        <w:rPr>
          <w:highlight w:val="yellow"/>
        </w:rPr>
      </w:pPr>
      <w:r>
        <w:rPr>
          <w:highlight w:val="yellow"/>
        </w:rPr>
        <w:t>First, the scope of the study was limited to commercial banks operating within Nairobi City County, Kenya. Because the dynamics of electronic payment adoption and use in rural or semi-urban areas may differ significantly due to variations in infrastructure, digital literacy, and internet connectivity, further research is needed to capture those realities as well.</w:t>
      </w:r>
    </w:p>
    <w:p w14:paraId="27D511B5" w14:textId="77777777" w:rsidR="003C3C4F" w:rsidRDefault="00000000">
      <w:pPr>
        <w:rPr>
          <w:highlight w:val="yellow"/>
        </w:rPr>
      </w:pPr>
      <w:r>
        <w:rPr>
          <w:highlight w:val="yellow"/>
        </w:rPr>
        <w:t>The study also relied on primary data collected through structured self-administered questionnaires. Self-reported data can introduce response bias, as respondents' perceptions of performance and technology adoption may not fully capture actual financial figures.</w:t>
      </w:r>
    </w:p>
    <w:p w14:paraId="34150939" w14:textId="77777777" w:rsidR="003C3C4F" w:rsidRDefault="00000000">
      <w:r>
        <w:rPr>
          <w:highlight w:val="yellow"/>
        </w:rPr>
        <w:t>Finally, the regression model focused only on specific electronic payment channels (ATMs, Mobile Banking, and Internet Banking). It did not account for macroeconomic factors, regulatory policy changes, or competition from non-bank fintech platforms, which can also influence commercial bank profitability.</w:t>
      </w:r>
    </w:p>
    <w:p w14:paraId="260F9997" w14:textId="77777777" w:rsidR="003C3C4F" w:rsidRDefault="003C3C4F">
      <w:pPr>
        <w:shd w:val="clear" w:color="auto" w:fill="FFFFFF"/>
        <w:spacing w:after="0" w:line="240" w:lineRule="auto"/>
        <w:rPr>
          <w:rFonts w:ascii="Arial" w:eastAsia="Times New Roman" w:hAnsi="Arial" w:cs="Arial"/>
          <w:color w:val="222222"/>
          <w:szCs w:val="24"/>
          <w:lang w:val="en-IN" w:eastAsia="en-IN"/>
        </w:rPr>
      </w:pPr>
    </w:p>
    <w:p w14:paraId="3F83ED14" w14:textId="77777777" w:rsidR="003C3C4F" w:rsidRDefault="00000000">
      <w:pPr>
        <w:spacing w:after="0" w:line="240" w:lineRule="auto"/>
        <w:rPr>
          <w:rFonts w:ascii="Arial" w:hAnsi="Arial" w:cs="Arial"/>
          <w:b/>
          <w:sz w:val="20"/>
          <w:szCs w:val="20"/>
        </w:rPr>
      </w:pPr>
      <w:bookmarkStart w:id="1" w:name="_Hlk237857116"/>
      <w:bookmarkStart w:id="2" w:name="_Hlk238909442"/>
      <w:bookmarkStart w:id="3" w:name="_Hlk232854992"/>
      <w:bookmarkEnd w:id="1"/>
      <w:bookmarkEnd w:id="2"/>
      <w:bookmarkEnd w:id="3"/>
      <w:r>
        <w:rPr>
          <w:rFonts w:ascii="Arial" w:hAnsi="Arial" w:cs="Arial"/>
          <w:b/>
          <w:sz w:val="20"/>
          <w:szCs w:val="20"/>
        </w:rPr>
        <w:t>Declaration of AI Use</w:t>
      </w:r>
    </w:p>
    <w:p w14:paraId="432AED16" w14:textId="77777777" w:rsidR="003C3C4F" w:rsidRDefault="003C3C4F">
      <w:pPr>
        <w:spacing w:after="0" w:line="240" w:lineRule="auto"/>
        <w:rPr>
          <w:rFonts w:ascii="Arial" w:hAnsi="Arial" w:cs="Arial"/>
          <w:b/>
          <w:sz w:val="20"/>
          <w:szCs w:val="20"/>
        </w:rPr>
      </w:pPr>
    </w:p>
    <w:p w14:paraId="60D63025" w14:textId="77777777" w:rsidR="003C3C4F" w:rsidRDefault="00000000">
      <w:pPr>
        <w:spacing w:after="0" w:line="240" w:lineRule="auto"/>
        <w:rPr>
          <w:rFonts w:ascii="Arial" w:hAnsi="Arial" w:cs="Arial"/>
          <w:sz w:val="20"/>
          <w:szCs w:val="20"/>
        </w:rPr>
      </w:pPr>
      <w:bookmarkStart w:id="4" w:name="_Hlk238550938"/>
      <w:r>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4"/>
      <w:r>
        <w:rPr>
          <w:rFonts w:ascii="Arial" w:hAnsi="Arial" w:cs="Arial"/>
          <w:sz w:val="20"/>
          <w:szCs w:val="20"/>
        </w:rPr>
        <w:t>.</w:t>
      </w:r>
    </w:p>
    <w:p w14:paraId="1401DC67" w14:textId="77777777" w:rsidR="003C3C4F" w:rsidRDefault="003C3C4F">
      <w:pPr>
        <w:spacing w:after="0" w:line="240" w:lineRule="auto"/>
        <w:rPr>
          <w:rFonts w:ascii="Arial" w:hAnsi="Arial" w:cs="Arial"/>
          <w:sz w:val="20"/>
          <w:szCs w:val="20"/>
        </w:rPr>
      </w:pPr>
    </w:p>
    <w:p w14:paraId="2671108B" w14:textId="77777777" w:rsidR="003C3C4F" w:rsidRDefault="003C3C4F">
      <w:pPr>
        <w:spacing w:after="0" w:line="240" w:lineRule="auto"/>
        <w:rPr>
          <w:rFonts w:ascii="Arial" w:hAnsi="Arial" w:cs="Arial"/>
          <w:sz w:val="20"/>
          <w:szCs w:val="20"/>
        </w:rPr>
      </w:pPr>
    </w:p>
    <w:p w14:paraId="5A947604" w14:textId="77777777" w:rsidR="003C3C4F" w:rsidRDefault="00000000">
      <w:pPr>
        <w:outlineLvl w:val="0"/>
        <w:rPr>
          <w:rFonts w:ascii="Arial" w:hAnsi="Arial" w:cs="Arial"/>
        </w:rPr>
      </w:pPr>
      <w:bookmarkStart w:id="5" w:name="_Hlk240284289"/>
      <w:bookmarkStart w:id="6" w:name="_Hlk237856463"/>
      <w:bookmarkStart w:id="7" w:name="_Hlk239068730"/>
      <w:bookmarkStart w:id="8" w:name="_Hlk237862032"/>
      <w:bookmarkEnd w:id="5"/>
      <w:bookmarkEnd w:id="6"/>
      <w:bookmarkEnd w:id="7"/>
      <w:bookmarkEnd w:id="8"/>
      <w:r>
        <w:rPr>
          <w:rFonts w:ascii="Arial" w:hAnsi="Arial" w:cs="Arial"/>
          <w:b/>
          <w:bCs/>
        </w:rPr>
        <w:t>COMPETING INTERESTS DISCLAIMER:</w:t>
      </w:r>
    </w:p>
    <w:p w14:paraId="0C806946" w14:textId="77777777" w:rsidR="003C3C4F" w:rsidRDefault="00000000">
      <w:r>
        <w:t>Authors have declared that they have no known competing financial interests OR non-financial interests OR personal relationships that could have appeared to influence the work reported in this paper.</w:t>
      </w:r>
    </w:p>
    <w:p w14:paraId="35535289" w14:textId="77777777" w:rsidR="003C3C4F" w:rsidRDefault="003C3C4F"/>
    <w:p w14:paraId="58921CC6" w14:textId="77777777" w:rsidR="003C3C4F" w:rsidRDefault="00000000">
      <w:pPr>
        <w:pStyle w:val="Heading1"/>
        <w:spacing w:line="240" w:lineRule="auto"/>
        <w:jc w:val="left"/>
        <w:rPr>
          <w:b/>
          <w:bCs/>
          <w:color w:val="000000"/>
        </w:rPr>
      </w:pPr>
      <w:r>
        <w:rPr>
          <w:b/>
          <w:bCs/>
          <w:color w:val="000000"/>
        </w:rPr>
        <w:t>REFERENCES</w:t>
      </w:r>
    </w:p>
    <w:p w14:paraId="7866AAF2" w14:textId="77777777" w:rsidR="003C3C4F" w:rsidRDefault="00000000">
      <w:pPr>
        <w:spacing w:line="240" w:lineRule="auto"/>
        <w:ind w:left="720" w:hanging="720"/>
        <w:rPr>
          <w:szCs w:val="24"/>
        </w:rPr>
      </w:pPr>
      <w:r>
        <w:t xml:space="preserve">Abu, A. S., Harrison, V., &amp; Robert, A. O. (2026). Effect of electronic payment systems on deposit money bank profitability in Nigeria. </w:t>
      </w:r>
      <w:r>
        <w:rPr>
          <w:i/>
        </w:rPr>
        <w:t>World Journal of Finance and Investment Research, 10</w:t>
      </w:r>
      <w:r>
        <w:t xml:space="preserve">(3), 96-114. </w:t>
      </w:r>
      <w:hyperlink r:id="rId7">
        <w:r w:rsidR="003C3C4F">
          <w:rPr>
            <w:color w:val="0563C1"/>
            <w:u w:val="single"/>
          </w:rPr>
          <w:t>https://doi.org/10.56201/wjfir.v10.no3.2026.pg96.114</w:t>
        </w:r>
      </w:hyperlink>
    </w:p>
    <w:p w14:paraId="15B91003" w14:textId="77777777" w:rsidR="003C3C4F" w:rsidRDefault="00000000">
      <w:pPr>
        <w:spacing w:line="240" w:lineRule="auto"/>
        <w:ind w:left="720" w:hanging="720"/>
        <w:rPr>
          <w:szCs w:val="24"/>
        </w:rPr>
      </w:pPr>
      <w:r>
        <w:lastRenderedPageBreak/>
        <w:t xml:space="preserve">Achor, P. C., &amp; Utulu, F. O. (2026). Mobile banking transactions and bank profitability in Nigeria. </w:t>
      </w:r>
      <w:r>
        <w:rPr>
          <w:i/>
        </w:rPr>
        <w:t>IIARD International Journal of Banking and Finance Research, 12</w:t>
      </w:r>
      <w:r>
        <w:t xml:space="preserve">(1), 35-47. </w:t>
      </w:r>
      <w:hyperlink r:id="rId8">
        <w:r w:rsidR="003C3C4F">
          <w:rPr>
            <w:color w:val="0563C1"/>
            <w:u w:val="single"/>
          </w:rPr>
          <w:t>https://doi.org/10.56201/ijbfr.vol.12.no1.2026.pg35.47</w:t>
        </w:r>
      </w:hyperlink>
    </w:p>
    <w:p w14:paraId="77A7ED92" w14:textId="77777777" w:rsidR="003C3C4F" w:rsidRDefault="00000000">
      <w:pPr>
        <w:spacing w:line="240" w:lineRule="auto"/>
        <w:ind w:left="720" w:hanging="720"/>
        <w:rPr>
          <w:color w:val="000000"/>
          <w:szCs w:val="24"/>
        </w:rPr>
      </w:pPr>
      <w:r>
        <w:t xml:space="preserve">Akan, H. W. (2023). Electronic payment systems and the return on equity of quoted commercial banks in Nigeria. </w:t>
      </w:r>
      <w:r>
        <w:rPr>
          <w:i/>
        </w:rPr>
        <w:t>African Banking and Finance Review Journal, 5</w:t>
      </w:r>
      <w:r>
        <w:t xml:space="preserve">(5), 96-114. </w:t>
      </w:r>
      <w:hyperlink r:id="rId9">
        <w:r w:rsidR="003C3C4F">
          <w:rPr>
            <w:color w:val="0563C1"/>
            <w:u w:val="single"/>
          </w:rPr>
          <w:t>https://www.abfrjournal.com/index.php/abfr/article/view/86</w:t>
        </w:r>
      </w:hyperlink>
    </w:p>
    <w:p w14:paraId="0051F9DF" w14:textId="77777777" w:rsidR="003C3C4F" w:rsidRDefault="00000000">
      <w:pPr>
        <w:spacing w:line="240" w:lineRule="auto"/>
        <w:ind w:left="720" w:hanging="720"/>
        <w:rPr>
          <w:color w:val="156082"/>
          <w:szCs w:val="24"/>
        </w:rPr>
      </w:pPr>
      <w:r>
        <w:t xml:space="preserve">Akims, M. A., Omagwa, J., &amp; Mungai, J. (2020). Effect of price levels, exchange rates and interest rates on return on assets of commercial banks in Nigeria. </w:t>
      </w:r>
      <w:r>
        <w:rPr>
          <w:i/>
        </w:rPr>
        <w:t>European Journal of Business and Management, 12</w:t>
      </w:r>
      <w:r>
        <w:t xml:space="preserve">(15), 107-117. </w:t>
      </w:r>
      <w:hyperlink r:id="rId10">
        <w:r w:rsidR="003C3C4F">
          <w:rPr>
            <w:color w:val="0563C1"/>
            <w:u w:val="single"/>
          </w:rPr>
          <w:t>https://doi.org/10.7176/EJBM/12-15-12</w:t>
        </w:r>
      </w:hyperlink>
    </w:p>
    <w:p w14:paraId="63EB8EFD" w14:textId="77777777" w:rsidR="003C3C4F" w:rsidRDefault="00000000">
      <w:pPr>
        <w:spacing w:line="240" w:lineRule="auto"/>
        <w:ind w:left="720" w:hanging="720"/>
        <w:rPr>
          <w:szCs w:val="24"/>
        </w:rPr>
      </w:pPr>
      <w:r>
        <w:t xml:space="preserve">Bankole, F. O., Bankole, O. O., &amp; Brown, I. (2011). Mobile banking adoption in Nigeria. </w:t>
      </w:r>
      <w:r>
        <w:rPr>
          <w:i/>
        </w:rPr>
        <w:t>The Electronic Journal of Information Systems in Developing Countries, 47</w:t>
      </w:r>
      <w:r>
        <w:t xml:space="preserve">(1), 1-23. </w:t>
      </w:r>
      <w:hyperlink r:id="rId11">
        <w:r w:rsidR="003C3C4F">
          <w:rPr>
            <w:color w:val="0563C1"/>
            <w:u w:val="single"/>
          </w:rPr>
          <w:t>https://doi.org/10.1002/j.1681-4835.2011.tb00330.x</w:t>
        </w:r>
      </w:hyperlink>
    </w:p>
    <w:p w14:paraId="5ED97BD7" w14:textId="77777777" w:rsidR="003C3C4F" w:rsidRDefault="00000000">
      <w:pPr>
        <w:spacing w:line="240" w:lineRule="auto"/>
        <w:ind w:left="720" w:hanging="720"/>
        <w:rPr>
          <w:szCs w:val="24"/>
        </w:rPr>
      </w:pPr>
      <w:r>
        <w:t xml:space="preserve">Barney, J. B. (1991). Firm resources and sustained competitive advantage. </w:t>
      </w:r>
      <w:r>
        <w:rPr>
          <w:i/>
        </w:rPr>
        <w:t>Journal of Management, 17</w:t>
      </w:r>
      <w:r>
        <w:t xml:space="preserve">(1), 99-120. </w:t>
      </w:r>
      <w:hyperlink r:id="rId12">
        <w:r w:rsidR="003C3C4F">
          <w:rPr>
            <w:color w:val="0563C1"/>
            <w:u w:val="single"/>
          </w:rPr>
          <w:t>https://doi.org/10.1177/014920639101700108</w:t>
        </w:r>
      </w:hyperlink>
    </w:p>
    <w:p w14:paraId="5870DFF7" w14:textId="77777777" w:rsidR="003C3C4F" w:rsidRDefault="00000000">
      <w:pPr>
        <w:spacing w:line="240" w:lineRule="auto"/>
        <w:ind w:left="720" w:hanging="720"/>
        <w:rPr>
          <w:szCs w:val="24"/>
        </w:rPr>
      </w:pPr>
      <w:r>
        <w:t xml:space="preserve">Barney, J. B., &amp; Arikan, A. M. (2005). The resource-based view: Origins and implications. In M. A. Hitt, R. E. Freeman, &amp; J. S. Harrison (Eds.), </w:t>
      </w:r>
      <w:r>
        <w:rPr>
          <w:i/>
        </w:rPr>
        <w:t>The Blackwell handbook of strategic management</w:t>
      </w:r>
      <w:r>
        <w:t xml:space="preserve"> (pp. 123-182). Blackwell Publishing. </w:t>
      </w:r>
      <w:hyperlink r:id="rId13">
        <w:r w:rsidR="003C3C4F">
          <w:rPr>
            <w:color w:val="0563C1"/>
            <w:u w:val="single"/>
          </w:rPr>
          <w:t>https://doi.org/10.1111/b.9780631218616.2006.00006.x</w:t>
        </w:r>
      </w:hyperlink>
    </w:p>
    <w:p w14:paraId="7D4CE00B" w14:textId="77777777" w:rsidR="003C3C4F" w:rsidRDefault="00000000">
      <w:pPr>
        <w:spacing w:line="240" w:lineRule="auto"/>
        <w:ind w:left="720" w:hanging="720"/>
        <w:rPr>
          <w:szCs w:val="24"/>
        </w:rPr>
      </w:pPr>
      <w:r>
        <w:t xml:space="preserve">Basnet, S. (2024). Impact of electronic payment system on the profitability of Nepalese commercial banks. </w:t>
      </w:r>
      <w:r>
        <w:rPr>
          <w:i/>
        </w:rPr>
        <w:t>Nepalese Journal of Finance, 11</w:t>
      </w:r>
      <w:r>
        <w:t xml:space="preserve">(4), 84-103. </w:t>
      </w:r>
      <w:hyperlink r:id="rId14">
        <w:r w:rsidR="003C3C4F">
          <w:rPr>
            <w:color w:val="0563C1"/>
            <w:u w:val="single"/>
          </w:rPr>
          <w:t>https://doi.org/10.3126/njf.v11i4.79771</w:t>
        </w:r>
      </w:hyperlink>
    </w:p>
    <w:p w14:paraId="093BF39F" w14:textId="77777777" w:rsidR="003C3C4F" w:rsidRDefault="00000000">
      <w:pPr>
        <w:spacing w:line="240" w:lineRule="auto"/>
        <w:ind w:left="720" w:hanging="720"/>
        <w:rPr>
          <w:szCs w:val="24"/>
        </w:rPr>
      </w:pPr>
      <w:r>
        <w:t xml:space="preserve">Board of Governors of the Federal Reserve System. (2023). </w:t>
      </w:r>
      <w:r>
        <w:rPr>
          <w:i/>
        </w:rPr>
        <w:t>The Federal Reserve Payments Study: 2022 triennial initial data release</w:t>
      </w:r>
      <w:r>
        <w:t xml:space="preserve">. </w:t>
      </w:r>
      <w:hyperlink r:id="rId15">
        <w:r w:rsidR="003C3C4F">
          <w:rPr>
            <w:color w:val="0563C1"/>
            <w:u w:val="single"/>
          </w:rPr>
          <w:t>https://www.federalreserve.gov/paymentsystems/2023-April-The-Federal-Reserve-Payments-Study.htm</w:t>
        </w:r>
      </w:hyperlink>
    </w:p>
    <w:p w14:paraId="5BFDC458" w14:textId="77777777" w:rsidR="003C3C4F" w:rsidRDefault="00000000">
      <w:pPr>
        <w:spacing w:line="240" w:lineRule="auto"/>
        <w:ind w:left="720" w:hanging="720"/>
        <w:rPr>
          <w:szCs w:val="24"/>
        </w:rPr>
      </w:pPr>
      <w:r>
        <w:t xml:space="preserve">Central Bank of Kenya. (2023a). </w:t>
      </w:r>
      <w:r>
        <w:rPr>
          <w:i/>
        </w:rPr>
        <w:t>Bank supervision annual report 2023</w:t>
      </w:r>
      <w:r>
        <w:t xml:space="preserve">. </w:t>
      </w:r>
      <w:hyperlink r:id="rId16">
        <w:r w:rsidR="003C3C4F">
          <w:rPr>
            <w:color w:val="0563C1"/>
            <w:u w:val="single"/>
          </w:rPr>
          <w:t>https://www.centralbank.go.ke/uploads/banking_sector_annual_reports/1105574234_2023%20Annual%20Report.pdf</w:t>
        </w:r>
      </w:hyperlink>
    </w:p>
    <w:p w14:paraId="31625CE7" w14:textId="77777777" w:rsidR="003C3C4F" w:rsidRDefault="00000000">
      <w:pPr>
        <w:spacing w:line="240" w:lineRule="auto"/>
        <w:ind w:left="720" w:hanging="720"/>
        <w:rPr>
          <w:szCs w:val="24"/>
        </w:rPr>
      </w:pPr>
      <w:r>
        <w:t xml:space="preserve">Central Bank of Kenya. (2023b). </w:t>
      </w:r>
      <w:r>
        <w:rPr>
          <w:i/>
        </w:rPr>
        <w:t>Directory of licenced commercial banks, mortgage finance institutions and authorised non-operating holding companies</w:t>
      </w:r>
      <w:r>
        <w:t xml:space="preserve">. </w:t>
      </w:r>
      <w:hyperlink r:id="rId17">
        <w:r w:rsidR="003C3C4F">
          <w:rPr>
            <w:color w:val="0563C1"/>
            <w:u w:val="single"/>
          </w:rPr>
          <w:t>https://www.centralbank.go.ke/wp-content/uploads/2023/06/Directory-of-Licenced-Commercial-Banks-Authorised-NOHCs-June-2023.pdf</w:t>
        </w:r>
      </w:hyperlink>
    </w:p>
    <w:p w14:paraId="2592EA34" w14:textId="77777777" w:rsidR="003C3C4F" w:rsidRDefault="00000000">
      <w:pPr>
        <w:spacing w:line="240" w:lineRule="auto"/>
        <w:ind w:left="720" w:hanging="720"/>
        <w:rPr>
          <w:szCs w:val="24"/>
        </w:rPr>
      </w:pPr>
      <w:r>
        <w:t xml:space="preserve">Chimanga, K., &amp; Kawimbe, S. (2024). Analyzing the impact of mobile banking on commercial banks' financial performance: A case of FNB Bank-Zambia. </w:t>
      </w:r>
      <w:r>
        <w:rPr>
          <w:i/>
        </w:rPr>
        <w:t>Saudi Journal of Economics and Finance, 8</w:t>
      </w:r>
      <w:r>
        <w:t xml:space="preserve">(1), 1-8. </w:t>
      </w:r>
      <w:hyperlink r:id="rId18">
        <w:r w:rsidR="003C3C4F">
          <w:rPr>
            <w:color w:val="0563C1"/>
            <w:u w:val="single"/>
          </w:rPr>
          <w:t>https://doi.org/10.36348/sjef.2024.v08i01.001</w:t>
        </w:r>
      </w:hyperlink>
    </w:p>
    <w:p w14:paraId="102F9008" w14:textId="77777777" w:rsidR="003C3C4F" w:rsidRDefault="00000000">
      <w:pPr>
        <w:spacing w:line="240" w:lineRule="auto"/>
        <w:ind w:left="720" w:hanging="720"/>
        <w:rPr>
          <w:szCs w:val="24"/>
        </w:rPr>
      </w:pPr>
      <w:r>
        <w:t xml:space="preserve">Chitungo, S. K., &amp; Munongo, S. (2013). Extending the technology acceptance model to mobile banking adoption in rural Zimbabwe. </w:t>
      </w:r>
      <w:r>
        <w:rPr>
          <w:i/>
        </w:rPr>
        <w:t>Journal of Business Administration and Education, 3</w:t>
      </w:r>
      <w:r>
        <w:t xml:space="preserve">(1), 51-79. </w:t>
      </w:r>
    </w:p>
    <w:p w14:paraId="0BB52CCB" w14:textId="77777777" w:rsidR="00332606" w:rsidRDefault="00000000">
      <w:pPr>
        <w:ind w:left="720" w:hanging="720"/>
        <w:rPr>
          <w:color w:val="000000"/>
          <w:szCs w:val="24"/>
        </w:rPr>
      </w:pPr>
      <w:r>
        <w:rPr>
          <w:b/>
          <w:highlight w:val="yellow"/>
        </w:rPr>
        <w:lastRenderedPageBreak/>
        <w:t xml:space="preserve">Citterio, A., King, T., &amp; Locatelli, R. (2024). Is digital transformation profitable for banks? Evidence from Europe. </w:t>
      </w:r>
      <w:r>
        <w:rPr>
          <w:b/>
          <w:i/>
          <w:highlight w:val="yellow"/>
        </w:rPr>
        <w:t>Finance Research Letters, 70</w:t>
      </w:r>
      <w:r>
        <w:rPr>
          <w:b/>
          <w:highlight w:val="yellow"/>
        </w:rPr>
        <w:t xml:space="preserve">, 106269. </w:t>
      </w:r>
      <w:hyperlink r:id="rId19">
        <w:r>
          <w:rPr>
            <w:b/>
            <w:color w:val="0563C1"/>
            <w:highlight w:val="yellow"/>
            <w:u w:val="single"/>
          </w:rPr>
          <w:t>https://doi.org/10.1016/j.frl.2024.106269</w:t>
        </w:r>
      </w:hyperlink>
    </w:p>
    <w:p w14:paraId="40842FD4" w14:textId="77777777" w:rsidR="003C3C4F" w:rsidRPr="00951AFC" w:rsidRDefault="00000000">
      <w:pPr>
        <w:spacing w:line="240" w:lineRule="auto"/>
        <w:ind w:left="720" w:hanging="720"/>
        <w:rPr>
          <w:szCs w:val="24"/>
          <w:lang w:val="nl-BE"/>
        </w:rPr>
      </w:pPr>
      <w:r>
        <w:t xml:space="preserve">Communications Authority of Kenya. (2024). </w:t>
      </w:r>
      <w:r>
        <w:rPr>
          <w:i/>
        </w:rPr>
        <w:t>Sector statistics report Q1 2024-2025</w:t>
      </w:r>
      <w:r>
        <w:t xml:space="preserve">. </w:t>
      </w:r>
      <w:hyperlink r:id="rId20">
        <w:r w:rsidR="003C3C4F" w:rsidRPr="00951AFC">
          <w:rPr>
            <w:color w:val="0563C1"/>
            <w:u w:val="single"/>
            <w:lang w:val="nl-BE"/>
          </w:rPr>
          <w:t>https://ca.go.ke/statistics</w:t>
        </w:r>
      </w:hyperlink>
    </w:p>
    <w:p w14:paraId="2A2BA7D1" w14:textId="77777777" w:rsidR="003C3C4F" w:rsidRDefault="00000000">
      <w:pPr>
        <w:spacing w:line="240" w:lineRule="auto"/>
        <w:ind w:left="720" w:hanging="720"/>
        <w:rPr>
          <w:szCs w:val="24"/>
        </w:rPr>
      </w:pPr>
      <w:r w:rsidRPr="00951AFC">
        <w:rPr>
          <w:lang w:val="nl-BE"/>
        </w:rPr>
        <w:t xml:space="preserve">Cooper, D. R., &amp; Schindler, P. S. (2003). </w:t>
      </w:r>
      <w:r>
        <w:rPr>
          <w:i/>
        </w:rPr>
        <w:t>Business research methods</w:t>
      </w:r>
      <w:r>
        <w:t xml:space="preserve"> (8th ed.). McGraw-Hill/Irwin. </w:t>
      </w:r>
      <w:hyperlink r:id="rId21">
        <w:r w:rsidR="003C3C4F">
          <w:rPr>
            <w:color w:val="0563C1"/>
            <w:u w:val="single"/>
          </w:rPr>
          <w:t>https://library.cvsu-rosario.edu.ph/cgi-bin/koha/opac-ISBDdetail.pl?biblionumber=4542</w:t>
        </w:r>
      </w:hyperlink>
    </w:p>
    <w:p w14:paraId="67D1C18F" w14:textId="77777777" w:rsidR="003C3C4F" w:rsidRDefault="00000000">
      <w:pPr>
        <w:spacing w:line="240" w:lineRule="auto"/>
        <w:ind w:left="720" w:hanging="720"/>
        <w:rPr>
          <w:szCs w:val="24"/>
        </w:rPr>
      </w:pPr>
      <w:r>
        <w:t xml:space="preserve">Daily, C. M., Dalton, D. R., &amp; Cannella, A. A., Jr. (2003). Corporate governance: Decades of dialogue and data. </w:t>
      </w:r>
      <w:r>
        <w:rPr>
          <w:i/>
        </w:rPr>
        <w:t>Academy of Management Review, 28</w:t>
      </w:r>
      <w:r>
        <w:t xml:space="preserve">(3), 371-382. </w:t>
      </w:r>
      <w:hyperlink r:id="rId22">
        <w:r w:rsidR="003C3C4F">
          <w:rPr>
            <w:color w:val="0563C1"/>
            <w:u w:val="single"/>
          </w:rPr>
          <w:t>https://doi.org/10.5465/amr.2003.10196703</w:t>
        </w:r>
      </w:hyperlink>
    </w:p>
    <w:p w14:paraId="74FB7379" w14:textId="77777777" w:rsidR="003C3C4F" w:rsidRDefault="00000000">
      <w:pPr>
        <w:spacing w:line="240" w:lineRule="auto"/>
        <w:ind w:left="720" w:hanging="720"/>
        <w:rPr>
          <w:szCs w:val="24"/>
        </w:rPr>
      </w:pPr>
      <w:r>
        <w:t xml:space="preserve">Davis, F. D. (1989). Perceived usefulness, perceived ease of use, and user acceptance of information technology. </w:t>
      </w:r>
      <w:r>
        <w:rPr>
          <w:i/>
        </w:rPr>
        <w:t>MIS Quarterly, 13</w:t>
      </w:r>
      <w:r>
        <w:t xml:space="preserve">(3), 319-340. </w:t>
      </w:r>
      <w:hyperlink r:id="rId23">
        <w:r w:rsidR="003C3C4F">
          <w:rPr>
            <w:color w:val="0563C1"/>
            <w:u w:val="single"/>
          </w:rPr>
          <w:t>https://doi.org/10.2307/249008</w:t>
        </w:r>
      </w:hyperlink>
    </w:p>
    <w:p w14:paraId="6D89D1B4" w14:textId="77777777" w:rsidR="003C3C4F" w:rsidRDefault="00000000">
      <w:pPr>
        <w:spacing w:line="240" w:lineRule="auto"/>
        <w:ind w:left="720" w:hanging="720"/>
        <w:rPr>
          <w:szCs w:val="24"/>
        </w:rPr>
      </w:pPr>
      <w:r>
        <w:t xml:space="preserve">Davis, F. D. (1993). User acceptance of information technology: System characteristics, user perceptions and behavioral impacts. </w:t>
      </w:r>
      <w:r>
        <w:rPr>
          <w:i/>
        </w:rPr>
        <w:t>International Journal of Man-Machine Studies, 38</w:t>
      </w:r>
      <w:r>
        <w:t xml:space="preserve">(3), 475-487. </w:t>
      </w:r>
      <w:hyperlink r:id="rId24">
        <w:r w:rsidR="003C3C4F">
          <w:rPr>
            <w:color w:val="0563C1"/>
            <w:u w:val="single"/>
          </w:rPr>
          <w:t>https://doi.org/10.1006/imms.1993.1022</w:t>
        </w:r>
      </w:hyperlink>
    </w:p>
    <w:p w14:paraId="5B3EE432" w14:textId="77777777" w:rsidR="003C3C4F" w:rsidRDefault="00000000">
      <w:pPr>
        <w:spacing w:line="240" w:lineRule="auto"/>
        <w:ind w:left="720" w:hanging="720"/>
        <w:rPr>
          <w:szCs w:val="24"/>
        </w:rPr>
      </w:pPr>
      <w:r>
        <w:t xml:space="preserve">Dietrich, A., &amp; Wanzenried, G. (2011). Determinants of bank profitability before and during the crisis: Evidence from Switzerland. </w:t>
      </w:r>
      <w:r>
        <w:rPr>
          <w:i/>
        </w:rPr>
        <w:t>Journal of International Financial Markets, Institutions and Money, 21</w:t>
      </w:r>
      <w:r>
        <w:t xml:space="preserve">(3), 307-327. </w:t>
      </w:r>
      <w:hyperlink r:id="rId25">
        <w:r w:rsidR="003C3C4F">
          <w:rPr>
            <w:color w:val="0563C1"/>
            <w:u w:val="single"/>
          </w:rPr>
          <w:t>https://doi.org/10.1016/j.intfin.2010.11.002</w:t>
        </w:r>
      </w:hyperlink>
    </w:p>
    <w:p w14:paraId="16C52B1B" w14:textId="77777777" w:rsidR="003C3C4F" w:rsidRDefault="00000000">
      <w:pPr>
        <w:spacing w:line="240" w:lineRule="auto"/>
        <w:ind w:left="720" w:hanging="720"/>
        <w:rPr>
          <w:szCs w:val="24"/>
        </w:rPr>
      </w:pPr>
      <w:r>
        <w:t xml:space="preserve">Eisenhardt, K. M. (1989). Agency theory: An assessment and review. </w:t>
      </w:r>
      <w:r>
        <w:rPr>
          <w:i/>
        </w:rPr>
        <w:t>Academy of Management Review, 14</w:t>
      </w:r>
      <w:r>
        <w:t xml:space="preserve">(1), 57-74. </w:t>
      </w:r>
      <w:hyperlink r:id="rId26">
        <w:r w:rsidR="003C3C4F">
          <w:rPr>
            <w:color w:val="0563C1"/>
            <w:u w:val="single"/>
          </w:rPr>
          <w:t>https://doi.org/10.5465/amr.1989.4279003</w:t>
        </w:r>
      </w:hyperlink>
    </w:p>
    <w:p w14:paraId="25137597" w14:textId="77777777" w:rsidR="003C3C4F" w:rsidRDefault="00000000">
      <w:pPr>
        <w:spacing w:line="240" w:lineRule="auto"/>
        <w:ind w:left="720" w:hanging="720"/>
        <w:rPr>
          <w:szCs w:val="24"/>
        </w:rPr>
      </w:pPr>
      <w:r>
        <w:t xml:space="preserve">European Central Bank. (2022). </w:t>
      </w:r>
      <w:r>
        <w:rPr>
          <w:i/>
        </w:rPr>
        <w:t>Study on the payment attitudes of consumers in the euro area (SPACE) - 2022</w:t>
      </w:r>
      <w:r>
        <w:t xml:space="preserve">. </w:t>
      </w:r>
      <w:hyperlink r:id="rId27">
        <w:r w:rsidR="003C3C4F">
          <w:rPr>
            <w:color w:val="0563C1"/>
            <w:u w:val="single"/>
          </w:rPr>
          <w:t>https://doi.org/10.2866/85233</w:t>
        </w:r>
      </w:hyperlink>
    </w:p>
    <w:p w14:paraId="7692DFF8" w14:textId="77777777" w:rsidR="003C3C4F" w:rsidRDefault="00000000">
      <w:pPr>
        <w:spacing w:line="240" w:lineRule="auto"/>
        <w:ind w:left="720" w:hanging="720"/>
        <w:rPr>
          <w:szCs w:val="24"/>
        </w:rPr>
      </w:pPr>
      <w:r>
        <w:t xml:space="preserve">Fama, E. F., &amp; Jensen, M. C. (1983). Agency problems and residual claims. </w:t>
      </w:r>
      <w:r>
        <w:rPr>
          <w:i/>
        </w:rPr>
        <w:t>The Journal of Law and Economics, 26</w:t>
      </w:r>
      <w:r>
        <w:t xml:space="preserve">(2), 327-349. </w:t>
      </w:r>
      <w:hyperlink r:id="rId28">
        <w:r w:rsidR="003C3C4F">
          <w:rPr>
            <w:color w:val="0563C1"/>
            <w:u w:val="single"/>
          </w:rPr>
          <w:t>https://doi.org/10.1086/467038</w:t>
        </w:r>
      </w:hyperlink>
    </w:p>
    <w:p w14:paraId="7BA71D2F" w14:textId="77777777" w:rsidR="003C3C4F" w:rsidRDefault="00000000">
      <w:pPr>
        <w:spacing w:line="240" w:lineRule="auto"/>
        <w:ind w:left="720" w:hanging="720"/>
        <w:rPr>
          <w:szCs w:val="24"/>
        </w:rPr>
      </w:pPr>
      <w:r>
        <w:t xml:space="preserve">Freeman, R. E. (2010). </w:t>
      </w:r>
      <w:r>
        <w:rPr>
          <w:i/>
        </w:rPr>
        <w:t>Strategic management: A stakeholder approach</w:t>
      </w:r>
      <w:r>
        <w:t xml:space="preserve">. Cambridge University Press. </w:t>
      </w:r>
      <w:hyperlink r:id="rId29">
        <w:r w:rsidR="003C3C4F">
          <w:rPr>
            <w:color w:val="0563C1"/>
            <w:u w:val="single"/>
          </w:rPr>
          <w:t>https://doi.org/10.1017/CBO9781139192675</w:t>
        </w:r>
      </w:hyperlink>
    </w:p>
    <w:p w14:paraId="55178A16" w14:textId="77777777" w:rsidR="003C3C4F" w:rsidRDefault="00000000">
      <w:pPr>
        <w:spacing w:line="240" w:lineRule="auto"/>
        <w:ind w:left="720" w:hanging="720"/>
        <w:rPr>
          <w:szCs w:val="24"/>
        </w:rPr>
      </w:pPr>
      <w:r>
        <w:t xml:space="preserve">GSMA. (2023). </w:t>
      </w:r>
      <w:r>
        <w:rPr>
          <w:i/>
        </w:rPr>
        <w:t>State of the industry report on mobile money 2023</w:t>
      </w:r>
      <w:r>
        <w:t xml:space="preserve">. </w:t>
      </w:r>
      <w:hyperlink r:id="rId30">
        <w:r w:rsidR="003C3C4F">
          <w:rPr>
            <w:color w:val="0563C1"/>
            <w:u w:val="single"/>
          </w:rPr>
          <w:t>https://www.gsma.com/solutions-and-impact/connectivity-for-good/mobile-for-development/gsma_resources/state-of-the-industry-report-on-mobile-money-2023-2/</w:t>
        </w:r>
      </w:hyperlink>
    </w:p>
    <w:p w14:paraId="03194B22" w14:textId="77777777" w:rsidR="00332606" w:rsidRDefault="00000000">
      <w:pPr>
        <w:ind w:left="720" w:hanging="720"/>
        <w:rPr>
          <w:color w:val="000000"/>
          <w:szCs w:val="24"/>
        </w:rPr>
      </w:pPr>
      <w:r>
        <w:rPr>
          <w:b/>
          <w:highlight w:val="yellow"/>
        </w:rPr>
        <w:t xml:space="preserve">He, Q., Tong, Z., Mai, H., Shen, Y., &amp; Jiang, J. (2025). Digital transformation and profitability in rural commercial banks. </w:t>
      </w:r>
      <w:r>
        <w:rPr>
          <w:b/>
          <w:i/>
          <w:highlight w:val="yellow"/>
        </w:rPr>
        <w:t>Finance Research Letters, 85</w:t>
      </w:r>
      <w:r>
        <w:rPr>
          <w:b/>
          <w:highlight w:val="yellow"/>
        </w:rPr>
        <w:t xml:space="preserve">, 107867. </w:t>
      </w:r>
      <w:hyperlink r:id="rId31">
        <w:r>
          <w:rPr>
            <w:b/>
            <w:color w:val="0563C1"/>
            <w:highlight w:val="yellow"/>
            <w:u w:val="single"/>
          </w:rPr>
          <w:t>https://doi.org/10.1016/j.frl.2025.107867</w:t>
        </w:r>
      </w:hyperlink>
    </w:p>
    <w:p w14:paraId="7C64025B" w14:textId="77777777" w:rsidR="003C3C4F" w:rsidRDefault="00000000">
      <w:pPr>
        <w:spacing w:line="240" w:lineRule="auto"/>
        <w:ind w:left="720" w:hanging="720"/>
        <w:rPr>
          <w:szCs w:val="24"/>
        </w:rPr>
      </w:pPr>
      <w:r w:rsidRPr="00951AFC">
        <w:rPr>
          <w:lang w:val="nl-BE"/>
        </w:rPr>
        <w:t xml:space="preserve">Jensen, M. C., &amp; Meckling, W. H. (1976). </w:t>
      </w:r>
      <w:r>
        <w:t xml:space="preserve">Theory of the firm: Managerial behavior, agency costs and ownership structure. </w:t>
      </w:r>
      <w:r>
        <w:rPr>
          <w:i/>
        </w:rPr>
        <w:t>Journal of Financial Economics, 3</w:t>
      </w:r>
      <w:r>
        <w:t xml:space="preserve">(4), 305-360. </w:t>
      </w:r>
      <w:hyperlink r:id="rId32">
        <w:r w:rsidR="003C3C4F">
          <w:rPr>
            <w:color w:val="0563C1"/>
            <w:u w:val="single"/>
          </w:rPr>
          <w:t>https://doi.org/10.1016/0304-405X(76)90026-X</w:t>
        </w:r>
      </w:hyperlink>
    </w:p>
    <w:p w14:paraId="23BB674E" w14:textId="77777777" w:rsidR="003C3C4F" w:rsidRDefault="00000000">
      <w:pPr>
        <w:spacing w:line="240" w:lineRule="auto"/>
        <w:ind w:left="720" w:hanging="720"/>
        <w:rPr>
          <w:color w:val="000000"/>
          <w:szCs w:val="24"/>
        </w:rPr>
      </w:pPr>
      <w:r>
        <w:lastRenderedPageBreak/>
        <w:t xml:space="preserve">Kenya Bankers Association. (2024). </w:t>
      </w:r>
      <w:r>
        <w:rPr>
          <w:i/>
        </w:rPr>
        <w:t>Banking industry customer satisfaction survey 2023</w:t>
      </w:r>
      <w:r>
        <w:t xml:space="preserve">. </w:t>
      </w:r>
      <w:hyperlink r:id="rId33">
        <w:r w:rsidR="003C3C4F">
          <w:rPr>
            <w:color w:val="0563C1"/>
            <w:u w:val="single"/>
          </w:rPr>
          <w:t>https://www.kba.co.ke/wp-content/uploads/2024/06/Customer-Satisfaction-Survey-2023.pdf</w:t>
        </w:r>
      </w:hyperlink>
    </w:p>
    <w:p w14:paraId="6776EAAF" w14:textId="77777777" w:rsidR="003C3C4F" w:rsidRDefault="00000000">
      <w:pPr>
        <w:spacing w:line="240" w:lineRule="auto"/>
        <w:ind w:left="720" w:hanging="720"/>
        <w:rPr>
          <w:szCs w:val="24"/>
        </w:rPr>
      </w:pPr>
      <w:r>
        <w:t xml:space="preserve">Kerlinger, F. N. (1973). </w:t>
      </w:r>
      <w:r>
        <w:rPr>
          <w:i/>
        </w:rPr>
        <w:t>Foundations of behavioral research</w:t>
      </w:r>
      <w:r>
        <w:t xml:space="preserve"> (2nd ed.). Holt, Rinehart and Winston. </w:t>
      </w:r>
      <w:hyperlink r:id="rId34">
        <w:r w:rsidR="003C3C4F">
          <w:rPr>
            <w:color w:val="0563C1"/>
            <w:u w:val="single"/>
          </w:rPr>
          <w:t>https://library.spu.ac.ke/cgi-bin/koha/opac-detail.pl?biblionumber=890</w:t>
        </w:r>
      </w:hyperlink>
    </w:p>
    <w:p w14:paraId="58162320" w14:textId="77777777" w:rsidR="003C3C4F" w:rsidRDefault="00000000">
      <w:pPr>
        <w:spacing w:line="240" w:lineRule="auto"/>
        <w:ind w:left="720" w:hanging="720"/>
        <w:rPr>
          <w:szCs w:val="24"/>
        </w:rPr>
      </w:pPr>
      <w:r>
        <w:t xml:space="preserve">Kimonye, E. K., &amp; Muchelule, Y. (2024). E-payment system and financial performance of commercial banks in Nairobi County, Kenya. </w:t>
      </w:r>
      <w:r>
        <w:rPr>
          <w:i/>
        </w:rPr>
        <w:t>International Journal of Social Sciences Management and Entrepreneurship, 8</w:t>
      </w:r>
      <w:r>
        <w:t xml:space="preserve">(4). </w:t>
      </w:r>
      <w:hyperlink r:id="rId35">
        <w:r w:rsidR="003C3C4F">
          <w:rPr>
            <w:color w:val="0563C1"/>
            <w:u w:val="single"/>
          </w:rPr>
          <w:t>https://www.sagepublishers.com/index.php/ijssme/article/view/781</w:t>
        </w:r>
      </w:hyperlink>
    </w:p>
    <w:p w14:paraId="644E5D83" w14:textId="77777777" w:rsidR="003C3C4F" w:rsidRDefault="00000000">
      <w:pPr>
        <w:spacing w:line="240" w:lineRule="auto"/>
        <w:ind w:left="720" w:hanging="720"/>
        <w:rPr>
          <w:szCs w:val="24"/>
        </w:rPr>
      </w:pPr>
      <w:r>
        <w:t xml:space="preserve">Kotler, P., &amp; Armstrong, G. (2012). </w:t>
      </w:r>
      <w:r>
        <w:rPr>
          <w:i/>
        </w:rPr>
        <w:t>Principles of marketing</w:t>
      </w:r>
      <w:r>
        <w:t xml:space="preserve"> (14th ed.). Pearson Prentice Hall. </w:t>
      </w:r>
      <w:hyperlink r:id="rId36">
        <w:r w:rsidR="003C3C4F">
          <w:rPr>
            <w:color w:val="0563C1"/>
            <w:u w:val="single"/>
          </w:rPr>
          <w:t>https://library.bsma.edu.ge/BOOKS/Principles_of_Marketing%2814th.Edition%292012.pdf</w:t>
        </w:r>
      </w:hyperlink>
    </w:p>
    <w:p w14:paraId="2D665118" w14:textId="77777777" w:rsidR="003C3C4F" w:rsidRDefault="00000000">
      <w:pPr>
        <w:spacing w:line="240" w:lineRule="auto"/>
        <w:ind w:left="720" w:hanging="720"/>
        <w:rPr>
          <w:color w:val="000000"/>
          <w:szCs w:val="24"/>
        </w:rPr>
      </w:pPr>
      <w:r>
        <w:t xml:space="preserve">Mang, N., John, B. A., &amp; John, E. K. (2023). Impact of electronic banking channels on profitability of deposit money banks in Nigeria. </w:t>
      </w:r>
      <w:r>
        <w:rPr>
          <w:i/>
        </w:rPr>
        <w:t>Nigerian Journal of Management Sciences, 24</w:t>
      </w:r>
      <w:r>
        <w:t xml:space="preserve">(2a), 207-216. </w:t>
      </w:r>
      <w:hyperlink r:id="rId37">
        <w:r w:rsidR="003C3C4F">
          <w:rPr>
            <w:color w:val="0563C1"/>
            <w:u w:val="single"/>
          </w:rPr>
          <w:t>https://nigerianjournalofmanagementsciences.com/impact-of-electronic-banking-channels-onprofitability-of-deposit-money-banks-in-nigeria/</w:t>
        </w:r>
      </w:hyperlink>
    </w:p>
    <w:p w14:paraId="4941CBC7" w14:textId="77777777" w:rsidR="003C3C4F" w:rsidRDefault="00000000">
      <w:pPr>
        <w:spacing w:line="240" w:lineRule="auto"/>
        <w:ind w:left="720" w:hanging="720"/>
        <w:rPr>
          <w:szCs w:val="24"/>
        </w:rPr>
      </w:pPr>
      <w:r>
        <w:t xml:space="preserve">Mateka, M., Gogo, J., &amp; Omagwa, J. (2017). Effects of internet banking on financial performance of listed commercial banks in Kenya. </w:t>
      </w:r>
      <w:r>
        <w:rPr>
          <w:i/>
        </w:rPr>
        <w:t>American Journal of Finance, 1</w:t>
      </w:r>
      <w:r>
        <w:t xml:space="preserve">(2), 53-71. </w:t>
      </w:r>
      <w:hyperlink r:id="rId38">
        <w:r w:rsidR="003C3C4F">
          <w:rPr>
            <w:color w:val="0563C1"/>
            <w:u w:val="single"/>
          </w:rPr>
          <w:t>https://doi.org/10.47672/ajf.123</w:t>
        </w:r>
      </w:hyperlink>
    </w:p>
    <w:p w14:paraId="7C3364C2" w14:textId="77777777" w:rsidR="003C3C4F" w:rsidRDefault="00000000">
      <w:pPr>
        <w:spacing w:line="240" w:lineRule="auto"/>
        <w:ind w:left="720" w:hanging="720"/>
        <w:rPr>
          <w:color w:val="000000"/>
          <w:szCs w:val="24"/>
        </w:rPr>
      </w:pPr>
      <w:r>
        <w:t xml:space="preserve">Misati, R. N., Njoroge, L., Kamau, A., &amp; Ouma, S. (2010). Financial innovation and monetary policy transmission in Kenya. </w:t>
      </w:r>
      <w:r>
        <w:rPr>
          <w:i/>
        </w:rPr>
        <w:t>International Research Journal of Finance and Economics, 50</w:t>
      </w:r>
      <w:r>
        <w:t xml:space="preserve">, 123-136. </w:t>
      </w:r>
      <w:hyperlink r:id="rId39">
        <w:r w:rsidR="003C3C4F">
          <w:rPr>
            <w:color w:val="0563C1"/>
            <w:u w:val="single"/>
          </w:rPr>
          <w:t>https://www.centralbank.go.ke/journal-articles/</w:t>
        </w:r>
      </w:hyperlink>
    </w:p>
    <w:p w14:paraId="5AAD7404" w14:textId="77777777" w:rsidR="00332606" w:rsidRDefault="00000000">
      <w:pPr>
        <w:ind w:left="720" w:hanging="720"/>
        <w:rPr>
          <w:color w:val="000000"/>
          <w:szCs w:val="24"/>
        </w:rPr>
      </w:pPr>
      <w:r>
        <w:rPr>
          <w:b/>
          <w:highlight w:val="yellow"/>
        </w:rPr>
        <w:t xml:space="preserve">Mwakera, J. M., Riwo-Abudho, M., &amp; Abudho, S. O. (2024). The influence of e-banking on the financial performance of Kenyan commercial banks. </w:t>
      </w:r>
      <w:r>
        <w:rPr>
          <w:b/>
          <w:i/>
          <w:highlight w:val="yellow"/>
        </w:rPr>
        <w:t>Asian Journal of Economics, Business and Accounting, 24</w:t>
      </w:r>
      <w:r>
        <w:rPr>
          <w:b/>
          <w:highlight w:val="yellow"/>
        </w:rPr>
        <w:t xml:space="preserve">(4), 332-342. </w:t>
      </w:r>
      <w:hyperlink r:id="rId40">
        <w:r>
          <w:rPr>
            <w:b/>
            <w:color w:val="0563C1"/>
            <w:highlight w:val="yellow"/>
            <w:u w:val="single"/>
          </w:rPr>
          <w:t>https://doi.org/10.9734/ajeba/2024/v24i41284</w:t>
        </w:r>
      </w:hyperlink>
    </w:p>
    <w:p w14:paraId="4B489BF0" w14:textId="77777777" w:rsidR="003C3C4F" w:rsidRDefault="00000000">
      <w:pPr>
        <w:spacing w:line="240" w:lineRule="auto"/>
        <w:ind w:left="720" w:hanging="720"/>
        <w:rPr>
          <w:szCs w:val="24"/>
        </w:rPr>
      </w:pPr>
      <w:r>
        <w:t xml:space="preserve">Naira, T. T., &amp; Akims, M. A. (2026). Effect of payment services on financial performance of Bank of Kigali PLC. </w:t>
      </w:r>
      <w:r>
        <w:rPr>
          <w:i/>
        </w:rPr>
        <w:t>Journal of Finance and Accounting, 10</w:t>
      </w:r>
      <w:r>
        <w:t xml:space="preserve">(3), 1-22. </w:t>
      </w:r>
      <w:hyperlink r:id="rId41">
        <w:r w:rsidR="003C3C4F">
          <w:rPr>
            <w:color w:val="0563C1"/>
            <w:u w:val="single"/>
          </w:rPr>
          <w:t>https://doi.org/10.53819/81018102t2553</w:t>
        </w:r>
      </w:hyperlink>
    </w:p>
    <w:p w14:paraId="3B9321E6" w14:textId="77777777" w:rsidR="00332606" w:rsidRDefault="00000000">
      <w:pPr>
        <w:ind w:left="720" w:hanging="720"/>
        <w:rPr>
          <w:color w:val="000000"/>
          <w:szCs w:val="24"/>
        </w:rPr>
      </w:pPr>
      <w:r>
        <w:rPr>
          <w:b/>
          <w:highlight w:val="yellow"/>
        </w:rPr>
        <w:t xml:space="preserve">Nkwa, I. E., Kolapo, E. O., Akinmoyewa, O. M., Kolapo, V. O., Edeh, M. D., &amp; Njoku, V. I. (2026). The impact of financial technology (FinTech) innovations on bank profitability in Nigeria: A panel data analysis. </w:t>
      </w:r>
      <w:r>
        <w:rPr>
          <w:b/>
          <w:i/>
          <w:highlight w:val="yellow"/>
        </w:rPr>
        <w:t>Journal of Global Economics, Management and Business Research, 18</w:t>
      </w:r>
      <w:r>
        <w:rPr>
          <w:b/>
          <w:highlight w:val="yellow"/>
        </w:rPr>
        <w:t xml:space="preserve">(2), 185-197. </w:t>
      </w:r>
      <w:hyperlink r:id="rId42">
        <w:r>
          <w:rPr>
            <w:b/>
            <w:color w:val="0563C1"/>
            <w:highlight w:val="yellow"/>
            <w:u w:val="single"/>
          </w:rPr>
          <w:t>https://doi.org/10.56557/jgembr/2026/v18i210617</w:t>
        </w:r>
      </w:hyperlink>
    </w:p>
    <w:p w14:paraId="16885AFC" w14:textId="77777777" w:rsidR="003C3C4F" w:rsidRDefault="00000000">
      <w:pPr>
        <w:spacing w:line="240" w:lineRule="auto"/>
        <w:ind w:left="720" w:hanging="720"/>
        <w:rPr>
          <w:szCs w:val="24"/>
        </w:rPr>
      </w:pPr>
      <w:r>
        <w:t xml:space="preserve">Okiro, K., &amp; Ndungu, J. (2013). The impact of mobile and internet banking on performance of financial institutions in Kenya. </w:t>
      </w:r>
      <w:r>
        <w:rPr>
          <w:i/>
        </w:rPr>
        <w:t>European Scientific Journal, 9</w:t>
      </w:r>
      <w:r>
        <w:t xml:space="preserve">(13). </w:t>
      </w:r>
      <w:hyperlink r:id="rId43">
        <w:r w:rsidR="003C3C4F">
          <w:rPr>
            <w:color w:val="0563C1"/>
            <w:u w:val="single"/>
          </w:rPr>
          <w:t>https://erepository.uonbi.ac.ke/items/a80321a7-b387-4148-8ce4-47dfd9a8c3f0</w:t>
        </w:r>
      </w:hyperlink>
    </w:p>
    <w:p w14:paraId="081734A4" w14:textId="77777777" w:rsidR="003C3C4F" w:rsidRDefault="00000000">
      <w:pPr>
        <w:spacing w:line="240" w:lineRule="auto"/>
        <w:ind w:left="720" w:hanging="720"/>
        <w:rPr>
          <w:szCs w:val="24"/>
        </w:rPr>
      </w:pPr>
      <w:r>
        <w:t xml:space="preserve">Okoh, M. O., &amp; Erhabor, O. (2025). Impact of internet banking on the performance of deposit money banks in Nigeria. </w:t>
      </w:r>
      <w:r>
        <w:rPr>
          <w:i/>
        </w:rPr>
        <w:t>Journal of Accounting and Financial Management, 11</w:t>
      </w:r>
      <w:r>
        <w:t xml:space="preserve">(10), 214-239. </w:t>
      </w:r>
      <w:hyperlink r:id="rId44">
        <w:r w:rsidR="003C3C4F">
          <w:rPr>
            <w:color w:val="0563C1"/>
            <w:u w:val="single"/>
          </w:rPr>
          <w:t>https://doi.org/10.56201/jafm.vol.11.no10.2025.pg214.239</w:t>
        </w:r>
      </w:hyperlink>
    </w:p>
    <w:p w14:paraId="7D4B28CD" w14:textId="77777777" w:rsidR="003C3C4F" w:rsidRDefault="00000000">
      <w:pPr>
        <w:spacing w:line="240" w:lineRule="auto"/>
        <w:ind w:left="720" w:hanging="720"/>
        <w:rPr>
          <w:szCs w:val="24"/>
        </w:rPr>
      </w:pPr>
      <w:r>
        <w:t xml:space="preserve">Osiolo, B. R., &amp; Sije, A. (2023). Effect of mobile banking on performance of commercial banks in Kenya. </w:t>
      </w:r>
      <w:r>
        <w:rPr>
          <w:i/>
        </w:rPr>
        <w:t>International Journal of Social Science and Humanities Research, 11</w:t>
      </w:r>
      <w:r>
        <w:t xml:space="preserve">(3), 182-189. </w:t>
      </w:r>
      <w:hyperlink r:id="rId45">
        <w:r w:rsidR="003C3C4F">
          <w:rPr>
            <w:color w:val="0563C1"/>
            <w:u w:val="single"/>
          </w:rPr>
          <w:t>https://doi.org/10.5281/zenodo.8330345</w:t>
        </w:r>
      </w:hyperlink>
    </w:p>
    <w:p w14:paraId="47694DA3" w14:textId="77777777" w:rsidR="003C3C4F" w:rsidRDefault="00000000">
      <w:pPr>
        <w:spacing w:line="240" w:lineRule="auto"/>
        <w:ind w:left="720" w:hanging="720"/>
        <w:rPr>
          <w:szCs w:val="24"/>
        </w:rPr>
      </w:pPr>
      <w:r>
        <w:t xml:space="preserve">Oyasor, E. I. (2025). Digital payment systems and profitability of deposit money banks in Nigeria. </w:t>
      </w:r>
      <w:r>
        <w:rPr>
          <w:i/>
        </w:rPr>
        <w:t>Malete Journal of Accounting and Finance, 6</w:t>
      </w:r>
      <w:r>
        <w:t xml:space="preserve">(2), 86-99. </w:t>
      </w:r>
      <w:hyperlink r:id="rId46">
        <w:r w:rsidR="003C3C4F">
          <w:rPr>
            <w:color w:val="0563C1"/>
            <w:u w:val="single"/>
          </w:rPr>
          <w:t>https://majaf.com.ng/index.php/majaf/article/view/308</w:t>
        </w:r>
      </w:hyperlink>
    </w:p>
    <w:p w14:paraId="2DD44826" w14:textId="77777777" w:rsidR="003C3C4F" w:rsidRDefault="00000000">
      <w:pPr>
        <w:spacing w:line="240" w:lineRule="auto"/>
        <w:ind w:left="720" w:hanging="720"/>
        <w:rPr>
          <w:szCs w:val="24"/>
        </w:rPr>
      </w:pPr>
      <w:r>
        <w:t xml:space="preserve">Penrose, E. T. (1959). </w:t>
      </w:r>
      <w:r>
        <w:rPr>
          <w:i/>
        </w:rPr>
        <w:t>The theory of the growth of the firm</w:t>
      </w:r>
      <w:r>
        <w:t xml:space="preserve">. Basil Blackwell. </w:t>
      </w:r>
      <w:hyperlink r:id="rId47">
        <w:r w:rsidR="003C3C4F">
          <w:rPr>
            <w:color w:val="0563C1"/>
            <w:u w:val="single"/>
          </w:rPr>
          <w:t>https://library.strathmore.edu/Record/8061</w:t>
        </w:r>
      </w:hyperlink>
    </w:p>
    <w:p w14:paraId="43E09CCA" w14:textId="77777777" w:rsidR="003C3C4F" w:rsidRDefault="00000000">
      <w:pPr>
        <w:spacing w:line="240" w:lineRule="auto"/>
        <w:ind w:left="720" w:hanging="720"/>
        <w:rPr>
          <w:szCs w:val="24"/>
        </w:rPr>
      </w:pPr>
      <w:r>
        <w:t xml:space="preserve">Peteraf, M. A., &amp; Barney, J. B. (2003). Unraveling the resource-based tangle. </w:t>
      </w:r>
      <w:r>
        <w:rPr>
          <w:i/>
        </w:rPr>
        <w:t>Managerial and Decision Economics, 24</w:t>
      </w:r>
      <w:r>
        <w:t xml:space="preserve">(4), 309-323. </w:t>
      </w:r>
      <w:hyperlink r:id="rId48">
        <w:r w:rsidR="003C3C4F">
          <w:rPr>
            <w:color w:val="0563C1"/>
            <w:u w:val="single"/>
          </w:rPr>
          <w:t>https://doi.org/10.1002/mde.1126</w:t>
        </w:r>
      </w:hyperlink>
    </w:p>
    <w:p w14:paraId="1AEBDA0F" w14:textId="77777777" w:rsidR="003C3C4F" w:rsidRDefault="00000000">
      <w:pPr>
        <w:spacing w:line="240" w:lineRule="auto"/>
        <w:ind w:left="720" w:hanging="720"/>
        <w:rPr>
          <w:szCs w:val="24"/>
        </w:rPr>
      </w:pPr>
      <w:r>
        <w:t xml:space="preserve">Pyoko, O. M., Akims, M. A., Nyachae, S. M., &amp; Mbugua, L. (2023). Evaluating the nexus between digital transformation and financial inclusion: A fresh insight from small and medium enterprises in Kenya. </w:t>
      </w:r>
      <w:r>
        <w:rPr>
          <w:i/>
        </w:rPr>
        <w:t>Asian Research Journal of Arts &amp; Social Sciences, 21</w:t>
      </w:r>
      <w:r>
        <w:t xml:space="preserve">(4), 64-71. </w:t>
      </w:r>
      <w:hyperlink r:id="rId49">
        <w:r w:rsidR="003C3C4F">
          <w:rPr>
            <w:color w:val="0563C1"/>
            <w:u w:val="single"/>
          </w:rPr>
          <w:t>https://doi.org/10.9734/arjass/2023/v21i4493</w:t>
        </w:r>
      </w:hyperlink>
    </w:p>
    <w:p w14:paraId="651941C5" w14:textId="77777777" w:rsidR="003C3C4F" w:rsidRDefault="00000000">
      <w:pPr>
        <w:spacing w:line="240" w:lineRule="auto"/>
        <w:ind w:left="720" w:hanging="720"/>
        <w:rPr>
          <w:szCs w:val="24"/>
        </w:rPr>
      </w:pPr>
      <w:r>
        <w:t xml:space="preserve">Rogers, E. M. (2003). </w:t>
      </w:r>
      <w:r>
        <w:rPr>
          <w:i/>
        </w:rPr>
        <w:t>Diffusion of innovations</w:t>
      </w:r>
      <w:r>
        <w:t xml:space="preserve"> (5th ed.). Free Press. </w:t>
      </w:r>
      <w:hyperlink r:id="rId50">
        <w:r w:rsidR="003C3C4F">
          <w:rPr>
            <w:color w:val="0563C1"/>
            <w:u w:val="single"/>
          </w:rPr>
          <w:t>https://briscoe.uthscsa.edu/cgi-bin/koha/opac-detail.pl?biblionumber=77735</w:t>
        </w:r>
      </w:hyperlink>
    </w:p>
    <w:p w14:paraId="14FD17FB" w14:textId="77777777" w:rsidR="003C3C4F" w:rsidRDefault="00000000">
      <w:pPr>
        <w:spacing w:line="240" w:lineRule="auto"/>
        <w:ind w:left="720" w:hanging="720"/>
        <w:rPr>
          <w:szCs w:val="24"/>
        </w:rPr>
      </w:pPr>
      <w:r>
        <w:t xml:space="preserve">Sabti, O. S., &amp; Mohammed, M. I. (2020). The impact of electronic payment systems on the profitability of banks: An applied research on a sample of Iraqi commercial banks. </w:t>
      </w:r>
      <w:r>
        <w:rPr>
          <w:i/>
        </w:rPr>
        <w:t>Journal of Accounting and Financial Studies, 15</w:t>
      </w:r>
      <w:r>
        <w:t xml:space="preserve">(51), 113-130. </w:t>
      </w:r>
      <w:hyperlink r:id="rId51">
        <w:r w:rsidR="003C3C4F">
          <w:rPr>
            <w:color w:val="0563C1"/>
            <w:u w:val="single"/>
          </w:rPr>
          <w:t>https://doi.org/10.34093/jafs.v15i51.912</w:t>
        </w:r>
      </w:hyperlink>
    </w:p>
    <w:p w14:paraId="4C8DC3DC" w14:textId="77777777" w:rsidR="003C3C4F" w:rsidRDefault="00000000">
      <w:pPr>
        <w:spacing w:line="240" w:lineRule="auto"/>
        <w:ind w:left="720" w:hanging="720"/>
        <w:rPr>
          <w:szCs w:val="24"/>
        </w:rPr>
      </w:pPr>
      <w:r>
        <w:t xml:space="preserve">Sarker, B. K., Sarker, D. K., Shaha, S. R., Saha, D., &amp; Sarker, S. (2024). The effect of mobile banking on the financial performance of commercial banks in Bangladesh. </w:t>
      </w:r>
      <w:r>
        <w:rPr>
          <w:i/>
        </w:rPr>
        <w:t>International Journal of Research and Scientific Innovation, 11</w:t>
      </w:r>
      <w:r>
        <w:t xml:space="preserve">(9), 482-494. </w:t>
      </w:r>
      <w:hyperlink r:id="rId52">
        <w:r w:rsidR="003C3C4F">
          <w:rPr>
            <w:color w:val="0563C1"/>
            <w:u w:val="single"/>
          </w:rPr>
          <w:t>https://doi.org/10.51244/IJRSI.2024.1109045</w:t>
        </w:r>
      </w:hyperlink>
    </w:p>
    <w:p w14:paraId="759FBA4B" w14:textId="77777777" w:rsidR="003C3C4F" w:rsidRDefault="00000000">
      <w:pPr>
        <w:spacing w:line="240" w:lineRule="auto"/>
        <w:ind w:left="720" w:hanging="720"/>
        <w:rPr>
          <w:szCs w:val="24"/>
        </w:rPr>
      </w:pPr>
      <w:r w:rsidRPr="00951AFC">
        <w:rPr>
          <w:lang w:val="nl-BE"/>
        </w:rPr>
        <w:t xml:space="preserve">Scott, S. V., Van Reenen, J., &amp; Zachariadis, M. (2017). </w:t>
      </w:r>
      <w:r>
        <w:t xml:space="preserve">The long-term effect of digital innovation on bank performance: An empirical study of SWIFT adoption in financial services. </w:t>
      </w:r>
      <w:r>
        <w:rPr>
          <w:i/>
        </w:rPr>
        <w:t>Research Policy, 46</w:t>
      </w:r>
      <w:r>
        <w:t xml:space="preserve">(5), 984-1004. </w:t>
      </w:r>
      <w:hyperlink r:id="rId53">
        <w:r w:rsidR="003C3C4F">
          <w:rPr>
            <w:color w:val="0563C1"/>
            <w:u w:val="single"/>
          </w:rPr>
          <w:t>https://doi.org/10.1016/j.respol.2017.03.010</w:t>
        </w:r>
      </w:hyperlink>
    </w:p>
    <w:p w14:paraId="0BBAB441" w14:textId="77777777" w:rsidR="003C3C4F" w:rsidRDefault="00000000">
      <w:pPr>
        <w:spacing w:line="240" w:lineRule="auto"/>
        <w:ind w:left="720" w:hanging="720"/>
        <w:rPr>
          <w:szCs w:val="24"/>
        </w:rPr>
      </w:pPr>
      <w:r>
        <w:t xml:space="preserve">Sirengo, M. J., &amp; Muturi, W. (2022). Effect of electronic banking on performance of commercial banks in Kenya. </w:t>
      </w:r>
      <w:r>
        <w:rPr>
          <w:i/>
        </w:rPr>
        <w:t>International Journal of Finance, 7</w:t>
      </w:r>
      <w:r>
        <w:t xml:space="preserve">(5), 53-79. </w:t>
      </w:r>
      <w:hyperlink r:id="rId54">
        <w:r w:rsidR="003C3C4F">
          <w:rPr>
            <w:color w:val="0563C1"/>
            <w:u w:val="single"/>
          </w:rPr>
          <w:t>https://doi.org/10.47941/ijf.1079</w:t>
        </w:r>
      </w:hyperlink>
    </w:p>
    <w:p w14:paraId="14A1CF66" w14:textId="77777777" w:rsidR="003C3C4F" w:rsidRDefault="00000000">
      <w:pPr>
        <w:spacing w:line="240" w:lineRule="auto"/>
        <w:ind w:left="720" w:hanging="720"/>
        <w:rPr>
          <w:szCs w:val="24"/>
        </w:rPr>
      </w:pPr>
      <w:r>
        <w:t xml:space="preserve">Sopitan, O. O., Oyeyemi, S. T., Dairo, O., Omotola, O., Saduwa, F. A., &amp; Sesan, O. E. (2025). Effect of electronic payment channels on the performance of commercial banks in Nigeria. </w:t>
      </w:r>
      <w:r>
        <w:rPr>
          <w:i/>
        </w:rPr>
        <w:t>Asian Journal of Probability and Statistics, 27</w:t>
      </w:r>
      <w:r>
        <w:t xml:space="preserve">(2), 123-137. </w:t>
      </w:r>
      <w:hyperlink r:id="rId55">
        <w:r w:rsidR="003C3C4F">
          <w:rPr>
            <w:color w:val="0563C1"/>
            <w:u w:val="single"/>
          </w:rPr>
          <w:t>https://doi.org/10.9734/ajpas/2025/v27i2717</w:t>
        </w:r>
      </w:hyperlink>
    </w:p>
    <w:p w14:paraId="1E9E2EDC" w14:textId="77777777" w:rsidR="003C3C4F" w:rsidRDefault="00000000">
      <w:pPr>
        <w:spacing w:line="240" w:lineRule="auto"/>
        <w:ind w:left="720" w:hanging="720"/>
        <w:rPr>
          <w:szCs w:val="24"/>
        </w:rPr>
      </w:pPr>
      <w:r>
        <w:t xml:space="preserve">Venkatesh, V., Morris, M. G., Davis, G. B., &amp; Davis, F. D. (2003). User acceptance of information technology: Toward a unified view. </w:t>
      </w:r>
      <w:r>
        <w:rPr>
          <w:i/>
        </w:rPr>
        <w:t>MIS Quarterly, 27</w:t>
      </w:r>
      <w:r>
        <w:t xml:space="preserve">(3), 425-478. </w:t>
      </w:r>
      <w:hyperlink r:id="rId56">
        <w:r w:rsidR="003C3C4F">
          <w:rPr>
            <w:color w:val="0563C1"/>
            <w:u w:val="single"/>
          </w:rPr>
          <w:t>https://doi.org/10.2307/30036540</w:t>
        </w:r>
      </w:hyperlink>
    </w:p>
    <w:p w14:paraId="3578673E" w14:textId="77777777" w:rsidR="003C3C4F" w:rsidRDefault="00000000">
      <w:pPr>
        <w:spacing w:line="240" w:lineRule="auto"/>
        <w:ind w:left="720" w:hanging="720"/>
        <w:rPr>
          <w:szCs w:val="24"/>
        </w:rPr>
      </w:pPr>
      <w:r>
        <w:t xml:space="preserve">Wang, H., &amp; Gunawan, A. (2022). Analyzing the impact of digital payment on efficiency and productivity of commercial banks: A case study in China. In </w:t>
      </w:r>
      <w:r>
        <w:rPr>
          <w:i/>
        </w:rPr>
        <w:t>Proceedings of the 12th Annual International Conference on Industrial Engineering and Operations Management</w:t>
      </w:r>
      <w:r>
        <w:t xml:space="preserve"> (pp. 1-11). IEOM Society International. </w:t>
      </w:r>
      <w:hyperlink r:id="rId57">
        <w:r w:rsidR="003C3C4F">
          <w:rPr>
            <w:color w:val="0563C1"/>
            <w:u w:val="single"/>
          </w:rPr>
          <w:t>https://doi.org/10.46254/AN12.20220306</w:t>
        </w:r>
      </w:hyperlink>
    </w:p>
    <w:p w14:paraId="671D8DA3" w14:textId="77777777" w:rsidR="003C3C4F" w:rsidRDefault="00000000">
      <w:pPr>
        <w:spacing w:line="240" w:lineRule="auto"/>
        <w:ind w:left="720" w:hanging="720"/>
        <w:rPr>
          <w:szCs w:val="24"/>
        </w:rPr>
      </w:pPr>
      <w:r>
        <w:t xml:space="preserve">Wernerfelt, B. (1984). A resource-based view of the firm. </w:t>
      </w:r>
      <w:r>
        <w:rPr>
          <w:i/>
        </w:rPr>
        <w:t>Strategic Management Journal, 5</w:t>
      </w:r>
      <w:r>
        <w:t xml:space="preserve">(2), 171-180. </w:t>
      </w:r>
      <w:hyperlink r:id="rId58">
        <w:r w:rsidR="003C3C4F">
          <w:rPr>
            <w:color w:val="0563C1"/>
            <w:u w:val="single"/>
          </w:rPr>
          <w:t>https://doi.org/10.1002/smj.4250050207</w:t>
        </w:r>
      </w:hyperlink>
    </w:p>
    <w:p w14:paraId="73CF976E" w14:textId="77777777" w:rsidR="003C3C4F" w:rsidRDefault="00000000">
      <w:pPr>
        <w:spacing w:line="240" w:lineRule="auto"/>
        <w:ind w:left="720" w:hanging="720"/>
        <w:rPr>
          <w:szCs w:val="24"/>
        </w:rPr>
      </w:pPr>
      <w:r>
        <w:t xml:space="preserve">Williams, V. C. (2025). </w:t>
      </w:r>
      <w:r>
        <w:rPr>
          <w:i/>
        </w:rPr>
        <w:t>Impact of electronic payment on profitability of deposit money banks in Nigeria (2014-2024)</w:t>
      </w:r>
      <w:r>
        <w:t xml:space="preserve"> [Thesis, Godfrey Okoye University]. </w:t>
      </w:r>
      <w:hyperlink r:id="rId59">
        <w:r w:rsidR="003C3C4F">
          <w:rPr>
            <w:color w:val="0563C1"/>
            <w:u w:val="single"/>
          </w:rPr>
          <w:t>https://eprints.gouni.edu.ng/5849/</w:t>
        </w:r>
      </w:hyperlink>
    </w:p>
    <w:p w14:paraId="7DF14268" w14:textId="77777777" w:rsidR="003C3C4F" w:rsidRDefault="00000000">
      <w:pPr>
        <w:spacing w:line="240" w:lineRule="auto"/>
        <w:ind w:left="720" w:hanging="720"/>
        <w:rPr>
          <w:szCs w:val="24"/>
        </w:rPr>
      </w:pPr>
      <w:r>
        <w:t xml:space="preserve">Yamane, T. (1967). </w:t>
      </w:r>
      <w:r>
        <w:rPr>
          <w:i/>
        </w:rPr>
        <w:t>Statistics: An introductory analysis</w:t>
      </w:r>
      <w:r>
        <w:t xml:space="preserve"> (2nd ed.). Harper &amp; Row. </w:t>
      </w:r>
      <w:hyperlink r:id="rId60">
        <w:r w:rsidR="003C3C4F">
          <w:rPr>
            <w:color w:val="0563C1"/>
            <w:u w:val="single"/>
          </w:rPr>
          <w:t>https://opac.juniv.edu/cgi-bin/koha/opac-detail.pl?biblionumber=31177</w:t>
        </w:r>
      </w:hyperlink>
    </w:p>
    <w:p w14:paraId="2B8D7BE8" w14:textId="77777777" w:rsidR="00332606" w:rsidRDefault="00000000">
      <w:pPr>
        <w:ind w:left="720" w:hanging="720"/>
        <w:rPr>
          <w:color w:val="000000"/>
          <w:szCs w:val="24"/>
        </w:rPr>
      </w:pPr>
      <w:r>
        <w:rPr>
          <w:b/>
          <w:highlight w:val="yellow"/>
        </w:rPr>
        <w:t xml:space="preserve">Zhang, S. (2026). The influence of digital transformation on Chinese bank profitability performance. </w:t>
      </w:r>
      <w:r>
        <w:rPr>
          <w:b/>
          <w:i/>
          <w:highlight w:val="yellow"/>
        </w:rPr>
        <w:t>PLOS ONE, 21</w:t>
      </w:r>
      <w:r>
        <w:rPr>
          <w:b/>
          <w:highlight w:val="yellow"/>
        </w:rPr>
        <w:t xml:space="preserve">(1), e0340249. </w:t>
      </w:r>
      <w:hyperlink r:id="rId61">
        <w:r>
          <w:rPr>
            <w:b/>
            <w:color w:val="0563C1"/>
            <w:highlight w:val="yellow"/>
            <w:u w:val="single"/>
          </w:rPr>
          <w:t>https://doi.org/10.1371/journal.pone.0340249</w:t>
        </w:r>
      </w:hyperlink>
    </w:p>
    <w:p w14:paraId="6DD72AF3" w14:textId="77777777" w:rsidR="003C3C4F" w:rsidRDefault="003C3C4F">
      <w:pPr>
        <w:ind w:left="720" w:hanging="720"/>
        <w:rPr>
          <w:color w:val="000000"/>
          <w:szCs w:val="24"/>
        </w:rPr>
      </w:pPr>
    </w:p>
    <w:p w14:paraId="7297AAE7" w14:textId="77777777" w:rsidR="003C3C4F" w:rsidRDefault="003C3C4F">
      <w:pPr>
        <w:ind w:left="720" w:hanging="720"/>
        <w:rPr>
          <w:color w:val="000000"/>
          <w:szCs w:val="24"/>
        </w:rPr>
      </w:pPr>
    </w:p>
    <w:sectPr w:rsidR="003C3C4F">
      <w:headerReference w:type="default" r:id="rId62"/>
      <w:footerReference w:type="default" r:id="rId63"/>
      <w:pgSz w:w="12240" w:h="15840"/>
      <w:pgMar w:top="1440" w:right="1440" w:bottom="1440" w:left="1440" w:header="720" w:footer="72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F2E84" w14:textId="77777777" w:rsidR="00762860" w:rsidRDefault="00762860">
      <w:pPr>
        <w:spacing w:after="0" w:line="240" w:lineRule="auto"/>
      </w:pPr>
      <w:r>
        <w:separator/>
      </w:r>
    </w:p>
  </w:endnote>
  <w:endnote w:type="continuationSeparator" w:id="0">
    <w:p w14:paraId="3AB594E3" w14:textId="77777777" w:rsidR="00762860" w:rsidRDefault="00762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NewRomanPSMT;Times New Rom">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E0EF" w14:textId="77777777" w:rsidR="003C3C4F" w:rsidRDefault="00000000">
    <w:pPr>
      <w:pStyle w:val="Footer"/>
      <w:jc w:val="center"/>
    </w:pPr>
    <w:r>
      <w:fldChar w:fldCharType="begin"/>
    </w:r>
    <w:r>
      <w:instrText xml:space="preserve"> PAGE </w:instrText>
    </w:r>
    <w:r>
      <w:fldChar w:fldCharType="separate"/>
    </w:r>
    <w:r>
      <w:t>22</w:t>
    </w:r>
    <w:r>
      <w:fldChar w:fldCharType="end"/>
    </w:r>
  </w:p>
  <w:p w14:paraId="349F2749" w14:textId="77777777" w:rsidR="003C3C4F" w:rsidRDefault="003C3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C88F5" w14:textId="77777777" w:rsidR="00762860" w:rsidRDefault="00762860">
      <w:pPr>
        <w:spacing w:after="0" w:line="240" w:lineRule="auto"/>
      </w:pPr>
      <w:r>
        <w:separator/>
      </w:r>
    </w:p>
  </w:footnote>
  <w:footnote w:type="continuationSeparator" w:id="0">
    <w:p w14:paraId="3E8C23E0" w14:textId="77777777" w:rsidR="00762860" w:rsidRDefault="00762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44C1B" w14:textId="77777777" w:rsidR="003C3C4F" w:rsidRDefault="00000000">
    <w:pPr>
      <w:pStyle w:val="Header"/>
      <w:rPr>
        <w:lang w:eastAsia="en-US"/>
      </w:rPr>
    </w:pPr>
    <w:r>
      <w:rPr>
        <w:lang w:eastAsia="en-US"/>
      </w:rPr>
      <w:pict w14:anchorId="17F5D0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22720" o:spid="_x0000_s1025" type="#_x0000_t136" style="position:absolute;left:0;text-align:left;margin-left:0;margin-top:0;width:593.8pt;height:70.8pt;rotation:315;z-index:1;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73273"/>
    <w:multiLevelType w:val="multilevel"/>
    <w:tmpl w:val="4CB88E1C"/>
    <w:lvl w:ilvl="0">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A112F96"/>
    <w:multiLevelType w:val="multilevel"/>
    <w:tmpl w:val="7A627D80"/>
    <w:lvl w:ilvl="0">
      <w:start w:val="1"/>
      <w:numFmt w:val="lowerRoman"/>
      <w:lvlText w:val="%1."/>
      <w:lvlJc w:val="righ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07F68B0"/>
    <w:multiLevelType w:val="multilevel"/>
    <w:tmpl w:val="E3D2906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756E5D"/>
    <w:multiLevelType w:val="multilevel"/>
    <w:tmpl w:val="481E2FC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4" w15:restartNumberingAfterBreak="0">
    <w:nsid w:val="550D21FB"/>
    <w:multiLevelType w:val="multilevel"/>
    <w:tmpl w:val="B6AC76B8"/>
    <w:lvl w:ilvl="0">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4C4005B"/>
    <w:multiLevelType w:val="multilevel"/>
    <w:tmpl w:val="B0240B32"/>
    <w:lvl w:ilvl="0">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7274192">
    <w:abstractNumId w:val="3"/>
  </w:num>
  <w:num w:numId="2" w16cid:durableId="142818228">
    <w:abstractNumId w:val="1"/>
  </w:num>
  <w:num w:numId="3" w16cid:durableId="1195387245">
    <w:abstractNumId w:val="2"/>
  </w:num>
  <w:num w:numId="4" w16cid:durableId="1039479228">
    <w:abstractNumId w:val="4"/>
  </w:num>
  <w:num w:numId="5" w16cid:durableId="2015761321">
    <w:abstractNumId w:val="0"/>
  </w:num>
  <w:num w:numId="6" w16cid:durableId="7039899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autoHyphenation/>
  <w:hyphenationZone w:val="0"/>
  <w:characterSpacingControl w:val="doNotCompress"/>
  <w:hdrShapeDefaults>
    <o:shapedefaults v:ext="edit" spidmax="206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tDAxNDYyMjEztbS0MDZU0lEKTi0uzszPAykwqQUAqdBzjywAAAA="/>
  </w:docVars>
  <w:rsids>
    <w:rsidRoot w:val="003C3C4F"/>
    <w:rsid w:val="00332606"/>
    <w:rsid w:val="00387372"/>
    <w:rsid w:val="003C3C4F"/>
    <w:rsid w:val="005E46C1"/>
    <w:rsid w:val="00762860"/>
    <w:rsid w:val="00951AFC"/>
    <w:rsid w:val="00A403C7"/>
    <w:rsid w:val="00F52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rules v:ext="edit">
        <o:r id="V:Rule1" type="connector" idref="#Straight Arrow Connector 1"/>
        <o:r id="V:Rule2" type="connector" idref="#Straight Arrow Connector 4"/>
        <o:r id="V:Rule3" type="connector" idref="#Straight Arrow Connector 5"/>
        <o:r id="V:Rule4" type="connector" idref="#Elbow Connector 3"/>
        <o:r id="V:Rule5" type="connector" idref="#Straight Arrow Connector 8"/>
      </o:rules>
    </o:shapelayout>
  </w:shapeDefaults>
  <w:decimalSymbol w:val="."/>
  <w:listSeparator w:val=","/>
  <w14:docId w14:val="41D46242"/>
  <w15:docId w15:val="{415BAE6D-3E2A-4486-9A0C-0F83B5002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360" w:lineRule="auto"/>
      <w:jc w:val="both"/>
    </w:pPr>
    <w:rPr>
      <w:rFonts w:ascii="Times New Roman" w:eastAsia="Aptos" w:hAnsi="Times New Roman" w:cs="Times New Roman"/>
      <w:kern w:val="2"/>
      <w:sz w:val="24"/>
      <w:szCs w:val="22"/>
      <w:lang w:eastAsia="zh-CN"/>
    </w:rPr>
  </w:style>
  <w:style w:type="paragraph" w:styleId="Heading1">
    <w:name w:val="heading 1"/>
    <w:basedOn w:val="Normal"/>
    <w:next w:val="Normal"/>
    <w:uiPriority w:val="9"/>
    <w:qFormat/>
    <w:pPr>
      <w:numPr>
        <w:numId w:val="1"/>
      </w:numPr>
      <w:spacing w:before="240" w:line="480" w:lineRule="auto"/>
      <w:jc w:val="center"/>
      <w:outlineLvl w:val="0"/>
    </w:pPr>
    <w:rPr>
      <w:kern w:val="0"/>
      <w:szCs w:val="24"/>
    </w:rPr>
  </w:style>
  <w:style w:type="paragraph" w:styleId="Heading2">
    <w:name w:val="heading 2"/>
    <w:basedOn w:val="Heading1"/>
    <w:next w:val="Normal"/>
    <w:uiPriority w:val="9"/>
    <w:unhideWhenUsed/>
    <w:qFormat/>
    <w:pPr>
      <w:numPr>
        <w:ilvl w:val="1"/>
      </w:numPr>
      <w:spacing w:after="240" w:line="360" w:lineRule="auto"/>
      <w:jc w:val="both"/>
      <w:outlineLvl w:val="1"/>
    </w:pPr>
    <w:rPr>
      <w:b/>
    </w:rPr>
  </w:style>
  <w:style w:type="paragraph" w:styleId="Heading3">
    <w:name w:val="heading 3"/>
    <w:basedOn w:val="Heading2"/>
    <w:next w:val="Normal"/>
    <w:uiPriority w:val="9"/>
    <w:unhideWhenUsed/>
    <w:qFormat/>
    <w:pPr>
      <w:numPr>
        <w:ilvl w:val="2"/>
      </w:numPr>
      <w:outlineLvl w:val="2"/>
    </w:p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ascii="Aptos" w:eastAsia="Times New Roman" w:hAnsi="Aptos" w:cs="Aptos"/>
      <w:i/>
      <w:iCs/>
      <w:color w:val="0F4761"/>
      <w:kern w:val="0"/>
      <w:sz w:val="20"/>
      <w:szCs w:val="20"/>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ascii="Aptos" w:eastAsia="Times New Roman" w:hAnsi="Aptos" w:cs="Aptos"/>
      <w:color w:val="0F4761"/>
      <w:kern w:val="0"/>
      <w:sz w:val="20"/>
      <w:szCs w:val="20"/>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ascii="Aptos" w:eastAsia="Times New Roman" w:hAnsi="Aptos" w:cs="Aptos"/>
      <w:i/>
      <w:iCs/>
      <w:color w:val="595959"/>
      <w:kern w:val="0"/>
      <w:sz w:val="20"/>
      <w:szCs w:val="20"/>
    </w:rPr>
  </w:style>
  <w:style w:type="paragraph" w:styleId="Heading7">
    <w:name w:val="heading 7"/>
    <w:basedOn w:val="Normal"/>
    <w:next w:val="Normal"/>
    <w:qFormat/>
    <w:pPr>
      <w:keepNext/>
      <w:keepLines/>
      <w:numPr>
        <w:ilvl w:val="6"/>
        <w:numId w:val="1"/>
      </w:numPr>
      <w:spacing w:before="40" w:after="0"/>
      <w:outlineLvl w:val="6"/>
    </w:pPr>
    <w:rPr>
      <w:rFonts w:ascii="Aptos" w:eastAsia="Times New Roman" w:hAnsi="Aptos" w:cs="Aptos"/>
      <w:color w:val="595959"/>
      <w:kern w:val="0"/>
      <w:sz w:val="20"/>
      <w:szCs w:val="20"/>
    </w:rPr>
  </w:style>
  <w:style w:type="paragraph" w:styleId="Heading8">
    <w:name w:val="heading 8"/>
    <w:basedOn w:val="Normal"/>
    <w:next w:val="Normal"/>
    <w:qFormat/>
    <w:pPr>
      <w:keepNext/>
      <w:keepLines/>
      <w:numPr>
        <w:ilvl w:val="7"/>
        <w:numId w:val="1"/>
      </w:numPr>
      <w:spacing w:after="0"/>
      <w:outlineLvl w:val="7"/>
    </w:pPr>
    <w:rPr>
      <w:rFonts w:ascii="Aptos" w:eastAsia="Times New Roman" w:hAnsi="Aptos" w:cs="Aptos"/>
      <w:i/>
      <w:iCs/>
      <w:color w:val="272727"/>
      <w:kern w:val="0"/>
      <w:sz w:val="20"/>
      <w:szCs w:val="20"/>
    </w:rPr>
  </w:style>
  <w:style w:type="paragraph" w:styleId="Heading9">
    <w:name w:val="heading 9"/>
    <w:basedOn w:val="Normal"/>
    <w:next w:val="Normal"/>
    <w:qFormat/>
    <w:pPr>
      <w:keepNext/>
      <w:keepLines/>
      <w:numPr>
        <w:ilvl w:val="8"/>
        <w:numId w:val="1"/>
      </w:numPr>
      <w:spacing w:after="0"/>
      <w:outlineLvl w:val="8"/>
    </w:pPr>
    <w:rPr>
      <w:rFonts w:ascii="Aptos" w:eastAsia="Times New Roman" w:hAnsi="Aptos" w:cs="Aptos"/>
      <w:color w:val="272727"/>
      <w:kern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b w:val="0"/>
      <w:bCs w:val="0"/>
    </w:rPr>
  </w:style>
  <w:style w:type="character" w:customStyle="1" w:styleId="WW8Num9z0">
    <w:name w:val="WW8Num9z0"/>
    <w:qFormat/>
    <w:rPr>
      <w:rFonts w:ascii="Symbol" w:hAnsi="Symbol" w:cs="Symbol"/>
    </w:rPr>
  </w:style>
  <w:style w:type="character" w:customStyle="1" w:styleId="Heading1Char">
    <w:name w:val="Heading 1 Char"/>
    <w:qFormat/>
    <w:rPr>
      <w:rFonts w:ascii="Times New Roman" w:hAnsi="Times New Roman" w:cs="Times New Roman"/>
      <w:sz w:val="24"/>
      <w:szCs w:val="24"/>
    </w:rPr>
  </w:style>
  <w:style w:type="character" w:customStyle="1" w:styleId="Heading2Char">
    <w:name w:val="Heading 2 Char"/>
    <w:qFormat/>
    <w:rPr>
      <w:rFonts w:ascii="Times New Roman" w:hAnsi="Times New Roman" w:cs="Times New Roman"/>
      <w:b/>
      <w:sz w:val="24"/>
      <w:szCs w:val="24"/>
      <w:lang w:val="en-US"/>
    </w:rPr>
  </w:style>
  <w:style w:type="character" w:customStyle="1" w:styleId="Heading3Char">
    <w:name w:val="Heading 3 Char"/>
    <w:qFormat/>
    <w:rPr>
      <w:rFonts w:ascii="Times New Roman" w:hAnsi="Times New Roman" w:cs="Times New Roman"/>
      <w:b/>
      <w:sz w:val="24"/>
      <w:szCs w:val="24"/>
      <w:lang w:val="en-US"/>
    </w:rPr>
  </w:style>
  <w:style w:type="character" w:customStyle="1" w:styleId="Heading4Char">
    <w:name w:val="Heading 4 Char"/>
    <w:qFormat/>
    <w:rPr>
      <w:rFonts w:eastAsia="Times New Roman" w:cs="Times New Roman"/>
      <w:i/>
      <w:iCs/>
      <w:color w:val="0F4761"/>
    </w:rPr>
  </w:style>
  <w:style w:type="character" w:customStyle="1" w:styleId="Heading5Char">
    <w:name w:val="Heading 5 Char"/>
    <w:qFormat/>
    <w:rPr>
      <w:rFonts w:eastAsia="Times New Roman" w:cs="Times New Roman"/>
      <w:color w:val="0F4761"/>
    </w:rPr>
  </w:style>
  <w:style w:type="character" w:customStyle="1" w:styleId="Heading6Char">
    <w:name w:val="Heading 6 Char"/>
    <w:qFormat/>
    <w:rPr>
      <w:rFonts w:eastAsia="Times New Roman" w:cs="Times New Roman"/>
      <w:i/>
      <w:iCs/>
      <w:color w:val="595959"/>
    </w:rPr>
  </w:style>
  <w:style w:type="character" w:customStyle="1" w:styleId="Heading7Char">
    <w:name w:val="Heading 7 Char"/>
    <w:qFormat/>
    <w:rPr>
      <w:rFonts w:eastAsia="Times New Roman" w:cs="Times New Roman"/>
      <w:color w:val="595959"/>
    </w:rPr>
  </w:style>
  <w:style w:type="character" w:customStyle="1" w:styleId="Heading8Char">
    <w:name w:val="Heading 8 Char"/>
    <w:qFormat/>
    <w:rPr>
      <w:rFonts w:eastAsia="Times New Roman" w:cs="Times New Roman"/>
      <w:i/>
      <w:iCs/>
      <w:color w:val="272727"/>
    </w:rPr>
  </w:style>
  <w:style w:type="character" w:customStyle="1" w:styleId="Heading9Char">
    <w:name w:val="Heading 9 Char"/>
    <w:qFormat/>
    <w:rPr>
      <w:rFonts w:eastAsia="Times New Roman" w:cs="Times New Roman"/>
      <w:color w:val="272727"/>
    </w:rPr>
  </w:style>
  <w:style w:type="character" w:customStyle="1" w:styleId="TitleChar">
    <w:name w:val="Title Char"/>
    <w:qFormat/>
    <w:rPr>
      <w:rFonts w:ascii="Aptos Display;Calibri" w:eastAsia="Times New Roman" w:hAnsi="Aptos Display;Calibri" w:cs="Times New Roman"/>
      <w:spacing w:val="-10"/>
      <w:kern w:val="2"/>
      <w:sz w:val="56"/>
      <w:szCs w:val="56"/>
    </w:rPr>
  </w:style>
  <w:style w:type="character" w:customStyle="1" w:styleId="SubtitleChar">
    <w:name w:val="Subtitle Char"/>
    <w:qFormat/>
    <w:rPr>
      <w:rFonts w:eastAsia="Times New Roman" w:cs="Times New Roman"/>
      <w:color w:val="595959"/>
      <w:spacing w:val="15"/>
      <w:sz w:val="28"/>
      <w:szCs w:val="28"/>
    </w:rPr>
  </w:style>
  <w:style w:type="character" w:customStyle="1" w:styleId="QuoteChar">
    <w:name w:val="Quote Char"/>
    <w:qFormat/>
    <w:rPr>
      <w:i/>
      <w:iCs/>
      <w:color w:val="404040"/>
    </w:rPr>
  </w:style>
  <w:style w:type="character" w:styleId="IntenseEmphasis">
    <w:name w:val="Intense Emphasis"/>
    <w:qFormat/>
    <w:rPr>
      <w:i/>
      <w:iCs/>
      <w:color w:val="0F4761"/>
    </w:rPr>
  </w:style>
  <w:style w:type="character" w:customStyle="1" w:styleId="IntenseQuoteChar">
    <w:name w:val="Intense Quote Char"/>
    <w:qFormat/>
    <w:rPr>
      <w:i/>
      <w:iCs/>
      <w:color w:val="0F4761"/>
    </w:rPr>
  </w:style>
  <w:style w:type="character" w:styleId="IntenseReference">
    <w:name w:val="Intense Reference"/>
    <w:qFormat/>
    <w:rPr>
      <w:b/>
      <w:bCs/>
      <w:smallCaps/>
      <w:color w:val="0F4761"/>
      <w:spacing w:val="5"/>
    </w:rPr>
  </w:style>
  <w:style w:type="character" w:styleId="Hyperlink">
    <w:name w:val="Hyperlink"/>
    <w:rPr>
      <w:color w:val="467886"/>
      <w:u w:val="single"/>
    </w:rPr>
  </w:style>
  <w:style w:type="character" w:styleId="UnresolvedMention">
    <w:name w:val="Unresolved Mention"/>
    <w:qFormat/>
    <w:rPr>
      <w:color w:val="605E5C"/>
      <w:shd w:val="clear" w:color="auto" w:fill="E1DFDD"/>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BalloonTextChar">
    <w:name w:val="Balloon Text Char"/>
    <w:qFormat/>
    <w:rPr>
      <w:rFonts w:ascii="Tahoma" w:hAnsi="Tahoma" w:cs="Tahoma"/>
      <w:sz w:val="16"/>
      <w:szCs w:val="16"/>
    </w:rPr>
  </w:style>
  <w:style w:type="character" w:customStyle="1" w:styleId="fontstyle01">
    <w:name w:val="fontstyle01"/>
    <w:qFormat/>
    <w:rPr>
      <w:rFonts w:ascii="TimesNewRomanPSMT;Times New Rom" w:hAnsi="TimesNewRomanPSMT;Times New Rom" w:cs="TimesNewRomanPSMT;Times New Rom"/>
      <w:b w:val="0"/>
      <w:bCs w:val="0"/>
      <w:i w:val="0"/>
      <w:iCs w:val="0"/>
      <w:color w:val="000000"/>
      <w:sz w:val="24"/>
      <w:szCs w:val="24"/>
    </w:rPr>
  </w:style>
  <w:style w:type="character" w:styleId="Strong">
    <w:name w:val="Strong"/>
    <w:qFormat/>
    <w:rPr>
      <w:b/>
      <w:bCs/>
    </w:rPr>
  </w:style>
  <w:style w:type="paragraph" w:customStyle="1" w:styleId="Heading">
    <w:name w:val="Heading"/>
    <w:basedOn w:val="Normal"/>
    <w:next w:val="Normal"/>
    <w:qFormat/>
    <w:pPr>
      <w:spacing w:after="80"/>
      <w:contextualSpacing/>
    </w:pPr>
    <w:rPr>
      <w:rFonts w:ascii="Aptos Display;Calibri" w:eastAsia="Times New Roman" w:hAnsi="Aptos Display;Calibri" w:cs="Aptos Display;Calibri"/>
      <w:spacing w:val="-10"/>
      <w:sz w:val="56"/>
      <w:szCs w:val="56"/>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next w:val="Normal"/>
    <w:qFormat/>
    <w:pPr>
      <w:spacing w:after="200"/>
    </w:pPr>
    <w:rPr>
      <w:i/>
      <w:iCs/>
      <w:color w:val="0E2841"/>
      <w:sz w:val="18"/>
      <w:szCs w:val="18"/>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Subtitle">
    <w:name w:val="Subtitle"/>
    <w:basedOn w:val="Normal"/>
    <w:next w:val="Normal"/>
    <w:uiPriority w:val="11"/>
    <w:qFormat/>
    <w:rPr>
      <w:rFonts w:ascii="Aptos" w:eastAsia="Times New Roman" w:hAnsi="Aptos" w:cs="Aptos"/>
      <w:color w:val="595959"/>
      <w:spacing w:val="15"/>
      <w:kern w:val="0"/>
      <w:sz w:val="28"/>
      <w:szCs w:val="28"/>
    </w:rPr>
  </w:style>
  <w:style w:type="paragraph" w:styleId="Quote">
    <w:name w:val="Quote"/>
    <w:basedOn w:val="Normal"/>
    <w:next w:val="Normal"/>
    <w:qFormat/>
    <w:pPr>
      <w:spacing w:before="160"/>
      <w:jc w:val="center"/>
    </w:pPr>
    <w:rPr>
      <w:rFonts w:ascii="Aptos" w:hAnsi="Aptos" w:cs="Aptos"/>
      <w:i/>
      <w:iCs/>
      <w:color w:val="404040"/>
      <w:kern w:val="0"/>
      <w:sz w:val="20"/>
      <w:szCs w:val="20"/>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jc w:val="center"/>
    </w:pPr>
    <w:rPr>
      <w:rFonts w:ascii="Aptos" w:hAnsi="Aptos" w:cs="Aptos"/>
      <w:i/>
      <w:iCs/>
      <w:color w:val="0F4761"/>
      <w:kern w:val="0"/>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after="0"/>
    </w:pPr>
  </w:style>
  <w:style w:type="paragraph" w:styleId="Footer">
    <w:name w:val="footer"/>
    <w:basedOn w:val="Normal"/>
    <w:pPr>
      <w:spacing w:after="0"/>
    </w:pPr>
  </w:style>
  <w:style w:type="paragraph" w:styleId="TOCHeading">
    <w:name w:val="TOC Heading"/>
    <w:basedOn w:val="Heading1"/>
    <w:next w:val="Normal"/>
    <w:qFormat/>
    <w:pPr>
      <w:keepNext/>
      <w:keepLines/>
      <w:numPr>
        <w:numId w:val="0"/>
      </w:numPr>
      <w:spacing w:after="0"/>
      <w:jc w:val="left"/>
      <w:outlineLvl w:val="9"/>
    </w:pPr>
    <w:rPr>
      <w:rFonts w:ascii="Aptos Display;Calibri" w:eastAsia="Times New Roman" w:hAnsi="Aptos Display;Calibri" w:cs="Aptos Display;Calibri"/>
      <w:color w:val="0F4761"/>
      <w:sz w:val="32"/>
      <w:szCs w:val="32"/>
    </w:rPr>
  </w:style>
  <w:style w:type="paragraph" w:styleId="TOC1">
    <w:name w:val="toc 1"/>
    <w:basedOn w:val="Normal"/>
    <w:next w:val="Normal"/>
    <w:pPr>
      <w:spacing w:after="100"/>
    </w:pPr>
  </w:style>
  <w:style w:type="paragraph" w:styleId="TOC2">
    <w:name w:val="toc 2"/>
    <w:basedOn w:val="Normal"/>
    <w:next w:val="Normal"/>
    <w:pPr>
      <w:spacing w:after="100"/>
      <w:ind w:left="220"/>
    </w:pPr>
    <w:rPr>
      <w:lang w:val="en-GB" w:eastAsia="en-US"/>
    </w:rPr>
  </w:style>
  <w:style w:type="paragraph" w:styleId="TOC3">
    <w:name w:val="toc 3"/>
    <w:basedOn w:val="Normal"/>
    <w:next w:val="Normal"/>
    <w:pPr>
      <w:spacing w:after="100"/>
      <w:ind w:left="440"/>
    </w:pPr>
  </w:style>
  <w:style w:type="paragraph" w:styleId="NormalWeb">
    <w:name w:val="Normal (Web)"/>
    <w:basedOn w:val="Normal"/>
    <w:qFormat/>
    <w:rPr>
      <w:szCs w:val="24"/>
    </w:rPr>
  </w:style>
  <w:style w:type="paragraph" w:styleId="NoSpacing">
    <w:name w:val="No Spacing"/>
    <w:qFormat/>
    <w:pPr>
      <w:suppressAutoHyphens/>
      <w:jc w:val="both"/>
    </w:pPr>
    <w:rPr>
      <w:rFonts w:ascii="Times New Roman" w:eastAsia="Aptos" w:hAnsi="Times New Roman" w:cs="Times New Roman"/>
      <w:kern w:val="2"/>
      <w:sz w:val="24"/>
      <w:szCs w:val="22"/>
      <w:lang w:eastAsia="zh-CN"/>
    </w:rPr>
  </w:style>
  <w:style w:type="paragraph" w:styleId="BalloonText">
    <w:name w:val="Balloon Text"/>
    <w:basedOn w:val="Normal"/>
    <w:qFormat/>
    <w:pPr>
      <w:spacing w:after="0"/>
    </w:pPr>
    <w:rPr>
      <w:rFonts w:ascii="Tahoma" w:hAnsi="Tahoma" w:cs="Tahoma"/>
      <w:kern w:val="0"/>
      <w:sz w:val="16"/>
      <w:szCs w:val="16"/>
    </w:rPr>
  </w:style>
  <w:style w:type="paragraph" w:styleId="TOC4">
    <w:name w:val="toc 4"/>
    <w:basedOn w:val="Normal"/>
    <w:next w:val="Normal"/>
    <w:pPr>
      <w:spacing w:after="100" w:line="276" w:lineRule="auto"/>
      <w:ind w:left="720"/>
    </w:pPr>
    <w:rPr>
      <w:rFonts w:ascii="Aptos" w:eastAsia="Times New Roman" w:hAnsi="Aptos" w:cs="Aptos"/>
      <w:szCs w:val="24"/>
    </w:rPr>
  </w:style>
  <w:style w:type="paragraph" w:styleId="TOC5">
    <w:name w:val="toc 5"/>
    <w:basedOn w:val="Normal"/>
    <w:next w:val="Normal"/>
    <w:pPr>
      <w:spacing w:after="100" w:line="276" w:lineRule="auto"/>
      <w:ind w:left="960"/>
    </w:pPr>
    <w:rPr>
      <w:rFonts w:ascii="Aptos" w:eastAsia="Times New Roman" w:hAnsi="Aptos" w:cs="Aptos"/>
      <w:szCs w:val="24"/>
    </w:rPr>
  </w:style>
  <w:style w:type="paragraph" w:styleId="TOC6">
    <w:name w:val="toc 6"/>
    <w:basedOn w:val="Normal"/>
    <w:next w:val="Normal"/>
    <w:pPr>
      <w:spacing w:after="100" w:line="276" w:lineRule="auto"/>
      <w:ind w:left="1200"/>
    </w:pPr>
    <w:rPr>
      <w:rFonts w:ascii="Aptos" w:eastAsia="Times New Roman" w:hAnsi="Aptos" w:cs="Aptos"/>
      <w:szCs w:val="24"/>
    </w:rPr>
  </w:style>
  <w:style w:type="paragraph" w:styleId="TOC7">
    <w:name w:val="toc 7"/>
    <w:basedOn w:val="Normal"/>
    <w:next w:val="Normal"/>
    <w:pPr>
      <w:spacing w:after="100" w:line="276" w:lineRule="auto"/>
      <w:ind w:left="1440"/>
    </w:pPr>
    <w:rPr>
      <w:rFonts w:ascii="Aptos" w:eastAsia="Times New Roman" w:hAnsi="Aptos" w:cs="Aptos"/>
      <w:szCs w:val="24"/>
    </w:rPr>
  </w:style>
  <w:style w:type="paragraph" w:styleId="TOC8">
    <w:name w:val="toc 8"/>
    <w:basedOn w:val="Normal"/>
    <w:next w:val="Normal"/>
    <w:pPr>
      <w:spacing w:after="100" w:line="276" w:lineRule="auto"/>
      <w:ind w:left="1680"/>
    </w:pPr>
    <w:rPr>
      <w:rFonts w:ascii="Aptos" w:eastAsia="Times New Roman" w:hAnsi="Aptos" w:cs="Aptos"/>
      <w:szCs w:val="24"/>
    </w:rPr>
  </w:style>
  <w:style w:type="paragraph" w:styleId="TOC9">
    <w:name w:val="toc 9"/>
    <w:basedOn w:val="Normal"/>
    <w:next w:val="Normal"/>
    <w:pPr>
      <w:spacing w:after="100" w:line="276" w:lineRule="auto"/>
      <w:ind w:left="1920"/>
    </w:pPr>
    <w:rPr>
      <w:rFonts w:ascii="Aptos" w:eastAsia="Times New Roman" w:hAnsi="Aptos" w:cs="Aptos"/>
      <w:szCs w:val="24"/>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5465/amr.1989.4279003" TargetMode="External"/><Relationship Id="rId21" Type="http://schemas.openxmlformats.org/officeDocument/2006/relationships/hyperlink" Target="https://library.cvsu-rosario.edu.ph/cgi-bin/koha/opac-ISBDdetail.pl?biblionumber=4542" TargetMode="External"/><Relationship Id="rId34" Type="http://schemas.openxmlformats.org/officeDocument/2006/relationships/hyperlink" Target="https://library.spu.ac.ke/cgi-bin/koha/opac-detail.pl?biblionumber=890" TargetMode="External"/><Relationship Id="rId42" Type="http://schemas.openxmlformats.org/officeDocument/2006/relationships/hyperlink" Target="https://doi.org/10.56557/jgembr/2026/v18i210617" TargetMode="External"/><Relationship Id="rId47" Type="http://schemas.openxmlformats.org/officeDocument/2006/relationships/hyperlink" Target="https://library.strathmore.edu/Record/8061" TargetMode="External"/><Relationship Id="rId50" Type="http://schemas.openxmlformats.org/officeDocument/2006/relationships/hyperlink" Target="https://briscoe.uthscsa.edu/cgi-bin/koha/opac-detail.pl?biblionumber=77735" TargetMode="External"/><Relationship Id="rId55" Type="http://schemas.openxmlformats.org/officeDocument/2006/relationships/hyperlink" Target="https://doi.org/10.9734/ajpas/2025/v27i2717" TargetMode="External"/><Relationship Id="rId63" Type="http://schemas.openxmlformats.org/officeDocument/2006/relationships/footer" Target="footer1.xml"/><Relationship Id="rId7" Type="http://schemas.openxmlformats.org/officeDocument/2006/relationships/hyperlink" Target="https://doi.org/10.56201/wjfir.v10.no3.2026.pg96.114" TargetMode="External"/><Relationship Id="rId2" Type="http://schemas.openxmlformats.org/officeDocument/2006/relationships/styles" Target="styles.xml"/><Relationship Id="rId16" Type="http://schemas.openxmlformats.org/officeDocument/2006/relationships/hyperlink" Target="https://www.centralbank.go.ke/uploads/banking_sector_annual_reports/1105574234_2023%20Annual%20Report.pdf" TargetMode="External"/><Relationship Id="rId29" Type="http://schemas.openxmlformats.org/officeDocument/2006/relationships/hyperlink" Target="https://doi.org/10.1017/CBO9781139192675" TargetMode="External"/><Relationship Id="rId11" Type="http://schemas.openxmlformats.org/officeDocument/2006/relationships/hyperlink" Target="https://doi.org/10.1002/j.1681-4835.2011.tb00330.x" TargetMode="External"/><Relationship Id="rId24" Type="http://schemas.openxmlformats.org/officeDocument/2006/relationships/hyperlink" Target="https://doi.org/10.1006/imms.1993.1022" TargetMode="External"/><Relationship Id="rId32" Type="http://schemas.openxmlformats.org/officeDocument/2006/relationships/hyperlink" Target="https://doi.org/10.1016/0304-405X(76)90026-X" TargetMode="External"/><Relationship Id="rId37" Type="http://schemas.openxmlformats.org/officeDocument/2006/relationships/hyperlink" Target="https://nigerianjournalofmanagementsciences.com/impact-of-electronic-banking-channels-onprofitability-of-deposit-money-banks-in-nigeria/" TargetMode="External"/><Relationship Id="rId40" Type="http://schemas.openxmlformats.org/officeDocument/2006/relationships/hyperlink" Target="https://doi.org/10.9734/ajeba/2024/v24i41284" TargetMode="External"/><Relationship Id="rId45" Type="http://schemas.openxmlformats.org/officeDocument/2006/relationships/hyperlink" Target="https://doi.org/10.5281/zenodo.8330345" TargetMode="External"/><Relationship Id="rId53" Type="http://schemas.openxmlformats.org/officeDocument/2006/relationships/hyperlink" Target="https://doi.org/10.1016/j.respol.2017.03.010" TargetMode="External"/><Relationship Id="rId58" Type="http://schemas.openxmlformats.org/officeDocument/2006/relationships/hyperlink" Target="https://doi.org/10.1002/smj.4250050207" TargetMode="External"/><Relationship Id="rId5" Type="http://schemas.openxmlformats.org/officeDocument/2006/relationships/footnotes" Target="footnotes.xml"/><Relationship Id="rId61" Type="http://schemas.openxmlformats.org/officeDocument/2006/relationships/hyperlink" Target="https://doi.org/10.1371/journal.pone.0340249" TargetMode="External"/><Relationship Id="rId19" Type="http://schemas.openxmlformats.org/officeDocument/2006/relationships/hyperlink" Target="https://doi.org/10.1016/j.frl.2024.106269" TargetMode="External"/><Relationship Id="rId14" Type="http://schemas.openxmlformats.org/officeDocument/2006/relationships/hyperlink" Target="https://doi.org/10.3126/njf.v11i4.79771" TargetMode="External"/><Relationship Id="rId22" Type="http://schemas.openxmlformats.org/officeDocument/2006/relationships/hyperlink" Target="https://doi.org/10.5465/amr.2003.10196703" TargetMode="External"/><Relationship Id="rId27" Type="http://schemas.openxmlformats.org/officeDocument/2006/relationships/hyperlink" Target="https://doi.org/10.2866/85233" TargetMode="External"/><Relationship Id="rId30" Type="http://schemas.openxmlformats.org/officeDocument/2006/relationships/hyperlink" Target="https://www.gsma.com/solutions-and-impact/connectivity-for-good/mobile-for-development/gsma_resources/state-of-the-industry-report-on-mobile-money-2023-2/" TargetMode="External"/><Relationship Id="rId35" Type="http://schemas.openxmlformats.org/officeDocument/2006/relationships/hyperlink" Target="https://www.sagepublishers.com/index.php/ijssme/article/view/781" TargetMode="External"/><Relationship Id="rId43" Type="http://schemas.openxmlformats.org/officeDocument/2006/relationships/hyperlink" Target="https://erepository.uonbi.ac.ke/items/a80321a7-b387-4148-8ce4-47dfd9a8c3f0" TargetMode="External"/><Relationship Id="rId48" Type="http://schemas.openxmlformats.org/officeDocument/2006/relationships/hyperlink" Target="https://doi.org/10.1002/mde.1126" TargetMode="External"/><Relationship Id="rId56" Type="http://schemas.openxmlformats.org/officeDocument/2006/relationships/hyperlink" Target="https://doi.org/10.2307/30036540" TargetMode="External"/><Relationship Id="rId64" Type="http://schemas.openxmlformats.org/officeDocument/2006/relationships/fontTable" Target="fontTable.xml"/><Relationship Id="rId8" Type="http://schemas.openxmlformats.org/officeDocument/2006/relationships/hyperlink" Target="https://doi.org/10.56201/ijbfr.vol.12.no1.2026.pg35.47" TargetMode="External"/><Relationship Id="rId51" Type="http://schemas.openxmlformats.org/officeDocument/2006/relationships/hyperlink" Target="https://doi.org/10.34093/jafs.v15i51.912" TargetMode="External"/><Relationship Id="rId3" Type="http://schemas.openxmlformats.org/officeDocument/2006/relationships/settings" Target="settings.xml"/><Relationship Id="rId12" Type="http://schemas.openxmlformats.org/officeDocument/2006/relationships/hyperlink" Target="https://doi.org/10.1177/014920639101700108" TargetMode="External"/><Relationship Id="rId17" Type="http://schemas.openxmlformats.org/officeDocument/2006/relationships/hyperlink" Target="https://www.centralbank.go.ke/wp-content/uploads/2023/06/Directory-of-Licenced-Commercial-Banks-Authorised-NOHCs-June-2023.pdf" TargetMode="External"/><Relationship Id="rId25" Type="http://schemas.openxmlformats.org/officeDocument/2006/relationships/hyperlink" Target="https://doi.org/10.1016/j.intfin.2010.11.002" TargetMode="External"/><Relationship Id="rId33" Type="http://schemas.openxmlformats.org/officeDocument/2006/relationships/hyperlink" Target="https://www.kba.co.ke/wp-content/uploads/2024/06/Customer-Satisfaction-Survey-2023.pdf" TargetMode="External"/><Relationship Id="rId38" Type="http://schemas.openxmlformats.org/officeDocument/2006/relationships/hyperlink" Target="https://doi.org/10.47672/ajf.123" TargetMode="External"/><Relationship Id="rId46" Type="http://schemas.openxmlformats.org/officeDocument/2006/relationships/hyperlink" Target="https://majaf.com.ng/index.php/majaf/article/view/308" TargetMode="External"/><Relationship Id="rId59" Type="http://schemas.openxmlformats.org/officeDocument/2006/relationships/hyperlink" Target="https://eprints.gouni.edu.ng/5849/" TargetMode="External"/><Relationship Id="rId20" Type="http://schemas.openxmlformats.org/officeDocument/2006/relationships/hyperlink" Target="https://ca.go.ke/statistics" TargetMode="External"/><Relationship Id="rId41" Type="http://schemas.openxmlformats.org/officeDocument/2006/relationships/hyperlink" Target="https://doi.org/10.53819/81018102t2553" TargetMode="External"/><Relationship Id="rId54" Type="http://schemas.openxmlformats.org/officeDocument/2006/relationships/hyperlink" Target="https://doi.org/10.47941/ijf.1079"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federalreserve.gov/paymentsystems/2023-April-The-Federal-Reserve-Payments-Study.htm" TargetMode="External"/><Relationship Id="rId23" Type="http://schemas.openxmlformats.org/officeDocument/2006/relationships/hyperlink" Target="https://doi.org/10.2307/249008" TargetMode="External"/><Relationship Id="rId28" Type="http://schemas.openxmlformats.org/officeDocument/2006/relationships/hyperlink" Target="https://doi.org/10.1086/467038" TargetMode="External"/><Relationship Id="rId36" Type="http://schemas.openxmlformats.org/officeDocument/2006/relationships/hyperlink" Target="https://library.bsma.edu.ge/BOOKS/Principles_of_Marketing%2814th.Edition%292012.pdf" TargetMode="External"/><Relationship Id="rId49" Type="http://schemas.openxmlformats.org/officeDocument/2006/relationships/hyperlink" Target="https://doi.org/10.9734/arjass/2023/v21i4493" TargetMode="External"/><Relationship Id="rId57" Type="http://schemas.openxmlformats.org/officeDocument/2006/relationships/hyperlink" Target="https://doi.org/10.46254/AN12.20220306" TargetMode="External"/><Relationship Id="rId10" Type="http://schemas.openxmlformats.org/officeDocument/2006/relationships/hyperlink" Target="https://doi.org/10.7176/EJBM/12-15-12" TargetMode="External"/><Relationship Id="rId31" Type="http://schemas.openxmlformats.org/officeDocument/2006/relationships/hyperlink" Target="https://doi.org/10.1016/j.frl.2025.107867" TargetMode="External"/><Relationship Id="rId44" Type="http://schemas.openxmlformats.org/officeDocument/2006/relationships/hyperlink" Target="https://doi.org/10.56201/jafm.vol.11.no10.2025.pg214.239" TargetMode="External"/><Relationship Id="rId52" Type="http://schemas.openxmlformats.org/officeDocument/2006/relationships/hyperlink" Target="https://doi.org/10.51244/IJRSI.2024.1109045" TargetMode="External"/><Relationship Id="rId60" Type="http://schemas.openxmlformats.org/officeDocument/2006/relationships/hyperlink" Target="https://opac.juniv.edu/cgi-bin/koha/opac-detail.pl?biblionumber=31177"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bfrjournal.com/index.php/abfr/article/view/86" TargetMode="External"/><Relationship Id="rId13" Type="http://schemas.openxmlformats.org/officeDocument/2006/relationships/hyperlink" Target="https://doi.org/10.1111/b.9780631218616.2006.00006.x" TargetMode="External"/><Relationship Id="rId18" Type="http://schemas.openxmlformats.org/officeDocument/2006/relationships/hyperlink" Target="https://doi.org/10.36348/sjef.2024.v08i01.001" TargetMode="External"/><Relationship Id="rId39" Type="http://schemas.openxmlformats.org/officeDocument/2006/relationships/hyperlink" Target="https://www.centralbank.go.ke/journal-articles/"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8350</Words>
  <Characters>47597</Characters>
  <Application>Microsoft Office Word</Application>
  <DocSecurity>0</DocSecurity>
  <Lines>396</Lines>
  <Paragraphs>111</Paragraphs>
  <ScaleCrop>false</ScaleCrop>
  <Company/>
  <LinksUpToDate>false</LinksUpToDate>
  <CharactersWithSpaces>55836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Nicholus Tumbo</dc:creator>
  <cp:keywords/>
  <dc:description/>
  <cp:lastModifiedBy>SDI CPU 1117</cp:lastModifiedBy>
  <cp:revision>4</cp:revision>
  <dcterms:created xsi:type="dcterms:W3CDTF">2026-09-22T08:57:00Z</dcterms:created>
  <dcterms:modified xsi:type="dcterms:W3CDTF">2026-09-29T08:16:00Z</dcterms:modified>
  <dc:language>en-US</dc:language>
</cp:coreProperties>
</file>