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EEBB3" w14:textId="77777777" w:rsidR="00875F71" w:rsidRDefault="00875F71"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r>
        <w:rPr>
          <w:rFonts w:ascii="Times New Roman" w:hAnsi="Times New Roman" w:cs="Times New Roman"/>
          <w:sz w:val="20"/>
          <w:szCs w:val="20"/>
        </w:rPr>
        <w:t>Short Communication</w:t>
      </w:r>
      <w:r w:rsidRPr="00BD4D7B">
        <w:rPr>
          <w:rFonts w:ascii="Times New Roman" w:eastAsia="Times New Roman" w:hAnsi="Times New Roman" w:cs="Times New Roman"/>
          <w:b/>
          <w:bCs/>
          <w:kern w:val="36"/>
          <w:sz w:val="24"/>
          <w:szCs w:val="24"/>
          <w:lang w:eastAsia="en-GB"/>
        </w:rPr>
        <w:t xml:space="preserve"> </w:t>
      </w:r>
    </w:p>
    <w:p w14:paraId="2BE53DFF" w14:textId="77777777" w:rsidR="00875F71" w:rsidRDefault="00875F71"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p>
    <w:p w14:paraId="14882A58" w14:textId="77777777" w:rsidR="00BD4D7B" w:rsidRDefault="00BD4D7B" w:rsidP="00BD4D7B">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en-GB"/>
        </w:rPr>
      </w:pPr>
      <w:r w:rsidRPr="00BD4D7B">
        <w:rPr>
          <w:rFonts w:ascii="Times New Roman" w:eastAsia="Times New Roman" w:hAnsi="Times New Roman" w:cs="Times New Roman"/>
          <w:b/>
          <w:bCs/>
          <w:kern w:val="36"/>
          <w:sz w:val="24"/>
          <w:szCs w:val="24"/>
          <w:lang w:eastAsia="en-GB"/>
        </w:rPr>
        <w:t xml:space="preserve">Conservation priorities for </w:t>
      </w:r>
      <w:proofErr w:type="spellStart"/>
      <w:r w:rsidRPr="00BD4D7B">
        <w:rPr>
          <w:rFonts w:ascii="Times New Roman" w:eastAsia="Times New Roman" w:hAnsi="Times New Roman" w:cs="Times New Roman"/>
          <w:b/>
          <w:bCs/>
          <w:i/>
          <w:iCs/>
          <w:kern w:val="36"/>
          <w:sz w:val="24"/>
          <w:szCs w:val="24"/>
          <w:lang w:eastAsia="en-GB"/>
        </w:rPr>
        <w:t>Hydnocarpus</w:t>
      </w:r>
      <w:proofErr w:type="spellEnd"/>
      <w:r w:rsidRPr="00BD4D7B">
        <w:rPr>
          <w:rFonts w:ascii="Times New Roman" w:eastAsia="Times New Roman" w:hAnsi="Times New Roman" w:cs="Times New Roman"/>
          <w:b/>
          <w:bCs/>
          <w:i/>
          <w:iCs/>
          <w:kern w:val="36"/>
          <w:sz w:val="24"/>
          <w:szCs w:val="24"/>
          <w:lang w:eastAsia="en-GB"/>
        </w:rPr>
        <w:t xml:space="preserve"> </w:t>
      </w:r>
      <w:proofErr w:type="spellStart"/>
      <w:r w:rsidRPr="00BD4D7B">
        <w:rPr>
          <w:rFonts w:ascii="Times New Roman" w:eastAsia="Times New Roman" w:hAnsi="Times New Roman" w:cs="Times New Roman"/>
          <w:b/>
          <w:bCs/>
          <w:i/>
          <w:iCs/>
          <w:kern w:val="36"/>
          <w:sz w:val="24"/>
          <w:szCs w:val="24"/>
          <w:lang w:eastAsia="en-GB"/>
        </w:rPr>
        <w:t>kurzii</w:t>
      </w:r>
      <w:proofErr w:type="spellEnd"/>
      <w:r w:rsidRPr="00BD4D7B">
        <w:rPr>
          <w:rFonts w:ascii="Times New Roman" w:eastAsia="Times New Roman" w:hAnsi="Times New Roman" w:cs="Times New Roman"/>
          <w:b/>
          <w:bCs/>
          <w:kern w:val="36"/>
          <w:sz w:val="24"/>
          <w:szCs w:val="24"/>
          <w:lang w:eastAsia="en-GB"/>
        </w:rPr>
        <w:t xml:space="preserve"> (King) </w:t>
      </w:r>
      <w:proofErr w:type="spellStart"/>
      <w:r w:rsidRPr="00BD4D7B">
        <w:rPr>
          <w:rFonts w:ascii="Times New Roman" w:eastAsia="Times New Roman" w:hAnsi="Times New Roman" w:cs="Times New Roman"/>
          <w:b/>
          <w:bCs/>
          <w:kern w:val="36"/>
          <w:sz w:val="24"/>
          <w:szCs w:val="24"/>
          <w:lang w:eastAsia="en-GB"/>
        </w:rPr>
        <w:t>Warb</w:t>
      </w:r>
      <w:proofErr w:type="spellEnd"/>
      <w:r w:rsidRPr="00BD4D7B">
        <w:rPr>
          <w:rFonts w:ascii="Times New Roman" w:eastAsia="Times New Roman" w:hAnsi="Times New Roman" w:cs="Times New Roman"/>
          <w:b/>
          <w:bCs/>
          <w:kern w:val="36"/>
          <w:sz w:val="24"/>
          <w:szCs w:val="24"/>
          <w:lang w:eastAsia="en-GB"/>
        </w:rPr>
        <w:t>. in Northeast India</w:t>
      </w:r>
    </w:p>
    <w:p w14:paraId="5BD6E5E5" w14:textId="77777777" w:rsidR="00875F71" w:rsidRPr="00545ACB" w:rsidRDefault="00875F71" w:rsidP="00545ACB">
      <w:pPr>
        <w:pStyle w:val="Sinespaciado"/>
        <w:rPr>
          <w:rFonts w:ascii="Times New Roman" w:hAnsi="Times New Roman" w:cs="Times New Roman"/>
          <w:sz w:val="24"/>
          <w:szCs w:val="24"/>
        </w:rPr>
      </w:pPr>
    </w:p>
    <w:p w14:paraId="5E3E6386" w14:textId="77777777" w:rsidR="00545ACB" w:rsidRPr="00545ACB" w:rsidRDefault="00545ACB" w:rsidP="00545ACB">
      <w:pPr>
        <w:pStyle w:val="Sinespaciado"/>
        <w:rPr>
          <w:rFonts w:ascii="Times New Roman" w:hAnsi="Times New Roman" w:cs="Times New Roman"/>
          <w:sz w:val="24"/>
          <w:szCs w:val="24"/>
        </w:rPr>
      </w:pPr>
    </w:p>
    <w:p w14:paraId="1A7CE3A6" w14:textId="77777777" w:rsidR="00BD4D7B" w:rsidRPr="00BD4D7B" w:rsidRDefault="00BD4D7B" w:rsidP="005521DC">
      <w:pPr>
        <w:spacing w:before="100" w:beforeAutospacing="1" w:after="100" w:afterAutospacing="1" w:line="360" w:lineRule="auto"/>
        <w:jc w:val="center"/>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Abstract</w:t>
      </w:r>
    </w:p>
    <w:p w14:paraId="4436143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xml:space="preserve">. is a lesser-known wet-tropical tree of </w:t>
      </w:r>
      <w:proofErr w:type="spellStart"/>
      <w:r w:rsidRPr="00BD4D7B">
        <w:rPr>
          <w:rFonts w:ascii="Times New Roman" w:eastAsia="Times New Roman" w:hAnsi="Times New Roman" w:cs="Times New Roman"/>
          <w:sz w:val="24"/>
          <w:szCs w:val="24"/>
          <w:lang w:eastAsia="en-GB"/>
        </w:rPr>
        <w:t>Achariaceae</w:t>
      </w:r>
      <w:proofErr w:type="spellEnd"/>
      <w:r w:rsidRPr="00BD4D7B">
        <w:rPr>
          <w:rFonts w:ascii="Times New Roman" w:eastAsia="Times New Roman" w:hAnsi="Times New Roman" w:cs="Times New Roman"/>
          <w:sz w:val="24"/>
          <w:szCs w:val="24"/>
          <w:lang w:eastAsia="en-GB"/>
        </w:rPr>
        <w:t xml:space="preserve"> native to South and Southeast Asia, including Northeast India. The species possesses medicinal and socioeconomic potential, particularly through its seed oil containing characteristic cyclopentenyl fatty acids, yet it remains poorly studied in relation to population status, natural regeneration, genetic diversity and long-term conservation requirements. It is currently assessed as Data Deficient, indicating inadequate information for reliable evaluation of extinction risk rather than evidence of population security. In Northeast India, habitat degradation, fragmentation, anthropogenic disturbance and potential loss of mature reproductive trees may affect population persistence, natural regeneration and future seed availability. At the same time, greater recognition and promotion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for appropriate medicinal, seed-oil, cultivation and restoration purposes could increase its socioeconomic value and create incentives for conservation. However, promotion without resource assessment and safeguards could increase pressure on natural populations. This Short Communication therefore proposes a species-focused conservation framework integrating population assessment, natural-regeneration monitoring, genetic-resource conservation, seed-source development, </w:t>
      </w:r>
      <w:r w:rsidRPr="005966BD">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and </w:t>
      </w:r>
      <w:r w:rsidRPr="005966BD">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 restoration and community participation with responsible utilization and promotion. Priority should be given to representative populations containing healthy reproductive trees and evidence of regeneration, followed by genetic characterization and development of geographically representative seed sources. </w:t>
      </w:r>
      <w:r w:rsidRPr="005966BD">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 and restoration should complement, rather than replace, </w:t>
      </w:r>
      <w:r w:rsidRPr="005966BD">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protection. Establishing a regional population baseline and coordinated conservation and seed-source network would provide a practical foundation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as a medicinal plant, forest genetic resource and potential species for sustainable cultivation and ecological restoration.</w:t>
      </w:r>
    </w:p>
    <w:p w14:paraId="69B29C08"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lastRenderedPageBreak/>
        <w:t>Keywords:</w:t>
      </w:r>
      <w:r w:rsidRPr="00BD4D7B">
        <w:rPr>
          <w:rFonts w:ascii="Times New Roman" w:eastAsia="Times New Roman" w:hAnsi="Times New Roman" w:cs="Times New Roman"/>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conservation; medicinal tree; forest genetic resources; seed sources; restoration; sustainable utilization; Northeast India</w:t>
      </w:r>
    </w:p>
    <w:p w14:paraId="0418CA22"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Introduction</w:t>
      </w:r>
    </w:p>
    <w:p w14:paraId="460F2B0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xml:space="preserve">. is a lesser-known wet-tropical tree belonging to </w:t>
      </w:r>
      <w:proofErr w:type="spellStart"/>
      <w:r w:rsidRPr="00BD4D7B">
        <w:rPr>
          <w:rFonts w:ascii="Times New Roman" w:eastAsia="Times New Roman" w:hAnsi="Times New Roman" w:cs="Times New Roman"/>
          <w:sz w:val="24"/>
          <w:szCs w:val="24"/>
          <w:lang w:eastAsia="en-GB"/>
        </w:rPr>
        <w:t>Achariaceae</w:t>
      </w:r>
      <w:proofErr w:type="spellEnd"/>
      <w:r w:rsidRPr="00BD4D7B">
        <w:rPr>
          <w:rFonts w:ascii="Times New Roman" w:eastAsia="Times New Roman" w:hAnsi="Times New Roman" w:cs="Times New Roman"/>
          <w:sz w:val="24"/>
          <w:szCs w:val="24"/>
          <w:lang w:eastAsia="en-GB"/>
        </w:rPr>
        <w:t xml:space="preserve"> </w:t>
      </w:r>
      <w:r w:rsidR="00EE70C9">
        <w:rPr>
          <w:rFonts w:ascii="Times New Roman" w:eastAsia="Times New Roman" w:hAnsi="Times New Roman" w:cs="Times New Roman"/>
          <w:sz w:val="24"/>
          <w:szCs w:val="24"/>
          <w:lang w:eastAsia="en-GB"/>
        </w:rPr>
        <w:t xml:space="preserve">family </w:t>
      </w:r>
      <w:r w:rsidRPr="00BD4D7B">
        <w:rPr>
          <w:rFonts w:ascii="Times New Roman" w:eastAsia="Times New Roman" w:hAnsi="Times New Roman" w:cs="Times New Roman"/>
          <w:sz w:val="24"/>
          <w:szCs w:val="24"/>
          <w:lang w:eastAsia="en-GB"/>
        </w:rPr>
        <w:t xml:space="preserve">and occurring naturally in South and Southeast Asia. In Northeast India, its recorded occurrence includes parts of Assam, Mizoram and Tripura. Although the species has received considerably less attention than many better-known medicinal or commercially important tree species, it possesses attributes that justify greater scientific and conservation interest. Its seeds contain characteristic cyclopentenyl fatty acids, while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sz w:val="24"/>
          <w:szCs w:val="24"/>
          <w:lang w:eastAsia="en-GB"/>
        </w:rPr>
        <w:t xml:space="preserve"> seed oils have a long history of medicinal use, particularly in relation to dermatological applications (Norton, 1994; Sahoo </w:t>
      </w:r>
      <w:r w:rsidRPr="00FC7773">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2014). The species consequently represents more than a component of native forest biodiversity; it is also a medicinal, seed-oil-producing and potentially valuable forest genetic resource.</w:t>
      </w:r>
    </w:p>
    <w:p w14:paraId="4EF3947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conservation importance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strengthened by the limited information available on its population condition and long-term persistence. The species is currently assessed as Data Deficient, which reflects insufficient information for a reliable assessment of extinction risk and should not be interpreted as evidence that populations are secure (World Flora Online Consortium, 2026). For a lesser-known native tree, limited documentation itself represents a conservation concern because populations, reproductive individuals and genetic resources may remain outside formal conservation priorities simply because their status has not been adequately assessed. In particular, loss of mature seed-producing trees can have consequences beyond immediate population abundance by reducing reproductive output, natural regeneration and the availability of genetic material for future propagation.</w:t>
      </w:r>
    </w:p>
    <w:p w14:paraId="7193BE5F" w14:textId="1AF9C6FD"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Northeast India is particularly relevant to the conservation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because the region contains extensive tropical and subtropical forest ecosystem</w:t>
      </w:r>
      <w:r w:rsidRPr="00AD0D3E">
        <w:rPr>
          <w:rFonts w:ascii="Times New Roman" w:eastAsia="Times New Roman" w:hAnsi="Times New Roman" w:cs="Times New Roman"/>
          <w:sz w:val="24"/>
          <w:szCs w:val="24"/>
          <w:highlight w:val="green"/>
          <w:lang w:eastAsia="en-GB"/>
        </w:rPr>
        <w:t>s</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simultaneously experiencing land-use change, forest degradation, fragmentation and anthropogenic disturbance. Such processes can reduce habitat continuity and alter the demographic processes required for tree population maintenance. Fragmentation may also increase population isolation and affect gene flow and genetic diversity, thereby potentially reducing adaptive capacity over longer timescales (Coomes </w:t>
      </w:r>
      <w:r w:rsidRPr="00FC7773">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2011; Potter </w:t>
      </w:r>
      <w:r w:rsidRPr="00FC7773">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2017). These processes are </w:t>
      </w:r>
      <w:r w:rsidRPr="00BD4D7B">
        <w:rPr>
          <w:rFonts w:ascii="Times New Roman" w:eastAsia="Times New Roman" w:hAnsi="Times New Roman" w:cs="Times New Roman"/>
          <w:sz w:val="24"/>
          <w:szCs w:val="24"/>
          <w:lang w:eastAsia="en-GB"/>
        </w:rPr>
        <w:lastRenderedPageBreak/>
        <w:t>important for tree specie</w:t>
      </w:r>
      <w:r w:rsidRPr="00AD0D3E">
        <w:rPr>
          <w:rFonts w:ascii="Times New Roman" w:eastAsia="Times New Roman" w:hAnsi="Times New Roman" w:cs="Times New Roman"/>
          <w:sz w:val="24"/>
          <w:szCs w:val="24"/>
          <w:highlight w:val="green"/>
          <w:lang w:eastAsia="en-GB"/>
        </w:rPr>
        <w:t>s</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because mature individuals can persist for considerable periods after habitat alteratio</w:t>
      </w:r>
      <w:r w:rsidRPr="00AD0D3E">
        <w:rPr>
          <w:rFonts w:ascii="Times New Roman" w:eastAsia="Times New Roman" w:hAnsi="Times New Roman" w:cs="Times New Roman"/>
          <w:sz w:val="24"/>
          <w:szCs w:val="24"/>
          <w:highlight w:val="green"/>
          <w:lang w:eastAsia="en-GB"/>
        </w:rPr>
        <w:t>n</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even when recruitment and population replacement have begun to decline.</w:t>
      </w:r>
    </w:p>
    <w:p w14:paraId="4BFB293D" w14:textId="7B538D8E"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Evidence of natural regeneration demonstrates that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can recruit under suitable environmental conditions. Barua </w:t>
      </w:r>
      <w:r w:rsidRPr="00AD0D3E">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(2018), for example, documented substantial regeneration in </w:t>
      </w:r>
      <w:proofErr w:type="spellStart"/>
      <w:r w:rsidRPr="00BD4D7B">
        <w:rPr>
          <w:rFonts w:ascii="Times New Roman" w:eastAsia="Times New Roman" w:hAnsi="Times New Roman" w:cs="Times New Roman"/>
          <w:sz w:val="24"/>
          <w:szCs w:val="24"/>
          <w:lang w:eastAsia="en-GB"/>
        </w:rPr>
        <w:t>Bornewria</w:t>
      </w:r>
      <w:proofErr w:type="spellEnd"/>
      <w:r w:rsidRPr="00BD4D7B">
        <w:rPr>
          <w:rFonts w:ascii="Times New Roman" w:eastAsia="Times New Roman" w:hAnsi="Times New Roman" w:cs="Times New Roman"/>
          <w:sz w:val="24"/>
          <w:szCs w:val="24"/>
          <w:lang w:eastAsia="en-GB"/>
        </w:rPr>
        <w:t xml:space="preserve"> forest, Assam. However, regeneration recorded at one forest site cannot be assumed to represent the demographic condition of the species throughout Northeast India. Recruitment may vary with canopy structure, disturbance intensity, seed availability, microsite conditions, herbivory, moisture and subsequent seedling survival. A regional conservation assessment must therefore</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distinguish between the presence of seedlings and the sustained recruitment of individuals into sapling and reproductive stages.</w:t>
      </w:r>
    </w:p>
    <w:p w14:paraId="7D69E432" w14:textId="4F6A82E3"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An additional consideration is the relationship between conservation and promotion. The medicinal and seed-oil characteristics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provide a basis for greater scientific, horticultural and socioeconomic interest. Promoting a lesser-known native species through cultivation, nursery production, appropriate agroforestry systems and restoration could potentially reduce dependence on wild populations while increasing its conservation value. Conversely, increased demand without adequate population assessment, sustainable harvesting protocols and cultivated seed source</w:t>
      </w:r>
      <w:r w:rsidRPr="00AD0D3E">
        <w:rPr>
          <w:rFonts w:ascii="Times New Roman" w:eastAsia="Times New Roman" w:hAnsi="Times New Roman" w:cs="Times New Roman"/>
          <w:sz w:val="24"/>
          <w:szCs w:val="24"/>
          <w:highlight w:val="green"/>
          <w:lang w:eastAsia="en-GB"/>
        </w:rPr>
        <w:t>s</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could create additional pressure on naturally occurring reproductive trees. Conservation and utilization should therefore be considered complementary objectives, with utilization based on protected natural populations, documented genetic resources and appropriately developed planting material.</w:t>
      </w:r>
    </w:p>
    <w:p w14:paraId="6264469A" w14:textId="442C1382"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Conservation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should consequently extend beyond the protection of individual trees. Maintaining viable populations across the species' geographic range is necessary to conserve ecological and genetic variation, while documented seed sources are required to support future propagation, cultivation and restoration. Contemporary restoration research emphasizes the importance of genetic diversity and appropriate seed sourcin</w:t>
      </w:r>
      <w:r w:rsidRPr="00AD0D3E">
        <w:rPr>
          <w:rFonts w:ascii="Times New Roman" w:eastAsia="Times New Roman" w:hAnsi="Times New Roman" w:cs="Times New Roman"/>
          <w:sz w:val="24"/>
          <w:szCs w:val="24"/>
          <w:highlight w:val="green"/>
          <w:lang w:eastAsia="en-GB"/>
        </w:rPr>
        <w:t>g</w:t>
      </w:r>
      <w:r w:rsidR="00AD0D3E" w:rsidRPr="00AD0D3E">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when native tree species </w:t>
      </w:r>
      <w:proofErr w:type="gramStart"/>
      <w:r w:rsidRPr="00BD4D7B">
        <w:rPr>
          <w:rFonts w:ascii="Times New Roman" w:eastAsia="Times New Roman" w:hAnsi="Times New Roman" w:cs="Times New Roman"/>
          <w:sz w:val="24"/>
          <w:szCs w:val="24"/>
          <w:lang w:eastAsia="en-GB"/>
        </w:rPr>
        <w:t>are used</w:t>
      </w:r>
      <w:proofErr w:type="gramEnd"/>
      <w:r w:rsidRPr="00BD4D7B">
        <w:rPr>
          <w:rFonts w:ascii="Times New Roman" w:eastAsia="Times New Roman" w:hAnsi="Times New Roman" w:cs="Times New Roman"/>
          <w:sz w:val="24"/>
          <w:szCs w:val="24"/>
          <w:lang w:eastAsia="en-GB"/>
        </w:rPr>
        <w:t xml:space="preserve"> in ecosystem restoration (Thomas </w:t>
      </w:r>
      <w:r w:rsidRPr="00AD0D3E">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2014; Prakash </w:t>
      </w:r>
      <w:r w:rsidRPr="00AD0D3E">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2024). Regional guidance likewise recognizes genetic conservation units and representative seed sources as complementary components of forest genetic-resource conservation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w:t>
      </w:r>
    </w:p>
    <w:p w14:paraId="3BF56646" w14:textId="4C341E66"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To date, a species-focused conservation framework integrating population assessment, genetic-resource conservation, seed-source development, responsible promotion and restoration </w:t>
      </w:r>
      <w:r w:rsidRPr="00BD4D7B">
        <w:rPr>
          <w:rFonts w:ascii="Times New Roman" w:eastAsia="Times New Roman" w:hAnsi="Times New Roman" w:cs="Times New Roman"/>
          <w:sz w:val="24"/>
          <w:szCs w:val="24"/>
          <w:lang w:eastAsia="en-GB"/>
        </w:rPr>
        <w:lastRenderedPageBreak/>
        <w:t xml:space="preserve">priorities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in Northeast India has received limited attention. This Short Communication therefore</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identifies the principal conservation gaps and proposes a practical framework for maintaining viable natural populations and genetic resource</w:t>
      </w:r>
      <w:r w:rsidRPr="00CC35CF">
        <w:rPr>
          <w:rFonts w:ascii="Times New Roman" w:eastAsia="Times New Roman" w:hAnsi="Times New Roman" w:cs="Times New Roman"/>
          <w:sz w:val="24"/>
          <w:szCs w:val="24"/>
          <w:highlight w:val="green"/>
          <w:lang w:eastAsia="en-GB"/>
        </w:rPr>
        <w:t>s</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creating a scientific basis for responsible propagation, cultivation, utilization and restoration of this lesser-known native tree.</w:t>
      </w:r>
    </w:p>
    <w:p w14:paraId="50616D96"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val="es-MX" w:eastAsia="es-MX"/>
        </w:rPr>
        <w:drawing>
          <wp:inline distT="0" distB="0" distL="0" distR="0" wp14:anchorId="466B4075" wp14:editId="1B949F59">
            <wp:extent cx="2417196" cy="2560320"/>
            <wp:effectExtent l="0" t="0" r="2540" b="0"/>
            <wp:docPr id="1" name="Picture 1" descr="C:\Users\Remruata Sailo\Downloads\E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mruata Sailo\Downloads\EEE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17329" cy="2560461"/>
                    </a:xfrm>
                    <a:prstGeom prst="rect">
                      <a:avLst/>
                    </a:prstGeom>
                    <a:noFill/>
                    <a:ln>
                      <a:noFill/>
                    </a:ln>
                  </pic:spPr>
                </pic:pic>
              </a:graphicData>
            </a:graphic>
          </wp:inline>
        </w:drawing>
      </w:r>
    </w:p>
    <w:p w14:paraId="44B5EB6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t>Fig. 1.</w:t>
      </w:r>
      <w:r w:rsidRPr="00BD4D7B">
        <w:rPr>
          <w:rFonts w:ascii="Times New Roman" w:eastAsia="Times New Roman" w:hAnsi="Times New Roman" w:cs="Times New Roman"/>
          <w:sz w:val="24"/>
          <w:szCs w:val="24"/>
          <w:lang w:eastAsia="en-GB"/>
        </w:rPr>
        <w:t xml:space="preserve"> Distribution of </w:t>
      </w: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(King) </w:t>
      </w:r>
      <w:proofErr w:type="spellStart"/>
      <w:r w:rsidRPr="00BD4D7B">
        <w:rPr>
          <w:rFonts w:ascii="Times New Roman" w:eastAsia="Times New Roman" w:hAnsi="Times New Roman" w:cs="Times New Roman"/>
          <w:sz w:val="24"/>
          <w:szCs w:val="24"/>
          <w:lang w:eastAsia="en-GB"/>
        </w:rPr>
        <w:t>Warb</w:t>
      </w:r>
      <w:proofErr w:type="spellEnd"/>
      <w:r w:rsidRPr="00BD4D7B">
        <w:rPr>
          <w:rFonts w:ascii="Times New Roman" w:eastAsia="Times New Roman" w:hAnsi="Times New Roman" w:cs="Times New Roman"/>
          <w:sz w:val="24"/>
          <w:szCs w:val="24"/>
          <w:lang w:eastAsia="en-GB"/>
        </w:rPr>
        <w:t>. in Northeast India, with particular emphasis on recorded occurrences in Mizoram, Tripura and Assam.</w:t>
      </w:r>
    </w:p>
    <w:p w14:paraId="1213EAEB"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Major conservation concerns</w:t>
      </w:r>
    </w:p>
    <w:p w14:paraId="2127E475"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Population status and natural regeneration</w:t>
      </w:r>
    </w:p>
    <w:p w14:paraId="127420FE" w14:textId="28B62E31"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 reliable regional population baseline is the first requirement for conservation planning. Field surveys should document population distribution, density, size-class structure, abundance and spatial distribution of mature reproductive trees, seedling and sapling recruitment, mortality, habitat characteristics and major anthropogenic pressures. Particular attention </w:t>
      </w:r>
      <w:proofErr w:type="gramStart"/>
      <w:r w:rsidRPr="00BD4D7B">
        <w:rPr>
          <w:rFonts w:ascii="Times New Roman" w:eastAsia="Times New Roman" w:hAnsi="Times New Roman" w:cs="Times New Roman"/>
          <w:sz w:val="24"/>
          <w:szCs w:val="24"/>
          <w:lang w:eastAsia="en-GB"/>
        </w:rPr>
        <w:t>should be given</w:t>
      </w:r>
      <w:proofErr w:type="gramEnd"/>
      <w:r w:rsidRPr="00BD4D7B">
        <w:rPr>
          <w:rFonts w:ascii="Times New Roman" w:eastAsia="Times New Roman" w:hAnsi="Times New Roman" w:cs="Times New Roman"/>
          <w:sz w:val="24"/>
          <w:szCs w:val="24"/>
          <w:lang w:eastAsia="en-GB"/>
        </w:rPr>
        <w:t xml:space="preserve"> to population structure because a population dominated by mature trees but lacking younger size classes</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may have limited long-term replacement capacity</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despite apparently high present-day abundance.</w:t>
      </w:r>
    </w:p>
    <w:p w14:paraId="0C22648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presence of seedlings alone should not be interpreted as evidence of sustainable regeneration. Effective population maintenance requires successful transition from seedling establishment through sapling development and ultimately to reproductive maturity. Long-term </w:t>
      </w:r>
      <w:r w:rsidRPr="00BD4D7B">
        <w:rPr>
          <w:rFonts w:ascii="Times New Roman" w:eastAsia="Times New Roman" w:hAnsi="Times New Roman" w:cs="Times New Roman"/>
          <w:sz w:val="24"/>
          <w:szCs w:val="24"/>
          <w:lang w:eastAsia="en-GB"/>
        </w:rPr>
        <w:lastRenderedPageBreak/>
        <w:t xml:space="preserve">monitoring of establishment, growth, mortality and size-class transitions is therefore required. The regeneration reported by Barua </w:t>
      </w:r>
      <w:r w:rsidRPr="00CC35CF">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(2018) provides important evidence that recruitment can occur under suitable conditions, but broader and repeated assessments </w:t>
      </w:r>
      <w:proofErr w:type="gramStart"/>
      <w:r w:rsidRPr="00BD4D7B">
        <w:rPr>
          <w:rFonts w:ascii="Times New Roman" w:eastAsia="Times New Roman" w:hAnsi="Times New Roman" w:cs="Times New Roman"/>
          <w:sz w:val="24"/>
          <w:szCs w:val="24"/>
          <w:lang w:eastAsia="en-GB"/>
        </w:rPr>
        <w:t>are needed</w:t>
      </w:r>
      <w:proofErr w:type="gramEnd"/>
      <w:r w:rsidRPr="00BD4D7B">
        <w:rPr>
          <w:rFonts w:ascii="Times New Roman" w:eastAsia="Times New Roman" w:hAnsi="Times New Roman" w:cs="Times New Roman"/>
          <w:sz w:val="24"/>
          <w:szCs w:val="24"/>
          <w:lang w:eastAsia="en-GB"/>
        </w:rPr>
        <w:t xml:space="preserve"> to determine whether such regeneration is consistent across the species' distribution in Northeast India.</w:t>
      </w:r>
    </w:p>
    <w:p w14:paraId="1E764D22" w14:textId="328A054C"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The abundance and spatial distribution of mature seed-producing trees should be treated as an important conservation indicator. These individuals represent the immediate reproductive base of natural populations</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and </w:t>
      </w:r>
      <w:proofErr w:type="gramStart"/>
      <w:r w:rsidRPr="00BD4D7B">
        <w:rPr>
          <w:rFonts w:ascii="Times New Roman" w:eastAsia="Times New Roman" w:hAnsi="Times New Roman" w:cs="Times New Roman"/>
          <w:sz w:val="24"/>
          <w:szCs w:val="24"/>
          <w:lang w:eastAsia="en-GB"/>
        </w:rPr>
        <w:t>are also</w:t>
      </w:r>
      <w:proofErr w:type="gramEnd"/>
      <w:r w:rsidRPr="00BD4D7B">
        <w:rPr>
          <w:rFonts w:ascii="Times New Roman" w:eastAsia="Times New Roman" w:hAnsi="Times New Roman" w:cs="Times New Roman"/>
          <w:sz w:val="24"/>
          <w:szCs w:val="24"/>
          <w:lang w:eastAsia="en-GB"/>
        </w:rPr>
        <w:t xml:space="preserve"> potential sources of genetically diverse seed. Their progressive removal could reduce seed availability and genetic representation</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even before a marked decline in total tree abundance becomes apparent. Conservation surveys should therefore record reproductive status, fruiting and seed production</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in addition to conventional abundance measures.</w:t>
      </w:r>
    </w:p>
    <w:p w14:paraId="3B79C188"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Habitat degradation and fragmentation</w:t>
      </w:r>
    </w:p>
    <w:p w14:paraId="49025061" w14:textId="73FA0095"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 degradation and fragmentation can reduce population continuity and modify the ecological conditions required for regeneration. Small or isolated populations may be more vulnerable to demographic stochasticity, restricted gene flow and loss of genetic variation. Conservation planning should therefore consider not only large protected forests</w:t>
      </w:r>
      <w:r w:rsidR="00CC35CF" w:rsidRPr="00CC35CF">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but also smaller forest remnants, community forests and reserve forests containing viable populations or mature reproductive individuals.</w:t>
      </w:r>
    </w:p>
    <w:p w14:paraId="78D26822"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Protected areas provide an important foundation for </w:t>
      </w:r>
      <w:r w:rsidRPr="00CC35CF">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but formal protection alone does not guarantee adequate representation of species-level genetic diversity. Conservation assessments should integrate species occurrence, habitat condition, population characteristics and protected-area boundaries to identify populations that </w:t>
      </w:r>
      <w:proofErr w:type="gramStart"/>
      <w:r w:rsidRPr="00BD4D7B">
        <w:rPr>
          <w:rFonts w:ascii="Times New Roman" w:eastAsia="Times New Roman" w:hAnsi="Times New Roman" w:cs="Times New Roman"/>
          <w:sz w:val="24"/>
          <w:szCs w:val="24"/>
          <w:lang w:eastAsia="en-GB"/>
        </w:rPr>
        <w:t xml:space="preserve">are adequately protected, underrepresented or located outside existing conservation areas (Luo </w:t>
      </w:r>
      <w:r w:rsidRPr="00CC35CF">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2022)</w:t>
      </w:r>
      <w:proofErr w:type="gramEnd"/>
      <w:r w:rsidRPr="00BD4D7B">
        <w:rPr>
          <w:rFonts w:ascii="Times New Roman" w:eastAsia="Times New Roman" w:hAnsi="Times New Roman" w:cs="Times New Roman"/>
          <w:sz w:val="24"/>
          <w:szCs w:val="24"/>
          <w:lang w:eastAsia="en-GB"/>
        </w:rPr>
        <w:t xml:space="preserve">.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populations satisfying multiple criteria—such as healthy reproductive trees, regeneration, suitable habitat and geographic representation—could simultaneously serve as conservation populations, reference populations and future seed sources.</w:t>
      </w:r>
    </w:p>
    <w:p w14:paraId="3AF1EAD2"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Genetic-resource conservation</w:t>
      </w:r>
    </w:p>
    <w:p w14:paraId="6DCA478A" w14:textId="00156E95"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 xml:space="preserve">Species-level protection does not necessarily ensure the preservation of genetic diversity. If conservation and seed collection are concentrated in a few accessible populations, geographically or genetically distinct components of the species may remain unrepresented. This consideration is particularly important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w:t>
      </w:r>
      <w:r w:rsidRPr="005D3A71">
        <w:rPr>
          <w:rFonts w:ascii="Times New Roman" w:eastAsia="Times New Roman" w:hAnsi="Times New Roman" w:cs="Times New Roman"/>
          <w:i/>
          <w:iCs/>
          <w:sz w:val="24"/>
          <w:szCs w:val="24"/>
          <w:highlight w:val="green"/>
          <w:lang w:eastAsia="en-GB"/>
        </w:rPr>
        <w:t>i</w:t>
      </w:r>
      <w:proofErr w:type="spellEnd"/>
      <w:r w:rsidR="005D3A71" w:rsidRPr="005D3A71">
        <w:rPr>
          <w:rFonts w:ascii="Times New Roman" w:eastAsia="Times New Roman" w:hAnsi="Times New Roman" w:cs="Times New Roman"/>
          <w:sz w:val="24"/>
          <w:szCs w:val="24"/>
          <w:highlight w:val="green"/>
          <w:lang w:eastAsia="en-GB"/>
        </w:rPr>
        <w:t>,</w:t>
      </w:r>
      <w:r w:rsidR="005D3A71">
        <w:rPr>
          <w:rFonts w:ascii="Times New Roman" w:eastAsia="Times New Roman" w:hAnsi="Times New Roman" w:cs="Times New Roman"/>
          <w:sz w:val="24"/>
          <w:szCs w:val="24"/>
          <w:lang w:eastAsia="en-GB"/>
        </w:rPr>
        <w:t xml:space="preserve"> </w:t>
      </w:r>
      <w:r w:rsidRPr="00BD4D7B">
        <w:rPr>
          <w:rFonts w:ascii="Times New Roman" w:eastAsia="Times New Roman" w:hAnsi="Times New Roman" w:cs="Times New Roman"/>
          <w:sz w:val="24"/>
          <w:szCs w:val="24"/>
          <w:lang w:eastAsia="en-GB"/>
        </w:rPr>
        <w:t>because future propagation, cultivation, restoration and potential sustainable utilization may depend on the availability of genetically diverse and well-documented planting material.</w:t>
      </w:r>
    </w:p>
    <w:p w14:paraId="04275D64" w14:textId="44CDAB43"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Molecular studies are therefore required to determine genetic diversity, population structure and gene flow across Northeast India. Genetic information </w:t>
      </w:r>
      <w:proofErr w:type="gramStart"/>
      <w:r w:rsidRPr="00BD4D7B">
        <w:rPr>
          <w:rFonts w:ascii="Times New Roman" w:eastAsia="Times New Roman" w:hAnsi="Times New Roman" w:cs="Times New Roman"/>
          <w:sz w:val="24"/>
          <w:szCs w:val="24"/>
          <w:lang w:eastAsia="en-GB"/>
        </w:rPr>
        <w:t>could subsequently be integrated</w:t>
      </w:r>
      <w:proofErr w:type="gramEnd"/>
      <w:r w:rsidRPr="00BD4D7B">
        <w:rPr>
          <w:rFonts w:ascii="Times New Roman" w:eastAsia="Times New Roman" w:hAnsi="Times New Roman" w:cs="Times New Roman"/>
          <w:sz w:val="24"/>
          <w:szCs w:val="24"/>
          <w:lang w:eastAsia="en-GB"/>
        </w:rPr>
        <w:t xml:space="preserve"> with geographic and environmental data to improve the identification of conservation units and seed-sourcing strategies (Prakash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2024). Genetic conservation units should complement, rather than replace, species- and ecosystem-level conservation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 Maintaining genetic diversity is particularly important in forest trees</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because habitat fragmentation and population reduction can progressively constrain the genetic resources available for future adaptation (Potter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2017).</w:t>
      </w:r>
    </w:p>
    <w:p w14:paraId="75367A4D"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Conservation priorities</w:t>
      </w:r>
    </w:p>
    <w:p w14:paraId="45FEC5EC"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5D3A71">
        <w:rPr>
          <w:rFonts w:ascii="Times New Roman" w:eastAsia="Times New Roman" w:hAnsi="Times New Roman" w:cs="Times New Roman"/>
          <w:b/>
          <w:bCs/>
          <w:i/>
          <w:sz w:val="24"/>
          <w:szCs w:val="24"/>
          <w:highlight w:val="green"/>
          <w:lang w:eastAsia="en-GB"/>
        </w:rPr>
        <w:t>In-situ</w:t>
      </w:r>
      <w:r w:rsidRPr="00BD4D7B">
        <w:rPr>
          <w:rFonts w:ascii="Times New Roman" w:eastAsia="Times New Roman" w:hAnsi="Times New Roman" w:cs="Times New Roman"/>
          <w:b/>
          <w:bCs/>
          <w:sz w:val="24"/>
          <w:szCs w:val="24"/>
          <w:lang w:eastAsia="en-GB"/>
        </w:rPr>
        <w:t xml:space="preserve"> conservation of representative populations</w:t>
      </w:r>
    </w:p>
    <w:p w14:paraId="59FBC294" w14:textId="513FF41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D3A71">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should form the foundation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conservatio</w:t>
      </w:r>
      <w:r w:rsidRPr="005D3A71">
        <w:rPr>
          <w:rFonts w:ascii="Times New Roman" w:eastAsia="Times New Roman" w:hAnsi="Times New Roman" w:cs="Times New Roman"/>
          <w:sz w:val="24"/>
          <w:szCs w:val="24"/>
          <w:highlight w:val="green"/>
          <w:lang w:eastAsia="en-GB"/>
        </w:rPr>
        <w:t>n</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because natural populations </w:t>
      </w:r>
      <w:proofErr w:type="gramStart"/>
      <w:r w:rsidRPr="00BD4D7B">
        <w:rPr>
          <w:rFonts w:ascii="Times New Roman" w:eastAsia="Times New Roman" w:hAnsi="Times New Roman" w:cs="Times New Roman"/>
          <w:sz w:val="24"/>
          <w:szCs w:val="24"/>
          <w:lang w:eastAsia="en-GB"/>
        </w:rPr>
        <w:t>are maintained</w:t>
      </w:r>
      <w:proofErr w:type="gramEnd"/>
      <w:r w:rsidRPr="00BD4D7B">
        <w:rPr>
          <w:rFonts w:ascii="Times New Roman" w:eastAsia="Times New Roman" w:hAnsi="Times New Roman" w:cs="Times New Roman"/>
          <w:sz w:val="24"/>
          <w:szCs w:val="24"/>
          <w:lang w:eastAsia="en-GB"/>
        </w:rPr>
        <w:t xml:space="preserve"> within their ecological and evolutionary environments. Priority should be given to populations containing healthy mature reproductive trees, evidence of natural regeneration, suitable habitat and sufficient population size to support continued recruitment.</w:t>
      </w:r>
    </w:p>
    <w:p w14:paraId="2A648B6C" w14:textId="1D83E569"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Surveys should extend beyond protected areas to identify viable populations in community forests, reserve forests and other forest remnants. Where appropriate, community-managed conservation areas could provide additional protection for reproductive trees and regeneration. The primary objective should be the maintenance of viable populations and the ecological conditions supporting their continued regeneratio</w:t>
      </w:r>
      <w:r w:rsidRPr="005D3A71">
        <w:rPr>
          <w:rFonts w:ascii="Times New Roman" w:eastAsia="Times New Roman" w:hAnsi="Times New Roman" w:cs="Times New Roman"/>
          <w:sz w:val="24"/>
          <w:szCs w:val="24"/>
          <w:highlight w:val="green"/>
          <w:lang w:eastAsia="en-GB"/>
        </w:rPr>
        <w:t>n</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rather than protection of isolated individual trees alone.</w:t>
      </w:r>
    </w:p>
    <w:p w14:paraId="6E457809"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Genetic conservation units and seed sources</w:t>
      </w:r>
    </w:p>
    <w:p w14:paraId="7A1AEE3F" w14:textId="325083E6"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lastRenderedPageBreak/>
        <w:t>A major priority should be the establishment of documented and geographically representative seed sources. Seed collection based primarily on accessibility can result in biased genetic representatio</w:t>
      </w:r>
      <w:r w:rsidRPr="005D3A71">
        <w:rPr>
          <w:rFonts w:ascii="Times New Roman" w:eastAsia="Times New Roman" w:hAnsi="Times New Roman" w:cs="Times New Roman"/>
          <w:sz w:val="24"/>
          <w:szCs w:val="24"/>
          <w:highlight w:val="green"/>
          <w:lang w:eastAsia="en-GB"/>
        </w:rPr>
        <w:t>n</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because accessible populations and easily reached reproductive trees are more likely to </w:t>
      </w:r>
      <w:proofErr w:type="gramStart"/>
      <w:r w:rsidRPr="00BD4D7B">
        <w:rPr>
          <w:rFonts w:ascii="Times New Roman" w:eastAsia="Times New Roman" w:hAnsi="Times New Roman" w:cs="Times New Roman"/>
          <w:sz w:val="24"/>
          <w:szCs w:val="24"/>
          <w:lang w:eastAsia="en-GB"/>
        </w:rPr>
        <w:t>be sampled</w:t>
      </w:r>
      <w:proofErr w:type="gramEnd"/>
      <w:r w:rsidRPr="00BD4D7B">
        <w:rPr>
          <w:rFonts w:ascii="Times New Roman" w:eastAsia="Times New Roman" w:hAnsi="Times New Roman" w:cs="Times New Roman"/>
          <w:sz w:val="24"/>
          <w:szCs w:val="24"/>
          <w:lang w:eastAsia="en-GB"/>
        </w:rPr>
        <w:t xml:space="preserve"> than remote populations. Recent research on tropical rainforest restoration has highlighted the importance of examining seed-collection practice</w:t>
      </w:r>
      <w:r w:rsidRPr="005D3A71">
        <w:rPr>
          <w:rFonts w:ascii="Times New Roman" w:eastAsia="Times New Roman" w:hAnsi="Times New Roman" w:cs="Times New Roman"/>
          <w:sz w:val="24"/>
          <w:szCs w:val="24"/>
          <w:highlight w:val="green"/>
          <w:lang w:eastAsia="en-GB"/>
        </w:rPr>
        <w:t>s</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and their implications for provenance representation (Engert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2026).</w:t>
      </w:r>
    </w:p>
    <w:p w14:paraId="7632E630" w14:textId="55E0DF7A"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seed sources </w:t>
      </w:r>
      <w:proofErr w:type="gramStart"/>
      <w:r w:rsidRPr="00BD4D7B">
        <w:rPr>
          <w:rFonts w:ascii="Times New Roman" w:eastAsia="Times New Roman" w:hAnsi="Times New Roman" w:cs="Times New Roman"/>
          <w:sz w:val="24"/>
          <w:szCs w:val="24"/>
          <w:lang w:eastAsia="en-GB"/>
        </w:rPr>
        <w:t>should therefore be selected</w:t>
      </w:r>
      <w:proofErr w:type="gramEnd"/>
      <w:r w:rsidRPr="00BD4D7B">
        <w:rPr>
          <w:rFonts w:ascii="Times New Roman" w:eastAsia="Times New Roman" w:hAnsi="Times New Roman" w:cs="Times New Roman"/>
          <w:sz w:val="24"/>
          <w:szCs w:val="24"/>
          <w:lang w:eastAsia="en-GB"/>
        </w:rPr>
        <w:t xml:space="preserve"> using a combination of population distribution, genetic diversity, environmental conditions, reproductive performance and seed availabilit</w:t>
      </w:r>
      <w:r w:rsidRPr="005D3A71">
        <w:rPr>
          <w:rFonts w:ascii="Times New Roman" w:eastAsia="Times New Roman" w:hAnsi="Times New Roman" w:cs="Times New Roman"/>
          <w:sz w:val="24"/>
          <w:szCs w:val="24"/>
          <w:highlight w:val="green"/>
          <w:lang w:eastAsia="en-GB"/>
        </w:rPr>
        <w:t>y</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rather than geographical convenience alone. Regional guidelines provide a useful basis for identifying genetic conservation units and seed sources for native tree species (</w:t>
      </w:r>
      <w:proofErr w:type="spellStart"/>
      <w:r w:rsidRPr="00BD4D7B">
        <w:rPr>
          <w:rFonts w:ascii="Times New Roman" w:eastAsia="Times New Roman" w:hAnsi="Times New Roman" w:cs="Times New Roman"/>
          <w:sz w:val="24"/>
          <w:szCs w:val="24"/>
          <w:lang w:eastAsia="en-GB"/>
        </w:rPr>
        <w:t>Bioversity</w:t>
      </w:r>
      <w:proofErr w:type="spellEnd"/>
      <w:r w:rsidRPr="00BD4D7B">
        <w:rPr>
          <w:rFonts w:ascii="Times New Roman" w:eastAsia="Times New Roman" w:hAnsi="Times New Roman" w:cs="Times New Roman"/>
          <w:sz w:val="24"/>
          <w:szCs w:val="24"/>
          <w:lang w:eastAsia="en-GB"/>
        </w:rPr>
        <w:t xml:space="preserve"> International &amp; CIAT; APFORGEN, 2025).</w:t>
      </w:r>
    </w:p>
    <w:p w14:paraId="19B5B0A8"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Future seed-sourcing strategies should also consider environmental variation and projected climatic conditions. Dynamic seed-zone approaches demonstrate how genetic, geographic and environmental information can be combined to improve climate-informed restoration planning (</w:t>
      </w:r>
      <w:proofErr w:type="spellStart"/>
      <w:r w:rsidRPr="00BD4D7B">
        <w:rPr>
          <w:rFonts w:ascii="Times New Roman" w:eastAsia="Times New Roman" w:hAnsi="Times New Roman" w:cs="Times New Roman"/>
          <w:sz w:val="24"/>
          <w:szCs w:val="24"/>
          <w:lang w:eastAsia="en-GB"/>
        </w:rPr>
        <w:t>Fremout</w:t>
      </w:r>
      <w:proofErr w:type="spellEnd"/>
      <w:r w:rsidRPr="00BD4D7B">
        <w:rPr>
          <w:rFonts w:ascii="Times New Roman" w:eastAsia="Times New Roman" w:hAnsi="Times New Roman" w:cs="Times New Roman"/>
          <w:sz w:val="24"/>
          <w:szCs w:val="24"/>
          <w:lang w:eastAsia="en-GB"/>
        </w:rPr>
        <w:t xml:space="preserve">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2021</w:t>
      </w:r>
      <w:proofErr w:type="gramStart"/>
      <w:r w:rsidRPr="00BD4D7B">
        <w:rPr>
          <w:rFonts w:ascii="Times New Roman" w:eastAsia="Times New Roman" w:hAnsi="Times New Roman" w:cs="Times New Roman"/>
          <w:sz w:val="24"/>
          <w:szCs w:val="24"/>
          <w:lang w:eastAsia="en-GB"/>
        </w:rPr>
        <w:t>;</w:t>
      </w:r>
      <w:proofErr w:type="gramEnd"/>
      <w:r w:rsidRPr="00BD4D7B">
        <w:rPr>
          <w:rFonts w:ascii="Times New Roman" w:eastAsia="Times New Roman" w:hAnsi="Times New Roman" w:cs="Times New Roman"/>
          <w:sz w:val="24"/>
          <w:szCs w:val="24"/>
          <w:lang w:eastAsia="en-GB"/>
        </w:rPr>
        <w:t xml:space="preserve"> Vitt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2022).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such approaches should be considered after adequate population and genetic information becomes available.</w:t>
      </w:r>
    </w:p>
    <w:p w14:paraId="6A46E230"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5D3A71">
        <w:rPr>
          <w:rFonts w:ascii="Times New Roman" w:eastAsia="Times New Roman" w:hAnsi="Times New Roman" w:cs="Times New Roman"/>
          <w:b/>
          <w:bCs/>
          <w:i/>
          <w:sz w:val="24"/>
          <w:szCs w:val="24"/>
          <w:highlight w:val="green"/>
          <w:lang w:eastAsia="en-GB"/>
        </w:rPr>
        <w:t>Ex-situ</w:t>
      </w:r>
      <w:r w:rsidRPr="00BD4D7B">
        <w:rPr>
          <w:rFonts w:ascii="Times New Roman" w:eastAsia="Times New Roman" w:hAnsi="Times New Roman" w:cs="Times New Roman"/>
          <w:b/>
          <w:bCs/>
          <w:sz w:val="24"/>
          <w:szCs w:val="24"/>
          <w:lang w:eastAsia="en-GB"/>
        </w:rPr>
        <w:t xml:space="preserve"> conservation</w:t>
      </w:r>
    </w:p>
    <w:p w14:paraId="3C603E61"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D3A71">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 should complement, rather than substitute for, </w:t>
      </w:r>
      <w:r w:rsidRPr="005D3A71">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protection. Living collections in botanical gardens, research institutions, nurseries and field gene banks could provide additional safeguards for representative genetic material and support propagation, physiological research and future restoration.</w:t>
      </w:r>
    </w:p>
    <w:p w14:paraId="5345DB24" w14:textId="2EEA2BC1"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However, collections established from only a few accessible trees may capture a restricted proportion of species-level genetic diversity. Research on threatened tropical trees demonstrates the importance of assessing genetic representation within </w:t>
      </w:r>
      <w:r w:rsidRPr="005D3A71">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collection</w:t>
      </w:r>
      <w:r w:rsidRPr="005D3A71">
        <w:rPr>
          <w:rFonts w:ascii="Times New Roman" w:eastAsia="Times New Roman" w:hAnsi="Times New Roman" w:cs="Times New Roman"/>
          <w:sz w:val="24"/>
          <w:szCs w:val="24"/>
          <w:highlight w:val="green"/>
          <w:lang w:eastAsia="en-GB"/>
        </w:rPr>
        <w:t>s</w:t>
      </w:r>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rather than assuming that collection size alone reflects genetic coverage (Linan </w:t>
      </w:r>
      <w:r w:rsidRPr="005D3A71">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2024).</w:t>
      </w:r>
    </w:p>
    <w:p w14:paraId="39F4CDFE" w14:textId="689D5C2F"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Because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a seed-producing species, its seed-storage behaviour </w:t>
      </w:r>
      <w:proofErr w:type="gramStart"/>
      <w:r w:rsidRPr="00BD4D7B">
        <w:rPr>
          <w:rFonts w:ascii="Times New Roman" w:eastAsia="Times New Roman" w:hAnsi="Times New Roman" w:cs="Times New Roman"/>
          <w:sz w:val="24"/>
          <w:szCs w:val="24"/>
          <w:lang w:eastAsia="en-GB"/>
        </w:rPr>
        <w:t>should also be experimentally evaluate</w:t>
      </w:r>
      <w:r w:rsidRPr="005D3A71">
        <w:rPr>
          <w:rFonts w:ascii="Times New Roman" w:eastAsia="Times New Roman" w:hAnsi="Times New Roman" w:cs="Times New Roman"/>
          <w:sz w:val="24"/>
          <w:szCs w:val="24"/>
          <w:highlight w:val="green"/>
          <w:lang w:eastAsia="en-GB"/>
        </w:rPr>
        <w:t>d</w:t>
      </w:r>
      <w:proofErr w:type="gramEnd"/>
      <w:r w:rsidR="005D3A71" w:rsidRPr="005D3A71">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before large-scale seed banking is adopted. Studies should determine viability loss during storage, appropriate moisture conditions, temperature requirements and storage duration for seed lots representing geographically distinct populations. Such </w:t>
      </w:r>
      <w:r w:rsidRPr="00BD4D7B">
        <w:rPr>
          <w:rFonts w:ascii="Times New Roman" w:eastAsia="Times New Roman" w:hAnsi="Times New Roman" w:cs="Times New Roman"/>
          <w:sz w:val="24"/>
          <w:szCs w:val="24"/>
          <w:lang w:eastAsia="en-GB"/>
        </w:rPr>
        <w:lastRenderedPageBreak/>
        <w:t>information would determine whether conventional seed banking is appropriate or whether alternative conservation approaches are required.</w:t>
      </w:r>
    </w:p>
    <w:p w14:paraId="7F8F61E9" w14:textId="77777777" w:rsidR="00BD4D7B" w:rsidRPr="0097038E"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97038E">
        <w:rPr>
          <w:rFonts w:ascii="Times New Roman" w:eastAsia="Times New Roman" w:hAnsi="Times New Roman" w:cs="Times New Roman"/>
          <w:b/>
          <w:bCs/>
          <w:sz w:val="24"/>
          <w:szCs w:val="24"/>
          <w:lang w:eastAsia="en-GB"/>
        </w:rPr>
        <w:t>Restoration and evidence-based seed sourcing</w:t>
      </w:r>
    </w:p>
    <w:p w14:paraId="3AAC2347"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Restoration of degraded habitats provides an opportunity to increase the distribution and effective population size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However, restoration should not simply increase the number of planted trees; it should contribute to the establishment of ecologically appropriate and genetically representative populations.</w:t>
      </w:r>
    </w:p>
    <w:p w14:paraId="78D2298A"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Planting material should therefore originate from documented and appropriately selected seed sources. Where justified by genetic and ecological evidence, collections from multiple populations may broaden genetic representation. However, the choice between strictly local and broader provenance strategies should not be predetermined. Local and broad </w:t>
      </w:r>
      <w:proofErr w:type="spellStart"/>
      <w:r w:rsidRPr="00BD4D7B">
        <w:rPr>
          <w:rFonts w:ascii="Times New Roman" w:eastAsia="Times New Roman" w:hAnsi="Times New Roman" w:cs="Times New Roman"/>
          <w:sz w:val="24"/>
          <w:szCs w:val="24"/>
          <w:lang w:eastAsia="en-GB"/>
        </w:rPr>
        <w:t>provenancing</w:t>
      </w:r>
      <w:proofErr w:type="spellEnd"/>
      <w:r w:rsidRPr="00BD4D7B">
        <w:rPr>
          <w:rFonts w:ascii="Times New Roman" w:eastAsia="Times New Roman" w:hAnsi="Times New Roman" w:cs="Times New Roman"/>
          <w:sz w:val="24"/>
          <w:szCs w:val="24"/>
          <w:lang w:eastAsia="en-GB"/>
        </w:rPr>
        <w:t xml:space="preserve"> involve context-dependent ecological and genetic trade-offs, and the appropriate strategy should depend on restoration objectives, environmental similarity, genetic structure and projected climate (Török </w:t>
      </w:r>
      <w:r w:rsidRPr="00F404E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2024; Vitt </w:t>
      </w:r>
      <w:r w:rsidRPr="00F404E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2022).</w:t>
      </w:r>
    </w:p>
    <w:p w14:paraId="31908FAA" w14:textId="79C83E5E"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need for adequate native-tree seed-source networks </w:t>
      </w:r>
      <w:proofErr w:type="gramStart"/>
      <w:r w:rsidRPr="00BD4D7B">
        <w:rPr>
          <w:rFonts w:ascii="Times New Roman" w:eastAsia="Times New Roman" w:hAnsi="Times New Roman" w:cs="Times New Roman"/>
          <w:sz w:val="24"/>
          <w:szCs w:val="24"/>
          <w:lang w:eastAsia="en-GB"/>
        </w:rPr>
        <w:t>has also been highlighted</w:t>
      </w:r>
      <w:proofErr w:type="gramEnd"/>
      <w:r w:rsidRPr="00BD4D7B">
        <w:rPr>
          <w:rFonts w:ascii="Times New Roman" w:eastAsia="Times New Roman" w:hAnsi="Times New Roman" w:cs="Times New Roman"/>
          <w:sz w:val="24"/>
          <w:szCs w:val="24"/>
          <w:lang w:eastAsia="en-GB"/>
        </w:rPr>
        <w:t xml:space="preserve"> across tropical Asia, where substantial gaps remain between restoration requirements and designated seed sources (Jalonen </w:t>
      </w:r>
      <w:r w:rsidRPr="006E6402">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2026). A comparable assessment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would help identify populations suitable for seed collectio</w:t>
      </w:r>
      <w:r w:rsidRPr="006E6402">
        <w:rPr>
          <w:rFonts w:ascii="Times New Roman" w:eastAsia="Times New Roman" w:hAnsi="Times New Roman" w:cs="Times New Roman"/>
          <w:sz w:val="24"/>
          <w:szCs w:val="24"/>
          <w:highlight w:val="green"/>
          <w:lang w:eastAsia="en-GB"/>
        </w:rPr>
        <w:t>n</w:t>
      </w:r>
      <w:r w:rsidR="006E6402" w:rsidRPr="006E6402">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and areas where additional seed-source development is necessary.</w:t>
      </w:r>
    </w:p>
    <w:p w14:paraId="11E44267" w14:textId="77777777" w:rsidR="00BD4D7B" w:rsidRPr="00BD4D7B" w:rsidRDefault="00BD4D7B" w:rsidP="00BD4D7B">
      <w:pPr>
        <w:spacing w:before="100" w:beforeAutospacing="1" w:after="100" w:afterAutospacing="1" w:line="360" w:lineRule="auto"/>
        <w:jc w:val="both"/>
        <w:outlineLvl w:val="2"/>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Sustainable utilization, cultivation and species promotion</w:t>
      </w:r>
    </w:p>
    <w:p w14:paraId="7CD4347E" w14:textId="2E8D41F2"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medicinal and seed-oil value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provides a potential basis for linking conservation with sustainable utilization. However, greater promotion of the species should be accompanied by measures that prevent increased exploitation of natural reproductive populations. Seed and other plant material required for utilizatio</w:t>
      </w:r>
      <w:r w:rsidRPr="006E6402">
        <w:rPr>
          <w:rFonts w:ascii="Times New Roman" w:eastAsia="Times New Roman" w:hAnsi="Times New Roman" w:cs="Times New Roman"/>
          <w:sz w:val="24"/>
          <w:szCs w:val="24"/>
          <w:highlight w:val="green"/>
          <w:lang w:eastAsia="en-GB"/>
        </w:rPr>
        <w:t>n</w:t>
      </w:r>
      <w:r w:rsidR="006E6402" w:rsidRPr="006E6402">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should progressively be supplied through documented cultivated sources, nurseries, field gene banks and appropriate agroforestry system</w:t>
      </w:r>
      <w:r w:rsidRPr="006E6402">
        <w:rPr>
          <w:rFonts w:ascii="Times New Roman" w:eastAsia="Times New Roman" w:hAnsi="Times New Roman" w:cs="Times New Roman"/>
          <w:sz w:val="24"/>
          <w:szCs w:val="24"/>
          <w:highlight w:val="green"/>
          <w:lang w:eastAsia="en-GB"/>
        </w:rPr>
        <w:t>s</w:t>
      </w:r>
      <w:r w:rsidR="006E6402" w:rsidRPr="006E6402">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rather than through uncontrolled collection from natural populations.</w:t>
      </w:r>
    </w:p>
    <w:p w14:paraId="73EEC61F" w14:textId="7C27A3BF"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Promotion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can therefore become a conservation opportunity when it encourages cultivation, nursery production, restoration planting and maintenance of genetically diverse planting material. Such an approach can increase recognition of the specie</w:t>
      </w:r>
      <w:r w:rsidRPr="006E6402">
        <w:rPr>
          <w:rFonts w:ascii="Times New Roman" w:eastAsia="Times New Roman" w:hAnsi="Times New Roman" w:cs="Times New Roman"/>
          <w:sz w:val="24"/>
          <w:szCs w:val="24"/>
          <w:highlight w:val="green"/>
          <w:lang w:eastAsia="en-GB"/>
        </w:rPr>
        <w:t>s</w:t>
      </w:r>
      <w:r w:rsidR="006E6402" w:rsidRPr="006E6402">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reducing </w:t>
      </w:r>
      <w:r w:rsidRPr="00BD4D7B">
        <w:rPr>
          <w:rFonts w:ascii="Times New Roman" w:eastAsia="Times New Roman" w:hAnsi="Times New Roman" w:cs="Times New Roman"/>
          <w:sz w:val="24"/>
          <w:szCs w:val="24"/>
          <w:lang w:eastAsia="en-GB"/>
        </w:rPr>
        <w:lastRenderedPageBreak/>
        <w:t>pressure on wild populations. In contrast, promotion based primarily on harvesting naturally occurring trees or their reproductive material without population monitoring could undermine conservation objectives.</w:t>
      </w:r>
    </w:p>
    <w:p w14:paraId="2A33994F"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Local communities can contribute substantially to this approach through protection of reproductive trees, population monitoring, seed collection, nursery production and restoration. Community participation should be supported by clear seed-collection protocols, documentation of provenance, quality control and long-term monitoring. Linking appropriate economic or livelihood opportunities with conservation may provide stronger incentives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outside strictly protected areas.</w:t>
      </w:r>
    </w:p>
    <w:p w14:paraId="188D43E4"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 xml:space="preserve">Table 1. Priority research agenda for </w:t>
      </w:r>
      <w:proofErr w:type="spellStart"/>
      <w:r w:rsidRPr="00BD4D7B">
        <w:rPr>
          <w:rFonts w:ascii="Times New Roman" w:eastAsia="Times New Roman" w:hAnsi="Times New Roman" w:cs="Times New Roman"/>
          <w:b/>
          <w:bCs/>
          <w:i/>
          <w:iCs/>
          <w:sz w:val="24"/>
          <w:szCs w:val="24"/>
          <w:lang w:eastAsia="en-GB"/>
        </w:rPr>
        <w:t>Hydnocarpus</w:t>
      </w:r>
      <w:proofErr w:type="spellEnd"/>
      <w:r w:rsidRPr="00BD4D7B">
        <w:rPr>
          <w:rFonts w:ascii="Times New Roman" w:eastAsia="Times New Roman" w:hAnsi="Times New Roman" w:cs="Times New Roman"/>
          <w:b/>
          <w:bCs/>
          <w:i/>
          <w:iCs/>
          <w:sz w:val="24"/>
          <w:szCs w:val="24"/>
          <w:lang w:eastAsia="en-GB"/>
        </w:rPr>
        <w:t xml:space="preserve"> </w:t>
      </w:r>
      <w:proofErr w:type="spellStart"/>
      <w:r w:rsidRPr="00BD4D7B">
        <w:rPr>
          <w:rFonts w:ascii="Times New Roman" w:eastAsia="Times New Roman" w:hAnsi="Times New Roman" w:cs="Times New Roman"/>
          <w:b/>
          <w:bCs/>
          <w:i/>
          <w:iCs/>
          <w:sz w:val="24"/>
          <w:szCs w:val="24"/>
          <w:lang w:eastAsia="en-GB"/>
        </w:rPr>
        <w:t>kurzii</w:t>
      </w:r>
      <w:proofErr w:type="spellEnd"/>
      <w:r w:rsidRPr="00BD4D7B">
        <w:rPr>
          <w:rFonts w:ascii="Times New Roman" w:eastAsia="Times New Roman" w:hAnsi="Times New Roman" w:cs="Times New Roman"/>
          <w:b/>
          <w:bCs/>
          <w:sz w:val="24"/>
          <w:szCs w:val="24"/>
          <w:lang w:eastAsia="en-GB"/>
        </w:rPr>
        <w:t xml:space="preserve"> conservation in Northeast India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0"/>
        <w:gridCol w:w="7076"/>
      </w:tblGrid>
      <w:tr w:rsidR="00BD4D7B" w:rsidRPr="00BD4D7B" w14:paraId="2F7282E9" w14:textId="77777777" w:rsidTr="002156C6">
        <w:trPr>
          <w:tblCellSpacing w:w="15" w:type="dxa"/>
        </w:trPr>
        <w:tc>
          <w:tcPr>
            <w:tcW w:w="0" w:type="auto"/>
            <w:vAlign w:val="center"/>
            <w:hideMark/>
          </w:tcPr>
          <w:p w14:paraId="7E7253A5" w14:textId="77777777" w:rsidR="00BD4D7B" w:rsidRPr="00BD4D7B" w:rsidRDefault="00BD4D7B" w:rsidP="00BD4D7B">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Research area</w:t>
            </w:r>
          </w:p>
        </w:tc>
        <w:tc>
          <w:tcPr>
            <w:tcW w:w="0" w:type="auto"/>
            <w:vAlign w:val="center"/>
            <w:hideMark/>
          </w:tcPr>
          <w:p w14:paraId="02FFEEA3" w14:textId="77777777" w:rsidR="00BD4D7B" w:rsidRPr="00BD4D7B" w:rsidRDefault="00BD4D7B" w:rsidP="00BD4D7B">
            <w:pPr>
              <w:spacing w:after="0"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Priority action</w:t>
            </w:r>
          </w:p>
        </w:tc>
      </w:tr>
      <w:tr w:rsidR="00BD4D7B" w:rsidRPr="00BD4D7B" w14:paraId="65C737D2" w14:textId="77777777" w:rsidTr="002156C6">
        <w:trPr>
          <w:tblCellSpacing w:w="15" w:type="dxa"/>
        </w:trPr>
        <w:tc>
          <w:tcPr>
            <w:tcW w:w="0" w:type="auto"/>
            <w:vAlign w:val="center"/>
            <w:hideMark/>
          </w:tcPr>
          <w:p w14:paraId="5714F81E"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Population assessment</w:t>
            </w:r>
          </w:p>
        </w:tc>
        <w:tc>
          <w:tcPr>
            <w:tcW w:w="0" w:type="auto"/>
            <w:vAlign w:val="center"/>
            <w:hideMark/>
          </w:tcPr>
          <w:p w14:paraId="5A7F6EB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Map natural populations and quantify density, size structure and distribution of mature reproductive individuals.</w:t>
            </w:r>
          </w:p>
        </w:tc>
      </w:tr>
      <w:tr w:rsidR="00BD4D7B" w:rsidRPr="00BD4D7B" w14:paraId="43E4AD09" w14:textId="77777777" w:rsidTr="002156C6">
        <w:trPr>
          <w:tblCellSpacing w:w="15" w:type="dxa"/>
        </w:trPr>
        <w:tc>
          <w:tcPr>
            <w:tcW w:w="0" w:type="auto"/>
            <w:vAlign w:val="center"/>
            <w:hideMark/>
          </w:tcPr>
          <w:p w14:paraId="26B56F3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Regeneration</w:t>
            </w:r>
          </w:p>
        </w:tc>
        <w:tc>
          <w:tcPr>
            <w:tcW w:w="0" w:type="auto"/>
            <w:vAlign w:val="center"/>
            <w:hideMark/>
          </w:tcPr>
          <w:p w14:paraId="1978A1D2"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 seedlings, saplings, recruitment, growth and mortality over multiple years.</w:t>
            </w:r>
          </w:p>
        </w:tc>
      </w:tr>
      <w:tr w:rsidR="00BD4D7B" w:rsidRPr="00BD4D7B" w14:paraId="530782FC" w14:textId="77777777" w:rsidTr="002156C6">
        <w:trPr>
          <w:tblCellSpacing w:w="15" w:type="dxa"/>
        </w:trPr>
        <w:tc>
          <w:tcPr>
            <w:tcW w:w="0" w:type="auto"/>
            <w:vAlign w:val="center"/>
            <w:hideMark/>
          </w:tcPr>
          <w:p w14:paraId="36CF1181"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Genetic diversity</w:t>
            </w:r>
          </w:p>
        </w:tc>
        <w:tc>
          <w:tcPr>
            <w:tcW w:w="0" w:type="auto"/>
            <w:vAlign w:val="center"/>
            <w:hideMark/>
          </w:tcPr>
          <w:p w14:paraId="40DF5688"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Assess genetic diversity, population structure and gene flow among geographically separated populations.</w:t>
            </w:r>
          </w:p>
        </w:tc>
      </w:tr>
      <w:tr w:rsidR="00BD4D7B" w:rsidRPr="00BD4D7B" w14:paraId="5BB98C30" w14:textId="77777777" w:rsidTr="002156C6">
        <w:trPr>
          <w:tblCellSpacing w:w="15" w:type="dxa"/>
        </w:trPr>
        <w:tc>
          <w:tcPr>
            <w:tcW w:w="0" w:type="auto"/>
            <w:vAlign w:val="center"/>
            <w:hideMark/>
          </w:tcPr>
          <w:p w14:paraId="6238E6BF"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Habitat</w:t>
            </w:r>
          </w:p>
        </w:tc>
        <w:tc>
          <w:tcPr>
            <w:tcW w:w="0" w:type="auto"/>
            <w:vAlign w:val="center"/>
            <w:hideMark/>
          </w:tcPr>
          <w:p w14:paraId="3BF90820"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Determine habitat requirements and effects of degradation, fragmentation and disturbance.</w:t>
            </w:r>
          </w:p>
        </w:tc>
      </w:tr>
      <w:tr w:rsidR="00BD4D7B" w:rsidRPr="00BD4D7B" w14:paraId="0C55A37B" w14:textId="77777777" w:rsidTr="002156C6">
        <w:trPr>
          <w:tblCellSpacing w:w="15" w:type="dxa"/>
        </w:trPr>
        <w:tc>
          <w:tcPr>
            <w:tcW w:w="0" w:type="auto"/>
            <w:vAlign w:val="center"/>
            <w:hideMark/>
          </w:tcPr>
          <w:p w14:paraId="7844021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Conservation units</w:t>
            </w:r>
          </w:p>
        </w:tc>
        <w:tc>
          <w:tcPr>
            <w:tcW w:w="0" w:type="auto"/>
            <w:vAlign w:val="center"/>
            <w:hideMark/>
          </w:tcPr>
          <w:p w14:paraId="6411722A"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Identify representative populations for </w:t>
            </w:r>
            <w:r w:rsidRPr="006E6402">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and genetic-resource conservation.</w:t>
            </w:r>
          </w:p>
        </w:tc>
      </w:tr>
      <w:tr w:rsidR="00BD4D7B" w:rsidRPr="00BD4D7B" w14:paraId="0A54C63F" w14:textId="77777777" w:rsidTr="002156C6">
        <w:trPr>
          <w:tblCellSpacing w:w="15" w:type="dxa"/>
        </w:trPr>
        <w:tc>
          <w:tcPr>
            <w:tcW w:w="0" w:type="auto"/>
            <w:vAlign w:val="center"/>
            <w:hideMark/>
          </w:tcPr>
          <w:p w14:paraId="4C6D609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Seed resources</w:t>
            </w:r>
          </w:p>
        </w:tc>
        <w:tc>
          <w:tcPr>
            <w:tcW w:w="0" w:type="auto"/>
            <w:vAlign w:val="center"/>
            <w:hideMark/>
          </w:tcPr>
          <w:p w14:paraId="1B1EDEC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documented and geographically representative seed sources based on genetic, geographic and environmental information.</w:t>
            </w:r>
          </w:p>
        </w:tc>
      </w:tr>
      <w:tr w:rsidR="00BD4D7B" w:rsidRPr="00BD4D7B" w14:paraId="6E7B7BD9" w14:textId="77777777" w:rsidTr="002156C6">
        <w:trPr>
          <w:tblCellSpacing w:w="15" w:type="dxa"/>
        </w:trPr>
        <w:tc>
          <w:tcPr>
            <w:tcW w:w="0" w:type="auto"/>
            <w:vAlign w:val="center"/>
            <w:hideMark/>
          </w:tcPr>
          <w:p w14:paraId="7146057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6E6402">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w:t>
            </w:r>
          </w:p>
        </w:tc>
        <w:tc>
          <w:tcPr>
            <w:tcW w:w="0" w:type="auto"/>
            <w:vAlign w:val="center"/>
            <w:hideMark/>
          </w:tcPr>
          <w:p w14:paraId="264CE1B4"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representative living collections and evaluate seed-storage behaviour and viability.</w:t>
            </w:r>
          </w:p>
        </w:tc>
      </w:tr>
      <w:tr w:rsidR="00BD4D7B" w:rsidRPr="00BD4D7B" w14:paraId="2AD6AD58" w14:textId="77777777" w:rsidTr="002156C6">
        <w:trPr>
          <w:tblCellSpacing w:w="15" w:type="dxa"/>
        </w:trPr>
        <w:tc>
          <w:tcPr>
            <w:tcW w:w="0" w:type="auto"/>
            <w:vAlign w:val="center"/>
            <w:hideMark/>
          </w:tcPr>
          <w:p w14:paraId="124B1C4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Restoration</w:t>
            </w:r>
          </w:p>
        </w:tc>
        <w:tc>
          <w:tcPr>
            <w:tcW w:w="0" w:type="auto"/>
            <w:vAlign w:val="center"/>
            <w:hideMark/>
          </w:tcPr>
          <w:p w14:paraId="6688D81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Develop evidence-based seed-sourcing and provenance strategies for ecological restoration.</w:t>
            </w:r>
          </w:p>
        </w:tc>
      </w:tr>
      <w:tr w:rsidR="00BD4D7B" w:rsidRPr="00BD4D7B" w14:paraId="14F092BC" w14:textId="77777777" w:rsidTr="002156C6">
        <w:trPr>
          <w:tblCellSpacing w:w="15" w:type="dxa"/>
        </w:trPr>
        <w:tc>
          <w:tcPr>
            <w:tcW w:w="0" w:type="auto"/>
            <w:vAlign w:val="center"/>
            <w:hideMark/>
          </w:tcPr>
          <w:p w14:paraId="08C4CB49"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Sustainable utilization</w:t>
            </w:r>
          </w:p>
        </w:tc>
        <w:tc>
          <w:tcPr>
            <w:tcW w:w="0" w:type="auto"/>
            <w:vAlign w:val="center"/>
            <w:hideMark/>
          </w:tcPr>
          <w:p w14:paraId="00B7597C"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Assess harvesting pressure and develop practices compatible with population maintenance.</w:t>
            </w:r>
          </w:p>
        </w:tc>
      </w:tr>
      <w:tr w:rsidR="00BD4D7B" w:rsidRPr="00BD4D7B" w14:paraId="70A97BFB" w14:textId="77777777" w:rsidTr="002156C6">
        <w:trPr>
          <w:tblCellSpacing w:w="15" w:type="dxa"/>
        </w:trPr>
        <w:tc>
          <w:tcPr>
            <w:tcW w:w="0" w:type="auto"/>
            <w:vAlign w:val="center"/>
            <w:hideMark/>
          </w:tcPr>
          <w:p w14:paraId="6C3A01F9" w14:textId="77777777" w:rsidR="002156C6" w:rsidRDefault="002156C6" w:rsidP="00BD4D7B">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Cultivation</w:t>
            </w:r>
          </w:p>
          <w:p w14:paraId="086AA45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and promotion</w:t>
            </w:r>
          </w:p>
        </w:tc>
        <w:tc>
          <w:tcPr>
            <w:tcW w:w="0" w:type="auto"/>
            <w:vAlign w:val="center"/>
            <w:hideMark/>
          </w:tcPr>
          <w:p w14:paraId="7E2F1E4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Promote nursery production, cultivation and appropriate agroforestry systems to reduce dependence on wild populations.</w:t>
            </w:r>
          </w:p>
        </w:tc>
      </w:tr>
      <w:tr w:rsidR="00BD4D7B" w:rsidRPr="00BD4D7B" w14:paraId="45BD6F89" w14:textId="77777777" w:rsidTr="002156C6">
        <w:trPr>
          <w:tblCellSpacing w:w="15" w:type="dxa"/>
        </w:trPr>
        <w:tc>
          <w:tcPr>
            <w:tcW w:w="0" w:type="auto"/>
            <w:vAlign w:val="center"/>
            <w:hideMark/>
          </w:tcPr>
          <w:p w14:paraId="3106457E"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Community participation</w:t>
            </w:r>
          </w:p>
        </w:tc>
        <w:tc>
          <w:tcPr>
            <w:tcW w:w="0" w:type="auto"/>
            <w:vAlign w:val="center"/>
            <w:hideMark/>
          </w:tcPr>
          <w:p w14:paraId="58A4CF9C"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Involve local communities in protection, monitoring, seed collection and restoration.</w:t>
            </w:r>
          </w:p>
        </w:tc>
      </w:tr>
      <w:tr w:rsidR="00BD4D7B" w:rsidRPr="00BD4D7B" w14:paraId="70742CA1" w14:textId="77777777" w:rsidTr="002156C6">
        <w:trPr>
          <w:tblCellSpacing w:w="15" w:type="dxa"/>
        </w:trPr>
        <w:tc>
          <w:tcPr>
            <w:tcW w:w="0" w:type="auto"/>
            <w:vAlign w:val="center"/>
            <w:hideMark/>
          </w:tcPr>
          <w:p w14:paraId="0F6CA8C6"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Monitoring</w:t>
            </w:r>
          </w:p>
        </w:tc>
        <w:tc>
          <w:tcPr>
            <w:tcW w:w="0" w:type="auto"/>
            <w:vAlign w:val="center"/>
            <w:hideMark/>
          </w:tcPr>
          <w:p w14:paraId="56936AC7" w14:textId="77777777" w:rsidR="00BD4D7B" w:rsidRPr="00BD4D7B" w:rsidRDefault="00BD4D7B" w:rsidP="00BD4D7B">
            <w:pPr>
              <w:spacing w:after="0"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long-term population, regeneration, habitat and seed-resource monitoring systems.</w:t>
            </w:r>
          </w:p>
        </w:tc>
      </w:tr>
    </w:tbl>
    <w:p w14:paraId="33E1229C"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Proposed conservation framework</w:t>
      </w:r>
    </w:p>
    <w:p w14:paraId="5EF999E7"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 practical conservation programme 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in Northeast India can be organized into five interconnected stages.</w:t>
      </w:r>
    </w:p>
    <w:p w14:paraId="28922DF4"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1: Establish a regional population baseline.</w:t>
      </w:r>
    </w:p>
    <w:p w14:paraId="0AF9A6DC" w14:textId="77777777" w:rsidR="00BD4D7B" w:rsidRPr="00DD3CB7" w:rsidRDefault="00BD4D7B" w:rsidP="00DD3CB7">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Compile occurrence records and conduct systematic field surveys to identify populations, mature reproductive individuals, regeneration status, habitat condition and major anthropogenic pressures.</w:t>
      </w:r>
    </w:p>
    <w:p w14:paraId="268308C3"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2: Evaluate representative populations.</w:t>
      </w:r>
    </w:p>
    <w:p w14:paraId="0BF3D538" w14:textId="77777777" w:rsidR="00BD4D7B" w:rsidRPr="00DD3CB7" w:rsidRDefault="00BD4D7B" w:rsidP="00DD3CB7">
      <w:pPr>
        <w:spacing w:before="100" w:beforeAutospacing="1" w:after="100" w:afterAutospacing="1" w:line="360" w:lineRule="auto"/>
        <w:jc w:val="both"/>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sz w:val="24"/>
          <w:szCs w:val="24"/>
          <w:lang w:eastAsia="en-GB"/>
        </w:rPr>
        <w:t>Assess population structure, reproductive status, regeneration and, where feasible, genetic diversity and population structure across geographically separated populations.</w:t>
      </w:r>
    </w:p>
    <w:p w14:paraId="2447778C" w14:textId="77777777" w:rsidR="00DD3CB7" w:rsidRDefault="00BD4D7B" w:rsidP="00DD3CB7">
      <w:pPr>
        <w:spacing w:before="100" w:beforeAutospacing="1" w:after="100" w:afterAutospacing="1" w:line="360" w:lineRule="auto"/>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Stage 3: Establish conservation units and seed sources.</w:t>
      </w:r>
    </w:p>
    <w:p w14:paraId="64C20428" w14:textId="2E123983" w:rsidR="00BD4D7B" w:rsidRPr="00BD4D7B" w:rsidRDefault="00BD4D7B" w:rsidP="00DD3CB7">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Identify priority populations for </w:t>
      </w:r>
      <w:r w:rsidRPr="005A0EBD">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and genetic conservation</w:t>
      </w:r>
      <w:r w:rsidR="005A0EBD" w:rsidRPr="005A0EBD">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developing documented seed sources that represent geographic, genetic and environmental variation.</w:t>
      </w:r>
    </w:p>
    <w:p w14:paraId="02266B9F" w14:textId="77777777" w:rsidR="00DD3CB7" w:rsidRDefault="00BD4D7B" w:rsidP="00382F11">
      <w:pPr>
        <w:spacing w:before="100" w:beforeAutospacing="1" w:after="100" w:afterAutospacing="1" w:line="360" w:lineRule="auto"/>
        <w:rPr>
          <w:rFonts w:ascii="Times New Roman" w:eastAsia="Times New Roman" w:hAnsi="Times New Roman" w:cs="Times New Roman"/>
          <w:sz w:val="24"/>
          <w:szCs w:val="24"/>
          <w:lang w:eastAsia="en-GB"/>
        </w:rPr>
      </w:pPr>
      <w:r w:rsidRPr="00BD4D7B">
        <w:rPr>
          <w:rFonts w:ascii="Times New Roman" w:eastAsia="Times New Roman" w:hAnsi="Times New Roman" w:cs="Times New Roman"/>
          <w:b/>
          <w:bCs/>
          <w:sz w:val="24"/>
          <w:szCs w:val="24"/>
          <w:lang w:eastAsia="en-GB"/>
        </w:rPr>
        <w:t xml:space="preserve">Stage 4: Develop </w:t>
      </w:r>
      <w:r w:rsidRPr="005A0EBD">
        <w:rPr>
          <w:rFonts w:ascii="Times New Roman" w:eastAsia="Times New Roman" w:hAnsi="Times New Roman" w:cs="Times New Roman"/>
          <w:b/>
          <w:bCs/>
          <w:i/>
          <w:sz w:val="24"/>
          <w:szCs w:val="24"/>
          <w:highlight w:val="green"/>
          <w:lang w:eastAsia="en-GB"/>
        </w:rPr>
        <w:t>ex-situ</w:t>
      </w:r>
      <w:r w:rsidRPr="00BD4D7B">
        <w:rPr>
          <w:rFonts w:ascii="Times New Roman" w:eastAsia="Times New Roman" w:hAnsi="Times New Roman" w:cs="Times New Roman"/>
          <w:b/>
          <w:bCs/>
          <w:sz w:val="24"/>
          <w:szCs w:val="24"/>
          <w:lang w:eastAsia="en-GB"/>
        </w:rPr>
        <w:t>, cultivation and restoration systems.</w:t>
      </w:r>
    </w:p>
    <w:p w14:paraId="16FB5442" w14:textId="0C352831" w:rsidR="00BD4D7B" w:rsidRPr="00BD4D7B" w:rsidRDefault="00BD4D7B" w:rsidP="00DD3CB7">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Establish representative living collections, develop nursery and cultivation protocols, and use appropriately documented planting material for restoration and future conservation programmes. Cultivation should progressively provide an alternative source of planting and utilization material</w:t>
      </w:r>
      <w:r w:rsidR="005A0EBD">
        <w:rPr>
          <w:rFonts w:ascii="Times New Roman" w:eastAsia="Times New Roman" w:hAnsi="Times New Roman" w:cs="Times New Roman"/>
          <w:sz w:val="24"/>
          <w:szCs w:val="24"/>
          <w:lang w:eastAsia="en-GB"/>
        </w:rPr>
        <w:t>,</w:t>
      </w:r>
      <w:r w:rsidRPr="00BD4D7B">
        <w:rPr>
          <w:rFonts w:ascii="Times New Roman" w:eastAsia="Times New Roman" w:hAnsi="Times New Roman" w:cs="Times New Roman"/>
          <w:sz w:val="24"/>
          <w:szCs w:val="24"/>
          <w:lang w:eastAsia="en-GB"/>
        </w:rPr>
        <w:t xml:space="preserve"> so that increased promotion does not translate into greater pressure on natural populations.</w:t>
      </w:r>
    </w:p>
    <w:p w14:paraId="42DC22DF" w14:textId="77777777" w:rsidR="00DD3CB7" w:rsidRPr="00DD3CB7" w:rsidRDefault="00BD4D7B" w:rsidP="00DD3CB7">
      <w:pPr>
        <w:pStyle w:val="Sinespaciado"/>
        <w:rPr>
          <w:rFonts w:ascii="Times New Roman" w:hAnsi="Times New Roman" w:cs="Times New Roman"/>
          <w:b/>
          <w:sz w:val="24"/>
          <w:szCs w:val="24"/>
          <w:lang w:eastAsia="en-GB"/>
        </w:rPr>
      </w:pPr>
      <w:r w:rsidRPr="00DD3CB7">
        <w:rPr>
          <w:rFonts w:ascii="Times New Roman" w:hAnsi="Times New Roman" w:cs="Times New Roman"/>
          <w:b/>
          <w:sz w:val="24"/>
          <w:szCs w:val="24"/>
          <w:lang w:eastAsia="en-GB"/>
        </w:rPr>
        <w:lastRenderedPageBreak/>
        <w:t>Stage 5: Monitor, promote responsibly and reassess.</w:t>
      </w:r>
      <w:r w:rsidRPr="00DD3CB7">
        <w:rPr>
          <w:rFonts w:ascii="Times New Roman" w:hAnsi="Times New Roman" w:cs="Times New Roman"/>
          <w:b/>
          <w:sz w:val="24"/>
          <w:szCs w:val="24"/>
          <w:lang w:eastAsia="en-GB"/>
        </w:rPr>
        <w:br/>
      </w:r>
    </w:p>
    <w:p w14:paraId="1232AD04" w14:textId="77777777" w:rsidR="00BD4D7B" w:rsidRPr="00DD3CB7" w:rsidRDefault="00BD4D7B" w:rsidP="00DD3CB7">
      <w:pPr>
        <w:pStyle w:val="Sinespaciado"/>
        <w:spacing w:line="360" w:lineRule="auto"/>
        <w:jc w:val="both"/>
        <w:rPr>
          <w:rFonts w:ascii="Times New Roman" w:hAnsi="Times New Roman" w:cs="Times New Roman"/>
          <w:sz w:val="24"/>
          <w:szCs w:val="24"/>
          <w:lang w:eastAsia="en-GB"/>
        </w:rPr>
      </w:pPr>
      <w:r w:rsidRPr="00DD3CB7">
        <w:rPr>
          <w:rFonts w:ascii="Times New Roman" w:hAnsi="Times New Roman" w:cs="Times New Roman"/>
          <w:sz w:val="24"/>
          <w:szCs w:val="24"/>
          <w:lang w:eastAsia="en-GB"/>
        </w:rPr>
        <w:t>Monitor population size, regeneration, habitat condition, reproductive output and seed availability while evaluating the effects of utilization, cultivation and restoration. Conservation priorities should be periodically revised as new demographic, genetic and environmental evidence becomes available.</w:t>
      </w:r>
    </w:p>
    <w:p w14:paraId="3D242A6D"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framework links population conservation with genetic-resource management, seed-source development, cultivation and responsible promotion. Genetic and environmental information can improve seed sourcing, while climate-informed approaches can help address future environmental change (Prakash </w:t>
      </w:r>
      <w:r w:rsidRPr="005A0EB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2024; </w:t>
      </w:r>
      <w:proofErr w:type="spellStart"/>
      <w:r w:rsidRPr="00BD4D7B">
        <w:rPr>
          <w:rFonts w:ascii="Times New Roman" w:eastAsia="Times New Roman" w:hAnsi="Times New Roman" w:cs="Times New Roman"/>
          <w:sz w:val="24"/>
          <w:szCs w:val="24"/>
          <w:lang w:eastAsia="en-GB"/>
        </w:rPr>
        <w:t>Fremout</w:t>
      </w:r>
      <w:proofErr w:type="spellEnd"/>
      <w:r w:rsidRPr="00BD4D7B">
        <w:rPr>
          <w:rFonts w:ascii="Times New Roman" w:eastAsia="Times New Roman" w:hAnsi="Times New Roman" w:cs="Times New Roman"/>
          <w:sz w:val="24"/>
          <w:szCs w:val="24"/>
          <w:lang w:eastAsia="en-GB"/>
        </w:rPr>
        <w:t xml:space="preserve"> </w:t>
      </w:r>
      <w:r w:rsidRPr="005A0EB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2021). Importantly, the framework does not assume that a single seed source or strictly local provenance strategy will always be optimal. Appropriate sourcing should depend on the ecological and genetic context and the objectives of restoration (Török </w:t>
      </w:r>
      <w:r w:rsidRPr="005A0EB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xml:space="preserve">., 2024; Vitt </w:t>
      </w:r>
      <w:r w:rsidRPr="005A0EBD">
        <w:rPr>
          <w:rFonts w:ascii="Times New Roman" w:eastAsia="Times New Roman" w:hAnsi="Times New Roman" w:cs="Times New Roman"/>
          <w:i/>
          <w:sz w:val="24"/>
          <w:szCs w:val="24"/>
          <w:highlight w:val="green"/>
          <w:lang w:eastAsia="en-GB"/>
        </w:rPr>
        <w:t>et al</w:t>
      </w:r>
      <w:r w:rsidRPr="00BD4D7B">
        <w:rPr>
          <w:rFonts w:ascii="Times New Roman" w:eastAsia="Times New Roman" w:hAnsi="Times New Roman" w:cs="Times New Roman"/>
          <w:sz w:val="24"/>
          <w:szCs w:val="24"/>
          <w:lang w:eastAsia="en-GB"/>
        </w:rPr>
        <w:t>., 2022).</w:t>
      </w:r>
    </w:p>
    <w:p w14:paraId="2F7C6560"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For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the immediate priority is therefore not to prescribe a single provenance for restoration or utilization, but to establish the population, genetic and seed-resource information required to make scientifically defensible decisions. At the same time, conservation-oriented cultivation and nursery development can allow the species to be promoted without increasing dependence on natural populations.</w:t>
      </w:r>
    </w:p>
    <w:p w14:paraId="5249DC2E" w14:textId="77777777" w:rsidR="00BD4D7B" w:rsidRPr="00BD4D7B" w:rsidRDefault="00BD4D7B" w:rsidP="00BD4D7B">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BD4D7B">
        <w:rPr>
          <w:rFonts w:ascii="Times New Roman" w:eastAsia="Times New Roman" w:hAnsi="Times New Roman" w:cs="Times New Roman"/>
          <w:b/>
          <w:bCs/>
          <w:sz w:val="24"/>
          <w:szCs w:val="24"/>
          <w:lang w:eastAsia="en-GB"/>
        </w:rPr>
        <w:t>Conclusion</w:t>
      </w:r>
    </w:p>
    <w:p w14:paraId="7690B569"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BD4D7B">
        <w:rPr>
          <w:rFonts w:ascii="Times New Roman" w:eastAsia="Times New Roman" w:hAnsi="Times New Roman" w:cs="Times New Roman"/>
          <w:i/>
          <w:iCs/>
          <w:sz w:val="24"/>
          <w:szCs w:val="24"/>
          <w:lang w:eastAsia="en-GB"/>
        </w:rPr>
        <w:t>Hydnocarpus</w:t>
      </w:r>
      <w:proofErr w:type="spellEnd"/>
      <w:r w:rsidRPr="00BD4D7B">
        <w:rPr>
          <w:rFonts w:ascii="Times New Roman" w:eastAsia="Times New Roman" w:hAnsi="Times New Roman" w:cs="Times New Roman"/>
          <w:i/>
          <w:iCs/>
          <w:sz w:val="24"/>
          <w:szCs w:val="24"/>
          <w:lang w:eastAsia="en-GB"/>
        </w:rPr>
        <w:t xml:space="preserve">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is a lesser-known native tree of Northeast India with medicinal, seed-oil and forest genetic-resource value. Its limited scientific documentation, together with habitat degradation, fragmentation and potential loss of mature reproductive individuals, warrants proactive conservation attention. Its Data Deficient status emphasizes the need for improved information on population distribution, regeneration, genetic diversity and long-term viability rather than providing evidence that the species is secure (World Flora Online Consortium, 2026).</w:t>
      </w:r>
    </w:p>
    <w:p w14:paraId="288C8225"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An important conservation opportunity lies in linking the protection of natural populations with responsible promotion of the species. Greater recognition of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for cultivation, nursery production, agroforestry, seed-oil utilization and ecological restoration could increase its socioeconomic and conservation value. However, promotion should not depend on increased extraction from wild populations. Instead, it should be supported by protected reproductive </w:t>
      </w:r>
      <w:r w:rsidRPr="00BD4D7B">
        <w:rPr>
          <w:rFonts w:ascii="Times New Roman" w:eastAsia="Times New Roman" w:hAnsi="Times New Roman" w:cs="Times New Roman"/>
          <w:sz w:val="24"/>
          <w:szCs w:val="24"/>
          <w:lang w:eastAsia="en-GB"/>
        </w:rPr>
        <w:lastRenderedPageBreak/>
        <w:t>populations, documented genetic resources, representative seed sources and appropriate cultivation systems.</w:t>
      </w:r>
    </w:p>
    <w:p w14:paraId="316988CE" w14:textId="77777777"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Conservation should therefore begin with systematic assessment of representative natural populations, mature reproductive trees and regeneration, followed by evaluation of genetic diversity and establishment of geographically representative conservation units and seed sources. </w:t>
      </w:r>
      <w:r w:rsidRPr="005A0EBD">
        <w:rPr>
          <w:rFonts w:ascii="Times New Roman" w:eastAsia="Times New Roman" w:hAnsi="Times New Roman" w:cs="Times New Roman"/>
          <w:i/>
          <w:sz w:val="24"/>
          <w:szCs w:val="24"/>
          <w:highlight w:val="green"/>
          <w:lang w:eastAsia="en-GB"/>
        </w:rPr>
        <w:t>In-situ</w:t>
      </w:r>
      <w:r w:rsidRPr="00BD4D7B">
        <w:rPr>
          <w:rFonts w:ascii="Times New Roman" w:eastAsia="Times New Roman" w:hAnsi="Times New Roman" w:cs="Times New Roman"/>
          <w:sz w:val="24"/>
          <w:szCs w:val="24"/>
          <w:lang w:eastAsia="en-GB"/>
        </w:rPr>
        <w:t xml:space="preserve"> conservation should remain the foundation, while </w:t>
      </w:r>
      <w:r w:rsidRPr="005A0EBD">
        <w:rPr>
          <w:rFonts w:ascii="Times New Roman" w:eastAsia="Times New Roman" w:hAnsi="Times New Roman" w:cs="Times New Roman"/>
          <w:i/>
          <w:sz w:val="24"/>
          <w:szCs w:val="24"/>
          <w:highlight w:val="green"/>
          <w:lang w:eastAsia="en-GB"/>
        </w:rPr>
        <w:t>ex-situ</w:t>
      </w:r>
      <w:r w:rsidRPr="00BD4D7B">
        <w:rPr>
          <w:rFonts w:ascii="Times New Roman" w:eastAsia="Times New Roman" w:hAnsi="Times New Roman" w:cs="Times New Roman"/>
          <w:sz w:val="24"/>
          <w:szCs w:val="24"/>
          <w:lang w:eastAsia="en-GB"/>
        </w:rPr>
        <w:t xml:space="preserve"> conservation, cultivation, genetic-resource management, restoration and community participation should provide complementary safeguards.</w:t>
      </w:r>
    </w:p>
    <w:p w14:paraId="38B205A0" w14:textId="05E5E234" w:rsidR="00BD4D7B" w:rsidRP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The principal contribution of this Short Communication is to place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within a proactive conservation framework that connects </w:t>
      </w:r>
      <w:r w:rsidRPr="00BD4D7B">
        <w:rPr>
          <w:rFonts w:ascii="Times New Roman" w:eastAsia="Times New Roman" w:hAnsi="Times New Roman" w:cs="Times New Roman"/>
          <w:bCs/>
          <w:sz w:val="24"/>
          <w:szCs w:val="24"/>
          <w:lang w:eastAsia="en-GB"/>
        </w:rPr>
        <w:t>population assessment, genetic-resource conservation, seed-source development, responsible species promotion and restoration</w:t>
      </w:r>
      <w:r w:rsidRPr="00BD4D7B">
        <w:rPr>
          <w:rFonts w:ascii="Times New Roman" w:eastAsia="Times New Roman" w:hAnsi="Times New Roman" w:cs="Times New Roman"/>
          <w:sz w:val="24"/>
          <w:szCs w:val="24"/>
          <w:lang w:eastAsia="en-GB"/>
        </w:rPr>
        <w:t xml:space="preserve">. Rather than waiting for clear evidence of population decline before action </w:t>
      </w:r>
      <w:proofErr w:type="gramStart"/>
      <w:r w:rsidRPr="00BD4D7B">
        <w:rPr>
          <w:rFonts w:ascii="Times New Roman" w:eastAsia="Times New Roman" w:hAnsi="Times New Roman" w:cs="Times New Roman"/>
          <w:sz w:val="24"/>
          <w:szCs w:val="24"/>
          <w:lang w:eastAsia="en-GB"/>
        </w:rPr>
        <w:t>is initiated</w:t>
      </w:r>
      <w:proofErr w:type="gramEnd"/>
      <w:r w:rsidRPr="00BD4D7B">
        <w:rPr>
          <w:rFonts w:ascii="Times New Roman" w:eastAsia="Times New Roman" w:hAnsi="Times New Roman" w:cs="Times New Roman"/>
          <w:sz w:val="24"/>
          <w:szCs w:val="24"/>
          <w:lang w:eastAsia="en-GB"/>
        </w:rPr>
        <w:t>, establishing a regional baseline now would provide an opportunity to conserve the species' natural genetic resource</w:t>
      </w:r>
      <w:r w:rsidRPr="005A0EBD">
        <w:rPr>
          <w:rFonts w:ascii="Times New Roman" w:eastAsia="Times New Roman" w:hAnsi="Times New Roman" w:cs="Times New Roman"/>
          <w:sz w:val="24"/>
          <w:szCs w:val="24"/>
          <w:highlight w:val="green"/>
          <w:lang w:eastAsia="en-GB"/>
        </w:rPr>
        <w:t>s</w:t>
      </w:r>
      <w:r w:rsidR="005A0EBD" w:rsidRPr="005A0EBD">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while developing sustainable pathways for its future cultivation and utilization. Such an approach is particularly appropriate for a lesser-known native tre</w:t>
      </w:r>
      <w:r w:rsidRPr="005A0EBD">
        <w:rPr>
          <w:rFonts w:ascii="Times New Roman" w:eastAsia="Times New Roman" w:hAnsi="Times New Roman" w:cs="Times New Roman"/>
          <w:sz w:val="24"/>
          <w:szCs w:val="24"/>
          <w:highlight w:val="green"/>
          <w:lang w:eastAsia="en-GB"/>
        </w:rPr>
        <w:t>e</w:t>
      </w:r>
      <w:r w:rsidR="005A0EBD" w:rsidRPr="005A0EBD">
        <w:rPr>
          <w:rFonts w:ascii="Times New Roman" w:eastAsia="Times New Roman" w:hAnsi="Times New Roman" w:cs="Times New Roman"/>
          <w:sz w:val="24"/>
          <w:szCs w:val="24"/>
          <w:highlight w:val="green"/>
          <w:lang w:eastAsia="en-GB"/>
        </w:rPr>
        <w:t>,</w:t>
      </w:r>
      <w:r w:rsidRPr="00BD4D7B">
        <w:rPr>
          <w:rFonts w:ascii="Times New Roman" w:eastAsia="Times New Roman" w:hAnsi="Times New Roman" w:cs="Times New Roman"/>
          <w:sz w:val="24"/>
          <w:szCs w:val="24"/>
          <w:lang w:eastAsia="en-GB"/>
        </w:rPr>
        <w:t xml:space="preserve"> </w:t>
      </w:r>
      <w:proofErr w:type="gramStart"/>
      <w:r w:rsidRPr="00BD4D7B">
        <w:rPr>
          <w:rFonts w:ascii="Times New Roman" w:eastAsia="Times New Roman" w:hAnsi="Times New Roman" w:cs="Times New Roman"/>
          <w:sz w:val="24"/>
          <w:szCs w:val="24"/>
          <w:lang w:eastAsia="en-GB"/>
        </w:rPr>
        <w:t>whose</w:t>
      </w:r>
      <w:proofErr w:type="gramEnd"/>
      <w:r w:rsidRPr="00BD4D7B">
        <w:rPr>
          <w:rFonts w:ascii="Times New Roman" w:eastAsia="Times New Roman" w:hAnsi="Times New Roman" w:cs="Times New Roman"/>
          <w:sz w:val="24"/>
          <w:szCs w:val="24"/>
          <w:lang w:eastAsia="en-GB"/>
        </w:rPr>
        <w:t xml:space="preserve"> ecological and socioeconomic potential remains insufficiently explored.</w:t>
      </w:r>
    </w:p>
    <w:p w14:paraId="208EAD35" w14:textId="77777777" w:rsidR="00BD4D7B" w:rsidRDefault="00BD4D7B"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D4D7B">
        <w:rPr>
          <w:rFonts w:ascii="Times New Roman" w:eastAsia="Times New Roman" w:hAnsi="Times New Roman" w:cs="Times New Roman"/>
          <w:sz w:val="24"/>
          <w:szCs w:val="24"/>
          <w:lang w:eastAsia="en-GB"/>
        </w:rPr>
        <w:t xml:space="preserve">A coordinated conservation and seed-source network across Northeast India would consequently provide a practical foundation for maintaining </w:t>
      </w:r>
      <w:r w:rsidRPr="00BD4D7B">
        <w:rPr>
          <w:rFonts w:ascii="Times New Roman" w:eastAsia="Times New Roman" w:hAnsi="Times New Roman" w:cs="Times New Roman"/>
          <w:i/>
          <w:iCs/>
          <w:sz w:val="24"/>
          <w:szCs w:val="24"/>
          <w:lang w:eastAsia="en-GB"/>
        </w:rPr>
        <w:t xml:space="preserve">H. </w:t>
      </w:r>
      <w:proofErr w:type="spellStart"/>
      <w:r w:rsidRPr="00BD4D7B">
        <w:rPr>
          <w:rFonts w:ascii="Times New Roman" w:eastAsia="Times New Roman" w:hAnsi="Times New Roman" w:cs="Times New Roman"/>
          <w:i/>
          <w:iCs/>
          <w:sz w:val="24"/>
          <w:szCs w:val="24"/>
          <w:lang w:eastAsia="en-GB"/>
        </w:rPr>
        <w:t>kurzii</w:t>
      </w:r>
      <w:proofErr w:type="spellEnd"/>
      <w:r w:rsidRPr="00BD4D7B">
        <w:rPr>
          <w:rFonts w:ascii="Times New Roman" w:eastAsia="Times New Roman" w:hAnsi="Times New Roman" w:cs="Times New Roman"/>
          <w:sz w:val="24"/>
          <w:szCs w:val="24"/>
          <w:lang w:eastAsia="en-GB"/>
        </w:rPr>
        <w:t xml:space="preserve"> as a component of native forest biodiversity, a medicinal plant and a valuable forest genetic resource while ensuring that its future promotion is compatible with long-term population persistence.</w:t>
      </w:r>
    </w:p>
    <w:p w14:paraId="1C979B2E" w14:textId="77777777" w:rsidR="00277693" w:rsidRDefault="00277693" w:rsidP="00BD4D7B">
      <w:pPr>
        <w:spacing w:before="100" w:beforeAutospacing="1" w:after="100" w:afterAutospacing="1" w:line="360" w:lineRule="auto"/>
        <w:jc w:val="both"/>
        <w:rPr>
          <w:rFonts w:ascii="Times New Roman" w:eastAsia="Times New Roman" w:hAnsi="Times New Roman" w:cs="Times New Roman"/>
          <w:sz w:val="24"/>
          <w:szCs w:val="24"/>
          <w:lang w:eastAsia="en-GB"/>
        </w:rPr>
      </w:pPr>
    </w:p>
    <w:p w14:paraId="7F28EDC7" w14:textId="77777777" w:rsidR="00277693" w:rsidRDefault="00277693" w:rsidP="00277693">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bookmarkStart w:id="3" w:name="_Hlk240540980"/>
      <w:bookmarkStart w:id="4" w:name="_Hlk240284289"/>
    </w:p>
    <w:p w14:paraId="6036E2BA" w14:textId="77777777" w:rsidR="00277693" w:rsidRPr="002D08AC" w:rsidRDefault="00277693" w:rsidP="00277693">
      <w:pPr>
        <w:spacing w:after="0" w:line="240" w:lineRule="auto"/>
        <w:rPr>
          <w:rFonts w:ascii="Arial" w:hAnsi="Arial" w:cs="Arial"/>
          <w:b/>
          <w:sz w:val="20"/>
          <w:szCs w:val="20"/>
        </w:rPr>
      </w:pPr>
      <w:bookmarkStart w:id="5" w:name="_Hlk238550938"/>
      <w:bookmarkStart w:id="6" w:name="_Hlk237856463"/>
      <w:bookmarkEnd w:id="0"/>
      <w:bookmarkEnd w:id="1"/>
      <w:bookmarkEnd w:id="2"/>
      <w:r w:rsidRPr="002D08AC">
        <w:rPr>
          <w:rFonts w:ascii="Arial" w:hAnsi="Arial" w:cs="Arial"/>
          <w:b/>
          <w:sz w:val="20"/>
          <w:szCs w:val="20"/>
        </w:rPr>
        <w:t>Declaration of AI Use</w:t>
      </w:r>
    </w:p>
    <w:p w14:paraId="34A4E817" w14:textId="77777777" w:rsidR="00277693" w:rsidRPr="002D08AC" w:rsidRDefault="00277693" w:rsidP="00277693">
      <w:pPr>
        <w:spacing w:after="0" w:line="240" w:lineRule="auto"/>
        <w:rPr>
          <w:rFonts w:ascii="Arial" w:hAnsi="Arial" w:cs="Arial"/>
          <w:sz w:val="20"/>
          <w:szCs w:val="20"/>
        </w:rPr>
      </w:pPr>
      <w:bookmarkStart w:id="7" w:name="_Hlk239068730"/>
    </w:p>
    <w:p w14:paraId="35689120" w14:textId="77777777" w:rsidR="00277693" w:rsidRPr="002D08AC" w:rsidRDefault="00277693" w:rsidP="00277693">
      <w:pPr>
        <w:spacing w:after="0" w:line="240" w:lineRule="auto"/>
        <w:rPr>
          <w:rFonts w:ascii="Arial" w:hAnsi="Arial" w:cs="Arial"/>
          <w:sz w:val="20"/>
          <w:szCs w:val="20"/>
        </w:rPr>
      </w:pPr>
      <w:bookmarkStart w:id="8"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4"/>
    <w:bookmarkEnd w:id="6"/>
    <w:bookmarkEnd w:id="7"/>
    <w:bookmarkEnd w:id="8"/>
    <w:p w14:paraId="4DB9B1AE" w14:textId="77777777" w:rsidR="008827F5" w:rsidRDefault="008827F5" w:rsidP="00382F11">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p>
    <w:p w14:paraId="07943924" w14:textId="69326781" w:rsidR="00382F11" w:rsidRPr="009C6D81" w:rsidRDefault="00382F11" w:rsidP="00382F11">
      <w:pPr>
        <w:spacing w:before="100" w:beforeAutospacing="1" w:after="100" w:afterAutospacing="1" w:line="360" w:lineRule="auto"/>
        <w:jc w:val="both"/>
        <w:outlineLvl w:val="1"/>
        <w:rPr>
          <w:rFonts w:ascii="Times New Roman" w:eastAsia="Times New Roman" w:hAnsi="Times New Roman" w:cs="Times New Roman"/>
          <w:b/>
          <w:bCs/>
          <w:sz w:val="24"/>
          <w:szCs w:val="24"/>
          <w:lang w:eastAsia="en-GB"/>
        </w:rPr>
      </w:pPr>
      <w:r w:rsidRPr="009C6D81">
        <w:rPr>
          <w:rFonts w:ascii="Times New Roman" w:eastAsia="Times New Roman" w:hAnsi="Times New Roman" w:cs="Times New Roman"/>
          <w:b/>
          <w:bCs/>
          <w:sz w:val="24"/>
          <w:szCs w:val="24"/>
          <w:lang w:eastAsia="en-GB"/>
        </w:rPr>
        <w:t>References</w:t>
      </w:r>
    </w:p>
    <w:p w14:paraId="5C60DC9D"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lastRenderedPageBreak/>
        <w:t>Barua,</w:t>
      </w:r>
      <w:bookmarkStart w:id="9" w:name="_GoBack"/>
      <w:bookmarkEnd w:id="9"/>
      <w:r w:rsidRPr="009C6D81">
        <w:rPr>
          <w:rFonts w:ascii="Times New Roman" w:eastAsia="Times New Roman" w:hAnsi="Times New Roman" w:cs="Times New Roman"/>
          <w:sz w:val="24"/>
          <w:szCs w:val="24"/>
          <w:lang w:eastAsia="en-GB"/>
        </w:rPr>
        <w:t xml:space="preserve"> A., Dutta, P., Das, P., &amp; Gogoi, P. (2018). Mass regeneration status of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i/>
          <w:iCs/>
          <w:sz w:val="24"/>
          <w:szCs w:val="24"/>
          <w:lang w:eastAsia="en-GB"/>
        </w:rPr>
        <w:t xml:space="preserve"> </w:t>
      </w:r>
      <w:proofErr w:type="spellStart"/>
      <w:r w:rsidRPr="009C6D81">
        <w:rPr>
          <w:rFonts w:ascii="Times New Roman" w:eastAsia="Times New Roman" w:hAnsi="Times New Roman" w:cs="Times New Roman"/>
          <w:i/>
          <w:iCs/>
          <w:sz w:val="24"/>
          <w:szCs w:val="24"/>
          <w:lang w:eastAsia="en-GB"/>
        </w:rPr>
        <w:t>kurzii</w:t>
      </w:r>
      <w:proofErr w:type="spellEnd"/>
      <w:r w:rsidRPr="009C6D81">
        <w:rPr>
          <w:rFonts w:ascii="Times New Roman" w:eastAsia="Times New Roman" w:hAnsi="Times New Roman" w:cs="Times New Roman"/>
          <w:sz w:val="24"/>
          <w:szCs w:val="24"/>
          <w:lang w:eastAsia="en-GB"/>
        </w:rPr>
        <w:t xml:space="preserve"> (King) </w:t>
      </w:r>
      <w:proofErr w:type="spellStart"/>
      <w:r w:rsidRPr="009C6D81">
        <w:rPr>
          <w:rFonts w:ascii="Times New Roman" w:eastAsia="Times New Roman" w:hAnsi="Times New Roman" w:cs="Times New Roman"/>
          <w:sz w:val="24"/>
          <w:szCs w:val="24"/>
          <w:lang w:eastAsia="en-GB"/>
        </w:rPr>
        <w:t>Warb</w:t>
      </w:r>
      <w:proofErr w:type="spellEnd"/>
      <w:r w:rsidRPr="009C6D81">
        <w:rPr>
          <w:rFonts w:ascii="Times New Roman" w:eastAsia="Times New Roman" w:hAnsi="Times New Roman" w:cs="Times New Roman"/>
          <w:sz w:val="24"/>
          <w:szCs w:val="24"/>
          <w:lang w:eastAsia="en-GB"/>
        </w:rPr>
        <w:t xml:space="preserve">. in </w:t>
      </w:r>
      <w:proofErr w:type="spellStart"/>
      <w:r w:rsidRPr="009C6D81">
        <w:rPr>
          <w:rFonts w:ascii="Times New Roman" w:eastAsia="Times New Roman" w:hAnsi="Times New Roman" w:cs="Times New Roman"/>
          <w:sz w:val="24"/>
          <w:szCs w:val="24"/>
          <w:lang w:eastAsia="en-GB"/>
        </w:rPr>
        <w:t>Bornewria</w:t>
      </w:r>
      <w:proofErr w:type="spellEnd"/>
      <w:r w:rsidRPr="009C6D81">
        <w:rPr>
          <w:rFonts w:ascii="Times New Roman" w:eastAsia="Times New Roman" w:hAnsi="Times New Roman" w:cs="Times New Roman"/>
          <w:sz w:val="24"/>
          <w:szCs w:val="24"/>
          <w:lang w:eastAsia="en-GB"/>
        </w:rPr>
        <w:t xml:space="preserve"> forest, Assam, India. </w:t>
      </w:r>
      <w:r w:rsidRPr="009C6D81">
        <w:rPr>
          <w:rFonts w:ascii="Times New Roman" w:eastAsia="Times New Roman" w:hAnsi="Times New Roman" w:cs="Times New Roman"/>
          <w:i/>
          <w:iCs/>
          <w:sz w:val="24"/>
          <w:szCs w:val="24"/>
          <w:lang w:eastAsia="en-GB"/>
        </w:rPr>
        <w:t>Tropical Plant Research, 5</w:t>
      </w:r>
      <w:r w:rsidRPr="009C6D81">
        <w:rPr>
          <w:rFonts w:ascii="Times New Roman" w:eastAsia="Times New Roman" w:hAnsi="Times New Roman" w:cs="Times New Roman"/>
          <w:sz w:val="24"/>
          <w:szCs w:val="24"/>
          <w:lang w:eastAsia="en-GB"/>
        </w:rPr>
        <w:t xml:space="preserve">(2), 233–242. </w:t>
      </w:r>
      <w:hyperlink r:id="rId7" w:history="1">
        <w:r w:rsidRPr="009C6D81">
          <w:rPr>
            <w:rFonts w:ascii="Times New Roman" w:eastAsia="Times New Roman" w:hAnsi="Times New Roman" w:cs="Times New Roman"/>
            <w:color w:val="0000FF"/>
            <w:sz w:val="24"/>
            <w:szCs w:val="24"/>
            <w:u w:val="single"/>
            <w:lang w:eastAsia="en-GB"/>
          </w:rPr>
          <w:t>https://doi.org/10.22271/tpr.2018.v5.i2.030</w:t>
        </w:r>
      </w:hyperlink>
    </w:p>
    <w:p w14:paraId="0AFC5844" w14:textId="565A1DEB"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57522C">
        <w:rPr>
          <w:rFonts w:ascii="Times New Roman" w:eastAsia="Times New Roman" w:hAnsi="Times New Roman" w:cs="Times New Roman"/>
          <w:sz w:val="24"/>
          <w:szCs w:val="24"/>
          <w:lang w:eastAsia="en-GB"/>
        </w:rPr>
        <w:t>Bioversity</w:t>
      </w:r>
      <w:proofErr w:type="spellEnd"/>
      <w:r w:rsidRPr="0057522C">
        <w:rPr>
          <w:rFonts w:ascii="Times New Roman" w:eastAsia="Times New Roman" w:hAnsi="Times New Roman" w:cs="Times New Roman"/>
          <w:sz w:val="24"/>
          <w:szCs w:val="24"/>
          <w:lang w:eastAsia="en-GB"/>
        </w:rPr>
        <w:t xml:space="preserve"> I</w:t>
      </w:r>
      <w:r w:rsidRPr="009C6D81">
        <w:rPr>
          <w:rFonts w:ascii="Times New Roman" w:eastAsia="Times New Roman" w:hAnsi="Times New Roman" w:cs="Times New Roman"/>
          <w:sz w:val="24"/>
          <w:szCs w:val="24"/>
          <w:lang w:eastAsia="en-GB"/>
        </w:rPr>
        <w:t xml:space="preserve">nternational &amp; CIAT; APFORGEN. (2025). </w:t>
      </w:r>
      <w:r w:rsidRPr="009C6D81">
        <w:rPr>
          <w:rFonts w:ascii="Times New Roman" w:eastAsia="Times New Roman" w:hAnsi="Times New Roman" w:cs="Times New Roman"/>
          <w:i/>
          <w:iCs/>
          <w:sz w:val="24"/>
          <w:szCs w:val="24"/>
          <w:lang w:eastAsia="en-GB"/>
        </w:rPr>
        <w:t>Regional guidelines for identifying genetic conservation units and seed sources</w:t>
      </w:r>
      <w:r w:rsidRPr="009C6D81">
        <w:rPr>
          <w:rFonts w:ascii="Times New Roman" w:eastAsia="Times New Roman" w:hAnsi="Times New Roman" w:cs="Times New Roman"/>
          <w:sz w:val="24"/>
          <w:szCs w:val="24"/>
          <w:lang w:eastAsia="en-GB"/>
        </w:rPr>
        <w:t xml:space="preserve">. </w:t>
      </w:r>
      <w:proofErr w:type="spellStart"/>
      <w:r w:rsidRPr="009C6D81">
        <w:rPr>
          <w:rFonts w:ascii="Times New Roman" w:eastAsia="Times New Roman" w:hAnsi="Times New Roman" w:cs="Times New Roman"/>
          <w:sz w:val="24"/>
          <w:szCs w:val="24"/>
          <w:lang w:eastAsia="en-GB"/>
        </w:rPr>
        <w:t>Bioversity</w:t>
      </w:r>
      <w:proofErr w:type="spellEnd"/>
      <w:r w:rsidRPr="009C6D81">
        <w:rPr>
          <w:rFonts w:ascii="Times New Roman" w:eastAsia="Times New Roman" w:hAnsi="Times New Roman" w:cs="Times New Roman"/>
          <w:sz w:val="24"/>
          <w:szCs w:val="24"/>
          <w:lang w:eastAsia="en-GB"/>
        </w:rPr>
        <w:t xml:space="preserve"> International/CIAT/APFORGEN.</w:t>
      </w:r>
      <w:r w:rsidR="00CC35CF">
        <w:rPr>
          <w:rFonts w:ascii="Times New Roman" w:eastAsia="Times New Roman" w:hAnsi="Times New Roman" w:cs="Times New Roman"/>
          <w:sz w:val="24"/>
          <w:szCs w:val="24"/>
          <w:lang w:eastAsia="en-GB"/>
        </w:rPr>
        <w:t xml:space="preserve"> </w:t>
      </w:r>
      <w:r w:rsidR="00CC35CF" w:rsidRPr="00CC35CF">
        <w:rPr>
          <w:rFonts w:ascii="Times New Roman" w:eastAsia="Times New Roman" w:hAnsi="Times New Roman" w:cs="Times New Roman"/>
          <w:sz w:val="24"/>
          <w:szCs w:val="24"/>
          <w:highlight w:val="cyan"/>
          <w:lang w:eastAsia="en-GB"/>
        </w:rPr>
        <w:t>INCOMPLETE REFERENCE</w:t>
      </w:r>
    </w:p>
    <w:p w14:paraId="0DD2EB65"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Coomes, D. A., Holdaway, R. J., Kobe, R. K., Lines, E. R., &amp; Allen, R. B. (2011). A general integrative framework for modelling the impacts of land use on forest vegetation. </w:t>
      </w:r>
      <w:r w:rsidRPr="0057522C">
        <w:rPr>
          <w:rFonts w:ascii="Times New Roman" w:eastAsia="Times New Roman" w:hAnsi="Times New Roman" w:cs="Times New Roman"/>
          <w:i/>
          <w:iCs/>
          <w:sz w:val="24"/>
          <w:szCs w:val="24"/>
          <w:lang w:eastAsia="en-GB"/>
        </w:rPr>
        <w:t>Proceedings of the National Academy of Sciences, 108</w:t>
      </w:r>
      <w:r w:rsidRPr="0057522C">
        <w:rPr>
          <w:rFonts w:ascii="Times New Roman" w:eastAsia="Times New Roman" w:hAnsi="Times New Roman" w:cs="Times New Roman"/>
          <w:sz w:val="24"/>
          <w:szCs w:val="24"/>
          <w:lang w:eastAsia="en-GB"/>
        </w:rPr>
        <w:t xml:space="preserve">(34), 13925–13930. </w:t>
      </w:r>
      <w:hyperlink r:id="rId8" w:history="1">
        <w:r w:rsidRPr="0057522C">
          <w:rPr>
            <w:rFonts w:ascii="Times New Roman" w:eastAsia="Times New Roman" w:hAnsi="Times New Roman" w:cs="Times New Roman"/>
            <w:color w:val="0000FF"/>
            <w:sz w:val="24"/>
            <w:szCs w:val="24"/>
            <w:u w:val="single"/>
            <w:lang w:eastAsia="en-GB"/>
          </w:rPr>
          <w:t>https://doi.org/10.1073/pnas.1012973108</w:t>
        </w:r>
      </w:hyperlink>
    </w:p>
    <w:p w14:paraId="6F9D282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Engert,</w:t>
      </w:r>
      <w:r w:rsidRPr="009C6D81">
        <w:rPr>
          <w:rFonts w:ascii="Times New Roman" w:eastAsia="Times New Roman" w:hAnsi="Times New Roman" w:cs="Times New Roman"/>
          <w:sz w:val="24"/>
          <w:szCs w:val="24"/>
          <w:lang w:eastAsia="en-GB"/>
        </w:rPr>
        <w:t xml:space="preserve"> J. E., Middleby, K., </w:t>
      </w:r>
      <w:proofErr w:type="spellStart"/>
      <w:r w:rsidRPr="009C6D81">
        <w:rPr>
          <w:rFonts w:ascii="Times New Roman" w:eastAsia="Times New Roman" w:hAnsi="Times New Roman" w:cs="Times New Roman"/>
          <w:sz w:val="24"/>
          <w:szCs w:val="24"/>
          <w:lang w:eastAsia="en-GB"/>
        </w:rPr>
        <w:t>Vogado</w:t>
      </w:r>
      <w:proofErr w:type="spellEnd"/>
      <w:r w:rsidRPr="009C6D81">
        <w:rPr>
          <w:rFonts w:ascii="Times New Roman" w:eastAsia="Times New Roman" w:hAnsi="Times New Roman" w:cs="Times New Roman"/>
          <w:sz w:val="24"/>
          <w:szCs w:val="24"/>
          <w:lang w:eastAsia="en-GB"/>
        </w:rPr>
        <w:t xml:space="preserve">, N. O., &amp; Laurance, S. G. W. (2026). Seed collection practices in tropical rainforest restoration and implications for provenance research. </w:t>
      </w:r>
      <w:r w:rsidRPr="009C6D81">
        <w:rPr>
          <w:rFonts w:ascii="Times New Roman" w:eastAsia="Times New Roman" w:hAnsi="Times New Roman" w:cs="Times New Roman"/>
          <w:i/>
          <w:iCs/>
          <w:sz w:val="24"/>
          <w:szCs w:val="24"/>
          <w:lang w:eastAsia="en-GB"/>
        </w:rPr>
        <w:t>Forest Ecology and Management, 602</w:t>
      </w:r>
      <w:r w:rsidRPr="009C6D81">
        <w:rPr>
          <w:rFonts w:ascii="Times New Roman" w:eastAsia="Times New Roman" w:hAnsi="Times New Roman" w:cs="Times New Roman"/>
          <w:sz w:val="24"/>
          <w:szCs w:val="24"/>
          <w:lang w:eastAsia="en-GB"/>
        </w:rPr>
        <w:t xml:space="preserve">, 123376. </w:t>
      </w:r>
      <w:hyperlink r:id="rId9" w:history="1">
        <w:r w:rsidRPr="009C6D81">
          <w:rPr>
            <w:rFonts w:ascii="Times New Roman" w:eastAsia="Times New Roman" w:hAnsi="Times New Roman" w:cs="Times New Roman"/>
            <w:color w:val="0000FF"/>
            <w:sz w:val="24"/>
            <w:szCs w:val="24"/>
            <w:u w:val="single"/>
            <w:lang w:eastAsia="en-GB"/>
          </w:rPr>
          <w:t>https://doi.org/10.1016/j.foreco.2025.123376</w:t>
        </w:r>
      </w:hyperlink>
    </w:p>
    <w:p w14:paraId="7B195ACB"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proofErr w:type="spellStart"/>
      <w:r w:rsidRPr="0057522C">
        <w:rPr>
          <w:rFonts w:ascii="Times New Roman" w:eastAsia="Times New Roman" w:hAnsi="Times New Roman" w:cs="Times New Roman"/>
          <w:sz w:val="24"/>
          <w:szCs w:val="24"/>
          <w:lang w:eastAsia="en-GB"/>
        </w:rPr>
        <w:t>Fremout</w:t>
      </w:r>
      <w:proofErr w:type="spellEnd"/>
      <w:r w:rsidRPr="0057522C">
        <w:rPr>
          <w:rFonts w:ascii="Times New Roman" w:eastAsia="Times New Roman" w:hAnsi="Times New Roman" w:cs="Times New Roman"/>
          <w:sz w:val="24"/>
          <w:szCs w:val="24"/>
          <w:lang w:eastAsia="en-GB"/>
        </w:rPr>
        <w:t xml:space="preserve">, T., Thomas, E., Bocanegra-González, K. T., Aguirre-Morales, C. A., Morillo-Paz, A. T., Atkinson, R., Kettle, C. J., González-M., R., </w:t>
      </w:r>
      <w:proofErr w:type="spellStart"/>
      <w:r w:rsidRPr="0057522C">
        <w:rPr>
          <w:rFonts w:ascii="Times New Roman" w:eastAsia="Times New Roman" w:hAnsi="Times New Roman" w:cs="Times New Roman"/>
          <w:sz w:val="24"/>
          <w:szCs w:val="24"/>
          <w:lang w:eastAsia="en-GB"/>
        </w:rPr>
        <w:t>Alcázar-Caicedo</w:t>
      </w:r>
      <w:proofErr w:type="spellEnd"/>
      <w:r w:rsidRPr="0057522C">
        <w:rPr>
          <w:rFonts w:ascii="Times New Roman" w:eastAsia="Times New Roman" w:hAnsi="Times New Roman" w:cs="Times New Roman"/>
          <w:sz w:val="24"/>
          <w:szCs w:val="24"/>
          <w:lang w:eastAsia="en-GB"/>
        </w:rPr>
        <w:t xml:space="preserve">, C., González, M. A., Gil-Tobón, C., Gutiérrez, J. P., Moscoso-Higuita, L. G., Becerra López-Lavalle, L. A., de Carvalho, D., &amp; Muys, B. (2021). Dynamic seed zones to guide climate-smart seed sourcing for tropical dry forest restoration in Colombia. </w:t>
      </w:r>
      <w:r w:rsidRPr="0057522C">
        <w:rPr>
          <w:rFonts w:ascii="Times New Roman" w:eastAsia="Times New Roman" w:hAnsi="Times New Roman" w:cs="Times New Roman"/>
          <w:i/>
          <w:iCs/>
          <w:sz w:val="24"/>
          <w:szCs w:val="24"/>
          <w:lang w:eastAsia="en-GB"/>
        </w:rPr>
        <w:t>Forest Ecology and Management, 490</w:t>
      </w:r>
      <w:r w:rsidRPr="0057522C">
        <w:rPr>
          <w:rFonts w:ascii="Times New Roman" w:eastAsia="Times New Roman" w:hAnsi="Times New Roman" w:cs="Times New Roman"/>
          <w:sz w:val="24"/>
          <w:szCs w:val="24"/>
          <w:lang w:eastAsia="en-GB"/>
        </w:rPr>
        <w:t xml:space="preserve">, 119127. </w:t>
      </w:r>
      <w:hyperlink r:id="rId10" w:history="1">
        <w:r w:rsidRPr="0057522C">
          <w:rPr>
            <w:rFonts w:ascii="Times New Roman" w:eastAsia="Times New Roman" w:hAnsi="Times New Roman" w:cs="Times New Roman"/>
            <w:color w:val="0000FF"/>
            <w:sz w:val="24"/>
            <w:szCs w:val="24"/>
            <w:u w:val="single"/>
            <w:lang w:eastAsia="en-GB"/>
          </w:rPr>
          <w:t>https://doi.org/10.1016/j.foreco.2021.119127</w:t>
        </w:r>
      </w:hyperlink>
    </w:p>
    <w:p w14:paraId="16BD11AA"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Jalonen, R., </w:t>
      </w:r>
      <w:proofErr w:type="spellStart"/>
      <w:r w:rsidRPr="0057522C">
        <w:rPr>
          <w:rFonts w:ascii="Times New Roman" w:eastAsia="Times New Roman" w:hAnsi="Times New Roman" w:cs="Times New Roman"/>
          <w:sz w:val="24"/>
          <w:szCs w:val="24"/>
          <w:lang w:eastAsia="en-GB"/>
        </w:rPr>
        <w:t>Fremout</w:t>
      </w:r>
      <w:proofErr w:type="spellEnd"/>
      <w:r w:rsidRPr="0057522C">
        <w:rPr>
          <w:rFonts w:ascii="Times New Roman" w:eastAsia="Times New Roman" w:hAnsi="Times New Roman" w:cs="Times New Roman"/>
          <w:sz w:val="24"/>
          <w:szCs w:val="24"/>
          <w:lang w:eastAsia="en-GB"/>
        </w:rPr>
        <w:t xml:space="preserve">, T., Warrier, R. R., </w:t>
      </w:r>
      <w:proofErr w:type="spellStart"/>
      <w:r w:rsidRPr="0057522C">
        <w:rPr>
          <w:rFonts w:ascii="Times New Roman" w:eastAsia="Times New Roman" w:hAnsi="Times New Roman" w:cs="Times New Roman"/>
          <w:sz w:val="24"/>
          <w:szCs w:val="24"/>
          <w:lang w:eastAsia="en-GB"/>
        </w:rPr>
        <w:t>Yuskianti</w:t>
      </w:r>
      <w:proofErr w:type="spellEnd"/>
      <w:r w:rsidRPr="0057522C">
        <w:rPr>
          <w:rFonts w:ascii="Times New Roman" w:eastAsia="Times New Roman" w:hAnsi="Times New Roman" w:cs="Times New Roman"/>
          <w:sz w:val="24"/>
          <w:szCs w:val="24"/>
          <w:lang w:eastAsia="en-GB"/>
        </w:rPr>
        <w:t xml:space="preserve">, V., Tolentino, E. J., </w:t>
      </w:r>
      <w:proofErr w:type="spellStart"/>
      <w:r w:rsidRPr="0057522C">
        <w:rPr>
          <w:rFonts w:ascii="Times New Roman" w:eastAsia="Times New Roman" w:hAnsi="Times New Roman" w:cs="Times New Roman"/>
          <w:sz w:val="24"/>
          <w:szCs w:val="24"/>
          <w:lang w:eastAsia="en-GB"/>
        </w:rPr>
        <w:t>Tiburan</w:t>
      </w:r>
      <w:proofErr w:type="spellEnd"/>
      <w:r w:rsidRPr="0057522C">
        <w:rPr>
          <w:rFonts w:ascii="Times New Roman" w:eastAsia="Times New Roman" w:hAnsi="Times New Roman" w:cs="Times New Roman"/>
          <w:sz w:val="24"/>
          <w:szCs w:val="24"/>
          <w:lang w:eastAsia="en-GB"/>
        </w:rPr>
        <w:t xml:space="preserve">, C., Miah, M. Z. R., Rahaman, M. T., Wilkie, P., </w:t>
      </w:r>
      <w:proofErr w:type="spellStart"/>
      <w:r w:rsidRPr="0057522C">
        <w:rPr>
          <w:rFonts w:ascii="Times New Roman" w:eastAsia="Times New Roman" w:hAnsi="Times New Roman" w:cs="Times New Roman"/>
          <w:sz w:val="24"/>
          <w:szCs w:val="24"/>
          <w:lang w:eastAsia="en-GB"/>
        </w:rPr>
        <w:t>Sudrajat</w:t>
      </w:r>
      <w:proofErr w:type="spellEnd"/>
      <w:r w:rsidRPr="0057522C">
        <w:rPr>
          <w:rFonts w:ascii="Times New Roman" w:eastAsia="Times New Roman" w:hAnsi="Times New Roman" w:cs="Times New Roman"/>
          <w:sz w:val="24"/>
          <w:szCs w:val="24"/>
          <w:lang w:eastAsia="en-GB"/>
        </w:rPr>
        <w:t xml:space="preserve">, D. J., Denny, D., &amp; Kettle, C. J. (2026). Are there enough native tree seed sources to meet forest restoration targets? A spatially explicit assessment in tropical Asia. </w:t>
      </w:r>
      <w:r w:rsidRPr="0057522C">
        <w:rPr>
          <w:rFonts w:ascii="Times New Roman" w:eastAsia="Times New Roman" w:hAnsi="Times New Roman" w:cs="Times New Roman"/>
          <w:i/>
          <w:iCs/>
          <w:sz w:val="24"/>
          <w:szCs w:val="24"/>
          <w:lang w:eastAsia="en-GB"/>
        </w:rPr>
        <w:t>Biological Conservation, 317</w:t>
      </w:r>
      <w:r w:rsidRPr="0057522C">
        <w:rPr>
          <w:rFonts w:ascii="Times New Roman" w:eastAsia="Times New Roman" w:hAnsi="Times New Roman" w:cs="Times New Roman"/>
          <w:sz w:val="24"/>
          <w:szCs w:val="24"/>
          <w:lang w:eastAsia="en-GB"/>
        </w:rPr>
        <w:t xml:space="preserve">, 111811. </w:t>
      </w:r>
      <w:hyperlink r:id="rId11" w:history="1">
        <w:r w:rsidRPr="0057522C">
          <w:rPr>
            <w:rFonts w:ascii="Times New Roman" w:eastAsia="Times New Roman" w:hAnsi="Times New Roman" w:cs="Times New Roman"/>
            <w:color w:val="0000FF"/>
            <w:sz w:val="24"/>
            <w:szCs w:val="24"/>
            <w:u w:val="single"/>
            <w:lang w:eastAsia="en-GB"/>
          </w:rPr>
          <w:t>https://doi.org/10.1016/j.biocon.2026.111811</w:t>
        </w:r>
      </w:hyperlink>
    </w:p>
    <w:p w14:paraId="6E5B5A3B"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Linan, A.</w:t>
      </w:r>
      <w:r w:rsidRPr="009C6D81">
        <w:rPr>
          <w:rFonts w:ascii="Times New Roman" w:eastAsia="Times New Roman" w:hAnsi="Times New Roman" w:cs="Times New Roman"/>
          <w:sz w:val="24"/>
          <w:szCs w:val="24"/>
          <w:lang w:eastAsia="en-GB"/>
        </w:rPr>
        <w:t xml:space="preserve"> G., Gereau, R. E., Sucher, R., </w:t>
      </w:r>
      <w:proofErr w:type="spellStart"/>
      <w:r w:rsidRPr="009C6D81">
        <w:rPr>
          <w:rFonts w:ascii="Times New Roman" w:eastAsia="Times New Roman" w:hAnsi="Times New Roman" w:cs="Times New Roman"/>
          <w:sz w:val="24"/>
          <w:szCs w:val="24"/>
          <w:lang w:eastAsia="en-GB"/>
        </w:rPr>
        <w:t>Mashimba</w:t>
      </w:r>
      <w:proofErr w:type="spellEnd"/>
      <w:r w:rsidRPr="009C6D81">
        <w:rPr>
          <w:rFonts w:ascii="Times New Roman" w:eastAsia="Times New Roman" w:hAnsi="Times New Roman" w:cs="Times New Roman"/>
          <w:sz w:val="24"/>
          <w:szCs w:val="24"/>
          <w:lang w:eastAsia="en-GB"/>
        </w:rPr>
        <w:t xml:space="preserve">, F. H., </w:t>
      </w:r>
      <w:proofErr w:type="spellStart"/>
      <w:r w:rsidRPr="009C6D81">
        <w:rPr>
          <w:rFonts w:ascii="Times New Roman" w:eastAsia="Times New Roman" w:hAnsi="Times New Roman" w:cs="Times New Roman"/>
          <w:sz w:val="24"/>
          <w:szCs w:val="24"/>
          <w:lang w:eastAsia="en-GB"/>
        </w:rPr>
        <w:t>Bassuner</w:t>
      </w:r>
      <w:proofErr w:type="spellEnd"/>
      <w:r w:rsidRPr="009C6D81">
        <w:rPr>
          <w:rFonts w:ascii="Times New Roman" w:eastAsia="Times New Roman" w:hAnsi="Times New Roman" w:cs="Times New Roman"/>
          <w:sz w:val="24"/>
          <w:szCs w:val="24"/>
          <w:lang w:eastAsia="en-GB"/>
        </w:rPr>
        <w:t xml:space="preserve">, B., Wyatt, A., &amp; Edwards, C. E. (2024). Capturing and managing genetic diversity in ex situ collections of threatened tropical trees: A case study in </w:t>
      </w:r>
      <w:proofErr w:type="spellStart"/>
      <w:r w:rsidRPr="009C6D81">
        <w:rPr>
          <w:rFonts w:ascii="Times New Roman" w:eastAsia="Times New Roman" w:hAnsi="Times New Roman" w:cs="Times New Roman"/>
          <w:i/>
          <w:iCs/>
          <w:sz w:val="24"/>
          <w:szCs w:val="24"/>
          <w:lang w:eastAsia="en-GB"/>
        </w:rPr>
        <w:t>Karomia</w:t>
      </w:r>
      <w:proofErr w:type="spellEnd"/>
      <w:r w:rsidRPr="009C6D81">
        <w:rPr>
          <w:rFonts w:ascii="Times New Roman" w:eastAsia="Times New Roman" w:hAnsi="Times New Roman" w:cs="Times New Roman"/>
          <w:i/>
          <w:iCs/>
          <w:sz w:val="24"/>
          <w:szCs w:val="24"/>
          <w:lang w:eastAsia="en-GB"/>
        </w:rPr>
        <w:t xml:space="preserve"> </w:t>
      </w:r>
      <w:proofErr w:type="spellStart"/>
      <w:r w:rsidRPr="009C6D81">
        <w:rPr>
          <w:rFonts w:ascii="Times New Roman" w:eastAsia="Times New Roman" w:hAnsi="Times New Roman" w:cs="Times New Roman"/>
          <w:i/>
          <w:iCs/>
          <w:sz w:val="24"/>
          <w:szCs w:val="24"/>
          <w:lang w:eastAsia="en-GB"/>
        </w:rPr>
        <w:t>gigas</w:t>
      </w:r>
      <w:proofErr w:type="spellEnd"/>
      <w:r w:rsidRPr="009C6D81">
        <w:rPr>
          <w:rFonts w:ascii="Times New Roman" w:eastAsia="Times New Roman" w:hAnsi="Times New Roman" w:cs="Times New Roman"/>
          <w:sz w:val="24"/>
          <w:szCs w:val="24"/>
          <w:lang w:eastAsia="en-GB"/>
        </w:rPr>
        <w:t xml:space="preserve">. </w:t>
      </w:r>
      <w:r w:rsidRPr="009C6D81">
        <w:rPr>
          <w:rFonts w:ascii="Times New Roman" w:eastAsia="Times New Roman" w:hAnsi="Times New Roman" w:cs="Times New Roman"/>
          <w:i/>
          <w:iCs/>
          <w:sz w:val="24"/>
          <w:szCs w:val="24"/>
          <w:lang w:eastAsia="en-GB"/>
        </w:rPr>
        <w:t>Applications in Plant Sciences, 12</w:t>
      </w:r>
      <w:r w:rsidRPr="009C6D81">
        <w:rPr>
          <w:rFonts w:ascii="Times New Roman" w:eastAsia="Times New Roman" w:hAnsi="Times New Roman" w:cs="Times New Roman"/>
          <w:sz w:val="24"/>
          <w:szCs w:val="24"/>
          <w:lang w:eastAsia="en-GB"/>
        </w:rPr>
        <w:t xml:space="preserve">(3), e11589. </w:t>
      </w:r>
      <w:hyperlink r:id="rId12" w:history="1">
        <w:r w:rsidRPr="009C6D81">
          <w:rPr>
            <w:rFonts w:ascii="Times New Roman" w:eastAsia="Times New Roman" w:hAnsi="Times New Roman" w:cs="Times New Roman"/>
            <w:color w:val="0000FF"/>
            <w:sz w:val="24"/>
            <w:szCs w:val="24"/>
            <w:u w:val="single"/>
            <w:lang w:eastAsia="en-GB"/>
          </w:rPr>
          <w:t>https://doi.org/10.1002/aps3.11589</w:t>
        </w:r>
      </w:hyperlink>
    </w:p>
    <w:p w14:paraId="41A18178"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lastRenderedPageBreak/>
        <w:t xml:space="preserve">Luo, W., </w:t>
      </w:r>
      <w:proofErr w:type="spellStart"/>
      <w:r w:rsidRPr="0057522C">
        <w:rPr>
          <w:rFonts w:ascii="Times New Roman" w:eastAsia="Times New Roman" w:hAnsi="Times New Roman" w:cs="Times New Roman"/>
          <w:sz w:val="24"/>
          <w:szCs w:val="24"/>
          <w:lang w:eastAsia="en-GB"/>
        </w:rPr>
        <w:t>Strijk</w:t>
      </w:r>
      <w:proofErr w:type="spellEnd"/>
      <w:r w:rsidRPr="0057522C">
        <w:rPr>
          <w:rFonts w:ascii="Times New Roman" w:eastAsia="Times New Roman" w:hAnsi="Times New Roman" w:cs="Times New Roman"/>
          <w:sz w:val="24"/>
          <w:szCs w:val="24"/>
          <w:lang w:eastAsia="en-GB"/>
        </w:rPr>
        <w:t xml:space="preserve">, J. S., Barstow, M., &amp; Wee, A. K. S. (2022). The role of protected areas in tropical tree conservation post-2020: A case study using threatened </w:t>
      </w:r>
      <w:proofErr w:type="spellStart"/>
      <w:r w:rsidRPr="0057522C">
        <w:rPr>
          <w:rFonts w:ascii="Times New Roman" w:eastAsia="Times New Roman" w:hAnsi="Times New Roman" w:cs="Times New Roman"/>
          <w:sz w:val="24"/>
          <w:szCs w:val="24"/>
          <w:lang w:eastAsia="en-GB"/>
        </w:rPr>
        <w:t>Dipterocarpaceae</w:t>
      </w:r>
      <w:proofErr w:type="spellEnd"/>
      <w:r w:rsidRPr="0057522C">
        <w:rPr>
          <w:rFonts w:ascii="Times New Roman" w:eastAsia="Times New Roman" w:hAnsi="Times New Roman" w:cs="Times New Roman"/>
          <w:sz w:val="24"/>
          <w:szCs w:val="24"/>
          <w:lang w:eastAsia="en-GB"/>
        </w:rPr>
        <w:t xml:space="preserve">. </w:t>
      </w:r>
      <w:r w:rsidRPr="0057522C">
        <w:rPr>
          <w:rFonts w:ascii="Times New Roman" w:eastAsia="Times New Roman" w:hAnsi="Times New Roman" w:cs="Times New Roman"/>
          <w:i/>
          <w:iCs/>
          <w:sz w:val="24"/>
          <w:szCs w:val="24"/>
          <w:lang w:eastAsia="en-GB"/>
        </w:rPr>
        <w:t>Biological Conservation, 272</w:t>
      </w:r>
      <w:r w:rsidRPr="0057522C">
        <w:rPr>
          <w:rFonts w:ascii="Times New Roman" w:eastAsia="Times New Roman" w:hAnsi="Times New Roman" w:cs="Times New Roman"/>
          <w:sz w:val="24"/>
          <w:szCs w:val="24"/>
          <w:lang w:eastAsia="en-GB"/>
        </w:rPr>
        <w:t xml:space="preserve">, 109634. </w:t>
      </w:r>
      <w:hyperlink r:id="rId13" w:history="1">
        <w:r w:rsidRPr="0057522C">
          <w:rPr>
            <w:rFonts w:ascii="Times New Roman" w:eastAsia="Times New Roman" w:hAnsi="Times New Roman" w:cs="Times New Roman"/>
            <w:color w:val="0000FF"/>
            <w:sz w:val="24"/>
            <w:szCs w:val="24"/>
            <w:u w:val="single"/>
            <w:lang w:eastAsia="en-GB"/>
          </w:rPr>
          <w:t>https://doi.org/10.1016/j.biocon.2022.109634</w:t>
        </w:r>
      </w:hyperlink>
    </w:p>
    <w:p w14:paraId="6BF0B22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Norton,</w:t>
      </w:r>
      <w:r w:rsidRPr="009C6D81">
        <w:rPr>
          <w:rFonts w:ascii="Times New Roman" w:eastAsia="Times New Roman" w:hAnsi="Times New Roman" w:cs="Times New Roman"/>
          <w:sz w:val="24"/>
          <w:szCs w:val="24"/>
          <w:lang w:eastAsia="en-GB"/>
        </w:rPr>
        <w:t xml:space="preserve"> S. A. (1994). Useful plants of dermatology. I.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sz w:val="24"/>
          <w:szCs w:val="24"/>
          <w:lang w:eastAsia="en-GB"/>
        </w:rPr>
        <w:t xml:space="preserve"> and chaulmoogra. </w:t>
      </w:r>
      <w:r w:rsidRPr="009C6D81">
        <w:rPr>
          <w:rFonts w:ascii="Times New Roman" w:eastAsia="Times New Roman" w:hAnsi="Times New Roman" w:cs="Times New Roman"/>
          <w:i/>
          <w:iCs/>
          <w:sz w:val="24"/>
          <w:szCs w:val="24"/>
          <w:lang w:eastAsia="en-GB"/>
        </w:rPr>
        <w:t>Journal of the American Academy of Dermatology, 31</w:t>
      </w:r>
      <w:r w:rsidRPr="009C6D81">
        <w:rPr>
          <w:rFonts w:ascii="Times New Roman" w:eastAsia="Times New Roman" w:hAnsi="Times New Roman" w:cs="Times New Roman"/>
          <w:sz w:val="24"/>
          <w:szCs w:val="24"/>
          <w:lang w:eastAsia="en-GB"/>
        </w:rPr>
        <w:t xml:space="preserve">(4), 683–686. </w:t>
      </w:r>
      <w:hyperlink r:id="rId14" w:history="1">
        <w:r w:rsidRPr="009C6D81">
          <w:rPr>
            <w:rFonts w:ascii="Times New Roman" w:eastAsia="Times New Roman" w:hAnsi="Times New Roman" w:cs="Times New Roman"/>
            <w:color w:val="0000FF"/>
            <w:sz w:val="24"/>
            <w:szCs w:val="24"/>
            <w:u w:val="single"/>
            <w:lang w:eastAsia="en-GB"/>
          </w:rPr>
          <w:t>https://doi.org/10.1016/S0190-9622(08)81744-6</w:t>
        </w:r>
      </w:hyperlink>
    </w:p>
    <w:p w14:paraId="0BEE9E84"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Potter, K. M., Jetton, R. M., Bower, A. D., Jacobs, D. F., Man, G., Hipkins, V. D., &amp; Westwood, M. (2017). Banking on the future: Progress, challenges and opportunities for the genetic conservation of forest trees. </w:t>
      </w:r>
      <w:r w:rsidRPr="0057522C">
        <w:rPr>
          <w:rFonts w:ascii="Times New Roman" w:eastAsia="Times New Roman" w:hAnsi="Times New Roman" w:cs="Times New Roman"/>
          <w:i/>
          <w:iCs/>
          <w:sz w:val="24"/>
          <w:szCs w:val="24"/>
          <w:lang w:eastAsia="en-GB"/>
        </w:rPr>
        <w:t>New Forests, 48</w:t>
      </w:r>
      <w:r w:rsidRPr="0057522C">
        <w:rPr>
          <w:rFonts w:ascii="Times New Roman" w:eastAsia="Times New Roman" w:hAnsi="Times New Roman" w:cs="Times New Roman"/>
          <w:sz w:val="24"/>
          <w:szCs w:val="24"/>
          <w:lang w:eastAsia="en-GB"/>
        </w:rPr>
        <w:t xml:space="preserve">, 153–180. </w:t>
      </w:r>
      <w:hyperlink r:id="rId15" w:history="1">
        <w:r w:rsidRPr="0057522C">
          <w:rPr>
            <w:rFonts w:ascii="Times New Roman" w:eastAsia="Times New Roman" w:hAnsi="Times New Roman" w:cs="Times New Roman"/>
            <w:color w:val="0000FF"/>
            <w:sz w:val="24"/>
            <w:szCs w:val="24"/>
            <w:u w:val="single"/>
            <w:lang w:eastAsia="en-GB"/>
          </w:rPr>
          <w:t>https://doi.org/10.1007/s11056-017-9582-8</w:t>
        </w:r>
      </w:hyperlink>
    </w:p>
    <w:p w14:paraId="5C43F19D"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Prakash, A., </w:t>
      </w:r>
      <w:proofErr w:type="spellStart"/>
      <w:r w:rsidRPr="0057522C">
        <w:rPr>
          <w:rFonts w:ascii="Times New Roman" w:eastAsia="Times New Roman" w:hAnsi="Times New Roman" w:cs="Times New Roman"/>
          <w:sz w:val="24"/>
          <w:szCs w:val="24"/>
          <w:lang w:eastAsia="en-GB"/>
        </w:rPr>
        <w:t>Capblancq</w:t>
      </w:r>
      <w:proofErr w:type="spellEnd"/>
      <w:r w:rsidRPr="0057522C">
        <w:rPr>
          <w:rFonts w:ascii="Times New Roman" w:eastAsia="Times New Roman" w:hAnsi="Times New Roman" w:cs="Times New Roman"/>
          <w:sz w:val="24"/>
          <w:szCs w:val="24"/>
          <w:lang w:eastAsia="en-GB"/>
        </w:rPr>
        <w:t xml:space="preserve">, T., Shallows, K., Saville, D., Landau, D., Landress, C., Jacobs, T., &amp; Keller, S. R. (2024). Bringing genomics to the field: An integrative approach to seed sourcing for forest restoration. </w:t>
      </w:r>
      <w:r w:rsidRPr="0057522C">
        <w:rPr>
          <w:rFonts w:ascii="Times New Roman" w:eastAsia="Times New Roman" w:hAnsi="Times New Roman" w:cs="Times New Roman"/>
          <w:i/>
          <w:iCs/>
          <w:sz w:val="24"/>
          <w:szCs w:val="24"/>
          <w:lang w:eastAsia="en-GB"/>
        </w:rPr>
        <w:t>Applications in Plant Sciences, 12</w:t>
      </w:r>
      <w:r w:rsidRPr="0057522C">
        <w:rPr>
          <w:rFonts w:ascii="Times New Roman" w:eastAsia="Times New Roman" w:hAnsi="Times New Roman" w:cs="Times New Roman"/>
          <w:sz w:val="24"/>
          <w:szCs w:val="24"/>
          <w:lang w:eastAsia="en-GB"/>
        </w:rPr>
        <w:t xml:space="preserve">(3), e11600. </w:t>
      </w:r>
      <w:hyperlink r:id="rId16" w:history="1">
        <w:r w:rsidRPr="0057522C">
          <w:rPr>
            <w:rFonts w:ascii="Times New Roman" w:eastAsia="Times New Roman" w:hAnsi="Times New Roman" w:cs="Times New Roman"/>
            <w:color w:val="0000FF"/>
            <w:sz w:val="24"/>
            <w:szCs w:val="24"/>
            <w:u w:val="single"/>
            <w:lang w:eastAsia="en-GB"/>
          </w:rPr>
          <w:t>https://doi.org/10.1002/aps3.11600</w:t>
        </w:r>
      </w:hyperlink>
    </w:p>
    <w:p w14:paraId="3598EEB3"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Sahoo, M</w:t>
      </w:r>
      <w:r w:rsidRPr="009C6D81">
        <w:rPr>
          <w:rFonts w:ascii="Times New Roman" w:eastAsia="Times New Roman" w:hAnsi="Times New Roman" w:cs="Times New Roman"/>
          <w:sz w:val="24"/>
          <w:szCs w:val="24"/>
          <w:lang w:eastAsia="en-GB"/>
        </w:rPr>
        <w:t xml:space="preserve">. R., Dhanabal, S. P., Jadhav, A. N., Reddy, V., </w:t>
      </w:r>
      <w:proofErr w:type="spellStart"/>
      <w:r w:rsidRPr="009C6D81">
        <w:rPr>
          <w:rFonts w:ascii="Times New Roman" w:eastAsia="Times New Roman" w:hAnsi="Times New Roman" w:cs="Times New Roman"/>
          <w:sz w:val="24"/>
          <w:szCs w:val="24"/>
          <w:lang w:eastAsia="en-GB"/>
        </w:rPr>
        <w:t>Muguli</w:t>
      </w:r>
      <w:proofErr w:type="spellEnd"/>
      <w:r w:rsidRPr="009C6D81">
        <w:rPr>
          <w:rFonts w:ascii="Times New Roman" w:eastAsia="Times New Roman" w:hAnsi="Times New Roman" w:cs="Times New Roman"/>
          <w:sz w:val="24"/>
          <w:szCs w:val="24"/>
          <w:lang w:eastAsia="en-GB"/>
        </w:rPr>
        <w:t xml:space="preserve">, G., Babu, U. V., &amp; Rangesh, P. (2014).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sz w:val="24"/>
          <w:szCs w:val="24"/>
          <w:lang w:eastAsia="en-GB"/>
        </w:rPr>
        <w:t xml:space="preserve">: An </w:t>
      </w:r>
      <w:proofErr w:type="spellStart"/>
      <w:r w:rsidRPr="009C6D81">
        <w:rPr>
          <w:rFonts w:ascii="Times New Roman" w:eastAsia="Times New Roman" w:hAnsi="Times New Roman" w:cs="Times New Roman"/>
          <w:sz w:val="24"/>
          <w:szCs w:val="24"/>
          <w:lang w:eastAsia="en-GB"/>
        </w:rPr>
        <w:t>ethnopharmacological</w:t>
      </w:r>
      <w:proofErr w:type="spellEnd"/>
      <w:r w:rsidRPr="009C6D81">
        <w:rPr>
          <w:rFonts w:ascii="Times New Roman" w:eastAsia="Times New Roman" w:hAnsi="Times New Roman" w:cs="Times New Roman"/>
          <w:sz w:val="24"/>
          <w:szCs w:val="24"/>
          <w:lang w:eastAsia="en-GB"/>
        </w:rPr>
        <w:t xml:space="preserve">, phytochemical and pharmacological review. </w:t>
      </w:r>
      <w:r w:rsidRPr="009C6D81">
        <w:rPr>
          <w:rFonts w:ascii="Times New Roman" w:eastAsia="Times New Roman" w:hAnsi="Times New Roman" w:cs="Times New Roman"/>
          <w:i/>
          <w:iCs/>
          <w:sz w:val="24"/>
          <w:szCs w:val="24"/>
          <w:lang w:eastAsia="en-GB"/>
        </w:rPr>
        <w:t>Journal of Ethnopharmacology, 154</w:t>
      </w:r>
      <w:r w:rsidRPr="009C6D81">
        <w:rPr>
          <w:rFonts w:ascii="Times New Roman" w:eastAsia="Times New Roman" w:hAnsi="Times New Roman" w:cs="Times New Roman"/>
          <w:sz w:val="24"/>
          <w:szCs w:val="24"/>
          <w:lang w:eastAsia="en-GB"/>
        </w:rPr>
        <w:t xml:space="preserve">(1), 17–25. </w:t>
      </w:r>
      <w:hyperlink r:id="rId17" w:history="1">
        <w:r w:rsidRPr="009C6D81">
          <w:rPr>
            <w:rFonts w:ascii="Times New Roman" w:eastAsia="Times New Roman" w:hAnsi="Times New Roman" w:cs="Times New Roman"/>
            <w:color w:val="0000FF"/>
            <w:sz w:val="24"/>
            <w:szCs w:val="24"/>
            <w:u w:val="single"/>
            <w:lang w:eastAsia="en-GB"/>
          </w:rPr>
          <w:t>https://doi.org/10.1016/j.jep.2014.03.029</w:t>
        </w:r>
      </w:hyperlink>
    </w:p>
    <w:p w14:paraId="470A1AA0"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Thomas, E., Jalonen, R., Loo, J., </w:t>
      </w:r>
      <w:proofErr w:type="spellStart"/>
      <w:r w:rsidRPr="0057522C">
        <w:rPr>
          <w:rFonts w:ascii="Times New Roman" w:eastAsia="Times New Roman" w:hAnsi="Times New Roman" w:cs="Times New Roman"/>
          <w:sz w:val="24"/>
          <w:szCs w:val="24"/>
          <w:lang w:eastAsia="en-GB"/>
        </w:rPr>
        <w:t>Boshier</w:t>
      </w:r>
      <w:proofErr w:type="spellEnd"/>
      <w:r w:rsidRPr="0057522C">
        <w:rPr>
          <w:rFonts w:ascii="Times New Roman" w:eastAsia="Times New Roman" w:hAnsi="Times New Roman" w:cs="Times New Roman"/>
          <w:sz w:val="24"/>
          <w:szCs w:val="24"/>
          <w:lang w:eastAsia="en-GB"/>
        </w:rPr>
        <w:t xml:space="preserve">, D., Gallo, L., Cavers, S., Bordács, S., Smith, P., &amp; </w:t>
      </w:r>
      <w:proofErr w:type="spellStart"/>
      <w:r w:rsidRPr="0057522C">
        <w:rPr>
          <w:rFonts w:ascii="Times New Roman" w:eastAsia="Times New Roman" w:hAnsi="Times New Roman" w:cs="Times New Roman"/>
          <w:sz w:val="24"/>
          <w:szCs w:val="24"/>
          <w:lang w:eastAsia="en-GB"/>
        </w:rPr>
        <w:t>Bozzano</w:t>
      </w:r>
      <w:proofErr w:type="spellEnd"/>
      <w:r w:rsidRPr="0057522C">
        <w:rPr>
          <w:rFonts w:ascii="Times New Roman" w:eastAsia="Times New Roman" w:hAnsi="Times New Roman" w:cs="Times New Roman"/>
          <w:sz w:val="24"/>
          <w:szCs w:val="24"/>
          <w:lang w:eastAsia="en-GB"/>
        </w:rPr>
        <w:t xml:space="preserve">, M. (2014). Genetic considerations in ecosystem restoration using native tree species. </w:t>
      </w:r>
      <w:r w:rsidRPr="0057522C">
        <w:rPr>
          <w:rFonts w:ascii="Times New Roman" w:eastAsia="Times New Roman" w:hAnsi="Times New Roman" w:cs="Times New Roman"/>
          <w:i/>
          <w:iCs/>
          <w:sz w:val="24"/>
          <w:szCs w:val="24"/>
          <w:lang w:eastAsia="en-GB"/>
        </w:rPr>
        <w:t>Forest Ecology and Management, 333</w:t>
      </w:r>
      <w:r w:rsidRPr="0057522C">
        <w:rPr>
          <w:rFonts w:ascii="Times New Roman" w:eastAsia="Times New Roman" w:hAnsi="Times New Roman" w:cs="Times New Roman"/>
          <w:sz w:val="24"/>
          <w:szCs w:val="24"/>
          <w:lang w:eastAsia="en-GB"/>
        </w:rPr>
        <w:t xml:space="preserve">, 66–75. </w:t>
      </w:r>
      <w:hyperlink r:id="rId18" w:history="1">
        <w:r w:rsidRPr="0057522C">
          <w:rPr>
            <w:rFonts w:ascii="Times New Roman" w:eastAsia="Times New Roman" w:hAnsi="Times New Roman" w:cs="Times New Roman"/>
            <w:color w:val="0000FF"/>
            <w:sz w:val="24"/>
            <w:szCs w:val="24"/>
            <w:u w:val="single"/>
            <w:lang w:eastAsia="en-GB"/>
          </w:rPr>
          <w:t>https://doi.org/10.1016/j.foreco.2014.07.015</w:t>
        </w:r>
      </w:hyperlink>
    </w:p>
    <w:p w14:paraId="69AC3E8B" w14:textId="77777777" w:rsidR="00382F11" w:rsidRPr="0057522C"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 xml:space="preserve">Török, K., Valkó, O., &amp; Deák, B. (2024). Ecosystem restoration with local or broad seed </w:t>
      </w:r>
      <w:proofErr w:type="spellStart"/>
      <w:r w:rsidRPr="0057522C">
        <w:rPr>
          <w:rFonts w:ascii="Times New Roman" w:eastAsia="Times New Roman" w:hAnsi="Times New Roman" w:cs="Times New Roman"/>
          <w:sz w:val="24"/>
          <w:szCs w:val="24"/>
          <w:lang w:eastAsia="en-GB"/>
        </w:rPr>
        <w:t>provenancing</w:t>
      </w:r>
      <w:proofErr w:type="spellEnd"/>
      <w:r w:rsidRPr="0057522C">
        <w:rPr>
          <w:rFonts w:ascii="Times New Roman" w:eastAsia="Times New Roman" w:hAnsi="Times New Roman" w:cs="Times New Roman"/>
          <w:sz w:val="24"/>
          <w:szCs w:val="24"/>
          <w:lang w:eastAsia="en-GB"/>
        </w:rPr>
        <w:t xml:space="preserve">: Debates and perceptions in science and practice. </w:t>
      </w:r>
      <w:r w:rsidRPr="0057522C">
        <w:rPr>
          <w:rFonts w:ascii="Times New Roman" w:eastAsia="Times New Roman" w:hAnsi="Times New Roman" w:cs="Times New Roman"/>
          <w:i/>
          <w:iCs/>
          <w:sz w:val="24"/>
          <w:szCs w:val="24"/>
          <w:lang w:eastAsia="en-GB"/>
        </w:rPr>
        <w:t>Biological Conservation, 293</w:t>
      </w:r>
      <w:r w:rsidRPr="0057522C">
        <w:rPr>
          <w:rFonts w:ascii="Times New Roman" w:eastAsia="Times New Roman" w:hAnsi="Times New Roman" w:cs="Times New Roman"/>
          <w:sz w:val="24"/>
          <w:szCs w:val="24"/>
          <w:lang w:eastAsia="en-GB"/>
        </w:rPr>
        <w:t xml:space="preserve">, 110535. </w:t>
      </w:r>
      <w:hyperlink r:id="rId19" w:history="1">
        <w:r w:rsidRPr="0057522C">
          <w:rPr>
            <w:rFonts w:ascii="Times New Roman" w:eastAsia="Times New Roman" w:hAnsi="Times New Roman" w:cs="Times New Roman"/>
            <w:color w:val="0000FF"/>
            <w:sz w:val="24"/>
            <w:szCs w:val="24"/>
            <w:u w:val="single"/>
            <w:lang w:eastAsia="en-GB"/>
          </w:rPr>
          <w:t>https://doi.org/10.1016/j.biocon.2024.110535</w:t>
        </w:r>
      </w:hyperlink>
    </w:p>
    <w:p w14:paraId="0FE85335"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t>Vitt, P., Finch</w:t>
      </w:r>
      <w:r w:rsidRPr="009C6D81">
        <w:rPr>
          <w:rFonts w:ascii="Times New Roman" w:eastAsia="Times New Roman" w:hAnsi="Times New Roman" w:cs="Times New Roman"/>
          <w:sz w:val="24"/>
          <w:szCs w:val="24"/>
          <w:lang w:eastAsia="en-GB"/>
        </w:rPr>
        <w:t xml:space="preserve">, J., Barak, R. S., Braum, A., </w:t>
      </w:r>
      <w:proofErr w:type="spellStart"/>
      <w:r w:rsidRPr="009C6D81">
        <w:rPr>
          <w:rFonts w:ascii="Times New Roman" w:eastAsia="Times New Roman" w:hAnsi="Times New Roman" w:cs="Times New Roman"/>
          <w:sz w:val="24"/>
          <w:szCs w:val="24"/>
          <w:lang w:eastAsia="en-GB"/>
        </w:rPr>
        <w:t>Frischie</w:t>
      </w:r>
      <w:proofErr w:type="spellEnd"/>
      <w:r w:rsidRPr="009C6D81">
        <w:rPr>
          <w:rFonts w:ascii="Times New Roman" w:eastAsia="Times New Roman" w:hAnsi="Times New Roman" w:cs="Times New Roman"/>
          <w:sz w:val="24"/>
          <w:szCs w:val="24"/>
          <w:lang w:eastAsia="en-GB"/>
        </w:rPr>
        <w:t xml:space="preserve">, S., &amp; </w:t>
      </w:r>
      <w:proofErr w:type="spellStart"/>
      <w:r w:rsidRPr="009C6D81">
        <w:rPr>
          <w:rFonts w:ascii="Times New Roman" w:eastAsia="Times New Roman" w:hAnsi="Times New Roman" w:cs="Times New Roman"/>
          <w:sz w:val="24"/>
          <w:szCs w:val="24"/>
          <w:lang w:eastAsia="en-GB"/>
        </w:rPr>
        <w:t>Redlinski</w:t>
      </w:r>
      <w:proofErr w:type="spellEnd"/>
      <w:r w:rsidRPr="009C6D81">
        <w:rPr>
          <w:rFonts w:ascii="Times New Roman" w:eastAsia="Times New Roman" w:hAnsi="Times New Roman" w:cs="Times New Roman"/>
          <w:sz w:val="24"/>
          <w:szCs w:val="24"/>
          <w:lang w:eastAsia="en-GB"/>
        </w:rPr>
        <w:t xml:space="preserve">, I. (2022). Seed sourcing strategies for ecological restoration under climate change: A review of the current literature. </w:t>
      </w:r>
      <w:r w:rsidRPr="009C6D81">
        <w:rPr>
          <w:rFonts w:ascii="Times New Roman" w:eastAsia="Times New Roman" w:hAnsi="Times New Roman" w:cs="Times New Roman"/>
          <w:i/>
          <w:iCs/>
          <w:sz w:val="24"/>
          <w:szCs w:val="24"/>
          <w:lang w:eastAsia="en-GB"/>
        </w:rPr>
        <w:t>Frontiers in Conservation Science, 3</w:t>
      </w:r>
      <w:r w:rsidRPr="009C6D81">
        <w:rPr>
          <w:rFonts w:ascii="Times New Roman" w:eastAsia="Times New Roman" w:hAnsi="Times New Roman" w:cs="Times New Roman"/>
          <w:sz w:val="24"/>
          <w:szCs w:val="24"/>
          <w:lang w:eastAsia="en-GB"/>
        </w:rPr>
        <w:t xml:space="preserve">, 938110. </w:t>
      </w:r>
      <w:hyperlink r:id="rId20" w:history="1">
        <w:r w:rsidRPr="009C6D81">
          <w:rPr>
            <w:rFonts w:ascii="Times New Roman" w:eastAsia="Times New Roman" w:hAnsi="Times New Roman" w:cs="Times New Roman"/>
            <w:color w:val="0000FF"/>
            <w:sz w:val="24"/>
            <w:szCs w:val="24"/>
            <w:u w:val="single"/>
            <w:lang w:eastAsia="en-GB"/>
          </w:rPr>
          <w:t>https://doi.org/10.3389/fcosc.2022.938110</w:t>
        </w:r>
      </w:hyperlink>
    </w:p>
    <w:p w14:paraId="5ECCE3A1" w14:textId="77777777" w:rsidR="00382F11" w:rsidRPr="009C6D81" w:rsidRDefault="00382F11" w:rsidP="00382F1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57522C">
        <w:rPr>
          <w:rFonts w:ascii="Times New Roman" w:eastAsia="Times New Roman" w:hAnsi="Times New Roman" w:cs="Times New Roman"/>
          <w:sz w:val="24"/>
          <w:szCs w:val="24"/>
          <w:lang w:eastAsia="en-GB"/>
        </w:rPr>
        <w:lastRenderedPageBreak/>
        <w:t>World Flora</w:t>
      </w:r>
      <w:r w:rsidRPr="009C6D81">
        <w:rPr>
          <w:rFonts w:ascii="Times New Roman" w:eastAsia="Times New Roman" w:hAnsi="Times New Roman" w:cs="Times New Roman"/>
          <w:sz w:val="24"/>
          <w:szCs w:val="24"/>
          <w:lang w:eastAsia="en-GB"/>
        </w:rPr>
        <w:t xml:space="preserve"> Online Consortium. (2026). </w:t>
      </w:r>
      <w:proofErr w:type="spellStart"/>
      <w:r w:rsidRPr="009C6D81">
        <w:rPr>
          <w:rFonts w:ascii="Times New Roman" w:eastAsia="Times New Roman" w:hAnsi="Times New Roman" w:cs="Times New Roman"/>
          <w:i/>
          <w:iCs/>
          <w:sz w:val="24"/>
          <w:szCs w:val="24"/>
          <w:lang w:eastAsia="en-GB"/>
        </w:rPr>
        <w:t>Hydnocarpus</w:t>
      </w:r>
      <w:proofErr w:type="spellEnd"/>
      <w:r w:rsidRPr="009C6D81">
        <w:rPr>
          <w:rFonts w:ascii="Times New Roman" w:eastAsia="Times New Roman" w:hAnsi="Times New Roman" w:cs="Times New Roman"/>
          <w:i/>
          <w:iCs/>
          <w:sz w:val="24"/>
          <w:szCs w:val="24"/>
          <w:lang w:eastAsia="en-GB"/>
        </w:rPr>
        <w:t xml:space="preserve"> </w:t>
      </w:r>
      <w:proofErr w:type="spellStart"/>
      <w:r w:rsidRPr="009C6D81">
        <w:rPr>
          <w:rFonts w:ascii="Times New Roman" w:eastAsia="Times New Roman" w:hAnsi="Times New Roman" w:cs="Times New Roman"/>
          <w:i/>
          <w:iCs/>
          <w:sz w:val="24"/>
          <w:szCs w:val="24"/>
          <w:lang w:eastAsia="en-GB"/>
        </w:rPr>
        <w:t>kurzii</w:t>
      </w:r>
      <w:proofErr w:type="spellEnd"/>
      <w:r w:rsidRPr="009C6D81">
        <w:rPr>
          <w:rFonts w:ascii="Times New Roman" w:eastAsia="Times New Roman" w:hAnsi="Times New Roman" w:cs="Times New Roman"/>
          <w:sz w:val="24"/>
          <w:szCs w:val="24"/>
          <w:lang w:eastAsia="en-GB"/>
        </w:rPr>
        <w:t xml:space="preserve"> (King) </w:t>
      </w:r>
      <w:proofErr w:type="spellStart"/>
      <w:r w:rsidRPr="009C6D81">
        <w:rPr>
          <w:rFonts w:ascii="Times New Roman" w:eastAsia="Times New Roman" w:hAnsi="Times New Roman" w:cs="Times New Roman"/>
          <w:sz w:val="24"/>
          <w:szCs w:val="24"/>
          <w:lang w:eastAsia="en-GB"/>
        </w:rPr>
        <w:t>Warb</w:t>
      </w:r>
      <w:proofErr w:type="spellEnd"/>
      <w:r w:rsidRPr="009C6D81">
        <w:rPr>
          <w:rFonts w:ascii="Times New Roman" w:eastAsia="Times New Roman" w:hAnsi="Times New Roman" w:cs="Times New Roman"/>
          <w:sz w:val="24"/>
          <w:szCs w:val="24"/>
          <w:lang w:eastAsia="en-GB"/>
        </w:rPr>
        <w:t xml:space="preserve">. </w:t>
      </w:r>
      <w:r w:rsidRPr="009C6D81">
        <w:rPr>
          <w:rFonts w:ascii="Times New Roman" w:eastAsia="Times New Roman" w:hAnsi="Times New Roman" w:cs="Times New Roman"/>
          <w:i/>
          <w:iCs/>
          <w:sz w:val="24"/>
          <w:szCs w:val="24"/>
          <w:lang w:eastAsia="en-GB"/>
        </w:rPr>
        <w:t>World Flora Online</w:t>
      </w:r>
      <w:r w:rsidRPr="009C6D81">
        <w:rPr>
          <w:rFonts w:ascii="Times New Roman" w:eastAsia="Times New Roman" w:hAnsi="Times New Roman" w:cs="Times New Roman"/>
          <w:sz w:val="24"/>
          <w:szCs w:val="24"/>
          <w:lang w:eastAsia="en-GB"/>
        </w:rPr>
        <w:t xml:space="preserve">. </w:t>
      </w:r>
      <w:hyperlink r:id="rId21" w:history="1">
        <w:r w:rsidRPr="009C6D81">
          <w:rPr>
            <w:rFonts w:ascii="Times New Roman" w:eastAsia="Times New Roman" w:hAnsi="Times New Roman" w:cs="Times New Roman"/>
            <w:color w:val="0000FF"/>
            <w:sz w:val="24"/>
            <w:szCs w:val="24"/>
            <w:u w:val="single"/>
            <w:lang w:eastAsia="en-GB"/>
          </w:rPr>
          <w:t>https://www.worldfloraonline.org/taxon/wfo-0001062631</w:t>
        </w:r>
      </w:hyperlink>
    </w:p>
    <w:p w14:paraId="75458D59" w14:textId="77777777" w:rsidR="00382F11" w:rsidRPr="009C6D81" w:rsidRDefault="00382F11" w:rsidP="00382F11">
      <w:pPr>
        <w:spacing w:line="360" w:lineRule="auto"/>
        <w:jc w:val="both"/>
        <w:rPr>
          <w:sz w:val="24"/>
          <w:szCs w:val="24"/>
        </w:rPr>
      </w:pPr>
    </w:p>
    <w:p w14:paraId="084C84D3" w14:textId="77777777" w:rsidR="00210BAB" w:rsidRPr="00BD4D7B" w:rsidRDefault="00210BAB" w:rsidP="00BD4D7B">
      <w:pPr>
        <w:spacing w:line="360" w:lineRule="auto"/>
        <w:jc w:val="both"/>
        <w:rPr>
          <w:rFonts w:ascii="Times New Roman" w:hAnsi="Times New Roman" w:cs="Times New Roman"/>
          <w:sz w:val="24"/>
          <w:szCs w:val="24"/>
        </w:rPr>
      </w:pPr>
    </w:p>
    <w:sectPr w:rsidR="00210BAB" w:rsidRPr="00BD4D7B">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9882A" w14:textId="77777777" w:rsidR="00012423" w:rsidRDefault="00012423" w:rsidP="008827F5">
      <w:pPr>
        <w:spacing w:after="0" w:line="240" w:lineRule="auto"/>
      </w:pPr>
      <w:r>
        <w:separator/>
      </w:r>
    </w:p>
  </w:endnote>
  <w:endnote w:type="continuationSeparator" w:id="0">
    <w:p w14:paraId="4AD48138" w14:textId="77777777" w:rsidR="00012423" w:rsidRDefault="00012423" w:rsidP="0088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EF690" w14:textId="77777777" w:rsidR="008827F5" w:rsidRDefault="008827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E1ABD" w14:textId="77777777" w:rsidR="008827F5" w:rsidRDefault="008827F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7B461" w14:textId="77777777" w:rsidR="008827F5" w:rsidRDefault="008827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0224B" w14:textId="77777777" w:rsidR="00012423" w:rsidRDefault="00012423" w:rsidP="008827F5">
      <w:pPr>
        <w:spacing w:after="0" w:line="240" w:lineRule="auto"/>
      </w:pPr>
      <w:r>
        <w:separator/>
      </w:r>
    </w:p>
  </w:footnote>
  <w:footnote w:type="continuationSeparator" w:id="0">
    <w:p w14:paraId="2DD81D0C" w14:textId="77777777" w:rsidR="00012423" w:rsidRDefault="00012423" w:rsidP="0088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75EF9" w14:textId="2C02B6E7" w:rsidR="008827F5" w:rsidRDefault="00012423">
    <w:pPr>
      <w:pStyle w:val="Encabezado"/>
    </w:pPr>
    <w:r>
      <w:rPr>
        <w:noProof/>
      </w:rPr>
      <w:pict w14:anchorId="57607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0"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9E7F0" w14:textId="25BBD987" w:rsidR="008827F5" w:rsidRDefault="00012423">
    <w:pPr>
      <w:pStyle w:val="Encabezado"/>
    </w:pPr>
    <w:r>
      <w:rPr>
        <w:noProof/>
      </w:rPr>
      <w:pict w14:anchorId="0C2295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61"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8D6E" w14:textId="12DF5A27" w:rsidR="008827F5" w:rsidRDefault="00012423">
    <w:pPr>
      <w:pStyle w:val="Encabezado"/>
    </w:pPr>
    <w:r>
      <w:rPr>
        <w:noProof/>
      </w:rPr>
      <w:pict w14:anchorId="0AD11A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86359"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541"/>
    <w:rsid w:val="00012423"/>
    <w:rsid w:val="00201EC6"/>
    <w:rsid w:val="00210BAB"/>
    <w:rsid w:val="002156C6"/>
    <w:rsid w:val="00277693"/>
    <w:rsid w:val="002D6B46"/>
    <w:rsid w:val="002E5C5F"/>
    <w:rsid w:val="002E6541"/>
    <w:rsid w:val="00382F11"/>
    <w:rsid w:val="00545ACB"/>
    <w:rsid w:val="005521DC"/>
    <w:rsid w:val="0057522C"/>
    <w:rsid w:val="005966BD"/>
    <w:rsid w:val="005A0EBD"/>
    <w:rsid w:val="005D3A71"/>
    <w:rsid w:val="006E6402"/>
    <w:rsid w:val="006F7D10"/>
    <w:rsid w:val="00875F71"/>
    <w:rsid w:val="008827F5"/>
    <w:rsid w:val="0097038E"/>
    <w:rsid w:val="00A74BCB"/>
    <w:rsid w:val="00AD0D3E"/>
    <w:rsid w:val="00BD4D7B"/>
    <w:rsid w:val="00CC35CF"/>
    <w:rsid w:val="00DD3CB7"/>
    <w:rsid w:val="00EE70C9"/>
    <w:rsid w:val="00F12EF4"/>
    <w:rsid w:val="00F404ED"/>
    <w:rsid w:val="00F96055"/>
    <w:rsid w:val="00FC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1AA6F2"/>
  <w15:docId w15:val="{8A415792-731B-44B4-A5D6-EE82E9EB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D4D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4D7B"/>
    <w:rPr>
      <w:rFonts w:ascii="Tahoma" w:hAnsi="Tahoma" w:cs="Tahoma"/>
      <w:sz w:val="16"/>
      <w:szCs w:val="16"/>
    </w:rPr>
  </w:style>
  <w:style w:type="paragraph" w:styleId="Sinespaciado">
    <w:name w:val="No Spacing"/>
    <w:uiPriority w:val="1"/>
    <w:qFormat/>
    <w:rsid w:val="00DD3CB7"/>
    <w:pPr>
      <w:spacing w:after="0" w:line="240" w:lineRule="auto"/>
    </w:pPr>
  </w:style>
  <w:style w:type="paragraph" w:customStyle="1" w:styleId="isselectedend">
    <w:name w:val="isselectedend"/>
    <w:basedOn w:val="Normal"/>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extoennegrita">
    <w:name w:val="Strong"/>
    <w:basedOn w:val="Fuentedeprrafopredeter"/>
    <w:uiPriority w:val="22"/>
    <w:qFormat/>
    <w:rsid w:val="00545ACB"/>
    <w:rPr>
      <w:b/>
      <w:bCs/>
    </w:rPr>
  </w:style>
  <w:style w:type="character" w:customStyle="1" w:styleId="text-token-text-primary">
    <w:name w:val="text-token-text-primary"/>
    <w:basedOn w:val="Fuentedeprrafopredeter"/>
    <w:rsid w:val="00545ACB"/>
  </w:style>
  <w:style w:type="paragraph" w:styleId="NormalWeb">
    <w:name w:val="Normal (Web)"/>
    <w:basedOn w:val="Normal"/>
    <w:uiPriority w:val="99"/>
    <w:semiHidden/>
    <w:unhideWhenUsed/>
    <w:rsid w:val="00545A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vnculo">
    <w:name w:val="Hyperlink"/>
    <w:basedOn w:val="Fuentedeprrafopredeter"/>
    <w:uiPriority w:val="99"/>
    <w:unhideWhenUsed/>
    <w:rsid w:val="00201EC6"/>
    <w:rPr>
      <w:color w:val="0000FF" w:themeColor="hyperlink"/>
      <w:u w:val="single"/>
    </w:rPr>
  </w:style>
  <w:style w:type="character" w:customStyle="1" w:styleId="UnresolvedMention">
    <w:name w:val="Unresolved Mention"/>
    <w:basedOn w:val="Fuentedeprrafopredeter"/>
    <w:uiPriority w:val="99"/>
    <w:semiHidden/>
    <w:unhideWhenUsed/>
    <w:rsid w:val="00201EC6"/>
    <w:rPr>
      <w:color w:val="605E5C"/>
      <w:shd w:val="clear" w:color="auto" w:fill="E1DFDD"/>
    </w:rPr>
  </w:style>
  <w:style w:type="table" w:styleId="Tablaconcuadrcula">
    <w:name w:val="Table Grid"/>
    <w:basedOn w:val="Tablanormal"/>
    <w:uiPriority w:val="39"/>
    <w:rsid w:val="00875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827F5"/>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8827F5"/>
  </w:style>
  <w:style w:type="paragraph" w:styleId="Piedepgina">
    <w:name w:val="footer"/>
    <w:basedOn w:val="Normal"/>
    <w:link w:val="PiedepginaCar"/>
    <w:uiPriority w:val="99"/>
    <w:unhideWhenUsed/>
    <w:rsid w:val="008827F5"/>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882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97593">
      <w:bodyDiv w:val="1"/>
      <w:marLeft w:val="0"/>
      <w:marRight w:val="0"/>
      <w:marTop w:val="0"/>
      <w:marBottom w:val="0"/>
      <w:divBdr>
        <w:top w:val="none" w:sz="0" w:space="0" w:color="auto"/>
        <w:left w:val="none" w:sz="0" w:space="0" w:color="auto"/>
        <w:bottom w:val="none" w:sz="0" w:space="0" w:color="auto"/>
        <w:right w:val="none" w:sz="0" w:space="0" w:color="auto"/>
      </w:divBdr>
    </w:div>
    <w:div w:id="7164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3/pnas.1012973108" TargetMode="External"/><Relationship Id="rId13" Type="http://schemas.openxmlformats.org/officeDocument/2006/relationships/hyperlink" Target="https://doi.org/10.1016/j.biocon.2022.109634" TargetMode="External"/><Relationship Id="rId18" Type="http://schemas.openxmlformats.org/officeDocument/2006/relationships/hyperlink" Target="https://doi.org/10.1016/j.foreco.2014.07.015"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hyperlink" Target="https://www.worldfloraonline.org/taxon/wfo-0001062631" TargetMode="External"/><Relationship Id="rId7" Type="http://schemas.openxmlformats.org/officeDocument/2006/relationships/hyperlink" Target="https://doi.org/10.22271/tpr.2018.v5.i2.030" TargetMode="External"/><Relationship Id="rId12" Type="http://schemas.openxmlformats.org/officeDocument/2006/relationships/hyperlink" Target="https://doi.org/10.1002/aps3.11589" TargetMode="External"/><Relationship Id="rId17" Type="http://schemas.openxmlformats.org/officeDocument/2006/relationships/hyperlink" Target="https://doi.org/10.1016/j.jep.2014.03.029"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doi.org/10.1002/aps3.11600" TargetMode="External"/><Relationship Id="rId20" Type="http://schemas.openxmlformats.org/officeDocument/2006/relationships/hyperlink" Target="https://doi.org/10.3389/fcosc.2022.93811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016/j.biocon.2026.111811"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i.org/10.1007/s11056-017-9582-8"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1016/j.foreco.2021.119127" TargetMode="External"/><Relationship Id="rId19" Type="http://schemas.openxmlformats.org/officeDocument/2006/relationships/hyperlink" Target="https://doi.org/10.1016/j.biocon.2024.110535" TargetMode="External"/><Relationship Id="rId4" Type="http://schemas.openxmlformats.org/officeDocument/2006/relationships/footnotes" Target="footnotes.xml"/><Relationship Id="rId9" Type="http://schemas.openxmlformats.org/officeDocument/2006/relationships/hyperlink" Target="https://doi.org/10.1016/j.foreco.2025.123376" TargetMode="External"/><Relationship Id="rId14" Type="http://schemas.openxmlformats.org/officeDocument/2006/relationships/hyperlink" Target="https://doi.org/10.1016/S0190-9622(08)81744-6"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15</Pages>
  <Words>4857</Words>
  <Characters>26717</Characters>
  <Application>Microsoft Office Word</Application>
  <DocSecurity>0</DocSecurity>
  <Lines>222</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Remruata Sailo</dc:creator>
  <cp:keywords/>
  <dc:description/>
  <cp:lastModifiedBy>GUILLERMO FUENTES</cp:lastModifiedBy>
  <cp:revision>14</cp:revision>
  <cp:lastPrinted>2026-09-21T14:40:00Z</cp:lastPrinted>
  <dcterms:created xsi:type="dcterms:W3CDTF">2026-09-21T15:20:00Z</dcterms:created>
  <dcterms:modified xsi:type="dcterms:W3CDTF">2026-09-21T17:43:00Z</dcterms:modified>
</cp:coreProperties>
</file>