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Default="00EE04A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Default="004D3449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libri" w:hAnsi="Calibri"/>
                  <w:color w:val="0000FF"/>
                  <w:sz w:val="22"/>
                  <w:szCs w:val="22"/>
                  <w:u w:val="single"/>
                </w:rPr>
                <w:t>Asian Journal of Pure and Applied Mathematics</w:t>
              </w:r>
            </w:hyperlink>
          </w:p>
        </w:tc>
      </w:tr>
      <w:tr w:rsidR="004D3449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Default="00EE04A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37D69145" w:rsidR="004D3449" w:rsidRDefault="009B54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B54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Ms_AJPAM_2898</w:t>
            </w:r>
          </w:p>
        </w:tc>
      </w:tr>
      <w:tr w:rsidR="004D3449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Default="00EE04A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24FAAF81" w:rsidR="004D3449" w:rsidRDefault="009B54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B549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MULTIVARIATE ANALYSIS OF THE DYNAMIC CORRELATIONS AMONG GLOBAL COMMODITY PRICES, EXCHANGE RATE AND STOCK MARKET RETURNS</w:t>
            </w:r>
          </w:p>
        </w:tc>
      </w:tr>
      <w:tr w:rsidR="004D3449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Default="00EE04A3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Default="0019342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1934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DE161A" w14:textId="77777777" w:rsidR="004D3449" w:rsidRDefault="004D3449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03B4F72F" w14:textId="77777777" w:rsidR="004D3449" w:rsidRDefault="004D3449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07B84CA" w14:textId="77777777" w:rsidR="004D3449" w:rsidRDefault="004D3449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DA2147F" w14:textId="77777777" w:rsidR="004D3449" w:rsidRDefault="00EE04A3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Default="004D3449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Default="00EE04A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Default="00EE04A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1CD30443" w:rsidR="004D3449" w:rsidRPr="004A354A" w:rsidRDefault="004A354A" w:rsidP="00222107">
            <w:pPr>
              <w:contextualSpacing/>
              <w:rPr>
                <w:b/>
                <w:bCs/>
                <w:sz w:val="20"/>
                <w:szCs w:val="20"/>
              </w:rPr>
            </w:pPr>
            <w:r w:rsidRPr="004A354A">
              <w:rPr>
                <w:b/>
                <w:bCs/>
                <w:sz w:val="20"/>
                <w:szCs w:val="20"/>
              </w:rPr>
              <w:t>The article is devoted to evolution of the relationships among global commodity and financial markets over time</w:t>
            </w:r>
            <w:r w:rsidR="00222107">
              <w:rPr>
                <w:b/>
                <w:bCs/>
                <w:sz w:val="20"/>
                <w:szCs w:val="20"/>
              </w:rPr>
              <w:t xml:space="preserve"> in the conditions</w:t>
            </w:r>
            <w:r w:rsidRPr="004A354A">
              <w:rPr>
                <w:b/>
                <w:bCs/>
                <w:sz w:val="20"/>
                <w:szCs w:val="20"/>
              </w:rPr>
              <w:t xml:space="preserve"> </w:t>
            </w:r>
            <w:r w:rsidR="00222107">
              <w:rPr>
                <w:b/>
                <w:bCs/>
                <w:sz w:val="20"/>
                <w:szCs w:val="20"/>
              </w:rPr>
              <w:t>o</w:t>
            </w:r>
            <w:r w:rsidRPr="004A354A">
              <w:rPr>
                <w:b/>
                <w:bCs/>
                <w:sz w:val="20"/>
                <w:szCs w:val="20"/>
              </w:rPr>
              <w:t xml:space="preserve">f economic and financial uncertainty, and the growing </w:t>
            </w:r>
            <w:r w:rsidRPr="008C7862">
              <w:rPr>
                <w:b/>
                <w:bCs/>
                <w:sz w:val="20"/>
                <w:szCs w:val="20"/>
              </w:rPr>
              <w:t>integration of these systems.</w:t>
            </w:r>
            <w:r w:rsidR="00222107" w:rsidRPr="008C7862">
              <w:rPr>
                <w:b/>
                <w:bCs/>
                <w:sz w:val="20"/>
                <w:szCs w:val="20"/>
              </w:rPr>
              <w:t xml:space="preserve"> The results </w:t>
            </w:r>
            <w:r w:rsidR="00E746B2" w:rsidRPr="008C7862">
              <w:rPr>
                <w:b/>
                <w:bCs/>
                <w:sz w:val="20"/>
                <w:szCs w:val="20"/>
              </w:rPr>
              <w:t xml:space="preserve">highlight that the relationships are dynamic rather than constant. </w:t>
            </w:r>
            <w:r w:rsidR="008C7862" w:rsidRPr="008C7862">
              <w:rPr>
                <w:b/>
                <w:bCs/>
                <w:sz w:val="20"/>
                <w:szCs w:val="20"/>
              </w:rPr>
              <w:t xml:space="preserve">VAR and DCC models are used to prove </w:t>
            </w:r>
            <w:r w:rsidR="008C7862">
              <w:rPr>
                <w:b/>
                <w:bCs/>
                <w:sz w:val="20"/>
                <w:szCs w:val="20"/>
              </w:rPr>
              <w:t xml:space="preserve">that </w:t>
            </w:r>
            <w:r w:rsidR="008C7862" w:rsidRPr="008C7862">
              <w:rPr>
                <w:b/>
                <w:bCs/>
                <w:sz w:val="20"/>
                <w:szCs w:val="20"/>
              </w:rPr>
              <w:t>global commodity prices, exchange rate and Nigerian stock market returns are interconnected, but the nature and strength of their relationships vary across markets and over time.</w:t>
            </w:r>
            <w:r w:rsidR="00E746B2" w:rsidRPr="008C786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3635D1BA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Default="004D3449">
      <w:pPr>
        <w:rPr>
          <w:sz w:val="20"/>
          <w:szCs w:val="20"/>
          <w:lang w:val="en-GB"/>
        </w:rPr>
      </w:pPr>
    </w:p>
    <w:p w14:paraId="4674335F" w14:textId="77777777" w:rsidR="004D3449" w:rsidRDefault="004D3449">
      <w:pPr>
        <w:rPr>
          <w:sz w:val="20"/>
          <w:szCs w:val="20"/>
          <w:lang w:val="en-GB"/>
        </w:rPr>
      </w:pPr>
    </w:p>
    <w:p w14:paraId="72E3A404" w14:textId="77777777" w:rsidR="004D3449" w:rsidRDefault="00EE04A3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Default="004D344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Default="00EE04A3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50879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Default="00EE04A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Default="00EE04A3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66573C14" w:rsidR="004D3449" w:rsidRDefault="008C78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685D00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3BA8BEE1" w:rsidR="004D3449" w:rsidRDefault="008C78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696891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Default="00EE04A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4252E2" w14:textId="77777777" w:rsidR="004D3449" w:rsidRDefault="008C78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  <w:p w14:paraId="6D2710B4" w14:textId="63B69246" w:rsidR="008C7862" w:rsidRDefault="008C78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It is recommended to extend the keyword</w:t>
            </w:r>
            <w:r w:rsidR="00331F86">
              <w:rPr>
                <w:b/>
                <w:bCs/>
                <w:sz w:val="20"/>
                <w:szCs w:val="20"/>
                <w:lang w:val="en-GB"/>
              </w:rPr>
              <w:t>s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, for </w:t>
            </w:r>
            <w:r w:rsidRPr="00331F86">
              <w:rPr>
                <w:b/>
                <w:bCs/>
                <w:sz w:val="20"/>
                <w:szCs w:val="20"/>
                <w:lang w:val="en-GB"/>
              </w:rPr>
              <w:t xml:space="preserve">instance, </w:t>
            </w:r>
            <w:r w:rsidR="00331F86" w:rsidRPr="00331F86">
              <w:rPr>
                <w:b/>
                <w:bCs/>
                <w:sz w:val="20"/>
                <w:szCs w:val="20"/>
              </w:rPr>
              <w:t>exchange rate</w:t>
            </w:r>
            <w:r w:rsidR="00331F86">
              <w:rPr>
                <w:b/>
                <w:bCs/>
                <w:sz w:val="20"/>
                <w:szCs w:val="20"/>
              </w:rPr>
              <w:t xml:space="preserve">, </w:t>
            </w:r>
            <w:r w:rsidR="00331F86" w:rsidRPr="00331F86">
              <w:rPr>
                <w:b/>
                <w:bCs/>
                <w:sz w:val="20"/>
                <w:szCs w:val="20"/>
              </w:rPr>
              <w:t>stock market,</w:t>
            </w:r>
            <w:r w:rsidR="00331F86" w:rsidRPr="00044728">
              <w:t xml:space="preserve"> </w:t>
            </w:r>
            <w:r w:rsidR="00331F86" w:rsidRPr="008C7862">
              <w:rPr>
                <w:b/>
                <w:bCs/>
                <w:sz w:val="20"/>
                <w:szCs w:val="20"/>
              </w:rPr>
              <w:t>VAR and DCC models</w:t>
            </w:r>
          </w:p>
        </w:tc>
        <w:tc>
          <w:tcPr>
            <w:tcW w:w="1667" w:type="pct"/>
          </w:tcPr>
          <w:p w14:paraId="0EB8AFD2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Default="00EE04A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7EE7FF" w14:textId="77777777" w:rsidR="004D3449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  <w:p w14:paraId="0D012648" w14:textId="51B6FC1C" w:rsidR="00331F86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It would be better to show briefly the initial data of the research.</w:t>
            </w:r>
          </w:p>
        </w:tc>
        <w:tc>
          <w:tcPr>
            <w:tcW w:w="1667" w:type="pct"/>
          </w:tcPr>
          <w:p w14:paraId="002645DE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Default="00EE04A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73F2A07A" w:rsidR="004D3449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2C661B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Default="00EE04A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3E034E26" w:rsidR="004D3449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67F9F9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1FD9DBF4" w:rsidR="004D3449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Default="00EE04A3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03D7D272" w:rsidR="004D3449" w:rsidRDefault="00331F8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EA0D61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09B118BD" w:rsidR="004D3449" w:rsidRDefault="00331F8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B7C85A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Default="004D344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6A0EBC69" w:rsidR="004D3449" w:rsidRDefault="00331F8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0D9FB2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11E01667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701DFC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Improvement 1 = Poor N/A = Not Applicable</w:t>
            </w:r>
          </w:p>
        </w:tc>
        <w:tc>
          <w:tcPr>
            <w:tcW w:w="1667" w:type="pct"/>
          </w:tcPr>
          <w:p w14:paraId="76073976" w14:textId="5CC82BFB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E345E27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62615" w14:textId="77777777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  <w:p w14:paraId="3C072C0F" w14:textId="03BA9D84" w:rsidR="00AB773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It is necessary to extend the limitations and the prospects of further research in this field.</w:t>
            </w:r>
          </w:p>
        </w:tc>
        <w:tc>
          <w:tcPr>
            <w:tcW w:w="1667" w:type="pct"/>
          </w:tcPr>
          <w:p w14:paraId="7A3221DF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29397C0A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6AAC2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Default="00EE04A3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Default="00EE04A3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7109AB09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8B2A6F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Default="004D344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Default="004D3449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Default="00EE04A3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Default="004D3449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Default="004D344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Default="00EE04A3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50879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Default="00EE04A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Default="004D3449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0A1F2590" w:rsidR="004D3449" w:rsidRDefault="00AB773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Default="00EE04A3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411DC2A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2504989C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Default="004D3449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4D86B082" w:rsidR="004D3449" w:rsidRDefault="00AB773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Default="00EE04A3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Default="00EE04A3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432E582C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Default="00EE04A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Default="004D3449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63F96DDE" w:rsidR="004D3449" w:rsidRDefault="00AB773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D3449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Default="00EE04A3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Default="00EE04A3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Default="004D3449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6483DC92" w:rsidR="004D3449" w:rsidRPr="00B0289B" w:rsidRDefault="00B0289B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B0289B">
              <w:rPr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Default="004D344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483FFD6" w14:textId="77777777" w:rsidR="004D3449" w:rsidRDefault="004D344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617A896" w14:textId="77777777" w:rsidR="004F1C1E" w:rsidRPr="004F1C1E" w:rsidRDefault="004F1C1E" w:rsidP="004F1C1E">
      <w:pPr>
        <w:rPr>
          <w:rFonts w:ascii="Arial" w:hAnsi="Arial" w:cs="Arial"/>
          <w:b/>
          <w:sz w:val="20"/>
          <w:szCs w:val="20"/>
          <w:u w:val="single"/>
        </w:rPr>
      </w:pPr>
      <w:r w:rsidRPr="004F1C1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4AB56B5" w14:textId="77777777" w:rsidR="004F1C1E" w:rsidRPr="004F1C1E" w:rsidRDefault="004F1C1E" w:rsidP="004F1C1E">
      <w:pPr>
        <w:rPr>
          <w:rFonts w:ascii="Arial" w:hAnsi="Arial" w:cs="Arial"/>
          <w:sz w:val="20"/>
          <w:szCs w:val="20"/>
        </w:rPr>
      </w:pPr>
    </w:p>
    <w:p w14:paraId="6C2A643F" w14:textId="77777777" w:rsidR="004F1C1E" w:rsidRPr="004F1C1E" w:rsidRDefault="004F1C1E" w:rsidP="004F1C1E">
      <w:pPr>
        <w:rPr>
          <w:rFonts w:ascii="Helvetica" w:hAnsi="Helvetica"/>
          <w:sz w:val="20"/>
          <w:szCs w:val="20"/>
        </w:rPr>
      </w:pPr>
      <w:r w:rsidRPr="004F1C1E">
        <w:rPr>
          <w:rFonts w:ascii="Arial" w:hAnsi="Arial" w:cs="Arial"/>
          <w:sz w:val="20"/>
          <w:szCs w:val="20"/>
        </w:rPr>
        <w:t>Olena Chernysheva, Ukrainian State University of Science and Technologies, Ukraine</w:t>
      </w:r>
    </w:p>
    <w:p w14:paraId="5AFCA9DF" w14:textId="77777777" w:rsidR="004F1C1E" w:rsidRDefault="004F1C1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4F1C1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E7B96" w14:textId="77777777" w:rsidR="006F52BA" w:rsidRDefault="006F52BA">
      <w:r>
        <w:separator/>
      </w:r>
    </w:p>
  </w:endnote>
  <w:endnote w:type="continuationSeparator" w:id="0">
    <w:p w14:paraId="4DAB38B1" w14:textId="77777777" w:rsidR="006F52BA" w:rsidRDefault="006F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EE04A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EE04A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2270" w14:textId="77777777" w:rsidR="006F52BA" w:rsidRDefault="006F52BA">
      <w:r>
        <w:separator/>
      </w:r>
    </w:p>
  </w:footnote>
  <w:footnote w:type="continuationSeparator" w:id="0">
    <w:p w14:paraId="70440364" w14:textId="77777777" w:rsidR="006F52BA" w:rsidRDefault="006F5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EE04A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813BB"/>
    <w:rsid w:val="00165072"/>
    <w:rsid w:val="00193421"/>
    <w:rsid w:val="00222107"/>
    <w:rsid w:val="00331F86"/>
    <w:rsid w:val="00333858"/>
    <w:rsid w:val="00341D2E"/>
    <w:rsid w:val="003C2306"/>
    <w:rsid w:val="003D578E"/>
    <w:rsid w:val="004A354A"/>
    <w:rsid w:val="004D3449"/>
    <w:rsid w:val="004F1C1E"/>
    <w:rsid w:val="00627BFE"/>
    <w:rsid w:val="006A719D"/>
    <w:rsid w:val="006F52BA"/>
    <w:rsid w:val="007741D8"/>
    <w:rsid w:val="00850879"/>
    <w:rsid w:val="008C7862"/>
    <w:rsid w:val="00976F11"/>
    <w:rsid w:val="009B5491"/>
    <w:rsid w:val="00A45C28"/>
    <w:rsid w:val="00AB7739"/>
    <w:rsid w:val="00AD16BC"/>
    <w:rsid w:val="00B0289B"/>
    <w:rsid w:val="00BC1F5B"/>
    <w:rsid w:val="00C611E5"/>
    <w:rsid w:val="00D011D9"/>
    <w:rsid w:val="00D0344E"/>
    <w:rsid w:val="00E746B2"/>
    <w:rsid w:val="00EE04A3"/>
    <w:rsid w:val="00F33105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2026-10-12T08:08:00Z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