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EBB3" w14:textId="77777777" w:rsidR="00875F71" w:rsidRDefault="00875F71"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r>
        <w:rPr>
          <w:rFonts w:ascii="Times New Roman" w:hAnsi="Times New Roman" w:cs="Times New Roman"/>
          <w:sz w:val="20"/>
          <w:szCs w:val="20"/>
        </w:rPr>
        <w:t>Short Communication</w:t>
      </w:r>
      <w:r w:rsidRPr="00BD4D7B">
        <w:rPr>
          <w:rFonts w:ascii="Times New Roman" w:eastAsia="Times New Roman" w:hAnsi="Times New Roman" w:cs="Times New Roman"/>
          <w:b/>
          <w:bCs/>
          <w:kern w:val="36"/>
          <w:sz w:val="24"/>
          <w:szCs w:val="24"/>
          <w:lang w:eastAsia="en-GB"/>
        </w:rPr>
        <w:t xml:space="preserve"> </w:t>
      </w:r>
    </w:p>
    <w:p w14:paraId="2BE53DFF" w14:textId="77777777" w:rsidR="00875F71" w:rsidRDefault="00875F71"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p>
    <w:p w14:paraId="14882A58" w14:textId="77777777" w:rsidR="00BD4D7B" w:rsidRDefault="00BD4D7B"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r w:rsidRPr="00BD4D7B">
        <w:rPr>
          <w:rFonts w:ascii="Times New Roman" w:eastAsia="Times New Roman" w:hAnsi="Times New Roman" w:cs="Times New Roman"/>
          <w:b/>
          <w:bCs/>
          <w:kern w:val="36"/>
          <w:sz w:val="24"/>
          <w:szCs w:val="24"/>
          <w:lang w:eastAsia="en-GB"/>
        </w:rPr>
        <w:t xml:space="preserve">Conservation priorities for </w:t>
      </w:r>
      <w:proofErr w:type="spellStart"/>
      <w:r w:rsidRPr="00BD4D7B">
        <w:rPr>
          <w:rFonts w:ascii="Times New Roman" w:eastAsia="Times New Roman" w:hAnsi="Times New Roman" w:cs="Times New Roman"/>
          <w:b/>
          <w:bCs/>
          <w:i/>
          <w:iCs/>
          <w:kern w:val="36"/>
          <w:sz w:val="24"/>
          <w:szCs w:val="24"/>
          <w:lang w:eastAsia="en-GB"/>
        </w:rPr>
        <w:t>Hydnocarpus</w:t>
      </w:r>
      <w:proofErr w:type="spellEnd"/>
      <w:r w:rsidRPr="00BD4D7B">
        <w:rPr>
          <w:rFonts w:ascii="Times New Roman" w:eastAsia="Times New Roman" w:hAnsi="Times New Roman" w:cs="Times New Roman"/>
          <w:b/>
          <w:bCs/>
          <w:i/>
          <w:iCs/>
          <w:kern w:val="36"/>
          <w:sz w:val="24"/>
          <w:szCs w:val="24"/>
          <w:lang w:eastAsia="en-GB"/>
        </w:rPr>
        <w:t xml:space="preserve"> </w:t>
      </w:r>
      <w:proofErr w:type="spellStart"/>
      <w:r w:rsidRPr="00BD4D7B">
        <w:rPr>
          <w:rFonts w:ascii="Times New Roman" w:eastAsia="Times New Roman" w:hAnsi="Times New Roman" w:cs="Times New Roman"/>
          <w:b/>
          <w:bCs/>
          <w:i/>
          <w:iCs/>
          <w:kern w:val="36"/>
          <w:sz w:val="24"/>
          <w:szCs w:val="24"/>
          <w:lang w:eastAsia="en-GB"/>
        </w:rPr>
        <w:t>kurzii</w:t>
      </w:r>
      <w:proofErr w:type="spellEnd"/>
      <w:r w:rsidRPr="00BD4D7B">
        <w:rPr>
          <w:rFonts w:ascii="Times New Roman" w:eastAsia="Times New Roman" w:hAnsi="Times New Roman" w:cs="Times New Roman"/>
          <w:b/>
          <w:bCs/>
          <w:kern w:val="36"/>
          <w:sz w:val="24"/>
          <w:szCs w:val="24"/>
          <w:lang w:eastAsia="en-GB"/>
        </w:rPr>
        <w:t xml:space="preserve"> (King) </w:t>
      </w:r>
      <w:proofErr w:type="spellStart"/>
      <w:r w:rsidRPr="00BD4D7B">
        <w:rPr>
          <w:rFonts w:ascii="Times New Roman" w:eastAsia="Times New Roman" w:hAnsi="Times New Roman" w:cs="Times New Roman"/>
          <w:b/>
          <w:bCs/>
          <w:kern w:val="36"/>
          <w:sz w:val="24"/>
          <w:szCs w:val="24"/>
          <w:lang w:eastAsia="en-GB"/>
        </w:rPr>
        <w:t>Warb</w:t>
      </w:r>
      <w:proofErr w:type="spellEnd"/>
      <w:r w:rsidRPr="00BD4D7B">
        <w:rPr>
          <w:rFonts w:ascii="Times New Roman" w:eastAsia="Times New Roman" w:hAnsi="Times New Roman" w:cs="Times New Roman"/>
          <w:b/>
          <w:bCs/>
          <w:kern w:val="36"/>
          <w:sz w:val="24"/>
          <w:szCs w:val="24"/>
          <w:lang w:eastAsia="en-GB"/>
        </w:rPr>
        <w:t>. in Northeast India</w:t>
      </w:r>
    </w:p>
    <w:p w14:paraId="5BD6E5E5" w14:textId="77777777" w:rsidR="00875F71" w:rsidRPr="00545ACB" w:rsidRDefault="00875F71" w:rsidP="00545ACB">
      <w:pPr>
        <w:pStyle w:val="NoSpacing"/>
        <w:rPr>
          <w:rFonts w:ascii="Times New Roman" w:hAnsi="Times New Roman" w:cs="Times New Roman"/>
          <w:sz w:val="24"/>
          <w:szCs w:val="24"/>
        </w:rPr>
      </w:pPr>
    </w:p>
    <w:p w14:paraId="5E3E6386" w14:textId="77777777" w:rsidR="00545ACB" w:rsidRPr="00545ACB" w:rsidRDefault="00545ACB" w:rsidP="00545ACB">
      <w:pPr>
        <w:pStyle w:val="NoSpacing"/>
        <w:rPr>
          <w:rFonts w:ascii="Times New Roman" w:hAnsi="Times New Roman" w:cs="Times New Roman"/>
          <w:sz w:val="24"/>
          <w:szCs w:val="24"/>
        </w:rPr>
      </w:pPr>
    </w:p>
    <w:p w14:paraId="1A7CE3A6" w14:textId="77777777" w:rsidR="00BD4D7B" w:rsidRPr="00BD4D7B" w:rsidRDefault="00BD4D7B" w:rsidP="005521DC">
      <w:pPr>
        <w:spacing w:before="100" w:beforeAutospacing="1" w:after="100" w:afterAutospacing="1" w:line="360" w:lineRule="auto"/>
        <w:jc w:val="center"/>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Abstract</w:t>
      </w:r>
    </w:p>
    <w:p w14:paraId="4436143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xml:space="preserve">. is a lesser-known wet-tropical tree of </w:t>
      </w:r>
      <w:proofErr w:type="spellStart"/>
      <w:r w:rsidRPr="00BD4D7B">
        <w:rPr>
          <w:rFonts w:ascii="Times New Roman" w:eastAsia="Times New Roman" w:hAnsi="Times New Roman" w:cs="Times New Roman"/>
          <w:sz w:val="24"/>
          <w:szCs w:val="24"/>
          <w:lang w:eastAsia="en-GB"/>
        </w:rPr>
        <w:t>Achariaceae</w:t>
      </w:r>
      <w:proofErr w:type="spellEnd"/>
      <w:r w:rsidRPr="00BD4D7B">
        <w:rPr>
          <w:rFonts w:ascii="Times New Roman" w:eastAsia="Times New Roman" w:hAnsi="Times New Roman" w:cs="Times New Roman"/>
          <w:sz w:val="24"/>
          <w:szCs w:val="24"/>
          <w:lang w:eastAsia="en-GB"/>
        </w:rPr>
        <w:t xml:space="preserve"> native to South and Southeast Asia, including Northeast India. The species possesses medicinal and socioeconomic potential, particularly through its seed oil containing characteristic cyclopentenyl fatty acids, yet it remains poorly studied in relation to population status, natural regeneration, genetic diversity and long-term conservation requirements. It is currently assessed as Data Deficient, indicating inadequate information for reliable evaluation of extinction risk rather than evidence of population security. In Northeast India, habitat degradation, fragmentation, anthropogenic disturbance and potential loss of mature reproductive trees may affect population persistence, natural regeneration and future seed availability. At the same time, greater recognition and promotion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for appropriate medicinal, seed-oil, cultivation and restoration purposes could increase its socioeconomic value and create incentives for conservation. However, promotion without resource assessment and safeguards could increase pressure on natural populations. This Short Communication therefore proposes a species-focused conservation framework integrating population assessment, natural-regeneration monitoring, genetic-resource conservation, seed-source development, in-situ and ex-situ conservation, restoration and community participation with responsible utilization and promotion. Priority should be given to representative populations containing healthy reproductive trees and evidence of regeneration, followed by genetic characterization and development of geographically representative seed sources. Ex-situ conservation and restoration should complement, rather than replace, in-situ protection. Establishing a regional population baseline and coordinated conservation and seed-source network would provide a practical foundation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as a medicinal plant, forest genetic resource and potential species for sustainable cultivation and ecological restoration.</w:t>
      </w:r>
    </w:p>
    <w:p w14:paraId="69B29C08"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lastRenderedPageBreak/>
        <w:t>Keywords:</w:t>
      </w:r>
      <w:r w:rsidRPr="00BD4D7B">
        <w:rPr>
          <w:rFonts w:ascii="Times New Roman" w:eastAsia="Times New Roman" w:hAnsi="Times New Roman" w:cs="Times New Roman"/>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conservation; medicinal tree; forest genetic resources; seed sources; restoration; sustainable utilization; Northeast India</w:t>
      </w:r>
    </w:p>
    <w:p w14:paraId="0418CA22"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Introduction</w:t>
      </w:r>
    </w:p>
    <w:p w14:paraId="460F2B0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xml:space="preserve">. is a lesser-known wet-tropical tree belonging to </w:t>
      </w:r>
      <w:proofErr w:type="spellStart"/>
      <w:r w:rsidRPr="00BD4D7B">
        <w:rPr>
          <w:rFonts w:ascii="Times New Roman" w:eastAsia="Times New Roman" w:hAnsi="Times New Roman" w:cs="Times New Roman"/>
          <w:sz w:val="24"/>
          <w:szCs w:val="24"/>
          <w:lang w:eastAsia="en-GB"/>
        </w:rPr>
        <w:t>Achariaceae</w:t>
      </w:r>
      <w:proofErr w:type="spellEnd"/>
      <w:r w:rsidRPr="00BD4D7B">
        <w:rPr>
          <w:rFonts w:ascii="Times New Roman" w:eastAsia="Times New Roman" w:hAnsi="Times New Roman" w:cs="Times New Roman"/>
          <w:sz w:val="24"/>
          <w:szCs w:val="24"/>
          <w:lang w:eastAsia="en-GB"/>
        </w:rPr>
        <w:t xml:space="preserve"> </w:t>
      </w:r>
      <w:r w:rsidR="00EE70C9">
        <w:rPr>
          <w:rFonts w:ascii="Times New Roman" w:eastAsia="Times New Roman" w:hAnsi="Times New Roman" w:cs="Times New Roman"/>
          <w:sz w:val="24"/>
          <w:szCs w:val="24"/>
          <w:lang w:eastAsia="en-GB"/>
        </w:rPr>
        <w:t xml:space="preserve">family </w:t>
      </w:r>
      <w:r w:rsidRPr="00BD4D7B">
        <w:rPr>
          <w:rFonts w:ascii="Times New Roman" w:eastAsia="Times New Roman" w:hAnsi="Times New Roman" w:cs="Times New Roman"/>
          <w:sz w:val="24"/>
          <w:szCs w:val="24"/>
          <w:lang w:eastAsia="en-GB"/>
        </w:rPr>
        <w:t xml:space="preserve">and occurring naturally in South and Southeast Asia. In Northeast India, its recorded occurrence includes parts of Assam, Mizoram and Tripura. Although the species has received considerably less attention than many better-known medicinal or commercially important tree species, it possesses attributes that justify greater scientific and conservation interest. Its seeds contain characteristic cyclopentenyl fatty acids, while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sz w:val="24"/>
          <w:szCs w:val="24"/>
          <w:lang w:eastAsia="en-GB"/>
        </w:rPr>
        <w:t xml:space="preserve"> seed oils have a long history of medicinal use, particularly in relation to dermatological applications (Norton, 1994; Sahoo et al., 2014). The species consequently represents more than a component of native forest biodiversity; it is also a medicinal, seed-oil-producing and potentially valuable forest genetic resource.</w:t>
      </w:r>
    </w:p>
    <w:p w14:paraId="4EF3947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conservation importance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strengthened by the limited information available on its population condition and long-term persistence. The species is currently assessed as Data Deficient, which reflects insufficient information for a reliable assessment of extinction risk and should not be interpreted as evidence that populations are secure (World Flora Online Consortium, 2026). For a lesser-known native tree, limited documentation itself represents a conservation concern because populations, reproductive individuals and genetic resources may remain outside formal conservation priorities simply because their status has not been adequately assessed. In particular, loss of mature seed-producing trees can have consequences beyond immediate population abundance by reducing reproductive output, natural regeneration and the availability of genetic material for future propagation.</w:t>
      </w:r>
    </w:p>
    <w:p w14:paraId="7193BE5F"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Northeast India is particularly relevant to the conservation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because the region contains extensive tropical and subtropical forest ecosystems while simultaneously experiencing land-use change, forest degradation, fragmentation and anthropogenic disturbance. Such processes can reduce habitat continuity and alter the demographic processes required for tree population maintenance. Fragmentation may also increase population isolation and affect gene flow and genetic diversity, thereby potentially reducing adaptive capacity over longer timescales (Coomes et al., 2011; Potter et al., 2017). These processes are important for tree species because mature individuals can persist for </w:t>
      </w:r>
      <w:r w:rsidRPr="00BD4D7B">
        <w:rPr>
          <w:rFonts w:ascii="Times New Roman" w:eastAsia="Times New Roman" w:hAnsi="Times New Roman" w:cs="Times New Roman"/>
          <w:sz w:val="24"/>
          <w:szCs w:val="24"/>
          <w:lang w:eastAsia="en-GB"/>
        </w:rPr>
        <w:lastRenderedPageBreak/>
        <w:t>considerable periods after habitat alteration even when recruitment and population replacement have begun to decline.</w:t>
      </w:r>
    </w:p>
    <w:p w14:paraId="4BFB293D"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Evidence of natural regeneration demonstrates that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can recruit under suitable environmental conditions. Barua et al. (2018), for example, documented substantial regeneration in </w:t>
      </w:r>
      <w:proofErr w:type="spellStart"/>
      <w:r w:rsidRPr="00BD4D7B">
        <w:rPr>
          <w:rFonts w:ascii="Times New Roman" w:eastAsia="Times New Roman" w:hAnsi="Times New Roman" w:cs="Times New Roman"/>
          <w:sz w:val="24"/>
          <w:szCs w:val="24"/>
          <w:lang w:eastAsia="en-GB"/>
        </w:rPr>
        <w:t>Bornewria</w:t>
      </w:r>
      <w:proofErr w:type="spellEnd"/>
      <w:r w:rsidRPr="00BD4D7B">
        <w:rPr>
          <w:rFonts w:ascii="Times New Roman" w:eastAsia="Times New Roman" w:hAnsi="Times New Roman" w:cs="Times New Roman"/>
          <w:sz w:val="24"/>
          <w:szCs w:val="24"/>
          <w:lang w:eastAsia="en-GB"/>
        </w:rPr>
        <w:t xml:space="preserve"> forest, Assam. However, regeneration recorded at one forest site cannot be assumed to represent the demographic condition of the species throughout Northeast India. Recruitment may vary with canopy structure, disturbance intensity, seed availability, microsite conditions, herbivory, moisture and subsequent seedling survival. A regional conservation assessment must therefore distinguish between the presence of seedlings and the sustained recruitment of individuals into sapling and reproductive stages.</w:t>
      </w:r>
    </w:p>
    <w:p w14:paraId="7D69E43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An additional consideration is the relationship between conservation and promotion. The medicinal and seed-oil characteristics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provide a basis for greater scientific, horticultural and socioeconomic interest. Promoting a lesser-known native species through cultivation, nursery production, appropriate agroforestry systems and restoration could potentially reduce dependence on wild populations while increasing its conservation value. Conversely, increased demand without adequate population assessment, sustainable harvesting protocols and cultivated seed sources could create additional pressure on naturally occurring reproductive trees. Conservation and utilization should therefore be considered complementary objectives, with utilization based on protected natural populations, documented genetic resources and appropriately developed planting material.</w:t>
      </w:r>
    </w:p>
    <w:p w14:paraId="6264469A"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Conservation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should consequently extend beyond the protection of individual trees. Maintaining viable populations across the species' geographic range is necessary to conserve ecological and genetic variation, while documented seed sources are required to support future propagation, cultivation and restoration. Contemporary restoration research emphasizes the importance of genetic diversity and appropriate seed sourcing when native tree species are used in ecosystem restoration (Thomas et al., 2014; Prakash et al., 2024). Regional guidance likewise recognizes genetic conservation units and representative seed sources as complementary components of forest genetic-resource conservation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w:t>
      </w:r>
    </w:p>
    <w:p w14:paraId="3BF56646" w14:textId="77777777"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To date, a species-focused conservation framework integrating population assessment, genetic-resource conservation, seed-source development, responsible promotion and </w:t>
      </w:r>
      <w:r w:rsidRPr="00BD4D7B">
        <w:rPr>
          <w:rFonts w:ascii="Times New Roman" w:eastAsia="Times New Roman" w:hAnsi="Times New Roman" w:cs="Times New Roman"/>
          <w:sz w:val="24"/>
          <w:szCs w:val="24"/>
          <w:lang w:eastAsia="en-GB"/>
        </w:rPr>
        <w:lastRenderedPageBreak/>
        <w:t xml:space="preserve">restoration priorities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in Northeast India has received limited attention. This Short Communication therefore identifies the principal conservation gaps and proposes a practical framework for maintaining viable natural populations and genetic resources while creating a scientific basis for responsible propagation, cultivation, utilization and restoration of this lesser-known native tree.</w:t>
      </w:r>
    </w:p>
    <w:p w14:paraId="50616D96"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466B4075" wp14:editId="1B949F59">
            <wp:extent cx="2417196" cy="2560320"/>
            <wp:effectExtent l="0" t="0" r="2540" b="0"/>
            <wp:docPr id="1" name="Picture 1" descr="C:\Users\Remruata Sailo\Downloads\E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mruata Sailo\Downloads\EEE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7329" cy="2560461"/>
                    </a:xfrm>
                    <a:prstGeom prst="rect">
                      <a:avLst/>
                    </a:prstGeom>
                    <a:noFill/>
                    <a:ln>
                      <a:noFill/>
                    </a:ln>
                  </pic:spPr>
                </pic:pic>
              </a:graphicData>
            </a:graphic>
          </wp:inline>
        </w:drawing>
      </w:r>
    </w:p>
    <w:p w14:paraId="44B5EB6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t>Fig. 1.</w:t>
      </w:r>
      <w:r w:rsidRPr="00BD4D7B">
        <w:rPr>
          <w:rFonts w:ascii="Times New Roman" w:eastAsia="Times New Roman" w:hAnsi="Times New Roman" w:cs="Times New Roman"/>
          <w:sz w:val="24"/>
          <w:szCs w:val="24"/>
          <w:lang w:eastAsia="en-GB"/>
        </w:rPr>
        <w:t xml:space="preserve"> Distribution of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in Northeast India, with particular emphasis on recorded occurrences in Mizoram, Tripura and Assam.</w:t>
      </w:r>
    </w:p>
    <w:p w14:paraId="1213EAEB"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Major conservation concerns</w:t>
      </w:r>
    </w:p>
    <w:p w14:paraId="2127E475"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Population status and natural regeneration</w:t>
      </w:r>
    </w:p>
    <w:p w14:paraId="127420F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 reliable regional population baseline is the first requirement for conservation planning. Field surveys should document population distribution, density, size-class structure, abundance and spatial distribution of mature reproductive trees, seedling and sapling recruitment, mortality, habitat characteristics and major anthropogenic pressures. Particular attention should be given to population structure because a population dominated by mature trees but lacking younger size classes may have limited long-term replacement capacity despite apparently high present-day abundance.</w:t>
      </w:r>
    </w:p>
    <w:p w14:paraId="0C22648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The presence of seedlings alone should not be interpreted as evidence of sustainable regeneration. Effective population maintenance requires successful transition from seedling establishment through sapling development and ultimately to reproductive maturity. Long-</w:t>
      </w:r>
      <w:r w:rsidRPr="00BD4D7B">
        <w:rPr>
          <w:rFonts w:ascii="Times New Roman" w:eastAsia="Times New Roman" w:hAnsi="Times New Roman" w:cs="Times New Roman"/>
          <w:sz w:val="24"/>
          <w:szCs w:val="24"/>
          <w:lang w:eastAsia="en-GB"/>
        </w:rPr>
        <w:lastRenderedPageBreak/>
        <w:t>term monitoring of establishment, growth, mortality and size-class transitions is therefore required. The regeneration reported by Barua et al. (2018) provides important evidence that recruitment can occur under suitable conditions, but broader and repeated assessments are needed to determine whether such regeneration is consistent across the species' distribution in Northeast India.</w:t>
      </w:r>
    </w:p>
    <w:p w14:paraId="1E764D2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The abundance and spatial distribution of mature seed-producing trees should be treated as an important conservation indicator. These individuals represent the immediate reproductive base of natural populations and are also potential sources of genetically diverse seed. Their progressive removal could reduce seed availability and genetic representation even before a marked decline in total tree abundance becomes apparent. Conservation surveys should therefore record reproductive status, fruiting and seed production in addition to conventional abundance measures.</w:t>
      </w:r>
    </w:p>
    <w:p w14:paraId="3B79C188"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Habitat degradation and fragmentation</w:t>
      </w:r>
    </w:p>
    <w:p w14:paraId="49025061"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 degradation and fragmentation can reduce population continuity and modify the ecological conditions required for regeneration. Small or isolated populations may be more vulnerable to demographic stochasticity, restricted gene flow and loss of genetic variation. Conservation planning should therefore consider not only large protected forests but also smaller forest remnants, community forests and reserve forests containing viable populations or mature reproductive individuals.</w:t>
      </w:r>
    </w:p>
    <w:p w14:paraId="78D2682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Protected areas provide an important foundation for in-situ conservation, but formal protection alone does not guarantee adequate representation of species-level genetic diversity. Conservation assessments should integrate species occurrence, habitat condition, population characteristics and protected-area boundaries to identify populations that are adequately protected, underrepresented or located outside existing conservation areas (Luo et al., 2022).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populations satisfying multiple criteria—such as healthy reproductive trees, regeneration, suitable habitat and geographic representation—could simultaneously serve as conservation populations, reference populations and future seed sources.</w:t>
      </w:r>
    </w:p>
    <w:p w14:paraId="3AF1EAD2"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Genetic-resource conservation</w:t>
      </w:r>
    </w:p>
    <w:p w14:paraId="6DCA478A"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 xml:space="preserve">Species-level protection does not necessarily ensure the preservation of genetic diversity. If conservation and seed collection are concentrated in a few accessible populations, geographically or genetically distinct components of the species may remain unrepresented. This consideration is particularly important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because future propagation, cultivation, restoration and potential sustainable utilization may depend on the availability of genetically diverse and well-documented planting material.</w:t>
      </w:r>
    </w:p>
    <w:p w14:paraId="04275D64"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Molecular studies are therefore required to determine genetic diversity, population structure and gene flow across Northeast India. Genetic information could subsequently be integrated with geographic and environmental data to improve the identification of conservation units and seed-sourcing strategies (Prakash et al., 2024). Genetic conservation units should complement, rather than replace, species- and ecosystem-level conservation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 Maintaining genetic diversity is particularly important in forest trees because habitat fragmentation and population reduction can progressively constrain the genetic resources available for future adaptation (Potter et al., 2017).</w:t>
      </w:r>
    </w:p>
    <w:p w14:paraId="75367A4D"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Conservation priorities</w:t>
      </w:r>
    </w:p>
    <w:p w14:paraId="45FEC5EC"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In-situ conservation of representative populations</w:t>
      </w:r>
    </w:p>
    <w:p w14:paraId="59FBC294"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In-situ conservation should form the foundation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conservation because natural populations are maintained within their ecological and evolutionary environments. Priority should be given to populations containing healthy mature reproductive trees, evidence of natural regeneration, suitable habitat and sufficient population size to support continued recruitment.</w:t>
      </w:r>
    </w:p>
    <w:p w14:paraId="2A648B6C"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Surveys should extend beyond protected areas to identify viable populations in community forests, reserve forests and other forest remnants. Where appropriate, community-managed conservation areas could provide additional protection for reproductive trees and regeneration. The primary objective should be the maintenance of viable populations and the ecological conditions supporting their continued regeneration rather than protection of isolated individual trees alone.</w:t>
      </w:r>
    </w:p>
    <w:p w14:paraId="6E457809"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 conservation units and seed sources</w:t>
      </w:r>
    </w:p>
    <w:p w14:paraId="7A1AEE3F"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A major priority should be the establishment of documented and geographically representative seed sources. Seed collection based primarily on accessibility can result in biased genetic representation because accessible populations and easily reached reproductive trees are more likely to be sampled than remote populations. Recent research on tropical rainforest restoration has highlighted the importance of examining seed-collection practices and their implications for provenance representation (Engert et al., 2026).</w:t>
      </w:r>
    </w:p>
    <w:p w14:paraId="7632E63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seed sources should therefore be selected using a combination of population distribution, genetic diversity, environmental conditions, reproductive performance and seed availability rather than geographical convenience alone. Regional guidelines provide a useful basis for identifying genetic conservation units and seed sources for native tree species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w:t>
      </w:r>
    </w:p>
    <w:p w14:paraId="19B5B0A8"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Future seed-sourcing strategies should also consider environmental variation and projected climatic conditions. Dynamic seed-zone approaches demonstrate how genetic, geographic and environmental information can be combined to improve climate-informed restoration planning (</w:t>
      </w:r>
      <w:proofErr w:type="spellStart"/>
      <w:r w:rsidRPr="00BD4D7B">
        <w:rPr>
          <w:rFonts w:ascii="Times New Roman" w:eastAsia="Times New Roman" w:hAnsi="Times New Roman" w:cs="Times New Roman"/>
          <w:sz w:val="24"/>
          <w:szCs w:val="24"/>
          <w:lang w:eastAsia="en-GB"/>
        </w:rPr>
        <w:t>Fremout</w:t>
      </w:r>
      <w:proofErr w:type="spellEnd"/>
      <w:r w:rsidRPr="00BD4D7B">
        <w:rPr>
          <w:rFonts w:ascii="Times New Roman" w:eastAsia="Times New Roman" w:hAnsi="Times New Roman" w:cs="Times New Roman"/>
          <w:sz w:val="24"/>
          <w:szCs w:val="24"/>
          <w:lang w:eastAsia="en-GB"/>
        </w:rPr>
        <w:t xml:space="preserve"> et al., 2021; Vitt et al., 2022).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such approaches should be considered after adequate population and genetic information becomes available.</w:t>
      </w:r>
    </w:p>
    <w:p w14:paraId="6A46E230"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Ex-situ conservation</w:t>
      </w:r>
    </w:p>
    <w:p w14:paraId="3C603E61"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Ex-situ conservation should complement, rather than substitute for, in-situ protection. Living collections in botanical gardens, research institutions, nurseries and field gene banks could provide additional safeguards for representative genetic material and support propagation, physiological research and future restoration.</w:t>
      </w:r>
    </w:p>
    <w:p w14:paraId="5345DB24"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However, collections established from only a few accessible trees may capture a restricted proportion of species-level genetic diversity. Research on threatened tropical trees demonstrates the importance of assessing genetic representation within ex-situ collections rather than assuming that collection size alone reflects genetic coverage (Linan et al., 2024).</w:t>
      </w:r>
    </w:p>
    <w:p w14:paraId="39F4CDF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Because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a seed-producing species, its seed-storage behaviour should also be experimentally evaluated before large-scale seed banking is adopted. Studies should determine viability loss during storage, appropriate moisture conditions, temperature requirements and storage duration for seed lots representing geographically distinct </w:t>
      </w:r>
      <w:r w:rsidRPr="00BD4D7B">
        <w:rPr>
          <w:rFonts w:ascii="Times New Roman" w:eastAsia="Times New Roman" w:hAnsi="Times New Roman" w:cs="Times New Roman"/>
          <w:sz w:val="24"/>
          <w:szCs w:val="24"/>
          <w:lang w:eastAsia="en-GB"/>
        </w:rPr>
        <w:lastRenderedPageBreak/>
        <w:t>populations. Such information would determine whether conventional seed banking is appropriate or whether alternative conservation approaches are required.</w:t>
      </w:r>
    </w:p>
    <w:p w14:paraId="7F8F61E9" w14:textId="77777777" w:rsidR="00BD4D7B" w:rsidRPr="0097038E"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97038E">
        <w:rPr>
          <w:rFonts w:ascii="Times New Roman" w:eastAsia="Times New Roman" w:hAnsi="Times New Roman" w:cs="Times New Roman"/>
          <w:b/>
          <w:bCs/>
          <w:sz w:val="24"/>
          <w:szCs w:val="24"/>
          <w:lang w:eastAsia="en-GB"/>
        </w:rPr>
        <w:t>Restoration and evidence-based seed sourcing</w:t>
      </w:r>
    </w:p>
    <w:p w14:paraId="3AAC2347"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Restoration of degraded habitats provides an opportunity to increase the distribution and effective population size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However, restoration should not simply increase the number of planted trees; it should contribute to the establishment of ecologically appropriate and genetically representative populations.</w:t>
      </w:r>
    </w:p>
    <w:p w14:paraId="78D2298A"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Planting material should therefore originate from documented and appropriately selected seed sources. Where justified by genetic and ecological evidence, collections from multiple populations may broaden genetic representation. However, the choice between strictly local and broader provenance strategies should not be predetermined. Local and broad </w:t>
      </w:r>
      <w:proofErr w:type="spellStart"/>
      <w:r w:rsidRPr="00BD4D7B">
        <w:rPr>
          <w:rFonts w:ascii="Times New Roman" w:eastAsia="Times New Roman" w:hAnsi="Times New Roman" w:cs="Times New Roman"/>
          <w:sz w:val="24"/>
          <w:szCs w:val="24"/>
          <w:lang w:eastAsia="en-GB"/>
        </w:rPr>
        <w:t>provenancing</w:t>
      </w:r>
      <w:proofErr w:type="spellEnd"/>
      <w:r w:rsidRPr="00BD4D7B">
        <w:rPr>
          <w:rFonts w:ascii="Times New Roman" w:eastAsia="Times New Roman" w:hAnsi="Times New Roman" w:cs="Times New Roman"/>
          <w:sz w:val="24"/>
          <w:szCs w:val="24"/>
          <w:lang w:eastAsia="en-GB"/>
        </w:rPr>
        <w:t xml:space="preserve"> involve context-dependent ecological and genetic trade-offs, and the appropriate strategy should depend on restoration objectives, environmental similarity, genetic structure and projected climate (Török et al., 2024; Vitt et al., 2022).</w:t>
      </w:r>
    </w:p>
    <w:p w14:paraId="31908FAA"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need for adequate native-tree seed-source networks has also been highlighted across tropical Asia, where substantial gaps remain between restoration requirements and designated seed sources (Jalonen et al., 2026). A comparable assessment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would help identify populations suitable for seed collection and areas where additional seed-source development is necessary.</w:t>
      </w:r>
    </w:p>
    <w:p w14:paraId="11E44267"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Sustainable utilization, cultivation and species promotion</w:t>
      </w:r>
    </w:p>
    <w:p w14:paraId="7CD4347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medicinal and seed-oil value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provides a potential basis for linking conservation with sustainable utilization. However, greater promotion of the species should be accompanied by measures that prevent increased exploitation of natural reproductive populations. Seed and other plant material required for utilization should progressively be supplied through documented cultivated sources, nurseries, field gene banks and appropriate agroforestry systems rather than through uncontrolled collection from natural populations.</w:t>
      </w:r>
    </w:p>
    <w:p w14:paraId="73EEC61F"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Promotion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can therefore become a conservation opportunity when it encourages cultivation, nursery production, restoration planting and maintenance of genetically diverse planting material. Such an approach can increase recognition of the species while reducing </w:t>
      </w:r>
      <w:r w:rsidRPr="00BD4D7B">
        <w:rPr>
          <w:rFonts w:ascii="Times New Roman" w:eastAsia="Times New Roman" w:hAnsi="Times New Roman" w:cs="Times New Roman"/>
          <w:sz w:val="24"/>
          <w:szCs w:val="24"/>
          <w:lang w:eastAsia="en-GB"/>
        </w:rPr>
        <w:lastRenderedPageBreak/>
        <w:t>pressure on wild populations. In contrast, promotion based primarily on harvesting naturally occurring trees or their reproductive material without population monitoring could undermine conservation objectives.</w:t>
      </w:r>
    </w:p>
    <w:p w14:paraId="2A33994F"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Local communities can contribute substantially to this approach through protection of reproductive trees, population monitoring, seed collection, nursery production and restoration. Community participation should be supported by clear seed-collection protocols, documentation of provenance, quality control and long-term monitoring. Linking appropriate economic or livelihood opportunities with conservation may provide stronger incentives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outside strictly protected areas.</w:t>
      </w:r>
    </w:p>
    <w:p w14:paraId="188D43E4"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 xml:space="preserve">Table 1. Priority research agenda for </w:t>
      </w:r>
      <w:proofErr w:type="spellStart"/>
      <w:r w:rsidRPr="00BD4D7B">
        <w:rPr>
          <w:rFonts w:ascii="Times New Roman" w:eastAsia="Times New Roman" w:hAnsi="Times New Roman" w:cs="Times New Roman"/>
          <w:b/>
          <w:bCs/>
          <w:i/>
          <w:iCs/>
          <w:sz w:val="24"/>
          <w:szCs w:val="24"/>
          <w:lang w:eastAsia="en-GB"/>
        </w:rPr>
        <w:t>Hydnocarpus</w:t>
      </w:r>
      <w:proofErr w:type="spellEnd"/>
      <w:r w:rsidRPr="00BD4D7B">
        <w:rPr>
          <w:rFonts w:ascii="Times New Roman" w:eastAsia="Times New Roman" w:hAnsi="Times New Roman" w:cs="Times New Roman"/>
          <w:b/>
          <w:bCs/>
          <w:i/>
          <w:iCs/>
          <w:sz w:val="24"/>
          <w:szCs w:val="24"/>
          <w:lang w:eastAsia="en-GB"/>
        </w:rPr>
        <w:t xml:space="preserve"> </w:t>
      </w:r>
      <w:proofErr w:type="spellStart"/>
      <w:r w:rsidRPr="00BD4D7B">
        <w:rPr>
          <w:rFonts w:ascii="Times New Roman" w:eastAsia="Times New Roman" w:hAnsi="Times New Roman" w:cs="Times New Roman"/>
          <w:b/>
          <w:bCs/>
          <w:i/>
          <w:iCs/>
          <w:sz w:val="24"/>
          <w:szCs w:val="24"/>
          <w:lang w:eastAsia="en-GB"/>
        </w:rPr>
        <w:t>kurzii</w:t>
      </w:r>
      <w:proofErr w:type="spellEnd"/>
      <w:r w:rsidRPr="00BD4D7B">
        <w:rPr>
          <w:rFonts w:ascii="Times New Roman" w:eastAsia="Times New Roman" w:hAnsi="Times New Roman" w:cs="Times New Roman"/>
          <w:b/>
          <w:bCs/>
          <w:sz w:val="24"/>
          <w:szCs w:val="24"/>
          <w:lang w:eastAsia="en-GB"/>
        </w:rPr>
        <w:t xml:space="preserve"> conservation in Northeast India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1"/>
        <w:gridCol w:w="7185"/>
      </w:tblGrid>
      <w:tr w:rsidR="00BD4D7B" w:rsidRPr="00BD4D7B" w14:paraId="2F7282E9" w14:textId="77777777" w:rsidTr="002156C6">
        <w:trPr>
          <w:tblCellSpacing w:w="15" w:type="dxa"/>
        </w:trPr>
        <w:tc>
          <w:tcPr>
            <w:tcW w:w="0" w:type="auto"/>
            <w:vAlign w:val="center"/>
            <w:hideMark/>
          </w:tcPr>
          <w:p w14:paraId="7E7253A5" w14:textId="77777777" w:rsidR="00BD4D7B" w:rsidRPr="00BD4D7B" w:rsidRDefault="00BD4D7B" w:rsidP="00BD4D7B">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Research area</w:t>
            </w:r>
          </w:p>
        </w:tc>
        <w:tc>
          <w:tcPr>
            <w:tcW w:w="0" w:type="auto"/>
            <w:vAlign w:val="center"/>
            <w:hideMark/>
          </w:tcPr>
          <w:p w14:paraId="02FFEEA3" w14:textId="77777777" w:rsidR="00BD4D7B" w:rsidRPr="00BD4D7B" w:rsidRDefault="00BD4D7B" w:rsidP="00BD4D7B">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Priority action</w:t>
            </w:r>
          </w:p>
        </w:tc>
      </w:tr>
      <w:tr w:rsidR="00BD4D7B" w:rsidRPr="00BD4D7B" w14:paraId="65C737D2" w14:textId="77777777" w:rsidTr="002156C6">
        <w:trPr>
          <w:tblCellSpacing w:w="15" w:type="dxa"/>
        </w:trPr>
        <w:tc>
          <w:tcPr>
            <w:tcW w:w="0" w:type="auto"/>
            <w:vAlign w:val="center"/>
            <w:hideMark/>
          </w:tcPr>
          <w:p w14:paraId="5714F81E"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Population assessment</w:t>
            </w:r>
          </w:p>
        </w:tc>
        <w:tc>
          <w:tcPr>
            <w:tcW w:w="0" w:type="auto"/>
            <w:vAlign w:val="center"/>
            <w:hideMark/>
          </w:tcPr>
          <w:p w14:paraId="5A7F6EB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Map natural populations and quantify density, size structure and distribution of mature reproductive individuals.</w:t>
            </w:r>
          </w:p>
        </w:tc>
      </w:tr>
      <w:tr w:rsidR="00BD4D7B" w:rsidRPr="00BD4D7B" w14:paraId="43E4AD09" w14:textId="77777777" w:rsidTr="002156C6">
        <w:trPr>
          <w:tblCellSpacing w:w="15" w:type="dxa"/>
        </w:trPr>
        <w:tc>
          <w:tcPr>
            <w:tcW w:w="0" w:type="auto"/>
            <w:vAlign w:val="center"/>
            <w:hideMark/>
          </w:tcPr>
          <w:p w14:paraId="26B56F3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Regeneration</w:t>
            </w:r>
          </w:p>
        </w:tc>
        <w:tc>
          <w:tcPr>
            <w:tcW w:w="0" w:type="auto"/>
            <w:vAlign w:val="center"/>
            <w:hideMark/>
          </w:tcPr>
          <w:p w14:paraId="1978A1D2"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 seedlings, saplings, recruitment, growth and mortality over multiple years.</w:t>
            </w:r>
          </w:p>
        </w:tc>
      </w:tr>
      <w:tr w:rsidR="00BD4D7B" w:rsidRPr="00BD4D7B" w14:paraId="530782FC" w14:textId="77777777" w:rsidTr="002156C6">
        <w:trPr>
          <w:tblCellSpacing w:w="15" w:type="dxa"/>
        </w:trPr>
        <w:tc>
          <w:tcPr>
            <w:tcW w:w="0" w:type="auto"/>
            <w:vAlign w:val="center"/>
            <w:hideMark/>
          </w:tcPr>
          <w:p w14:paraId="36CF1181"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Genetic diversity</w:t>
            </w:r>
          </w:p>
        </w:tc>
        <w:tc>
          <w:tcPr>
            <w:tcW w:w="0" w:type="auto"/>
            <w:vAlign w:val="center"/>
            <w:hideMark/>
          </w:tcPr>
          <w:p w14:paraId="40DF5688"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Assess genetic diversity, population structure and gene flow among geographically separated populations.</w:t>
            </w:r>
          </w:p>
        </w:tc>
      </w:tr>
      <w:tr w:rsidR="00BD4D7B" w:rsidRPr="00BD4D7B" w14:paraId="5BB98C30" w14:textId="77777777" w:rsidTr="002156C6">
        <w:trPr>
          <w:tblCellSpacing w:w="15" w:type="dxa"/>
        </w:trPr>
        <w:tc>
          <w:tcPr>
            <w:tcW w:w="0" w:type="auto"/>
            <w:vAlign w:val="center"/>
            <w:hideMark/>
          </w:tcPr>
          <w:p w14:paraId="6238E6BF"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w:t>
            </w:r>
          </w:p>
        </w:tc>
        <w:tc>
          <w:tcPr>
            <w:tcW w:w="0" w:type="auto"/>
            <w:vAlign w:val="center"/>
            <w:hideMark/>
          </w:tcPr>
          <w:p w14:paraId="3BF90820"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Determine habitat requirements and effects of degradation, fragmentation and disturbance.</w:t>
            </w:r>
          </w:p>
        </w:tc>
      </w:tr>
      <w:tr w:rsidR="00BD4D7B" w:rsidRPr="00BD4D7B" w14:paraId="0C55A37B" w14:textId="77777777" w:rsidTr="002156C6">
        <w:trPr>
          <w:tblCellSpacing w:w="15" w:type="dxa"/>
        </w:trPr>
        <w:tc>
          <w:tcPr>
            <w:tcW w:w="0" w:type="auto"/>
            <w:vAlign w:val="center"/>
            <w:hideMark/>
          </w:tcPr>
          <w:p w14:paraId="7844021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Conservation units</w:t>
            </w:r>
          </w:p>
        </w:tc>
        <w:tc>
          <w:tcPr>
            <w:tcW w:w="0" w:type="auto"/>
            <w:vAlign w:val="center"/>
            <w:hideMark/>
          </w:tcPr>
          <w:p w14:paraId="6411722A"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Identify representative populations for in-situ and genetic-resource conservation.</w:t>
            </w:r>
          </w:p>
        </w:tc>
      </w:tr>
      <w:tr w:rsidR="00BD4D7B" w:rsidRPr="00BD4D7B" w14:paraId="0A54C63F" w14:textId="77777777" w:rsidTr="002156C6">
        <w:trPr>
          <w:tblCellSpacing w:w="15" w:type="dxa"/>
        </w:trPr>
        <w:tc>
          <w:tcPr>
            <w:tcW w:w="0" w:type="auto"/>
            <w:vAlign w:val="center"/>
            <w:hideMark/>
          </w:tcPr>
          <w:p w14:paraId="4C6D609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Seed resources</w:t>
            </w:r>
          </w:p>
        </w:tc>
        <w:tc>
          <w:tcPr>
            <w:tcW w:w="0" w:type="auto"/>
            <w:vAlign w:val="center"/>
            <w:hideMark/>
          </w:tcPr>
          <w:p w14:paraId="1B1EDEC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documented and geographically representative seed sources based on genetic, geographic and environmental information.</w:t>
            </w:r>
          </w:p>
        </w:tc>
      </w:tr>
      <w:tr w:rsidR="00BD4D7B" w:rsidRPr="00BD4D7B" w14:paraId="6E7B7BD9" w14:textId="77777777" w:rsidTr="002156C6">
        <w:trPr>
          <w:tblCellSpacing w:w="15" w:type="dxa"/>
        </w:trPr>
        <w:tc>
          <w:tcPr>
            <w:tcW w:w="0" w:type="auto"/>
            <w:vAlign w:val="center"/>
            <w:hideMark/>
          </w:tcPr>
          <w:p w14:paraId="7146057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Ex-situ conservation</w:t>
            </w:r>
          </w:p>
        </w:tc>
        <w:tc>
          <w:tcPr>
            <w:tcW w:w="0" w:type="auto"/>
            <w:vAlign w:val="center"/>
            <w:hideMark/>
          </w:tcPr>
          <w:p w14:paraId="264CE1B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representative living collections and evaluate seed-storage behaviour and viability.</w:t>
            </w:r>
          </w:p>
        </w:tc>
      </w:tr>
      <w:tr w:rsidR="00BD4D7B" w:rsidRPr="00BD4D7B" w14:paraId="2AD6AD58" w14:textId="77777777" w:rsidTr="002156C6">
        <w:trPr>
          <w:tblCellSpacing w:w="15" w:type="dxa"/>
        </w:trPr>
        <w:tc>
          <w:tcPr>
            <w:tcW w:w="0" w:type="auto"/>
            <w:vAlign w:val="center"/>
            <w:hideMark/>
          </w:tcPr>
          <w:p w14:paraId="124B1C4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Restoration</w:t>
            </w:r>
          </w:p>
        </w:tc>
        <w:tc>
          <w:tcPr>
            <w:tcW w:w="0" w:type="auto"/>
            <w:vAlign w:val="center"/>
            <w:hideMark/>
          </w:tcPr>
          <w:p w14:paraId="6688D81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evidence-based seed-sourcing and provenance strategies for ecological restoration.</w:t>
            </w:r>
          </w:p>
        </w:tc>
      </w:tr>
      <w:tr w:rsidR="00BD4D7B" w:rsidRPr="00BD4D7B" w14:paraId="14F092BC" w14:textId="77777777" w:rsidTr="002156C6">
        <w:trPr>
          <w:tblCellSpacing w:w="15" w:type="dxa"/>
        </w:trPr>
        <w:tc>
          <w:tcPr>
            <w:tcW w:w="0" w:type="auto"/>
            <w:vAlign w:val="center"/>
            <w:hideMark/>
          </w:tcPr>
          <w:p w14:paraId="08C4CB4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Sustainable </w:t>
            </w:r>
            <w:r w:rsidRPr="00BD4D7B">
              <w:rPr>
                <w:rFonts w:ascii="Times New Roman" w:eastAsia="Times New Roman" w:hAnsi="Times New Roman" w:cs="Times New Roman"/>
                <w:sz w:val="24"/>
                <w:szCs w:val="24"/>
                <w:lang w:eastAsia="en-GB"/>
              </w:rPr>
              <w:lastRenderedPageBreak/>
              <w:t>utilization</w:t>
            </w:r>
          </w:p>
        </w:tc>
        <w:tc>
          <w:tcPr>
            <w:tcW w:w="0" w:type="auto"/>
            <w:vAlign w:val="center"/>
            <w:hideMark/>
          </w:tcPr>
          <w:p w14:paraId="00B7597C"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 xml:space="preserve">Assess harvesting pressure and develop practices compatible with </w:t>
            </w:r>
            <w:r w:rsidRPr="00BD4D7B">
              <w:rPr>
                <w:rFonts w:ascii="Times New Roman" w:eastAsia="Times New Roman" w:hAnsi="Times New Roman" w:cs="Times New Roman"/>
                <w:sz w:val="24"/>
                <w:szCs w:val="24"/>
                <w:lang w:eastAsia="en-GB"/>
              </w:rPr>
              <w:lastRenderedPageBreak/>
              <w:t>population maintenance.</w:t>
            </w:r>
          </w:p>
        </w:tc>
      </w:tr>
      <w:tr w:rsidR="00BD4D7B" w:rsidRPr="00BD4D7B" w14:paraId="70A97BFB" w14:textId="77777777" w:rsidTr="002156C6">
        <w:trPr>
          <w:tblCellSpacing w:w="15" w:type="dxa"/>
        </w:trPr>
        <w:tc>
          <w:tcPr>
            <w:tcW w:w="0" w:type="auto"/>
            <w:vAlign w:val="center"/>
            <w:hideMark/>
          </w:tcPr>
          <w:p w14:paraId="6C3A01F9" w14:textId="77777777" w:rsidR="002156C6" w:rsidRDefault="002156C6" w:rsidP="00BD4D7B">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Cultivation</w:t>
            </w:r>
          </w:p>
          <w:p w14:paraId="086AA45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and promotion</w:t>
            </w:r>
          </w:p>
        </w:tc>
        <w:tc>
          <w:tcPr>
            <w:tcW w:w="0" w:type="auto"/>
            <w:vAlign w:val="center"/>
            <w:hideMark/>
          </w:tcPr>
          <w:p w14:paraId="7E2F1E4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Promote nursery production, cultivation and appropriate agroforestry systems to reduce dependence on wild populations.</w:t>
            </w:r>
          </w:p>
        </w:tc>
      </w:tr>
      <w:tr w:rsidR="00BD4D7B" w:rsidRPr="00BD4D7B" w14:paraId="45BD6F89" w14:textId="77777777" w:rsidTr="002156C6">
        <w:trPr>
          <w:tblCellSpacing w:w="15" w:type="dxa"/>
        </w:trPr>
        <w:tc>
          <w:tcPr>
            <w:tcW w:w="0" w:type="auto"/>
            <w:vAlign w:val="center"/>
            <w:hideMark/>
          </w:tcPr>
          <w:p w14:paraId="3106457E"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Community participation</w:t>
            </w:r>
          </w:p>
        </w:tc>
        <w:tc>
          <w:tcPr>
            <w:tcW w:w="0" w:type="auto"/>
            <w:vAlign w:val="center"/>
            <w:hideMark/>
          </w:tcPr>
          <w:p w14:paraId="58A4CF9C"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Involve local communities in protection, monitoring, seed collection and restoration.</w:t>
            </w:r>
          </w:p>
        </w:tc>
      </w:tr>
      <w:tr w:rsidR="00BD4D7B" w:rsidRPr="00BD4D7B" w14:paraId="70742CA1" w14:textId="77777777" w:rsidTr="002156C6">
        <w:trPr>
          <w:tblCellSpacing w:w="15" w:type="dxa"/>
        </w:trPr>
        <w:tc>
          <w:tcPr>
            <w:tcW w:w="0" w:type="auto"/>
            <w:vAlign w:val="center"/>
            <w:hideMark/>
          </w:tcPr>
          <w:p w14:paraId="0F6CA8C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Monitoring</w:t>
            </w:r>
          </w:p>
        </w:tc>
        <w:tc>
          <w:tcPr>
            <w:tcW w:w="0" w:type="auto"/>
            <w:vAlign w:val="center"/>
            <w:hideMark/>
          </w:tcPr>
          <w:p w14:paraId="56936AC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long-term population, regeneration, habitat and seed-resource monitoring systems.</w:t>
            </w:r>
          </w:p>
        </w:tc>
      </w:tr>
    </w:tbl>
    <w:p w14:paraId="33E1229C"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Proposed conservation framework</w:t>
      </w:r>
    </w:p>
    <w:p w14:paraId="5EF999E7"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 practical conservation programme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in Northeast India can be organized into five interconnected stages.</w:t>
      </w:r>
    </w:p>
    <w:p w14:paraId="28922DF4"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1: Establish a regional population baseline.</w:t>
      </w:r>
    </w:p>
    <w:p w14:paraId="0AF9A6DC" w14:textId="77777777" w:rsidR="00BD4D7B" w:rsidRPr="00DD3CB7" w:rsidRDefault="00BD4D7B" w:rsidP="00DD3CB7">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Compile occurrence records and conduct systematic field surveys to identify populations, mature reproductive individuals, regeneration status, habitat condition and major anthropogenic pressures.</w:t>
      </w:r>
    </w:p>
    <w:p w14:paraId="268308C3"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2: Evaluate representative populations.</w:t>
      </w:r>
    </w:p>
    <w:p w14:paraId="0BF3D538" w14:textId="77777777" w:rsidR="00BD4D7B" w:rsidRPr="00DD3CB7" w:rsidRDefault="00BD4D7B" w:rsidP="00DD3CB7">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Assess population structure, reproductive status, regeneration and, where feasible, genetic diversity and population structure across geographically separated populations.</w:t>
      </w:r>
    </w:p>
    <w:p w14:paraId="2447778C"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3: Establish conservation units and seed sources.</w:t>
      </w:r>
    </w:p>
    <w:p w14:paraId="64C20428" w14:textId="77777777" w:rsidR="00BD4D7B" w:rsidRPr="00BD4D7B" w:rsidRDefault="00BD4D7B" w:rsidP="00DD3CB7">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Identify priority populations for in-situ conservation and genetic conservation while developing documented seed sources that represent geographic, genetic and environmental variation.</w:t>
      </w:r>
    </w:p>
    <w:p w14:paraId="02266B9F" w14:textId="77777777" w:rsidR="00DD3CB7" w:rsidRDefault="00BD4D7B" w:rsidP="00382F11">
      <w:pPr>
        <w:spacing w:before="100" w:beforeAutospacing="1" w:after="100" w:afterAutospacing="1" w:line="360" w:lineRule="auto"/>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t>Stage 4: Develop ex-situ, cultivation and restoration systems.</w:t>
      </w:r>
    </w:p>
    <w:p w14:paraId="16FB5442" w14:textId="77777777" w:rsidR="00BD4D7B" w:rsidRPr="00BD4D7B" w:rsidRDefault="00BD4D7B" w:rsidP="00DD3CB7">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Establish representative living collections, develop nursery and cultivation protocols, and use appropriately documented planting material for restoration and future conservation programmes. Cultivation should progressively provide an alternative source of planting and </w:t>
      </w:r>
      <w:r w:rsidRPr="00BD4D7B">
        <w:rPr>
          <w:rFonts w:ascii="Times New Roman" w:eastAsia="Times New Roman" w:hAnsi="Times New Roman" w:cs="Times New Roman"/>
          <w:sz w:val="24"/>
          <w:szCs w:val="24"/>
          <w:lang w:eastAsia="en-GB"/>
        </w:rPr>
        <w:lastRenderedPageBreak/>
        <w:t>utilization material so that increased promotion does not translate into greater pressure on natural populations.</w:t>
      </w:r>
    </w:p>
    <w:p w14:paraId="42DC22DF" w14:textId="77777777" w:rsidR="00DD3CB7" w:rsidRPr="00DD3CB7" w:rsidRDefault="00BD4D7B" w:rsidP="00DD3CB7">
      <w:pPr>
        <w:pStyle w:val="NoSpacing"/>
        <w:rPr>
          <w:rFonts w:ascii="Times New Roman" w:hAnsi="Times New Roman" w:cs="Times New Roman"/>
          <w:b/>
          <w:sz w:val="24"/>
          <w:szCs w:val="24"/>
          <w:lang w:eastAsia="en-GB"/>
        </w:rPr>
      </w:pPr>
      <w:r w:rsidRPr="00DD3CB7">
        <w:rPr>
          <w:rFonts w:ascii="Times New Roman" w:hAnsi="Times New Roman" w:cs="Times New Roman"/>
          <w:b/>
          <w:sz w:val="24"/>
          <w:szCs w:val="24"/>
          <w:lang w:eastAsia="en-GB"/>
        </w:rPr>
        <w:t>Stage 5: Monitor, promote responsibly and reassess.</w:t>
      </w:r>
      <w:r w:rsidRPr="00DD3CB7">
        <w:rPr>
          <w:rFonts w:ascii="Times New Roman" w:hAnsi="Times New Roman" w:cs="Times New Roman"/>
          <w:b/>
          <w:sz w:val="24"/>
          <w:szCs w:val="24"/>
          <w:lang w:eastAsia="en-GB"/>
        </w:rPr>
        <w:br/>
      </w:r>
    </w:p>
    <w:p w14:paraId="1232AD04" w14:textId="77777777" w:rsidR="00BD4D7B" w:rsidRPr="00DD3CB7" w:rsidRDefault="00BD4D7B" w:rsidP="00DD3CB7">
      <w:pPr>
        <w:pStyle w:val="NoSpacing"/>
        <w:spacing w:line="360" w:lineRule="auto"/>
        <w:jc w:val="both"/>
        <w:rPr>
          <w:rFonts w:ascii="Times New Roman" w:hAnsi="Times New Roman" w:cs="Times New Roman"/>
          <w:sz w:val="24"/>
          <w:szCs w:val="24"/>
          <w:lang w:eastAsia="en-GB"/>
        </w:rPr>
      </w:pPr>
      <w:r w:rsidRPr="00DD3CB7">
        <w:rPr>
          <w:rFonts w:ascii="Times New Roman" w:hAnsi="Times New Roman" w:cs="Times New Roman"/>
          <w:sz w:val="24"/>
          <w:szCs w:val="24"/>
          <w:lang w:eastAsia="en-GB"/>
        </w:rPr>
        <w:t>Monitor population size, regeneration, habitat condition, reproductive output and seed availability while evaluating the effects of utilization, cultivation and restoration. Conservation priorities should be periodically revised as new demographic, genetic and environmental evidence becomes available.</w:t>
      </w:r>
    </w:p>
    <w:p w14:paraId="3D242A6D"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framework links population conservation with genetic-resource management, seed-source development, cultivation and responsible promotion. Genetic and environmental information can improve seed sourcing, while climate-informed approaches can help address future environmental change (Prakash et al., 2024; </w:t>
      </w:r>
      <w:proofErr w:type="spellStart"/>
      <w:r w:rsidRPr="00BD4D7B">
        <w:rPr>
          <w:rFonts w:ascii="Times New Roman" w:eastAsia="Times New Roman" w:hAnsi="Times New Roman" w:cs="Times New Roman"/>
          <w:sz w:val="24"/>
          <w:szCs w:val="24"/>
          <w:lang w:eastAsia="en-GB"/>
        </w:rPr>
        <w:t>Fremout</w:t>
      </w:r>
      <w:proofErr w:type="spellEnd"/>
      <w:r w:rsidRPr="00BD4D7B">
        <w:rPr>
          <w:rFonts w:ascii="Times New Roman" w:eastAsia="Times New Roman" w:hAnsi="Times New Roman" w:cs="Times New Roman"/>
          <w:sz w:val="24"/>
          <w:szCs w:val="24"/>
          <w:lang w:eastAsia="en-GB"/>
        </w:rPr>
        <w:t xml:space="preserve"> et al., 2021). Importantly, the framework does not assume that a single seed source or strictly local provenance strategy will always be optimal. Appropriate sourcing should depend on the ecological and genetic context and the objectives of restoration (Török et al., 2024; Vitt et al., 2022).</w:t>
      </w:r>
    </w:p>
    <w:p w14:paraId="2F7C656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the immediate priority is therefore not to prescribe a single provenance for restoration or utilization, but to establish the population, genetic and seed-resource information required to make scientifically defensible decisions. At the same time, conservation-oriented cultivation and nursery development can allow the species to be promoted without increasing dependence on natural populations.</w:t>
      </w:r>
    </w:p>
    <w:p w14:paraId="5249DC2E"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Conclusion</w:t>
      </w:r>
    </w:p>
    <w:p w14:paraId="7690B56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a lesser-known native tree of Northeast India with medicinal, seed-oil and forest genetic-resource value. Its limited scientific documentation, together with habitat degradation, fragmentation and potential loss of mature reproductive individuals, warrants proactive conservation attention. Its Data Deficient status emphasizes the need for improved information on population distribution, regeneration, genetic diversity and long-term viability rather than providing evidence that the species is secure (World Flora Online Consortium, 2026).</w:t>
      </w:r>
    </w:p>
    <w:p w14:paraId="288C8225"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An important conservation opportunity lies in linking the protection of natural populations with responsible promotion of the species. Greater recognition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for cultivation, </w:t>
      </w:r>
      <w:r w:rsidRPr="00BD4D7B">
        <w:rPr>
          <w:rFonts w:ascii="Times New Roman" w:eastAsia="Times New Roman" w:hAnsi="Times New Roman" w:cs="Times New Roman"/>
          <w:sz w:val="24"/>
          <w:szCs w:val="24"/>
          <w:lang w:eastAsia="en-GB"/>
        </w:rPr>
        <w:lastRenderedPageBreak/>
        <w:t>nursery production, agroforestry, seed-oil utilization and ecological restoration could increase its socioeconomic and conservation value. However, promotion should not depend on increased extraction from wild populations. Instead, it should be supported by protected reproductive populations, documented genetic resources, representative seed sources and appropriate cultivation systems.</w:t>
      </w:r>
    </w:p>
    <w:p w14:paraId="316988C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Conservation should therefore begin with systematic assessment of representative natural populations, mature reproductive trees and regeneration, followed by evaluation of genetic diversity and establishment of geographically representative conservation units and seed sources. In-situ conservation should remain the foundation, while ex-situ conservation, cultivation, genetic-resource management, restoration and community participation should provide complementary safeguards.</w:t>
      </w:r>
    </w:p>
    <w:p w14:paraId="38B205A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principal contribution of this Short Communication is to place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within a proactive conservation framework that connects </w:t>
      </w:r>
      <w:r w:rsidRPr="00BD4D7B">
        <w:rPr>
          <w:rFonts w:ascii="Times New Roman" w:eastAsia="Times New Roman" w:hAnsi="Times New Roman" w:cs="Times New Roman"/>
          <w:bCs/>
          <w:sz w:val="24"/>
          <w:szCs w:val="24"/>
          <w:lang w:eastAsia="en-GB"/>
        </w:rPr>
        <w:t>population assessment, genetic-resource conservation, seed-source development, responsible species promotion and restoration</w:t>
      </w:r>
      <w:r w:rsidRPr="00BD4D7B">
        <w:rPr>
          <w:rFonts w:ascii="Times New Roman" w:eastAsia="Times New Roman" w:hAnsi="Times New Roman" w:cs="Times New Roman"/>
          <w:sz w:val="24"/>
          <w:szCs w:val="24"/>
          <w:lang w:eastAsia="en-GB"/>
        </w:rPr>
        <w:t>. Rather than waiting for clear evidence of population decline before action is initiated, establishing a regional baseline now would provide an opportunity to conserve the species' natural genetic resources while developing sustainable pathways for its future cultivation and utilization. Such an approach is particularly appropriate for a lesser-known native tree whose ecological and socioeconomic potential remains insufficiently explored.</w:t>
      </w:r>
    </w:p>
    <w:p w14:paraId="208EAD35" w14:textId="77777777"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 coordinated conservation and seed-source network across Northeast India would consequently provide a practical foundation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as a component of native forest biodiversity, a medicinal plant and a valuable forest genetic resource while ensuring that its future promotion is compatible with long-term population persistence.</w:t>
      </w:r>
    </w:p>
    <w:p w14:paraId="1C979B2E" w14:textId="77777777" w:rsidR="00277693" w:rsidRDefault="00277693"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
    <w:p w14:paraId="7F28EDC7" w14:textId="77777777" w:rsidR="00277693" w:rsidRDefault="00277693" w:rsidP="00277693">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bookmarkStart w:id="3" w:name="_Hlk240540980"/>
      <w:bookmarkStart w:id="4" w:name="_Hlk240284289"/>
    </w:p>
    <w:p w14:paraId="6036E2BA" w14:textId="77777777" w:rsidR="00277693" w:rsidRPr="002D08AC" w:rsidRDefault="00277693" w:rsidP="00277693">
      <w:pPr>
        <w:spacing w:after="0" w:line="240" w:lineRule="auto"/>
        <w:rPr>
          <w:rFonts w:ascii="Arial" w:hAnsi="Arial" w:cs="Arial"/>
          <w:b/>
          <w:sz w:val="20"/>
          <w:szCs w:val="20"/>
        </w:rPr>
      </w:pPr>
      <w:bookmarkStart w:id="5" w:name="_Hlk238550938"/>
      <w:bookmarkStart w:id="6" w:name="_Hlk237856463"/>
      <w:bookmarkEnd w:id="0"/>
      <w:bookmarkEnd w:id="1"/>
      <w:bookmarkEnd w:id="2"/>
      <w:r w:rsidRPr="002D08AC">
        <w:rPr>
          <w:rFonts w:ascii="Arial" w:hAnsi="Arial" w:cs="Arial"/>
          <w:b/>
          <w:sz w:val="20"/>
          <w:szCs w:val="20"/>
        </w:rPr>
        <w:t>Declaration of AI Use</w:t>
      </w:r>
    </w:p>
    <w:p w14:paraId="34A4E817" w14:textId="77777777" w:rsidR="00277693" w:rsidRPr="002D08AC" w:rsidRDefault="00277693" w:rsidP="00277693">
      <w:pPr>
        <w:spacing w:after="0" w:line="240" w:lineRule="auto"/>
        <w:rPr>
          <w:rFonts w:ascii="Arial" w:hAnsi="Arial" w:cs="Arial"/>
          <w:sz w:val="20"/>
          <w:szCs w:val="20"/>
        </w:rPr>
      </w:pPr>
      <w:bookmarkStart w:id="7" w:name="_Hlk239068730"/>
    </w:p>
    <w:p w14:paraId="35689120" w14:textId="77777777" w:rsidR="00277693" w:rsidRPr="002D08AC" w:rsidRDefault="00277693" w:rsidP="00277693">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4"/>
    <w:bookmarkEnd w:id="6"/>
    <w:bookmarkEnd w:id="7"/>
    <w:bookmarkEnd w:id="8"/>
    <w:p w14:paraId="4DB9B1AE" w14:textId="77777777" w:rsidR="008827F5" w:rsidRDefault="008827F5" w:rsidP="00382F11">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p>
    <w:p w14:paraId="07943924" w14:textId="69326781" w:rsidR="00382F11" w:rsidRPr="009C6D81" w:rsidRDefault="00382F11" w:rsidP="00382F11">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9C6D81">
        <w:rPr>
          <w:rFonts w:ascii="Times New Roman" w:eastAsia="Times New Roman" w:hAnsi="Times New Roman" w:cs="Times New Roman"/>
          <w:b/>
          <w:bCs/>
          <w:sz w:val="24"/>
          <w:szCs w:val="24"/>
          <w:lang w:eastAsia="en-GB"/>
        </w:rPr>
        <w:lastRenderedPageBreak/>
        <w:t>References</w:t>
      </w:r>
    </w:p>
    <w:p w14:paraId="5C60DC9D"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Barua, A., Dutta, P., Das, P., &amp; Gogoi, P. (2018). Mass regeneration status of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i/>
          <w:iCs/>
          <w:sz w:val="24"/>
          <w:szCs w:val="24"/>
          <w:lang w:eastAsia="en-GB"/>
        </w:rPr>
        <w:t xml:space="preserve"> </w:t>
      </w:r>
      <w:proofErr w:type="spellStart"/>
      <w:r w:rsidRPr="009C6D81">
        <w:rPr>
          <w:rFonts w:ascii="Times New Roman" w:eastAsia="Times New Roman" w:hAnsi="Times New Roman" w:cs="Times New Roman"/>
          <w:i/>
          <w:iCs/>
          <w:sz w:val="24"/>
          <w:szCs w:val="24"/>
          <w:lang w:eastAsia="en-GB"/>
        </w:rPr>
        <w:t>kurzii</w:t>
      </w:r>
      <w:proofErr w:type="spellEnd"/>
      <w:r w:rsidRPr="009C6D81">
        <w:rPr>
          <w:rFonts w:ascii="Times New Roman" w:eastAsia="Times New Roman" w:hAnsi="Times New Roman" w:cs="Times New Roman"/>
          <w:sz w:val="24"/>
          <w:szCs w:val="24"/>
          <w:lang w:eastAsia="en-GB"/>
        </w:rPr>
        <w:t xml:space="preserve"> (King) </w:t>
      </w:r>
      <w:proofErr w:type="spellStart"/>
      <w:r w:rsidRPr="009C6D81">
        <w:rPr>
          <w:rFonts w:ascii="Times New Roman" w:eastAsia="Times New Roman" w:hAnsi="Times New Roman" w:cs="Times New Roman"/>
          <w:sz w:val="24"/>
          <w:szCs w:val="24"/>
          <w:lang w:eastAsia="en-GB"/>
        </w:rPr>
        <w:t>Warb</w:t>
      </w:r>
      <w:proofErr w:type="spellEnd"/>
      <w:r w:rsidRPr="009C6D81">
        <w:rPr>
          <w:rFonts w:ascii="Times New Roman" w:eastAsia="Times New Roman" w:hAnsi="Times New Roman" w:cs="Times New Roman"/>
          <w:sz w:val="24"/>
          <w:szCs w:val="24"/>
          <w:lang w:eastAsia="en-GB"/>
        </w:rPr>
        <w:t xml:space="preserve">. in </w:t>
      </w:r>
      <w:proofErr w:type="spellStart"/>
      <w:r w:rsidRPr="009C6D81">
        <w:rPr>
          <w:rFonts w:ascii="Times New Roman" w:eastAsia="Times New Roman" w:hAnsi="Times New Roman" w:cs="Times New Roman"/>
          <w:sz w:val="24"/>
          <w:szCs w:val="24"/>
          <w:lang w:eastAsia="en-GB"/>
        </w:rPr>
        <w:t>Bornewria</w:t>
      </w:r>
      <w:proofErr w:type="spellEnd"/>
      <w:r w:rsidRPr="009C6D81">
        <w:rPr>
          <w:rFonts w:ascii="Times New Roman" w:eastAsia="Times New Roman" w:hAnsi="Times New Roman" w:cs="Times New Roman"/>
          <w:sz w:val="24"/>
          <w:szCs w:val="24"/>
          <w:lang w:eastAsia="en-GB"/>
        </w:rPr>
        <w:t xml:space="preserve"> forest, Assam, India. </w:t>
      </w:r>
      <w:r w:rsidRPr="009C6D81">
        <w:rPr>
          <w:rFonts w:ascii="Times New Roman" w:eastAsia="Times New Roman" w:hAnsi="Times New Roman" w:cs="Times New Roman"/>
          <w:i/>
          <w:iCs/>
          <w:sz w:val="24"/>
          <w:szCs w:val="24"/>
          <w:lang w:eastAsia="en-GB"/>
        </w:rPr>
        <w:t>Tropical Plant Research, 5</w:t>
      </w:r>
      <w:r w:rsidRPr="009C6D81">
        <w:rPr>
          <w:rFonts w:ascii="Times New Roman" w:eastAsia="Times New Roman" w:hAnsi="Times New Roman" w:cs="Times New Roman"/>
          <w:sz w:val="24"/>
          <w:szCs w:val="24"/>
          <w:lang w:eastAsia="en-GB"/>
        </w:rPr>
        <w:t xml:space="preserve">(2), 233–242. </w:t>
      </w:r>
      <w:hyperlink r:id="rId7" w:history="1">
        <w:r w:rsidRPr="009C6D81">
          <w:rPr>
            <w:rFonts w:ascii="Times New Roman" w:eastAsia="Times New Roman" w:hAnsi="Times New Roman" w:cs="Times New Roman"/>
            <w:color w:val="0000FF"/>
            <w:sz w:val="24"/>
            <w:szCs w:val="24"/>
            <w:u w:val="single"/>
            <w:lang w:eastAsia="en-GB"/>
          </w:rPr>
          <w:t>https://doi.org/10.22271/tpr.2018.v5.i2.030</w:t>
        </w:r>
      </w:hyperlink>
    </w:p>
    <w:p w14:paraId="0AFC5844"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9C6D81">
        <w:rPr>
          <w:rFonts w:ascii="Times New Roman" w:eastAsia="Times New Roman" w:hAnsi="Times New Roman" w:cs="Times New Roman"/>
          <w:sz w:val="24"/>
          <w:szCs w:val="24"/>
          <w:lang w:eastAsia="en-GB"/>
        </w:rPr>
        <w:t>Bioversity</w:t>
      </w:r>
      <w:proofErr w:type="spellEnd"/>
      <w:r w:rsidRPr="009C6D81">
        <w:rPr>
          <w:rFonts w:ascii="Times New Roman" w:eastAsia="Times New Roman" w:hAnsi="Times New Roman" w:cs="Times New Roman"/>
          <w:sz w:val="24"/>
          <w:szCs w:val="24"/>
          <w:lang w:eastAsia="en-GB"/>
        </w:rPr>
        <w:t xml:space="preserve"> International &amp; CIAT; APFORGEN. (2025). </w:t>
      </w:r>
      <w:r w:rsidRPr="009C6D81">
        <w:rPr>
          <w:rFonts w:ascii="Times New Roman" w:eastAsia="Times New Roman" w:hAnsi="Times New Roman" w:cs="Times New Roman"/>
          <w:i/>
          <w:iCs/>
          <w:sz w:val="24"/>
          <w:szCs w:val="24"/>
          <w:lang w:eastAsia="en-GB"/>
        </w:rPr>
        <w:t>Regional guidelines for identifying genetic conservation units and seed sources</w:t>
      </w:r>
      <w:r w:rsidRPr="009C6D81">
        <w:rPr>
          <w:rFonts w:ascii="Times New Roman" w:eastAsia="Times New Roman" w:hAnsi="Times New Roman" w:cs="Times New Roman"/>
          <w:sz w:val="24"/>
          <w:szCs w:val="24"/>
          <w:lang w:eastAsia="en-GB"/>
        </w:rPr>
        <w:t xml:space="preserve">. </w:t>
      </w:r>
      <w:proofErr w:type="spellStart"/>
      <w:r w:rsidRPr="009C6D81">
        <w:rPr>
          <w:rFonts w:ascii="Times New Roman" w:eastAsia="Times New Roman" w:hAnsi="Times New Roman" w:cs="Times New Roman"/>
          <w:sz w:val="24"/>
          <w:szCs w:val="24"/>
          <w:lang w:eastAsia="en-GB"/>
        </w:rPr>
        <w:t>Bioversity</w:t>
      </w:r>
      <w:proofErr w:type="spellEnd"/>
      <w:r w:rsidRPr="009C6D81">
        <w:rPr>
          <w:rFonts w:ascii="Times New Roman" w:eastAsia="Times New Roman" w:hAnsi="Times New Roman" w:cs="Times New Roman"/>
          <w:sz w:val="24"/>
          <w:szCs w:val="24"/>
          <w:lang w:eastAsia="en-GB"/>
        </w:rPr>
        <w:t xml:space="preserve"> International/CIAT/APFORGEN.</w:t>
      </w:r>
    </w:p>
    <w:p w14:paraId="0DD2EB65"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Coomes, D. A., Holdaway, R. J., Kobe, R. K., Lines, E. R., &amp; Allen, R. B. (2011). A general integrative framework for modelling the impacts of land use on forest vegetation. </w:t>
      </w:r>
      <w:r w:rsidRPr="009C6D81">
        <w:rPr>
          <w:rFonts w:ascii="Times New Roman" w:eastAsia="Times New Roman" w:hAnsi="Times New Roman" w:cs="Times New Roman"/>
          <w:i/>
          <w:iCs/>
          <w:sz w:val="24"/>
          <w:szCs w:val="24"/>
          <w:lang w:eastAsia="en-GB"/>
        </w:rPr>
        <w:t>Proceedings of the National Academy of Sciences, 108</w:t>
      </w:r>
      <w:r w:rsidRPr="009C6D81">
        <w:rPr>
          <w:rFonts w:ascii="Times New Roman" w:eastAsia="Times New Roman" w:hAnsi="Times New Roman" w:cs="Times New Roman"/>
          <w:sz w:val="24"/>
          <w:szCs w:val="24"/>
          <w:lang w:eastAsia="en-GB"/>
        </w:rPr>
        <w:t xml:space="preserve">(34), 13925–13930. </w:t>
      </w:r>
      <w:hyperlink r:id="rId8" w:history="1">
        <w:r w:rsidRPr="009C6D81">
          <w:rPr>
            <w:rFonts w:ascii="Times New Roman" w:eastAsia="Times New Roman" w:hAnsi="Times New Roman" w:cs="Times New Roman"/>
            <w:color w:val="0000FF"/>
            <w:sz w:val="24"/>
            <w:szCs w:val="24"/>
            <w:u w:val="single"/>
            <w:lang w:eastAsia="en-GB"/>
          </w:rPr>
          <w:t>https://doi.org/10.1073/pnas.1012973108</w:t>
        </w:r>
      </w:hyperlink>
    </w:p>
    <w:p w14:paraId="6F9D282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Engert, J. E., Middleby, K., </w:t>
      </w:r>
      <w:proofErr w:type="spellStart"/>
      <w:r w:rsidRPr="009C6D81">
        <w:rPr>
          <w:rFonts w:ascii="Times New Roman" w:eastAsia="Times New Roman" w:hAnsi="Times New Roman" w:cs="Times New Roman"/>
          <w:sz w:val="24"/>
          <w:szCs w:val="24"/>
          <w:lang w:eastAsia="en-GB"/>
        </w:rPr>
        <w:t>Vogado</w:t>
      </w:r>
      <w:proofErr w:type="spellEnd"/>
      <w:r w:rsidRPr="009C6D81">
        <w:rPr>
          <w:rFonts w:ascii="Times New Roman" w:eastAsia="Times New Roman" w:hAnsi="Times New Roman" w:cs="Times New Roman"/>
          <w:sz w:val="24"/>
          <w:szCs w:val="24"/>
          <w:lang w:eastAsia="en-GB"/>
        </w:rPr>
        <w:t xml:space="preserve">, N. O., &amp; Laurance, S. G. W. (2026). Seed collection practices in tropical rainforest restoration and implications for provenance research. </w:t>
      </w:r>
      <w:r w:rsidRPr="009C6D81">
        <w:rPr>
          <w:rFonts w:ascii="Times New Roman" w:eastAsia="Times New Roman" w:hAnsi="Times New Roman" w:cs="Times New Roman"/>
          <w:i/>
          <w:iCs/>
          <w:sz w:val="24"/>
          <w:szCs w:val="24"/>
          <w:lang w:eastAsia="en-GB"/>
        </w:rPr>
        <w:t>Forest Ecology and Management, 602</w:t>
      </w:r>
      <w:r w:rsidRPr="009C6D81">
        <w:rPr>
          <w:rFonts w:ascii="Times New Roman" w:eastAsia="Times New Roman" w:hAnsi="Times New Roman" w:cs="Times New Roman"/>
          <w:sz w:val="24"/>
          <w:szCs w:val="24"/>
          <w:lang w:eastAsia="en-GB"/>
        </w:rPr>
        <w:t xml:space="preserve">, 123376. </w:t>
      </w:r>
      <w:hyperlink r:id="rId9" w:history="1">
        <w:r w:rsidRPr="009C6D81">
          <w:rPr>
            <w:rFonts w:ascii="Times New Roman" w:eastAsia="Times New Roman" w:hAnsi="Times New Roman" w:cs="Times New Roman"/>
            <w:color w:val="0000FF"/>
            <w:sz w:val="24"/>
            <w:szCs w:val="24"/>
            <w:u w:val="single"/>
            <w:lang w:eastAsia="en-GB"/>
          </w:rPr>
          <w:t>https://doi.org/10.1016/j.foreco.2025.123376</w:t>
        </w:r>
      </w:hyperlink>
    </w:p>
    <w:p w14:paraId="7B195ACB"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9C6D81">
        <w:rPr>
          <w:rFonts w:ascii="Times New Roman" w:eastAsia="Times New Roman" w:hAnsi="Times New Roman" w:cs="Times New Roman"/>
          <w:sz w:val="24"/>
          <w:szCs w:val="24"/>
          <w:lang w:eastAsia="en-GB"/>
        </w:rPr>
        <w:t>Fremout</w:t>
      </w:r>
      <w:proofErr w:type="spellEnd"/>
      <w:r w:rsidRPr="009C6D81">
        <w:rPr>
          <w:rFonts w:ascii="Times New Roman" w:eastAsia="Times New Roman" w:hAnsi="Times New Roman" w:cs="Times New Roman"/>
          <w:sz w:val="24"/>
          <w:szCs w:val="24"/>
          <w:lang w:eastAsia="en-GB"/>
        </w:rPr>
        <w:t xml:space="preserve">, T., Thomas, E., Bocanegra-González, K. T., Aguirre-Morales, C. A., Morillo-Paz, A. T., Atkinson, R., Kettle, C. J., González-M., R., </w:t>
      </w:r>
      <w:proofErr w:type="spellStart"/>
      <w:r w:rsidRPr="009C6D81">
        <w:rPr>
          <w:rFonts w:ascii="Times New Roman" w:eastAsia="Times New Roman" w:hAnsi="Times New Roman" w:cs="Times New Roman"/>
          <w:sz w:val="24"/>
          <w:szCs w:val="24"/>
          <w:lang w:eastAsia="en-GB"/>
        </w:rPr>
        <w:t>Alcázar</w:t>
      </w:r>
      <w:proofErr w:type="spellEnd"/>
      <w:r w:rsidRPr="009C6D81">
        <w:rPr>
          <w:rFonts w:ascii="Times New Roman" w:eastAsia="Times New Roman" w:hAnsi="Times New Roman" w:cs="Times New Roman"/>
          <w:sz w:val="24"/>
          <w:szCs w:val="24"/>
          <w:lang w:eastAsia="en-GB"/>
        </w:rPr>
        <w:t xml:space="preserve">-Caicedo, C., González, M. A., Gil-Tobón, C., Gutiérrez, J. P., Moscoso-Higuita, L. G., Becerra López-Lavalle, L. A., de Carvalho, D., &amp; Muys, B. (2021). Dynamic seed zones to guide climate-smart seed sourcing for tropical dry forest restoration in Colombia. </w:t>
      </w:r>
      <w:r w:rsidRPr="009C6D81">
        <w:rPr>
          <w:rFonts w:ascii="Times New Roman" w:eastAsia="Times New Roman" w:hAnsi="Times New Roman" w:cs="Times New Roman"/>
          <w:i/>
          <w:iCs/>
          <w:sz w:val="24"/>
          <w:szCs w:val="24"/>
          <w:lang w:eastAsia="en-GB"/>
        </w:rPr>
        <w:t>Forest Ecology and Management, 490</w:t>
      </w:r>
      <w:r w:rsidRPr="009C6D81">
        <w:rPr>
          <w:rFonts w:ascii="Times New Roman" w:eastAsia="Times New Roman" w:hAnsi="Times New Roman" w:cs="Times New Roman"/>
          <w:sz w:val="24"/>
          <w:szCs w:val="24"/>
          <w:lang w:eastAsia="en-GB"/>
        </w:rPr>
        <w:t xml:space="preserve">, 119127. </w:t>
      </w:r>
      <w:hyperlink r:id="rId10" w:history="1">
        <w:r w:rsidRPr="009C6D81">
          <w:rPr>
            <w:rFonts w:ascii="Times New Roman" w:eastAsia="Times New Roman" w:hAnsi="Times New Roman" w:cs="Times New Roman"/>
            <w:color w:val="0000FF"/>
            <w:sz w:val="24"/>
            <w:szCs w:val="24"/>
            <w:u w:val="single"/>
            <w:lang w:eastAsia="en-GB"/>
          </w:rPr>
          <w:t>https://doi.org/10.1016/j.foreco.2021.119127</w:t>
        </w:r>
      </w:hyperlink>
    </w:p>
    <w:p w14:paraId="16BD11AA"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Jalonen, R., </w:t>
      </w:r>
      <w:proofErr w:type="spellStart"/>
      <w:r w:rsidRPr="009C6D81">
        <w:rPr>
          <w:rFonts w:ascii="Times New Roman" w:eastAsia="Times New Roman" w:hAnsi="Times New Roman" w:cs="Times New Roman"/>
          <w:sz w:val="24"/>
          <w:szCs w:val="24"/>
          <w:lang w:eastAsia="en-GB"/>
        </w:rPr>
        <w:t>Fremout</w:t>
      </w:r>
      <w:proofErr w:type="spellEnd"/>
      <w:r w:rsidRPr="009C6D81">
        <w:rPr>
          <w:rFonts w:ascii="Times New Roman" w:eastAsia="Times New Roman" w:hAnsi="Times New Roman" w:cs="Times New Roman"/>
          <w:sz w:val="24"/>
          <w:szCs w:val="24"/>
          <w:lang w:eastAsia="en-GB"/>
        </w:rPr>
        <w:t xml:space="preserve">, T., Warrier, R. R., </w:t>
      </w:r>
      <w:proofErr w:type="spellStart"/>
      <w:r w:rsidRPr="009C6D81">
        <w:rPr>
          <w:rFonts w:ascii="Times New Roman" w:eastAsia="Times New Roman" w:hAnsi="Times New Roman" w:cs="Times New Roman"/>
          <w:sz w:val="24"/>
          <w:szCs w:val="24"/>
          <w:lang w:eastAsia="en-GB"/>
        </w:rPr>
        <w:t>Yuskianti</w:t>
      </w:r>
      <w:proofErr w:type="spellEnd"/>
      <w:r w:rsidRPr="009C6D81">
        <w:rPr>
          <w:rFonts w:ascii="Times New Roman" w:eastAsia="Times New Roman" w:hAnsi="Times New Roman" w:cs="Times New Roman"/>
          <w:sz w:val="24"/>
          <w:szCs w:val="24"/>
          <w:lang w:eastAsia="en-GB"/>
        </w:rPr>
        <w:t xml:space="preserve">, V., Tolentino, E. J., </w:t>
      </w:r>
      <w:proofErr w:type="spellStart"/>
      <w:r w:rsidRPr="009C6D81">
        <w:rPr>
          <w:rFonts w:ascii="Times New Roman" w:eastAsia="Times New Roman" w:hAnsi="Times New Roman" w:cs="Times New Roman"/>
          <w:sz w:val="24"/>
          <w:szCs w:val="24"/>
          <w:lang w:eastAsia="en-GB"/>
        </w:rPr>
        <w:t>Tiburan</w:t>
      </w:r>
      <w:proofErr w:type="spellEnd"/>
      <w:r w:rsidRPr="009C6D81">
        <w:rPr>
          <w:rFonts w:ascii="Times New Roman" w:eastAsia="Times New Roman" w:hAnsi="Times New Roman" w:cs="Times New Roman"/>
          <w:sz w:val="24"/>
          <w:szCs w:val="24"/>
          <w:lang w:eastAsia="en-GB"/>
        </w:rPr>
        <w:t xml:space="preserve">, C., Miah, M. Z. R., Rahaman, M. T., Wilkie, P., </w:t>
      </w:r>
      <w:proofErr w:type="spellStart"/>
      <w:r w:rsidRPr="009C6D81">
        <w:rPr>
          <w:rFonts w:ascii="Times New Roman" w:eastAsia="Times New Roman" w:hAnsi="Times New Roman" w:cs="Times New Roman"/>
          <w:sz w:val="24"/>
          <w:szCs w:val="24"/>
          <w:lang w:eastAsia="en-GB"/>
        </w:rPr>
        <w:t>Sudrajat</w:t>
      </w:r>
      <w:proofErr w:type="spellEnd"/>
      <w:r w:rsidRPr="009C6D81">
        <w:rPr>
          <w:rFonts w:ascii="Times New Roman" w:eastAsia="Times New Roman" w:hAnsi="Times New Roman" w:cs="Times New Roman"/>
          <w:sz w:val="24"/>
          <w:szCs w:val="24"/>
          <w:lang w:eastAsia="en-GB"/>
        </w:rPr>
        <w:t xml:space="preserve">, D. J., Denny, D., &amp; Kettle, C. J. (2026). Are there enough native tree seed sources to meet forest restoration targets? A spatially explicit assessment in tropical Asia. </w:t>
      </w:r>
      <w:r w:rsidRPr="009C6D81">
        <w:rPr>
          <w:rFonts w:ascii="Times New Roman" w:eastAsia="Times New Roman" w:hAnsi="Times New Roman" w:cs="Times New Roman"/>
          <w:i/>
          <w:iCs/>
          <w:sz w:val="24"/>
          <w:szCs w:val="24"/>
          <w:lang w:eastAsia="en-GB"/>
        </w:rPr>
        <w:t>Biological Conservation, 317</w:t>
      </w:r>
      <w:r w:rsidRPr="009C6D81">
        <w:rPr>
          <w:rFonts w:ascii="Times New Roman" w:eastAsia="Times New Roman" w:hAnsi="Times New Roman" w:cs="Times New Roman"/>
          <w:sz w:val="24"/>
          <w:szCs w:val="24"/>
          <w:lang w:eastAsia="en-GB"/>
        </w:rPr>
        <w:t xml:space="preserve">, 111811. </w:t>
      </w:r>
      <w:hyperlink r:id="rId11" w:history="1">
        <w:r w:rsidRPr="009C6D81">
          <w:rPr>
            <w:rFonts w:ascii="Times New Roman" w:eastAsia="Times New Roman" w:hAnsi="Times New Roman" w:cs="Times New Roman"/>
            <w:color w:val="0000FF"/>
            <w:sz w:val="24"/>
            <w:szCs w:val="24"/>
            <w:u w:val="single"/>
            <w:lang w:eastAsia="en-GB"/>
          </w:rPr>
          <w:t>https://doi.org/10.1016/j.biocon.2026.111811</w:t>
        </w:r>
      </w:hyperlink>
    </w:p>
    <w:p w14:paraId="6E5B5A3B"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Linan, A. G., Gereau, R. E., Sucher, R., </w:t>
      </w:r>
      <w:proofErr w:type="spellStart"/>
      <w:r w:rsidRPr="009C6D81">
        <w:rPr>
          <w:rFonts w:ascii="Times New Roman" w:eastAsia="Times New Roman" w:hAnsi="Times New Roman" w:cs="Times New Roman"/>
          <w:sz w:val="24"/>
          <w:szCs w:val="24"/>
          <w:lang w:eastAsia="en-GB"/>
        </w:rPr>
        <w:t>Mashimba</w:t>
      </w:r>
      <w:proofErr w:type="spellEnd"/>
      <w:r w:rsidRPr="009C6D81">
        <w:rPr>
          <w:rFonts w:ascii="Times New Roman" w:eastAsia="Times New Roman" w:hAnsi="Times New Roman" w:cs="Times New Roman"/>
          <w:sz w:val="24"/>
          <w:szCs w:val="24"/>
          <w:lang w:eastAsia="en-GB"/>
        </w:rPr>
        <w:t xml:space="preserve">, F. H., </w:t>
      </w:r>
      <w:proofErr w:type="spellStart"/>
      <w:r w:rsidRPr="009C6D81">
        <w:rPr>
          <w:rFonts w:ascii="Times New Roman" w:eastAsia="Times New Roman" w:hAnsi="Times New Roman" w:cs="Times New Roman"/>
          <w:sz w:val="24"/>
          <w:szCs w:val="24"/>
          <w:lang w:eastAsia="en-GB"/>
        </w:rPr>
        <w:t>Bassuner</w:t>
      </w:r>
      <w:proofErr w:type="spellEnd"/>
      <w:r w:rsidRPr="009C6D81">
        <w:rPr>
          <w:rFonts w:ascii="Times New Roman" w:eastAsia="Times New Roman" w:hAnsi="Times New Roman" w:cs="Times New Roman"/>
          <w:sz w:val="24"/>
          <w:szCs w:val="24"/>
          <w:lang w:eastAsia="en-GB"/>
        </w:rPr>
        <w:t xml:space="preserve">, B., Wyatt, A., &amp; Edwards, C. E. (2024). Capturing and managing genetic diversity in ex situ collections of threatened tropical trees: A case study in </w:t>
      </w:r>
      <w:proofErr w:type="spellStart"/>
      <w:r w:rsidRPr="009C6D81">
        <w:rPr>
          <w:rFonts w:ascii="Times New Roman" w:eastAsia="Times New Roman" w:hAnsi="Times New Roman" w:cs="Times New Roman"/>
          <w:i/>
          <w:iCs/>
          <w:sz w:val="24"/>
          <w:szCs w:val="24"/>
          <w:lang w:eastAsia="en-GB"/>
        </w:rPr>
        <w:t>Karomia</w:t>
      </w:r>
      <w:proofErr w:type="spellEnd"/>
      <w:r w:rsidRPr="009C6D81">
        <w:rPr>
          <w:rFonts w:ascii="Times New Roman" w:eastAsia="Times New Roman" w:hAnsi="Times New Roman" w:cs="Times New Roman"/>
          <w:i/>
          <w:iCs/>
          <w:sz w:val="24"/>
          <w:szCs w:val="24"/>
          <w:lang w:eastAsia="en-GB"/>
        </w:rPr>
        <w:t xml:space="preserve"> gigas</w:t>
      </w:r>
      <w:r w:rsidRPr="009C6D81">
        <w:rPr>
          <w:rFonts w:ascii="Times New Roman" w:eastAsia="Times New Roman" w:hAnsi="Times New Roman" w:cs="Times New Roman"/>
          <w:sz w:val="24"/>
          <w:szCs w:val="24"/>
          <w:lang w:eastAsia="en-GB"/>
        </w:rPr>
        <w:t xml:space="preserve">. </w:t>
      </w:r>
      <w:r w:rsidRPr="009C6D81">
        <w:rPr>
          <w:rFonts w:ascii="Times New Roman" w:eastAsia="Times New Roman" w:hAnsi="Times New Roman" w:cs="Times New Roman"/>
          <w:i/>
          <w:iCs/>
          <w:sz w:val="24"/>
          <w:szCs w:val="24"/>
          <w:lang w:eastAsia="en-GB"/>
        </w:rPr>
        <w:t>Applications in Plant Sciences, 12</w:t>
      </w:r>
      <w:r w:rsidRPr="009C6D81">
        <w:rPr>
          <w:rFonts w:ascii="Times New Roman" w:eastAsia="Times New Roman" w:hAnsi="Times New Roman" w:cs="Times New Roman"/>
          <w:sz w:val="24"/>
          <w:szCs w:val="24"/>
          <w:lang w:eastAsia="en-GB"/>
        </w:rPr>
        <w:t xml:space="preserve">(3), e11589. </w:t>
      </w:r>
      <w:hyperlink r:id="rId12" w:history="1">
        <w:r w:rsidRPr="009C6D81">
          <w:rPr>
            <w:rFonts w:ascii="Times New Roman" w:eastAsia="Times New Roman" w:hAnsi="Times New Roman" w:cs="Times New Roman"/>
            <w:color w:val="0000FF"/>
            <w:sz w:val="24"/>
            <w:szCs w:val="24"/>
            <w:u w:val="single"/>
            <w:lang w:eastAsia="en-GB"/>
          </w:rPr>
          <w:t>https://doi.org/10.1002/aps3.11589</w:t>
        </w:r>
      </w:hyperlink>
    </w:p>
    <w:p w14:paraId="41A18178"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lastRenderedPageBreak/>
        <w:t xml:space="preserve">Luo, W., </w:t>
      </w:r>
      <w:proofErr w:type="spellStart"/>
      <w:r w:rsidRPr="009C6D81">
        <w:rPr>
          <w:rFonts w:ascii="Times New Roman" w:eastAsia="Times New Roman" w:hAnsi="Times New Roman" w:cs="Times New Roman"/>
          <w:sz w:val="24"/>
          <w:szCs w:val="24"/>
          <w:lang w:eastAsia="en-GB"/>
        </w:rPr>
        <w:t>Strijk</w:t>
      </w:r>
      <w:proofErr w:type="spellEnd"/>
      <w:r w:rsidRPr="009C6D81">
        <w:rPr>
          <w:rFonts w:ascii="Times New Roman" w:eastAsia="Times New Roman" w:hAnsi="Times New Roman" w:cs="Times New Roman"/>
          <w:sz w:val="24"/>
          <w:szCs w:val="24"/>
          <w:lang w:eastAsia="en-GB"/>
        </w:rPr>
        <w:t xml:space="preserve">, J. S., Barstow, M., &amp; Wee, A. K. S. (2022). The role of protected areas in tropical tree conservation post-2020: A case study using threatened </w:t>
      </w:r>
      <w:proofErr w:type="spellStart"/>
      <w:r w:rsidRPr="009C6D81">
        <w:rPr>
          <w:rFonts w:ascii="Times New Roman" w:eastAsia="Times New Roman" w:hAnsi="Times New Roman" w:cs="Times New Roman"/>
          <w:sz w:val="24"/>
          <w:szCs w:val="24"/>
          <w:lang w:eastAsia="en-GB"/>
        </w:rPr>
        <w:t>Dipterocarpaceae</w:t>
      </w:r>
      <w:proofErr w:type="spellEnd"/>
      <w:r w:rsidRPr="009C6D81">
        <w:rPr>
          <w:rFonts w:ascii="Times New Roman" w:eastAsia="Times New Roman" w:hAnsi="Times New Roman" w:cs="Times New Roman"/>
          <w:sz w:val="24"/>
          <w:szCs w:val="24"/>
          <w:lang w:eastAsia="en-GB"/>
        </w:rPr>
        <w:t xml:space="preserve">. </w:t>
      </w:r>
      <w:r w:rsidRPr="009C6D81">
        <w:rPr>
          <w:rFonts w:ascii="Times New Roman" w:eastAsia="Times New Roman" w:hAnsi="Times New Roman" w:cs="Times New Roman"/>
          <w:i/>
          <w:iCs/>
          <w:sz w:val="24"/>
          <w:szCs w:val="24"/>
          <w:lang w:eastAsia="en-GB"/>
        </w:rPr>
        <w:t>Biological Conservation, 272</w:t>
      </w:r>
      <w:r w:rsidRPr="009C6D81">
        <w:rPr>
          <w:rFonts w:ascii="Times New Roman" w:eastAsia="Times New Roman" w:hAnsi="Times New Roman" w:cs="Times New Roman"/>
          <w:sz w:val="24"/>
          <w:szCs w:val="24"/>
          <w:lang w:eastAsia="en-GB"/>
        </w:rPr>
        <w:t xml:space="preserve">, 109634. </w:t>
      </w:r>
      <w:hyperlink r:id="rId13" w:history="1">
        <w:r w:rsidRPr="009C6D81">
          <w:rPr>
            <w:rFonts w:ascii="Times New Roman" w:eastAsia="Times New Roman" w:hAnsi="Times New Roman" w:cs="Times New Roman"/>
            <w:color w:val="0000FF"/>
            <w:sz w:val="24"/>
            <w:szCs w:val="24"/>
            <w:u w:val="single"/>
            <w:lang w:eastAsia="en-GB"/>
          </w:rPr>
          <w:t>https://doi.org/10.1016/j.biocon.2022.109634</w:t>
        </w:r>
      </w:hyperlink>
    </w:p>
    <w:p w14:paraId="6BF0B22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Norton, S. A. (1994). Useful plants of dermatology. I.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sz w:val="24"/>
          <w:szCs w:val="24"/>
          <w:lang w:eastAsia="en-GB"/>
        </w:rPr>
        <w:t xml:space="preserve"> and chaulmoogra. </w:t>
      </w:r>
      <w:r w:rsidRPr="009C6D81">
        <w:rPr>
          <w:rFonts w:ascii="Times New Roman" w:eastAsia="Times New Roman" w:hAnsi="Times New Roman" w:cs="Times New Roman"/>
          <w:i/>
          <w:iCs/>
          <w:sz w:val="24"/>
          <w:szCs w:val="24"/>
          <w:lang w:eastAsia="en-GB"/>
        </w:rPr>
        <w:t>Journal of the American Academy of Dermatology, 31</w:t>
      </w:r>
      <w:r w:rsidRPr="009C6D81">
        <w:rPr>
          <w:rFonts w:ascii="Times New Roman" w:eastAsia="Times New Roman" w:hAnsi="Times New Roman" w:cs="Times New Roman"/>
          <w:sz w:val="24"/>
          <w:szCs w:val="24"/>
          <w:lang w:eastAsia="en-GB"/>
        </w:rPr>
        <w:t xml:space="preserve">(4), 683–686. </w:t>
      </w:r>
      <w:hyperlink r:id="rId14" w:history="1">
        <w:r w:rsidRPr="009C6D81">
          <w:rPr>
            <w:rFonts w:ascii="Times New Roman" w:eastAsia="Times New Roman" w:hAnsi="Times New Roman" w:cs="Times New Roman"/>
            <w:color w:val="0000FF"/>
            <w:sz w:val="24"/>
            <w:szCs w:val="24"/>
            <w:u w:val="single"/>
            <w:lang w:eastAsia="en-GB"/>
          </w:rPr>
          <w:t>https://doi.org/10.1016/S0190-9622(08)81744-6</w:t>
        </w:r>
      </w:hyperlink>
    </w:p>
    <w:p w14:paraId="0BEE9E84"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Potter, K. M., Jetton, R. M., Bower, A. D., Jacobs, D. F., Man, G., Hipkins, V. D., &amp; Westwood, M. (2017). Banking on the future: Progress, challenges and opportunities for the genetic conservation of forest trees. </w:t>
      </w:r>
      <w:r w:rsidRPr="009C6D81">
        <w:rPr>
          <w:rFonts w:ascii="Times New Roman" w:eastAsia="Times New Roman" w:hAnsi="Times New Roman" w:cs="Times New Roman"/>
          <w:i/>
          <w:iCs/>
          <w:sz w:val="24"/>
          <w:szCs w:val="24"/>
          <w:lang w:eastAsia="en-GB"/>
        </w:rPr>
        <w:t>New Forests, 48</w:t>
      </w:r>
      <w:r w:rsidRPr="009C6D81">
        <w:rPr>
          <w:rFonts w:ascii="Times New Roman" w:eastAsia="Times New Roman" w:hAnsi="Times New Roman" w:cs="Times New Roman"/>
          <w:sz w:val="24"/>
          <w:szCs w:val="24"/>
          <w:lang w:eastAsia="en-GB"/>
        </w:rPr>
        <w:t xml:space="preserve">, 153–180. </w:t>
      </w:r>
      <w:hyperlink r:id="rId15" w:history="1">
        <w:r w:rsidRPr="009C6D81">
          <w:rPr>
            <w:rFonts w:ascii="Times New Roman" w:eastAsia="Times New Roman" w:hAnsi="Times New Roman" w:cs="Times New Roman"/>
            <w:color w:val="0000FF"/>
            <w:sz w:val="24"/>
            <w:szCs w:val="24"/>
            <w:u w:val="single"/>
            <w:lang w:eastAsia="en-GB"/>
          </w:rPr>
          <w:t>https://doi.org/10.1007/s11056-017-9582-8</w:t>
        </w:r>
      </w:hyperlink>
    </w:p>
    <w:p w14:paraId="5C43F19D"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Prakash, A., </w:t>
      </w:r>
      <w:proofErr w:type="spellStart"/>
      <w:r w:rsidRPr="009C6D81">
        <w:rPr>
          <w:rFonts w:ascii="Times New Roman" w:eastAsia="Times New Roman" w:hAnsi="Times New Roman" w:cs="Times New Roman"/>
          <w:sz w:val="24"/>
          <w:szCs w:val="24"/>
          <w:lang w:eastAsia="en-GB"/>
        </w:rPr>
        <w:t>Capblancq</w:t>
      </w:r>
      <w:proofErr w:type="spellEnd"/>
      <w:r w:rsidRPr="009C6D81">
        <w:rPr>
          <w:rFonts w:ascii="Times New Roman" w:eastAsia="Times New Roman" w:hAnsi="Times New Roman" w:cs="Times New Roman"/>
          <w:sz w:val="24"/>
          <w:szCs w:val="24"/>
          <w:lang w:eastAsia="en-GB"/>
        </w:rPr>
        <w:t xml:space="preserve">, T., Shallows, K., Saville, D., Landau, D., Landress, C., Jacobs, T., &amp; Keller, S. R. (2024). Bringing genomics to the field: An integrative approach to seed sourcing for forest restoration. </w:t>
      </w:r>
      <w:r w:rsidRPr="009C6D81">
        <w:rPr>
          <w:rFonts w:ascii="Times New Roman" w:eastAsia="Times New Roman" w:hAnsi="Times New Roman" w:cs="Times New Roman"/>
          <w:i/>
          <w:iCs/>
          <w:sz w:val="24"/>
          <w:szCs w:val="24"/>
          <w:lang w:eastAsia="en-GB"/>
        </w:rPr>
        <w:t>Applications in Plant Sciences, 12</w:t>
      </w:r>
      <w:r w:rsidRPr="009C6D81">
        <w:rPr>
          <w:rFonts w:ascii="Times New Roman" w:eastAsia="Times New Roman" w:hAnsi="Times New Roman" w:cs="Times New Roman"/>
          <w:sz w:val="24"/>
          <w:szCs w:val="24"/>
          <w:lang w:eastAsia="en-GB"/>
        </w:rPr>
        <w:t xml:space="preserve">(3), e11600. </w:t>
      </w:r>
      <w:hyperlink r:id="rId16" w:history="1">
        <w:r w:rsidRPr="009C6D81">
          <w:rPr>
            <w:rFonts w:ascii="Times New Roman" w:eastAsia="Times New Roman" w:hAnsi="Times New Roman" w:cs="Times New Roman"/>
            <w:color w:val="0000FF"/>
            <w:sz w:val="24"/>
            <w:szCs w:val="24"/>
            <w:u w:val="single"/>
            <w:lang w:eastAsia="en-GB"/>
          </w:rPr>
          <w:t>https://doi.org/10.1002/aps3.11600</w:t>
        </w:r>
      </w:hyperlink>
    </w:p>
    <w:p w14:paraId="3598EEB3"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Sahoo, M. R., Dhanabal, S. P., Jadhav, A. N., Reddy, V., </w:t>
      </w:r>
      <w:proofErr w:type="spellStart"/>
      <w:r w:rsidRPr="009C6D81">
        <w:rPr>
          <w:rFonts w:ascii="Times New Roman" w:eastAsia="Times New Roman" w:hAnsi="Times New Roman" w:cs="Times New Roman"/>
          <w:sz w:val="24"/>
          <w:szCs w:val="24"/>
          <w:lang w:eastAsia="en-GB"/>
        </w:rPr>
        <w:t>Muguli</w:t>
      </w:r>
      <w:proofErr w:type="spellEnd"/>
      <w:r w:rsidRPr="009C6D81">
        <w:rPr>
          <w:rFonts w:ascii="Times New Roman" w:eastAsia="Times New Roman" w:hAnsi="Times New Roman" w:cs="Times New Roman"/>
          <w:sz w:val="24"/>
          <w:szCs w:val="24"/>
          <w:lang w:eastAsia="en-GB"/>
        </w:rPr>
        <w:t xml:space="preserve">, G., Babu, U. V., &amp; Rangesh, P. (2014).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sz w:val="24"/>
          <w:szCs w:val="24"/>
          <w:lang w:eastAsia="en-GB"/>
        </w:rPr>
        <w:t xml:space="preserve">: An ethnopharmacological, phytochemical and pharmacological review. </w:t>
      </w:r>
      <w:r w:rsidRPr="009C6D81">
        <w:rPr>
          <w:rFonts w:ascii="Times New Roman" w:eastAsia="Times New Roman" w:hAnsi="Times New Roman" w:cs="Times New Roman"/>
          <w:i/>
          <w:iCs/>
          <w:sz w:val="24"/>
          <w:szCs w:val="24"/>
          <w:lang w:eastAsia="en-GB"/>
        </w:rPr>
        <w:t>Journal of Ethnopharmacology, 154</w:t>
      </w:r>
      <w:r w:rsidRPr="009C6D81">
        <w:rPr>
          <w:rFonts w:ascii="Times New Roman" w:eastAsia="Times New Roman" w:hAnsi="Times New Roman" w:cs="Times New Roman"/>
          <w:sz w:val="24"/>
          <w:szCs w:val="24"/>
          <w:lang w:eastAsia="en-GB"/>
        </w:rPr>
        <w:t xml:space="preserve">(1), 17–25. </w:t>
      </w:r>
      <w:hyperlink r:id="rId17" w:history="1">
        <w:r w:rsidRPr="009C6D81">
          <w:rPr>
            <w:rFonts w:ascii="Times New Roman" w:eastAsia="Times New Roman" w:hAnsi="Times New Roman" w:cs="Times New Roman"/>
            <w:color w:val="0000FF"/>
            <w:sz w:val="24"/>
            <w:szCs w:val="24"/>
            <w:u w:val="single"/>
            <w:lang w:eastAsia="en-GB"/>
          </w:rPr>
          <w:t>https://doi.org/10.1016/j.jep.2014.03.029</w:t>
        </w:r>
      </w:hyperlink>
    </w:p>
    <w:p w14:paraId="470A1AA0"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Thomas, E., Jalonen, R., Loo, J., </w:t>
      </w:r>
      <w:proofErr w:type="spellStart"/>
      <w:r w:rsidRPr="009C6D81">
        <w:rPr>
          <w:rFonts w:ascii="Times New Roman" w:eastAsia="Times New Roman" w:hAnsi="Times New Roman" w:cs="Times New Roman"/>
          <w:sz w:val="24"/>
          <w:szCs w:val="24"/>
          <w:lang w:eastAsia="en-GB"/>
        </w:rPr>
        <w:t>Boshier</w:t>
      </w:r>
      <w:proofErr w:type="spellEnd"/>
      <w:r w:rsidRPr="009C6D81">
        <w:rPr>
          <w:rFonts w:ascii="Times New Roman" w:eastAsia="Times New Roman" w:hAnsi="Times New Roman" w:cs="Times New Roman"/>
          <w:sz w:val="24"/>
          <w:szCs w:val="24"/>
          <w:lang w:eastAsia="en-GB"/>
        </w:rPr>
        <w:t xml:space="preserve">, D., Gallo, L., Cavers, S., Bordács, S., Smith, P., &amp; </w:t>
      </w:r>
      <w:proofErr w:type="spellStart"/>
      <w:r w:rsidRPr="009C6D81">
        <w:rPr>
          <w:rFonts w:ascii="Times New Roman" w:eastAsia="Times New Roman" w:hAnsi="Times New Roman" w:cs="Times New Roman"/>
          <w:sz w:val="24"/>
          <w:szCs w:val="24"/>
          <w:lang w:eastAsia="en-GB"/>
        </w:rPr>
        <w:t>Bozzano</w:t>
      </w:r>
      <w:proofErr w:type="spellEnd"/>
      <w:r w:rsidRPr="009C6D81">
        <w:rPr>
          <w:rFonts w:ascii="Times New Roman" w:eastAsia="Times New Roman" w:hAnsi="Times New Roman" w:cs="Times New Roman"/>
          <w:sz w:val="24"/>
          <w:szCs w:val="24"/>
          <w:lang w:eastAsia="en-GB"/>
        </w:rPr>
        <w:t xml:space="preserve">, M. (2014). Genetic considerations in ecosystem restoration using native tree species. </w:t>
      </w:r>
      <w:r w:rsidRPr="009C6D81">
        <w:rPr>
          <w:rFonts w:ascii="Times New Roman" w:eastAsia="Times New Roman" w:hAnsi="Times New Roman" w:cs="Times New Roman"/>
          <w:i/>
          <w:iCs/>
          <w:sz w:val="24"/>
          <w:szCs w:val="24"/>
          <w:lang w:eastAsia="en-GB"/>
        </w:rPr>
        <w:t>Forest Ecology and Management, 333</w:t>
      </w:r>
      <w:r w:rsidRPr="009C6D81">
        <w:rPr>
          <w:rFonts w:ascii="Times New Roman" w:eastAsia="Times New Roman" w:hAnsi="Times New Roman" w:cs="Times New Roman"/>
          <w:sz w:val="24"/>
          <w:szCs w:val="24"/>
          <w:lang w:eastAsia="en-GB"/>
        </w:rPr>
        <w:t xml:space="preserve">, 66–75. </w:t>
      </w:r>
      <w:hyperlink r:id="rId18" w:history="1">
        <w:r w:rsidRPr="009C6D81">
          <w:rPr>
            <w:rFonts w:ascii="Times New Roman" w:eastAsia="Times New Roman" w:hAnsi="Times New Roman" w:cs="Times New Roman"/>
            <w:color w:val="0000FF"/>
            <w:sz w:val="24"/>
            <w:szCs w:val="24"/>
            <w:u w:val="single"/>
            <w:lang w:eastAsia="en-GB"/>
          </w:rPr>
          <w:t>https://doi.org/10.1016/j.foreco.2014.07.015</w:t>
        </w:r>
      </w:hyperlink>
    </w:p>
    <w:p w14:paraId="69AC3E8B"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Török, K., Valkó, O., &amp; Deák, B. (2024). Ecosystem restoration with local or broad seed </w:t>
      </w:r>
      <w:proofErr w:type="spellStart"/>
      <w:r w:rsidRPr="009C6D81">
        <w:rPr>
          <w:rFonts w:ascii="Times New Roman" w:eastAsia="Times New Roman" w:hAnsi="Times New Roman" w:cs="Times New Roman"/>
          <w:sz w:val="24"/>
          <w:szCs w:val="24"/>
          <w:lang w:eastAsia="en-GB"/>
        </w:rPr>
        <w:t>provenancing</w:t>
      </w:r>
      <w:proofErr w:type="spellEnd"/>
      <w:r w:rsidRPr="009C6D81">
        <w:rPr>
          <w:rFonts w:ascii="Times New Roman" w:eastAsia="Times New Roman" w:hAnsi="Times New Roman" w:cs="Times New Roman"/>
          <w:sz w:val="24"/>
          <w:szCs w:val="24"/>
          <w:lang w:eastAsia="en-GB"/>
        </w:rPr>
        <w:t xml:space="preserve">: Debates and perceptions in science and practice. </w:t>
      </w:r>
      <w:r w:rsidRPr="009C6D81">
        <w:rPr>
          <w:rFonts w:ascii="Times New Roman" w:eastAsia="Times New Roman" w:hAnsi="Times New Roman" w:cs="Times New Roman"/>
          <w:i/>
          <w:iCs/>
          <w:sz w:val="24"/>
          <w:szCs w:val="24"/>
          <w:lang w:eastAsia="en-GB"/>
        </w:rPr>
        <w:t>Biological Conservation, 293</w:t>
      </w:r>
      <w:r w:rsidRPr="009C6D81">
        <w:rPr>
          <w:rFonts w:ascii="Times New Roman" w:eastAsia="Times New Roman" w:hAnsi="Times New Roman" w:cs="Times New Roman"/>
          <w:sz w:val="24"/>
          <w:szCs w:val="24"/>
          <w:lang w:eastAsia="en-GB"/>
        </w:rPr>
        <w:t xml:space="preserve">, 110535. </w:t>
      </w:r>
      <w:hyperlink r:id="rId19" w:history="1">
        <w:r w:rsidRPr="009C6D81">
          <w:rPr>
            <w:rFonts w:ascii="Times New Roman" w:eastAsia="Times New Roman" w:hAnsi="Times New Roman" w:cs="Times New Roman"/>
            <w:color w:val="0000FF"/>
            <w:sz w:val="24"/>
            <w:szCs w:val="24"/>
            <w:u w:val="single"/>
            <w:lang w:eastAsia="en-GB"/>
          </w:rPr>
          <w:t>https://doi.org/10.1016/j.biocon.2024.110535</w:t>
        </w:r>
      </w:hyperlink>
    </w:p>
    <w:p w14:paraId="0FE85335"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t xml:space="preserve">Vitt, P., Finch, J., Barak, R. S., Braum, A., </w:t>
      </w:r>
      <w:proofErr w:type="spellStart"/>
      <w:r w:rsidRPr="009C6D81">
        <w:rPr>
          <w:rFonts w:ascii="Times New Roman" w:eastAsia="Times New Roman" w:hAnsi="Times New Roman" w:cs="Times New Roman"/>
          <w:sz w:val="24"/>
          <w:szCs w:val="24"/>
          <w:lang w:eastAsia="en-GB"/>
        </w:rPr>
        <w:t>Frischie</w:t>
      </w:r>
      <w:proofErr w:type="spellEnd"/>
      <w:r w:rsidRPr="009C6D81">
        <w:rPr>
          <w:rFonts w:ascii="Times New Roman" w:eastAsia="Times New Roman" w:hAnsi="Times New Roman" w:cs="Times New Roman"/>
          <w:sz w:val="24"/>
          <w:szCs w:val="24"/>
          <w:lang w:eastAsia="en-GB"/>
        </w:rPr>
        <w:t xml:space="preserve">, S., &amp; </w:t>
      </w:r>
      <w:proofErr w:type="spellStart"/>
      <w:r w:rsidRPr="009C6D81">
        <w:rPr>
          <w:rFonts w:ascii="Times New Roman" w:eastAsia="Times New Roman" w:hAnsi="Times New Roman" w:cs="Times New Roman"/>
          <w:sz w:val="24"/>
          <w:szCs w:val="24"/>
          <w:lang w:eastAsia="en-GB"/>
        </w:rPr>
        <w:t>Redlinski</w:t>
      </w:r>
      <w:proofErr w:type="spellEnd"/>
      <w:r w:rsidRPr="009C6D81">
        <w:rPr>
          <w:rFonts w:ascii="Times New Roman" w:eastAsia="Times New Roman" w:hAnsi="Times New Roman" w:cs="Times New Roman"/>
          <w:sz w:val="24"/>
          <w:szCs w:val="24"/>
          <w:lang w:eastAsia="en-GB"/>
        </w:rPr>
        <w:t xml:space="preserve">, I. (2022). Seed sourcing strategies for ecological restoration under climate change: A review of the current literature. </w:t>
      </w:r>
      <w:r w:rsidRPr="009C6D81">
        <w:rPr>
          <w:rFonts w:ascii="Times New Roman" w:eastAsia="Times New Roman" w:hAnsi="Times New Roman" w:cs="Times New Roman"/>
          <w:i/>
          <w:iCs/>
          <w:sz w:val="24"/>
          <w:szCs w:val="24"/>
          <w:lang w:eastAsia="en-GB"/>
        </w:rPr>
        <w:t>Frontiers in Conservation Science, 3</w:t>
      </w:r>
      <w:r w:rsidRPr="009C6D81">
        <w:rPr>
          <w:rFonts w:ascii="Times New Roman" w:eastAsia="Times New Roman" w:hAnsi="Times New Roman" w:cs="Times New Roman"/>
          <w:sz w:val="24"/>
          <w:szCs w:val="24"/>
          <w:lang w:eastAsia="en-GB"/>
        </w:rPr>
        <w:t xml:space="preserve">, 938110. </w:t>
      </w:r>
      <w:hyperlink r:id="rId20" w:history="1">
        <w:r w:rsidRPr="009C6D81">
          <w:rPr>
            <w:rFonts w:ascii="Times New Roman" w:eastAsia="Times New Roman" w:hAnsi="Times New Roman" w:cs="Times New Roman"/>
            <w:color w:val="0000FF"/>
            <w:sz w:val="24"/>
            <w:szCs w:val="24"/>
            <w:u w:val="single"/>
            <w:lang w:eastAsia="en-GB"/>
          </w:rPr>
          <w:t>https://doi.org/10.3389/fcosc.2022.938110</w:t>
        </w:r>
      </w:hyperlink>
    </w:p>
    <w:p w14:paraId="5ECCE3A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9C6D81">
        <w:rPr>
          <w:rFonts w:ascii="Times New Roman" w:eastAsia="Times New Roman" w:hAnsi="Times New Roman" w:cs="Times New Roman"/>
          <w:sz w:val="24"/>
          <w:szCs w:val="24"/>
          <w:lang w:eastAsia="en-GB"/>
        </w:rPr>
        <w:lastRenderedPageBreak/>
        <w:t xml:space="preserve">World Flora Online Consortium. (2026).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i/>
          <w:iCs/>
          <w:sz w:val="24"/>
          <w:szCs w:val="24"/>
          <w:lang w:eastAsia="en-GB"/>
        </w:rPr>
        <w:t xml:space="preserve"> </w:t>
      </w:r>
      <w:proofErr w:type="spellStart"/>
      <w:r w:rsidRPr="009C6D81">
        <w:rPr>
          <w:rFonts w:ascii="Times New Roman" w:eastAsia="Times New Roman" w:hAnsi="Times New Roman" w:cs="Times New Roman"/>
          <w:i/>
          <w:iCs/>
          <w:sz w:val="24"/>
          <w:szCs w:val="24"/>
          <w:lang w:eastAsia="en-GB"/>
        </w:rPr>
        <w:t>kurzii</w:t>
      </w:r>
      <w:proofErr w:type="spellEnd"/>
      <w:r w:rsidRPr="009C6D81">
        <w:rPr>
          <w:rFonts w:ascii="Times New Roman" w:eastAsia="Times New Roman" w:hAnsi="Times New Roman" w:cs="Times New Roman"/>
          <w:sz w:val="24"/>
          <w:szCs w:val="24"/>
          <w:lang w:eastAsia="en-GB"/>
        </w:rPr>
        <w:t xml:space="preserve"> (King) </w:t>
      </w:r>
      <w:proofErr w:type="spellStart"/>
      <w:r w:rsidRPr="009C6D81">
        <w:rPr>
          <w:rFonts w:ascii="Times New Roman" w:eastAsia="Times New Roman" w:hAnsi="Times New Roman" w:cs="Times New Roman"/>
          <w:sz w:val="24"/>
          <w:szCs w:val="24"/>
          <w:lang w:eastAsia="en-GB"/>
        </w:rPr>
        <w:t>Warb</w:t>
      </w:r>
      <w:proofErr w:type="spellEnd"/>
      <w:r w:rsidRPr="009C6D81">
        <w:rPr>
          <w:rFonts w:ascii="Times New Roman" w:eastAsia="Times New Roman" w:hAnsi="Times New Roman" w:cs="Times New Roman"/>
          <w:sz w:val="24"/>
          <w:szCs w:val="24"/>
          <w:lang w:eastAsia="en-GB"/>
        </w:rPr>
        <w:t xml:space="preserve">. </w:t>
      </w:r>
      <w:r w:rsidRPr="009C6D81">
        <w:rPr>
          <w:rFonts w:ascii="Times New Roman" w:eastAsia="Times New Roman" w:hAnsi="Times New Roman" w:cs="Times New Roman"/>
          <w:i/>
          <w:iCs/>
          <w:sz w:val="24"/>
          <w:szCs w:val="24"/>
          <w:lang w:eastAsia="en-GB"/>
        </w:rPr>
        <w:t>World Flora Online</w:t>
      </w:r>
      <w:r w:rsidRPr="009C6D81">
        <w:rPr>
          <w:rFonts w:ascii="Times New Roman" w:eastAsia="Times New Roman" w:hAnsi="Times New Roman" w:cs="Times New Roman"/>
          <w:sz w:val="24"/>
          <w:szCs w:val="24"/>
          <w:lang w:eastAsia="en-GB"/>
        </w:rPr>
        <w:t xml:space="preserve">. </w:t>
      </w:r>
      <w:hyperlink r:id="rId21" w:history="1">
        <w:r w:rsidRPr="009C6D81">
          <w:rPr>
            <w:rFonts w:ascii="Times New Roman" w:eastAsia="Times New Roman" w:hAnsi="Times New Roman" w:cs="Times New Roman"/>
            <w:color w:val="0000FF"/>
            <w:sz w:val="24"/>
            <w:szCs w:val="24"/>
            <w:u w:val="single"/>
            <w:lang w:eastAsia="en-GB"/>
          </w:rPr>
          <w:t>https://www.worldfloraonline.org/taxon/wfo-0001062631</w:t>
        </w:r>
      </w:hyperlink>
    </w:p>
    <w:p w14:paraId="75458D59" w14:textId="77777777" w:rsidR="00382F11" w:rsidRPr="009C6D81" w:rsidRDefault="00382F11" w:rsidP="00382F11">
      <w:pPr>
        <w:spacing w:line="360" w:lineRule="auto"/>
        <w:jc w:val="both"/>
        <w:rPr>
          <w:sz w:val="24"/>
          <w:szCs w:val="24"/>
        </w:rPr>
      </w:pPr>
    </w:p>
    <w:p w14:paraId="084C84D3" w14:textId="77777777" w:rsidR="00210BAB" w:rsidRPr="00BD4D7B" w:rsidRDefault="00210BAB" w:rsidP="00BD4D7B">
      <w:pPr>
        <w:spacing w:line="360" w:lineRule="auto"/>
        <w:jc w:val="both"/>
        <w:rPr>
          <w:rFonts w:ascii="Times New Roman" w:hAnsi="Times New Roman" w:cs="Times New Roman"/>
          <w:sz w:val="24"/>
          <w:szCs w:val="24"/>
        </w:rPr>
      </w:pPr>
    </w:p>
    <w:sectPr w:rsidR="00210BAB" w:rsidRPr="00BD4D7B">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FE9C" w14:textId="77777777" w:rsidR="002E5C5F" w:rsidRDefault="002E5C5F" w:rsidP="008827F5">
      <w:pPr>
        <w:spacing w:after="0" w:line="240" w:lineRule="auto"/>
      </w:pPr>
      <w:r>
        <w:separator/>
      </w:r>
    </w:p>
  </w:endnote>
  <w:endnote w:type="continuationSeparator" w:id="0">
    <w:p w14:paraId="622F632B" w14:textId="77777777" w:rsidR="002E5C5F" w:rsidRDefault="002E5C5F" w:rsidP="0088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F690" w14:textId="77777777" w:rsidR="008827F5" w:rsidRDefault="00882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1ABD" w14:textId="77777777" w:rsidR="008827F5" w:rsidRDefault="00882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B461" w14:textId="77777777" w:rsidR="008827F5" w:rsidRDefault="00882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CB6D" w14:textId="77777777" w:rsidR="002E5C5F" w:rsidRDefault="002E5C5F" w:rsidP="008827F5">
      <w:pPr>
        <w:spacing w:after="0" w:line="240" w:lineRule="auto"/>
      </w:pPr>
      <w:r>
        <w:separator/>
      </w:r>
    </w:p>
  </w:footnote>
  <w:footnote w:type="continuationSeparator" w:id="0">
    <w:p w14:paraId="3262C0A4" w14:textId="77777777" w:rsidR="002E5C5F" w:rsidRDefault="002E5C5F" w:rsidP="0088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5EF9" w14:textId="2C02B6E7" w:rsidR="008827F5" w:rsidRDefault="008827F5">
    <w:pPr>
      <w:pStyle w:val="Header"/>
    </w:pPr>
    <w:r>
      <w:rPr>
        <w:noProof/>
      </w:rPr>
      <w:pict w14:anchorId="57607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E7F0" w14:textId="25BBD987" w:rsidR="008827F5" w:rsidRDefault="008827F5">
    <w:pPr>
      <w:pStyle w:val="Header"/>
    </w:pPr>
    <w:r>
      <w:rPr>
        <w:noProof/>
      </w:rPr>
      <w:pict w14:anchorId="0C2295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8D6E" w14:textId="12DF5A27" w:rsidR="008827F5" w:rsidRDefault="008827F5">
    <w:pPr>
      <w:pStyle w:val="Header"/>
    </w:pPr>
    <w:r>
      <w:rPr>
        <w:noProof/>
      </w:rPr>
      <w:pict w14:anchorId="0AD11A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541"/>
    <w:rsid w:val="00201EC6"/>
    <w:rsid w:val="00210BAB"/>
    <w:rsid w:val="002156C6"/>
    <w:rsid w:val="00277693"/>
    <w:rsid w:val="002E5C5F"/>
    <w:rsid w:val="002E6541"/>
    <w:rsid w:val="00382F11"/>
    <w:rsid w:val="00545ACB"/>
    <w:rsid w:val="005521DC"/>
    <w:rsid w:val="006F7D10"/>
    <w:rsid w:val="00875F71"/>
    <w:rsid w:val="008827F5"/>
    <w:rsid w:val="0097038E"/>
    <w:rsid w:val="00A74BCB"/>
    <w:rsid w:val="00BD4D7B"/>
    <w:rsid w:val="00DD3CB7"/>
    <w:rsid w:val="00EE70C9"/>
    <w:rsid w:val="00F96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AA6F2"/>
  <w15:docId w15:val="{8A415792-731B-44B4-A5D6-EE82E9EB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D7B"/>
    <w:rPr>
      <w:rFonts w:ascii="Tahoma" w:hAnsi="Tahoma" w:cs="Tahoma"/>
      <w:sz w:val="16"/>
      <w:szCs w:val="16"/>
    </w:rPr>
  </w:style>
  <w:style w:type="paragraph" w:styleId="NoSpacing">
    <w:name w:val="No Spacing"/>
    <w:uiPriority w:val="1"/>
    <w:qFormat/>
    <w:rsid w:val="00DD3CB7"/>
    <w:pPr>
      <w:spacing w:after="0" w:line="240" w:lineRule="auto"/>
    </w:pPr>
  </w:style>
  <w:style w:type="paragraph" w:customStyle="1" w:styleId="isselectedend">
    <w:name w:val="isselectedend"/>
    <w:basedOn w:val="Normal"/>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5ACB"/>
    <w:rPr>
      <w:b/>
      <w:bCs/>
    </w:rPr>
  </w:style>
  <w:style w:type="character" w:customStyle="1" w:styleId="text-token-text-primary">
    <w:name w:val="text-token-text-primary"/>
    <w:basedOn w:val="DefaultParagraphFont"/>
    <w:rsid w:val="00545ACB"/>
  </w:style>
  <w:style w:type="paragraph" w:styleId="NormalWeb">
    <w:name w:val="Normal (Web)"/>
    <w:basedOn w:val="Normal"/>
    <w:uiPriority w:val="99"/>
    <w:semiHidden/>
    <w:unhideWhenUsed/>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01EC6"/>
    <w:rPr>
      <w:color w:val="0000FF" w:themeColor="hyperlink"/>
      <w:u w:val="single"/>
    </w:rPr>
  </w:style>
  <w:style w:type="character" w:styleId="UnresolvedMention">
    <w:name w:val="Unresolved Mention"/>
    <w:basedOn w:val="DefaultParagraphFont"/>
    <w:uiPriority w:val="99"/>
    <w:semiHidden/>
    <w:unhideWhenUsed/>
    <w:rsid w:val="00201EC6"/>
    <w:rPr>
      <w:color w:val="605E5C"/>
      <w:shd w:val="clear" w:color="auto" w:fill="E1DFDD"/>
    </w:rPr>
  </w:style>
  <w:style w:type="table" w:styleId="TableGrid">
    <w:name w:val="Table Grid"/>
    <w:basedOn w:val="TableNormal"/>
    <w:uiPriority w:val="39"/>
    <w:rsid w:val="00875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2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7F5"/>
  </w:style>
  <w:style w:type="paragraph" w:styleId="Footer">
    <w:name w:val="footer"/>
    <w:basedOn w:val="Normal"/>
    <w:link w:val="FooterChar"/>
    <w:uiPriority w:val="99"/>
    <w:unhideWhenUsed/>
    <w:rsid w:val="00882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7593">
      <w:bodyDiv w:val="1"/>
      <w:marLeft w:val="0"/>
      <w:marRight w:val="0"/>
      <w:marTop w:val="0"/>
      <w:marBottom w:val="0"/>
      <w:divBdr>
        <w:top w:val="none" w:sz="0" w:space="0" w:color="auto"/>
        <w:left w:val="none" w:sz="0" w:space="0" w:color="auto"/>
        <w:bottom w:val="none" w:sz="0" w:space="0" w:color="auto"/>
        <w:right w:val="none" w:sz="0" w:space="0" w:color="auto"/>
      </w:divBdr>
    </w:div>
    <w:div w:id="7164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3/pnas.1012973108" TargetMode="External"/><Relationship Id="rId13" Type="http://schemas.openxmlformats.org/officeDocument/2006/relationships/hyperlink" Target="https://doi.org/10.1016/j.biocon.2022.109634" TargetMode="External"/><Relationship Id="rId18" Type="http://schemas.openxmlformats.org/officeDocument/2006/relationships/hyperlink" Target="https://doi.org/10.1016/j.foreco.2014.07.015"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hyperlink" Target="https://www.worldfloraonline.org/taxon/wfo-0001062631" TargetMode="External"/><Relationship Id="rId7" Type="http://schemas.openxmlformats.org/officeDocument/2006/relationships/hyperlink" Target="https://doi.org/10.22271/tpr.2018.v5.i2.030" TargetMode="External"/><Relationship Id="rId12" Type="http://schemas.openxmlformats.org/officeDocument/2006/relationships/hyperlink" Target="https://doi.org/10.1002/aps3.11589" TargetMode="External"/><Relationship Id="rId17" Type="http://schemas.openxmlformats.org/officeDocument/2006/relationships/hyperlink" Target="https://doi.org/10.1016/j.jep.2014.03.029"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doi.org/10.1002/aps3.11600" TargetMode="External"/><Relationship Id="rId20" Type="http://schemas.openxmlformats.org/officeDocument/2006/relationships/hyperlink" Target="https://doi.org/10.3389/fcosc.2022.93811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16/j.biocon.2026.111811"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i.org/10.1007/s11056-017-9582-8"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016/j.foreco.2021.119127" TargetMode="External"/><Relationship Id="rId19" Type="http://schemas.openxmlformats.org/officeDocument/2006/relationships/hyperlink" Target="https://doi.org/10.1016/j.biocon.2024.110535" TargetMode="External"/><Relationship Id="rId4" Type="http://schemas.openxmlformats.org/officeDocument/2006/relationships/footnotes" Target="footnotes.xml"/><Relationship Id="rId9" Type="http://schemas.openxmlformats.org/officeDocument/2006/relationships/hyperlink" Target="https://doi.org/10.1016/j.foreco.2025.123376" TargetMode="External"/><Relationship Id="rId14" Type="http://schemas.openxmlformats.org/officeDocument/2006/relationships/hyperlink" Target="https://doi.org/10.1016/S0190-9622(08)81744-6"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15</Pages>
  <Words>4702</Words>
  <Characters>26805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Remruata Sailo</dc:creator>
  <cp:keywords/>
  <dc:description/>
  <cp:lastModifiedBy>SDI 1166</cp:lastModifiedBy>
  <cp:revision>32</cp:revision>
  <dcterms:created xsi:type="dcterms:W3CDTF">2026-09-15T11:09:00Z</dcterms:created>
  <dcterms:modified xsi:type="dcterms:W3CDTF">2026-09-17T12:52:00Z</dcterms:modified>
</cp:coreProperties>
</file>