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01B97" w14:textId="77777777" w:rsidR="00325982" w:rsidRDefault="00000000">
      <w:pPr>
        <w:pStyle w:val="Title"/>
        <w:jc w:val="center"/>
      </w:pPr>
      <w:r>
        <w:t>Robust Explainable Deep Learning Under Distribution Shifts and Noisy Data</w:t>
      </w:r>
    </w:p>
    <w:p w14:paraId="2993F064" w14:textId="77777777" w:rsidR="00325982" w:rsidRDefault="00000000">
      <w:pPr>
        <w:pStyle w:val="Heading1"/>
      </w:pPr>
      <w:r>
        <w:t>Abstract</w:t>
      </w:r>
    </w:p>
    <w:p w14:paraId="2B79F589" w14:textId="77777777" w:rsidR="00325982" w:rsidRDefault="00000000">
      <w:pPr>
        <w:jc w:val="both"/>
      </w:pPr>
      <w:r>
        <w:t>Deep learning systems can achieve strong performance on curated test data yet degrade when deployed in environments affected by distribution shifts, corrupted inputs, annotation errors, missing values, or changing operational conditions. Such failures are especially consequential when model outputs are accompanied by explanations that users may interpret as evidence of reliability. Robustness and explainability are often evaluated separately, even though a model’s predictions and explanations can both change under perturbations or distributional change. This paper proposes a conceptual framework for Robust Explainable Deep Learning (R-XDL) that integrates data-quality assessment, shift and noise diagnostics, robust prediction, uncertainty estimation, explanation fidelity and stability checks, risk-aware decision routing, human oversight, and controlled model adaptation. The framework distinguishes input corruption from covariate and concept shift, and it treats detection signals as evidence requiring assessment rather than as automatic proof of failure. A formal objective is proposed to balance predictive loss, robustness under plausible perturbations, explanation consistency, and model complexity, subject to task-specific fairness and safety constraints. The paper also presents a reproducible evaluation protocol using clean and shifted test conditions, multiple noise types and intensities, calibration measures, explanation metrics, subgroup analysis, and operational measures. No experimental results are claimed in this conceptual manuscript; numerical performance must be established through future empirical validation. The proposed framework provides a structured basis for investigating whether deep learning systems can remain both dependable and meaningfully explainable when real-world data depart from training assumptions.</w:t>
      </w:r>
    </w:p>
    <w:p w14:paraId="00CD4E02" w14:textId="77777777" w:rsidR="00325982" w:rsidRDefault="00000000">
      <w:r>
        <w:rPr>
          <w:b/>
        </w:rPr>
        <w:t xml:space="preserve">Keywords: </w:t>
      </w:r>
      <w:r>
        <w:t>Robust deep learning; explainable artificial intelligence; distribution shift; noisy data; uncertainty estimation; explanation stability; trustworthy AI</w:t>
      </w:r>
    </w:p>
    <w:p w14:paraId="5F364FE8" w14:textId="77777777" w:rsidR="00325982" w:rsidRDefault="00000000">
      <w:pPr>
        <w:pStyle w:val="Heading1"/>
      </w:pPr>
      <w:r>
        <w:t>1. Introduction</w:t>
      </w:r>
    </w:p>
    <w:p w14:paraId="41A4656D" w14:textId="77777777" w:rsidR="00325982" w:rsidRDefault="00000000">
      <w:pPr>
        <w:jc w:val="both"/>
      </w:pPr>
      <w:r>
        <w:t xml:space="preserve">Deep learning has become an important approach for image recognition, natural language processing, time-series analysis, and decision support. Its success often depends on the assumption that deployment data resemble the data used for training and evaluation. In practice, that </w:t>
      </w:r>
      <w:r>
        <w:lastRenderedPageBreak/>
        <w:t xml:space="preserve">assumption may fail. Camera settings, lighting, sensors, seasonal conditions, population characteristics, collection procedures, or user </w:t>
      </w:r>
      <w:proofErr w:type="spellStart"/>
      <w:r>
        <w:t>behaviour</w:t>
      </w:r>
      <w:proofErr w:type="spellEnd"/>
      <w:r>
        <w:t xml:space="preserve"> can change. Labels may also contain errors, and observations may be incomplete or corrupted. Under these conditions, a model that performs well on an independent but similarly distributed test set may make less reliable predictions in deployment.</w:t>
      </w:r>
    </w:p>
    <w:p w14:paraId="5AD3EC59" w14:textId="77777777" w:rsidR="00325982" w:rsidRDefault="00000000">
      <w:pPr>
        <w:jc w:val="both"/>
      </w:pPr>
      <w:r>
        <w:t>Distribution shift is not a single phenomenon. Covariate shift occurs when the input distribution changes while the conditional relationship between inputs and labels is assumed to remain stable. Label shift refers to changes in class prevalence, while concept drift or concept shift concerns changes in the relationship between inputs and outcomes. Input corruption and label noise are related but distinct problems: corruption alters observed features, whereas label noise affects the supervision signal. These mechanisms can co-occur and require different diagnostic and mitigation strategies.</w:t>
      </w:r>
    </w:p>
    <w:p w14:paraId="0F1F05CD" w14:textId="77777777" w:rsidR="00325982" w:rsidRDefault="00000000">
      <w:pPr>
        <w:jc w:val="both"/>
      </w:pPr>
      <w:r>
        <w:t>Explainability adds a further challenge. Methods such as LIME and SHAP can indicate which features influence a prediction, but explanations may be unstable under small input changes, may reflect spurious correlations, or may be misinterpreted as causal evidence (Lundberg &amp; Lee, 2017; Ribeiro et al., 2016). An explanation that appears plausible does not guarantee that the prediction is correct. Conversely, a robust prediction does not guarantee that the explanation faithfully represents the model. Robustness and explainability therefore need to be evaluated together.</w:t>
      </w:r>
    </w:p>
    <w:p w14:paraId="342E396E" w14:textId="77777777" w:rsidR="00325982" w:rsidRDefault="00000000">
      <w:pPr>
        <w:jc w:val="both"/>
      </w:pPr>
      <w:r>
        <w:t>This paper proposes an integrated framework that connects noisy-data diagnostics and shift monitoring with robust inference, uncertainty estimation, explanation evaluation, and risk-aware decisions. The goal is not to claim a universally robust model, but to specify a testable architecture and evaluation protocol that can be instantiated in different domains.</w:t>
      </w:r>
    </w:p>
    <w:p w14:paraId="6C5DEE06" w14:textId="77777777" w:rsidR="00325982" w:rsidRDefault="00000000">
      <w:pPr>
        <w:pStyle w:val="Heading2"/>
      </w:pPr>
      <w:r>
        <w:t>1.1 Problem Statement</w:t>
      </w:r>
    </w:p>
    <w:p w14:paraId="6A815DCE" w14:textId="77777777" w:rsidR="00325982" w:rsidRDefault="00000000">
      <w:pPr>
        <w:jc w:val="both"/>
      </w:pPr>
      <w:r>
        <w:t>Many deep learning pipelines evaluate predictive performance on a fixed test set and assess explanation quality in a separate analysis. This can miss cases where shifts or noise simultaneously degrade predictions and alter explanations. A systematic design is needed to detect changes, communicate uncertainty, assess explanation reliability, and choose between prediction, human review, abstention, or controlled adaptation.</w:t>
      </w:r>
    </w:p>
    <w:p w14:paraId="7FF88AF6" w14:textId="77777777" w:rsidR="00325982" w:rsidRDefault="00000000">
      <w:pPr>
        <w:pStyle w:val="Heading2"/>
      </w:pPr>
      <w:r>
        <w:t>1.2 Aim and Objectives</w:t>
      </w:r>
    </w:p>
    <w:p w14:paraId="7CF80B7B" w14:textId="77777777" w:rsidR="00325982" w:rsidRDefault="00000000">
      <w:pPr>
        <w:jc w:val="both"/>
      </w:pPr>
      <w:r>
        <w:t>The aim is to propose a framework for robust and explainable deep learning under distribution shifts and noisy data. The objectives are to:</w:t>
      </w:r>
    </w:p>
    <w:p w14:paraId="52DD614C" w14:textId="77777777" w:rsidR="00325982" w:rsidRDefault="00000000">
      <w:pPr>
        <w:pStyle w:val="ListBullet"/>
      </w:pPr>
      <w:r>
        <w:lastRenderedPageBreak/>
        <w:t>distinguish key shift and noise mechanisms and connect them to appropriate monitoring signals;</w:t>
      </w:r>
    </w:p>
    <w:p w14:paraId="11EA84F1" w14:textId="77777777" w:rsidR="00325982" w:rsidRDefault="00000000">
      <w:pPr>
        <w:pStyle w:val="ListBullet"/>
      </w:pPr>
      <w:r>
        <w:t>integrate robust prediction and uncertainty estimation with explanation fidelity and stability assessment;</w:t>
      </w:r>
    </w:p>
    <w:p w14:paraId="6CFACD57" w14:textId="77777777" w:rsidR="00325982" w:rsidRDefault="00000000">
      <w:pPr>
        <w:pStyle w:val="ListBullet"/>
      </w:pPr>
      <w:r>
        <w:t>define a risk-aware policy for automated output, human review, abstention, and controlled adaptation;</w:t>
      </w:r>
    </w:p>
    <w:p w14:paraId="6CA480DB" w14:textId="77777777" w:rsidR="00325982" w:rsidRDefault="00000000">
      <w:pPr>
        <w:pStyle w:val="ListBullet"/>
      </w:pPr>
      <w:r>
        <w:t>propose a reproducible evaluation protocol spanning prediction, robustness, calibration, explanations, fairness, and deployment cost; and</w:t>
      </w:r>
    </w:p>
    <w:p w14:paraId="7DF0544E" w14:textId="77777777" w:rsidR="00325982" w:rsidRDefault="00000000">
      <w:pPr>
        <w:pStyle w:val="ListBullet"/>
      </w:pPr>
      <w:r>
        <w:t>identify limitations and empirical research questions for future validation.</w:t>
      </w:r>
    </w:p>
    <w:p w14:paraId="07DF3331" w14:textId="77777777" w:rsidR="00325982" w:rsidRDefault="00000000">
      <w:pPr>
        <w:pStyle w:val="Heading2"/>
      </w:pPr>
      <w:r>
        <w:t>1.3 Research Questions</w:t>
      </w:r>
    </w:p>
    <w:p w14:paraId="18BBA636" w14:textId="77777777" w:rsidR="00325982" w:rsidRDefault="00000000">
      <w:pPr>
        <w:pStyle w:val="ListBullet"/>
      </w:pPr>
      <w:r>
        <w:t xml:space="preserve">RQ1: How do distribution shifts and different forms of data noise affect both predictive reliability and explanation </w:t>
      </w:r>
      <w:proofErr w:type="spellStart"/>
      <w:r>
        <w:t>behaviour</w:t>
      </w:r>
      <w:proofErr w:type="spellEnd"/>
      <w:r>
        <w:t>?</w:t>
      </w:r>
    </w:p>
    <w:p w14:paraId="71E41D10" w14:textId="77777777" w:rsidR="00325982" w:rsidRDefault="00000000">
      <w:pPr>
        <w:pStyle w:val="ListBullet"/>
      </w:pPr>
      <w:r>
        <w:t>RQ2: Can a joint monitoring and decision policy better identify cases that require review or abstention than prediction confidence alone?</w:t>
      </w:r>
    </w:p>
    <w:p w14:paraId="573BD889" w14:textId="77777777" w:rsidR="00325982" w:rsidRDefault="00000000">
      <w:pPr>
        <w:pStyle w:val="ListBullet"/>
      </w:pPr>
      <w:r>
        <w:t>RQ3: Which metrics and experimental controls are necessary to evaluate robustness and explanation reliability together?</w:t>
      </w:r>
    </w:p>
    <w:p w14:paraId="2DEEE500" w14:textId="77777777" w:rsidR="00325982" w:rsidRDefault="00000000">
      <w:pPr>
        <w:pStyle w:val="Heading1"/>
      </w:pPr>
      <w:r>
        <w:t>2. Literature Review</w:t>
      </w:r>
    </w:p>
    <w:p w14:paraId="40D3F3B0" w14:textId="77777777" w:rsidR="00325982" w:rsidRDefault="00000000">
      <w:pPr>
        <w:pStyle w:val="Heading2"/>
      </w:pPr>
      <w:r>
        <w:t>2.1 Distribution Shift and Robust Learning</w:t>
      </w:r>
    </w:p>
    <w:p w14:paraId="1E3873BE" w14:textId="77777777" w:rsidR="00325982" w:rsidRDefault="00000000">
      <w:pPr>
        <w:jc w:val="both"/>
      </w:pPr>
      <w:r>
        <w:t>Distribution shift can undermine generalization when deployment data differ from training data. Robust learning approaches include data augmentation, corruption-aware training, domain generalization, domain adaptation, invariant representation learning, and uncertainty-based rejection. Each approach addresses different assumptions: augmentation improves tolerance to specified transformations, domain adaptation uses information about a target domain, and domain generalization aims to perform across unseen domains. No method guarantees resilience to every unanticipated shift. Evaluation should therefore describe the shift family and severity rather than report a single generic robustness score.</w:t>
      </w:r>
    </w:p>
    <w:p w14:paraId="76BCFA77" w14:textId="77777777" w:rsidR="00325982" w:rsidRDefault="00000000">
      <w:pPr>
        <w:pStyle w:val="Heading2"/>
      </w:pPr>
      <w:r>
        <w:t>2.2 Learning with Noisy Data</w:t>
      </w:r>
    </w:p>
    <w:p w14:paraId="4AE19B25" w14:textId="77777777" w:rsidR="00325982" w:rsidRDefault="00000000">
      <w:pPr>
        <w:jc w:val="both"/>
      </w:pPr>
      <w:r>
        <w:t xml:space="preserve">Noise may arise from annotation mistakes, weak labels, sensor failures, missing values, measurement error, or adversarial perturbations. Common strategies include robust loss functions, </w:t>
      </w:r>
      <w:r>
        <w:lastRenderedPageBreak/>
        <w:t>sample reweighting, label correction, noise-aware modeling, data cleaning, and training with realistic corruptions. These strategies can introduce trade-offs: aggressive filtering may remove rare but valid cases, while synthetic corruption may not represent real operational noise. Data provenance and explicit noise characterization are consequently important parts of a reproducible study.</w:t>
      </w:r>
    </w:p>
    <w:p w14:paraId="4C09B448" w14:textId="77777777" w:rsidR="00325982" w:rsidRDefault="00000000">
      <w:pPr>
        <w:pStyle w:val="Heading2"/>
      </w:pPr>
      <w:r>
        <w:t>2.3 Explainability and Explanation Reliability</w:t>
      </w:r>
    </w:p>
    <w:p w14:paraId="2B55FFD4" w14:textId="77777777" w:rsidR="00325982" w:rsidRDefault="00000000">
      <w:pPr>
        <w:jc w:val="both"/>
      </w:pPr>
      <w:r>
        <w:t>Post-hoc explanation methods include local surrogate models, feature attribution, counterfactual examples, saliency maps, and example-based explanations. LIME approximates a model locally with an interpretable surrogate, while SHAP provides a framework for feature attribution based on Shapley values (Lundberg &amp; Lee, 2017; Ribeiro et al., 2016). Saliency methods can highlight input regions influential to a prediction, but visual plausibility alone is insufficient to establish faithfulness. Adebayo et al. (2018) proposed sanity checks to test whether saliency methods are sensitive to learned model parameters and training data. Explanation evaluation should therefore include model sensitivity, stability, fidelity, and human-</w:t>
      </w:r>
      <w:proofErr w:type="spellStart"/>
      <w:r>
        <w:t>centred</w:t>
      </w:r>
      <w:proofErr w:type="spellEnd"/>
      <w:r>
        <w:t xml:space="preserve"> usefulness.</w:t>
      </w:r>
    </w:p>
    <w:p w14:paraId="1D444168" w14:textId="77777777" w:rsidR="00325982" w:rsidRDefault="00000000">
      <w:pPr>
        <w:pStyle w:val="Heading2"/>
      </w:pPr>
      <w:r>
        <w:t>2.4 Uncertainty and Trustworthy AI</w:t>
      </w:r>
    </w:p>
    <w:p w14:paraId="5E8E0101" w14:textId="77777777" w:rsidR="00325982" w:rsidRDefault="00000000">
      <w:pPr>
        <w:jc w:val="both"/>
      </w:pPr>
      <w:r>
        <w:t xml:space="preserve">Predictive uncertainty can support decisions about when a model should defer to a human or abstain. Calibration measures whether predicted probabilities correspond to empirical frequencies; selective prediction evaluates performance when a system is allowed to reject uncertain cases. These tools are not interchangeable: a model can be calibrated on one distribution and </w:t>
      </w:r>
      <w:proofErr w:type="spellStart"/>
      <w:r>
        <w:t>miscalibrated</w:t>
      </w:r>
      <w:proofErr w:type="spellEnd"/>
      <w:r>
        <w:t xml:space="preserve"> after a shift. Risk management guidance emphasizes lifecycle-based assessment of validity, reliability, transparency, fairness, privacy, security, and accountability (Tabassi, 2023). The proposed framework applies this perspective to joint monitoring of predictions and explanations.</w:t>
      </w:r>
    </w:p>
    <w:p w14:paraId="08C9757C" w14:textId="77777777" w:rsidR="00325982" w:rsidRDefault="00000000">
      <w:pPr>
        <w:pStyle w:val="Heading2"/>
      </w:pPr>
      <w:r>
        <w:t>2.5 Research Gap</w:t>
      </w:r>
    </w:p>
    <w:p w14:paraId="33ACBBA9" w14:textId="77777777" w:rsidR="00325982" w:rsidRDefault="00000000">
      <w:pPr>
        <w:jc w:val="both"/>
      </w:pPr>
      <w:r>
        <w:t>The literature provides separate techniques for robustness, noise handling, drift detection, uncertainty estimation, and explanation generation. The practical gap addressed in this paper is a unified operational process that treats explanation reliability as a monitored property alongside prediction reliability. The proposed contribution is a conceptual architecture, a risk-aware decision policy, and a domain-adaptable evaluation plan. It does not claim that existing systems universally lack such capabilities or that the proposed integration has already been shown to outperform alternatives.</w:t>
      </w:r>
    </w:p>
    <w:p w14:paraId="04A82348" w14:textId="77777777" w:rsidR="00325982" w:rsidRDefault="00000000">
      <w:pPr>
        <w:pStyle w:val="Heading1"/>
      </w:pPr>
      <w:r>
        <w:lastRenderedPageBreak/>
        <w:t>3. Proposed Methodology</w:t>
      </w:r>
    </w:p>
    <w:p w14:paraId="415E2F50" w14:textId="77777777" w:rsidR="00325982" w:rsidRDefault="00000000">
      <w:pPr>
        <w:pStyle w:val="Heading2"/>
      </w:pPr>
      <w:r>
        <w:t>3.1 Research Design</w:t>
      </w:r>
    </w:p>
    <w:p w14:paraId="5549E5B4" w14:textId="77777777" w:rsidR="00325982" w:rsidRDefault="00000000">
      <w:pPr>
        <w:jc w:val="both"/>
      </w:pPr>
      <w:r>
        <w:t>This manuscript adopts a conceptual framework-development approach based on established research in robust machine learning, explainable AI, and trustworthy AI risk management. It does not report a completed benchmark, original dataset, or user experiment. To convert the proposal into an empirical study, researchers should specify the application domain, datasets, shift scenarios, noise mechanisms, baselines, random seeds, compute environment, and statistical analysis before running experiments.</w:t>
      </w:r>
    </w:p>
    <w:p w14:paraId="0EFE1BD6" w14:textId="77777777" w:rsidR="00325982" w:rsidRDefault="00000000">
      <w:pPr>
        <w:pStyle w:val="Heading2"/>
      </w:pPr>
      <w:r>
        <w:t>3.2 Framework Architecture</w:t>
      </w:r>
    </w:p>
    <w:p w14:paraId="457E945E" w14:textId="77777777" w:rsidR="00325982" w:rsidRDefault="00000000">
      <w:pPr>
        <w:jc w:val="both"/>
      </w:pPr>
      <w:r>
        <w:t>The proposed Robust Explainable Deep Learning (R-XDL) lifecycle consists of the following connected stages:</w:t>
      </w:r>
    </w:p>
    <w:p w14:paraId="240EB9C2" w14:textId="77777777" w:rsidR="00325982" w:rsidRDefault="00000000">
      <w:pPr>
        <w:keepLines/>
        <w:jc w:val="both"/>
      </w:pPr>
      <w:r>
        <w:rPr>
          <w:b/>
        </w:rPr>
        <w:t xml:space="preserve">1. Data intake and provenance. </w:t>
      </w:r>
      <w:r>
        <w:t>Record source, timestamp, environment, preprocessing version, known quality limits, and applicable privacy constraints.</w:t>
      </w:r>
    </w:p>
    <w:p w14:paraId="63F9189F" w14:textId="77777777" w:rsidR="00325982" w:rsidRDefault="00000000">
      <w:pPr>
        <w:keepLines/>
        <w:jc w:val="both"/>
      </w:pPr>
      <w:r>
        <w:rPr>
          <w:b/>
        </w:rPr>
        <w:t xml:space="preserve">2. Data quality and shift diagnostics. </w:t>
      </w:r>
      <w:r>
        <w:t>Check missingness, schema violations, range errors, corruption indicators, feature-distribution changes, and—when labels become available—changes in error or target relationships.</w:t>
      </w:r>
    </w:p>
    <w:p w14:paraId="66328119" w14:textId="77777777" w:rsidR="00325982" w:rsidRDefault="00000000">
      <w:pPr>
        <w:keepLines/>
        <w:jc w:val="both"/>
      </w:pPr>
      <w:r>
        <w:rPr>
          <w:b/>
        </w:rPr>
        <w:t xml:space="preserve">3. Robust prediction. </w:t>
      </w:r>
      <w:r>
        <w:t>Use a model trained with task-appropriate augmentation, regularization, noise handling, or domain generalization. Document the assumed shift families and limits.</w:t>
      </w:r>
    </w:p>
    <w:p w14:paraId="3A8F8728" w14:textId="77777777" w:rsidR="00325982" w:rsidRDefault="00000000">
      <w:pPr>
        <w:keepLines/>
        <w:jc w:val="both"/>
      </w:pPr>
      <w:r>
        <w:rPr>
          <w:b/>
        </w:rPr>
        <w:t xml:space="preserve">4. Uncertainty estimation. </w:t>
      </w:r>
      <w:r>
        <w:t>Produce a calibrated confidence or uncertainty signal and assess its validity under clean and shifted conditions.</w:t>
      </w:r>
    </w:p>
    <w:p w14:paraId="2F40D2AA" w14:textId="77777777" w:rsidR="00325982" w:rsidRDefault="00000000">
      <w:pPr>
        <w:keepLines/>
        <w:jc w:val="both"/>
      </w:pPr>
      <w:r>
        <w:rPr>
          <w:b/>
        </w:rPr>
        <w:t xml:space="preserve">5. Explanation generation. </w:t>
      </w:r>
      <w:r>
        <w:t>Generate an explanation appropriate to the model and modality, such as SHAP/LIME feature attribution, counterfactuals, or saliency maps.</w:t>
      </w:r>
    </w:p>
    <w:p w14:paraId="64DE8205" w14:textId="77777777" w:rsidR="00325982" w:rsidRDefault="00000000">
      <w:pPr>
        <w:keepLines/>
        <w:jc w:val="both"/>
      </w:pPr>
      <w:r>
        <w:rPr>
          <w:b/>
        </w:rPr>
        <w:t xml:space="preserve">6. Explanation diagnostics. </w:t>
      </w:r>
      <w:r>
        <w:t>Measure stability and fidelity under controlled perturbations, test sensitivity to model parameters where appropriate, and flag explanations that fail validation.</w:t>
      </w:r>
    </w:p>
    <w:p w14:paraId="472EF7D8" w14:textId="77777777" w:rsidR="00325982" w:rsidRDefault="00000000">
      <w:pPr>
        <w:keepLines/>
        <w:jc w:val="both"/>
      </w:pPr>
      <w:r>
        <w:rPr>
          <w:b/>
        </w:rPr>
        <w:t xml:space="preserve">7. Risk-aware decision gate. </w:t>
      </w:r>
      <w:r>
        <w:t>Combine uncertainty, shift/noise alerts, explanation diagnostics, and error consequences to choose automated support, human review, abstention, or a safe fallback.</w:t>
      </w:r>
    </w:p>
    <w:p w14:paraId="6FE7073C" w14:textId="77777777" w:rsidR="00325982" w:rsidRDefault="00000000">
      <w:pPr>
        <w:keepLines/>
        <w:jc w:val="both"/>
      </w:pPr>
      <w:r>
        <w:rPr>
          <w:b/>
        </w:rPr>
        <w:t xml:space="preserve">8. Feedback and controlled adaptation. </w:t>
      </w:r>
      <w:r>
        <w:t>Log errors, review outcomes, and shift evidence; consider recalibration, retraining, or domain adaptation only after investigation.</w:t>
      </w:r>
    </w:p>
    <w:p w14:paraId="0D0D8CF9" w14:textId="77777777" w:rsidR="00325982" w:rsidRDefault="00000000">
      <w:pPr>
        <w:keepLines/>
        <w:jc w:val="both"/>
      </w:pPr>
      <w:r>
        <w:rPr>
          <w:b/>
        </w:rPr>
        <w:lastRenderedPageBreak/>
        <w:t xml:space="preserve">9. Revalidation and rollback. </w:t>
      </w:r>
      <w:r>
        <w:t>Test candidate updates on clean, shifted, noisy, and subgroup-specific data; deploy only if predefined criteria are met and preserve rollback capability.</w:t>
      </w:r>
    </w:p>
    <w:p w14:paraId="5BE5EFD1" w14:textId="77777777" w:rsidR="00325982" w:rsidRDefault="00000000">
      <w:r>
        <w:rPr>
          <w:noProof/>
        </w:rPr>
        <w:drawing>
          <wp:inline distT="0" distB="0" distL="0" distR="0" wp14:anchorId="03610D8A" wp14:editId="3D51075A">
            <wp:extent cx="5806440" cy="326828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bust_xai_distribution_shift_architecture.png"/>
                    <pic:cNvPicPr/>
                  </pic:nvPicPr>
                  <pic:blipFill>
                    <a:blip r:embed="rId8"/>
                    <a:stretch>
                      <a:fillRect/>
                    </a:stretch>
                  </pic:blipFill>
                  <pic:spPr>
                    <a:xfrm>
                      <a:off x="0" y="0"/>
                      <a:ext cx="5806440" cy="3268283"/>
                    </a:xfrm>
                    <a:prstGeom prst="rect">
                      <a:avLst/>
                    </a:prstGeom>
                  </pic:spPr>
                </pic:pic>
              </a:graphicData>
            </a:graphic>
          </wp:inline>
        </w:drawing>
      </w:r>
    </w:p>
    <w:p w14:paraId="1F2E0A15" w14:textId="77777777" w:rsidR="00325982" w:rsidRDefault="00000000">
      <w:pPr>
        <w:jc w:val="center"/>
      </w:pPr>
      <w:r>
        <w:rPr>
          <w:i/>
          <w:sz w:val="20"/>
        </w:rPr>
        <w:t>Figure 1. Proposed lifecycle for robust explainable deep learning under distribution shifts and noisy data.</w:t>
      </w:r>
    </w:p>
    <w:p w14:paraId="44458359" w14:textId="77777777" w:rsidR="00325982" w:rsidRDefault="00000000">
      <w:pPr>
        <w:pStyle w:val="Heading2"/>
      </w:pPr>
      <w:r>
        <w:t>3.3 Mathematical Formulation</w:t>
      </w:r>
    </w:p>
    <w:p w14:paraId="39CCBE41" w14:textId="77777777" w:rsidR="00325982" w:rsidRDefault="00000000">
      <w:pPr>
        <w:jc w:val="both"/>
      </w:pPr>
      <w:r>
        <w:t xml:space="preserve">Let </w:t>
      </w:r>
      <w:proofErr w:type="spellStart"/>
      <w:r>
        <w:t>D_train</w:t>
      </w:r>
      <w:proofErr w:type="spellEnd"/>
      <w:r>
        <w:t xml:space="preserve"> denote the training distribution and </w:t>
      </w:r>
      <w:proofErr w:type="spellStart"/>
      <w:r>
        <w:t>D_test,k</w:t>
      </w:r>
      <w:proofErr w:type="spellEnd"/>
      <w:r>
        <w:t xml:space="preserve"> denote an evaluation distribution under shift or corruption condition k. Let </w:t>
      </w:r>
      <w:proofErr w:type="spellStart"/>
      <w:r>
        <w:t>f_θ</w:t>
      </w:r>
      <w:proofErr w:type="spellEnd"/>
      <w:r>
        <w:t xml:space="preserve">(x) be the predictive model, </w:t>
      </w:r>
      <w:proofErr w:type="spellStart"/>
      <w:r>
        <w:t>L_pred</w:t>
      </w:r>
      <w:proofErr w:type="spellEnd"/>
      <w:r>
        <w:t xml:space="preserve"> the task loss, </w:t>
      </w:r>
      <w:proofErr w:type="spellStart"/>
      <w:r>
        <w:t>T_k</w:t>
      </w:r>
      <w:proofErr w:type="spellEnd"/>
      <w:r>
        <w:t xml:space="preserve"> a transformation or corruption process, and E(</w:t>
      </w:r>
      <w:proofErr w:type="spellStart"/>
      <w:r>
        <w:t>f,x</w:t>
      </w:r>
      <w:proofErr w:type="spellEnd"/>
      <w:r>
        <w:t>) an explanation produced for input x. A conceptual robust objective can be written as:</w:t>
      </w:r>
    </w:p>
    <w:p w14:paraId="7EABA40B" w14:textId="77777777" w:rsidR="00325982" w:rsidRDefault="00000000">
      <w:pPr>
        <w:jc w:val="center"/>
      </w:pPr>
      <w:r>
        <w:rPr>
          <w:i/>
        </w:rPr>
        <w:t>J(θ) = E_(</w:t>
      </w:r>
      <w:proofErr w:type="spellStart"/>
      <w:r>
        <w:rPr>
          <w:i/>
        </w:rPr>
        <w:t>x,y</w:t>
      </w:r>
      <w:proofErr w:type="spellEnd"/>
      <w:r>
        <w:rPr>
          <w:i/>
        </w:rPr>
        <w:t>)~</w:t>
      </w:r>
      <w:proofErr w:type="spellStart"/>
      <w:r>
        <w:rPr>
          <w:i/>
        </w:rPr>
        <w:t>D_train</w:t>
      </w:r>
      <w:proofErr w:type="spellEnd"/>
      <w:r>
        <w:rPr>
          <w:i/>
        </w:rPr>
        <w:t xml:space="preserve"> [</w:t>
      </w:r>
      <w:proofErr w:type="spellStart"/>
      <w:r>
        <w:rPr>
          <w:i/>
        </w:rPr>
        <w:t>L_pred</w:t>
      </w:r>
      <w:proofErr w:type="spellEnd"/>
      <w:r>
        <w:rPr>
          <w:i/>
        </w:rPr>
        <w:t>(</w:t>
      </w:r>
      <w:proofErr w:type="spellStart"/>
      <w:r>
        <w:rPr>
          <w:i/>
        </w:rPr>
        <w:t>f_θ</w:t>
      </w:r>
      <w:proofErr w:type="spellEnd"/>
      <w:r>
        <w:rPr>
          <w:i/>
        </w:rPr>
        <w:t xml:space="preserve">(x), y)] + </w:t>
      </w:r>
      <w:proofErr w:type="spellStart"/>
      <w:r>
        <w:rPr>
          <w:i/>
        </w:rPr>
        <w:t>λ_r</w:t>
      </w:r>
      <w:proofErr w:type="spellEnd"/>
      <w:r>
        <w:rPr>
          <w:i/>
        </w:rPr>
        <w:t xml:space="preserve"> </w:t>
      </w:r>
      <w:proofErr w:type="spellStart"/>
      <w:r>
        <w:rPr>
          <w:i/>
        </w:rPr>
        <w:t>E_k</w:t>
      </w:r>
      <w:proofErr w:type="spellEnd"/>
      <w:r>
        <w:rPr>
          <w:i/>
        </w:rPr>
        <w:t>[</w:t>
      </w:r>
      <w:proofErr w:type="spellStart"/>
      <w:r>
        <w:rPr>
          <w:i/>
        </w:rPr>
        <w:t>L_pred</w:t>
      </w:r>
      <w:proofErr w:type="spellEnd"/>
      <w:r>
        <w:rPr>
          <w:i/>
        </w:rPr>
        <w:t>(</w:t>
      </w:r>
      <w:proofErr w:type="spellStart"/>
      <w:r>
        <w:rPr>
          <w:i/>
        </w:rPr>
        <w:t>f_θ</w:t>
      </w:r>
      <w:proofErr w:type="spellEnd"/>
      <w:r>
        <w:rPr>
          <w:i/>
        </w:rPr>
        <w:t>(</w:t>
      </w:r>
      <w:proofErr w:type="spellStart"/>
      <w:r>
        <w:rPr>
          <w:i/>
        </w:rPr>
        <w:t>T_k</w:t>
      </w:r>
      <w:proofErr w:type="spellEnd"/>
      <w:r>
        <w:rPr>
          <w:i/>
        </w:rPr>
        <w:t xml:space="preserve">(x)), y)] + </w:t>
      </w:r>
      <w:proofErr w:type="spellStart"/>
      <w:r>
        <w:rPr>
          <w:i/>
        </w:rPr>
        <w:t>λ_e</w:t>
      </w:r>
      <w:proofErr w:type="spellEnd"/>
      <w:r>
        <w:rPr>
          <w:i/>
        </w:rPr>
        <w:t xml:space="preserve"> </w:t>
      </w:r>
      <w:proofErr w:type="spellStart"/>
      <w:r>
        <w:rPr>
          <w:i/>
        </w:rPr>
        <w:t>L_expl</w:t>
      </w:r>
      <w:proofErr w:type="spellEnd"/>
      <w:r>
        <w:rPr>
          <w:i/>
        </w:rPr>
        <w:t xml:space="preserve"> + </w:t>
      </w:r>
      <w:proofErr w:type="spellStart"/>
      <w:r>
        <w:rPr>
          <w:i/>
        </w:rPr>
        <w:t>λ_c</w:t>
      </w:r>
      <w:proofErr w:type="spellEnd"/>
      <w:r>
        <w:rPr>
          <w:i/>
        </w:rPr>
        <w:t xml:space="preserve"> Ω(θ)</w:t>
      </w:r>
    </w:p>
    <w:p w14:paraId="19C1316F" w14:textId="77777777" w:rsidR="00325982" w:rsidRDefault="00000000">
      <w:pPr>
        <w:jc w:val="both"/>
      </w:pPr>
      <w:r>
        <w:t xml:space="preserve">Here, </w:t>
      </w:r>
      <w:proofErr w:type="spellStart"/>
      <w:r>
        <w:t>λ_r</w:t>
      </w:r>
      <w:proofErr w:type="spellEnd"/>
      <w:r>
        <w:t xml:space="preserve"> weights robustness to selected transformations, </w:t>
      </w:r>
      <w:proofErr w:type="spellStart"/>
      <w:r>
        <w:t>L_expl</w:t>
      </w:r>
      <w:proofErr w:type="spellEnd"/>
      <w:r>
        <w:t xml:space="preserve"> penalizes a task-defined explanation inconsistency or fidelity failure, and Ω(θ) is a complexity or regularization term. This objective is illustrative: the exact definition of </w:t>
      </w:r>
      <w:proofErr w:type="spellStart"/>
      <w:r>
        <w:t>L_expl</w:t>
      </w:r>
      <w:proofErr w:type="spellEnd"/>
      <w:r>
        <w:t xml:space="preserve"> depends on the explanation method and task. Explanation invariance should not be enforced blindly, because a transformation can legitimately change the evidence relevant to a prediction. The intended constraint is consistency under transformations that should preserve the underlying decision, and sensitivity when the decision-relevant evidence changes.</w:t>
      </w:r>
    </w:p>
    <w:p w14:paraId="2392377B" w14:textId="77777777" w:rsidR="00325982" w:rsidRDefault="00000000">
      <w:pPr>
        <w:jc w:val="both"/>
      </w:pPr>
      <w:r>
        <w:lastRenderedPageBreak/>
        <w:t xml:space="preserve">For inference at time t, define </w:t>
      </w:r>
      <w:proofErr w:type="spellStart"/>
      <w:r>
        <w:t>U_t</w:t>
      </w:r>
      <w:proofErr w:type="spellEnd"/>
      <w:r>
        <w:t xml:space="preserve"> as uncertainty, </w:t>
      </w:r>
      <w:proofErr w:type="spellStart"/>
      <w:r>
        <w:t>S_t</w:t>
      </w:r>
      <w:proofErr w:type="spellEnd"/>
      <w:r>
        <w:t xml:space="preserve"> as a shift/noise severity signal, </w:t>
      </w:r>
      <w:proofErr w:type="spellStart"/>
      <w:r>
        <w:t>X_t</w:t>
      </w:r>
      <w:proofErr w:type="spellEnd"/>
      <w:r>
        <w:t xml:space="preserve"> as an explanation-diagnostic risk, and </w:t>
      </w:r>
      <w:proofErr w:type="spellStart"/>
      <w:r>
        <w:t>C_t</w:t>
      </w:r>
      <w:proofErr w:type="spellEnd"/>
      <w:r>
        <w:t xml:space="preserve"> as the consequence cost of error. A conceptual risk score is:</w:t>
      </w:r>
    </w:p>
    <w:p w14:paraId="3B674073" w14:textId="77777777" w:rsidR="00325982" w:rsidRDefault="00000000">
      <w:pPr>
        <w:jc w:val="center"/>
      </w:pPr>
      <w:proofErr w:type="spellStart"/>
      <w:r>
        <w:rPr>
          <w:i/>
        </w:rPr>
        <w:t>G_t</w:t>
      </w:r>
      <w:proofErr w:type="spellEnd"/>
      <w:r>
        <w:rPr>
          <w:i/>
        </w:rPr>
        <w:t xml:space="preserve"> = α </w:t>
      </w:r>
      <w:proofErr w:type="spellStart"/>
      <w:r>
        <w:rPr>
          <w:i/>
        </w:rPr>
        <w:t>U_t</w:t>
      </w:r>
      <w:proofErr w:type="spellEnd"/>
      <w:r>
        <w:rPr>
          <w:i/>
        </w:rPr>
        <w:t xml:space="preserve"> + β </w:t>
      </w:r>
      <w:proofErr w:type="spellStart"/>
      <w:r>
        <w:rPr>
          <w:i/>
        </w:rPr>
        <w:t>S_t</w:t>
      </w:r>
      <w:proofErr w:type="spellEnd"/>
      <w:r>
        <w:rPr>
          <w:i/>
        </w:rPr>
        <w:t xml:space="preserve"> + γ </w:t>
      </w:r>
      <w:proofErr w:type="spellStart"/>
      <w:r>
        <w:rPr>
          <w:i/>
        </w:rPr>
        <w:t>X_t</w:t>
      </w:r>
      <w:proofErr w:type="spellEnd"/>
      <w:r>
        <w:rPr>
          <w:i/>
        </w:rPr>
        <w:t xml:space="preserve"> + δ </w:t>
      </w:r>
      <w:proofErr w:type="spellStart"/>
      <w:r>
        <w:rPr>
          <w:i/>
        </w:rPr>
        <w:t>C_t</w:t>
      </w:r>
      <w:proofErr w:type="spellEnd"/>
    </w:p>
    <w:p w14:paraId="032062A8" w14:textId="77777777" w:rsidR="00325982" w:rsidRDefault="00000000">
      <w:pPr>
        <w:jc w:val="both"/>
      </w:pPr>
      <w:r>
        <w:t xml:space="preserve">The coefficients and thresholds must be selected and validated for a particular application. The score is not a universal calibrated probability of failure. If </w:t>
      </w:r>
      <w:proofErr w:type="spellStart"/>
      <w:r>
        <w:t>G_t</w:t>
      </w:r>
      <w:proofErr w:type="spellEnd"/>
      <w:r>
        <w:t xml:space="preserve"> is low and the input lies within the validated operating envelope, the system may provide decision support. If </w:t>
      </w:r>
      <w:proofErr w:type="spellStart"/>
      <w:r>
        <w:t>G_t</w:t>
      </w:r>
      <w:proofErr w:type="spellEnd"/>
      <w:r>
        <w:t xml:space="preserve"> is elevated, it should route the case for human review or abstain. If sustained degradation is verified, a governed adaptation process may be initiated.</w:t>
      </w:r>
    </w:p>
    <w:p w14:paraId="0C758992" w14:textId="77777777" w:rsidR="00325982" w:rsidRDefault="00000000">
      <w:pPr>
        <w:pStyle w:val="Heading2"/>
      </w:pPr>
      <w:r>
        <w:t>3.4 Algorithmic Workflow</w:t>
      </w:r>
    </w:p>
    <w:p w14:paraId="142B64E9" w14:textId="77777777" w:rsidR="00325982" w:rsidRDefault="00000000">
      <w:pPr>
        <w:pStyle w:val="ListBullet"/>
      </w:pPr>
      <w:r>
        <w:t>Receive input x and record source, context, timestamp, and pipeline version.</w:t>
      </w:r>
    </w:p>
    <w:p w14:paraId="5FCAF1F6" w14:textId="77777777" w:rsidR="00325982" w:rsidRDefault="00000000">
      <w:pPr>
        <w:pStyle w:val="ListBullet"/>
      </w:pPr>
      <w:r>
        <w:t>Validate input structure and quality; quarantine malformed or prohibited inputs.</w:t>
      </w:r>
    </w:p>
    <w:p w14:paraId="07B14539" w14:textId="77777777" w:rsidR="00325982" w:rsidRDefault="00000000">
      <w:pPr>
        <w:pStyle w:val="ListBullet"/>
      </w:pPr>
      <w:r>
        <w:t>Estimate applicable corruption and shift indicators and compare them with validated operating limits.</w:t>
      </w:r>
    </w:p>
    <w:p w14:paraId="36B94538" w14:textId="77777777" w:rsidR="00325982" w:rsidRDefault="00000000">
      <w:pPr>
        <w:pStyle w:val="ListBullet"/>
      </w:pPr>
      <w:r>
        <w:t>Generate the prediction and uncertainty estimate.</w:t>
      </w:r>
    </w:p>
    <w:p w14:paraId="7CA140F1" w14:textId="77777777" w:rsidR="00325982" w:rsidRDefault="00000000">
      <w:pPr>
        <w:pStyle w:val="ListBullet"/>
      </w:pPr>
      <w:r>
        <w:t>Generate an explanation and calculate method-appropriate fidelity and stability diagnostics.</w:t>
      </w:r>
    </w:p>
    <w:p w14:paraId="51456851" w14:textId="77777777" w:rsidR="00325982" w:rsidRDefault="00000000">
      <w:pPr>
        <w:pStyle w:val="ListBullet"/>
      </w:pPr>
      <w:r>
        <w:t>Apply the risk gate: return decision support, escalate to human review, abstain, or use an approved fallback.</w:t>
      </w:r>
    </w:p>
    <w:p w14:paraId="6EBFD48C" w14:textId="77777777" w:rsidR="00325982" w:rsidRDefault="00000000">
      <w:pPr>
        <w:pStyle w:val="ListBullet"/>
      </w:pPr>
      <w:r>
        <w:t>Log prediction, uncertainty, explanation method/version, monitoring signals, and human intervention.</w:t>
      </w:r>
    </w:p>
    <w:p w14:paraId="5049F8FE" w14:textId="77777777" w:rsidR="00325982" w:rsidRDefault="00000000">
      <w:pPr>
        <w:pStyle w:val="ListBullet"/>
      </w:pPr>
      <w:r>
        <w:t>When evidence of sustained degradation is sufficient, prepare a candidate model or calibration update offline.</w:t>
      </w:r>
    </w:p>
    <w:p w14:paraId="40E2051C" w14:textId="77777777" w:rsidR="00325982" w:rsidRDefault="00000000">
      <w:pPr>
        <w:pStyle w:val="ListBullet"/>
      </w:pPr>
      <w:r>
        <w:t>Re-evaluate the candidate on clean, shifted, noisy, subgroup, and stress-test conditions; deploy only after approval and retain rollback.</w:t>
      </w:r>
    </w:p>
    <w:p w14:paraId="39EADF09" w14:textId="77777777" w:rsidR="00325982" w:rsidRDefault="00000000">
      <w:pPr>
        <w:pStyle w:val="Heading2"/>
      </w:pPr>
      <w:r>
        <w:t>3.5 Shift and Noise Taxonomy</w:t>
      </w:r>
    </w:p>
    <w:tbl>
      <w:tblPr>
        <w:tblStyle w:val="TableGrid"/>
        <w:tblW w:w="0" w:type="auto"/>
        <w:jc w:val="center"/>
        <w:tblLook w:val="04A0" w:firstRow="1" w:lastRow="0" w:firstColumn="1" w:lastColumn="0" w:noHBand="0" w:noVBand="1"/>
      </w:tblPr>
      <w:tblGrid>
        <w:gridCol w:w="3116"/>
        <w:gridCol w:w="3116"/>
        <w:gridCol w:w="3118"/>
      </w:tblGrid>
      <w:tr w:rsidR="00325982" w14:paraId="04D5C11E" w14:textId="77777777">
        <w:trPr>
          <w:jc w:val="center"/>
        </w:trPr>
        <w:tc>
          <w:tcPr>
            <w:tcW w:w="3120" w:type="dxa"/>
            <w:vAlign w:val="center"/>
          </w:tcPr>
          <w:p w14:paraId="027B2A46" w14:textId="77777777" w:rsidR="00325982" w:rsidRDefault="00000000">
            <w:pPr>
              <w:spacing w:after="40" w:line="240" w:lineRule="auto"/>
            </w:pPr>
            <w:r>
              <w:rPr>
                <w:sz w:val="18"/>
              </w:rPr>
              <w:t>Condition</w:t>
            </w:r>
          </w:p>
        </w:tc>
        <w:tc>
          <w:tcPr>
            <w:tcW w:w="3120" w:type="dxa"/>
            <w:vAlign w:val="center"/>
          </w:tcPr>
          <w:p w14:paraId="4A117647" w14:textId="77777777" w:rsidR="00325982" w:rsidRDefault="00000000">
            <w:pPr>
              <w:spacing w:after="40" w:line="240" w:lineRule="auto"/>
            </w:pPr>
            <w:r>
              <w:rPr>
                <w:sz w:val="18"/>
              </w:rPr>
              <w:t>Illustrative mechanism</w:t>
            </w:r>
          </w:p>
        </w:tc>
        <w:tc>
          <w:tcPr>
            <w:tcW w:w="3120" w:type="dxa"/>
            <w:vAlign w:val="center"/>
          </w:tcPr>
          <w:p w14:paraId="1AF35A23" w14:textId="77777777" w:rsidR="00325982" w:rsidRDefault="00000000">
            <w:pPr>
              <w:spacing w:after="40" w:line="240" w:lineRule="auto"/>
            </w:pPr>
            <w:r>
              <w:rPr>
                <w:sz w:val="18"/>
              </w:rPr>
              <w:t>Evaluation or monitoring approach</w:t>
            </w:r>
          </w:p>
        </w:tc>
      </w:tr>
      <w:tr w:rsidR="00325982" w14:paraId="3CF3CE22" w14:textId="77777777">
        <w:trPr>
          <w:jc w:val="center"/>
        </w:trPr>
        <w:tc>
          <w:tcPr>
            <w:tcW w:w="3120" w:type="dxa"/>
            <w:vAlign w:val="center"/>
          </w:tcPr>
          <w:p w14:paraId="175E4B8E" w14:textId="77777777" w:rsidR="00325982" w:rsidRDefault="00000000">
            <w:pPr>
              <w:spacing w:after="40" w:line="240" w:lineRule="auto"/>
            </w:pPr>
            <w:r>
              <w:rPr>
                <w:sz w:val="18"/>
              </w:rPr>
              <w:t>Covariate shift</w:t>
            </w:r>
          </w:p>
        </w:tc>
        <w:tc>
          <w:tcPr>
            <w:tcW w:w="3120" w:type="dxa"/>
            <w:vAlign w:val="center"/>
          </w:tcPr>
          <w:p w14:paraId="17854E25" w14:textId="77777777" w:rsidR="00325982" w:rsidRDefault="00000000">
            <w:pPr>
              <w:spacing w:after="40" w:line="240" w:lineRule="auto"/>
            </w:pPr>
            <w:r>
              <w:rPr>
                <w:sz w:val="18"/>
              </w:rPr>
              <w:t>Input distribution changes while the target relationship is assumed stable</w:t>
            </w:r>
          </w:p>
        </w:tc>
        <w:tc>
          <w:tcPr>
            <w:tcW w:w="3120" w:type="dxa"/>
            <w:vAlign w:val="center"/>
          </w:tcPr>
          <w:p w14:paraId="7013A6D3" w14:textId="77777777" w:rsidR="00325982" w:rsidRDefault="00000000">
            <w:pPr>
              <w:spacing w:after="40" w:line="240" w:lineRule="auto"/>
            </w:pPr>
            <w:r>
              <w:rPr>
                <w:sz w:val="18"/>
              </w:rPr>
              <w:t>Feature/representation distribution tests; domain-stratified test sets</w:t>
            </w:r>
          </w:p>
        </w:tc>
      </w:tr>
      <w:tr w:rsidR="00325982" w14:paraId="7E582D67" w14:textId="77777777">
        <w:trPr>
          <w:jc w:val="center"/>
        </w:trPr>
        <w:tc>
          <w:tcPr>
            <w:tcW w:w="3120" w:type="dxa"/>
            <w:vAlign w:val="center"/>
          </w:tcPr>
          <w:p w14:paraId="7037D454" w14:textId="77777777" w:rsidR="00325982" w:rsidRDefault="00000000">
            <w:pPr>
              <w:spacing w:after="40" w:line="240" w:lineRule="auto"/>
            </w:pPr>
            <w:r>
              <w:rPr>
                <w:sz w:val="18"/>
              </w:rPr>
              <w:t>Concept shift / drift</w:t>
            </w:r>
          </w:p>
        </w:tc>
        <w:tc>
          <w:tcPr>
            <w:tcW w:w="3120" w:type="dxa"/>
            <w:vAlign w:val="center"/>
          </w:tcPr>
          <w:p w14:paraId="28D97C86" w14:textId="77777777" w:rsidR="00325982" w:rsidRDefault="00000000">
            <w:pPr>
              <w:spacing w:after="40" w:line="240" w:lineRule="auto"/>
            </w:pPr>
            <w:r>
              <w:rPr>
                <w:sz w:val="18"/>
              </w:rPr>
              <w:t>Input–target relationship changes</w:t>
            </w:r>
          </w:p>
        </w:tc>
        <w:tc>
          <w:tcPr>
            <w:tcW w:w="3120" w:type="dxa"/>
            <w:vAlign w:val="center"/>
          </w:tcPr>
          <w:p w14:paraId="3A8AEAA2" w14:textId="77777777" w:rsidR="00325982" w:rsidRDefault="00000000">
            <w:pPr>
              <w:spacing w:after="40" w:line="240" w:lineRule="auto"/>
            </w:pPr>
            <w:r>
              <w:rPr>
                <w:sz w:val="18"/>
              </w:rPr>
              <w:t>Delayed-label error monitoring; time-based evaluation</w:t>
            </w:r>
          </w:p>
        </w:tc>
      </w:tr>
      <w:tr w:rsidR="00325982" w14:paraId="24FC8FDC" w14:textId="77777777">
        <w:trPr>
          <w:jc w:val="center"/>
        </w:trPr>
        <w:tc>
          <w:tcPr>
            <w:tcW w:w="3120" w:type="dxa"/>
            <w:vAlign w:val="center"/>
          </w:tcPr>
          <w:p w14:paraId="17D2BF7B" w14:textId="77777777" w:rsidR="00325982" w:rsidRDefault="00000000">
            <w:pPr>
              <w:spacing w:after="40" w:line="240" w:lineRule="auto"/>
            </w:pPr>
            <w:r>
              <w:rPr>
                <w:sz w:val="18"/>
              </w:rPr>
              <w:t>Label shift</w:t>
            </w:r>
          </w:p>
        </w:tc>
        <w:tc>
          <w:tcPr>
            <w:tcW w:w="3120" w:type="dxa"/>
            <w:vAlign w:val="center"/>
          </w:tcPr>
          <w:p w14:paraId="0B089D4A" w14:textId="77777777" w:rsidR="00325982" w:rsidRDefault="00000000">
            <w:pPr>
              <w:spacing w:after="40" w:line="240" w:lineRule="auto"/>
            </w:pPr>
            <w:r>
              <w:rPr>
                <w:sz w:val="18"/>
              </w:rPr>
              <w:t>Class prevalence changes</w:t>
            </w:r>
          </w:p>
        </w:tc>
        <w:tc>
          <w:tcPr>
            <w:tcW w:w="3120" w:type="dxa"/>
            <w:vAlign w:val="center"/>
          </w:tcPr>
          <w:p w14:paraId="6486DDEC" w14:textId="77777777" w:rsidR="00325982" w:rsidRDefault="00000000">
            <w:pPr>
              <w:spacing w:after="40" w:line="240" w:lineRule="auto"/>
            </w:pPr>
            <w:r>
              <w:rPr>
                <w:sz w:val="18"/>
              </w:rPr>
              <w:t>Class-prior monitoring and recalibration checks</w:t>
            </w:r>
          </w:p>
        </w:tc>
      </w:tr>
      <w:tr w:rsidR="00325982" w14:paraId="56400AFC" w14:textId="77777777">
        <w:trPr>
          <w:jc w:val="center"/>
        </w:trPr>
        <w:tc>
          <w:tcPr>
            <w:tcW w:w="3120" w:type="dxa"/>
            <w:vAlign w:val="center"/>
          </w:tcPr>
          <w:p w14:paraId="0827BEB2" w14:textId="77777777" w:rsidR="00325982" w:rsidRDefault="00000000">
            <w:pPr>
              <w:spacing w:after="40" w:line="240" w:lineRule="auto"/>
            </w:pPr>
            <w:r>
              <w:rPr>
                <w:sz w:val="18"/>
              </w:rPr>
              <w:t>Input corruption</w:t>
            </w:r>
          </w:p>
        </w:tc>
        <w:tc>
          <w:tcPr>
            <w:tcW w:w="3120" w:type="dxa"/>
            <w:vAlign w:val="center"/>
          </w:tcPr>
          <w:p w14:paraId="77CB68FC" w14:textId="77777777" w:rsidR="00325982" w:rsidRDefault="00000000">
            <w:pPr>
              <w:spacing w:after="40" w:line="240" w:lineRule="auto"/>
            </w:pPr>
            <w:r>
              <w:rPr>
                <w:sz w:val="18"/>
              </w:rPr>
              <w:t>Noise, blur, compression, missingness, sensor artefacts</w:t>
            </w:r>
          </w:p>
        </w:tc>
        <w:tc>
          <w:tcPr>
            <w:tcW w:w="3120" w:type="dxa"/>
            <w:vAlign w:val="center"/>
          </w:tcPr>
          <w:p w14:paraId="51877FD6" w14:textId="77777777" w:rsidR="00325982" w:rsidRDefault="00000000">
            <w:pPr>
              <w:spacing w:after="40" w:line="240" w:lineRule="auto"/>
            </w:pPr>
            <w:r>
              <w:rPr>
                <w:sz w:val="18"/>
              </w:rPr>
              <w:t>Controlled corruption suite at documented severity levels</w:t>
            </w:r>
          </w:p>
        </w:tc>
      </w:tr>
      <w:tr w:rsidR="00325982" w14:paraId="2778A794" w14:textId="77777777">
        <w:trPr>
          <w:jc w:val="center"/>
        </w:trPr>
        <w:tc>
          <w:tcPr>
            <w:tcW w:w="3120" w:type="dxa"/>
            <w:vAlign w:val="center"/>
          </w:tcPr>
          <w:p w14:paraId="71F24201" w14:textId="77777777" w:rsidR="00325982" w:rsidRDefault="00000000">
            <w:pPr>
              <w:spacing w:after="40" w:line="240" w:lineRule="auto"/>
            </w:pPr>
            <w:r>
              <w:rPr>
                <w:sz w:val="18"/>
              </w:rPr>
              <w:t>Label noise</w:t>
            </w:r>
          </w:p>
        </w:tc>
        <w:tc>
          <w:tcPr>
            <w:tcW w:w="3120" w:type="dxa"/>
            <w:vAlign w:val="center"/>
          </w:tcPr>
          <w:p w14:paraId="75DB261B" w14:textId="77777777" w:rsidR="00325982" w:rsidRDefault="00000000">
            <w:pPr>
              <w:spacing w:after="40" w:line="240" w:lineRule="auto"/>
            </w:pPr>
            <w:r>
              <w:rPr>
                <w:sz w:val="18"/>
              </w:rPr>
              <w:t>Incorrect or inconsistent training labels</w:t>
            </w:r>
          </w:p>
        </w:tc>
        <w:tc>
          <w:tcPr>
            <w:tcW w:w="3120" w:type="dxa"/>
            <w:vAlign w:val="center"/>
          </w:tcPr>
          <w:p w14:paraId="7351E2DA" w14:textId="77777777" w:rsidR="00325982" w:rsidRDefault="00000000">
            <w:pPr>
              <w:spacing w:after="40" w:line="240" w:lineRule="auto"/>
            </w:pPr>
            <w:r>
              <w:rPr>
                <w:sz w:val="18"/>
              </w:rPr>
              <w:t>Expert audits, synthetic label-noise experiments, robust-loss comparisons</w:t>
            </w:r>
          </w:p>
        </w:tc>
      </w:tr>
      <w:tr w:rsidR="00325982" w14:paraId="1656FC51" w14:textId="77777777">
        <w:trPr>
          <w:jc w:val="center"/>
        </w:trPr>
        <w:tc>
          <w:tcPr>
            <w:tcW w:w="3120" w:type="dxa"/>
            <w:vAlign w:val="center"/>
          </w:tcPr>
          <w:p w14:paraId="5AC19F46" w14:textId="77777777" w:rsidR="00325982" w:rsidRDefault="00000000">
            <w:pPr>
              <w:spacing w:after="40" w:line="240" w:lineRule="auto"/>
            </w:pPr>
            <w:r>
              <w:rPr>
                <w:sz w:val="18"/>
              </w:rPr>
              <w:lastRenderedPageBreak/>
              <w:t>Out-of-domain input</w:t>
            </w:r>
          </w:p>
        </w:tc>
        <w:tc>
          <w:tcPr>
            <w:tcW w:w="3120" w:type="dxa"/>
            <w:vAlign w:val="center"/>
          </w:tcPr>
          <w:p w14:paraId="51081759" w14:textId="77777777" w:rsidR="00325982" w:rsidRDefault="00000000">
            <w:pPr>
              <w:spacing w:after="40" w:line="240" w:lineRule="auto"/>
            </w:pPr>
            <w:r>
              <w:rPr>
                <w:sz w:val="18"/>
              </w:rPr>
              <w:t>Input differs materially from validated scope</w:t>
            </w:r>
          </w:p>
        </w:tc>
        <w:tc>
          <w:tcPr>
            <w:tcW w:w="3120" w:type="dxa"/>
            <w:vAlign w:val="center"/>
          </w:tcPr>
          <w:p w14:paraId="3E747FC8" w14:textId="77777777" w:rsidR="00325982" w:rsidRDefault="00000000">
            <w:pPr>
              <w:spacing w:after="40" w:line="240" w:lineRule="auto"/>
            </w:pPr>
            <w:r>
              <w:rPr>
                <w:sz w:val="18"/>
              </w:rPr>
              <w:t>OOD diagnostics, uncertainty checks, abstention analysis</w:t>
            </w:r>
          </w:p>
        </w:tc>
      </w:tr>
    </w:tbl>
    <w:p w14:paraId="221A6F0B" w14:textId="77777777" w:rsidR="00325982" w:rsidRDefault="00000000">
      <w:pPr>
        <w:jc w:val="both"/>
      </w:pPr>
      <w:r>
        <w:t>Table 1. Shift and noise conditions to distinguish in study design. The chosen tests should reflect realistic domain mechanisms rather than arbitrary perturbations alone.</w:t>
      </w:r>
    </w:p>
    <w:p w14:paraId="6B22B4A3" w14:textId="77777777" w:rsidR="00325982" w:rsidRDefault="00000000">
      <w:pPr>
        <w:pStyle w:val="Heading1"/>
      </w:pPr>
      <w:r>
        <w:t>4. Proposed Empirical Evaluation Protocol</w:t>
      </w:r>
    </w:p>
    <w:p w14:paraId="2D78C189" w14:textId="77777777" w:rsidR="00325982" w:rsidRDefault="00000000">
      <w:pPr>
        <w:jc w:val="both"/>
      </w:pPr>
      <w:r>
        <w:t>The proposed framework requires empirical validation. A suitable study should compare an integrated R-XDL system against clearly specified baselines, such as (a) a standard deep learning model, (b) the same model with corruption-aware training, (c) a model with post-hoc explanations but no explanation diagnostics, and (d) a model with uncertainty-based rejection but no integrated shift monitoring. Baselines should be selected according to the domain and implemented with comparable training data and tuning budgets.</w:t>
      </w:r>
    </w:p>
    <w:p w14:paraId="0CA5630A" w14:textId="77777777" w:rsidR="00325982" w:rsidRDefault="00000000">
      <w:pPr>
        <w:pStyle w:val="Heading2"/>
      </w:pPr>
      <w:r>
        <w:t>4.1 Experimental Conditions</w:t>
      </w:r>
    </w:p>
    <w:p w14:paraId="3FD527F0" w14:textId="77777777" w:rsidR="00325982" w:rsidRDefault="00000000">
      <w:pPr>
        <w:pStyle w:val="ListBullet"/>
      </w:pPr>
      <w:r>
        <w:t>Clean in-distribution test data, held out from all training and model-selection decisions.</w:t>
      </w:r>
    </w:p>
    <w:p w14:paraId="6F69E997" w14:textId="77777777" w:rsidR="00325982" w:rsidRDefault="00000000">
      <w:pPr>
        <w:pStyle w:val="ListBullet"/>
      </w:pPr>
      <w:r>
        <w:t>One or more naturally occurring or temporally separated distribution shifts.</w:t>
      </w:r>
    </w:p>
    <w:p w14:paraId="4D334A07" w14:textId="77777777" w:rsidR="00325982" w:rsidRDefault="00000000">
      <w:pPr>
        <w:pStyle w:val="ListBullet"/>
      </w:pPr>
      <w:r>
        <w:t>Controlled corruption types and multiple documented severity levels, including only transformations relevant to the task.</w:t>
      </w:r>
    </w:p>
    <w:p w14:paraId="43ABD844" w14:textId="77777777" w:rsidR="00325982" w:rsidRDefault="00000000">
      <w:pPr>
        <w:pStyle w:val="ListBullet"/>
      </w:pPr>
      <w:r>
        <w:t>Training-label noise experiments at prespecified rates, clearly distinguished from test-input corruption.</w:t>
      </w:r>
    </w:p>
    <w:p w14:paraId="32948DDC" w14:textId="77777777" w:rsidR="00325982" w:rsidRDefault="00000000">
      <w:pPr>
        <w:pStyle w:val="ListBullet"/>
      </w:pPr>
      <w:r>
        <w:t>Subgroup and rare-class analysis to detect concentrated failure modes.</w:t>
      </w:r>
    </w:p>
    <w:p w14:paraId="0812ECA5" w14:textId="77777777" w:rsidR="00325982" w:rsidRDefault="00000000">
      <w:pPr>
        <w:pStyle w:val="ListBullet"/>
      </w:pPr>
      <w:r>
        <w:t>Explanation stability tests under decision-preserving perturbations and explanation sensitivity tests where relevant evidence changes.</w:t>
      </w:r>
    </w:p>
    <w:p w14:paraId="590D2080" w14:textId="77777777" w:rsidR="00325982" w:rsidRDefault="00000000">
      <w:pPr>
        <w:pStyle w:val="Heading2"/>
      </w:pPr>
      <w:r>
        <w:t>4.2 Evaluation Metrics</w:t>
      </w:r>
    </w:p>
    <w:tbl>
      <w:tblPr>
        <w:tblStyle w:val="TableGrid"/>
        <w:tblW w:w="0" w:type="auto"/>
        <w:jc w:val="center"/>
        <w:tblLook w:val="04A0" w:firstRow="1" w:lastRow="0" w:firstColumn="1" w:lastColumn="0" w:noHBand="0" w:noVBand="1"/>
      </w:tblPr>
      <w:tblGrid>
        <w:gridCol w:w="3116"/>
        <w:gridCol w:w="3117"/>
        <w:gridCol w:w="3117"/>
      </w:tblGrid>
      <w:tr w:rsidR="00325982" w14:paraId="75D90F24" w14:textId="77777777">
        <w:trPr>
          <w:jc w:val="center"/>
        </w:trPr>
        <w:tc>
          <w:tcPr>
            <w:tcW w:w="3120" w:type="dxa"/>
            <w:vAlign w:val="center"/>
          </w:tcPr>
          <w:p w14:paraId="67A4AEEE" w14:textId="77777777" w:rsidR="00325982" w:rsidRDefault="00000000">
            <w:pPr>
              <w:spacing w:after="40" w:line="240" w:lineRule="auto"/>
            </w:pPr>
            <w:r>
              <w:rPr>
                <w:sz w:val="18"/>
              </w:rPr>
              <w:t>Dimension</w:t>
            </w:r>
          </w:p>
        </w:tc>
        <w:tc>
          <w:tcPr>
            <w:tcW w:w="3120" w:type="dxa"/>
            <w:vAlign w:val="center"/>
          </w:tcPr>
          <w:p w14:paraId="33D7D7E6" w14:textId="77777777" w:rsidR="00325982" w:rsidRDefault="00000000">
            <w:pPr>
              <w:spacing w:after="40" w:line="240" w:lineRule="auto"/>
            </w:pPr>
            <w:r>
              <w:rPr>
                <w:sz w:val="18"/>
              </w:rPr>
              <w:t>Candidate measures</w:t>
            </w:r>
          </w:p>
        </w:tc>
        <w:tc>
          <w:tcPr>
            <w:tcW w:w="3120" w:type="dxa"/>
            <w:vAlign w:val="center"/>
          </w:tcPr>
          <w:p w14:paraId="7A825A8F" w14:textId="77777777" w:rsidR="00325982" w:rsidRDefault="00000000">
            <w:pPr>
              <w:spacing w:after="40" w:line="240" w:lineRule="auto"/>
            </w:pPr>
            <w:r>
              <w:rPr>
                <w:sz w:val="18"/>
              </w:rPr>
              <w:t>Interpretation</w:t>
            </w:r>
          </w:p>
        </w:tc>
      </w:tr>
      <w:tr w:rsidR="00325982" w14:paraId="008EB0AC" w14:textId="77777777">
        <w:trPr>
          <w:jc w:val="center"/>
        </w:trPr>
        <w:tc>
          <w:tcPr>
            <w:tcW w:w="3120" w:type="dxa"/>
            <w:vAlign w:val="center"/>
          </w:tcPr>
          <w:p w14:paraId="2326C733" w14:textId="77777777" w:rsidR="00325982" w:rsidRDefault="00000000">
            <w:pPr>
              <w:spacing w:after="40" w:line="240" w:lineRule="auto"/>
            </w:pPr>
            <w:r>
              <w:rPr>
                <w:sz w:val="18"/>
              </w:rPr>
              <w:t>Prediction</w:t>
            </w:r>
          </w:p>
        </w:tc>
        <w:tc>
          <w:tcPr>
            <w:tcW w:w="3120" w:type="dxa"/>
            <w:vAlign w:val="center"/>
          </w:tcPr>
          <w:p w14:paraId="21B4B164" w14:textId="77777777" w:rsidR="00325982" w:rsidRDefault="00000000">
            <w:pPr>
              <w:spacing w:after="40" w:line="240" w:lineRule="auto"/>
            </w:pPr>
            <w:r>
              <w:rPr>
                <w:sz w:val="18"/>
              </w:rPr>
              <w:t>Accuracy, precision, recall, F1, AUROC, task-specific loss</w:t>
            </w:r>
          </w:p>
        </w:tc>
        <w:tc>
          <w:tcPr>
            <w:tcW w:w="3120" w:type="dxa"/>
            <w:vAlign w:val="center"/>
          </w:tcPr>
          <w:p w14:paraId="2C061635" w14:textId="77777777" w:rsidR="00325982" w:rsidRDefault="00000000">
            <w:pPr>
              <w:spacing w:after="40" w:line="240" w:lineRule="auto"/>
            </w:pPr>
            <w:r>
              <w:rPr>
                <w:sz w:val="18"/>
              </w:rPr>
              <w:t>Use metrics appropriate to class balance and error costs.</w:t>
            </w:r>
          </w:p>
        </w:tc>
      </w:tr>
      <w:tr w:rsidR="00325982" w14:paraId="07BA6CF5" w14:textId="77777777">
        <w:trPr>
          <w:jc w:val="center"/>
        </w:trPr>
        <w:tc>
          <w:tcPr>
            <w:tcW w:w="3120" w:type="dxa"/>
            <w:vAlign w:val="center"/>
          </w:tcPr>
          <w:p w14:paraId="7D1C598C" w14:textId="77777777" w:rsidR="00325982" w:rsidRDefault="00000000">
            <w:pPr>
              <w:spacing w:after="40" w:line="240" w:lineRule="auto"/>
            </w:pPr>
            <w:r>
              <w:rPr>
                <w:sz w:val="18"/>
              </w:rPr>
              <w:t>Robustness</w:t>
            </w:r>
          </w:p>
        </w:tc>
        <w:tc>
          <w:tcPr>
            <w:tcW w:w="3120" w:type="dxa"/>
            <w:vAlign w:val="center"/>
          </w:tcPr>
          <w:p w14:paraId="43A4505D" w14:textId="77777777" w:rsidR="00325982" w:rsidRDefault="00000000">
            <w:pPr>
              <w:spacing w:after="40" w:line="240" w:lineRule="auto"/>
            </w:pPr>
            <w:r>
              <w:rPr>
                <w:sz w:val="18"/>
              </w:rPr>
              <w:t>Performance drop by shift/noise type and severity; worst-group performance</w:t>
            </w:r>
          </w:p>
        </w:tc>
        <w:tc>
          <w:tcPr>
            <w:tcW w:w="3120" w:type="dxa"/>
            <w:vAlign w:val="center"/>
          </w:tcPr>
          <w:p w14:paraId="11ABD296" w14:textId="77777777" w:rsidR="00325982" w:rsidRDefault="00000000">
            <w:pPr>
              <w:spacing w:after="40" w:line="240" w:lineRule="auto"/>
            </w:pPr>
            <w:r>
              <w:rPr>
                <w:sz w:val="18"/>
              </w:rPr>
              <w:t>Measure degradation, not only average performance.</w:t>
            </w:r>
          </w:p>
        </w:tc>
      </w:tr>
      <w:tr w:rsidR="00325982" w14:paraId="62795CEC" w14:textId="77777777">
        <w:trPr>
          <w:jc w:val="center"/>
        </w:trPr>
        <w:tc>
          <w:tcPr>
            <w:tcW w:w="3120" w:type="dxa"/>
            <w:vAlign w:val="center"/>
          </w:tcPr>
          <w:p w14:paraId="15F2A9C8" w14:textId="77777777" w:rsidR="00325982" w:rsidRDefault="00000000">
            <w:pPr>
              <w:spacing w:after="40" w:line="240" w:lineRule="auto"/>
            </w:pPr>
            <w:r>
              <w:rPr>
                <w:sz w:val="18"/>
              </w:rPr>
              <w:t>Calibration</w:t>
            </w:r>
          </w:p>
        </w:tc>
        <w:tc>
          <w:tcPr>
            <w:tcW w:w="3120" w:type="dxa"/>
            <w:vAlign w:val="center"/>
          </w:tcPr>
          <w:p w14:paraId="196808AB" w14:textId="77777777" w:rsidR="00325982" w:rsidRDefault="00000000">
            <w:pPr>
              <w:spacing w:after="40" w:line="240" w:lineRule="auto"/>
            </w:pPr>
            <w:r>
              <w:rPr>
                <w:sz w:val="18"/>
              </w:rPr>
              <w:t>Brier score, log loss, expected calibration error</w:t>
            </w:r>
          </w:p>
        </w:tc>
        <w:tc>
          <w:tcPr>
            <w:tcW w:w="3120" w:type="dxa"/>
            <w:vAlign w:val="center"/>
          </w:tcPr>
          <w:p w14:paraId="472145A3" w14:textId="77777777" w:rsidR="00325982" w:rsidRDefault="00000000">
            <w:pPr>
              <w:spacing w:after="40" w:line="240" w:lineRule="auto"/>
            </w:pPr>
            <w:r>
              <w:rPr>
                <w:sz w:val="18"/>
              </w:rPr>
              <w:t>Assess whether confidence corresponds to observed outcomes.</w:t>
            </w:r>
          </w:p>
        </w:tc>
      </w:tr>
      <w:tr w:rsidR="00325982" w14:paraId="5F69831C" w14:textId="77777777">
        <w:trPr>
          <w:jc w:val="center"/>
        </w:trPr>
        <w:tc>
          <w:tcPr>
            <w:tcW w:w="3120" w:type="dxa"/>
            <w:vAlign w:val="center"/>
          </w:tcPr>
          <w:p w14:paraId="64EEBA5A" w14:textId="77777777" w:rsidR="00325982" w:rsidRDefault="00000000">
            <w:pPr>
              <w:spacing w:after="40" w:line="240" w:lineRule="auto"/>
            </w:pPr>
            <w:r>
              <w:rPr>
                <w:sz w:val="18"/>
              </w:rPr>
              <w:t>Selective prediction</w:t>
            </w:r>
          </w:p>
        </w:tc>
        <w:tc>
          <w:tcPr>
            <w:tcW w:w="3120" w:type="dxa"/>
            <w:vAlign w:val="center"/>
          </w:tcPr>
          <w:p w14:paraId="356FE8C3" w14:textId="77777777" w:rsidR="00325982" w:rsidRDefault="00000000">
            <w:pPr>
              <w:spacing w:after="40" w:line="240" w:lineRule="auto"/>
            </w:pPr>
            <w:r>
              <w:rPr>
                <w:sz w:val="18"/>
              </w:rPr>
              <w:t>Coverage, risk–coverage curve, error rate among accepted cases</w:t>
            </w:r>
          </w:p>
        </w:tc>
        <w:tc>
          <w:tcPr>
            <w:tcW w:w="3120" w:type="dxa"/>
            <w:vAlign w:val="center"/>
          </w:tcPr>
          <w:p w14:paraId="2141410E" w14:textId="77777777" w:rsidR="00325982" w:rsidRDefault="00000000">
            <w:pPr>
              <w:spacing w:after="40" w:line="240" w:lineRule="auto"/>
            </w:pPr>
            <w:r>
              <w:rPr>
                <w:sz w:val="18"/>
              </w:rPr>
              <w:t>Evaluate the trade-off between abstention and retained-case reliability.</w:t>
            </w:r>
          </w:p>
        </w:tc>
      </w:tr>
      <w:tr w:rsidR="00325982" w14:paraId="3D210DD4" w14:textId="77777777">
        <w:trPr>
          <w:jc w:val="center"/>
        </w:trPr>
        <w:tc>
          <w:tcPr>
            <w:tcW w:w="3120" w:type="dxa"/>
            <w:vAlign w:val="center"/>
          </w:tcPr>
          <w:p w14:paraId="6DD7BEE2" w14:textId="77777777" w:rsidR="00325982" w:rsidRDefault="00000000">
            <w:pPr>
              <w:spacing w:after="40" w:line="240" w:lineRule="auto"/>
            </w:pPr>
            <w:r>
              <w:rPr>
                <w:sz w:val="18"/>
              </w:rPr>
              <w:t>Explanation fidelity</w:t>
            </w:r>
          </w:p>
        </w:tc>
        <w:tc>
          <w:tcPr>
            <w:tcW w:w="3120" w:type="dxa"/>
            <w:vAlign w:val="center"/>
          </w:tcPr>
          <w:p w14:paraId="08C2CBA8" w14:textId="77777777" w:rsidR="00325982" w:rsidRDefault="00000000">
            <w:pPr>
              <w:spacing w:after="40" w:line="240" w:lineRule="auto"/>
            </w:pPr>
            <w:r>
              <w:rPr>
                <w:sz w:val="18"/>
              </w:rPr>
              <w:t>Perturbation-based faithfulness tests or method-specific fidelity metrics</w:t>
            </w:r>
          </w:p>
        </w:tc>
        <w:tc>
          <w:tcPr>
            <w:tcW w:w="3120" w:type="dxa"/>
            <w:vAlign w:val="center"/>
          </w:tcPr>
          <w:p w14:paraId="340BA0B5" w14:textId="77777777" w:rsidR="00325982" w:rsidRDefault="00000000">
            <w:pPr>
              <w:spacing w:after="40" w:line="240" w:lineRule="auto"/>
            </w:pPr>
            <w:r>
              <w:rPr>
                <w:sz w:val="18"/>
              </w:rPr>
              <w:t xml:space="preserve">Check whether explanations reflect model </w:t>
            </w:r>
            <w:proofErr w:type="spellStart"/>
            <w:r>
              <w:rPr>
                <w:sz w:val="18"/>
              </w:rPr>
              <w:t>behaviour</w:t>
            </w:r>
            <w:proofErr w:type="spellEnd"/>
            <w:r>
              <w:rPr>
                <w:sz w:val="18"/>
              </w:rPr>
              <w:t>.</w:t>
            </w:r>
          </w:p>
        </w:tc>
      </w:tr>
      <w:tr w:rsidR="00325982" w14:paraId="080246DD" w14:textId="77777777">
        <w:trPr>
          <w:jc w:val="center"/>
        </w:trPr>
        <w:tc>
          <w:tcPr>
            <w:tcW w:w="3120" w:type="dxa"/>
            <w:vAlign w:val="center"/>
          </w:tcPr>
          <w:p w14:paraId="381C6232" w14:textId="77777777" w:rsidR="00325982" w:rsidRDefault="00000000">
            <w:pPr>
              <w:spacing w:after="40" w:line="240" w:lineRule="auto"/>
            </w:pPr>
            <w:r>
              <w:rPr>
                <w:sz w:val="18"/>
              </w:rPr>
              <w:t>Explanation stability</w:t>
            </w:r>
          </w:p>
        </w:tc>
        <w:tc>
          <w:tcPr>
            <w:tcW w:w="3120" w:type="dxa"/>
            <w:vAlign w:val="center"/>
          </w:tcPr>
          <w:p w14:paraId="33EFEC62" w14:textId="77777777" w:rsidR="00325982" w:rsidRDefault="00000000">
            <w:pPr>
              <w:spacing w:after="40" w:line="240" w:lineRule="auto"/>
            </w:pPr>
            <w:r>
              <w:rPr>
                <w:sz w:val="18"/>
              </w:rPr>
              <w:t>Attribution similarity across decision-preserving perturbations; rank correlation where suitable</w:t>
            </w:r>
          </w:p>
        </w:tc>
        <w:tc>
          <w:tcPr>
            <w:tcW w:w="3120" w:type="dxa"/>
            <w:vAlign w:val="center"/>
          </w:tcPr>
          <w:p w14:paraId="164C4BBD" w14:textId="77777777" w:rsidR="00325982" w:rsidRDefault="00000000">
            <w:pPr>
              <w:spacing w:after="40" w:line="240" w:lineRule="auto"/>
            </w:pPr>
            <w:r>
              <w:rPr>
                <w:sz w:val="18"/>
              </w:rPr>
              <w:t>Identify explanations that change without meaningful evidence changes.</w:t>
            </w:r>
          </w:p>
        </w:tc>
      </w:tr>
      <w:tr w:rsidR="00325982" w14:paraId="2A532ED6" w14:textId="77777777">
        <w:trPr>
          <w:jc w:val="center"/>
        </w:trPr>
        <w:tc>
          <w:tcPr>
            <w:tcW w:w="3120" w:type="dxa"/>
            <w:vAlign w:val="center"/>
          </w:tcPr>
          <w:p w14:paraId="5A653E69" w14:textId="77777777" w:rsidR="00325982" w:rsidRDefault="00000000">
            <w:pPr>
              <w:spacing w:after="40" w:line="240" w:lineRule="auto"/>
            </w:pPr>
            <w:r>
              <w:rPr>
                <w:sz w:val="18"/>
              </w:rPr>
              <w:lastRenderedPageBreak/>
              <w:t>Fairness</w:t>
            </w:r>
          </w:p>
        </w:tc>
        <w:tc>
          <w:tcPr>
            <w:tcW w:w="3120" w:type="dxa"/>
            <w:vAlign w:val="center"/>
          </w:tcPr>
          <w:p w14:paraId="79182FD6" w14:textId="77777777" w:rsidR="00325982" w:rsidRDefault="00000000">
            <w:pPr>
              <w:spacing w:after="40" w:line="240" w:lineRule="auto"/>
            </w:pPr>
            <w:r>
              <w:rPr>
                <w:sz w:val="18"/>
              </w:rPr>
              <w:t>Subgroup error, calibration, and coverage gaps</w:t>
            </w:r>
          </w:p>
        </w:tc>
        <w:tc>
          <w:tcPr>
            <w:tcW w:w="3120" w:type="dxa"/>
            <w:vAlign w:val="center"/>
          </w:tcPr>
          <w:p w14:paraId="2FF021F3" w14:textId="77777777" w:rsidR="00325982" w:rsidRDefault="00000000">
            <w:pPr>
              <w:spacing w:after="40" w:line="240" w:lineRule="auto"/>
            </w:pPr>
            <w:r>
              <w:rPr>
                <w:sz w:val="18"/>
              </w:rPr>
              <w:t>Identify whether shifts affect groups differently.</w:t>
            </w:r>
          </w:p>
        </w:tc>
      </w:tr>
      <w:tr w:rsidR="00325982" w14:paraId="5EF24427" w14:textId="77777777">
        <w:trPr>
          <w:jc w:val="center"/>
        </w:trPr>
        <w:tc>
          <w:tcPr>
            <w:tcW w:w="3120" w:type="dxa"/>
            <w:vAlign w:val="center"/>
          </w:tcPr>
          <w:p w14:paraId="54388D20" w14:textId="77777777" w:rsidR="00325982" w:rsidRDefault="00000000">
            <w:pPr>
              <w:spacing w:after="40" w:line="240" w:lineRule="auto"/>
            </w:pPr>
            <w:r>
              <w:rPr>
                <w:sz w:val="18"/>
              </w:rPr>
              <w:t>Operational cost</w:t>
            </w:r>
          </w:p>
        </w:tc>
        <w:tc>
          <w:tcPr>
            <w:tcW w:w="3120" w:type="dxa"/>
            <w:vAlign w:val="center"/>
          </w:tcPr>
          <w:p w14:paraId="188AE61C" w14:textId="77777777" w:rsidR="00325982" w:rsidRDefault="00000000">
            <w:pPr>
              <w:spacing w:after="40" w:line="240" w:lineRule="auto"/>
            </w:pPr>
            <w:r>
              <w:rPr>
                <w:sz w:val="18"/>
              </w:rPr>
              <w:t>Latency, throughput, memory, compute cost, review workload</w:t>
            </w:r>
          </w:p>
        </w:tc>
        <w:tc>
          <w:tcPr>
            <w:tcW w:w="3120" w:type="dxa"/>
            <w:vAlign w:val="center"/>
          </w:tcPr>
          <w:p w14:paraId="23AA7FB7" w14:textId="77777777" w:rsidR="00325982" w:rsidRDefault="00000000">
            <w:pPr>
              <w:spacing w:after="40" w:line="240" w:lineRule="auto"/>
            </w:pPr>
            <w:r>
              <w:rPr>
                <w:sz w:val="18"/>
              </w:rPr>
              <w:t xml:space="preserve">Assess practical </w:t>
            </w:r>
            <w:proofErr w:type="spellStart"/>
            <w:r>
              <w:rPr>
                <w:sz w:val="18"/>
              </w:rPr>
              <w:t>deployability</w:t>
            </w:r>
            <w:proofErr w:type="spellEnd"/>
            <w:r>
              <w:rPr>
                <w:sz w:val="18"/>
              </w:rPr>
              <w:t xml:space="preserve"> and human workload.</w:t>
            </w:r>
          </w:p>
        </w:tc>
      </w:tr>
    </w:tbl>
    <w:p w14:paraId="0F2D809C" w14:textId="77777777" w:rsidR="00325982" w:rsidRDefault="00000000">
      <w:pPr>
        <w:jc w:val="both"/>
      </w:pPr>
      <w:r>
        <w:t>Table 2. Proposed evaluation metrics. No measured values are provided because experiments have not been conducted for this conceptual manuscript.</w:t>
      </w:r>
    </w:p>
    <w:p w14:paraId="5FAB9E7C" w14:textId="77777777" w:rsidR="00325982" w:rsidRDefault="00000000">
      <w:pPr>
        <w:pStyle w:val="Heading2"/>
      </w:pPr>
      <w:r>
        <w:t>4.3 Reproducibility and Statistical Reporting</w:t>
      </w:r>
    </w:p>
    <w:p w14:paraId="55EBF5A1" w14:textId="77777777" w:rsidR="00325982" w:rsidRDefault="00000000">
      <w:pPr>
        <w:jc w:val="both"/>
      </w:pPr>
      <w:r>
        <w:t>The empirical study should specify dataset versions, sample counts, preprocessing, train/validation/test splits, corruption definitions, noise rates, random seeds, hardware, software versions, hyperparameters, explanation configurations, and threshold-selection procedures. Avoid leakage by ensuring that test data are not used for training or threshold tuning. Repeat experiments where computationally feasible and report means with standard deviations or confidence intervals. Use statistical tests appropriate to paired or independent comparisons, report effect sizes, and investigate failures by class, subgroup, and shift type. Numerical values should be inserted only after actual analysis.</w:t>
      </w:r>
    </w:p>
    <w:p w14:paraId="583B019F" w14:textId="77777777" w:rsidR="00325982" w:rsidRDefault="00000000">
      <w:pPr>
        <w:pStyle w:val="Heading2"/>
      </w:pPr>
      <w:r>
        <w:t>4.4 Hypotheses for Future Testing</w:t>
      </w:r>
    </w:p>
    <w:p w14:paraId="6ABA0C52" w14:textId="77777777" w:rsidR="00325982" w:rsidRDefault="00000000">
      <w:pPr>
        <w:pStyle w:val="ListBullet"/>
      </w:pPr>
      <w:r>
        <w:t>H1: Robust training will reduce predictive degradation under the specified corruption and shift conditions compared with a standard training baseline.</w:t>
      </w:r>
    </w:p>
    <w:p w14:paraId="7E77A4A4" w14:textId="77777777" w:rsidR="00325982" w:rsidRDefault="00000000">
      <w:pPr>
        <w:pStyle w:val="ListBullet"/>
      </w:pPr>
      <w:r>
        <w:t>H2: Combining uncertainty and shift signals will identify high-risk cases more effectively than confidence-only routing.</w:t>
      </w:r>
    </w:p>
    <w:p w14:paraId="4EF41546" w14:textId="77777777" w:rsidR="00325982" w:rsidRDefault="00000000">
      <w:pPr>
        <w:pStyle w:val="ListBullet"/>
      </w:pPr>
      <w:r>
        <w:t>H3: Explanation diagnostics will detect cases where explanations become unstable or insufficiently faithful under perturbation.</w:t>
      </w:r>
    </w:p>
    <w:p w14:paraId="04E0F547" w14:textId="77777777" w:rsidR="00325982" w:rsidRDefault="00000000">
      <w:pPr>
        <w:pStyle w:val="ListBullet"/>
      </w:pPr>
      <w:r>
        <w:t>H4: Controlled adaptation with post-update validation will reduce the risk of deploying regressions compared with unvalidated immediate updates.</w:t>
      </w:r>
    </w:p>
    <w:p w14:paraId="452E45E9" w14:textId="77777777" w:rsidR="00325982" w:rsidRDefault="00000000">
      <w:pPr>
        <w:jc w:val="both"/>
      </w:pPr>
      <w:r>
        <w:t>These are hypotheses, not findings; their direction and magnitude remain to be established experimentally.</w:t>
      </w:r>
    </w:p>
    <w:p w14:paraId="1B3CE06D" w14:textId="77777777" w:rsidR="00325982" w:rsidRDefault="00000000">
      <w:pPr>
        <w:pStyle w:val="Heading1"/>
      </w:pPr>
      <w:r>
        <w:t>5. Discussion</w:t>
      </w:r>
    </w:p>
    <w:p w14:paraId="097A74D7" w14:textId="77777777" w:rsidR="00325982" w:rsidRDefault="00000000">
      <w:pPr>
        <w:pStyle w:val="Heading2"/>
      </w:pPr>
      <w:r>
        <w:t>5.1 Joint Reliability of Predictions and Explanations</w:t>
      </w:r>
    </w:p>
    <w:p w14:paraId="39E11B45" w14:textId="77777777" w:rsidR="00325982" w:rsidRDefault="00000000">
      <w:pPr>
        <w:jc w:val="both"/>
      </w:pPr>
      <w:r>
        <w:t xml:space="preserve">The proposed framework treats explanations as outputs whose reliability must be examined, rather than as decorative additions to a prediction. Under shift, a model may rely on different features, and an explanation may reveal that it has begun to use background artefacts or unstable cues. </w:t>
      </w:r>
      <w:r>
        <w:lastRenderedPageBreak/>
        <w:t>However, an explanation alone cannot establish the true cause of a model error. Explanation diagnostics should be interpreted alongside predictive tests, data provenance, and domain knowledge.</w:t>
      </w:r>
    </w:p>
    <w:p w14:paraId="0BE004A1" w14:textId="77777777" w:rsidR="00325982" w:rsidRDefault="00000000">
      <w:pPr>
        <w:pStyle w:val="Heading2"/>
      </w:pPr>
      <w:r>
        <w:t>5.2 The Importance of Distinguishing Shift Types</w:t>
      </w:r>
    </w:p>
    <w:p w14:paraId="2C1E50CF" w14:textId="77777777" w:rsidR="00325982" w:rsidRDefault="00000000">
      <w:pPr>
        <w:jc w:val="both"/>
      </w:pPr>
      <w:r>
        <w:t>Different forms of shift imply different responses. A temporary sensor artefact may call for data validation or sensor maintenance, while a change in class prevalence may call for recalibration. A changed input–outcome relationship may require new labels and retraining. Treating all alerts as equivalent can cause unnecessary retraining or false reassurance. The system should therefore retain evidence about the nature, duration, severity, and likely operational cause of each shift.</w:t>
      </w:r>
    </w:p>
    <w:p w14:paraId="220ED125" w14:textId="77777777" w:rsidR="00325982" w:rsidRDefault="00000000">
      <w:pPr>
        <w:pStyle w:val="Heading2"/>
      </w:pPr>
      <w:r>
        <w:t>5.3 Human Oversight and Abstention</w:t>
      </w:r>
    </w:p>
    <w:p w14:paraId="2D7A37E8" w14:textId="77777777" w:rsidR="00325982" w:rsidRDefault="00000000">
      <w:pPr>
        <w:jc w:val="both"/>
      </w:pPr>
      <w:r>
        <w:t>Abstention is not necessarily a failure: in high-consequence settings, refusing to provide a definitive output can be safer than presenting an unreliable prediction. Human review is effective only when the reviewer has relevant expertise, sufficient context, and authority to disagree. Interfaces should communicate uncertainty and known limitations without encouraging automation bias. The acceptable balance between automation, review, and abstention depends on task risk and resource constraints.</w:t>
      </w:r>
    </w:p>
    <w:p w14:paraId="44BF935A" w14:textId="77777777" w:rsidR="00325982" w:rsidRDefault="00000000">
      <w:pPr>
        <w:pStyle w:val="Heading2"/>
      </w:pPr>
      <w:r>
        <w:t>5.4 Adaptation and Governance</w:t>
      </w:r>
    </w:p>
    <w:p w14:paraId="0484B5E5" w14:textId="77777777" w:rsidR="00325982" w:rsidRDefault="00000000">
      <w:pPr>
        <w:jc w:val="both"/>
      </w:pPr>
      <w:r>
        <w:t>Online adaptation can help respond to changing conditions but can also amplify data errors, bias, or feedback loops. The proposal therefore separates shift detection from authorization to change a model. Candidate updates should be evaluated offline, versioned, approved according to risk, and monitored after deployment. A rollback plan and audit record should be available for every material change.</w:t>
      </w:r>
    </w:p>
    <w:p w14:paraId="7242CFA1" w14:textId="77777777" w:rsidR="00325982" w:rsidRDefault="00000000">
      <w:pPr>
        <w:pStyle w:val="Heading2"/>
      </w:pPr>
      <w:r>
        <w:t>5.5 Limitations</w:t>
      </w:r>
    </w:p>
    <w:p w14:paraId="08245199" w14:textId="77777777" w:rsidR="00325982" w:rsidRDefault="00000000">
      <w:pPr>
        <w:jc w:val="both"/>
      </w:pPr>
      <w:r>
        <w:t xml:space="preserve">This paper presents a conceptual framework rather than a completed empirical study. The mathematical objective and risk score are design proposals, not validated universal formulations. Explanation stability is method- and task-dependent; identical explanations are not always desirable when the relevant evidence changes. Shift detectors may produce false alarms or miss gradual changes, and some forms of concept shift cannot be confirmed until labels become available. The framework also depends on access to representative evaluation data, domain </w:t>
      </w:r>
      <w:r>
        <w:lastRenderedPageBreak/>
        <w:t>expertise, and governance processes. Future work must assess whether its additional monitoring and explanation steps justify their computational and human costs.</w:t>
      </w:r>
    </w:p>
    <w:p w14:paraId="745B02AA" w14:textId="77777777" w:rsidR="00325982" w:rsidRDefault="00000000">
      <w:pPr>
        <w:pStyle w:val="Heading1"/>
      </w:pPr>
      <w:r>
        <w:t>6. Conclusion and Future Work</w:t>
      </w:r>
    </w:p>
    <w:p w14:paraId="62823AC7" w14:textId="77777777" w:rsidR="00325982" w:rsidRDefault="00000000">
      <w:pPr>
        <w:jc w:val="both"/>
      </w:pPr>
      <w:r>
        <w:t>This paper proposed a framework for robust explainable deep learning under distribution shifts and noisy data. It connects data-quality checks, shift and noise diagnostics, robust prediction, uncertainty estimation, explanation fidelity and stability assessment, risk-aware routing, human oversight, and controlled adaptation. Its core principle is that predictive performance and explanation quality should be evaluated together under conditions that approximate real deployment. When evidence is unreliable, the system should be able to escalate, abstain, or use an approved fallback rather than present an unqualified output.</w:t>
      </w:r>
    </w:p>
    <w:p w14:paraId="3915CA6C" w14:textId="77777777" w:rsidR="00325982" w:rsidRDefault="00000000">
      <w:pPr>
        <w:jc w:val="both"/>
      </w:pPr>
      <w:r>
        <w:t>Future work should instantiate the framework in a defined application, identify realistic shift and noise mechanisms, compare against strong baselines, and report prediction, calibration, robustness, explanation, fairness, and operational metrics. A deployment study should also assess reviewer workload, user understanding, and incident outcomes. Until such evidence is available, the framework should be regarded as a structured, testable proposal rather than an experimentally proven method.</w:t>
      </w:r>
    </w:p>
    <w:p w14:paraId="7CCF91D4" w14:textId="77777777" w:rsidR="00E3722A" w:rsidRDefault="00E3722A">
      <w:pPr>
        <w:jc w:val="both"/>
      </w:pPr>
    </w:p>
    <w:p w14:paraId="7BD8D554" w14:textId="77777777" w:rsidR="00E3722A" w:rsidRPr="00E3722A" w:rsidRDefault="00E3722A" w:rsidP="00E3722A">
      <w:pPr>
        <w:spacing w:after="0" w:line="240" w:lineRule="auto"/>
        <w:rPr>
          <w:rFonts w:ascii="Arial" w:eastAsia="Calibri" w:hAnsi="Arial" w:cs="Arial"/>
          <w:b/>
          <w:sz w:val="20"/>
          <w:szCs w:val="20"/>
        </w:rPr>
      </w:pPr>
      <w:bookmarkStart w:id="0" w:name="_Hlk238550938"/>
      <w:bookmarkStart w:id="1" w:name="_Hlk237856463"/>
      <w:r w:rsidRPr="00E3722A">
        <w:rPr>
          <w:rFonts w:ascii="Arial" w:eastAsia="Calibri" w:hAnsi="Arial" w:cs="Arial"/>
          <w:b/>
          <w:sz w:val="20"/>
          <w:szCs w:val="20"/>
        </w:rPr>
        <w:t>Declaration of AI Use</w:t>
      </w:r>
    </w:p>
    <w:p w14:paraId="487D0235" w14:textId="77777777" w:rsidR="00E3722A" w:rsidRPr="00E3722A" w:rsidRDefault="00E3722A" w:rsidP="00E3722A">
      <w:pPr>
        <w:spacing w:after="0" w:line="240" w:lineRule="auto"/>
        <w:rPr>
          <w:rFonts w:ascii="Arial" w:eastAsia="Calibri" w:hAnsi="Arial" w:cs="Arial"/>
          <w:sz w:val="20"/>
          <w:szCs w:val="20"/>
        </w:rPr>
      </w:pPr>
      <w:bookmarkStart w:id="2" w:name="_Hlk239068730"/>
    </w:p>
    <w:p w14:paraId="7ECA8D7B" w14:textId="77777777" w:rsidR="00E3722A" w:rsidRPr="00E3722A" w:rsidRDefault="00E3722A" w:rsidP="00E3722A">
      <w:pPr>
        <w:spacing w:after="0" w:line="240" w:lineRule="auto"/>
        <w:rPr>
          <w:rFonts w:ascii="Arial" w:eastAsia="Calibri" w:hAnsi="Arial" w:cs="Arial"/>
          <w:sz w:val="20"/>
          <w:szCs w:val="20"/>
        </w:rPr>
      </w:pPr>
      <w:bookmarkStart w:id="3" w:name="_Hlk237862032"/>
      <w:r w:rsidRPr="00E3722A">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E3722A">
        <w:rPr>
          <w:rFonts w:ascii="Arial" w:eastAsia="Calibri" w:hAnsi="Arial" w:cs="Arial"/>
          <w:sz w:val="20"/>
          <w:szCs w:val="20"/>
        </w:rPr>
        <w:t>.</w:t>
      </w:r>
    </w:p>
    <w:bookmarkEnd w:id="1"/>
    <w:bookmarkEnd w:id="2"/>
    <w:bookmarkEnd w:id="3"/>
    <w:p w14:paraId="0AFE8722" w14:textId="77777777" w:rsidR="00E3722A" w:rsidRDefault="00E3722A">
      <w:pPr>
        <w:jc w:val="both"/>
      </w:pPr>
    </w:p>
    <w:p w14:paraId="57700BA8" w14:textId="77777777" w:rsidR="00325982" w:rsidRDefault="00000000">
      <w:pPr>
        <w:pStyle w:val="Heading1"/>
      </w:pPr>
      <w:r>
        <w:t>References</w:t>
      </w:r>
    </w:p>
    <w:p w14:paraId="007C1E87" w14:textId="77777777" w:rsidR="00325982" w:rsidRDefault="00000000">
      <w:pPr>
        <w:spacing w:line="276" w:lineRule="auto"/>
        <w:ind w:left="432" w:hanging="432"/>
      </w:pPr>
      <w:r>
        <w:t xml:space="preserve">Adebayo, J., Gilmer, J., </w:t>
      </w:r>
      <w:proofErr w:type="spellStart"/>
      <w:r>
        <w:t>Muelly</w:t>
      </w:r>
      <w:proofErr w:type="spellEnd"/>
      <w:r>
        <w:t>, M., Goodfellow, I., Hardt, M., &amp; Kim, B. (2018). Sanity checks for saliency maps. In S. Bengio et al. (Eds.), Advances in Neural Information Processing Systems (Vol. 31). https://proceedings.neurips.cc/paper/2018/hash/294a8ed24b1ad22ec2e7efea049b8737-Abstract.html</w:t>
      </w:r>
    </w:p>
    <w:p w14:paraId="34ABC323" w14:textId="77777777" w:rsidR="00325982" w:rsidRDefault="00000000">
      <w:pPr>
        <w:spacing w:line="276" w:lineRule="auto"/>
        <w:ind w:left="432" w:hanging="432"/>
      </w:pPr>
      <w:proofErr w:type="spellStart"/>
      <w:r>
        <w:t>Geirhos</w:t>
      </w:r>
      <w:proofErr w:type="spellEnd"/>
      <w:r>
        <w:t>, R., Jacobsen, J.-H., Michaelis, C., Zemel, R., Brendel, W., Bethge, M., &amp; Wichmann, F. A. (2020). Shortcut learning in deep neural networks. Nature Machine Intelligence, 2, 665–673. https://doi.org/10.1038/s42256-020-00257-z</w:t>
      </w:r>
    </w:p>
    <w:p w14:paraId="3C69E1FE" w14:textId="77777777" w:rsidR="00325982" w:rsidRDefault="00000000">
      <w:pPr>
        <w:spacing w:line="276" w:lineRule="auto"/>
        <w:ind w:left="432" w:hanging="432"/>
      </w:pPr>
      <w:r>
        <w:lastRenderedPageBreak/>
        <w:t>Hendrycks, D., &amp; Dietterich, T. (2019). Benchmarking neural network robustness to common corruptions and perturbations. In International Conference on Learning Representations. https://openreview.net/forum?id=HJz6tiCqYm</w:t>
      </w:r>
    </w:p>
    <w:p w14:paraId="450FAF2B" w14:textId="77777777" w:rsidR="00325982" w:rsidRDefault="00000000">
      <w:pPr>
        <w:spacing w:line="276" w:lineRule="auto"/>
        <w:ind w:left="432" w:hanging="432"/>
      </w:pPr>
      <w:r>
        <w:t xml:space="preserve">Kelly, C. J., </w:t>
      </w:r>
      <w:proofErr w:type="spellStart"/>
      <w:r>
        <w:t>Karthikesalingam</w:t>
      </w:r>
      <w:proofErr w:type="spellEnd"/>
      <w:r>
        <w:t>, A., Suleyman, M., Corrado, G., &amp; King, D. (2019). Key challenges for delivering clinical impact with artificial intelligence. BMC Medicine, 17, Article 195. https://doi.org/10.1186/s12916-019-1426-2</w:t>
      </w:r>
    </w:p>
    <w:p w14:paraId="05BFD759" w14:textId="77777777" w:rsidR="00325982" w:rsidRDefault="00000000">
      <w:pPr>
        <w:spacing w:line="276" w:lineRule="auto"/>
        <w:ind w:left="432" w:hanging="432"/>
      </w:pPr>
      <w:r>
        <w:t>Lundberg, S. M., &amp; Lee, S.-I. (2017). A unified approach to interpreting model predictions. In Advances in Neural Information Processing Systems (Vol. 30). https://proceedings.neurips.cc/paper/2017/hash/8a20a8621978632d76c43dfd28b67767-Abstract.html</w:t>
      </w:r>
    </w:p>
    <w:p w14:paraId="2BB512D4" w14:textId="77777777" w:rsidR="00325982" w:rsidRDefault="00000000">
      <w:pPr>
        <w:spacing w:line="276" w:lineRule="auto"/>
        <w:ind w:left="432" w:hanging="432"/>
      </w:pPr>
      <w:r>
        <w:t xml:space="preserve">Mehrabi, N., </w:t>
      </w:r>
      <w:proofErr w:type="spellStart"/>
      <w:r>
        <w:t>Morstatter</w:t>
      </w:r>
      <w:proofErr w:type="spellEnd"/>
      <w:r>
        <w:t>, F., Saxena, N., Lerman, K., &amp; Galstyan, A. (2021). A survey on bias and fairness in machine learning. ACM Computing Surveys, 54(6), Article 115. https://doi.org/10.1145/3457607</w:t>
      </w:r>
    </w:p>
    <w:p w14:paraId="5CA009E8" w14:textId="77777777" w:rsidR="00325982" w:rsidRDefault="00000000">
      <w:pPr>
        <w:spacing w:line="276" w:lineRule="auto"/>
        <w:ind w:left="432" w:hanging="432"/>
      </w:pPr>
      <w:r>
        <w:t xml:space="preserve">Ribeiro, M. T., Singh, S., &amp; </w:t>
      </w:r>
      <w:proofErr w:type="spellStart"/>
      <w:r>
        <w:t>Guestrin</w:t>
      </w:r>
      <w:proofErr w:type="spellEnd"/>
      <w:r>
        <w:t>, C. (2016). “Why should I trust you?” Explaining the predictions of any classifier. In Proceedings of the 22nd ACM SIGKDD International Conference on Knowledge Discovery and Data Mining (pp. 1135–1144). Association for Computing Machinery. https://doi.org/10.1145/2939672.2939778</w:t>
      </w:r>
    </w:p>
    <w:p w14:paraId="02A900A5" w14:textId="77777777" w:rsidR="00325982" w:rsidRDefault="00000000">
      <w:pPr>
        <w:spacing w:line="276" w:lineRule="auto"/>
        <w:ind w:left="432" w:hanging="432"/>
      </w:pPr>
      <w:r>
        <w:t>Tabassi, E. (2023). Artificial intelligence risk management framework (AI RMF 1.0) (NIST AI 100-1). National Institute of Standards and Technology. https://doi.org/10.6028/NIST.AI.100-1</w:t>
      </w:r>
    </w:p>
    <w:p w14:paraId="288A7AFB" w14:textId="77777777" w:rsidR="00325982" w:rsidRDefault="00000000">
      <w:pPr>
        <w:spacing w:line="276" w:lineRule="auto"/>
        <w:ind w:left="432" w:hanging="432"/>
      </w:pPr>
      <w:proofErr w:type="spellStart"/>
      <w:r>
        <w:t>Quinonero</w:t>
      </w:r>
      <w:proofErr w:type="spellEnd"/>
      <w:r>
        <w:t>-Candela, J., Sugiyama, M., Schwaighofer, A., &amp; Lawrence, N. D. (Eds.). (2009). Dataset shift in machine learning. MIT Press. https://mitpress.mit.edu/9780262170055/dataset-shift-in-machine-learning/</w:t>
      </w:r>
    </w:p>
    <w:p w14:paraId="5A68D931" w14:textId="25A1CD18" w:rsidR="00325982" w:rsidRDefault="00000000" w:rsidP="00EA1B89">
      <w:pPr>
        <w:spacing w:line="276" w:lineRule="auto"/>
        <w:ind w:left="432" w:hanging="432"/>
      </w:pPr>
      <w:r>
        <w:t xml:space="preserve">Zhang, C., Bengio, S., Hardt, M., Recht, B., &amp; </w:t>
      </w:r>
      <w:proofErr w:type="spellStart"/>
      <w:r>
        <w:t>Vinyals</w:t>
      </w:r>
      <w:proofErr w:type="spellEnd"/>
      <w:r>
        <w:t>, O. (2021). Understanding deep learning (still) requires rethinking generalization. Communications of the ACM, 64(3), 107–115. https://doi.org/10.1145/3446776</w:t>
      </w:r>
    </w:p>
    <w:sectPr w:rsidR="00325982" w:rsidSect="00034616">
      <w:headerReference w:type="even" r:id="rId9"/>
      <w:headerReference w:type="default" r:id="rId10"/>
      <w:footerReference w:type="even" r:id="rId11"/>
      <w:footerReference w:type="default" r:id="rId12"/>
      <w:headerReference w:type="first" r:id="rId13"/>
      <w:footerReference w:type="first" r:id="rId14"/>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B15CC" w14:textId="77777777" w:rsidR="00347CB9" w:rsidRDefault="00347CB9">
      <w:pPr>
        <w:spacing w:after="0" w:line="240" w:lineRule="auto"/>
      </w:pPr>
      <w:r>
        <w:separator/>
      </w:r>
    </w:p>
  </w:endnote>
  <w:endnote w:type="continuationSeparator" w:id="0">
    <w:p w14:paraId="32B19C17" w14:textId="77777777" w:rsidR="00347CB9" w:rsidRDefault="00347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Gautami">
    <w:panose1 w:val="02000500000000000000"/>
    <w:charset w:val="00"/>
    <w:family w:val="swiss"/>
    <w:pitch w:val="variable"/>
    <w:sig w:usb0="002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69406" w14:textId="77777777" w:rsidR="009C165D" w:rsidRDefault="009C16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26E70" w14:textId="77777777" w:rsidR="00325982" w:rsidRDefault="00000000">
    <w:pPr>
      <w:pStyle w:val="Footer"/>
      <w:jc w:val="center"/>
    </w:pPr>
    <w:r>
      <w:t xml:space="preserve">Page </w:t>
    </w:r>
    <w:r>
      <w:fldChar w:fldCharType="begin"/>
    </w:r>
    <w:r>
      <w:instrText>PAGE</w:instrText>
    </w:r>
    <w:r>
      <w:fldChar w:fldCharType="separate"/>
    </w:r>
    <w:r w:rsidR="00EA1B89">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41DDB" w14:textId="77777777" w:rsidR="009C165D" w:rsidRDefault="009C16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3828D" w14:textId="77777777" w:rsidR="00347CB9" w:rsidRDefault="00347CB9">
      <w:pPr>
        <w:spacing w:after="0" w:line="240" w:lineRule="auto"/>
      </w:pPr>
      <w:r>
        <w:separator/>
      </w:r>
    </w:p>
  </w:footnote>
  <w:footnote w:type="continuationSeparator" w:id="0">
    <w:p w14:paraId="22CD3F5B" w14:textId="77777777" w:rsidR="00347CB9" w:rsidRDefault="00347C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C415B" w14:textId="3944B535" w:rsidR="009C165D" w:rsidRDefault="009C165D">
    <w:pPr>
      <w:pStyle w:val="Header"/>
    </w:pPr>
    <w:r>
      <w:rPr>
        <w:noProof/>
      </w:rPr>
      <w:pict w14:anchorId="093109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9049001"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DC59C" w14:textId="77B97BC5" w:rsidR="00325982" w:rsidRDefault="009C165D">
    <w:pPr>
      <w:pStyle w:val="Header"/>
      <w:jc w:val="right"/>
    </w:pPr>
    <w:r>
      <w:rPr>
        <w:noProof/>
      </w:rPr>
      <w:pict w14:anchorId="6E66C5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9049002" o:spid="_x0000_s1027" type="#_x0000_t136" style="position:absolute;left:0;text-align:left;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D18BF" w14:textId="3F7E24E6" w:rsidR="009C165D" w:rsidRDefault="009C165D">
    <w:pPr>
      <w:pStyle w:val="Header"/>
    </w:pPr>
    <w:r>
      <w:rPr>
        <w:noProof/>
      </w:rPr>
      <w:pict w14:anchorId="2F3FD9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9049000"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23815264">
    <w:abstractNumId w:val="8"/>
  </w:num>
  <w:num w:numId="2" w16cid:durableId="1725173993">
    <w:abstractNumId w:val="6"/>
  </w:num>
  <w:num w:numId="3" w16cid:durableId="2087871742">
    <w:abstractNumId w:val="5"/>
  </w:num>
  <w:num w:numId="4" w16cid:durableId="1879272023">
    <w:abstractNumId w:val="4"/>
  </w:num>
  <w:num w:numId="5" w16cid:durableId="647784276">
    <w:abstractNumId w:val="7"/>
  </w:num>
  <w:num w:numId="6" w16cid:durableId="1988589813">
    <w:abstractNumId w:val="3"/>
  </w:num>
  <w:num w:numId="7" w16cid:durableId="1864710229">
    <w:abstractNumId w:val="2"/>
  </w:num>
  <w:num w:numId="8" w16cid:durableId="1105854948">
    <w:abstractNumId w:val="1"/>
  </w:num>
  <w:num w:numId="9" w16cid:durableId="1743066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16E7"/>
    <w:rsid w:val="0015074B"/>
    <w:rsid w:val="0029639D"/>
    <w:rsid w:val="00325982"/>
    <w:rsid w:val="00326F90"/>
    <w:rsid w:val="003444ED"/>
    <w:rsid w:val="00347CB9"/>
    <w:rsid w:val="00611B49"/>
    <w:rsid w:val="006A551B"/>
    <w:rsid w:val="006B0E15"/>
    <w:rsid w:val="008F1BE3"/>
    <w:rsid w:val="009B16D5"/>
    <w:rsid w:val="009C165D"/>
    <w:rsid w:val="00AA1D8D"/>
    <w:rsid w:val="00AF6AEE"/>
    <w:rsid w:val="00B47730"/>
    <w:rsid w:val="00CB0664"/>
    <w:rsid w:val="00CE77FA"/>
    <w:rsid w:val="00E3722A"/>
    <w:rsid w:val="00EA1B8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te-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49D63D"/>
  <w14:defaultImageDpi w14:val="300"/>
  <w15:docId w15:val="{835833BC-D04A-4412-8AD6-CC89F1668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i/>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A1B89"/>
    <w:rPr>
      <w:color w:val="0000FF" w:themeColor="hyperlink"/>
      <w:u w:val="single"/>
    </w:rPr>
  </w:style>
  <w:style w:type="character" w:styleId="UnresolvedMention">
    <w:name w:val="Unresolved Mention"/>
    <w:basedOn w:val="DefaultParagraphFont"/>
    <w:uiPriority w:val="99"/>
    <w:semiHidden/>
    <w:unhideWhenUsed/>
    <w:rsid w:val="00EA1B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3891</Words>
  <Characters>22184</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26023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1166</cp:lastModifiedBy>
  <cp:revision>5</cp:revision>
  <dcterms:created xsi:type="dcterms:W3CDTF">2026-10-10T08:07:00Z</dcterms:created>
  <dcterms:modified xsi:type="dcterms:W3CDTF">2026-10-10T10:41:00Z</dcterms:modified>
  <cp:category/>
</cp:coreProperties>
</file>