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C4703" w14:textId="2184784D" w:rsidR="00462B59" w:rsidRPr="00A455AE" w:rsidRDefault="00CE3570" w:rsidP="00055D83">
      <w:pPr>
        <w:spacing w:before="0" w:line="240" w:lineRule="auto"/>
        <w:jc w:val="center"/>
        <w:rPr>
          <w:rFonts w:cs="Times New Roman"/>
          <w:b/>
          <w:bCs/>
          <w:color w:val="000000" w:themeColor="text1"/>
          <w:sz w:val="36"/>
          <w:szCs w:val="36"/>
        </w:rPr>
      </w:pPr>
      <w:r w:rsidRPr="00A455AE">
        <w:rPr>
          <w:rFonts w:cs="Times New Roman"/>
          <w:b/>
          <w:bCs/>
          <w:color w:val="000000" w:themeColor="text1"/>
          <w:sz w:val="36"/>
          <w:szCs w:val="36"/>
        </w:rPr>
        <w:t>Effect of Engagement of Board of Management Members on Financial Management in Public Secondary Schools in Nairobi City County, Kenya</w:t>
      </w:r>
    </w:p>
    <w:p w14:paraId="19B4D42B" w14:textId="6B0BD392" w:rsidR="00870856" w:rsidRPr="00A455AE" w:rsidRDefault="00870856" w:rsidP="00055D83">
      <w:pPr>
        <w:spacing w:before="0" w:line="240" w:lineRule="auto"/>
        <w:jc w:val="center"/>
        <w:rPr>
          <w:rFonts w:cs="Times New Roman"/>
          <w:b/>
          <w:bCs/>
          <w:color w:val="000000" w:themeColor="text1"/>
          <w:sz w:val="36"/>
          <w:szCs w:val="36"/>
        </w:rPr>
      </w:pPr>
    </w:p>
    <w:p w14:paraId="3FC0670C" w14:textId="77777777" w:rsidR="00870856" w:rsidRPr="00A455AE" w:rsidRDefault="00870856" w:rsidP="00055D83">
      <w:pPr>
        <w:spacing w:before="0" w:line="240" w:lineRule="auto"/>
        <w:jc w:val="center"/>
        <w:rPr>
          <w:rFonts w:cs="Times New Roman"/>
          <w:b/>
          <w:bCs/>
          <w:color w:val="000000" w:themeColor="text1"/>
          <w:sz w:val="36"/>
          <w:szCs w:val="36"/>
        </w:rPr>
      </w:pPr>
    </w:p>
    <w:p w14:paraId="3F108D69" w14:textId="77777777" w:rsidR="003607E2" w:rsidRPr="00A455AE" w:rsidRDefault="003607E2" w:rsidP="00055D83">
      <w:pPr>
        <w:spacing w:before="0" w:line="240" w:lineRule="auto"/>
        <w:jc w:val="center"/>
        <w:rPr>
          <w:rFonts w:cs="Times New Roman"/>
          <w:b/>
          <w:color w:val="000000" w:themeColor="text1"/>
          <w:szCs w:val="24"/>
        </w:rPr>
      </w:pPr>
    </w:p>
    <w:p w14:paraId="42946DD8" w14:textId="77777777" w:rsidR="00055D83" w:rsidRPr="00A455AE" w:rsidRDefault="00055D83" w:rsidP="004737A8">
      <w:pPr>
        <w:spacing w:before="0" w:line="240" w:lineRule="auto"/>
        <w:jc w:val="center"/>
        <w:rPr>
          <w:b/>
          <w:sz w:val="28"/>
        </w:rPr>
      </w:pPr>
      <w:bookmarkStart w:id="0" w:name="_Toc488404692"/>
      <w:bookmarkStart w:id="1" w:name="_Toc102409737"/>
      <w:r w:rsidRPr="00A455AE">
        <w:rPr>
          <w:b/>
          <w:sz w:val="28"/>
        </w:rPr>
        <w:t>ABSTRACT</w:t>
      </w:r>
      <w:bookmarkEnd w:id="0"/>
      <w:bookmarkEnd w:id="1"/>
    </w:p>
    <w:p w14:paraId="283625D9" w14:textId="780D920E" w:rsidR="00D2350E" w:rsidRPr="00A455AE" w:rsidRDefault="00CE3570" w:rsidP="00D2350E">
      <w:pPr>
        <w:spacing w:line="240" w:lineRule="auto"/>
        <w:rPr>
          <w:rFonts w:cs="Times New Roman"/>
          <w:color w:val="000000" w:themeColor="text1"/>
          <w:szCs w:val="24"/>
        </w:rPr>
      </w:pPr>
      <w:r w:rsidRPr="00A455AE">
        <w:rPr>
          <w:rFonts w:cs="Times New Roman"/>
          <w:color w:val="000000" w:themeColor="text1"/>
          <w:szCs w:val="24"/>
        </w:rPr>
        <w:t>This study examined the influence of Board of Management governance practices on financial administration in public secondary schools in Nairobi City County, Kenya. It specifically assessed the effects of board composition, competence, independence, and training and engagement on financial management. The study was guided by stakeholder theory, and employed a descriptive research design. The target population comprised 1,326 board members from 102 public secondary schools, from which 13</w:t>
      </w:r>
      <w:r w:rsidR="00526B6F" w:rsidRPr="00A455AE">
        <w:rPr>
          <w:rFonts w:cs="Times New Roman"/>
          <w:color w:val="000000" w:themeColor="text1"/>
          <w:szCs w:val="24"/>
        </w:rPr>
        <w:t>0</w:t>
      </w:r>
      <w:r w:rsidRPr="00A455AE">
        <w:rPr>
          <w:rFonts w:cs="Times New Roman"/>
          <w:color w:val="000000" w:themeColor="text1"/>
          <w:szCs w:val="24"/>
        </w:rPr>
        <w:t xml:space="preserve"> members from 10 schools were selected through stratified random sampling. Primary data were collected using questionnaires, while secondary data covering 2020–2024 were obtained through a structured schedule. Data were </w:t>
      </w:r>
      <w:proofErr w:type="spellStart"/>
      <w:r w:rsidRPr="00A455AE">
        <w:rPr>
          <w:rFonts w:cs="Times New Roman"/>
          <w:color w:val="000000" w:themeColor="text1"/>
          <w:szCs w:val="24"/>
        </w:rPr>
        <w:t>analysed</w:t>
      </w:r>
      <w:proofErr w:type="spellEnd"/>
      <w:r w:rsidRPr="00A455AE">
        <w:rPr>
          <w:rFonts w:cs="Times New Roman"/>
          <w:color w:val="000000" w:themeColor="text1"/>
          <w:szCs w:val="24"/>
        </w:rPr>
        <w:t xml:space="preserve"> using </w:t>
      </w:r>
      <w:r w:rsidR="00687C50" w:rsidRPr="00A455AE">
        <w:rPr>
          <w:rFonts w:cs="Times New Roman"/>
          <w:color w:val="000000" w:themeColor="text1"/>
          <w:szCs w:val="24"/>
        </w:rPr>
        <w:t>STATA</w:t>
      </w:r>
      <w:r w:rsidRPr="00A455AE">
        <w:rPr>
          <w:rFonts w:cs="Times New Roman"/>
          <w:color w:val="000000" w:themeColor="text1"/>
          <w:szCs w:val="24"/>
        </w:rPr>
        <w:t>, employing descriptive statistics, correlation, and regression analysis, with findings presented using tables and graphs. The results indicated significant positive relationships between board composition and financial management (r = 0.533, p &lt; 0.01; B = 0.607, p &lt; 0.001), board competence and financial management (r = 0.344, p &lt; 0.01; B = 0.511, p &lt; 0.001), and board independence and financial management (r = 0.287, p &lt; 0.01; B = 0.185, p &lt; 0.001). Board training and engagement exhibited the strongest positive relationship (r = 0.882, p &lt; 0.01; B = 0.799, p &lt; 0.001). The study recommends strengthening board composition, clarifying member responsibilities, incorporating diverse education stakeholders, conducting training needs assessments, including independent members, and enhancing financial monitoring and budget evaluation in schools.</w:t>
      </w:r>
    </w:p>
    <w:p w14:paraId="4056C615" w14:textId="77777777" w:rsidR="00D2350E" w:rsidRPr="00A455AE" w:rsidRDefault="00D2350E" w:rsidP="00D2350E">
      <w:pPr>
        <w:spacing w:line="240" w:lineRule="auto"/>
        <w:rPr>
          <w:rFonts w:cs="Times New Roman"/>
          <w:color w:val="000000" w:themeColor="text1"/>
          <w:szCs w:val="24"/>
        </w:rPr>
      </w:pPr>
    </w:p>
    <w:p w14:paraId="7DA53B1C" w14:textId="771CAC5E" w:rsidR="00462B59" w:rsidRPr="00A455AE" w:rsidRDefault="00D2350E" w:rsidP="00D2350E">
      <w:pPr>
        <w:spacing w:line="240" w:lineRule="auto"/>
        <w:rPr>
          <w:rFonts w:cs="Times New Roman"/>
          <w:i/>
          <w:color w:val="000000" w:themeColor="text1"/>
          <w:szCs w:val="24"/>
        </w:rPr>
      </w:pPr>
      <w:r w:rsidRPr="00A455AE">
        <w:rPr>
          <w:rFonts w:cs="Times New Roman"/>
          <w:b/>
          <w:color w:val="000000" w:themeColor="text1"/>
          <w:szCs w:val="24"/>
        </w:rPr>
        <w:t>Keywords:</w:t>
      </w:r>
      <w:r w:rsidRPr="00A455AE">
        <w:rPr>
          <w:rFonts w:cs="Times New Roman"/>
          <w:color w:val="000000" w:themeColor="text1"/>
          <w:szCs w:val="24"/>
        </w:rPr>
        <w:t xml:space="preserve"> </w:t>
      </w:r>
      <w:r w:rsidR="00CE3570" w:rsidRPr="00A455AE">
        <w:rPr>
          <w:rFonts w:cs="Times New Roman"/>
          <w:i/>
          <w:color w:val="000000" w:themeColor="text1"/>
          <w:szCs w:val="24"/>
        </w:rPr>
        <w:t>Board governance; Board composition; Board competence; Board independence; Board training; Financial management; Public secondary schools.</w:t>
      </w:r>
    </w:p>
    <w:p w14:paraId="60C890DF" w14:textId="77777777" w:rsidR="00055D83" w:rsidRPr="00A455AE" w:rsidRDefault="00055D83" w:rsidP="00055D83">
      <w:pPr>
        <w:shd w:val="clear" w:color="auto" w:fill="FFFFFF"/>
        <w:spacing w:line="240" w:lineRule="auto"/>
        <w:rPr>
          <w:rFonts w:eastAsia="Times New Roman" w:cs="Times New Roman"/>
          <w:b/>
          <w:bCs/>
          <w:color w:val="000000" w:themeColor="text1"/>
          <w:sz w:val="28"/>
          <w:szCs w:val="28"/>
        </w:rPr>
      </w:pPr>
      <w:r w:rsidRPr="00A455AE">
        <w:rPr>
          <w:rFonts w:eastAsia="Times New Roman" w:cs="Times New Roman"/>
          <w:b/>
          <w:bCs/>
          <w:color w:val="000000" w:themeColor="text1"/>
          <w:sz w:val="28"/>
          <w:szCs w:val="28"/>
        </w:rPr>
        <w:t>1.0 INTRODUCTION</w:t>
      </w:r>
    </w:p>
    <w:p w14:paraId="6D81304D" w14:textId="77777777" w:rsidR="00EF7D22" w:rsidRPr="00A455AE" w:rsidRDefault="00EF7D22" w:rsidP="00EF7D22">
      <w:pPr>
        <w:shd w:val="clear" w:color="auto" w:fill="FFFFFF"/>
        <w:spacing w:line="240" w:lineRule="auto"/>
        <w:rPr>
          <w:rFonts w:cs="Times New Roman"/>
          <w:color w:val="000000" w:themeColor="text1"/>
          <w:szCs w:val="24"/>
        </w:rPr>
      </w:pPr>
      <w:r w:rsidRPr="00A455AE">
        <w:rPr>
          <w:rFonts w:cs="Times New Roman"/>
          <w:color w:val="000000" w:themeColor="text1"/>
          <w:szCs w:val="24"/>
        </w:rPr>
        <w:t xml:space="preserve">Financial management is an essential element in the effective running of an organization. A lot of resources are involved in running organizations and therefore to get value from those investments require a lot of transparency and accountability from the people in charge. The main purpose of financial management is to ensure that funds sourced are utilized in the most efficient and effective manner (Alio, Chui &amp; </w:t>
      </w:r>
      <w:proofErr w:type="spellStart"/>
      <w:r w:rsidRPr="00A455AE">
        <w:rPr>
          <w:rFonts w:cs="Times New Roman"/>
          <w:color w:val="000000" w:themeColor="text1"/>
          <w:szCs w:val="24"/>
        </w:rPr>
        <w:t>Githui</w:t>
      </w:r>
      <w:proofErr w:type="spellEnd"/>
      <w:r w:rsidRPr="00A455AE">
        <w:rPr>
          <w:rFonts w:cs="Times New Roman"/>
          <w:color w:val="000000" w:themeColor="text1"/>
          <w:szCs w:val="24"/>
        </w:rPr>
        <w:t>, 2019). Experts in finance intimate that for effective financial management, an organization must be invest in good governance (</w:t>
      </w:r>
      <w:proofErr w:type="spellStart"/>
      <w:r w:rsidRPr="00A455AE">
        <w:rPr>
          <w:rFonts w:cs="Times New Roman"/>
          <w:color w:val="000000" w:themeColor="text1"/>
          <w:szCs w:val="24"/>
        </w:rPr>
        <w:t>Apriana</w:t>
      </w:r>
      <w:proofErr w:type="spellEnd"/>
      <w:r w:rsidRPr="00A455AE">
        <w:rPr>
          <w:rFonts w:cs="Times New Roman"/>
          <w:color w:val="000000" w:themeColor="text1"/>
          <w:szCs w:val="24"/>
        </w:rPr>
        <w:t xml:space="preserve"> et al., 2019). Therefore, governance is the traditions and institutions by which authority in an institution is exercised for the common good, which usually include the process of selecting those in authority and the capacity of those selected in the institution to manage with utmost accountability. In education, ineffective governance derails educational standards leading to inefficiency in service delivery, poor student performance and the accompanying corruption (</w:t>
      </w:r>
      <w:proofErr w:type="spellStart"/>
      <w:r w:rsidRPr="00A455AE">
        <w:rPr>
          <w:rFonts w:cs="Times New Roman"/>
          <w:color w:val="000000" w:themeColor="text1"/>
          <w:szCs w:val="24"/>
        </w:rPr>
        <w:t>Midialo</w:t>
      </w:r>
      <w:proofErr w:type="spellEnd"/>
      <w:r w:rsidRPr="00A455AE">
        <w:rPr>
          <w:rFonts w:cs="Times New Roman"/>
          <w:color w:val="000000" w:themeColor="text1"/>
          <w:szCs w:val="24"/>
        </w:rPr>
        <w:t xml:space="preserve">, 2019). </w:t>
      </w:r>
    </w:p>
    <w:p w14:paraId="1026E965" w14:textId="77777777" w:rsidR="00EF7D22" w:rsidRPr="00A455AE" w:rsidRDefault="00EF7D22" w:rsidP="00EF7D22">
      <w:pPr>
        <w:shd w:val="clear" w:color="auto" w:fill="FFFFFF"/>
        <w:spacing w:line="240" w:lineRule="auto"/>
        <w:rPr>
          <w:rFonts w:cs="Times New Roman"/>
          <w:color w:val="000000" w:themeColor="text1"/>
          <w:szCs w:val="24"/>
        </w:rPr>
      </w:pPr>
    </w:p>
    <w:p w14:paraId="3FD47F10" w14:textId="59EA594D" w:rsidR="00EF7D22" w:rsidRPr="00A455AE" w:rsidRDefault="00EF7D22" w:rsidP="00EF7D22">
      <w:pPr>
        <w:shd w:val="clear" w:color="auto" w:fill="FFFFFF"/>
        <w:spacing w:line="240" w:lineRule="auto"/>
        <w:rPr>
          <w:rFonts w:cs="Times New Roman"/>
          <w:color w:val="000000" w:themeColor="text1"/>
          <w:szCs w:val="24"/>
        </w:rPr>
      </w:pPr>
      <w:r w:rsidRPr="00A455AE">
        <w:rPr>
          <w:rFonts w:cs="Times New Roman"/>
          <w:color w:val="000000" w:themeColor="text1"/>
          <w:szCs w:val="24"/>
        </w:rPr>
        <w:t xml:space="preserve">The governance structure of schools in the United Kingdom is composed of the staff, parents, community members, and local authority representatives. The board oversees the school activities especially on utilization of school funds. The UK also has a model for training the school board members on regular basis (The Department for Education, 2022).  The School Management Committees (SMCs) were introduced in India in 2009. The committees were </w:t>
      </w:r>
      <w:r w:rsidRPr="00A455AE">
        <w:rPr>
          <w:rFonts w:cs="Times New Roman"/>
          <w:color w:val="000000" w:themeColor="text1"/>
          <w:szCs w:val="24"/>
        </w:rPr>
        <w:lastRenderedPageBreak/>
        <w:t xml:space="preserve">introduced under the Right to Education (RTE) Act of 2009 and mandate the community involvement in monitoring finances and academic progress (Banerji et al., 2020). The governance of schools in the United Arab Emirate is guided by federal policies and local education councils including the Abu Dhabi Department of Education and Knowledge (ADEK) and the Knowledge and Human Development Authority (KHDA). These authorities are responsible for setting performance standards and school inspections. The school Board of Trustees or the school management committees are encouraged particularly in private and public schools to improve financial transparency and stakeholder engagement in school affairs.  </w:t>
      </w:r>
    </w:p>
    <w:p w14:paraId="561B6B91" w14:textId="77777777" w:rsidR="00EF7D22" w:rsidRPr="00A455AE" w:rsidRDefault="00EF7D22" w:rsidP="00EF7D22">
      <w:pPr>
        <w:shd w:val="clear" w:color="auto" w:fill="FFFFFF"/>
        <w:spacing w:line="240" w:lineRule="auto"/>
        <w:rPr>
          <w:rFonts w:cs="Times New Roman"/>
          <w:color w:val="000000" w:themeColor="text1"/>
          <w:szCs w:val="24"/>
        </w:rPr>
      </w:pPr>
    </w:p>
    <w:p w14:paraId="74FA82F2" w14:textId="77777777" w:rsidR="00EF7D22" w:rsidRPr="00A455AE" w:rsidRDefault="00EF7D22" w:rsidP="00EF7D22">
      <w:pPr>
        <w:shd w:val="clear" w:color="auto" w:fill="FFFFFF"/>
        <w:spacing w:line="240" w:lineRule="auto"/>
        <w:rPr>
          <w:rFonts w:cs="Times New Roman"/>
          <w:color w:val="000000" w:themeColor="text1"/>
          <w:szCs w:val="24"/>
        </w:rPr>
      </w:pPr>
      <w:r w:rsidRPr="00A455AE">
        <w:rPr>
          <w:rFonts w:cs="Times New Roman"/>
          <w:color w:val="000000" w:themeColor="text1"/>
          <w:szCs w:val="24"/>
        </w:rPr>
        <w:t xml:space="preserve">In Africa, the Board of Management (BoM) plays a key role in school leadership particularly in financial oversight, strategic planning, and stakeholder engagement.  However, the effect the effectiveness of these governance structures varies across different countries.  Nigeria introduced the </w:t>
      </w:r>
      <w:proofErr w:type="gramStart"/>
      <w:r w:rsidRPr="00A455AE">
        <w:rPr>
          <w:rFonts w:cs="Times New Roman"/>
          <w:color w:val="000000" w:themeColor="text1"/>
          <w:szCs w:val="24"/>
        </w:rPr>
        <w:t>School</w:t>
      </w:r>
      <w:proofErr w:type="gramEnd"/>
      <w:r w:rsidRPr="00A455AE">
        <w:rPr>
          <w:rFonts w:cs="Times New Roman"/>
          <w:color w:val="000000" w:themeColor="text1"/>
          <w:szCs w:val="24"/>
        </w:rPr>
        <w:t xml:space="preserve">-based Management Committees (SBMCs) to enhance decentralization and community ownership of schools.  The main role of the committees is to oversee the school development plans, funds utilization, and ensuring that the finances are not embezzled. However, there are challenges of inadequate board members training, low competence, and lack of board independence (Oko, Nguwasen, &amp; </w:t>
      </w:r>
      <w:proofErr w:type="spellStart"/>
      <w:r w:rsidRPr="00A455AE">
        <w:rPr>
          <w:rFonts w:cs="Times New Roman"/>
          <w:color w:val="000000" w:themeColor="text1"/>
          <w:szCs w:val="24"/>
        </w:rPr>
        <w:t>Ebelechukwu</w:t>
      </w:r>
      <w:proofErr w:type="spellEnd"/>
      <w:r w:rsidRPr="00A455AE">
        <w:rPr>
          <w:rFonts w:cs="Times New Roman"/>
          <w:color w:val="000000" w:themeColor="text1"/>
          <w:szCs w:val="24"/>
        </w:rPr>
        <w:t xml:space="preserve">, 2022). Kadir and </w:t>
      </w:r>
      <w:proofErr w:type="spellStart"/>
      <w:r w:rsidRPr="00A455AE">
        <w:rPr>
          <w:rFonts w:cs="Times New Roman"/>
          <w:color w:val="000000" w:themeColor="text1"/>
          <w:szCs w:val="24"/>
        </w:rPr>
        <w:t>Nimota</w:t>
      </w:r>
      <w:proofErr w:type="spellEnd"/>
      <w:r w:rsidRPr="00A455AE">
        <w:rPr>
          <w:rFonts w:cs="Times New Roman"/>
          <w:color w:val="000000" w:themeColor="text1"/>
          <w:szCs w:val="24"/>
        </w:rPr>
        <w:t xml:space="preserve"> (2019) documented that delay in disbursement of funds to institutions, lack of adequate training of educational heads, negligence of school financial clerks among others are factors that fuel poor management of funds in institutions in Nigeria. On the same breadth, </w:t>
      </w:r>
      <w:proofErr w:type="spellStart"/>
      <w:r w:rsidRPr="00A455AE">
        <w:rPr>
          <w:rFonts w:cs="Times New Roman"/>
          <w:color w:val="000000" w:themeColor="text1"/>
          <w:szCs w:val="24"/>
        </w:rPr>
        <w:t>Okeze</w:t>
      </w:r>
      <w:proofErr w:type="spellEnd"/>
      <w:r w:rsidRPr="00A455AE">
        <w:rPr>
          <w:rFonts w:cs="Times New Roman"/>
          <w:color w:val="000000" w:themeColor="text1"/>
          <w:szCs w:val="24"/>
        </w:rPr>
        <w:t xml:space="preserve"> and </w:t>
      </w:r>
      <w:proofErr w:type="spellStart"/>
      <w:r w:rsidRPr="00A455AE">
        <w:rPr>
          <w:rFonts w:cs="Times New Roman"/>
          <w:color w:val="000000" w:themeColor="text1"/>
          <w:szCs w:val="24"/>
        </w:rPr>
        <w:t>Ngwakwe</w:t>
      </w:r>
      <w:proofErr w:type="spellEnd"/>
      <w:r w:rsidRPr="00A455AE">
        <w:rPr>
          <w:rFonts w:cs="Times New Roman"/>
          <w:color w:val="000000" w:themeColor="text1"/>
          <w:szCs w:val="24"/>
        </w:rPr>
        <w:t xml:space="preserve"> (2018) noted that poor state of schools in Benue State in Nigeria was as a result of financial management issues such as the inability to generate revenue internally and misuse of available resources.  In Tanzania, Management of Secondary School finances </w:t>
      </w:r>
      <w:proofErr w:type="gramStart"/>
      <w:r w:rsidRPr="00A455AE">
        <w:rPr>
          <w:rFonts w:cs="Times New Roman"/>
          <w:color w:val="000000" w:themeColor="text1"/>
          <w:szCs w:val="24"/>
        </w:rPr>
        <w:t>has</w:t>
      </w:r>
      <w:proofErr w:type="gramEnd"/>
      <w:r w:rsidRPr="00A455AE">
        <w:rPr>
          <w:rFonts w:cs="Times New Roman"/>
          <w:color w:val="000000" w:themeColor="text1"/>
          <w:szCs w:val="24"/>
        </w:rPr>
        <w:t xml:space="preserve"> been a challenging activity to most of the Heads of Schools in last ten years. This is especially when the Government of Tanzania embarked on massive programs; the Primary Education Development Program (PEDP) and Secondary Education Development Program (SEDP) which started in 2002 following the elimination of school fees. The proper implementation of SEDP necessitated the introduction of several guidelines, some of them being financial management accounting guidelines and procurement guidelines (Edmund &amp; </w:t>
      </w:r>
      <w:proofErr w:type="spellStart"/>
      <w:r w:rsidRPr="00A455AE">
        <w:rPr>
          <w:rFonts w:cs="Times New Roman"/>
          <w:color w:val="000000" w:themeColor="text1"/>
          <w:szCs w:val="24"/>
        </w:rPr>
        <w:t>Lyamtane</w:t>
      </w:r>
      <w:proofErr w:type="spellEnd"/>
      <w:r w:rsidRPr="00A455AE">
        <w:rPr>
          <w:rFonts w:cs="Times New Roman"/>
          <w:color w:val="000000" w:themeColor="text1"/>
          <w:szCs w:val="24"/>
        </w:rPr>
        <w:t xml:space="preserve">, 2018). </w:t>
      </w:r>
    </w:p>
    <w:p w14:paraId="497E85FC" w14:textId="77777777" w:rsidR="00EF7D22" w:rsidRPr="00A455AE" w:rsidRDefault="00EF7D22" w:rsidP="00EF7D22">
      <w:pPr>
        <w:shd w:val="clear" w:color="auto" w:fill="FFFFFF"/>
        <w:spacing w:line="240" w:lineRule="auto"/>
        <w:rPr>
          <w:rFonts w:cs="Times New Roman"/>
          <w:color w:val="000000" w:themeColor="text1"/>
          <w:szCs w:val="24"/>
        </w:rPr>
      </w:pPr>
    </w:p>
    <w:p w14:paraId="408A58F9" w14:textId="15E6E8FE" w:rsidR="00416E73" w:rsidRPr="00A455AE" w:rsidRDefault="00EF7D22" w:rsidP="00EF7D22">
      <w:pPr>
        <w:shd w:val="clear" w:color="auto" w:fill="FFFFFF"/>
        <w:spacing w:line="240" w:lineRule="auto"/>
        <w:rPr>
          <w:rFonts w:cs="Times New Roman"/>
          <w:color w:val="000000" w:themeColor="text1"/>
          <w:szCs w:val="24"/>
        </w:rPr>
      </w:pPr>
      <w:r w:rsidRPr="00A455AE">
        <w:rPr>
          <w:rFonts w:cs="Times New Roman"/>
          <w:color w:val="000000" w:themeColor="text1"/>
          <w:szCs w:val="24"/>
        </w:rPr>
        <w:t xml:space="preserve">The Government of Kenya enacted the Public and Disposal Act no. 3 of 2003 which governs all aspects of procurement and disposal of unserviceable goods in the public sector which includes public secondary schools. This was to enhance accountability and transparency in expenditure management. Public schools were therefore required to establish tender committees (Republic of Kenya, 2018). The Basic Education Act (2013) specifies the board composition, roles, and responsibilities of in public schools. Every board consists of 13 members   including parents, teachers, sponsors, and local leaders. The responsibilities include budgeting, financial oversight, human resource decisions, and strategic planning.  Despite the Ministry of Education’s efforts to train BoM members, a large number still lack the necessary knowledge and skills in financial management, budgeting, and procurement processes (Odhiambo, 2018). Some appointments to the board are politically motivated, leading to conflict of interest and reduced autonomy in decision-making (Omondi, 2021). Cases of mismanagement of FDSE funds have been reported in several schools due to poor oversight by BoMs, prompting calls for stricter accountability measures (Transparency International Kenya, 2022).  </w:t>
      </w:r>
      <w:proofErr w:type="spellStart"/>
      <w:r w:rsidRPr="00A455AE">
        <w:rPr>
          <w:rFonts w:cs="Times New Roman"/>
          <w:color w:val="000000" w:themeColor="text1"/>
          <w:szCs w:val="24"/>
        </w:rPr>
        <w:t>Kalungu</w:t>
      </w:r>
      <w:proofErr w:type="spellEnd"/>
      <w:r w:rsidRPr="00A455AE">
        <w:rPr>
          <w:rFonts w:cs="Times New Roman"/>
          <w:color w:val="000000" w:themeColor="text1"/>
          <w:szCs w:val="24"/>
        </w:rPr>
        <w:t xml:space="preserve"> (2018) noted that, school principals are regarded as financial controllers and accounting officers at school level while Board of Management members are the policy makers. Both however mainly lack professional qualifications to enable them execute their duties effectively. While school bursars are required to maintain records of both revenue and expenditure and advice the principal, most of them lack technical capacity to offer guidance. The BOM members also lack necessary technical skills to understand and interpret financial reports in making decisions (Muturi, 2018).</w:t>
      </w:r>
    </w:p>
    <w:p w14:paraId="48C38FDC" w14:textId="6CD37EFA" w:rsidR="00055D83" w:rsidRPr="00A455AE" w:rsidRDefault="00055D83" w:rsidP="00CE4C91">
      <w:pPr>
        <w:shd w:val="clear" w:color="auto" w:fill="FFFFFF"/>
        <w:spacing w:line="240" w:lineRule="auto"/>
        <w:rPr>
          <w:rFonts w:eastAsia="Times New Roman" w:cs="Times New Roman"/>
          <w:b/>
          <w:bCs/>
          <w:i/>
          <w:iCs/>
          <w:color w:val="000000" w:themeColor="text1"/>
          <w:sz w:val="28"/>
          <w:szCs w:val="28"/>
        </w:rPr>
      </w:pPr>
      <w:r w:rsidRPr="00A455AE">
        <w:rPr>
          <w:rFonts w:eastAsia="Times New Roman" w:cs="Times New Roman"/>
          <w:b/>
          <w:bCs/>
          <w:i/>
          <w:iCs/>
          <w:color w:val="000000" w:themeColor="text1"/>
          <w:sz w:val="28"/>
          <w:szCs w:val="28"/>
        </w:rPr>
        <w:t>Research Problem</w:t>
      </w:r>
    </w:p>
    <w:p w14:paraId="6CA09799" w14:textId="69CB3FB5" w:rsidR="005C09D0" w:rsidRPr="00A455AE" w:rsidRDefault="00EF7D22" w:rsidP="005C09D0">
      <w:pPr>
        <w:spacing w:after="240" w:line="240" w:lineRule="auto"/>
        <w:rPr>
          <w:rFonts w:cs="Times New Roman"/>
          <w:color w:val="000000" w:themeColor="text1"/>
          <w:szCs w:val="24"/>
        </w:rPr>
      </w:pPr>
      <w:r w:rsidRPr="00A455AE">
        <w:rPr>
          <w:rFonts w:cs="Times New Roman"/>
          <w:color w:val="000000" w:themeColor="text1"/>
          <w:szCs w:val="24"/>
        </w:rPr>
        <w:lastRenderedPageBreak/>
        <w:t xml:space="preserve">Financial management is central to effective administration and service delivery in public secondary schools, yet weaknesses in budgeting, resource planning, accountability, and financial oversight continue to undermine school operations (Osuji &amp; Queen, 2021). Poor financial management has contributed to stakeholder mistrust, low staff morale, and reduced parental and sponsor goodwill (Muturi, 2018). The Auditor-General’s 2023/24 report for Nairobi City County identified pending bills, unsupported expenditures, recruitment concerns, inadequate documentation, weak oversight, and absence of risk registers, indicating systemic weaknesses in school financial controls. EACC (2024) further reported inappropriate utilization of approximately 60% of school capitation funds, including expenditures on travel and sitting allowances, while enrollment-related revenue was not adequately directed toward instruction. Incomplete infrastructure projects also reflect weaknesses in planning and project management; </w:t>
      </w:r>
      <w:proofErr w:type="spellStart"/>
      <w:r w:rsidRPr="00A455AE">
        <w:rPr>
          <w:rFonts w:cs="Times New Roman"/>
          <w:color w:val="000000" w:themeColor="text1"/>
          <w:szCs w:val="24"/>
        </w:rPr>
        <w:t>Nke</w:t>
      </w:r>
      <w:proofErr w:type="spellEnd"/>
      <w:r w:rsidRPr="00A455AE">
        <w:rPr>
          <w:rFonts w:cs="Times New Roman"/>
          <w:color w:val="000000" w:themeColor="text1"/>
          <w:szCs w:val="24"/>
        </w:rPr>
        <w:t xml:space="preserve"> and Wachira (2023) identified delays associated with inadequate planning, risk assessment, and stakeholder participation. Although studies have examined board efficiency, competence, financial management practices, and corporate governance, important conceptual gaps remain. Manu et al. (2020) focused on board efficiency, Muturi (2018) on competence, </w:t>
      </w:r>
      <w:proofErr w:type="spellStart"/>
      <w:r w:rsidRPr="00A455AE">
        <w:rPr>
          <w:rFonts w:cs="Times New Roman"/>
          <w:color w:val="000000" w:themeColor="text1"/>
          <w:szCs w:val="24"/>
        </w:rPr>
        <w:t>Kalungu</w:t>
      </w:r>
      <w:proofErr w:type="spellEnd"/>
      <w:r w:rsidRPr="00A455AE">
        <w:rPr>
          <w:rFonts w:cs="Times New Roman"/>
          <w:color w:val="000000" w:themeColor="text1"/>
          <w:szCs w:val="24"/>
        </w:rPr>
        <w:t xml:space="preserve"> (2015) on member characteristics, and Abdikadir (2018) on selected governance practices. Therefore, this study examined how Board of Management governance practices influence financial management in public secondary schools in Nairobi City County.</w:t>
      </w:r>
    </w:p>
    <w:p w14:paraId="7860FC20" w14:textId="1CFD514F" w:rsidR="00055D83" w:rsidRPr="00A455AE" w:rsidRDefault="00055D83" w:rsidP="00CC04B9">
      <w:pPr>
        <w:spacing w:after="240" w:line="240" w:lineRule="auto"/>
        <w:rPr>
          <w:rFonts w:cs="Times New Roman"/>
          <w:b/>
          <w:bCs/>
          <w:i/>
          <w:iCs/>
          <w:color w:val="000000" w:themeColor="text1"/>
          <w:sz w:val="28"/>
          <w:szCs w:val="28"/>
        </w:rPr>
      </w:pPr>
      <w:r w:rsidRPr="00A455AE">
        <w:rPr>
          <w:rFonts w:cs="Times New Roman"/>
          <w:b/>
          <w:bCs/>
          <w:i/>
          <w:iCs/>
          <w:color w:val="000000" w:themeColor="text1"/>
          <w:sz w:val="28"/>
          <w:szCs w:val="28"/>
        </w:rPr>
        <w:t>Research Objective</w:t>
      </w:r>
    </w:p>
    <w:p w14:paraId="179CE904" w14:textId="77777777" w:rsidR="00EF7D22" w:rsidRPr="00A455AE" w:rsidRDefault="00EF7D22" w:rsidP="00EF7D22">
      <w:pPr>
        <w:shd w:val="clear" w:color="auto" w:fill="FFFFFF"/>
        <w:spacing w:line="240" w:lineRule="auto"/>
        <w:rPr>
          <w:color w:val="000000" w:themeColor="text1"/>
          <w:szCs w:val="24"/>
        </w:rPr>
      </w:pPr>
      <w:r w:rsidRPr="00A455AE">
        <w:rPr>
          <w:color w:val="000000" w:themeColor="text1"/>
          <w:szCs w:val="24"/>
        </w:rPr>
        <w:t>The purpose of this study was to find out the effect of board of management governance on financial management of public secondary schools in Nairobi City County, Kenya.</w:t>
      </w:r>
    </w:p>
    <w:p w14:paraId="79A3EE08" w14:textId="377DDBEE" w:rsidR="00EF7D22" w:rsidRPr="00A455AE" w:rsidRDefault="00EF7D22" w:rsidP="00EF7D22">
      <w:pPr>
        <w:shd w:val="clear" w:color="auto" w:fill="FFFFFF"/>
        <w:spacing w:line="240" w:lineRule="auto"/>
        <w:rPr>
          <w:color w:val="000000" w:themeColor="text1"/>
          <w:szCs w:val="24"/>
        </w:rPr>
      </w:pPr>
      <w:r w:rsidRPr="00A455AE">
        <w:rPr>
          <w:color w:val="000000" w:themeColor="text1"/>
          <w:szCs w:val="24"/>
        </w:rPr>
        <w:t>Research Objectives</w:t>
      </w:r>
    </w:p>
    <w:p w14:paraId="20EF9B5D" w14:textId="77777777" w:rsidR="00EF7D22" w:rsidRPr="00A455AE" w:rsidRDefault="00EF7D22" w:rsidP="00EF7D22">
      <w:pPr>
        <w:shd w:val="clear" w:color="auto" w:fill="FFFFFF"/>
        <w:spacing w:line="240" w:lineRule="auto"/>
        <w:rPr>
          <w:color w:val="000000" w:themeColor="text1"/>
          <w:szCs w:val="24"/>
        </w:rPr>
      </w:pPr>
      <w:r w:rsidRPr="00A455AE">
        <w:rPr>
          <w:color w:val="000000" w:themeColor="text1"/>
          <w:szCs w:val="24"/>
        </w:rPr>
        <w:t>The specific objectives of the study were:</w:t>
      </w:r>
    </w:p>
    <w:p w14:paraId="2327F09D" w14:textId="77777777" w:rsidR="00EF7D22" w:rsidRPr="00A455AE" w:rsidRDefault="00EF7D22" w:rsidP="00EF7D22">
      <w:pPr>
        <w:pStyle w:val="ListParagraph"/>
        <w:numPr>
          <w:ilvl w:val="0"/>
          <w:numId w:val="23"/>
        </w:numPr>
        <w:shd w:val="clear" w:color="auto" w:fill="FFFFFF"/>
        <w:spacing w:line="240" w:lineRule="auto"/>
        <w:rPr>
          <w:rFonts w:ascii="Times New Roman" w:hAnsi="Times New Roman"/>
          <w:color w:val="000000" w:themeColor="text1"/>
          <w:kern w:val="0"/>
          <w:sz w:val="24"/>
          <w:szCs w:val="24"/>
        </w:rPr>
      </w:pPr>
      <w:r w:rsidRPr="00A455AE">
        <w:rPr>
          <w:rFonts w:ascii="Times New Roman" w:hAnsi="Times New Roman"/>
          <w:color w:val="000000" w:themeColor="text1"/>
          <w:kern w:val="0"/>
          <w:sz w:val="24"/>
          <w:szCs w:val="24"/>
        </w:rPr>
        <w:t>To determine the effect of board of management members composition on financial management in public secondary schools in Nairobi City County, Kenya.</w:t>
      </w:r>
    </w:p>
    <w:p w14:paraId="4E4688DB" w14:textId="77777777" w:rsidR="00EF7D22" w:rsidRPr="00A455AE" w:rsidRDefault="00EF7D22" w:rsidP="00EF7D22">
      <w:pPr>
        <w:pStyle w:val="ListParagraph"/>
        <w:numPr>
          <w:ilvl w:val="0"/>
          <w:numId w:val="23"/>
        </w:numPr>
        <w:shd w:val="clear" w:color="auto" w:fill="FFFFFF"/>
        <w:spacing w:line="240" w:lineRule="auto"/>
        <w:rPr>
          <w:rFonts w:ascii="Times New Roman" w:hAnsi="Times New Roman"/>
          <w:color w:val="000000" w:themeColor="text1"/>
          <w:kern w:val="0"/>
          <w:sz w:val="24"/>
          <w:szCs w:val="24"/>
        </w:rPr>
      </w:pPr>
      <w:r w:rsidRPr="00A455AE">
        <w:rPr>
          <w:rFonts w:ascii="Times New Roman" w:hAnsi="Times New Roman"/>
          <w:color w:val="000000" w:themeColor="text1"/>
          <w:kern w:val="0"/>
          <w:sz w:val="24"/>
          <w:szCs w:val="24"/>
        </w:rPr>
        <w:t xml:space="preserve">To examine the effect competence of board of management members on financial management in public secondary schools in Nairobi City County, Kenya </w:t>
      </w:r>
    </w:p>
    <w:p w14:paraId="02FD20E4" w14:textId="77777777" w:rsidR="00EF7D22" w:rsidRPr="00A455AE" w:rsidRDefault="00EF7D22" w:rsidP="00EF7D22">
      <w:pPr>
        <w:pStyle w:val="ListParagraph"/>
        <w:numPr>
          <w:ilvl w:val="0"/>
          <w:numId w:val="23"/>
        </w:numPr>
        <w:shd w:val="clear" w:color="auto" w:fill="FFFFFF"/>
        <w:spacing w:line="240" w:lineRule="auto"/>
        <w:rPr>
          <w:rFonts w:ascii="Times New Roman" w:hAnsi="Times New Roman"/>
          <w:color w:val="000000" w:themeColor="text1"/>
          <w:kern w:val="0"/>
          <w:sz w:val="24"/>
          <w:szCs w:val="24"/>
        </w:rPr>
      </w:pPr>
      <w:r w:rsidRPr="00A455AE">
        <w:rPr>
          <w:rFonts w:ascii="Times New Roman" w:hAnsi="Times New Roman"/>
          <w:color w:val="000000" w:themeColor="text1"/>
          <w:kern w:val="0"/>
          <w:sz w:val="24"/>
          <w:szCs w:val="24"/>
        </w:rPr>
        <w:t xml:space="preserve">To establish the effect of independence of board of management members on financial management in public secondary schools in Nairobi City County, Kenya. </w:t>
      </w:r>
    </w:p>
    <w:p w14:paraId="42283ADC" w14:textId="43E36A73" w:rsidR="00CC04B9" w:rsidRPr="00A455AE" w:rsidRDefault="00EF7D22" w:rsidP="00EF7D22">
      <w:pPr>
        <w:pStyle w:val="ListParagraph"/>
        <w:numPr>
          <w:ilvl w:val="0"/>
          <w:numId w:val="23"/>
        </w:numPr>
        <w:shd w:val="clear" w:color="auto" w:fill="FFFFFF"/>
        <w:spacing w:line="240" w:lineRule="auto"/>
        <w:rPr>
          <w:rFonts w:ascii="Times New Roman" w:hAnsi="Times New Roman"/>
          <w:sz w:val="24"/>
          <w:szCs w:val="28"/>
        </w:rPr>
      </w:pPr>
      <w:r w:rsidRPr="00A455AE">
        <w:rPr>
          <w:rFonts w:ascii="Times New Roman" w:hAnsi="Times New Roman"/>
          <w:color w:val="000000" w:themeColor="text1"/>
          <w:kern w:val="0"/>
          <w:sz w:val="24"/>
          <w:szCs w:val="24"/>
        </w:rPr>
        <w:t>To assess the effect of engagement of board of management members on financial management in public secondary schools in Nairobi City County, Kenya</w:t>
      </w:r>
      <w:r w:rsidR="00CC04B9" w:rsidRPr="00A455AE">
        <w:rPr>
          <w:rFonts w:ascii="Times New Roman" w:hAnsi="Times New Roman"/>
          <w:sz w:val="24"/>
          <w:szCs w:val="28"/>
        </w:rPr>
        <w:t>.</w:t>
      </w:r>
    </w:p>
    <w:p w14:paraId="3DC49657" w14:textId="36866E51" w:rsidR="005C09D0" w:rsidRPr="00A455AE" w:rsidRDefault="005C09D0" w:rsidP="00CC04B9">
      <w:pPr>
        <w:pStyle w:val="ListParagraph"/>
        <w:shd w:val="clear" w:color="auto" w:fill="FFFFFF"/>
        <w:spacing w:line="240" w:lineRule="auto"/>
        <w:rPr>
          <w:rFonts w:ascii="Times New Roman" w:hAnsi="Times New Roman"/>
          <w:sz w:val="24"/>
          <w:szCs w:val="28"/>
        </w:rPr>
      </w:pPr>
    </w:p>
    <w:p w14:paraId="01448711" w14:textId="10CB0FD7" w:rsidR="001E21F0" w:rsidRPr="00A455AE" w:rsidRDefault="001E21F0" w:rsidP="00AE4AA5">
      <w:pPr>
        <w:spacing w:before="0" w:line="240" w:lineRule="auto"/>
        <w:rPr>
          <w:rFonts w:cs="Times New Roman"/>
          <w:color w:val="000000" w:themeColor="text1"/>
        </w:rPr>
      </w:pPr>
      <w:r w:rsidRPr="00A455AE">
        <w:rPr>
          <w:rFonts w:cs="Times New Roman"/>
          <w:color w:val="000000" w:themeColor="text1"/>
        </w:rPr>
        <w:br w:type="page"/>
      </w:r>
    </w:p>
    <w:p w14:paraId="60555E06" w14:textId="2D326474" w:rsidR="00055D83" w:rsidRPr="00A455AE" w:rsidRDefault="00055D83" w:rsidP="00055D83">
      <w:pPr>
        <w:pStyle w:val="ListParagraph"/>
        <w:autoSpaceDE w:val="0"/>
        <w:autoSpaceDN w:val="0"/>
        <w:adjustRightInd w:val="0"/>
        <w:spacing w:before="480" w:after="240" w:line="240" w:lineRule="auto"/>
        <w:ind w:left="0"/>
        <w:rPr>
          <w:rFonts w:ascii="Times New Roman" w:hAnsi="Times New Roman"/>
          <w:b/>
          <w:color w:val="000000" w:themeColor="text1"/>
          <w:sz w:val="28"/>
          <w:szCs w:val="28"/>
          <w:lang w:val="en-GB"/>
        </w:rPr>
      </w:pPr>
      <w:r w:rsidRPr="00A455AE">
        <w:rPr>
          <w:rFonts w:ascii="Times New Roman" w:hAnsi="Times New Roman"/>
          <w:b/>
          <w:color w:val="000000" w:themeColor="text1"/>
          <w:sz w:val="28"/>
          <w:szCs w:val="28"/>
          <w:lang w:val="en-GB"/>
        </w:rPr>
        <w:lastRenderedPageBreak/>
        <w:t xml:space="preserve">2.0 LITERATURE REVIEW  </w:t>
      </w:r>
    </w:p>
    <w:p w14:paraId="4D81049F" w14:textId="77777777" w:rsidR="00001A44" w:rsidRPr="00A455AE" w:rsidRDefault="00001A44" w:rsidP="00001A44">
      <w:pPr>
        <w:spacing w:before="0" w:after="160" w:line="259" w:lineRule="auto"/>
        <w:rPr>
          <w:rFonts w:cs="Times New Roman"/>
          <w:b/>
          <w:i/>
          <w:iCs/>
          <w:color w:val="000000" w:themeColor="text1"/>
          <w:kern w:val="2"/>
          <w:szCs w:val="24"/>
          <w:lang w:val="en-GB"/>
        </w:rPr>
      </w:pPr>
      <w:r w:rsidRPr="00A455AE">
        <w:rPr>
          <w:rFonts w:cs="Times New Roman"/>
          <w:b/>
          <w:i/>
          <w:iCs/>
          <w:color w:val="000000" w:themeColor="text1"/>
          <w:kern w:val="2"/>
          <w:szCs w:val="24"/>
          <w:lang w:val="en-GB"/>
        </w:rPr>
        <w:t>Theoretical Review</w:t>
      </w:r>
    </w:p>
    <w:p w14:paraId="3F1AF1C5" w14:textId="77777777" w:rsidR="00EF7D22" w:rsidRPr="00A455AE" w:rsidRDefault="00EF7D22" w:rsidP="00EF7D22">
      <w:pPr>
        <w:spacing w:before="0" w:after="160" w:line="259" w:lineRule="auto"/>
        <w:rPr>
          <w:rFonts w:cs="Times New Roman"/>
          <w:bCs/>
          <w:color w:val="000000" w:themeColor="text1"/>
          <w:kern w:val="2"/>
          <w:szCs w:val="24"/>
          <w:lang w:val="en-GB"/>
        </w:rPr>
      </w:pPr>
      <w:r w:rsidRPr="00A455AE">
        <w:rPr>
          <w:rFonts w:cs="Times New Roman"/>
          <w:bCs/>
          <w:color w:val="000000" w:themeColor="text1"/>
          <w:kern w:val="2"/>
          <w:szCs w:val="24"/>
          <w:lang w:val="en-GB"/>
        </w:rPr>
        <w:t xml:space="preserve">The study was guided by stakeholders’ theory developed by Freeman (1984). According to this theory, the organizations have a broader objective of maximizing the wealth of all stakeholder rather than just shareholders. The assumptions of the theory are; organizations have multiple stakeholders with legitimate interests, stakeholder engagement creates mutual value and legitimacy, organizations depend on stakeholders for resources, requiring reciprocal engagement, and the boards have an ethical responsibility to address stakeholder needs (Mitchell et al., 1997). Clarkson (1994) adds that it is the responsibility of the </w:t>
      </w:r>
      <w:proofErr w:type="spellStart"/>
      <w:r w:rsidRPr="00A455AE">
        <w:rPr>
          <w:rFonts w:cs="Times New Roman"/>
          <w:bCs/>
          <w:color w:val="000000" w:themeColor="text1"/>
          <w:kern w:val="2"/>
          <w:szCs w:val="24"/>
          <w:lang w:val="en-GB"/>
        </w:rPr>
        <w:t>organzation</w:t>
      </w:r>
      <w:proofErr w:type="spellEnd"/>
      <w:r w:rsidRPr="00A455AE">
        <w:rPr>
          <w:rFonts w:cs="Times New Roman"/>
          <w:bCs/>
          <w:color w:val="000000" w:themeColor="text1"/>
          <w:kern w:val="2"/>
          <w:szCs w:val="24"/>
          <w:lang w:val="en-GB"/>
        </w:rPr>
        <w:t xml:space="preserve"> to empower all its stakeholders who provide and control resources to it by turning their stake in the firm into value. Keasey et al. (1997) supports the theory by arguing that the ethical treatment of all stakeholders will benefit the organization because of the stronger trust relationship that will be developed among stakeholders. Clarkson (1994) stated that the stakeholder’s theory was embedded in the management discipline in 1970 and gradually developed by freeman incorporating corporate accountability to a broad range of stakeholders. According to Donaldson and Preston (1995) stakeholder theory offers a framework for determining the structure and operation of the firm that is cognizant of the myriad participants who seek multiple and sometimes diverging goals.</w:t>
      </w:r>
    </w:p>
    <w:p w14:paraId="07B9DD59" w14:textId="77777777" w:rsidR="00EF7D22" w:rsidRPr="00A455AE" w:rsidRDefault="00EF7D22" w:rsidP="00EF7D22">
      <w:pPr>
        <w:spacing w:before="0" w:after="160" w:line="259" w:lineRule="auto"/>
        <w:rPr>
          <w:rFonts w:cs="Times New Roman"/>
          <w:bCs/>
          <w:color w:val="000000" w:themeColor="text1"/>
          <w:kern w:val="2"/>
          <w:szCs w:val="24"/>
          <w:lang w:val="en-GB"/>
        </w:rPr>
      </w:pPr>
    </w:p>
    <w:p w14:paraId="006D5D74" w14:textId="77777777" w:rsidR="00EF7D22" w:rsidRPr="00A455AE" w:rsidRDefault="00EF7D22" w:rsidP="00EF7D22">
      <w:pPr>
        <w:spacing w:before="0" w:after="160" w:line="259" w:lineRule="auto"/>
        <w:rPr>
          <w:rFonts w:cs="Times New Roman"/>
          <w:bCs/>
          <w:color w:val="000000" w:themeColor="text1"/>
          <w:kern w:val="2"/>
          <w:szCs w:val="24"/>
          <w:lang w:val="en-GB"/>
        </w:rPr>
      </w:pPr>
      <w:r w:rsidRPr="00A455AE">
        <w:rPr>
          <w:rFonts w:cs="Times New Roman"/>
          <w:bCs/>
          <w:color w:val="000000" w:themeColor="text1"/>
          <w:kern w:val="2"/>
          <w:szCs w:val="24"/>
          <w:lang w:val="en-GB"/>
        </w:rPr>
        <w:t>Freeman (1984) quoted porter who recommended the stakeholders theory to US policymakers in 1992 so as to encourage long-term employee ownership and encourage having a board with a significant representation from customers, suppliers, financial advisers, employees and community representative. Freeman (1984) also recommended that firms should seek long-term stakeholders and give them a direct voice in firm’s governance to nominate significant customers, suppliers, employees, and community representatives to the board of directors. This is because the board of directors is responsible in initiating and implementing good corporate governance practices which in essences influences the financial management (Freeman, 1984).</w:t>
      </w:r>
    </w:p>
    <w:p w14:paraId="7EA6CE81" w14:textId="77777777" w:rsidR="00EF7D22" w:rsidRPr="00A455AE" w:rsidRDefault="00EF7D22" w:rsidP="00EF7D22">
      <w:pPr>
        <w:spacing w:before="0" w:after="160" w:line="259" w:lineRule="auto"/>
        <w:rPr>
          <w:rFonts w:cs="Times New Roman"/>
          <w:bCs/>
          <w:color w:val="000000" w:themeColor="text1"/>
          <w:kern w:val="2"/>
          <w:szCs w:val="24"/>
          <w:lang w:val="en-GB"/>
        </w:rPr>
      </w:pPr>
    </w:p>
    <w:p w14:paraId="6C213BBC" w14:textId="604D20E0" w:rsidR="00B449E1" w:rsidRPr="00A455AE" w:rsidRDefault="00EF7D22" w:rsidP="00EF7D22">
      <w:pPr>
        <w:spacing w:before="0" w:after="160" w:line="259" w:lineRule="auto"/>
        <w:rPr>
          <w:rFonts w:cs="Times New Roman"/>
          <w:bCs/>
          <w:color w:val="000000" w:themeColor="text1"/>
          <w:szCs w:val="24"/>
        </w:rPr>
      </w:pPr>
      <w:r w:rsidRPr="00A455AE">
        <w:rPr>
          <w:rFonts w:cs="Times New Roman"/>
          <w:bCs/>
          <w:color w:val="000000" w:themeColor="text1"/>
          <w:kern w:val="2"/>
          <w:szCs w:val="24"/>
          <w:lang w:val="en-GB"/>
        </w:rPr>
        <w:t xml:space="preserve">However, Sundaram and Inkpen (2004) pointed that the key limitation of the theory lies in its wide- ranging definitions of the stakeholder. In addition, the scholars argued that empirical evidence supporting a link between stakeholder theory and firm performance is lacking. Finally, identifying a myriad of stakeholders and their core values is an unrealistic task for managers (Sundaram &amp; Inkpen, 2004). </w:t>
      </w:r>
      <w:proofErr w:type="spellStart"/>
      <w:r w:rsidRPr="00A455AE">
        <w:rPr>
          <w:rFonts w:cs="Times New Roman"/>
          <w:bCs/>
          <w:color w:val="000000" w:themeColor="text1"/>
          <w:kern w:val="2"/>
          <w:szCs w:val="24"/>
          <w:lang w:val="en-GB"/>
        </w:rPr>
        <w:t>Odide</w:t>
      </w:r>
      <w:proofErr w:type="spellEnd"/>
      <w:r w:rsidRPr="00A455AE">
        <w:rPr>
          <w:rFonts w:cs="Times New Roman"/>
          <w:bCs/>
          <w:color w:val="000000" w:themeColor="text1"/>
          <w:kern w:val="2"/>
          <w:szCs w:val="24"/>
          <w:lang w:val="en-GB"/>
        </w:rPr>
        <w:t xml:space="preserve"> (2021) applied the theory to examine effect of financial resource management on academic performance. The study emphasized on the role of stakeholders on school performance. Balancing stakeholder’s interests enhanced performance outcomes in the schools.  Munyao and Ochieng (2022) applied the theory on a study focusing on stakeholder involvement in financial accountability of Machakos County.  Active stakeholder engagement helped to reduce funds embezzlement and promoted transparency in the County’s financial transactions. Kiptoo and Mwangi (2023) adopted the stakeholder theory to study influence of community engagement on academic performance in secondary schools in Nakuru County. This study showed that active community engagement through the school BOM enhanced financial management in the school. The theory supports the variable on board engagement. Active engagement of board members reflects responsiveness to stakeholders (students, parents, government) and demonstrates commitment to organizational goals, including financial prudence.</w:t>
      </w:r>
    </w:p>
    <w:p w14:paraId="278E39F4" w14:textId="77777777" w:rsidR="00001A44" w:rsidRPr="00A455AE" w:rsidRDefault="00001A44" w:rsidP="00151266">
      <w:pPr>
        <w:spacing w:before="0" w:after="160" w:line="259" w:lineRule="auto"/>
        <w:rPr>
          <w:rFonts w:cs="Times New Roman"/>
          <w:b/>
          <w:bCs/>
          <w:i/>
          <w:iCs/>
          <w:color w:val="000000" w:themeColor="text1"/>
          <w:sz w:val="28"/>
          <w:szCs w:val="28"/>
        </w:rPr>
      </w:pPr>
      <w:r w:rsidRPr="00A455AE">
        <w:rPr>
          <w:rFonts w:cs="Times New Roman"/>
          <w:b/>
          <w:bCs/>
          <w:i/>
          <w:iCs/>
          <w:color w:val="000000" w:themeColor="text1"/>
          <w:sz w:val="28"/>
          <w:szCs w:val="28"/>
        </w:rPr>
        <w:t xml:space="preserve">Empirical Review </w:t>
      </w:r>
    </w:p>
    <w:p w14:paraId="77A36923" w14:textId="77777777" w:rsidR="00EF7D22" w:rsidRPr="00A455AE" w:rsidRDefault="00EF7D22" w:rsidP="00EF7D22">
      <w:pPr>
        <w:spacing w:before="0" w:after="160" w:line="259" w:lineRule="auto"/>
        <w:rPr>
          <w:rFonts w:cs="Times New Roman"/>
          <w:color w:val="000000" w:themeColor="text1"/>
          <w:szCs w:val="24"/>
        </w:rPr>
      </w:pPr>
      <w:r w:rsidRPr="00A455AE">
        <w:rPr>
          <w:rFonts w:cs="Times New Roman"/>
          <w:color w:val="000000" w:themeColor="text1"/>
          <w:szCs w:val="24"/>
        </w:rPr>
        <w:t xml:space="preserve">Herrero (2018) examined board composition, focusing on ownership structures, corporate governance, and financial outcomes. The findings showed that ownership and governance significantly influenced financial performance. Kao, </w:t>
      </w:r>
      <w:r w:rsidRPr="00A455AE">
        <w:rPr>
          <w:rFonts w:cs="Times New Roman"/>
          <w:color w:val="000000" w:themeColor="text1"/>
          <w:szCs w:val="24"/>
        </w:rPr>
        <w:lastRenderedPageBreak/>
        <w:t>Hodgkinson, and Jaafar (2019) investigated ownership structures, board characteristics, and firm performance in Taiwan. Larger boards were associated with better performance, while board independence did not negatively affect future performance. Both studies provide governance evidence but differ from the present Kenyan school context.</w:t>
      </w:r>
    </w:p>
    <w:p w14:paraId="12AD47FC" w14:textId="77777777" w:rsidR="00EF7D22" w:rsidRPr="00A455AE" w:rsidRDefault="00EF7D22" w:rsidP="00EF7D22">
      <w:pPr>
        <w:spacing w:before="0" w:after="160" w:line="259" w:lineRule="auto"/>
        <w:rPr>
          <w:rFonts w:cs="Times New Roman"/>
          <w:color w:val="000000" w:themeColor="text1"/>
          <w:szCs w:val="24"/>
        </w:rPr>
      </w:pPr>
      <w:r w:rsidRPr="00A455AE">
        <w:rPr>
          <w:rFonts w:cs="Times New Roman"/>
          <w:color w:val="000000" w:themeColor="text1"/>
          <w:szCs w:val="24"/>
        </w:rPr>
        <w:t xml:space="preserve">Basa and </w:t>
      </w:r>
      <w:proofErr w:type="spellStart"/>
      <w:r w:rsidRPr="00A455AE">
        <w:rPr>
          <w:rFonts w:cs="Times New Roman"/>
          <w:color w:val="000000" w:themeColor="text1"/>
          <w:szCs w:val="24"/>
        </w:rPr>
        <w:t>Indrawan</w:t>
      </w:r>
      <w:proofErr w:type="spellEnd"/>
      <w:r w:rsidRPr="00A455AE">
        <w:rPr>
          <w:rFonts w:cs="Times New Roman"/>
          <w:color w:val="000000" w:themeColor="text1"/>
          <w:szCs w:val="24"/>
        </w:rPr>
        <w:t xml:space="preserve"> (2023) examined organizational culture, motivation, competence, and performance within a financial management agency in </w:t>
      </w:r>
      <w:proofErr w:type="spellStart"/>
      <w:r w:rsidRPr="00A455AE">
        <w:rPr>
          <w:rFonts w:cs="Times New Roman"/>
          <w:color w:val="000000" w:themeColor="text1"/>
          <w:szCs w:val="24"/>
        </w:rPr>
        <w:t>Binjai</w:t>
      </w:r>
      <w:proofErr w:type="spellEnd"/>
      <w:r w:rsidRPr="00A455AE">
        <w:rPr>
          <w:rFonts w:cs="Times New Roman"/>
          <w:color w:val="000000" w:themeColor="text1"/>
          <w:szCs w:val="24"/>
        </w:rPr>
        <w:t xml:space="preserve"> City, Indonesia. Organizational culture significantly enhanced competence and performance, while competence did not substantially improve performance. Motivation improved competence but had insignificant effects on performance. Bure, </w:t>
      </w:r>
      <w:proofErr w:type="spellStart"/>
      <w:r w:rsidRPr="00A455AE">
        <w:rPr>
          <w:rFonts w:cs="Times New Roman"/>
          <w:color w:val="000000" w:themeColor="text1"/>
          <w:szCs w:val="24"/>
        </w:rPr>
        <w:t>Khuzaini</w:t>
      </w:r>
      <w:proofErr w:type="spellEnd"/>
      <w:r w:rsidRPr="00A455AE">
        <w:rPr>
          <w:rFonts w:cs="Times New Roman"/>
          <w:color w:val="000000" w:themeColor="text1"/>
          <w:szCs w:val="24"/>
        </w:rPr>
        <w:t xml:space="preserve">, and Santoso (2023) assessed board competence, accountability, transparency, and financial oversight in Sikka Regency. Budgeting competence had a modest positive effect on financial oversight, while accountability significantly strengthened supervision. Community participation mediated these relationships, although financial management was not examined. Rwanda (2023) found a strong relationship between BoM competence and effective financial management and identified demand for board training. </w:t>
      </w:r>
      <w:proofErr w:type="spellStart"/>
      <w:r w:rsidRPr="00A455AE">
        <w:rPr>
          <w:rFonts w:cs="Times New Roman"/>
          <w:color w:val="000000" w:themeColor="text1"/>
          <w:szCs w:val="24"/>
        </w:rPr>
        <w:t>Nyakan</w:t>
      </w:r>
      <w:proofErr w:type="spellEnd"/>
      <w:r w:rsidRPr="00A455AE">
        <w:rPr>
          <w:rFonts w:cs="Times New Roman"/>
          <w:color w:val="000000" w:themeColor="text1"/>
          <w:szCs w:val="24"/>
        </w:rPr>
        <w:t xml:space="preserve">, </w:t>
      </w:r>
      <w:proofErr w:type="spellStart"/>
      <w:r w:rsidRPr="00A455AE">
        <w:rPr>
          <w:rFonts w:cs="Times New Roman"/>
          <w:color w:val="000000" w:themeColor="text1"/>
          <w:szCs w:val="24"/>
        </w:rPr>
        <w:t>Getange</w:t>
      </w:r>
      <w:proofErr w:type="spellEnd"/>
      <w:r w:rsidRPr="00A455AE">
        <w:rPr>
          <w:rFonts w:cs="Times New Roman"/>
          <w:color w:val="000000" w:themeColor="text1"/>
          <w:szCs w:val="24"/>
        </w:rPr>
        <w:t xml:space="preserve">, and </w:t>
      </w:r>
      <w:proofErr w:type="spellStart"/>
      <w:r w:rsidRPr="00A455AE">
        <w:rPr>
          <w:rFonts w:cs="Times New Roman"/>
          <w:color w:val="000000" w:themeColor="text1"/>
          <w:szCs w:val="24"/>
        </w:rPr>
        <w:t>Wamukuru</w:t>
      </w:r>
      <w:proofErr w:type="spellEnd"/>
      <w:r w:rsidRPr="00A455AE">
        <w:rPr>
          <w:rFonts w:cs="Times New Roman"/>
          <w:color w:val="000000" w:themeColor="text1"/>
          <w:szCs w:val="24"/>
        </w:rPr>
        <w:t xml:space="preserve"> (2018) found that principals’ managerial skills influenced financial resource allocation and instructional quality in Homa Bay County. However, their focus was principals rather than broader BoM governance.</w:t>
      </w:r>
    </w:p>
    <w:p w14:paraId="6E1F3B73" w14:textId="77777777" w:rsidR="00EF7D22" w:rsidRPr="00A455AE" w:rsidRDefault="00EF7D22" w:rsidP="00EF7D22">
      <w:pPr>
        <w:spacing w:before="0" w:after="160" w:line="259" w:lineRule="auto"/>
        <w:rPr>
          <w:rFonts w:cs="Times New Roman"/>
          <w:color w:val="000000" w:themeColor="text1"/>
          <w:szCs w:val="24"/>
        </w:rPr>
      </w:pPr>
      <w:r w:rsidRPr="00A455AE">
        <w:rPr>
          <w:rFonts w:cs="Times New Roman"/>
          <w:color w:val="000000" w:themeColor="text1"/>
          <w:szCs w:val="24"/>
        </w:rPr>
        <w:t xml:space="preserve">Shetty and Vincent (2021) studied ownership structure and board independence among 82 Indian firms undergoing bankruptcy proceedings. Incorporating these governance variables improved financial distress prediction. </w:t>
      </w:r>
      <w:proofErr w:type="spellStart"/>
      <w:r w:rsidRPr="00A455AE">
        <w:rPr>
          <w:rFonts w:cs="Times New Roman"/>
          <w:color w:val="000000" w:themeColor="text1"/>
          <w:szCs w:val="24"/>
        </w:rPr>
        <w:t>Tulung</w:t>
      </w:r>
      <w:proofErr w:type="spellEnd"/>
      <w:r w:rsidRPr="00A455AE">
        <w:rPr>
          <w:rFonts w:cs="Times New Roman"/>
          <w:color w:val="000000" w:themeColor="text1"/>
          <w:szCs w:val="24"/>
        </w:rPr>
        <w:t xml:space="preserve"> and Ramdani (2018) examined Indonesian Boards of BPD and found positive relationships between board independence, board size, and performance. </w:t>
      </w:r>
      <w:proofErr w:type="spellStart"/>
      <w:r w:rsidRPr="00A455AE">
        <w:rPr>
          <w:rFonts w:cs="Times New Roman"/>
          <w:color w:val="000000" w:themeColor="text1"/>
          <w:szCs w:val="24"/>
        </w:rPr>
        <w:t>Naburi</w:t>
      </w:r>
      <w:proofErr w:type="spellEnd"/>
      <w:r w:rsidRPr="00A455AE">
        <w:rPr>
          <w:rFonts w:cs="Times New Roman"/>
          <w:color w:val="000000" w:themeColor="text1"/>
          <w:szCs w:val="24"/>
        </w:rPr>
        <w:t xml:space="preserve"> and </w:t>
      </w:r>
      <w:proofErr w:type="spellStart"/>
      <w:r w:rsidRPr="00A455AE">
        <w:rPr>
          <w:rFonts w:cs="Times New Roman"/>
          <w:color w:val="000000" w:themeColor="text1"/>
          <w:szCs w:val="24"/>
        </w:rPr>
        <w:t>Ndede</w:t>
      </w:r>
      <w:proofErr w:type="spellEnd"/>
      <w:r w:rsidRPr="00A455AE">
        <w:rPr>
          <w:rFonts w:cs="Times New Roman"/>
          <w:color w:val="000000" w:themeColor="text1"/>
          <w:szCs w:val="24"/>
        </w:rPr>
        <w:t xml:space="preserve"> (2019) examined board composition and dividend policy among NSE-listed companies. Although board diversity was insignificant, directors’ experience, independence, and tenure were significant. These studies demonstrate the relevance of board independence but address corporate outcomes rather than school financial management.</w:t>
      </w:r>
    </w:p>
    <w:p w14:paraId="75EA72AB" w14:textId="77777777" w:rsidR="00EF7D22" w:rsidRPr="00A455AE" w:rsidRDefault="00EF7D22" w:rsidP="00EF7D22">
      <w:pPr>
        <w:spacing w:before="0" w:after="160" w:line="259" w:lineRule="auto"/>
        <w:rPr>
          <w:rFonts w:cs="Times New Roman"/>
          <w:color w:val="000000" w:themeColor="text1"/>
          <w:szCs w:val="24"/>
        </w:rPr>
      </w:pPr>
      <w:proofErr w:type="spellStart"/>
      <w:r w:rsidRPr="00A455AE">
        <w:rPr>
          <w:rFonts w:cs="Times New Roman"/>
          <w:color w:val="000000" w:themeColor="text1"/>
          <w:szCs w:val="24"/>
        </w:rPr>
        <w:t>Chepkonga</w:t>
      </w:r>
      <w:proofErr w:type="spellEnd"/>
      <w:r w:rsidRPr="00A455AE">
        <w:rPr>
          <w:rFonts w:cs="Times New Roman"/>
          <w:color w:val="000000" w:themeColor="text1"/>
          <w:szCs w:val="24"/>
        </w:rPr>
        <w:t xml:space="preserve"> and </w:t>
      </w:r>
      <w:proofErr w:type="spellStart"/>
      <w:r w:rsidRPr="00A455AE">
        <w:rPr>
          <w:rFonts w:cs="Times New Roman"/>
          <w:color w:val="000000" w:themeColor="text1"/>
          <w:szCs w:val="24"/>
        </w:rPr>
        <w:t>Ndaita</w:t>
      </w:r>
      <w:proofErr w:type="spellEnd"/>
      <w:r w:rsidRPr="00A455AE">
        <w:rPr>
          <w:rFonts w:cs="Times New Roman"/>
          <w:color w:val="000000" w:themeColor="text1"/>
          <w:szCs w:val="24"/>
        </w:rPr>
        <w:t xml:space="preserve"> (2024) examined BoM involvement and academic achievement in </w:t>
      </w:r>
      <w:proofErr w:type="spellStart"/>
      <w:r w:rsidRPr="00A455AE">
        <w:rPr>
          <w:rFonts w:cs="Times New Roman"/>
          <w:color w:val="000000" w:themeColor="text1"/>
          <w:szCs w:val="24"/>
        </w:rPr>
        <w:t>Elgeyo</w:t>
      </w:r>
      <w:proofErr w:type="spellEnd"/>
      <w:r w:rsidRPr="00A455AE">
        <w:rPr>
          <w:rFonts w:cs="Times New Roman"/>
          <w:color w:val="000000" w:themeColor="text1"/>
          <w:szCs w:val="24"/>
        </w:rPr>
        <w:t xml:space="preserve"> Marakwet County using 194 board members, 97 deputy principals, and 97 schools. BoM financial management had a strong positive relationship with student performance. Munyao and Ochieng (2022) found that stakeholder participation strengthened financial accountability, reduced mismanagement, and improved transparency in Machakos County, although parental involvement remained limited. </w:t>
      </w:r>
      <w:proofErr w:type="spellStart"/>
      <w:r w:rsidRPr="00A455AE">
        <w:rPr>
          <w:rFonts w:cs="Times New Roman"/>
          <w:color w:val="000000" w:themeColor="text1"/>
          <w:szCs w:val="24"/>
        </w:rPr>
        <w:t>Odide</w:t>
      </w:r>
      <w:proofErr w:type="spellEnd"/>
      <w:r w:rsidRPr="00A455AE">
        <w:rPr>
          <w:rFonts w:cs="Times New Roman"/>
          <w:color w:val="000000" w:themeColor="text1"/>
          <w:szCs w:val="24"/>
        </w:rPr>
        <w:t xml:space="preserve"> (2021) reported that BoM engagement strengthened financial resource management and academic performance in </w:t>
      </w:r>
      <w:proofErr w:type="spellStart"/>
      <w:r w:rsidRPr="00A455AE">
        <w:rPr>
          <w:rFonts w:cs="Times New Roman"/>
          <w:color w:val="000000" w:themeColor="text1"/>
          <w:szCs w:val="24"/>
        </w:rPr>
        <w:t>Lang’ata</w:t>
      </w:r>
      <w:proofErr w:type="spellEnd"/>
      <w:r w:rsidRPr="00A455AE">
        <w:rPr>
          <w:rFonts w:cs="Times New Roman"/>
          <w:color w:val="000000" w:themeColor="text1"/>
          <w:szCs w:val="24"/>
        </w:rPr>
        <w:t xml:space="preserve"> Sub-County. Keter (2019) established that BoM participation positively related to strategic plan implementation in </w:t>
      </w:r>
      <w:proofErr w:type="spellStart"/>
      <w:r w:rsidRPr="00A455AE">
        <w:rPr>
          <w:rFonts w:cs="Times New Roman"/>
          <w:color w:val="000000" w:themeColor="text1"/>
          <w:szCs w:val="24"/>
        </w:rPr>
        <w:t>Elgeyo</w:t>
      </w:r>
      <w:proofErr w:type="spellEnd"/>
      <w:r w:rsidRPr="00A455AE">
        <w:rPr>
          <w:rFonts w:cs="Times New Roman"/>
          <w:color w:val="000000" w:themeColor="text1"/>
          <w:szCs w:val="24"/>
        </w:rPr>
        <w:t xml:space="preserve"> Marakwet County. Kipngetich (2021) found that BoMs supported classrooms, financial literacy, co-curricular activities, and sanitation in Eldoret East. </w:t>
      </w:r>
      <w:proofErr w:type="spellStart"/>
      <w:r w:rsidRPr="00A455AE">
        <w:rPr>
          <w:rFonts w:cs="Times New Roman"/>
          <w:color w:val="000000" w:themeColor="text1"/>
          <w:szCs w:val="24"/>
        </w:rPr>
        <w:t>Odidi</w:t>
      </w:r>
      <w:proofErr w:type="spellEnd"/>
      <w:r w:rsidRPr="00A455AE">
        <w:rPr>
          <w:rFonts w:cs="Times New Roman"/>
          <w:color w:val="000000" w:themeColor="text1"/>
          <w:szCs w:val="24"/>
        </w:rPr>
        <w:t xml:space="preserve"> (2020) found that BoM involvement significantly influenced project completion in </w:t>
      </w:r>
      <w:proofErr w:type="spellStart"/>
      <w:r w:rsidRPr="00A455AE">
        <w:rPr>
          <w:rFonts w:cs="Times New Roman"/>
          <w:color w:val="000000" w:themeColor="text1"/>
          <w:szCs w:val="24"/>
        </w:rPr>
        <w:t>Rachuonyo</w:t>
      </w:r>
      <w:proofErr w:type="spellEnd"/>
      <w:r w:rsidRPr="00A455AE">
        <w:rPr>
          <w:rFonts w:cs="Times New Roman"/>
          <w:color w:val="000000" w:themeColor="text1"/>
          <w:szCs w:val="24"/>
        </w:rPr>
        <w:t xml:space="preserve"> North, although inadequate funding and political interference constrained resource distribution. These studies support engagement but leave financial management dimensions and Nairobi-specific evidence insufficiently addressed.</w:t>
      </w:r>
    </w:p>
    <w:p w14:paraId="09EB5FD1" w14:textId="77777777" w:rsidR="00EF7D22" w:rsidRPr="00A455AE" w:rsidRDefault="00EF7D22" w:rsidP="00EF7D22">
      <w:pPr>
        <w:spacing w:before="0" w:after="160" w:line="259" w:lineRule="auto"/>
        <w:rPr>
          <w:rFonts w:cs="Times New Roman"/>
          <w:color w:val="000000" w:themeColor="text1"/>
          <w:szCs w:val="24"/>
        </w:rPr>
      </w:pPr>
      <w:proofErr w:type="spellStart"/>
      <w:r w:rsidRPr="00A455AE">
        <w:rPr>
          <w:rFonts w:cs="Times New Roman"/>
          <w:color w:val="000000" w:themeColor="text1"/>
          <w:szCs w:val="24"/>
        </w:rPr>
        <w:t>Baaru</w:t>
      </w:r>
      <w:proofErr w:type="spellEnd"/>
      <w:r w:rsidRPr="00A455AE">
        <w:rPr>
          <w:rFonts w:cs="Times New Roman"/>
          <w:color w:val="000000" w:themeColor="text1"/>
          <w:szCs w:val="24"/>
        </w:rPr>
        <w:t xml:space="preserve"> (2019) assessed BoM effectiveness in managing financial and human resources in Nyeri County. Boards whose members had financial management training or expertise were more effective in supervising financial operations and human resources. Soita and Khaemba (2021) examined board preparedness for curriculum implementation in Bungoma County. The relationship was weakly positive (R=0.151), while R²=0.23 indicated limited explanatory power; inadequate managerial skills constrained effective supervision. The study, however, did not link training to financial management. Abdikadir’s study in Moyale Sub-County reported weak transformative leadership, inadequate accounting knowledge, poor invoice recording and coding, and limited budgeting transparency, which adversely affected financial management.</w:t>
      </w:r>
    </w:p>
    <w:p w14:paraId="1211445F" w14:textId="73F67B82" w:rsidR="00CB6E82" w:rsidRPr="00A455AE" w:rsidRDefault="00EF7D22" w:rsidP="00EF7D22">
      <w:pPr>
        <w:spacing w:before="0" w:after="160" w:line="259" w:lineRule="auto"/>
        <w:rPr>
          <w:rFonts w:cs="Times New Roman"/>
          <w:color w:val="000000" w:themeColor="text1"/>
          <w:szCs w:val="24"/>
        </w:rPr>
      </w:pPr>
      <w:r w:rsidRPr="00A455AE">
        <w:rPr>
          <w:rFonts w:cs="Times New Roman"/>
          <w:color w:val="000000" w:themeColor="text1"/>
          <w:szCs w:val="24"/>
        </w:rPr>
        <w:t xml:space="preserve">The evidence indicates that board composition, competence, independence, engagement, and training are relevant to governance and financial management. Nevertheless, most studies were conducted outside Nairobi, focused on different outcomes, or examined isolated governance dimensions. The present study therefore addresses these </w:t>
      </w:r>
      <w:r w:rsidRPr="00A455AE">
        <w:rPr>
          <w:rFonts w:cs="Times New Roman"/>
          <w:color w:val="000000" w:themeColor="text1"/>
          <w:szCs w:val="24"/>
        </w:rPr>
        <w:lastRenderedPageBreak/>
        <w:t>contextual and conceptual gaps by examining the combined contribution of BoM composition, competence, independence, engagement, and training to financial management in Nairobi’s public secondary schools.</w:t>
      </w:r>
    </w:p>
    <w:p w14:paraId="10D5430E" w14:textId="77777777" w:rsidR="00EF7D22" w:rsidRPr="00A455AE" w:rsidRDefault="00EF7D22" w:rsidP="00EF7D22">
      <w:pPr>
        <w:spacing w:before="0" w:after="160" w:line="259" w:lineRule="auto"/>
        <w:rPr>
          <w:rFonts w:cs="Times New Roman"/>
          <w:color w:val="000000" w:themeColor="text1"/>
          <w:szCs w:val="24"/>
        </w:rPr>
      </w:pPr>
    </w:p>
    <w:p w14:paraId="35BCEF5F" w14:textId="1EFB8069" w:rsidR="00055D83" w:rsidRPr="00A455AE" w:rsidRDefault="00055D83" w:rsidP="002C6F25">
      <w:pPr>
        <w:spacing w:line="240" w:lineRule="auto"/>
        <w:rPr>
          <w:rFonts w:cs="Times New Roman"/>
          <w:b/>
          <w:bCs/>
          <w:color w:val="000000" w:themeColor="text1"/>
          <w:sz w:val="28"/>
          <w:szCs w:val="28"/>
        </w:rPr>
      </w:pPr>
      <w:r w:rsidRPr="00A455AE">
        <w:rPr>
          <w:rFonts w:cs="Times New Roman"/>
          <w:b/>
          <w:bCs/>
          <w:color w:val="000000" w:themeColor="text1"/>
          <w:sz w:val="28"/>
          <w:szCs w:val="28"/>
        </w:rPr>
        <w:t>3.0 RESEARCH METHODOLOGY</w:t>
      </w:r>
    </w:p>
    <w:p w14:paraId="5D72A083"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 xml:space="preserve">Research design refers to the systematic arrangement of conditions for collecting and </w:t>
      </w:r>
      <w:proofErr w:type="spellStart"/>
      <w:r w:rsidRPr="00A455AE">
        <w:rPr>
          <w:rFonts w:cs="Times New Roman"/>
          <w:color w:val="000000" w:themeColor="text1"/>
          <w:szCs w:val="24"/>
        </w:rPr>
        <w:t>analysing</w:t>
      </w:r>
      <w:proofErr w:type="spellEnd"/>
      <w:r w:rsidRPr="00A455AE">
        <w:rPr>
          <w:rFonts w:cs="Times New Roman"/>
          <w:color w:val="000000" w:themeColor="text1"/>
          <w:szCs w:val="24"/>
        </w:rPr>
        <w:t xml:space="preserve"> data in accordance with study objectives and methodological considerations (Akhtar, 2016). Descriptive research designs describe population characteristics, relationships among variables, and existing phenomena (Siedlecki, 2020). They may employ developmental, correlational, or survey approaches and may be longitudinal or cross-sectional (Akhtar, 2016). This study adopted a descriptive research design to examine relationships between board characteristics and financial management in public secondary schools.</w:t>
      </w:r>
    </w:p>
    <w:p w14:paraId="46DA104E"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A population comprises the complete set of elements from which study inferences are drawn (Stuart, Ackerman, &amp; Westreich, 2018). The target population comprised board members from 102 public secondary schools in Nairobi City County, according to the Directorate of Education (2025). With approximately 13 Board of Management (BoM) members per school, the target population was 1,326 members.</w:t>
      </w:r>
    </w:p>
    <w:p w14:paraId="4145600C" w14:textId="18AAAFFE"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A sample is a subset selected from a target population for investigation, with findings expected to represent the wider population (</w:t>
      </w:r>
      <w:proofErr w:type="spellStart"/>
      <w:r w:rsidRPr="00A455AE">
        <w:rPr>
          <w:rFonts w:cs="Times New Roman"/>
          <w:color w:val="000000" w:themeColor="text1"/>
          <w:szCs w:val="24"/>
        </w:rPr>
        <w:t>Orodho</w:t>
      </w:r>
      <w:proofErr w:type="spellEnd"/>
      <w:r w:rsidRPr="00A455AE">
        <w:rPr>
          <w:rFonts w:cs="Times New Roman"/>
          <w:color w:val="000000" w:themeColor="text1"/>
          <w:szCs w:val="24"/>
        </w:rPr>
        <w:t>, 2012). Stratified random sampling was applied, with schools constituting strata. Following Mugenda and Mugenda (2008), 10% of the schools were sampled, resulting in 10 schools. Thirteen BoM members were selected from each school, yielding a sample of 13</w:t>
      </w:r>
      <w:r w:rsidR="00526B6F" w:rsidRPr="00A455AE">
        <w:rPr>
          <w:rFonts w:cs="Times New Roman"/>
          <w:color w:val="000000" w:themeColor="text1"/>
          <w:szCs w:val="24"/>
        </w:rPr>
        <w:t>0</w:t>
      </w:r>
      <w:r w:rsidRPr="00A455AE">
        <w:rPr>
          <w:rFonts w:cs="Times New Roman"/>
          <w:color w:val="000000" w:themeColor="text1"/>
          <w:szCs w:val="24"/>
        </w:rPr>
        <w:t xml:space="preserve"> respondents.</w:t>
      </w:r>
    </w:p>
    <w:p w14:paraId="2C953F8A"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 xml:space="preserve">Primary data were collected using structured and unstructured questionnaires comprising seven sections (A–G). Responses were measured using a five-point Likert scale ranging from 1 to 5. Questionnaires promote confidentiality, efficiency, </w:t>
      </w:r>
      <w:proofErr w:type="spellStart"/>
      <w:r w:rsidRPr="00A455AE">
        <w:rPr>
          <w:rFonts w:cs="Times New Roman"/>
          <w:color w:val="000000" w:themeColor="text1"/>
          <w:szCs w:val="24"/>
        </w:rPr>
        <w:t>standardisation</w:t>
      </w:r>
      <w:proofErr w:type="spellEnd"/>
      <w:r w:rsidRPr="00A455AE">
        <w:rPr>
          <w:rFonts w:cs="Times New Roman"/>
          <w:color w:val="000000" w:themeColor="text1"/>
          <w:szCs w:val="24"/>
        </w:rPr>
        <w:t>, and ease of administration (</w:t>
      </w:r>
      <w:proofErr w:type="spellStart"/>
      <w:r w:rsidRPr="00A455AE">
        <w:rPr>
          <w:rFonts w:cs="Times New Roman"/>
          <w:color w:val="000000" w:themeColor="text1"/>
          <w:szCs w:val="24"/>
        </w:rPr>
        <w:t>Walliman</w:t>
      </w:r>
      <w:proofErr w:type="spellEnd"/>
      <w:r w:rsidRPr="00A455AE">
        <w:rPr>
          <w:rFonts w:cs="Times New Roman"/>
          <w:color w:val="000000" w:themeColor="text1"/>
          <w:szCs w:val="24"/>
        </w:rPr>
        <w:t xml:space="preserve">, 2018), while </w:t>
      </w:r>
      <w:proofErr w:type="spellStart"/>
      <w:r w:rsidRPr="00A455AE">
        <w:rPr>
          <w:rFonts w:cs="Times New Roman"/>
          <w:color w:val="000000" w:themeColor="text1"/>
          <w:szCs w:val="24"/>
        </w:rPr>
        <w:t>standardised</w:t>
      </w:r>
      <w:proofErr w:type="spellEnd"/>
      <w:r w:rsidRPr="00A455AE">
        <w:rPr>
          <w:rFonts w:cs="Times New Roman"/>
          <w:color w:val="000000" w:themeColor="text1"/>
          <w:szCs w:val="24"/>
        </w:rPr>
        <w:t xml:space="preserve"> responses facilitate quantitative analysis and enhance reliability and validity (Saunders et al., 2019). A secondary data collection schedule was also used to obtain quantitative information from schools for 2020–2024.</w:t>
      </w:r>
    </w:p>
    <w:p w14:paraId="486BCDF7"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 xml:space="preserve">A pilot study involving 13 BoM members from schools excluded from the final sample was conducted, representing approximately 10% of the sample, as recommended by </w:t>
      </w:r>
      <w:proofErr w:type="spellStart"/>
      <w:r w:rsidRPr="00A455AE">
        <w:rPr>
          <w:rFonts w:cs="Times New Roman"/>
          <w:color w:val="000000" w:themeColor="text1"/>
          <w:szCs w:val="24"/>
        </w:rPr>
        <w:t>Orodho</w:t>
      </w:r>
      <w:proofErr w:type="spellEnd"/>
      <w:r w:rsidRPr="00A455AE">
        <w:rPr>
          <w:rFonts w:cs="Times New Roman"/>
          <w:color w:val="000000" w:themeColor="text1"/>
          <w:szCs w:val="24"/>
        </w:rPr>
        <w:t xml:space="preserve"> (2010). The pilot assessed questionnaire suitability, clarity, and ease of data processing. Necessary revisions were made before the final administration.</w:t>
      </w:r>
    </w:p>
    <w:p w14:paraId="79F1558E"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Content validity was established through review by supervisors and comparison with instruments used in related studies to ensure alignment with the study objectives. Construct validity was assessed using factor loadings, with an average variance extracted threshold of 0.50 indicating acceptable construct validity.</w:t>
      </w:r>
    </w:p>
    <w:p w14:paraId="5F5CC7E3"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Cronbach’s alpha was used to assess internal consistency during pilot testing. Values range from 0 to 1, with higher values indicating greater consistency among scale items (Zikmund et al., 2013). Items producing alpha values below 0.70 were revised or excluded.</w:t>
      </w:r>
    </w:p>
    <w:p w14:paraId="4DC37FD2"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The researcher visited sampled schools, introduced the study to administrators, and established rapport. Two trained research assistants supported questionnaire distribution and collection to improve response rates. Secondary data were obtained from school reports and, where unavailable, from principals. A structured secondary data collection sheet captured quantitative information covering 2020–2024.</w:t>
      </w:r>
    </w:p>
    <w:p w14:paraId="600B6DDC" w14:textId="77777777" w:rsidR="006E343E" w:rsidRPr="00A455AE" w:rsidRDefault="006E343E" w:rsidP="006E343E">
      <w:pPr>
        <w:spacing w:after="160" w:line="259" w:lineRule="auto"/>
        <w:rPr>
          <w:rFonts w:cs="Times New Roman"/>
          <w:color w:val="000000" w:themeColor="text1"/>
          <w:szCs w:val="24"/>
        </w:rPr>
      </w:pPr>
    </w:p>
    <w:p w14:paraId="0030E995"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lastRenderedPageBreak/>
        <w:t xml:space="preserve">Data were initially compiled in Excel before transfer to STATA for analysis. STATA was selected because of its capacity to </w:t>
      </w:r>
      <w:proofErr w:type="spellStart"/>
      <w:r w:rsidRPr="00A455AE">
        <w:rPr>
          <w:rFonts w:cs="Times New Roman"/>
          <w:color w:val="000000" w:themeColor="text1"/>
          <w:szCs w:val="24"/>
        </w:rPr>
        <w:t>analyse</w:t>
      </w:r>
      <w:proofErr w:type="spellEnd"/>
      <w:r w:rsidRPr="00A455AE">
        <w:rPr>
          <w:rFonts w:cs="Times New Roman"/>
          <w:color w:val="000000" w:themeColor="text1"/>
          <w:szCs w:val="24"/>
        </w:rPr>
        <w:t xml:space="preserve"> longitudinal and panel datasets (Park, 2011). Pearson correlation and multiple regression were used to assess associations and effects among variables. Findings were presented using tables and graphical representations. The regression model was:</w:t>
      </w:r>
    </w:p>
    <w:p w14:paraId="40AD2681" w14:textId="3BA92AC8"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Y = β₀ + β₁X₁ + ε</w:t>
      </w:r>
    </w:p>
    <w:p w14:paraId="3209A9F2" w14:textId="63DB12B2"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where Y represented financial management; X₁ board composition; and ε the error term.</w:t>
      </w:r>
    </w:p>
    <w:p w14:paraId="0241EF4F"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Diagnostic tests assessed assumptions underlying regression analysis, including normality, multicollinearity, heteroscedasticity, and autocorrelation. The Shapiro–Wilk test assessed residual normality (Shapiro &amp; Wilk, 1965). Variance inflation factors (VIF) assessed multicollinearity, with values below 10 considered acceptable (Miles, 2014). Where heteroscedasticity occurred, heteroscedasticity-robust standard errors were applied (Stock &amp; Watson, 2008). Autocorrelation was assessed using the Durbin–Watson statistic, with values between 1.50 and 2.50 indicating acceptable independence of residuals. Model explanatory power was assessed using R², with 0.25, 0.50, and 0.75 representing weak, moderate, and substantial explanatory power, respectively (Henseler, 2009).</w:t>
      </w:r>
    </w:p>
    <w:p w14:paraId="277A7375"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Ethical principles guided all stages of the research, including integrity and appropriate acknowledgement of sources (Mugenda, 2013). The study also adhered to Kenyatta University’s academic research requirements.</w:t>
      </w:r>
    </w:p>
    <w:p w14:paraId="68ECED9B" w14:textId="1D8FDB39" w:rsidR="009B3203"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Board composition was measured using board size, diversity, and roles and responsibilities. Board competence was assessed through knowledge, skills, and experience. Board independence was measured using autonomy, transparency, and chair duality, while board engagement covered attendance, participation, and financial follow-up. Financial management was assessed through resource-use efficiency, budget adherence, project completion, and financial reporting accuracy. Board training served as an intervening variable and was measured through training frequency, relevance, and availability of refresher courses. All variables were measured using five-point Likert scales.</w:t>
      </w:r>
    </w:p>
    <w:p w14:paraId="14C2E9C9" w14:textId="7F75E457" w:rsidR="00055D83" w:rsidRPr="00A455AE" w:rsidRDefault="002B2D3C" w:rsidP="00711AB4">
      <w:pPr>
        <w:spacing w:before="0"/>
        <w:rPr>
          <w:b/>
          <w:bCs/>
          <w:color w:val="000000" w:themeColor="text1"/>
          <w:sz w:val="28"/>
          <w:szCs w:val="24"/>
        </w:rPr>
      </w:pPr>
      <w:r w:rsidRPr="00A455AE">
        <w:rPr>
          <w:b/>
          <w:bCs/>
          <w:color w:val="000000" w:themeColor="text1"/>
          <w:sz w:val="28"/>
          <w:szCs w:val="24"/>
        </w:rPr>
        <w:t xml:space="preserve">4.0 </w:t>
      </w:r>
      <w:r w:rsidR="00055D83" w:rsidRPr="00A455AE">
        <w:rPr>
          <w:b/>
          <w:bCs/>
          <w:color w:val="000000" w:themeColor="text1"/>
          <w:sz w:val="28"/>
          <w:szCs w:val="24"/>
        </w:rPr>
        <w:t xml:space="preserve">RESULTS </w:t>
      </w:r>
      <w:r w:rsidR="00E4360E">
        <w:rPr>
          <w:b/>
          <w:bCs/>
          <w:color w:val="000000" w:themeColor="text1"/>
          <w:sz w:val="28"/>
          <w:szCs w:val="24"/>
        </w:rPr>
        <w:t>AND DISCUSSION</w:t>
      </w:r>
    </w:p>
    <w:p w14:paraId="5068825E" w14:textId="77777777" w:rsidR="006C386A" w:rsidRPr="00A455AE" w:rsidRDefault="006C386A" w:rsidP="006C386A">
      <w:pPr>
        <w:pStyle w:val="Heading2"/>
      </w:pPr>
      <w:bookmarkStart w:id="2" w:name="_Toc181633413"/>
      <w:r w:rsidRPr="00A455AE">
        <w:t xml:space="preserve">Table 1: </w:t>
      </w:r>
      <w:bookmarkEnd w:id="2"/>
      <w:r w:rsidRPr="00A455AE">
        <w:t xml:space="preserve">Board Engagement  </w:t>
      </w:r>
    </w:p>
    <w:p w14:paraId="545E209F" w14:textId="77777777" w:rsidR="006C386A" w:rsidRPr="00A455AE" w:rsidRDefault="006C386A" w:rsidP="006C386A">
      <w:pPr>
        <w:rPr>
          <w:rFonts w:cs="Times New Roman"/>
          <w:szCs w:val="24"/>
        </w:rPr>
      </w:pPr>
      <w:r w:rsidRPr="00A455AE">
        <w:rPr>
          <w:rFonts w:cs="Times New Roman"/>
          <w:i/>
          <w:szCs w:val="24"/>
        </w:rPr>
        <w:t>Key: SD=strongly disagree, D=Disagree, N=Not Sure, A=Agree, SA= strongly agree, M=Mean, Std. Standard Deviation</w:t>
      </w:r>
    </w:p>
    <w:tbl>
      <w:tblPr>
        <w:tblStyle w:val="ListTable6Colorful1"/>
        <w:tblW w:w="9576" w:type="dxa"/>
        <w:tblLayout w:type="fixed"/>
        <w:tblLook w:val="06A0" w:firstRow="1" w:lastRow="0" w:firstColumn="1" w:lastColumn="0" w:noHBand="1" w:noVBand="1"/>
      </w:tblPr>
      <w:tblGrid>
        <w:gridCol w:w="4455"/>
        <w:gridCol w:w="661"/>
        <w:gridCol w:w="659"/>
        <w:gridCol w:w="707"/>
        <w:gridCol w:w="659"/>
        <w:gridCol w:w="804"/>
        <w:gridCol w:w="783"/>
        <w:gridCol w:w="848"/>
      </w:tblGrid>
      <w:tr w:rsidR="006C386A" w:rsidRPr="00A455AE" w14:paraId="3D2EFB59" w14:textId="77777777" w:rsidTr="004E0E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5" w:type="dxa"/>
          </w:tcPr>
          <w:p w14:paraId="3A1650C0" w14:textId="77777777" w:rsidR="006C386A" w:rsidRPr="00A455AE" w:rsidRDefault="006C386A" w:rsidP="006C386A">
            <w:pPr>
              <w:tabs>
                <w:tab w:val="left" w:pos="1343"/>
              </w:tabs>
              <w:spacing w:before="0" w:line="240" w:lineRule="auto"/>
              <w:rPr>
                <w:rFonts w:cs="Times New Roman"/>
                <w:szCs w:val="24"/>
              </w:rPr>
            </w:pPr>
            <w:r w:rsidRPr="00A455AE">
              <w:rPr>
                <w:rFonts w:cs="Times New Roman"/>
                <w:szCs w:val="24"/>
              </w:rPr>
              <w:t xml:space="preserve">Statements </w:t>
            </w:r>
          </w:p>
        </w:tc>
        <w:tc>
          <w:tcPr>
            <w:tcW w:w="661" w:type="dxa"/>
          </w:tcPr>
          <w:p w14:paraId="05249930"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SD</w:t>
            </w:r>
          </w:p>
          <w:p w14:paraId="68158C32"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w:t>
            </w:r>
          </w:p>
        </w:tc>
        <w:tc>
          <w:tcPr>
            <w:tcW w:w="659" w:type="dxa"/>
          </w:tcPr>
          <w:p w14:paraId="1DB03820"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D</w:t>
            </w:r>
          </w:p>
          <w:p w14:paraId="0C65F4ED"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w:t>
            </w:r>
          </w:p>
        </w:tc>
        <w:tc>
          <w:tcPr>
            <w:tcW w:w="707" w:type="dxa"/>
          </w:tcPr>
          <w:p w14:paraId="3E71DEA5"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NS</w:t>
            </w:r>
          </w:p>
          <w:p w14:paraId="317742C6"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w:t>
            </w:r>
          </w:p>
        </w:tc>
        <w:tc>
          <w:tcPr>
            <w:tcW w:w="659" w:type="dxa"/>
          </w:tcPr>
          <w:p w14:paraId="47496FCF"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A</w:t>
            </w:r>
          </w:p>
          <w:p w14:paraId="675335C8"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w:t>
            </w:r>
          </w:p>
        </w:tc>
        <w:tc>
          <w:tcPr>
            <w:tcW w:w="804" w:type="dxa"/>
          </w:tcPr>
          <w:p w14:paraId="7E4334D6"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SA</w:t>
            </w:r>
          </w:p>
          <w:p w14:paraId="734EE741"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w:t>
            </w:r>
          </w:p>
        </w:tc>
        <w:tc>
          <w:tcPr>
            <w:tcW w:w="783" w:type="dxa"/>
          </w:tcPr>
          <w:p w14:paraId="350AB002" w14:textId="77777777" w:rsidR="006C386A" w:rsidRPr="00A455AE" w:rsidRDefault="006C386A" w:rsidP="006C386A">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M</w:t>
            </w:r>
          </w:p>
        </w:tc>
        <w:tc>
          <w:tcPr>
            <w:tcW w:w="848" w:type="dxa"/>
          </w:tcPr>
          <w:p w14:paraId="760F1F41"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Std.</w:t>
            </w:r>
          </w:p>
        </w:tc>
      </w:tr>
      <w:tr w:rsidR="006C386A" w:rsidRPr="00A455AE" w14:paraId="0FDC3B11" w14:textId="77777777" w:rsidTr="004E0E83">
        <w:trPr>
          <w:trHeight w:val="170"/>
        </w:trPr>
        <w:tc>
          <w:tcPr>
            <w:cnfStyle w:val="001000000000" w:firstRow="0" w:lastRow="0" w:firstColumn="1" w:lastColumn="0" w:oddVBand="0" w:evenVBand="0" w:oddHBand="0" w:evenHBand="0" w:firstRowFirstColumn="0" w:firstRowLastColumn="0" w:lastRowFirstColumn="0" w:lastRowLastColumn="0"/>
            <w:tcW w:w="4455" w:type="dxa"/>
          </w:tcPr>
          <w:p w14:paraId="4E6D4D30" w14:textId="77777777" w:rsidR="006C386A" w:rsidRPr="00A455AE" w:rsidRDefault="006C386A" w:rsidP="006C386A">
            <w:pPr>
              <w:spacing w:before="0" w:line="240" w:lineRule="auto"/>
              <w:rPr>
                <w:rFonts w:cs="Times New Roman"/>
                <w:b w:val="0"/>
                <w:szCs w:val="24"/>
              </w:rPr>
            </w:pPr>
            <w:r w:rsidRPr="00A455AE">
              <w:rPr>
                <w:rFonts w:cs="Times New Roman"/>
                <w:b w:val="0"/>
                <w:szCs w:val="24"/>
              </w:rPr>
              <w:t xml:space="preserve">I regularly </w:t>
            </w:r>
            <w:proofErr w:type="gramStart"/>
            <w:r w:rsidRPr="00A455AE">
              <w:rPr>
                <w:rFonts w:cs="Times New Roman"/>
                <w:b w:val="0"/>
                <w:szCs w:val="24"/>
              </w:rPr>
              <w:t>attend  board</w:t>
            </w:r>
            <w:proofErr w:type="gramEnd"/>
            <w:r w:rsidRPr="00A455AE">
              <w:rPr>
                <w:rFonts w:cs="Times New Roman"/>
                <w:b w:val="0"/>
                <w:szCs w:val="24"/>
              </w:rPr>
              <w:t xml:space="preserve"> meetings </w:t>
            </w:r>
          </w:p>
          <w:p w14:paraId="52370BB2" w14:textId="77777777" w:rsidR="006C386A" w:rsidRPr="00A455AE" w:rsidRDefault="006C386A" w:rsidP="006C386A">
            <w:pPr>
              <w:spacing w:before="0" w:line="240" w:lineRule="auto"/>
              <w:rPr>
                <w:rFonts w:cs="Times New Roman"/>
                <w:b w:val="0"/>
                <w:szCs w:val="24"/>
              </w:rPr>
            </w:pPr>
          </w:p>
        </w:tc>
        <w:tc>
          <w:tcPr>
            <w:tcW w:w="661" w:type="dxa"/>
          </w:tcPr>
          <w:p w14:paraId="24C87CAA"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1.8</w:t>
            </w:r>
          </w:p>
        </w:tc>
        <w:tc>
          <w:tcPr>
            <w:tcW w:w="659" w:type="dxa"/>
          </w:tcPr>
          <w:p w14:paraId="3A6346C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7.3</w:t>
            </w:r>
          </w:p>
        </w:tc>
        <w:tc>
          <w:tcPr>
            <w:tcW w:w="707" w:type="dxa"/>
          </w:tcPr>
          <w:p w14:paraId="0D9FCD10"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2.7</w:t>
            </w:r>
          </w:p>
        </w:tc>
        <w:tc>
          <w:tcPr>
            <w:tcW w:w="659" w:type="dxa"/>
          </w:tcPr>
          <w:p w14:paraId="468AA731"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37.3</w:t>
            </w:r>
          </w:p>
        </w:tc>
        <w:tc>
          <w:tcPr>
            <w:tcW w:w="804" w:type="dxa"/>
          </w:tcPr>
          <w:p w14:paraId="503CEE79"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50.9</w:t>
            </w:r>
          </w:p>
        </w:tc>
        <w:tc>
          <w:tcPr>
            <w:tcW w:w="783" w:type="dxa"/>
          </w:tcPr>
          <w:p w14:paraId="4C957278"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4.28</w:t>
            </w:r>
          </w:p>
        </w:tc>
        <w:tc>
          <w:tcPr>
            <w:tcW w:w="848" w:type="dxa"/>
          </w:tcPr>
          <w:p w14:paraId="1C554F9F"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0.96</w:t>
            </w:r>
          </w:p>
        </w:tc>
      </w:tr>
      <w:tr w:rsidR="006C386A" w:rsidRPr="00A455AE" w14:paraId="47ABE7EC" w14:textId="77777777" w:rsidTr="004E0E83">
        <w:trPr>
          <w:trHeight w:val="360"/>
        </w:trPr>
        <w:tc>
          <w:tcPr>
            <w:cnfStyle w:val="001000000000" w:firstRow="0" w:lastRow="0" w:firstColumn="1" w:lastColumn="0" w:oddVBand="0" w:evenVBand="0" w:oddHBand="0" w:evenHBand="0" w:firstRowFirstColumn="0" w:firstRowLastColumn="0" w:lastRowFirstColumn="0" w:lastRowLastColumn="0"/>
            <w:tcW w:w="4455" w:type="dxa"/>
          </w:tcPr>
          <w:p w14:paraId="0ED2A66A" w14:textId="77777777" w:rsidR="006C386A" w:rsidRPr="00A455AE" w:rsidRDefault="006C386A" w:rsidP="006C386A">
            <w:pPr>
              <w:spacing w:before="0" w:line="240" w:lineRule="auto"/>
              <w:rPr>
                <w:rFonts w:cs="Times New Roman"/>
                <w:b w:val="0"/>
                <w:szCs w:val="24"/>
                <w:shd w:val="clear" w:color="auto" w:fill="FFFFFF"/>
              </w:rPr>
            </w:pPr>
            <w:r w:rsidRPr="00A455AE">
              <w:rPr>
                <w:rFonts w:cs="Times New Roman"/>
                <w:b w:val="0"/>
                <w:szCs w:val="24"/>
                <w:shd w:val="clear" w:color="auto" w:fill="FFFFFF"/>
              </w:rPr>
              <w:t xml:space="preserve">I actively participate in school financial decision-making </w:t>
            </w:r>
          </w:p>
          <w:p w14:paraId="4246DC91" w14:textId="77777777" w:rsidR="006C386A" w:rsidRPr="00A455AE" w:rsidRDefault="006C386A" w:rsidP="006C386A">
            <w:pPr>
              <w:spacing w:before="0" w:line="240" w:lineRule="auto"/>
              <w:rPr>
                <w:rFonts w:cs="Times New Roman"/>
                <w:b w:val="0"/>
                <w:szCs w:val="24"/>
              </w:rPr>
            </w:pPr>
          </w:p>
        </w:tc>
        <w:tc>
          <w:tcPr>
            <w:tcW w:w="661" w:type="dxa"/>
          </w:tcPr>
          <w:p w14:paraId="33887906"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5.5</w:t>
            </w:r>
          </w:p>
        </w:tc>
        <w:tc>
          <w:tcPr>
            <w:tcW w:w="659" w:type="dxa"/>
          </w:tcPr>
          <w:p w14:paraId="1597A68F"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10.0</w:t>
            </w:r>
          </w:p>
        </w:tc>
        <w:tc>
          <w:tcPr>
            <w:tcW w:w="707" w:type="dxa"/>
          </w:tcPr>
          <w:p w14:paraId="75DD8B7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2.7</w:t>
            </w:r>
          </w:p>
        </w:tc>
        <w:tc>
          <w:tcPr>
            <w:tcW w:w="659" w:type="dxa"/>
          </w:tcPr>
          <w:p w14:paraId="4F3B89E7"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49.1</w:t>
            </w:r>
          </w:p>
        </w:tc>
        <w:tc>
          <w:tcPr>
            <w:tcW w:w="804" w:type="dxa"/>
          </w:tcPr>
          <w:p w14:paraId="3A263591"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32.7</w:t>
            </w:r>
          </w:p>
        </w:tc>
        <w:tc>
          <w:tcPr>
            <w:tcW w:w="783" w:type="dxa"/>
          </w:tcPr>
          <w:p w14:paraId="66E1BC90"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3.94</w:t>
            </w:r>
          </w:p>
        </w:tc>
        <w:tc>
          <w:tcPr>
            <w:tcW w:w="848" w:type="dxa"/>
          </w:tcPr>
          <w:p w14:paraId="7D0BC5B0"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1.12</w:t>
            </w:r>
          </w:p>
        </w:tc>
      </w:tr>
      <w:tr w:rsidR="006C386A" w:rsidRPr="00A455AE" w14:paraId="0BC29ADA"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28ED33A9"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t>I constantly follow on school financial matters</w:t>
            </w:r>
          </w:p>
          <w:p w14:paraId="2EE39597" w14:textId="77777777" w:rsidR="006C386A" w:rsidRPr="00A455AE" w:rsidRDefault="006C386A" w:rsidP="006C386A">
            <w:pPr>
              <w:spacing w:before="0" w:line="240" w:lineRule="auto"/>
              <w:rPr>
                <w:rFonts w:cs="Times New Roman"/>
                <w:b w:val="0"/>
                <w:szCs w:val="24"/>
              </w:rPr>
            </w:pPr>
          </w:p>
        </w:tc>
        <w:tc>
          <w:tcPr>
            <w:tcW w:w="661" w:type="dxa"/>
          </w:tcPr>
          <w:p w14:paraId="6BEE885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0.9</w:t>
            </w:r>
          </w:p>
        </w:tc>
        <w:tc>
          <w:tcPr>
            <w:tcW w:w="659" w:type="dxa"/>
          </w:tcPr>
          <w:p w14:paraId="38F22EB4"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4.5</w:t>
            </w:r>
          </w:p>
        </w:tc>
        <w:tc>
          <w:tcPr>
            <w:tcW w:w="707" w:type="dxa"/>
          </w:tcPr>
          <w:p w14:paraId="3DF67DD7"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1.8</w:t>
            </w:r>
          </w:p>
        </w:tc>
        <w:tc>
          <w:tcPr>
            <w:tcW w:w="659" w:type="dxa"/>
          </w:tcPr>
          <w:p w14:paraId="344681C4"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38.2</w:t>
            </w:r>
          </w:p>
        </w:tc>
        <w:tc>
          <w:tcPr>
            <w:tcW w:w="804" w:type="dxa"/>
          </w:tcPr>
          <w:p w14:paraId="0FECFBD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54.5</w:t>
            </w:r>
          </w:p>
        </w:tc>
        <w:tc>
          <w:tcPr>
            <w:tcW w:w="783" w:type="dxa"/>
          </w:tcPr>
          <w:p w14:paraId="118562EF"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4.41</w:t>
            </w:r>
          </w:p>
        </w:tc>
        <w:tc>
          <w:tcPr>
            <w:tcW w:w="848" w:type="dxa"/>
          </w:tcPr>
          <w:p w14:paraId="453134C7"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0.81</w:t>
            </w:r>
          </w:p>
        </w:tc>
      </w:tr>
      <w:tr w:rsidR="006C386A" w:rsidRPr="00A455AE" w14:paraId="78C1A2EF" w14:textId="77777777" w:rsidTr="004E0E83">
        <w:trPr>
          <w:trHeight w:val="423"/>
        </w:trPr>
        <w:tc>
          <w:tcPr>
            <w:cnfStyle w:val="001000000000" w:firstRow="0" w:lastRow="0" w:firstColumn="1" w:lastColumn="0" w:oddVBand="0" w:evenVBand="0" w:oddHBand="0" w:evenHBand="0" w:firstRowFirstColumn="0" w:firstRowLastColumn="0" w:lastRowFirstColumn="0" w:lastRowLastColumn="0"/>
            <w:tcW w:w="4455" w:type="dxa"/>
          </w:tcPr>
          <w:p w14:paraId="43BB4788" w14:textId="77777777" w:rsidR="006C386A" w:rsidRPr="00A455AE" w:rsidRDefault="006C386A" w:rsidP="006C386A">
            <w:pPr>
              <w:spacing w:before="0" w:line="240" w:lineRule="auto"/>
              <w:rPr>
                <w:rFonts w:cs="Times New Roman"/>
                <w:b w:val="0"/>
                <w:szCs w:val="24"/>
              </w:rPr>
            </w:pPr>
            <w:r w:rsidRPr="00A455AE">
              <w:rPr>
                <w:rFonts w:cs="Times New Roman"/>
                <w:b w:val="0"/>
                <w:szCs w:val="24"/>
              </w:rPr>
              <w:lastRenderedPageBreak/>
              <w:t xml:space="preserve">The board collaborates with </w:t>
            </w:r>
            <w:proofErr w:type="gramStart"/>
            <w:r w:rsidRPr="00A455AE">
              <w:rPr>
                <w:rFonts w:cs="Times New Roman"/>
                <w:b w:val="0"/>
                <w:szCs w:val="24"/>
              </w:rPr>
              <w:t>stakeholders  in</w:t>
            </w:r>
            <w:proofErr w:type="gramEnd"/>
            <w:r w:rsidRPr="00A455AE">
              <w:rPr>
                <w:rFonts w:cs="Times New Roman"/>
                <w:b w:val="0"/>
                <w:szCs w:val="24"/>
              </w:rPr>
              <w:t xml:space="preserve"> planning school finances</w:t>
            </w:r>
          </w:p>
          <w:p w14:paraId="02B3F7F0" w14:textId="77777777" w:rsidR="006C386A" w:rsidRPr="00A455AE" w:rsidRDefault="006C386A" w:rsidP="006C386A">
            <w:pPr>
              <w:spacing w:before="0" w:line="240" w:lineRule="auto"/>
              <w:rPr>
                <w:rFonts w:cs="Times New Roman"/>
                <w:b w:val="0"/>
                <w:szCs w:val="24"/>
              </w:rPr>
            </w:pPr>
          </w:p>
        </w:tc>
        <w:tc>
          <w:tcPr>
            <w:tcW w:w="661" w:type="dxa"/>
          </w:tcPr>
          <w:p w14:paraId="4D3B694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2.7</w:t>
            </w:r>
          </w:p>
        </w:tc>
        <w:tc>
          <w:tcPr>
            <w:tcW w:w="659" w:type="dxa"/>
          </w:tcPr>
          <w:p w14:paraId="7B41F639"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6.4</w:t>
            </w:r>
          </w:p>
        </w:tc>
        <w:tc>
          <w:tcPr>
            <w:tcW w:w="707" w:type="dxa"/>
          </w:tcPr>
          <w:p w14:paraId="2C8FD31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1.8</w:t>
            </w:r>
          </w:p>
        </w:tc>
        <w:tc>
          <w:tcPr>
            <w:tcW w:w="659" w:type="dxa"/>
          </w:tcPr>
          <w:p w14:paraId="24A289F4"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15.5</w:t>
            </w:r>
          </w:p>
        </w:tc>
        <w:tc>
          <w:tcPr>
            <w:tcW w:w="804" w:type="dxa"/>
          </w:tcPr>
          <w:p w14:paraId="0A9312A3"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73.6</w:t>
            </w:r>
          </w:p>
        </w:tc>
        <w:tc>
          <w:tcPr>
            <w:tcW w:w="783" w:type="dxa"/>
          </w:tcPr>
          <w:p w14:paraId="473EA525"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4.51</w:t>
            </w:r>
          </w:p>
        </w:tc>
        <w:tc>
          <w:tcPr>
            <w:tcW w:w="848" w:type="dxa"/>
          </w:tcPr>
          <w:p w14:paraId="4952638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1.00</w:t>
            </w:r>
          </w:p>
        </w:tc>
      </w:tr>
      <w:tr w:rsidR="006C386A" w:rsidRPr="00A455AE" w14:paraId="235F6883"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3794AA0E" w14:textId="77777777" w:rsidR="006C386A" w:rsidRPr="00A455AE" w:rsidRDefault="006C386A" w:rsidP="006C386A">
            <w:pPr>
              <w:spacing w:before="0" w:line="240" w:lineRule="auto"/>
              <w:rPr>
                <w:rFonts w:cs="Times New Roman"/>
                <w:b w:val="0"/>
                <w:szCs w:val="24"/>
              </w:rPr>
            </w:pPr>
            <w:r w:rsidRPr="00A455AE">
              <w:rPr>
                <w:rFonts w:cs="Times New Roman"/>
                <w:b w:val="0"/>
                <w:szCs w:val="24"/>
              </w:rPr>
              <w:t xml:space="preserve">I actively address school financial challenges </w:t>
            </w:r>
          </w:p>
          <w:p w14:paraId="5D4C9F0B" w14:textId="77777777" w:rsidR="006C386A" w:rsidRPr="00A455AE" w:rsidRDefault="006C386A" w:rsidP="006C386A">
            <w:pPr>
              <w:spacing w:before="0" w:line="240" w:lineRule="auto"/>
              <w:rPr>
                <w:rFonts w:cs="Times New Roman"/>
                <w:b w:val="0"/>
                <w:szCs w:val="24"/>
              </w:rPr>
            </w:pPr>
          </w:p>
        </w:tc>
        <w:tc>
          <w:tcPr>
            <w:tcW w:w="661" w:type="dxa"/>
          </w:tcPr>
          <w:p w14:paraId="5F7E5F88"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3.6</w:t>
            </w:r>
          </w:p>
        </w:tc>
        <w:tc>
          <w:tcPr>
            <w:tcW w:w="659" w:type="dxa"/>
          </w:tcPr>
          <w:p w14:paraId="0E23CBE3"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20.0</w:t>
            </w:r>
          </w:p>
        </w:tc>
        <w:tc>
          <w:tcPr>
            <w:tcW w:w="707" w:type="dxa"/>
          </w:tcPr>
          <w:p w14:paraId="0E517106"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2.7</w:t>
            </w:r>
          </w:p>
        </w:tc>
        <w:tc>
          <w:tcPr>
            <w:tcW w:w="659" w:type="dxa"/>
          </w:tcPr>
          <w:p w14:paraId="6569B770"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32.7</w:t>
            </w:r>
          </w:p>
        </w:tc>
        <w:tc>
          <w:tcPr>
            <w:tcW w:w="804" w:type="dxa"/>
          </w:tcPr>
          <w:p w14:paraId="23AF2FB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40.9</w:t>
            </w:r>
          </w:p>
        </w:tc>
        <w:tc>
          <w:tcPr>
            <w:tcW w:w="783" w:type="dxa"/>
          </w:tcPr>
          <w:p w14:paraId="12C7164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3.87</w:t>
            </w:r>
          </w:p>
        </w:tc>
        <w:tc>
          <w:tcPr>
            <w:tcW w:w="848" w:type="dxa"/>
          </w:tcPr>
          <w:p w14:paraId="7AAEEA4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1.39</w:t>
            </w:r>
          </w:p>
        </w:tc>
      </w:tr>
      <w:tr w:rsidR="006C386A" w:rsidRPr="00A455AE" w14:paraId="3DA08516"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1E3929A8"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t xml:space="preserve">The </w:t>
            </w:r>
            <w:proofErr w:type="gramStart"/>
            <w:r w:rsidRPr="00A455AE">
              <w:rPr>
                <w:rFonts w:eastAsia="Times New Roman" w:cs="Times New Roman"/>
                <w:b w:val="0"/>
                <w:szCs w:val="24"/>
              </w:rPr>
              <w:t>BOM  takes</w:t>
            </w:r>
            <w:proofErr w:type="gramEnd"/>
            <w:r w:rsidRPr="00A455AE">
              <w:rPr>
                <w:rFonts w:eastAsia="Times New Roman" w:cs="Times New Roman"/>
                <w:b w:val="0"/>
                <w:szCs w:val="24"/>
              </w:rPr>
              <w:t xml:space="preserve"> part in the school financial performance reviews</w:t>
            </w:r>
          </w:p>
          <w:p w14:paraId="11FFD120" w14:textId="77777777" w:rsidR="006C386A" w:rsidRPr="00A455AE" w:rsidRDefault="006C386A" w:rsidP="006C386A">
            <w:pPr>
              <w:spacing w:before="0" w:line="240" w:lineRule="auto"/>
              <w:rPr>
                <w:rFonts w:cs="Times New Roman"/>
                <w:b w:val="0"/>
                <w:szCs w:val="24"/>
              </w:rPr>
            </w:pPr>
          </w:p>
        </w:tc>
        <w:tc>
          <w:tcPr>
            <w:tcW w:w="661" w:type="dxa"/>
          </w:tcPr>
          <w:p w14:paraId="1E0669D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8.2</w:t>
            </w:r>
          </w:p>
        </w:tc>
        <w:tc>
          <w:tcPr>
            <w:tcW w:w="659" w:type="dxa"/>
          </w:tcPr>
          <w:p w14:paraId="7717B6FE"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9.1</w:t>
            </w:r>
          </w:p>
        </w:tc>
        <w:tc>
          <w:tcPr>
            <w:tcW w:w="707" w:type="dxa"/>
          </w:tcPr>
          <w:p w14:paraId="63D43691"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7.3</w:t>
            </w:r>
          </w:p>
        </w:tc>
        <w:tc>
          <w:tcPr>
            <w:tcW w:w="659" w:type="dxa"/>
          </w:tcPr>
          <w:p w14:paraId="5F3E4219"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30.0</w:t>
            </w:r>
          </w:p>
        </w:tc>
        <w:tc>
          <w:tcPr>
            <w:tcW w:w="804" w:type="dxa"/>
          </w:tcPr>
          <w:p w14:paraId="727AA8B9"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45.4</w:t>
            </w:r>
          </w:p>
        </w:tc>
        <w:tc>
          <w:tcPr>
            <w:tcW w:w="783" w:type="dxa"/>
          </w:tcPr>
          <w:p w14:paraId="66A7B3C5"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3.95</w:t>
            </w:r>
          </w:p>
        </w:tc>
        <w:tc>
          <w:tcPr>
            <w:tcW w:w="848" w:type="dxa"/>
          </w:tcPr>
          <w:p w14:paraId="4AA8826E"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1.47</w:t>
            </w:r>
          </w:p>
        </w:tc>
      </w:tr>
      <w:tr w:rsidR="006C386A" w:rsidRPr="00A455AE" w14:paraId="08144EB3"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521E6FA3" w14:textId="77777777" w:rsidR="006C386A" w:rsidRPr="00A455AE" w:rsidRDefault="006C386A" w:rsidP="006C386A">
            <w:pPr>
              <w:spacing w:before="0" w:line="240" w:lineRule="auto"/>
              <w:rPr>
                <w:rFonts w:cs="Times New Roman"/>
                <w:szCs w:val="24"/>
              </w:rPr>
            </w:pPr>
            <w:r w:rsidRPr="00A455AE">
              <w:rPr>
                <w:rFonts w:cs="Times New Roman"/>
                <w:szCs w:val="24"/>
              </w:rPr>
              <w:t>Average</w:t>
            </w:r>
          </w:p>
        </w:tc>
        <w:tc>
          <w:tcPr>
            <w:tcW w:w="661" w:type="dxa"/>
          </w:tcPr>
          <w:p w14:paraId="74ADA777"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659" w:type="dxa"/>
          </w:tcPr>
          <w:p w14:paraId="44FE659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707" w:type="dxa"/>
          </w:tcPr>
          <w:p w14:paraId="6E8CE25E"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659" w:type="dxa"/>
          </w:tcPr>
          <w:p w14:paraId="2DD5220A"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04" w:type="dxa"/>
          </w:tcPr>
          <w:p w14:paraId="6487B711"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783" w:type="dxa"/>
          </w:tcPr>
          <w:p w14:paraId="4586F46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szCs w:val="24"/>
              </w:rPr>
            </w:pPr>
            <w:r w:rsidRPr="00A455AE">
              <w:rPr>
                <w:rFonts w:cs="Times New Roman"/>
                <w:b/>
                <w:szCs w:val="24"/>
              </w:rPr>
              <w:t>4.16</w:t>
            </w:r>
          </w:p>
        </w:tc>
        <w:tc>
          <w:tcPr>
            <w:tcW w:w="848" w:type="dxa"/>
          </w:tcPr>
          <w:p w14:paraId="655BA6A1"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szCs w:val="24"/>
              </w:rPr>
            </w:pPr>
            <w:r w:rsidRPr="00A455AE">
              <w:rPr>
                <w:rFonts w:cs="Times New Roman"/>
                <w:b/>
                <w:szCs w:val="24"/>
              </w:rPr>
              <w:t>1.12</w:t>
            </w:r>
          </w:p>
        </w:tc>
      </w:tr>
    </w:tbl>
    <w:p w14:paraId="0E1BE533" w14:textId="77777777" w:rsidR="006C386A" w:rsidRPr="00A455AE" w:rsidRDefault="006C386A" w:rsidP="006C386A">
      <w:pPr>
        <w:jc w:val="left"/>
        <w:rPr>
          <w:rFonts w:cs="Times New Roman"/>
          <w:b/>
          <w:szCs w:val="24"/>
        </w:rPr>
      </w:pPr>
      <w:r w:rsidRPr="00A455AE">
        <w:rPr>
          <w:rFonts w:cs="Times New Roman"/>
          <w:b/>
          <w:szCs w:val="24"/>
        </w:rPr>
        <w:t>N=110</w:t>
      </w:r>
    </w:p>
    <w:p w14:paraId="7CA6E679" w14:textId="77777777" w:rsidR="006C386A" w:rsidRPr="00A455AE" w:rsidRDefault="006C386A" w:rsidP="006C386A">
      <w:pPr>
        <w:spacing w:line="240" w:lineRule="auto"/>
        <w:rPr>
          <w:rFonts w:cs="Times New Roman"/>
          <w:szCs w:val="24"/>
        </w:rPr>
      </w:pPr>
      <w:r w:rsidRPr="00A455AE">
        <w:rPr>
          <w:rFonts w:cs="Times New Roman"/>
          <w:szCs w:val="24"/>
        </w:rPr>
        <w:t xml:space="preserve">The results show that majority of the board members strongly agreed that they regularly attend board meetings (M=4.28, Std. 0.96). This shows that there is high attendance of board meetings in the public secondary schools which is essential as it ensures that the members are always informed on the school activities and contribute actively to financial supervision and administration decisions. The board members also </w:t>
      </w:r>
      <w:r w:rsidRPr="00A455AE">
        <w:rPr>
          <w:rFonts w:ascii="ff1" w:hAnsi="ff1"/>
          <w:szCs w:val="24"/>
          <w:shd w:val="clear" w:color="auto" w:fill="FFFFFF"/>
        </w:rPr>
        <w:t xml:space="preserve">actively participate in school financial decision-making </w:t>
      </w:r>
      <w:r w:rsidRPr="00A455AE">
        <w:rPr>
          <w:rFonts w:cs="Times New Roman"/>
          <w:szCs w:val="24"/>
        </w:rPr>
        <w:t xml:space="preserve">(M=3.94, Std. 1.12). This shows that majority of the board members participate in discussions on school financial planning and resource allocation which are key roles of school boards. </w:t>
      </w:r>
    </w:p>
    <w:p w14:paraId="444CD1D1" w14:textId="77777777" w:rsidR="006C386A" w:rsidRPr="00A455AE" w:rsidRDefault="006C386A" w:rsidP="006C386A">
      <w:pPr>
        <w:spacing w:line="240" w:lineRule="auto"/>
      </w:pPr>
      <w:r w:rsidRPr="00A455AE">
        <w:t xml:space="preserve">Results also show that the board members strongly agreed that they </w:t>
      </w:r>
      <w:r w:rsidRPr="00A455AE">
        <w:rPr>
          <w:rFonts w:eastAsia="Times New Roman" w:cs="Times New Roman"/>
          <w:szCs w:val="24"/>
        </w:rPr>
        <w:t xml:space="preserve">constantly follow on school financial matters </w:t>
      </w:r>
      <w:r w:rsidRPr="00A455AE">
        <w:rPr>
          <w:rFonts w:cs="Times New Roman"/>
          <w:szCs w:val="24"/>
        </w:rPr>
        <w:t xml:space="preserve">(M=4.41, Std. 0.81). The constant follow-ups help to ensure accountability in the use of school finances and also enhance transparency in school finance management. Likewise, the board members strongly agreed that the board collaborates with stakeholders in planning school finances (M=4.51, Std. 1.00). Stakeholder collaboration helps to strengthen financial planning in the schools and improves collaborative responsibility in the management of school funds.  </w:t>
      </w:r>
      <w:r w:rsidRPr="00A455AE">
        <w:t xml:space="preserve">Findings also show that the board members </w:t>
      </w:r>
      <w:r w:rsidRPr="00A455AE">
        <w:rPr>
          <w:rFonts w:cs="Times New Roman"/>
          <w:szCs w:val="24"/>
        </w:rPr>
        <w:t xml:space="preserve">actively address school financial challenges (M=3.87, Std. 1.39) and the </w:t>
      </w:r>
      <w:r w:rsidRPr="00A455AE">
        <w:rPr>
          <w:rFonts w:eastAsia="Times New Roman" w:cs="Times New Roman"/>
          <w:szCs w:val="24"/>
        </w:rPr>
        <w:t xml:space="preserve">BOM takes part in the school financial performance reviews </w:t>
      </w:r>
      <w:r w:rsidRPr="00A455AE">
        <w:rPr>
          <w:rFonts w:cs="Times New Roman"/>
          <w:szCs w:val="24"/>
        </w:rPr>
        <w:t>(M=3.95, Std. 1.47). The results indicate that the BoM members play an essential role in monitoring the financial outcomes and mitigating financial challenges facing the schools. The average mean score of 4.16(Std.1.12) show that the board members were in consensus that active engagement in the boards affects financial management in schools. Active participation in meetings, decision-making processes, and financial oversight activities enhance accountability in utilization of school funds. Findings are in line with Basic Education Act 2013 which puts emphasis on the active participation in school boards to ensure effective utilization of school finances. The findings are in agreement with Munyao</w:t>
      </w:r>
      <w:r w:rsidRPr="00A455AE">
        <w:t xml:space="preserve"> and Ochieng (2022) that engaged BOMs reduced financial mismanagement and enhanced transparency in schools.</w:t>
      </w:r>
    </w:p>
    <w:p w14:paraId="502072C2" w14:textId="77777777" w:rsidR="006C386A" w:rsidRPr="00A455AE" w:rsidRDefault="006C386A" w:rsidP="006C386A">
      <w:pPr>
        <w:pStyle w:val="Heading2"/>
      </w:pPr>
      <w:r w:rsidRPr="00A455AE">
        <w:t xml:space="preserve">Table 2: Financial Management </w:t>
      </w:r>
    </w:p>
    <w:p w14:paraId="07DF6E12" w14:textId="77777777" w:rsidR="006C386A" w:rsidRPr="00A455AE" w:rsidRDefault="006C386A" w:rsidP="006C386A">
      <w:pPr>
        <w:rPr>
          <w:rFonts w:cs="Times New Roman"/>
          <w:szCs w:val="24"/>
        </w:rPr>
      </w:pPr>
      <w:r w:rsidRPr="00A455AE">
        <w:rPr>
          <w:rFonts w:cs="Times New Roman"/>
          <w:i/>
          <w:szCs w:val="24"/>
        </w:rPr>
        <w:t>Key: SD=strongly disagree, D=Disagree, N=Not Sure, A=Agree, SA= strongly agree, M=Mean, Std. Standard Deviation</w:t>
      </w:r>
    </w:p>
    <w:tbl>
      <w:tblPr>
        <w:tblStyle w:val="ListTable6Colorful1"/>
        <w:tblW w:w="9576" w:type="dxa"/>
        <w:tblLayout w:type="fixed"/>
        <w:tblLook w:val="06A0" w:firstRow="1" w:lastRow="0" w:firstColumn="1" w:lastColumn="0" w:noHBand="1" w:noVBand="1"/>
      </w:tblPr>
      <w:tblGrid>
        <w:gridCol w:w="4455"/>
        <w:gridCol w:w="661"/>
        <w:gridCol w:w="659"/>
        <w:gridCol w:w="707"/>
        <w:gridCol w:w="659"/>
        <w:gridCol w:w="804"/>
        <w:gridCol w:w="783"/>
        <w:gridCol w:w="848"/>
      </w:tblGrid>
      <w:tr w:rsidR="006C386A" w:rsidRPr="00A455AE" w14:paraId="7573ADE6" w14:textId="77777777" w:rsidTr="004E0E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5" w:type="dxa"/>
          </w:tcPr>
          <w:p w14:paraId="218E6A1A" w14:textId="77777777" w:rsidR="006C386A" w:rsidRPr="00A455AE" w:rsidRDefault="006C386A" w:rsidP="006C386A">
            <w:pPr>
              <w:tabs>
                <w:tab w:val="left" w:pos="1343"/>
              </w:tabs>
              <w:spacing w:before="0" w:line="240" w:lineRule="auto"/>
            </w:pPr>
            <w:r w:rsidRPr="00A455AE">
              <w:t xml:space="preserve">Statements </w:t>
            </w:r>
          </w:p>
        </w:tc>
        <w:tc>
          <w:tcPr>
            <w:tcW w:w="661" w:type="dxa"/>
          </w:tcPr>
          <w:p w14:paraId="6F893ECF"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SD</w:t>
            </w:r>
          </w:p>
          <w:p w14:paraId="7F3B8375"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w:t>
            </w:r>
          </w:p>
        </w:tc>
        <w:tc>
          <w:tcPr>
            <w:tcW w:w="659" w:type="dxa"/>
          </w:tcPr>
          <w:p w14:paraId="292F0DE0"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D</w:t>
            </w:r>
          </w:p>
          <w:p w14:paraId="0D341349"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w:t>
            </w:r>
          </w:p>
        </w:tc>
        <w:tc>
          <w:tcPr>
            <w:tcW w:w="707" w:type="dxa"/>
          </w:tcPr>
          <w:p w14:paraId="21D480E2"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N</w:t>
            </w:r>
          </w:p>
          <w:p w14:paraId="70611BC4"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w:t>
            </w:r>
          </w:p>
        </w:tc>
        <w:tc>
          <w:tcPr>
            <w:tcW w:w="659" w:type="dxa"/>
          </w:tcPr>
          <w:p w14:paraId="58731AD9"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A</w:t>
            </w:r>
          </w:p>
          <w:p w14:paraId="52D9DF5B"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w:t>
            </w:r>
          </w:p>
        </w:tc>
        <w:tc>
          <w:tcPr>
            <w:tcW w:w="804" w:type="dxa"/>
          </w:tcPr>
          <w:p w14:paraId="0B5A8ED0"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SA</w:t>
            </w:r>
          </w:p>
          <w:p w14:paraId="2C25727E"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w:t>
            </w:r>
          </w:p>
        </w:tc>
        <w:tc>
          <w:tcPr>
            <w:tcW w:w="783" w:type="dxa"/>
          </w:tcPr>
          <w:p w14:paraId="33A616B4" w14:textId="77777777" w:rsidR="006C386A" w:rsidRPr="00A455AE" w:rsidRDefault="006C386A" w:rsidP="006C386A">
            <w:pPr>
              <w:spacing w:before="0" w:line="240" w:lineRule="auto"/>
              <w:jc w:val="center"/>
              <w:cnfStyle w:val="100000000000" w:firstRow="1" w:lastRow="0" w:firstColumn="0" w:lastColumn="0" w:oddVBand="0" w:evenVBand="0" w:oddHBand="0" w:evenHBand="0" w:firstRowFirstColumn="0" w:firstRowLastColumn="0" w:lastRowFirstColumn="0" w:lastRowLastColumn="0"/>
            </w:pPr>
            <w:r w:rsidRPr="00A455AE">
              <w:t>M</w:t>
            </w:r>
          </w:p>
        </w:tc>
        <w:tc>
          <w:tcPr>
            <w:tcW w:w="848" w:type="dxa"/>
          </w:tcPr>
          <w:p w14:paraId="05C1C372"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Std.</w:t>
            </w:r>
          </w:p>
        </w:tc>
      </w:tr>
      <w:tr w:rsidR="006C386A" w:rsidRPr="00A455AE" w14:paraId="3B23E239" w14:textId="77777777" w:rsidTr="004E0E83">
        <w:trPr>
          <w:trHeight w:val="170"/>
        </w:trPr>
        <w:tc>
          <w:tcPr>
            <w:cnfStyle w:val="001000000000" w:firstRow="0" w:lastRow="0" w:firstColumn="1" w:lastColumn="0" w:oddVBand="0" w:evenVBand="0" w:oddHBand="0" w:evenHBand="0" w:firstRowFirstColumn="0" w:firstRowLastColumn="0" w:lastRowFirstColumn="0" w:lastRowLastColumn="0"/>
            <w:tcW w:w="4455" w:type="dxa"/>
          </w:tcPr>
          <w:p w14:paraId="71E34750" w14:textId="77777777" w:rsidR="006C386A" w:rsidRPr="00A455AE" w:rsidRDefault="006C386A" w:rsidP="006C386A">
            <w:pPr>
              <w:spacing w:before="0" w:line="240" w:lineRule="auto"/>
              <w:rPr>
                <w:rFonts w:cs="Times New Roman"/>
                <w:b w:val="0"/>
                <w:szCs w:val="24"/>
              </w:rPr>
            </w:pPr>
            <w:r w:rsidRPr="00A455AE">
              <w:rPr>
                <w:rFonts w:cs="Times New Roman"/>
                <w:b w:val="0"/>
                <w:szCs w:val="24"/>
              </w:rPr>
              <w:t xml:space="preserve">The financial resources are utilized efficiently </w:t>
            </w:r>
          </w:p>
          <w:p w14:paraId="3733C485" w14:textId="77777777" w:rsidR="006C386A" w:rsidRPr="00A455AE" w:rsidRDefault="006C386A" w:rsidP="006C386A">
            <w:pPr>
              <w:spacing w:before="0" w:line="240" w:lineRule="auto"/>
              <w:rPr>
                <w:b w:val="0"/>
              </w:rPr>
            </w:pPr>
          </w:p>
        </w:tc>
        <w:tc>
          <w:tcPr>
            <w:tcW w:w="661" w:type="dxa"/>
          </w:tcPr>
          <w:p w14:paraId="5806F0EA"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1.8</w:t>
            </w:r>
          </w:p>
        </w:tc>
        <w:tc>
          <w:tcPr>
            <w:tcW w:w="659" w:type="dxa"/>
          </w:tcPr>
          <w:p w14:paraId="1D552F9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6.4</w:t>
            </w:r>
          </w:p>
        </w:tc>
        <w:tc>
          <w:tcPr>
            <w:tcW w:w="707" w:type="dxa"/>
          </w:tcPr>
          <w:p w14:paraId="681004AE"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3.6</w:t>
            </w:r>
          </w:p>
        </w:tc>
        <w:tc>
          <w:tcPr>
            <w:tcW w:w="659" w:type="dxa"/>
          </w:tcPr>
          <w:p w14:paraId="499069F7"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14.5</w:t>
            </w:r>
          </w:p>
        </w:tc>
        <w:tc>
          <w:tcPr>
            <w:tcW w:w="804" w:type="dxa"/>
          </w:tcPr>
          <w:p w14:paraId="443E1201"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73.6</w:t>
            </w:r>
          </w:p>
        </w:tc>
        <w:tc>
          <w:tcPr>
            <w:tcW w:w="783" w:type="dxa"/>
          </w:tcPr>
          <w:p w14:paraId="1C459213"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4.53</w:t>
            </w:r>
          </w:p>
        </w:tc>
        <w:tc>
          <w:tcPr>
            <w:tcW w:w="848" w:type="dxa"/>
          </w:tcPr>
          <w:p w14:paraId="340190F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1.46</w:t>
            </w:r>
          </w:p>
        </w:tc>
      </w:tr>
      <w:tr w:rsidR="006C386A" w:rsidRPr="00A455AE" w14:paraId="64F0AFFE" w14:textId="77777777" w:rsidTr="004E0E83">
        <w:trPr>
          <w:trHeight w:val="360"/>
        </w:trPr>
        <w:tc>
          <w:tcPr>
            <w:cnfStyle w:val="001000000000" w:firstRow="0" w:lastRow="0" w:firstColumn="1" w:lastColumn="0" w:oddVBand="0" w:evenVBand="0" w:oddHBand="0" w:evenHBand="0" w:firstRowFirstColumn="0" w:firstRowLastColumn="0" w:lastRowFirstColumn="0" w:lastRowLastColumn="0"/>
            <w:tcW w:w="4455" w:type="dxa"/>
          </w:tcPr>
          <w:p w14:paraId="6AAA73E7" w14:textId="77777777" w:rsidR="006C386A" w:rsidRPr="00A455AE" w:rsidRDefault="006C386A" w:rsidP="006C386A">
            <w:pPr>
              <w:spacing w:before="0" w:line="240" w:lineRule="auto"/>
              <w:rPr>
                <w:rFonts w:ascii="ff1" w:hAnsi="ff1"/>
                <w:b w:val="0"/>
                <w:szCs w:val="24"/>
                <w:shd w:val="clear" w:color="auto" w:fill="FFFFFF"/>
              </w:rPr>
            </w:pPr>
            <w:r w:rsidRPr="00A455AE">
              <w:rPr>
                <w:rFonts w:ascii="ff1" w:hAnsi="ff1"/>
                <w:b w:val="0"/>
                <w:szCs w:val="24"/>
                <w:shd w:val="clear" w:color="auto" w:fill="FFFFFF"/>
              </w:rPr>
              <w:t>The school projects are completed within set budget and time</w:t>
            </w:r>
          </w:p>
          <w:p w14:paraId="282D64E6" w14:textId="77777777" w:rsidR="006C386A" w:rsidRPr="00A455AE" w:rsidRDefault="006C386A" w:rsidP="006C386A">
            <w:pPr>
              <w:spacing w:before="0" w:line="240" w:lineRule="auto"/>
              <w:rPr>
                <w:b w:val="0"/>
              </w:rPr>
            </w:pPr>
          </w:p>
        </w:tc>
        <w:tc>
          <w:tcPr>
            <w:tcW w:w="661" w:type="dxa"/>
          </w:tcPr>
          <w:p w14:paraId="7084885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79.1</w:t>
            </w:r>
          </w:p>
        </w:tc>
        <w:tc>
          <w:tcPr>
            <w:tcW w:w="659" w:type="dxa"/>
          </w:tcPr>
          <w:p w14:paraId="276E978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13.6</w:t>
            </w:r>
          </w:p>
        </w:tc>
        <w:tc>
          <w:tcPr>
            <w:tcW w:w="707" w:type="dxa"/>
          </w:tcPr>
          <w:p w14:paraId="58B87CBF"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0.9</w:t>
            </w:r>
          </w:p>
        </w:tc>
        <w:tc>
          <w:tcPr>
            <w:tcW w:w="659" w:type="dxa"/>
          </w:tcPr>
          <w:p w14:paraId="38968FA4"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1.8</w:t>
            </w:r>
          </w:p>
        </w:tc>
        <w:tc>
          <w:tcPr>
            <w:tcW w:w="804" w:type="dxa"/>
          </w:tcPr>
          <w:p w14:paraId="031161C5"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4.5</w:t>
            </w:r>
          </w:p>
          <w:p w14:paraId="4CE07837"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p>
        </w:tc>
        <w:tc>
          <w:tcPr>
            <w:tcW w:w="783" w:type="dxa"/>
          </w:tcPr>
          <w:p w14:paraId="5A70B1E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1.39</w:t>
            </w:r>
          </w:p>
        </w:tc>
        <w:tc>
          <w:tcPr>
            <w:tcW w:w="848" w:type="dxa"/>
          </w:tcPr>
          <w:p w14:paraId="30667058"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0.96</w:t>
            </w:r>
          </w:p>
        </w:tc>
      </w:tr>
      <w:tr w:rsidR="006C386A" w:rsidRPr="00A455AE" w14:paraId="0BAB818C"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009C7CD1"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lastRenderedPageBreak/>
              <w:t xml:space="preserve">The financial reports are accurate </w:t>
            </w:r>
          </w:p>
          <w:p w14:paraId="0E6D13BA" w14:textId="77777777" w:rsidR="006C386A" w:rsidRPr="00A455AE" w:rsidRDefault="006C386A" w:rsidP="006C386A">
            <w:pPr>
              <w:spacing w:before="0" w:line="240" w:lineRule="auto"/>
              <w:rPr>
                <w:b w:val="0"/>
              </w:rPr>
            </w:pPr>
          </w:p>
        </w:tc>
        <w:tc>
          <w:tcPr>
            <w:tcW w:w="661" w:type="dxa"/>
          </w:tcPr>
          <w:p w14:paraId="099A8A16"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8.2</w:t>
            </w:r>
          </w:p>
        </w:tc>
        <w:tc>
          <w:tcPr>
            <w:tcW w:w="659" w:type="dxa"/>
          </w:tcPr>
          <w:p w14:paraId="08B01FD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3.6</w:t>
            </w:r>
          </w:p>
        </w:tc>
        <w:tc>
          <w:tcPr>
            <w:tcW w:w="707" w:type="dxa"/>
          </w:tcPr>
          <w:p w14:paraId="67C2FD0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3.6</w:t>
            </w:r>
          </w:p>
        </w:tc>
        <w:tc>
          <w:tcPr>
            <w:tcW w:w="659" w:type="dxa"/>
          </w:tcPr>
          <w:p w14:paraId="3E72877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8.2</w:t>
            </w:r>
          </w:p>
        </w:tc>
        <w:tc>
          <w:tcPr>
            <w:tcW w:w="804" w:type="dxa"/>
          </w:tcPr>
          <w:p w14:paraId="4AC2E68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76.4</w:t>
            </w:r>
          </w:p>
        </w:tc>
        <w:tc>
          <w:tcPr>
            <w:tcW w:w="783" w:type="dxa"/>
          </w:tcPr>
          <w:p w14:paraId="3213634D"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4.41</w:t>
            </w:r>
          </w:p>
        </w:tc>
        <w:tc>
          <w:tcPr>
            <w:tcW w:w="848" w:type="dxa"/>
          </w:tcPr>
          <w:p w14:paraId="2CD53DA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1.23</w:t>
            </w:r>
          </w:p>
        </w:tc>
      </w:tr>
      <w:tr w:rsidR="006C386A" w:rsidRPr="00A455AE" w14:paraId="587D134E" w14:textId="77777777" w:rsidTr="004E0E83">
        <w:trPr>
          <w:trHeight w:val="423"/>
        </w:trPr>
        <w:tc>
          <w:tcPr>
            <w:cnfStyle w:val="001000000000" w:firstRow="0" w:lastRow="0" w:firstColumn="1" w:lastColumn="0" w:oddVBand="0" w:evenVBand="0" w:oddHBand="0" w:evenHBand="0" w:firstRowFirstColumn="0" w:firstRowLastColumn="0" w:lastRowFirstColumn="0" w:lastRowLastColumn="0"/>
            <w:tcW w:w="4455" w:type="dxa"/>
          </w:tcPr>
          <w:p w14:paraId="4D9582B8" w14:textId="77777777" w:rsidR="006C386A" w:rsidRPr="00A455AE" w:rsidRDefault="006C386A" w:rsidP="006C386A">
            <w:pPr>
              <w:spacing w:before="0" w:line="240" w:lineRule="auto"/>
              <w:rPr>
                <w:rFonts w:cs="Times New Roman"/>
                <w:b w:val="0"/>
                <w:szCs w:val="24"/>
              </w:rPr>
            </w:pPr>
            <w:r w:rsidRPr="00A455AE">
              <w:rPr>
                <w:rFonts w:cs="Times New Roman"/>
                <w:b w:val="0"/>
                <w:szCs w:val="24"/>
              </w:rPr>
              <w:t>The school adheres to the ministry financial policies and regulations</w:t>
            </w:r>
          </w:p>
          <w:p w14:paraId="7BC4A2C8" w14:textId="77777777" w:rsidR="006C386A" w:rsidRPr="00A455AE" w:rsidRDefault="006C386A" w:rsidP="006C386A">
            <w:pPr>
              <w:spacing w:before="0" w:line="240" w:lineRule="auto"/>
              <w:rPr>
                <w:b w:val="0"/>
              </w:rPr>
            </w:pPr>
          </w:p>
        </w:tc>
        <w:tc>
          <w:tcPr>
            <w:tcW w:w="661" w:type="dxa"/>
          </w:tcPr>
          <w:p w14:paraId="41A5DFF9"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2.7</w:t>
            </w:r>
          </w:p>
        </w:tc>
        <w:tc>
          <w:tcPr>
            <w:tcW w:w="659" w:type="dxa"/>
          </w:tcPr>
          <w:p w14:paraId="138E1D1D"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3.6</w:t>
            </w:r>
          </w:p>
        </w:tc>
        <w:tc>
          <w:tcPr>
            <w:tcW w:w="707" w:type="dxa"/>
          </w:tcPr>
          <w:p w14:paraId="4DFFAA37"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6.4</w:t>
            </w:r>
          </w:p>
        </w:tc>
        <w:tc>
          <w:tcPr>
            <w:tcW w:w="659" w:type="dxa"/>
          </w:tcPr>
          <w:p w14:paraId="6431E129"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13.6</w:t>
            </w:r>
          </w:p>
        </w:tc>
        <w:tc>
          <w:tcPr>
            <w:tcW w:w="804" w:type="dxa"/>
          </w:tcPr>
          <w:p w14:paraId="6897D249"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73.6</w:t>
            </w:r>
          </w:p>
        </w:tc>
        <w:tc>
          <w:tcPr>
            <w:tcW w:w="783" w:type="dxa"/>
          </w:tcPr>
          <w:p w14:paraId="236B260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4.52</w:t>
            </w:r>
          </w:p>
        </w:tc>
        <w:tc>
          <w:tcPr>
            <w:tcW w:w="848" w:type="dxa"/>
          </w:tcPr>
          <w:p w14:paraId="609F409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0.96</w:t>
            </w:r>
          </w:p>
        </w:tc>
      </w:tr>
      <w:tr w:rsidR="006C386A" w:rsidRPr="00A455AE" w14:paraId="02051C21"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515A7140" w14:textId="77777777" w:rsidR="006C386A" w:rsidRPr="00A455AE" w:rsidRDefault="006C386A" w:rsidP="006C386A">
            <w:pPr>
              <w:spacing w:before="0" w:line="240" w:lineRule="auto"/>
              <w:rPr>
                <w:rFonts w:cs="Times New Roman"/>
                <w:b w:val="0"/>
                <w:szCs w:val="24"/>
              </w:rPr>
            </w:pPr>
            <w:r w:rsidRPr="00A455AE">
              <w:rPr>
                <w:rFonts w:cs="Times New Roman"/>
                <w:b w:val="0"/>
                <w:szCs w:val="24"/>
              </w:rPr>
              <w:t>Financial resources are allocated reasonably in the school</w:t>
            </w:r>
          </w:p>
          <w:p w14:paraId="15B77CE5" w14:textId="77777777" w:rsidR="006C386A" w:rsidRPr="00A455AE" w:rsidRDefault="006C386A" w:rsidP="006C386A">
            <w:pPr>
              <w:spacing w:before="0" w:line="240" w:lineRule="auto"/>
              <w:rPr>
                <w:b w:val="0"/>
              </w:rPr>
            </w:pPr>
          </w:p>
        </w:tc>
        <w:tc>
          <w:tcPr>
            <w:tcW w:w="661" w:type="dxa"/>
          </w:tcPr>
          <w:p w14:paraId="3B3F0C19"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52.7</w:t>
            </w:r>
          </w:p>
        </w:tc>
        <w:tc>
          <w:tcPr>
            <w:tcW w:w="659" w:type="dxa"/>
          </w:tcPr>
          <w:p w14:paraId="7CBFE9AE"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28.2</w:t>
            </w:r>
          </w:p>
        </w:tc>
        <w:tc>
          <w:tcPr>
            <w:tcW w:w="707" w:type="dxa"/>
          </w:tcPr>
          <w:p w14:paraId="6974A6CE"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2.7</w:t>
            </w:r>
          </w:p>
        </w:tc>
        <w:tc>
          <w:tcPr>
            <w:tcW w:w="659" w:type="dxa"/>
          </w:tcPr>
          <w:p w14:paraId="3B300A9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7.3</w:t>
            </w:r>
          </w:p>
        </w:tc>
        <w:tc>
          <w:tcPr>
            <w:tcW w:w="804" w:type="dxa"/>
          </w:tcPr>
          <w:p w14:paraId="3D1265C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9.1</w:t>
            </w:r>
          </w:p>
        </w:tc>
        <w:tc>
          <w:tcPr>
            <w:tcW w:w="783" w:type="dxa"/>
          </w:tcPr>
          <w:p w14:paraId="05D80606"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1.92</w:t>
            </w:r>
          </w:p>
        </w:tc>
        <w:tc>
          <w:tcPr>
            <w:tcW w:w="848" w:type="dxa"/>
          </w:tcPr>
          <w:p w14:paraId="4B6BCF86"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1.29</w:t>
            </w:r>
          </w:p>
        </w:tc>
      </w:tr>
      <w:tr w:rsidR="006C386A" w:rsidRPr="00A455AE" w14:paraId="6C0E97F4"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1914C64D" w14:textId="77777777" w:rsidR="006C386A" w:rsidRPr="00A455AE" w:rsidRDefault="006C386A" w:rsidP="006C386A">
            <w:pPr>
              <w:spacing w:before="0" w:line="240" w:lineRule="auto"/>
              <w:rPr>
                <w:b w:val="0"/>
              </w:rPr>
            </w:pPr>
            <w:r w:rsidRPr="00A455AE">
              <w:rPr>
                <w:rFonts w:eastAsia="Times New Roman" w:cs="Times New Roman"/>
                <w:b w:val="0"/>
                <w:szCs w:val="24"/>
              </w:rPr>
              <w:t>The school financial records are transparent</w:t>
            </w:r>
          </w:p>
        </w:tc>
        <w:tc>
          <w:tcPr>
            <w:tcW w:w="661" w:type="dxa"/>
          </w:tcPr>
          <w:p w14:paraId="4D08472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7.3</w:t>
            </w:r>
          </w:p>
        </w:tc>
        <w:tc>
          <w:tcPr>
            <w:tcW w:w="659" w:type="dxa"/>
          </w:tcPr>
          <w:p w14:paraId="519F539A"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10.0</w:t>
            </w:r>
          </w:p>
        </w:tc>
        <w:tc>
          <w:tcPr>
            <w:tcW w:w="707" w:type="dxa"/>
          </w:tcPr>
          <w:p w14:paraId="6857150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3.6</w:t>
            </w:r>
          </w:p>
        </w:tc>
        <w:tc>
          <w:tcPr>
            <w:tcW w:w="659" w:type="dxa"/>
          </w:tcPr>
          <w:p w14:paraId="6FCDD44D"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29.1</w:t>
            </w:r>
          </w:p>
        </w:tc>
        <w:tc>
          <w:tcPr>
            <w:tcW w:w="804" w:type="dxa"/>
          </w:tcPr>
          <w:p w14:paraId="4656815D"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50.0</w:t>
            </w:r>
          </w:p>
        </w:tc>
        <w:tc>
          <w:tcPr>
            <w:tcW w:w="783" w:type="dxa"/>
          </w:tcPr>
          <w:p w14:paraId="7FAD9C21"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4.04</w:t>
            </w:r>
          </w:p>
        </w:tc>
        <w:tc>
          <w:tcPr>
            <w:tcW w:w="848" w:type="dxa"/>
          </w:tcPr>
          <w:p w14:paraId="424BABE7"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1.37</w:t>
            </w:r>
          </w:p>
        </w:tc>
      </w:tr>
      <w:tr w:rsidR="006C386A" w:rsidRPr="00A455AE" w14:paraId="2C7342EE"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06E86015" w14:textId="77777777" w:rsidR="006C386A" w:rsidRPr="00A455AE" w:rsidRDefault="006C386A" w:rsidP="006C386A">
            <w:pPr>
              <w:spacing w:before="0" w:line="240" w:lineRule="auto"/>
            </w:pPr>
            <w:r w:rsidRPr="00A455AE">
              <w:rPr>
                <w:b w:val="0"/>
              </w:rPr>
              <w:t>Average</w:t>
            </w:r>
          </w:p>
        </w:tc>
        <w:tc>
          <w:tcPr>
            <w:tcW w:w="661" w:type="dxa"/>
          </w:tcPr>
          <w:p w14:paraId="1BBAC399"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p>
        </w:tc>
        <w:tc>
          <w:tcPr>
            <w:tcW w:w="659" w:type="dxa"/>
          </w:tcPr>
          <w:p w14:paraId="66EE805F"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p>
        </w:tc>
        <w:tc>
          <w:tcPr>
            <w:tcW w:w="707" w:type="dxa"/>
          </w:tcPr>
          <w:p w14:paraId="66BFBAC4"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p>
        </w:tc>
        <w:tc>
          <w:tcPr>
            <w:tcW w:w="659" w:type="dxa"/>
          </w:tcPr>
          <w:p w14:paraId="646CCD83"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p>
        </w:tc>
        <w:tc>
          <w:tcPr>
            <w:tcW w:w="804" w:type="dxa"/>
          </w:tcPr>
          <w:p w14:paraId="3D151267"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p>
        </w:tc>
        <w:tc>
          <w:tcPr>
            <w:tcW w:w="783" w:type="dxa"/>
          </w:tcPr>
          <w:p w14:paraId="6C6FBDE6"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b/>
              </w:rPr>
            </w:pPr>
            <w:r w:rsidRPr="00A455AE">
              <w:rPr>
                <w:b/>
              </w:rPr>
              <w:t>3.47</w:t>
            </w:r>
          </w:p>
        </w:tc>
        <w:tc>
          <w:tcPr>
            <w:tcW w:w="848" w:type="dxa"/>
          </w:tcPr>
          <w:p w14:paraId="15D5218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b/>
              </w:rPr>
            </w:pPr>
            <w:r w:rsidRPr="00A455AE">
              <w:rPr>
                <w:b/>
              </w:rPr>
              <w:t>1.21</w:t>
            </w:r>
          </w:p>
        </w:tc>
      </w:tr>
    </w:tbl>
    <w:p w14:paraId="5CDB81F8" w14:textId="77777777" w:rsidR="006C386A" w:rsidRPr="00A455AE" w:rsidRDefault="006C386A" w:rsidP="006C386A">
      <w:pPr>
        <w:spacing w:after="100" w:afterAutospacing="1"/>
        <w:jc w:val="left"/>
        <w:rPr>
          <w:rFonts w:cs="Times New Roman"/>
          <w:b/>
          <w:szCs w:val="24"/>
        </w:rPr>
      </w:pPr>
      <w:r w:rsidRPr="00A455AE">
        <w:rPr>
          <w:rFonts w:cs="Times New Roman"/>
          <w:b/>
          <w:szCs w:val="24"/>
        </w:rPr>
        <w:t>N=110</w:t>
      </w:r>
    </w:p>
    <w:p w14:paraId="6C15FB4E" w14:textId="77777777" w:rsidR="006C386A" w:rsidRPr="00A455AE" w:rsidRDefault="006C386A" w:rsidP="006C386A">
      <w:pPr>
        <w:spacing w:line="240" w:lineRule="auto"/>
      </w:pPr>
      <w:r w:rsidRPr="00A455AE">
        <w:t xml:space="preserve">The results show that the board members strongly agreed that; the school adhere to the ministry financial policies and regulations (M=4.52, Std. 0.96), financial resources are utilized efficiently (M=4.53, Std. 1.46), and that </w:t>
      </w:r>
      <w:r w:rsidRPr="00A455AE">
        <w:rPr>
          <w:rFonts w:eastAsia="Times New Roman"/>
        </w:rPr>
        <w:t>financial reports are accurate (</w:t>
      </w:r>
      <w:r w:rsidRPr="00A455AE">
        <w:t xml:space="preserve">M=4.41, Std. 1.23). The results also agreed that the </w:t>
      </w:r>
      <w:r w:rsidRPr="00A455AE">
        <w:rPr>
          <w:rFonts w:eastAsia="Times New Roman"/>
        </w:rPr>
        <w:t xml:space="preserve">school financial records are transparent </w:t>
      </w:r>
      <w:r w:rsidRPr="00A455AE">
        <w:t>(M=4.04, Std. 1.37). On the contrary, the respondents disagreed that financial resources are allocated reasonably in the school (M=1.92, Std. 1.29), and that t</w:t>
      </w:r>
      <w:r w:rsidRPr="00A455AE">
        <w:rPr>
          <w:rFonts w:ascii="ff1" w:hAnsi="ff1"/>
          <w:shd w:val="clear" w:color="auto" w:fill="FFFFFF"/>
        </w:rPr>
        <w:t xml:space="preserve">he school projects are completed within set budget and time </w:t>
      </w:r>
      <w:r w:rsidRPr="00A455AE">
        <w:t xml:space="preserve">(M=1.39, Std. 0.96). The findings on financial management in public secondary schools in Nairobi City County </w:t>
      </w:r>
      <w:proofErr w:type="gramStart"/>
      <w:r w:rsidRPr="00A455AE">
        <w:t>show  a</w:t>
      </w:r>
      <w:proofErr w:type="gramEnd"/>
      <w:r w:rsidRPr="00A455AE">
        <w:t xml:space="preserve"> mixed but generally positive perspectives amongst board members, with an overall average mean of 3.47 (Std. = 1.21). </w:t>
      </w:r>
    </w:p>
    <w:p w14:paraId="78353530" w14:textId="77777777" w:rsidR="006C386A" w:rsidRPr="00A455AE" w:rsidRDefault="006C386A" w:rsidP="006C386A">
      <w:pPr>
        <w:spacing w:line="240" w:lineRule="auto"/>
        <w:rPr>
          <w:rFonts w:eastAsia="Times New Roman" w:cs="Times New Roman"/>
          <w:szCs w:val="24"/>
        </w:rPr>
      </w:pPr>
      <w:r w:rsidRPr="00A455AE">
        <w:t xml:space="preserve">Based on these findings, there is a high level of confidence regarding regulatory compliance, the accuracy of reporting and transparency which are critical pillars of financial governance in public schools.  </w:t>
      </w:r>
      <w:r w:rsidRPr="00A455AE">
        <w:rPr>
          <w:rFonts w:eastAsia="Times New Roman" w:cs="Times New Roman"/>
          <w:szCs w:val="24"/>
        </w:rPr>
        <w:t>There were also significant areas of disagreement among respondents with respect to the completion of school projects within the set budget and timeframe and also regarding the financial resource allocations. The extremely low mean found for project completion suggests the projects are either delayed or abandoned.  This is a long-standing problem in public secondary schools and is mainly attributed to the delays associated with capitation funding, procurement bottlenecks, and challenges with contractors. The findings are in agreement with the findings of the National Audit Office (2020-2024), which cited delays or failures to complete school projects due to: irregular or delayed capitation grants, challenges with procurement processes, ineffectiveness of contractor performance, and insufficient monitoring and evaluation. The Auditor General’s special audit of capitation funds (2021-2023) found that the average completion rate of many counties was only 40-60%, which also correlates with the findings in relation to project completion rate.</w:t>
      </w:r>
    </w:p>
    <w:p w14:paraId="22C610A4" w14:textId="77777777" w:rsidR="006C386A" w:rsidRPr="00A455AE" w:rsidRDefault="006C386A" w:rsidP="006C386A">
      <w:pPr>
        <w:pStyle w:val="Heading2"/>
      </w:pPr>
      <w:bookmarkStart w:id="3" w:name="_Toc223691450"/>
      <w:r w:rsidRPr="00A455AE">
        <w:t>Table 3: Secondary Data on Board of Management Governance</w:t>
      </w:r>
      <w:bookmarkEnd w:id="3"/>
    </w:p>
    <w:tbl>
      <w:tblPr>
        <w:tblStyle w:val="ListTable6Colorful1"/>
        <w:tblW w:w="0" w:type="auto"/>
        <w:tblLook w:val="06A0" w:firstRow="1" w:lastRow="0" w:firstColumn="1" w:lastColumn="0" w:noHBand="1" w:noVBand="1"/>
      </w:tblPr>
      <w:tblGrid>
        <w:gridCol w:w="990"/>
        <w:gridCol w:w="3010"/>
        <w:gridCol w:w="1288"/>
        <w:gridCol w:w="2141"/>
        <w:gridCol w:w="2233"/>
        <w:gridCol w:w="1368"/>
      </w:tblGrid>
      <w:tr w:rsidR="006C386A" w:rsidRPr="00A455AE" w14:paraId="5E4D70BB" w14:textId="77777777" w:rsidTr="004E0E83">
        <w:trPr>
          <w:cnfStyle w:val="100000000000" w:firstRow="1" w:lastRow="0" w:firstColumn="0" w:lastColumn="0" w:oddVBand="0" w:evenVBand="0" w:oddHBand="0" w:evenHBand="0" w:firstRowFirstColumn="0" w:firstRowLastColumn="0" w:lastRowFirstColumn="0" w:lastRowLastColumn="0"/>
          <w:trHeight w:val="1097"/>
        </w:trPr>
        <w:tc>
          <w:tcPr>
            <w:cnfStyle w:val="001000000000" w:firstRow="0" w:lastRow="0" w:firstColumn="1" w:lastColumn="0" w:oddVBand="0" w:evenVBand="0" w:oddHBand="0" w:evenHBand="0" w:firstRowFirstColumn="0" w:firstRowLastColumn="0" w:lastRowFirstColumn="0" w:lastRowLastColumn="0"/>
            <w:tcW w:w="0" w:type="auto"/>
            <w:hideMark/>
          </w:tcPr>
          <w:p w14:paraId="2379157C" w14:textId="77777777" w:rsidR="006C386A" w:rsidRPr="00A455AE" w:rsidRDefault="006C386A" w:rsidP="006C386A">
            <w:pPr>
              <w:spacing w:before="0" w:line="240" w:lineRule="auto"/>
              <w:jc w:val="center"/>
              <w:rPr>
                <w:rFonts w:eastAsia="Times New Roman" w:cs="Times New Roman"/>
                <w:bCs w:val="0"/>
                <w:szCs w:val="24"/>
              </w:rPr>
            </w:pPr>
            <w:r w:rsidRPr="00A455AE">
              <w:rPr>
                <w:rFonts w:eastAsia="Times New Roman" w:cs="Times New Roman"/>
                <w:bCs w:val="0"/>
                <w:szCs w:val="24"/>
              </w:rPr>
              <w:t>Year</w:t>
            </w:r>
          </w:p>
        </w:tc>
        <w:tc>
          <w:tcPr>
            <w:tcW w:w="0" w:type="auto"/>
            <w:hideMark/>
          </w:tcPr>
          <w:p w14:paraId="7739E878" w14:textId="77777777" w:rsidR="006C386A" w:rsidRPr="00A455AE" w:rsidRDefault="006C386A" w:rsidP="006C386A">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szCs w:val="24"/>
              </w:rPr>
            </w:pPr>
            <w:r w:rsidRPr="00A455AE">
              <w:rPr>
                <w:rFonts w:eastAsia="Times New Roman" w:cs="Times New Roman"/>
                <w:bCs w:val="0"/>
                <w:szCs w:val="24"/>
              </w:rPr>
              <w:t>Mean No. of Board Members</w:t>
            </w:r>
          </w:p>
        </w:tc>
        <w:tc>
          <w:tcPr>
            <w:tcW w:w="1288" w:type="dxa"/>
          </w:tcPr>
          <w:p w14:paraId="03984D2B" w14:textId="77777777" w:rsidR="006C386A" w:rsidRPr="00A455AE" w:rsidRDefault="006C386A" w:rsidP="006C386A">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sidRPr="00A455AE">
              <w:t>Mean Years of service</w:t>
            </w:r>
          </w:p>
          <w:p w14:paraId="04D50A9F" w14:textId="77777777" w:rsidR="006C386A" w:rsidRPr="00A455AE" w:rsidRDefault="006C386A" w:rsidP="006C386A">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szCs w:val="24"/>
              </w:rPr>
            </w:pPr>
          </w:p>
        </w:tc>
        <w:tc>
          <w:tcPr>
            <w:tcW w:w="2141" w:type="dxa"/>
          </w:tcPr>
          <w:p w14:paraId="7C051860" w14:textId="77777777" w:rsidR="006C386A" w:rsidRPr="00A455AE" w:rsidRDefault="006C386A" w:rsidP="006C386A">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sidRPr="00A455AE">
              <w:t>Mean No. of Independence Members</w:t>
            </w:r>
          </w:p>
          <w:p w14:paraId="6A8517EE" w14:textId="77777777" w:rsidR="006C386A" w:rsidRPr="00A455AE" w:rsidRDefault="006C386A" w:rsidP="006C386A">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szCs w:val="24"/>
              </w:rPr>
            </w:pPr>
          </w:p>
        </w:tc>
        <w:tc>
          <w:tcPr>
            <w:tcW w:w="2233" w:type="dxa"/>
            <w:hideMark/>
          </w:tcPr>
          <w:p w14:paraId="0EF3E573" w14:textId="77777777" w:rsidR="006C386A" w:rsidRPr="00A455AE" w:rsidRDefault="006C386A" w:rsidP="006C386A">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sidRPr="00A455AE">
              <w:t>Mean BOM Trainings/Year</w:t>
            </w:r>
          </w:p>
          <w:p w14:paraId="3DB6140A" w14:textId="77777777" w:rsidR="006C386A" w:rsidRPr="00A455AE" w:rsidRDefault="006C386A" w:rsidP="006C386A">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szCs w:val="24"/>
              </w:rPr>
            </w:pPr>
          </w:p>
        </w:tc>
        <w:tc>
          <w:tcPr>
            <w:tcW w:w="1368" w:type="dxa"/>
            <w:hideMark/>
          </w:tcPr>
          <w:p w14:paraId="0D2BA45E" w14:textId="77777777" w:rsidR="006C386A" w:rsidRPr="00A455AE" w:rsidRDefault="006C386A" w:rsidP="006C386A">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bCs w:val="0"/>
              </w:rPr>
            </w:pPr>
            <w:proofErr w:type="gramStart"/>
            <w:r w:rsidRPr="00A455AE">
              <w:t>Project  Completed</w:t>
            </w:r>
            <w:proofErr w:type="gramEnd"/>
            <w:r w:rsidRPr="00A455AE">
              <w:t xml:space="preserve"> rate</w:t>
            </w:r>
          </w:p>
        </w:tc>
      </w:tr>
      <w:tr w:rsidR="006C386A" w:rsidRPr="00A455AE" w14:paraId="2ACA7AEC" w14:textId="77777777" w:rsidTr="004E0E83">
        <w:tc>
          <w:tcPr>
            <w:cnfStyle w:val="001000000000" w:firstRow="0" w:lastRow="0" w:firstColumn="1" w:lastColumn="0" w:oddVBand="0" w:evenVBand="0" w:oddHBand="0" w:evenHBand="0" w:firstRowFirstColumn="0" w:firstRowLastColumn="0" w:lastRowFirstColumn="0" w:lastRowLastColumn="0"/>
            <w:tcW w:w="0" w:type="auto"/>
            <w:hideMark/>
          </w:tcPr>
          <w:p w14:paraId="5BEA93D1"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t>2020</w:t>
            </w:r>
          </w:p>
        </w:tc>
        <w:tc>
          <w:tcPr>
            <w:tcW w:w="0" w:type="auto"/>
            <w:hideMark/>
          </w:tcPr>
          <w:p w14:paraId="5135A99E"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12.5</w:t>
            </w:r>
          </w:p>
        </w:tc>
        <w:tc>
          <w:tcPr>
            <w:tcW w:w="1288" w:type="dxa"/>
            <w:hideMark/>
          </w:tcPr>
          <w:p w14:paraId="12B8F36F"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2.2</w:t>
            </w:r>
          </w:p>
        </w:tc>
        <w:tc>
          <w:tcPr>
            <w:tcW w:w="2141" w:type="dxa"/>
            <w:hideMark/>
          </w:tcPr>
          <w:p w14:paraId="5C5FA56A"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5.2</w:t>
            </w:r>
          </w:p>
        </w:tc>
        <w:tc>
          <w:tcPr>
            <w:tcW w:w="2233" w:type="dxa"/>
            <w:hideMark/>
          </w:tcPr>
          <w:p w14:paraId="5C59C745"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0.8</w:t>
            </w:r>
          </w:p>
        </w:tc>
        <w:tc>
          <w:tcPr>
            <w:tcW w:w="1368" w:type="dxa"/>
            <w:hideMark/>
          </w:tcPr>
          <w:p w14:paraId="7B3E9441"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44%</w:t>
            </w:r>
          </w:p>
        </w:tc>
      </w:tr>
      <w:tr w:rsidR="006C386A" w:rsidRPr="00A455AE" w14:paraId="3D8EEDC8" w14:textId="77777777" w:rsidTr="004E0E83">
        <w:tc>
          <w:tcPr>
            <w:cnfStyle w:val="001000000000" w:firstRow="0" w:lastRow="0" w:firstColumn="1" w:lastColumn="0" w:oddVBand="0" w:evenVBand="0" w:oddHBand="0" w:evenHBand="0" w:firstRowFirstColumn="0" w:firstRowLastColumn="0" w:lastRowFirstColumn="0" w:lastRowLastColumn="0"/>
            <w:tcW w:w="0" w:type="auto"/>
            <w:hideMark/>
          </w:tcPr>
          <w:p w14:paraId="34DA8C92"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t>2021</w:t>
            </w:r>
          </w:p>
        </w:tc>
        <w:tc>
          <w:tcPr>
            <w:tcW w:w="0" w:type="auto"/>
            <w:hideMark/>
          </w:tcPr>
          <w:p w14:paraId="3F4F98E7"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13.0</w:t>
            </w:r>
          </w:p>
        </w:tc>
        <w:tc>
          <w:tcPr>
            <w:tcW w:w="1288" w:type="dxa"/>
            <w:hideMark/>
          </w:tcPr>
          <w:p w14:paraId="6BA9A3EA"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2.6</w:t>
            </w:r>
          </w:p>
        </w:tc>
        <w:tc>
          <w:tcPr>
            <w:tcW w:w="2141" w:type="dxa"/>
            <w:hideMark/>
          </w:tcPr>
          <w:p w14:paraId="66024B94"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5.4</w:t>
            </w:r>
          </w:p>
        </w:tc>
        <w:tc>
          <w:tcPr>
            <w:tcW w:w="2233" w:type="dxa"/>
            <w:hideMark/>
          </w:tcPr>
          <w:p w14:paraId="011A6B79"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1.2</w:t>
            </w:r>
          </w:p>
        </w:tc>
        <w:tc>
          <w:tcPr>
            <w:tcW w:w="1368" w:type="dxa"/>
            <w:hideMark/>
          </w:tcPr>
          <w:p w14:paraId="6D99BA5A"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52%</w:t>
            </w:r>
          </w:p>
        </w:tc>
      </w:tr>
      <w:tr w:rsidR="006C386A" w:rsidRPr="00A455AE" w14:paraId="1820DB5E" w14:textId="77777777" w:rsidTr="004E0E83">
        <w:tc>
          <w:tcPr>
            <w:cnfStyle w:val="001000000000" w:firstRow="0" w:lastRow="0" w:firstColumn="1" w:lastColumn="0" w:oddVBand="0" w:evenVBand="0" w:oddHBand="0" w:evenHBand="0" w:firstRowFirstColumn="0" w:firstRowLastColumn="0" w:lastRowFirstColumn="0" w:lastRowLastColumn="0"/>
            <w:tcW w:w="0" w:type="auto"/>
            <w:hideMark/>
          </w:tcPr>
          <w:p w14:paraId="2F44E401"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t>2022</w:t>
            </w:r>
          </w:p>
        </w:tc>
        <w:tc>
          <w:tcPr>
            <w:tcW w:w="0" w:type="auto"/>
            <w:hideMark/>
          </w:tcPr>
          <w:p w14:paraId="00EBC5BF"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13.1</w:t>
            </w:r>
          </w:p>
        </w:tc>
        <w:tc>
          <w:tcPr>
            <w:tcW w:w="1288" w:type="dxa"/>
            <w:hideMark/>
          </w:tcPr>
          <w:p w14:paraId="700DD985"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3.0</w:t>
            </w:r>
          </w:p>
        </w:tc>
        <w:tc>
          <w:tcPr>
            <w:tcW w:w="2141" w:type="dxa"/>
            <w:hideMark/>
          </w:tcPr>
          <w:p w14:paraId="5E5EB8CE"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5.6</w:t>
            </w:r>
          </w:p>
        </w:tc>
        <w:tc>
          <w:tcPr>
            <w:tcW w:w="2233" w:type="dxa"/>
            <w:hideMark/>
          </w:tcPr>
          <w:p w14:paraId="72E49505"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2.6</w:t>
            </w:r>
          </w:p>
        </w:tc>
        <w:tc>
          <w:tcPr>
            <w:tcW w:w="1368" w:type="dxa"/>
            <w:hideMark/>
          </w:tcPr>
          <w:p w14:paraId="4635C705"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60%</w:t>
            </w:r>
          </w:p>
        </w:tc>
      </w:tr>
      <w:tr w:rsidR="006C386A" w:rsidRPr="00A455AE" w14:paraId="5B9B1BB9" w14:textId="77777777" w:rsidTr="004E0E83">
        <w:tc>
          <w:tcPr>
            <w:cnfStyle w:val="001000000000" w:firstRow="0" w:lastRow="0" w:firstColumn="1" w:lastColumn="0" w:oddVBand="0" w:evenVBand="0" w:oddHBand="0" w:evenHBand="0" w:firstRowFirstColumn="0" w:firstRowLastColumn="0" w:lastRowFirstColumn="0" w:lastRowLastColumn="0"/>
            <w:tcW w:w="0" w:type="auto"/>
            <w:hideMark/>
          </w:tcPr>
          <w:p w14:paraId="3F8C62BD"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t>2023</w:t>
            </w:r>
          </w:p>
        </w:tc>
        <w:tc>
          <w:tcPr>
            <w:tcW w:w="0" w:type="auto"/>
            <w:hideMark/>
          </w:tcPr>
          <w:p w14:paraId="07B4D257"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13.0</w:t>
            </w:r>
          </w:p>
        </w:tc>
        <w:tc>
          <w:tcPr>
            <w:tcW w:w="1288" w:type="dxa"/>
            <w:hideMark/>
          </w:tcPr>
          <w:p w14:paraId="3EF619BD"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3.6</w:t>
            </w:r>
          </w:p>
        </w:tc>
        <w:tc>
          <w:tcPr>
            <w:tcW w:w="2141" w:type="dxa"/>
            <w:hideMark/>
          </w:tcPr>
          <w:p w14:paraId="0246421A"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6.1</w:t>
            </w:r>
          </w:p>
        </w:tc>
        <w:tc>
          <w:tcPr>
            <w:tcW w:w="2233" w:type="dxa"/>
            <w:hideMark/>
          </w:tcPr>
          <w:p w14:paraId="5C629C23"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2.8</w:t>
            </w:r>
          </w:p>
        </w:tc>
        <w:tc>
          <w:tcPr>
            <w:tcW w:w="1368" w:type="dxa"/>
            <w:hideMark/>
          </w:tcPr>
          <w:p w14:paraId="4E0CC980"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68%</w:t>
            </w:r>
          </w:p>
        </w:tc>
      </w:tr>
      <w:tr w:rsidR="006C386A" w:rsidRPr="00A455AE" w14:paraId="1D07CFDB" w14:textId="77777777" w:rsidTr="004E0E83">
        <w:tc>
          <w:tcPr>
            <w:cnfStyle w:val="001000000000" w:firstRow="0" w:lastRow="0" w:firstColumn="1" w:lastColumn="0" w:oddVBand="0" w:evenVBand="0" w:oddHBand="0" w:evenHBand="0" w:firstRowFirstColumn="0" w:firstRowLastColumn="0" w:lastRowFirstColumn="0" w:lastRowLastColumn="0"/>
            <w:tcW w:w="0" w:type="auto"/>
            <w:hideMark/>
          </w:tcPr>
          <w:p w14:paraId="68837B72"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t>2024</w:t>
            </w:r>
          </w:p>
        </w:tc>
        <w:tc>
          <w:tcPr>
            <w:tcW w:w="0" w:type="auto"/>
            <w:hideMark/>
          </w:tcPr>
          <w:p w14:paraId="1723AC31"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13.6</w:t>
            </w:r>
          </w:p>
        </w:tc>
        <w:tc>
          <w:tcPr>
            <w:tcW w:w="1288" w:type="dxa"/>
            <w:hideMark/>
          </w:tcPr>
          <w:p w14:paraId="4E919D3B"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3.2</w:t>
            </w:r>
          </w:p>
        </w:tc>
        <w:tc>
          <w:tcPr>
            <w:tcW w:w="2141" w:type="dxa"/>
            <w:hideMark/>
          </w:tcPr>
          <w:p w14:paraId="4349BA93"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6.4</w:t>
            </w:r>
          </w:p>
        </w:tc>
        <w:tc>
          <w:tcPr>
            <w:tcW w:w="2233" w:type="dxa"/>
            <w:hideMark/>
          </w:tcPr>
          <w:p w14:paraId="7E876095"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3.2</w:t>
            </w:r>
          </w:p>
        </w:tc>
        <w:tc>
          <w:tcPr>
            <w:tcW w:w="1368" w:type="dxa"/>
            <w:hideMark/>
          </w:tcPr>
          <w:p w14:paraId="2A912366"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78%</w:t>
            </w:r>
          </w:p>
        </w:tc>
      </w:tr>
      <w:tr w:rsidR="006C386A" w:rsidRPr="00A455AE" w14:paraId="7D1E347E" w14:textId="77777777" w:rsidTr="004E0E83">
        <w:tc>
          <w:tcPr>
            <w:cnfStyle w:val="001000000000" w:firstRow="0" w:lastRow="0" w:firstColumn="1" w:lastColumn="0" w:oddVBand="0" w:evenVBand="0" w:oddHBand="0" w:evenHBand="0" w:firstRowFirstColumn="0" w:firstRowLastColumn="0" w:lastRowFirstColumn="0" w:lastRowLastColumn="0"/>
            <w:tcW w:w="0" w:type="auto"/>
            <w:hideMark/>
          </w:tcPr>
          <w:p w14:paraId="4FBDC931" w14:textId="77777777" w:rsidR="006C386A" w:rsidRPr="00A455AE" w:rsidRDefault="006C386A" w:rsidP="006C386A">
            <w:pPr>
              <w:spacing w:before="0" w:line="240" w:lineRule="auto"/>
              <w:rPr>
                <w:rFonts w:eastAsia="Times New Roman" w:cs="Times New Roman"/>
                <w:szCs w:val="24"/>
              </w:rPr>
            </w:pPr>
            <w:r w:rsidRPr="00A455AE">
              <w:rPr>
                <w:rFonts w:eastAsia="Times New Roman" w:cs="Times New Roman"/>
                <w:bCs w:val="0"/>
                <w:szCs w:val="24"/>
              </w:rPr>
              <w:t>Overall</w:t>
            </w:r>
          </w:p>
        </w:tc>
        <w:tc>
          <w:tcPr>
            <w:tcW w:w="0" w:type="auto"/>
            <w:hideMark/>
          </w:tcPr>
          <w:p w14:paraId="3EDC4553"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sidRPr="00A455AE">
              <w:rPr>
                <w:rFonts w:eastAsia="Times New Roman" w:cs="Times New Roman"/>
                <w:b/>
                <w:szCs w:val="24"/>
              </w:rPr>
              <w:t>13.04</w:t>
            </w:r>
          </w:p>
        </w:tc>
        <w:tc>
          <w:tcPr>
            <w:tcW w:w="1288" w:type="dxa"/>
            <w:hideMark/>
          </w:tcPr>
          <w:p w14:paraId="235C69E7"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sidRPr="00A455AE">
              <w:rPr>
                <w:rFonts w:eastAsia="Times New Roman" w:cs="Times New Roman"/>
                <w:b/>
                <w:szCs w:val="24"/>
              </w:rPr>
              <w:t>2.92</w:t>
            </w:r>
          </w:p>
        </w:tc>
        <w:tc>
          <w:tcPr>
            <w:tcW w:w="2141" w:type="dxa"/>
            <w:hideMark/>
          </w:tcPr>
          <w:p w14:paraId="2B579A36"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sidRPr="00A455AE">
              <w:rPr>
                <w:rFonts w:eastAsia="Times New Roman" w:cs="Times New Roman"/>
                <w:b/>
                <w:szCs w:val="24"/>
              </w:rPr>
              <w:t>5.74</w:t>
            </w:r>
          </w:p>
        </w:tc>
        <w:tc>
          <w:tcPr>
            <w:tcW w:w="2233" w:type="dxa"/>
            <w:hideMark/>
          </w:tcPr>
          <w:p w14:paraId="5AC3D48B"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sidRPr="00A455AE">
              <w:rPr>
                <w:rFonts w:eastAsia="Times New Roman" w:cs="Times New Roman"/>
                <w:b/>
                <w:szCs w:val="24"/>
              </w:rPr>
              <w:t>2.12</w:t>
            </w:r>
          </w:p>
        </w:tc>
        <w:tc>
          <w:tcPr>
            <w:tcW w:w="1368" w:type="dxa"/>
            <w:hideMark/>
          </w:tcPr>
          <w:p w14:paraId="25BDCAEA"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sidRPr="00A455AE">
              <w:rPr>
                <w:rFonts w:eastAsia="Times New Roman" w:cs="Times New Roman"/>
                <w:b/>
                <w:szCs w:val="24"/>
              </w:rPr>
              <w:t>60.4</w:t>
            </w:r>
          </w:p>
        </w:tc>
      </w:tr>
    </w:tbl>
    <w:p w14:paraId="0AD0BC8A" w14:textId="77777777" w:rsidR="006C386A" w:rsidRPr="00A455AE" w:rsidRDefault="006C386A" w:rsidP="006C386A">
      <w:pPr>
        <w:rPr>
          <w:shd w:val="clear" w:color="auto" w:fill="FFFFFF"/>
        </w:rPr>
      </w:pPr>
    </w:p>
    <w:p w14:paraId="04DDA9DE" w14:textId="77777777" w:rsidR="006C386A" w:rsidRPr="00A455AE" w:rsidRDefault="006C386A" w:rsidP="006C386A">
      <w:pPr>
        <w:spacing w:line="240" w:lineRule="auto"/>
        <w:rPr>
          <w:rFonts w:eastAsia="Times New Roman" w:cs="Times New Roman"/>
          <w:szCs w:val="24"/>
        </w:rPr>
      </w:pPr>
      <w:r w:rsidRPr="00A455AE">
        <w:rPr>
          <w:rFonts w:eastAsia="Times New Roman" w:cs="Times New Roman"/>
          <w:szCs w:val="24"/>
        </w:rPr>
        <w:lastRenderedPageBreak/>
        <w:t>The average number of board members is 13 according to these results. The number of independent directors align with MOE recommendations regarding number of board members in public secondary schools in Kenya in order to enhance accountability in school management. The Basic Education Act, 2013 (Section 56) and BOM Guidelines from the Ministry of Education state that the typical composition of the Board of Management (BOM) for public secondary schools should consist of 13 members.</w:t>
      </w:r>
    </w:p>
    <w:p w14:paraId="5AB159D3" w14:textId="77777777" w:rsidR="006C386A" w:rsidRPr="00A455AE" w:rsidRDefault="006C386A" w:rsidP="006C386A">
      <w:pPr>
        <w:spacing w:line="240" w:lineRule="auto"/>
        <w:rPr>
          <w:rFonts w:eastAsia="Times New Roman" w:cs="Times New Roman"/>
          <w:szCs w:val="24"/>
        </w:rPr>
      </w:pPr>
      <w:r w:rsidRPr="00A455AE">
        <w:rPr>
          <w:rFonts w:eastAsia="Times New Roman" w:cs="Times New Roman"/>
          <w:szCs w:val="24"/>
        </w:rPr>
        <w:t xml:space="preserve">Results show that majority of the board members serve for approximately three years in the same school.  The longer the board members serve with the school, the more experience they have gained and the more consistent they are. This contributes to better decisions, and effective oversight of the financial and project management functions in the school.  The </w:t>
      </w:r>
      <w:proofErr w:type="spellStart"/>
      <w:r w:rsidRPr="00A455AE">
        <w:rPr>
          <w:rFonts w:eastAsia="Times New Roman" w:cs="Times New Roman"/>
          <w:szCs w:val="24"/>
        </w:rPr>
        <w:t>MoE</w:t>
      </w:r>
      <w:proofErr w:type="spellEnd"/>
      <w:r w:rsidRPr="00A455AE">
        <w:rPr>
          <w:rFonts w:eastAsia="Times New Roman" w:cs="Times New Roman"/>
          <w:szCs w:val="24"/>
        </w:rPr>
        <w:t xml:space="preserve"> policies support the retention of trained and experienced BOM members in order to provide for continued effective governance. BOM members are supposed to serve for 3 years, and can be reappointed to serve no more than one additional 3-year term (maximum of 6-year service). The standard average length for service on any board is 3 years as most board members complete a full term, in addition to renewing their term of service as per the Basic Education Act 2013 Section 57. </w:t>
      </w:r>
    </w:p>
    <w:p w14:paraId="60CFD582" w14:textId="77777777" w:rsidR="006C386A" w:rsidRPr="00A455AE" w:rsidRDefault="006C386A" w:rsidP="006C386A">
      <w:pPr>
        <w:spacing w:line="240" w:lineRule="auto"/>
        <w:rPr>
          <w:rFonts w:eastAsia="Times New Roman" w:cs="Times New Roman"/>
          <w:szCs w:val="24"/>
        </w:rPr>
      </w:pPr>
    </w:p>
    <w:p w14:paraId="203EBE9C" w14:textId="77777777" w:rsidR="006C386A" w:rsidRPr="00A455AE" w:rsidRDefault="006C386A" w:rsidP="006C386A">
      <w:pPr>
        <w:spacing w:line="240" w:lineRule="auto"/>
        <w:rPr>
          <w:rFonts w:eastAsia="Times New Roman" w:cs="Times New Roman"/>
          <w:szCs w:val="24"/>
        </w:rPr>
      </w:pPr>
      <w:r w:rsidRPr="00A455AE">
        <w:rPr>
          <w:rFonts w:eastAsia="Times New Roman" w:cs="Times New Roman"/>
          <w:szCs w:val="24"/>
        </w:rPr>
        <w:t>The findings show that the average number of independent members of the Boards of the schools is 5 to 6. The increasing number of independent members on school boards is likely due to the fact that more schools are hiring professional people to help with governance and financial monitoring. According to the Basic Education Act 2013, Section 56, representation on the Boards of Schools must include people from both the community and special interest groups, as well as persons with disabilities.</w:t>
      </w:r>
    </w:p>
    <w:p w14:paraId="3A8634C2" w14:textId="77777777" w:rsidR="006C386A" w:rsidRPr="00A455AE" w:rsidRDefault="006C386A" w:rsidP="006C386A">
      <w:pPr>
        <w:spacing w:after="200" w:line="276" w:lineRule="auto"/>
        <w:rPr>
          <w:rFonts w:eastAsia="Times New Roman" w:cs="Times New Roman"/>
          <w:szCs w:val="24"/>
        </w:rPr>
      </w:pPr>
      <w:r w:rsidRPr="00A455AE">
        <w:rPr>
          <w:rFonts w:eastAsia="Times New Roman" w:cs="Times New Roman"/>
          <w:szCs w:val="24"/>
        </w:rPr>
        <w:t xml:space="preserve">The number of trainings Board members receive per year is about two per year. This indicates that the implementation capacity building initiatives used by </w:t>
      </w:r>
      <w:proofErr w:type="spellStart"/>
      <w:r w:rsidRPr="00A455AE">
        <w:rPr>
          <w:rFonts w:eastAsia="Times New Roman" w:cs="Times New Roman"/>
          <w:szCs w:val="24"/>
        </w:rPr>
        <w:t>MoE</w:t>
      </w:r>
      <w:proofErr w:type="spellEnd"/>
      <w:r w:rsidRPr="00A455AE">
        <w:rPr>
          <w:rFonts w:eastAsia="Times New Roman" w:cs="Times New Roman"/>
          <w:szCs w:val="24"/>
        </w:rPr>
        <w:t xml:space="preserve"> and the Basic Education Act (2013) are increased as they require BOM to have training on BOM annually to ensure BOM members have knowledge of financial regulations, project management, and compliance. Thus, annual BOM training is not compulsory but it depends on funds from </w:t>
      </w:r>
      <w:proofErr w:type="spellStart"/>
      <w:r w:rsidRPr="00A455AE">
        <w:rPr>
          <w:rFonts w:eastAsia="Times New Roman" w:cs="Times New Roman"/>
          <w:szCs w:val="24"/>
        </w:rPr>
        <w:t>MoE</w:t>
      </w:r>
      <w:proofErr w:type="spellEnd"/>
      <w:r w:rsidRPr="00A455AE">
        <w:rPr>
          <w:rFonts w:eastAsia="Times New Roman" w:cs="Times New Roman"/>
          <w:szCs w:val="24"/>
        </w:rPr>
        <w:t>, TSC, Partners, or School existing programs. Majority of the secondary have a 60.4% project completion rate meaning that they commonly face delays caused by the challenges of capitation fund payments being delayed, irregular disbursements from the CDF/NG-CDF, issues with procurement, or contractor failures.  According to the National Audit Office between 2020 and 2023, there were 40-60% completion rates per year for maintenance/infrastructure projects related to schools.</w:t>
      </w:r>
    </w:p>
    <w:p w14:paraId="49A2C90C" w14:textId="77777777" w:rsidR="006C386A" w:rsidRPr="00A455AE" w:rsidRDefault="006C386A" w:rsidP="006C386A">
      <w:pPr>
        <w:pStyle w:val="Heading2"/>
      </w:pPr>
      <w:bookmarkStart w:id="4" w:name="_Toc96949413"/>
      <w:bookmarkStart w:id="5" w:name="_Toc102622600"/>
      <w:bookmarkStart w:id="6" w:name="_Toc527709582"/>
      <w:bookmarkStart w:id="7" w:name="_Toc528567463"/>
      <w:bookmarkStart w:id="8" w:name="_Toc308423"/>
      <w:bookmarkStart w:id="9" w:name="_Toc97494447"/>
      <w:bookmarkStart w:id="10" w:name="_Toc527505174"/>
      <w:bookmarkStart w:id="11" w:name="_Toc527709115"/>
      <w:bookmarkStart w:id="12" w:name="_Toc100046307"/>
      <w:bookmarkStart w:id="13" w:name="_Toc162726196"/>
      <w:bookmarkStart w:id="14" w:name="_Toc174848161"/>
      <w:bookmarkStart w:id="15" w:name="_Toc176985886"/>
      <w:bookmarkStart w:id="16" w:name="_Toc177150576"/>
      <w:bookmarkStart w:id="17" w:name="_Toc197197996"/>
      <w:bookmarkStart w:id="18" w:name="_Toc203096498"/>
      <w:bookmarkStart w:id="19" w:name="_Toc208534904"/>
      <w:bookmarkStart w:id="20" w:name="_Toc208912486"/>
      <w:bookmarkStart w:id="21" w:name="_Toc223691453"/>
      <w:r w:rsidRPr="00A455AE">
        <w:t>Table 4</w:t>
      </w:r>
      <w:bookmarkEnd w:id="4"/>
      <w:r w:rsidRPr="00A455AE">
        <w:t xml:space="preserve">:  </w:t>
      </w:r>
      <w:bookmarkStart w:id="22" w:name="_Toc96949414"/>
      <w:r w:rsidRPr="00A455AE">
        <w:t>Coefficient of Correlation</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tbl>
      <w:tblPr>
        <w:tblStyle w:val="ListTable6Colorful1"/>
        <w:tblW w:w="4474" w:type="pct"/>
        <w:tblLook w:val="06A0" w:firstRow="1" w:lastRow="0" w:firstColumn="1" w:lastColumn="0" w:noHBand="1" w:noVBand="1"/>
      </w:tblPr>
      <w:tblGrid>
        <w:gridCol w:w="2803"/>
        <w:gridCol w:w="3644"/>
        <w:gridCol w:w="1763"/>
        <w:gridCol w:w="1660"/>
      </w:tblGrid>
      <w:tr w:rsidR="006C386A" w:rsidRPr="00A455AE" w14:paraId="4933612C" w14:textId="77777777" w:rsidTr="004E0E83">
        <w:trPr>
          <w:cnfStyle w:val="100000000000" w:firstRow="1" w:lastRow="0" w:firstColumn="0" w:lastColumn="0" w:oddVBand="0" w:evenVBand="0" w:oddHBand="0" w:evenHBand="0" w:firstRowFirstColumn="0" w:firstRowLastColumn="0" w:lastRowFirstColumn="0" w:lastRowLastColumn="0"/>
          <w:trHeight w:val="1682"/>
        </w:trPr>
        <w:tc>
          <w:tcPr>
            <w:cnfStyle w:val="001000000000" w:firstRow="0" w:lastRow="0" w:firstColumn="1" w:lastColumn="0" w:oddVBand="0" w:evenVBand="0" w:oddHBand="0" w:evenHBand="0" w:firstRowFirstColumn="0" w:firstRowLastColumn="0" w:lastRowFirstColumn="0" w:lastRowLastColumn="0"/>
            <w:tcW w:w="3266" w:type="pct"/>
            <w:gridSpan w:val="2"/>
          </w:tcPr>
          <w:p w14:paraId="0507B1A5" w14:textId="77777777" w:rsidR="006C386A" w:rsidRPr="00A455AE" w:rsidRDefault="006C386A" w:rsidP="006C386A">
            <w:pPr>
              <w:spacing w:before="0" w:line="240" w:lineRule="auto"/>
              <w:jc w:val="center"/>
              <w:rPr>
                <w:b w:val="0"/>
              </w:rPr>
            </w:pPr>
          </w:p>
          <w:p w14:paraId="1336CA15" w14:textId="77777777" w:rsidR="006C386A" w:rsidRPr="00A455AE" w:rsidRDefault="006C386A" w:rsidP="006C386A">
            <w:pPr>
              <w:spacing w:before="0" w:line="240" w:lineRule="auto"/>
              <w:jc w:val="center"/>
              <w:rPr>
                <w:b w:val="0"/>
              </w:rPr>
            </w:pPr>
          </w:p>
          <w:p w14:paraId="37F33184" w14:textId="77777777" w:rsidR="006C386A" w:rsidRPr="00A455AE" w:rsidRDefault="006C386A" w:rsidP="006C386A">
            <w:pPr>
              <w:spacing w:before="0" w:line="240" w:lineRule="auto"/>
              <w:jc w:val="center"/>
              <w:rPr>
                <w:b w:val="0"/>
                <w:szCs w:val="24"/>
              </w:rPr>
            </w:pPr>
            <w:r w:rsidRPr="00A455AE">
              <w:t>Variables</w:t>
            </w:r>
          </w:p>
        </w:tc>
        <w:tc>
          <w:tcPr>
            <w:tcW w:w="893" w:type="pct"/>
            <w:textDirection w:val="btLr"/>
            <w:hideMark/>
          </w:tcPr>
          <w:p w14:paraId="07BF5D0A" w14:textId="77777777" w:rsidR="006C386A" w:rsidRPr="00A455AE" w:rsidRDefault="006C386A" w:rsidP="006C386A">
            <w:pPr>
              <w:spacing w:before="0" w:line="240" w:lineRule="auto"/>
              <w:ind w:left="113" w:right="113"/>
              <w:jc w:val="left"/>
              <w:cnfStyle w:val="100000000000" w:firstRow="1" w:lastRow="0" w:firstColumn="0" w:lastColumn="0" w:oddVBand="0" w:evenVBand="0" w:oddHBand="0" w:evenHBand="0" w:firstRowFirstColumn="0" w:firstRowLastColumn="0" w:lastRowFirstColumn="0" w:lastRowLastColumn="0"/>
              <w:rPr>
                <w:b w:val="0"/>
                <w:szCs w:val="24"/>
              </w:rPr>
            </w:pPr>
            <w:r w:rsidRPr="00A455AE">
              <w:t>Financial management</w:t>
            </w:r>
          </w:p>
        </w:tc>
        <w:tc>
          <w:tcPr>
            <w:tcW w:w="841" w:type="pct"/>
            <w:textDirection w:val="btLr"/>
            <w:hideMark/>
          </w:tcPr>
          <w:p w14:paraId="5360F211" w14:textId="77777777" w:rsidR="006C386A" w:rsidRPr="00A455AE" w:rsidRDefault="006C386A" w:rsidP="006C386A">
            <w:pPr>
              <w:spacing w:before="0" w:line="240" w:lineRule="auto"/>
              <w:ind w:left="113" w:right="113"/>
              <w:jc w:val="left"/>
              <w:cnfStyle w:val="100000000000" w:firstRow="1" w:lastRow="0" w:firstColumn="0" w:lastColumn="0" w:oddVBand="0" w:evenVBand="0" w:oddHBand="0" w:evenHBand="0" w:firstRowFirstColumn="0" w:firstRowLastColumn="0" w:lastRowFirstColumn="0" w:lastRowLastColumn="0"/>
              <w:rPr>
                <w:b w:val="0"/>
                <w:szCs w:val="24"/>
              </w:rPr>
            </w:pPr>
            <w:r w:rsidRPr="00A455AE">
              <w:t>Engagement</w:t>
            </w:r>
          </w:p>
        </w:tc>
      </w:tr>
      <w:tr w:rsidR="006C386A" w:rsidRPr="00A455AE" w14:paraId="7AD1D248" w14:textId="77777777" w:rsidTr="004E0E83">
        <w:trPr>
          <w:trHeight w:val="278"/>
        </w:trPr>
        <w:tc>
          <w:tcPr>
            <w:cnfStyle w:val="001000000000" w:firstRow="0" w:lastRow="0" w:firstColumn="1" w:lastColumn="0" w:oddVBand="0" w:evenVBand="0" w:oddHBand="0" w:evenHBand="0" w:firstRowFirstColumn="0" w:firstRowLastColumn="0" w:lastRowFirstColumn="0" w:lastRowLastColumn="0"/>
            <w:tcW w:w="1420" w:type="pct"/>
            <w:hideMark/>
          </w:tcPr>
          <w:p w14:paraId="5323BD82" w14:textId="77777777" w:rsidR="006C386A" w:rsidRPr="00A455AE" w:rsidRDefault="006C386A" w:rsidP="006C386A">
            <w:pPr>
              <w:spacing w:before="0" w:line="240" w:lineRule="auto"/>
              <w:jc w:val="left"/>
              <w:rPr>
                <w:szCs w:val="24"/>
              </w:rPr>
            </w:pPr>
            <w:r w:rsidRPr="00A455AE">
              <w:t xml:space="preserve">Financial management </w:t>
            </w:r>
          </w:p>
        </w:tc>
        <w:tc>
          <w:tcPr>
            <w:tcW w:w="1846" w:type="pct"/>
            <w:hideMark/>
          </w:tcPr>
          <w:p w14:paraId="1D2A0CFB"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t>Pearson Correlation</w:t>
            </w:r>
          </w:p>
        </w:tc>
        <w:tc>
          <w:tcPr>
            <w:tcW w:w="893" w:type="pct"/>
            <w:noWrap/>
            <w:hideMark/>
          </w:tcPr>
          <w:p w14:paraId="7140AA1C"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t>1</w:t>
            </w:r>
          </w:p>
        </w:tc>
        <w:tc>
          <w:tcPr>
            <w:tcW w:w="841" w:type="pct"/>
            <w:noWrap/>
          </w:tcPr>
          <w:p w14:paraId="58CAE576"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b/>
                <w:szCs w:val="24"/>
              </w:rPr>
            </w:pPr>
          </w:p>
        </w:tc>
      </w:tr>
      <w:tr w:rsidR="006C386A" w:rsidRPr="00A455AE" w14:paraId="0D8FE709" w14:textId="77777777" w:rsidTr="004E0E83">
        <w:trPr>
          <w:trHeight w:val="87"/>
        </w:trPr>
        <w:tc>
          <w:tcPr>
            <w:cnfStyle w:val="001000000000" w:firstRow="0" w:lastRow="0" w:firstColumn="1" w:lastColumn="0" w:oddVBand="0" w:evenVBand="0" w:oddHBand="0" w:evenHBand="0" w:firstRowFirstColumn="0" w:firstRowLastColumn="0" w:lastRowFirstColumn="0" w:lastRowLastColumn="0"/>
            <w:tcW w:w="1420" w:type="pct"/>
          </w:tcPr>
          <w:p w14:paraId="5E7CFC01" w14:textId="77777777" w:rsidR="006C386A" w:rsidRPr="00A455AE" w:rsidRDefault="006C386A" w:rsidP="006C386A">
            <w:pPr>
              <w:spacing w:before="0" w:line="240" w:lineRule="auto"/>
              <w:jc w:val="left"/>
              <w:rPr>
                <w:szCs w:val="24"/>
              </w:rPr>
            </w:pPr>
          </w:p>
        </w:tc>
        <w:tc>
          <w:tcPr>
            <w:tcW w:w="1846" w:type="pct"/>
            <w:hideMark/>
          </w:tcPr>
          <w:p w14:paraId="7BDCA945"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t>Sig. (2-tailed)</w:t>
            </w:r>
          </w:p>
        </w:tc>
        <w:tc>
          <w:tcPr>
            <w:tcW w:w="893" w:type="pct"/>
            <w:noWrap/>
          </w:tcPr>
          <w:p w14:paraId="5B56C662"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p>
        </w:tc>
        <w:tc>
          <w:tcPr>
            <w:tcW w:w="841" w:type="pct"/>
            <w:noWrap/>
          </w:tcPr>
          <w:p w14:paraId="2B05836E"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p>
        </w:tc>
      </w:tr>
      <w:tr w:rsidR="006C386A" w:rsidRPr="00A455AE" w14:paraId="57149AFE" w14:textId="77777777" w:rsidTr="004E0E83">
        <w:trPr>
          <w:trHeight w:val="87"/>
        </w:trPr>
        <w:tc>
          <w:tcPr>
            <w:cnfStyle w:val="001000000000" w:firstRow="0" w:lastRow="0" w:firstColumn="1" w:lastColumn="0" w:oddVBand="0" w:evenVBand="0" w:oddHBand="0" w:evenHBand="0" w:firstRowFirstColumn="0" w:firstRowLastColumn="0" w:lastRowFirstColumn="0" w:lastRowLastColumn="0"/>
            <w:tcW w:w="1420" w:type="pct"/>
          </w:tcPr>
          <w:p w14:paraId="649EF01A" w14:textId="77777777" w:rsidR="006C386A" w:rsidRPr="00A455AE" w:rsidRDefault="006C386A" w:rsidP="006C386A">
            <w:pPr>
              <w:spacing w:before="0" w:line="240" w:lineRule="auto"/>
              <w:jc w:val="left"/>
              <w:rPr>
                <w:szCs w:val="24"/>
              </w:rPr>
            </w:pPr>
          </w:p>
        </w:tc>
        <w:tc>
          <w:tcPr>
            <w:tcW w:w="1846" w:type="pct"/>
          </w:tcPr>
          <w:p w14:paraId="406DF940"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pPr>
            <w:r w:rsidRPr="00A455AE">
              <w:t>N</w:t>
            </w:r>
          </w:p>
        </w:tc>
        <w:tc>
          <w:tcPr>
            <w:tcW w:w="893" w:type="pct"/>
            <w:noWrap/>
          </w:tcPr>
          <w:p w14:paraId="55FFE3FD"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rPr>
                <w:szCs w:val="24"/>
              </w:rPr>
              <w:t>110</w:t>
            </w:r>
          </w:p>
        </w:tc>
        <w:tc>
          <w:tcPr>
            <w:tcW w:w="841" w:type="pct"/>
            <w:noWrap/>
          </w:tcPr>
          <w:p w14:paraId="54DA55A6"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p>
        </w:tc>
      </w:tr>
      <w:tr w:rsidR="006C386A" w:rsidRPr="00A455AE" w14:paraId="64B83C72" w14:textId="77777777" w:rsidTr="004E0E83">
        <w:trPr>
          <w:trHeight w:val="360"/>
        </w:trPr>
        <w:tc>
          <w:tcPr>
            <w:cnfStyle w:val="001000000000" w:firstRow="0" w:lastRow="0" w:firstColumn="1" w:lastColumn="0" w:oddVBand="0" w:evenVBand="0" w:oddHBand="0" w:evenHBand="0" w:firstRowFirstColumn="0" w:firstRowLastColumn="0" w:lastRowFirstColumn="0" w:lastRowLastColumn="0"/>
            <w:tcW w:w="1420" w:type="pct"/>
            <w:hideMark/>
          </w:tcPr>
          <w:p w14:paraId="4C8AEC5F" w14:textId="77777777" w:rsidR="006C386A" w:rsidRPr="00A455AE" w:rsidRDefault="006C386A" w:rsidP="006C386A">
            <w:pPr>
              <w:spacing w:before="0" w:line="240" w:lineRule="auto"/>
              <w:jc w:val="left"/>
              <w:rPr>
                <w:szCs w:val="24"/>
              </w:rPr>
            </w:pPr>
            <w:r w:rsidRPr="00A455AE">
              <w:t>Engagement</w:t>
            </w:r>
          </w:p>
        </w:tc>
        <w:tc>
          <w:tcPr>
            <w:tcW w:w="1846" w:type="pct"/>
            <w:hideMark/>
          </w:tcPr>
          <w:p w14:paraId="089ADA26"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t>Pearson Correlation</w:t>
            </w:r>
          </w:p>
        </w:tc>
        <w:tc>
          <w:tcPr>
            <w:tcW w:w="893" w:type="pct"/>
            <w:noWrap/>
            <w:hideMark/>
          </w:tcPr>
          <w:p w14:paraId="37AF8AEB"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t>.882</w:t>
            </w:r>
            <w:r w:rsidRPr="00A455AE">
              <w:rPr>
                <w:vertAlign w:val="superscript"/>
              </w:rPr>
              <w:t>**</w:t>
            </w:r>
          </w:p>
        </w:tc>
        <w:tc>
          <w:tcPr>
            <w:tcW w:w="841" w:type="pct"/>
            <w:noWrap/>
            <w:hideMark/>
          </w:tcPr>
          <w:p w14:paraId="64712C2A"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t>1</w:t>
            </w:r>
          </w:p>
        </w:tc>
      </w:tr>
      <w:tr w:rsidR="006C386A" w:rsidRPr="00A455AE" w14:paraId="65EC5A00" w14:textId="77777777" w:rsidTr="004E0E83">
        <w:trPr>
          <w:trHeight w:val="278"/>
        </w:trPr>
        <w:tc>
          <w:tcPr>
            <w:cnfStyle w:val="001000000000" w:firstRow="0" w:lastRow="0" w:firstColumn="1" w:lastColumn="0" w:oddVBand="0" w:evenVBand="0" w:oddHBand="0" w:evenHBand="0" w:firstRowFirstColumn="0" w:firstRowLastColumn="0" w:lastRowFirstColumn="0" w:lastRowLastColumn="0"/>
            <w:tcW w:w="1420" w:type="pct"/>
          </w:tcPr>
          <w:p w14:paraId="0AF3BE8E" w14:textId="77777777" w:rsidR="006C386A" w:rsidRPr="00A455AE" w:rsidRDefault="006C386A" w:rsidP="006C386A">
            <w:pPr>
              <w:spacing w:before="0" w:line="240" w:lineRule="auto"/>
              <w:jc w:val="left"/>
              <w:rPr>
                <w:b w:val="0"/>
                <w:szCs w:val="24"/>
              </w:rPr>
            </w:pPr>
          </w:p>
        </w:tc>
        <w:tc>
          <w:tcPr>
            <w:tcW w:w="1846" w:type="pct"/>
            <w:hideMark/>
          </w:tcPr>
          <w:p w14:paraId="43E1F898"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t>Sig. (2-tailed)</w:t>
            </w:r>
          </w:p>
        </w:tc>
        <w:tc>
          <w:tcPr>
            <w:tcW w:w="893" w:type="pct"/>
            <w:noWrap/>
            <w:hideMark/>
          </w:tcPr>
          <w:p w14:paraId="4F0AC319"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rPr>
                <w:lang w:bidi="en-US"/>
              </w:rPr>
              <w:t>.000</w:t>
            </w:r>
          </w:p>
        </w:tc>
        <w:tc>
          <w:tcPr>
            <w:tcW w:w="841" w:type="pct"/>
            <w:noWrap/>
          </w:tcPr>
          <w:p w14:paraId="6AEB74CA"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p>
        </w:tc>
      </w:tr>
      <w:tr w:rsidR="006C386A" w:rsidRPr="00A455AE" w14:paraId="64426EB4" w14:textId="77777777" w:rsidTr="004E0E83">
        <w:trPr>
          <w:trHeight w:val="278"/>
        </w:trPr>
        <w:tc>
          <w:tcPr>
            <w:cnfStyle w:val="001000000000" w:firstRow="0" w:lastRow="0" w:firstColumn="1" w:lastColumn="0" w:oddVBand="0" w:evenVBand="0" w:oddHBand="0" w:evenHBand="0" w:firstRowFirstColumn="0" w:firstRowLastColumn="0" w:lastRowFirstColumn="0" w:lastRowLastColumn="0"/>
            <w:tcW w:w="1420" w:type="pct"/>
          </w:tcPr>
          <w:p w14:paraId="37458C24" w14:textId="77777777" w:rsidR="006C386A" w:rsidRPr="00A455AE" w:rsidRDefault="006C386A" w:rsidP="006C386A">
            <w:pPr>
              <w:spacing w:before="0" w:line="240" w:lineRule="auto"/>
              <w:jc w:val="left"/>
              <w:rPr>
                <w:b w:val="0"/>
                <w:szCs w:val="24"/>
              </w:rPr>
            </w:pPr>
          </w:p>
        </w:tc>
        <w:tc>
          <w:tcPr>
            <w:tcW w:w="1846" w:type="pct"/>
          </w:tcPr>
          <w:p w14:paraId="021E0844"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pPr>
            <w:r w:rsidRPr="00A455AE">
              <w:t>N</w:t>
            </w:r>
          </w:p>
        </w:tc>
        <w:tc>
          <w:tcPr>
            <w:tcW w:w="893" w:type="pct"/>
            <w:noWrap/>
          </w:tcPr>
          <w:p w14:paraId="552FBB3E"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pPr>
            <w:r w:rsidRPr="00A455AE">
              <w:t>110</w:t>
            </w:r>
          </w:p>
        </w:tc>
        <w:tc>
          <w:tcPr>
            <w:tcW w:w="841" w:type="pct"/>
            <w:noWrap/>
          </w:tcPr>
          <w:p w14:paraId="232F2F9D"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pPr>
            <w:r w:rsidRPr="00A455AE">
              <w:t>110</w:t>
            </w:r>
          </w:p>
        </w:tc>
      </w:tr>
    </w:tbl>
    <w:p w14:paraId="639DD2F8" w14:textId="77777777" w:rsidR="006C386A" w:rsidRPr="00A455AE" w:rsidRDefault="006C386A" w:rsidP="006C386A">
      <w:r w:rsidRPr="00A455AE">
        <w:lastRenderedPageBreak/>
        <w:t>**. Correlation is significant at the 0.05 level (2-tailed).</w:t>
      </w:r>
    </w:p>
    <w:p w14:paraId="540EE0FC" w14:textId="77777777" w:rsidR="006C386A" w:rsidRPr="00A455AE" w:rsidRDefault="006C386A" w:rsidP="006C386A">
      <w:pPr>
        <w:spacing w:line="240" w:lineRule="auto"/>
      </w:pPr>
      <w:r w:rsidRPr="00A455AE">
        <w:rPr>
          <w:rFonts w:cs="Times New Roman"/>
          <w:color w:val="000000" w:themeColor="text1"/>
          <w:szCs w:val="24"/>
        </w:rPr>
        <w:t xml:space="preserve">There was a strong, positive correlation between </w:t>
      </w:r>
      <w:r w:rsidRPr="00A455AE">
        <w:t>engagement of BOM and financial management</w:t>
      </w:r>
      <w:r w:rsidRPr="00A455AE">
        <w:rPr>
          <w:rFonts w:cs="Times New Roman"/>
          <w:color w:val="000000" w:themeColor="text1"/>
          <w:szCs w:val="24"/>
        </w:rPr>
        <w:t xml:space="preserve"> which was statistically significant (</w:t>
      </w:r>
      <w:r w:rsidRPr="00A455AE">
        <w:rPr>
          <w:rFonts w:cs="Times New Roman"/>
          <w:i/>
          <w:iCs/>
          <w:color w:val="000000" w:themeColor="text1"/>
          <w:szCs w:val="24"/>
        </w:rPr>
        <w:t>r</w:t>
      </w:r>
      <w:r w:rsidRPr="00A455AE">
        <w:rPr>
          <w:rFonts w:cs="Times New Roman"/>
          <w:color w:val="000000" w:themeColor="text1"/>
          <w:szCs w:val="24"/>
        </w:rPr>
        <w:t> = .</w:t>
      </w:r>
      <w:proofErr w:type="gramStart"/>
      <w:r w:rsidRPr="00A455AE">
        <w:rPr>
          <w:rFonts w:cs="Times New Roman"/>
          <w:color w:val="000000" w:themeColor="text1"/>
          <w:szCs w:val="24"/>
        </w:rPr>
        <w:t>882, </w:t>
      </w:r>
      <w:r w:rsidRPr="00A455AE">
        <w:rPr>
          <w:rFonts w:cs="Times New Roman"/>
          <w:i/>
          <w:iCs/>
          <w:color w:val="000000" w:themeColor="text1"/>
          <w:szCs w:val="24"/>
        </w:rPr>
        <w:t xml:space="preserve"> p</w:t>
      </w:r>
      <w:proofErr w:type="gramEnd"/>
      <w:r w:rsidRPr="00A455AE">
        <w:rPr>
          <w:rFonts w:cs="Times New Roman"/>
          <w:color w:val="000000" w:themeColor="text1"/>
          <w:szCs w:val="24"/>
        </w:rPr>
        <w:t xml:space="preserve"> = .000). This shows that active, dedicated, and engaged board members have a strong significant effect on financial management. Findings support </w:t>
      </w:r>
      <w:proofErr w:type="spellStart"/>
      <w:r w:rsidRPr="00A455AE">
        <w:t>Odide</w:t>
      </w:r>
      <w:proofErr w:type="spellEnd"/>
      <w:r w:rsidRPr="00A455AE">
        <w:t xml:space="preserve"> (2021) showed that BOM engagement improved financial resources management and the academic performance as well. </w:t>
      </w:r>
    </w:p>
    <w:p w14:paraId="5ACF3C7E" w14:textId="77777777" w:rsidR="006C386A" w:rsidRPr="00A455AE" w:rsidRDefault="006C386A" w:rsidP="006C386A">
      <w:pPr>
        <w:pStyle w:val="Heading2"/>
      </w:pPr>
      <w:bookmarkStart w:id="23" w:name="_Toc530215290"/>
      <w:bookmarkStart w:id="24" w:name="_Toc530565465"/>
      <w:bookmarkStart w:id="25" w:name="_Toc530729281"/>
      <w:bookmarkStart w:id="26" w:name="_Toc38274119"/>
      <w:bookmarkStart w:id="27" w:name="_Toc39828318"/>
      <w:bookmarkStart w:id="28" w:name="_Toc40988004"/>
      <w:bookmarkStart w:id="29" w:name="_Toc40983059"/>
      <w:bookmarkStart w:id="30" w:name="_Toc42248335"/>
      <w:bookmarkStart w:id="31" w:name="_Toc43061244"/>
      <w:bookmarkStart w:id="32" w:name="_Toc47958507"/>
      <w:bookmarkStart w:id="33" w:name="_Toc62649801"/>
      <w:bookmarkStart w:id="34" w:name="_Toc64369845"/>
      <w:bookmarkStart w:id="35" w:name="_Toc103274784"/>
      <w:bookmarkStart w:id="36" w:name="_Toc103859273"/>
      <w:bookmarkStart w:id="37" w:name="_Toc112355379"/>
      <w:bookmarkStart w:id="38" w:name="_Toc115458535"/>
      <w:bookmarkStart w:id="39" w:name="_Toc116907882"/>
      <w:bookmarkStart w:id="40" w:name="_Toc125099061"/>
      <w:bookmarkStart w:id="41" w:name="_Toc147349637"/>
      <w:bookmarkStart w:id="42" w:name="_Toc153194581"/>
      <w:bookmarkStart w:id="43" w:name="_Toc208349197"/>
      <w:bookmarkStart w:id="44" w:name="_Toc223691457"/>
      <w:r w:rsidRPr="00A455AE">
        <w:t xml:space="preserve">Table 5: Regression </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A455AE">
        <w:t>Results</w:t>
      </w:r>
    </w:p>
    <w:tbl>
      <w:tblPr>
        <w:tblStyle w:val="ListTable6Colorful1"/>
        <w:tblW w:w="8402" w:type="dxa"/>
        <w:tblLayout w:type="fixed"/>
        <w:tblLook w:val="06A0" w:firstRow="1" w:lastRow="0" w:firstColumn="1" w:lastColumn="0" w:noHBand="1" w:noVBand="1"/>
      </w:tblPr>
      <w:tblGrid>
        <w:gridCol w:w="270"/>
        <w:gridCol w:w="2501"/>
        <w:gridCol w:w="1020"/>
        <w:gridCol w:w="1154"/>
        <w:gridCol w:w="1615"/>
        <w:gridCol w:w="882"/>
        <w:gridCol w:w="960"/>
      </w:tblGrid>
      <w:tr w:rsidR="006C386A" w:rsidRPr="00A455AE" w14:paraId="1D6F21D1" w14:textId="77777777" w:rsidTr="004E0E8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771" w:type="dxa"/>
            <w:gridSpan w:val="2"/>
            <w:tcBorders>
              <w:top w:val="single" w:sz="4" w:space="0" w:color="auto"/>
              <w:bottom w:val="single" w:sz="4" w:space="0" w:color="auto"/>
            </w:tcBorders>
            <w:hideMark/>
          </w:tcPr>
          <w:p w14:paraId="5B5084D7" w14:textId="77777777" w:rsidR="006C386A" w:rsidRPr="00A455AE" w:rsidRDefault="006C386A" w:rsidP="006C386A">
            <w:pPr>
              <w:spacing w:line="240" w:lineRule="auto"/>
              <w:contextualSpacing/>
              <w:rPr>
                <w:rFonts w:eastAsia="Times New Roman" w:cs="Times New Roman"/>
              </w:rPr>
            </w:pPr>
            <w:r w:rsidRPr="00A455AE">
              <w:rPr>
                <w:rFonts w:eastAsia="Times New Roman" w:cs="Times New Roman"/>
                <w:sz w:val="22"/>
              </w:rPr>
              <w:t>Model</w:t>
            </w:r>
          </w:p>
        </w:tc>
        <w:tc>
          <w:tcPr>
            <w:tcW w:w="2174" w:type="dxa"/>
            <w:gridSpan w:val="2"/>
            <w:hideMark/>
          </w:tcPr>
          <w:p w14:paraId="3B05087E" w14:textId="77777777" w:rsidR="006C386A" w:rsidRPr="00A455AE" w:rsidRDefault="006C386A" w:rsidP="006C386A">
            <w:pPr>
              <w:spacing w:line="240" w:lineRule="auto"/>
              <w:contextualSpacing/>
              <w:cnfStyle w:val="100000000000" w:firstRow="1" w:lastRow="0" w:firstColumn="0" w:lastColumn="0" w:oddVBand="0" w:evenVBand="0" w:oddHBand="0" w:evenHBand="0" w:firstRowFirstColumn="0" w:firstRowLastColumn="0" w:lastRowFirstColumn="0" w:lastRowLastColumn="0"/>
              <w:rPr>
                <w:rFonts w:eastAsia="Times New Roman" w:cs="Times New Roman"/>
                <w:b w:val="0"/>
              </w:rPr>
            </w:pPr>
            <w:r w:rsidRPr="00A455AE">
              <w:rPr>
                <w:rFonts w:eastAsia="Times New Roman" w:cs="Times New Roman"/>
                <w:sz w:val="22"/>
              </w:rPr>
              <w:t>Unstandardized Coefficients</w:t>
            </w:r>
          </w:p>
        </w:tc>
        <w:tc>
          <w:tcPr>
            <w:tcW w:w="1615" w:type="dxa"/>
            <w:hideMark/>
          </w:tcPr>
          <w:p w14:paraId="4B23A230" w14:textId="77777777" w:rsidR="006C386A" w:rsidRPr="00A455AE" w:rsidRDefault="006C386A" w:rsidP="006C386A">
            <w:pPr>
              <w:spacing w:line="240" w:lineRule="auto"/>
              <w:contextualSpacing/>
              <w:cnfStyle w:val="100000000000" w:firstRow="1" w:lastRow="0" w:firstColumn="0" w:lastColumn="0" w:oddVBand="0" w:evenVBand="0" w:oddHBand="0" w:evenHBand="0" w:firstRowFirstColumn="0" w:firstRowLastColumn="0" w:lastRowFirstColumn="0" w:lastRowLastColumn="0"/>
              <w:rPr>
                <w:rFonts w:eastAsia="Times New Roman" w:cs="Times New Roman"/>
                <w:b w:val="0"/>
              </w:rPr>
            </w:pPr>
            <w:r w:rsidRPr="00A455AE">
              <w:rPr>
                <w:rFonts w:eastAsia="Times New Roman" w:cs="Times New Roman"/>
                <w:sz w:val="22"/>
              </w:rPr>
              <w:t>Standardized Coefficients</w:t>
            </w:r>
          </w:p>
        </w:tc>
        <w:tc>
          <w:tcPr>
            <w:tcW w:w="882" w:type="dxa"/>
            <w:tcBorders>
              <w:bottom w:val="single" w:sz="4" w:space="0" w:color="auto"/>
            </w:tcBorders>
            <w:hideMark/>
          </w:tcPr>
          <w:p w14:paraId="3111F22A" w14:textId="77777777" w:rsidR="006C386A" w:rsidRPr="00A455AE" w:rsidRDefault="006C386A" w:rsidP="006C386A">
            <w:pPr>
              <w:spacing w:line="240" w:lineRule="auto"/>
              <w:contextualSpacing/>
              <w:cnfStyle w:val="100000000000" w:firstRow="1" w:lastRow="0" w:firstColumn="0" w:lastColumn="0" w:oddVBand="0" w:evenVBand="0" w:oddHBand="0" w:evenHBand="0" w:firstRowFirstColumn="0" w:firstRowLastColumn="0" w:lastRowFirstColumn="0" w:lastRowLastColumn="0"/>
              <w:rPr>
                <w:rFonts w:eastAsia="Times New Roman" w:cs="Times New Roman"/>
                <w:b w:val="0"/>
              </w:rPr>
            </w:pPr>
            <w:r w:rsidRPr="00A455AE">
              <w:rPr>
                <w:rFonts w:eastAsia="Times New Roman" w:cs="Times New Roman"/>
                <w:sz w:val="22"/>
              </w:rPr>
              <w:t>t</w:t>
            </w:r>
          </w:p>
        </w:tc>
        <w:tc>
          <w:tcPr>
            <w:tcW w:w="960" w:type="dxa"/>
            <w:tcBorders>
              <w:bottom w:val="single" w:sz="4" w:space="0" w:color="auto"/>
            </w:tcBorders>
            <w:hideMark/>
          </w:tcPr>
          <w:p w14:paraId="18841039" w14:textId="77777777" w:rsidR="006C386A" w:rsidRPr="00A455AE" w:rsidRDefault="006C386A" w:rsidP="006C386A">
            <w:pPr>
              <w:spacing w:line="240" w:lineRule="auto"/>
              <w:contextualSpacing/>
              <w:cnfStyle w:val="100000000000" w:firstRow="1" w:lastRow="0" w:firstColumn="0" w:lastColumn="0" w:oddVBand="0" w:evenVBand="0" w:oddHBand="0" w:evenHBand="0" w:firstRowFirstColumn="0" w:firstRowLastColumn="0" w:lastRowFirstColumn="0" w:lastRowLastColumn="0"/>
              <w:rPr>
                <w:rFonts w:eastAsia="Times New Roman" w:cs="Times New Roman"/>
                <w:b w:val="0"/>
              </w:rPr>
            </w:pPr>
            <w:r w:rsidRPr="00A455AE">
              <w:rPr>
                <w:rFonts w:eastAsia="Times New Roman" w:cs="Times New Roman"/>
                <w:sz w:val="22"/>
              </w:rPr>
              <w:t>Sig.</w:t>
            </w:r>
          </w:p>
        </w:tc>
      </w:tr>
      <w:tr w:rsidR="006C386A" w:rsidRPr="00A455AE" w14:paraId="683E3C01" w14:textId="77777777" w:rsidTr="004E0E83">
        <w:trPr>
          <w:trHeight w:val="467"/>
        </w:trPr>
        <w:tc>
          <w:tcPr>
            <w:cnfStyle w:val="001000000000" w:firstRow="0" w:lastRow="0" w:firstColumn="1" w:lastColumn="0" w:oddVBand="0" w:evenVBand="0" w:oddHBand="0" w:evenHBand="0" w:firstRowFirstColumn="0" w:firstRowLastColumn="0" w:lastRowFirstColumn="0" w:lastRowLastColumn="0"/>
            <w:tcW w:w="2771" w:type="dxa"/>
            <w:gridSpan w:val="2"/>
            <w:tcBorders>
              <w:top w:val="single" w:sz="4" w:space="0" w:color="auto"/>
            </w:tcBorders>
            <w:hideMark/>
          </w:tcPr>
          <w:p w14:paraId="4B7110DD" w14:textId="77777777" w:rsidR="006C386A" w:rsidRPr="00A455AE" w:rsidRDefault="006C386A" w:rsidP="006C386A">
            <w:pPr>
              <w:spacing w:line="240" w:lineRule="auto"/>
              <w:contextualSpacing/>
              <w:rPr>
                <w:rFonts w:eastAsia="Times New Roman" w:cs="Times New Roman"/>
              </w:rPr>
            </w:pPr>
          </w:p>
        </w:tc>
        <w:tc>
          <w:tcPr>
            <w:tcW w:w="1020" w:type="dxa"/>
            <w:hideMark/>
          </w:tcPr>
          <w:p w14:paraId="4BA0C221"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A455AE">
              <w:rPr>
                <w:rFonts w:eastAsia="Times New Roman" w:cs="Times New Roman"/>
                <w:sz w:val="22"/>
              </w:rPr>
              <w:t>B</w:t>
            </w:r>
          </w:p>
        </w:tc>
        <w:tc>
          <w:tcPr>
            <w:tcW w:w="1154" w:type="dxa"/>
            <w:hideMark/>
          </w:tcPr>
          <w:p w14:paraId="71444FA4"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A455AE">
              <w:rPr>
                <w:rFonts w:eastAsia="Times New Roman" w:cs="Times New Roman"/>
                <w:sz w:val="22"/>
              </w:rPr>
              <w:t>Std. Error</w:t>
            </w:r>
          </w:p>
        </w:tc>
        <w:tc>
          <w:tcPr>
            <w:tcW w:w="1615" w:type="dxa"/>
            <w:hideMark/>
          </w:tcPr>
          <w:p w14:paraId="64B036BE"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A455AE">
              <w:rPr>
                <w:rFonts w:eastAsia="Times New Roman" w:cs="Times New Roman"/>
                <w:sz w:val="22"/>
              </w:rPr>
              <w:t>Beta</w:t>
            </w:r>
          </w:p>
        </w:tc>
        <w:tc>
          <w:tcPr>
            <w:tcW w:w="882" w:type="dxa"/>
            <w:tcBorders>
              <w:top w:val="single" w:sz="4" w:space="0" w:color="auto"/>
            </w:tcBorders>
            <w:hideMark/>
          </w:tcPr>
          <w:p w14:paraId="57311414"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p>
        </w:tc>
        <w:tc>
          <w:tcPr>
            <w:tcW w:w="960" w:type="dxa"/>
            <w:tcBorders>
              <w:top w:val="single" w:sz="4" w:space="0" w:color="auto"/>
            </w:tcBorders>
            <w:hideMark/>
          </w:tcPr>
          <w:p w14:paraId="10DC232D"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p>
        </w:tc>
      </w:tr>
      <w:tr w:rsidR="006C386A" w:rsidRPr="00A455AE" w14:paraId="0AD5455F" w14:textId="77777777" w:rsidTr="004E0E83">
        <w:trPr>
          <w:trHeight w:val="315"/>
        </w:trPr>
        <w:tc>
          <w:tcPr>
            <w:cnfStyle w:val="001000000000" w:firstRow="0" w:lastRow="0" w:firstColumn="1" w:lastColumn="0" w:oddVBand="0" w:evenVBand="0" w:oddHBand="0" w:evenHBand="0" w:firstRowFirstColumn="0" w:firstRowLastColumn="0" w:lastRowFirstColumn="0" w:lastRowLastColumn="0"/>
            <w:tcW w:w="270" w:type="dxa"/>
            <w:vMerge w:val="restart"/>
            <w:hideMark/>
          </w:tcPr>
          <w:p w14:paraId="3690D738" w14:textId="77777777" w:rsidR="006C386A" w:rsidRPr="00A455AE" w:rsidRDefault="006C386A" w:rsidP="006C386A">
            <w:pPr>
              <w:spacing w:line="240" w:lineRule="auto"/>
              <w:contextualSpacing/>
              <w:rPr>
                <w:rFonts w:eastAsia="Times New Roman" w:cs="Times New Roman"/>
              </w:rPr>
            </w:pPr>
          </w:p>
        </w:tc>
        <w:tc>
          <w:tcPr>
            <w:tcW w:w="2501" w:type="dxa"/>
            <w:hideMark/>
          </w:tcPr>
          <w:p w14:paraId="6D9D458D"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A455AE">
              <w:rPr>
                <w:rFonts w:eastAsia="Times New Roman" w:cs="Times New Roman"/>
                <w:sz w:val="22"/>
              </w:rPr>
              <w:t>(Constant)</w:t>
            </w:r>
          </w:p>
        </w:tc>
        <w:tc>
          <w:tcPr>
            <w:tcW w:w="1020" w:type="dxa"/>
            <w:noWrap/>
            <w:hideMark/>
          </w:tcPr>
          <w:p w14:paraId="458213A1"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A455AE">
              <w:rPr>
                <w:rFonts w:cs="Times New Roman"/>
                <w:lang w:val="en-GB"/>
              </w:rPr>
              <w:t>5.111</w:t>
            </w:r>
          </w:p>
        </w:tc>
        <w:tc>
          <w:tcPr>
            <w:tcW w:w="1154" w:type="dxa"/>
            <w:noWrap/>
            <w:hideMark/>
          </w:tcPr>
          <w:p w14:paraId="2A37E66D"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A455AE">
              <w:rPr>
                <w:rFonts w:cs="Times New Roman"/>
                <w:lang w:val="en-GB"/>
              </w:rPr>
              <w:t>.376</w:t>
            </w:r>
          </w:p>
        </w:tc>
        <w:tc>
          <w:tcPr>
            <w:tcW w:w="1615" w:type="dxa"/>
            <w:noWrap/>
            <w:hideMark/>
          </w:tcPr>
          <w:p w14:paraId="3D8F9C65"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p>
        </w:tc>
        <w:tc>
          <w:tcPr>
            <w:tcW w:w="882" w:type="dxa"/>
            <w:noWrap/>
            <w:hideMark/>
          </w:tcPr>
          <w:p w14:paraId="496F9C64"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A455AE">
              <w:rPr>
                <w:rFonts w:cs="Times New Roman"/>
                <w:lang w:val="en-GB"/>
              </w:rPr>
              <w:t>13.591</w:t>
            </w:r>
          </w:p>
        </w:tc>
        <w:tc>
          <w:tcPr>
            <w:tcW w:w="960" w:type="dxa"/>
            <w:noWrap/>
            <w:hideMark/>
          </w:tcPr>
          <w:p w14:paraId="59CF9007"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A455AE">
              <w:rPr>
                <w:rFonts w:cs="Times New Roman"/>
                <w:lang w:val="en-GB"/>
              </w:rPr>
              <w:t>.000</w:t>
            </w:r>
          </w:p>
        </w:tc>
      </w:tr>
      <w:tr w:rsidR="006C386A" w:rsidRPr="00A455AE" w14:paraId="05F1D19D" w14:textId="77777777" w:rsidTr="004E0E83">
        <w:trPr>
          <w:trHeight w:val="630"/>
        </w:trPr>
        <w:tc>
          <w:tcPr>
            <w:cnfStyle w:val="001000000000" w:firstRow="0" w:lastRow="0" w:firstColumn="1" w:lastColumn="0" w:oddVBand="0" w:evenVBand="0" w:oddHBand="0" w:evenHBand="0" w:firstRowFirstColumn="0" w:firstRowLastColumn="0" w:lastRowFirstColumn="0" w:lastRowLastColumn="0"/>
            <w:tcW w:w="270" w:type="dxa"/>
            <w:vMerge/>
            <w:hideMark/>
          </w:tcPr>
          <w:p w14:paraId="32D30569" w14:textId="77777777" w:rsidR="006C386A" w:rsidRPr="00A455AE" w:rsidRDefault="006C386A" w:rsidP="006C386A">
            <w:pPr>
              <w:spacing w:line="240" w:lineRule="auto"/>
              <w:contextualSpacing/>
              <w:rPr>
                <w:rFonts w:eastAsia="Times New Roman" w:cs="Times New Roman"/>
              </w:rPr>
            </w:pPr>
          </w:p>
        </w:tc>
        <w:tc>
          <w:tcPr>
            <w:tcW w:w="2501" w:type="dxa"/>
            <w:hideMark/>
          </w:tcPr>
          <w:p w14:paraId="648353F3"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t>Engagement</w:t>
            </w:r>
          </w:p>
        </w:tc>
        <w:tc>
          <w:tcPr>
            <w:tcW w:w="1020" w:type="dxa"/>
            <w:noWrap/>
            <w:hideMark/>
          </w:tcPr>
          <w:p w14:paraId="1D388412"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A455AE">
              <w:rPr>
                <w:rFonts w:cs="Times New Roman"/>
                <w:lang w:val="en-GB"/>
              </w:rPr>
              <w:t>.799</w:t>
            </w:r>
          </w:p>
        </w:tc>
        <w:tc>
          <w:tcPr>
            <w:tcW w:w="1154" w:type="dxa"/>
            <w:noWrap/>
            <w:hideMark/>
          </w:tcPr>
          <w:p w14:paraId="1C2F6482"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A455AE">
              <w:rPr>
                <w:rFonts w:cs="Times New Roman"/>
                <w:lang w:val="en-GB"/>
              </w:rPr>
              <w:t>.049</w:t>
            </w:r>
          </w:p>
        </w:tc>
        <w:tc>
          <w:tcPr>
            <w:tcW w:w="1615" w:type="dxa"/>
            <w:noWrap/>
            <w:hideMark/>
          </w:tcPr>
          <w:p w14:paraId="612F8B05"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A455AE">
              <w:rPr>
                <w:rFonts w:eastAsia="Times New Roman" w:cs="Times New Roman"/>
              </w:rPr>
              <w:t>.752</w:t>
            </w:r>
          </w:p>
        </w:tc>
        <w:tc>
          <w:tcPr>
            <w:tcW w:w="882" w:type="dxa"/>
            <w:noWrap/>
            <w:hideMark/>
          </w:tcPr>
          <w:p w14:paraId="77F516B4"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A455AE">
              <w:rPr>
                <w:rFonts w:cs="Times New Roman"/>
                <w:lang w:val="en-GB"/>
              </w:rPr>
              <w:t>16.217</w:t>
            </w:r>
          </w:p>
        </w:tc>
        <w:tc>
          <w:tcPr>
            <w:tcW w:w="960" w:type="dxa"/>
            <w:noWrap/>
            <w:hideMark/>
          </w:tcPr>
          <w:p w14:paraId="1074FA12"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cs="Times New Roman"/>
                <w:lang w:val="en-GB"/>
              </w:rPr>
            </w:pPr>
            <w:r w:rsidRPr="00A455AE">
              <w:rPr>
                <w:rFonts w:cs="Times New Roman"/>
                <w:lang w:val="en-GB"/>
              </w:rPr>
              <w:t>.000</w:t>
            </w:r>
          </w:p>
          <w:p w14:paraId="72AA2F9F" w14:textId="77777777" w:rsidR="006C386A" w:rsidRPr="00A455AE" w:rsidRDefault="006C386A" w:rsidP="006C386A">
            <w:pPr>
              <w:spacing w:line="240" w:lineRule="auto"/>
              <w:contextualSpacing/>
              <w:cnfStyle w:val="000000000000" w:firstRow="0" w:lastRow="0" w:firstColumn="0" w:lastColumn="0" w:oddVBand="0" w:evenVBand="0" w:oddHBand="0" w:evenHBand="0" w:firstRowFirstColumn="0" w:firstRowLastColumn="0" w:lastRowFirstColumn="0" w:lastRowLastColumn="0"/>
              <w:rPr>
                <w:rFonts w:cs="Times New Roman"/>
                <w:lang w:val="en-GB"/>
              </w:rPr>
            </w:pPr>
          </w:p>
        </w:tc>
      </w:tr>
      <w:tr w:rsidR="006C386A" w:rsidRPr="00A455AE" w14:paraId="79321CB5" w14:textId="77777777" w:rsidTr="004E0E83">
        <w:trPr>
          <w:trHeight w:val="315"/>
        </w:trPr>
        <w:tc>
          <w:tcPr>
            <w:cnfStyle w:val="001000000000" w:firstRow="0" w:lastRow="0" w:firstColumn="1" w:lastColumn="0" w:oddVBand="0" w:evenVBand="0" w:oddHBand="0" w:evenHBand="0" w:firstRowFirstColumn="0" w:firstRowLastColumn="0" w:lastRowFirstColumn="0" w:lastRowLastColumn="0"/>
            <w:tcW w:w="8402" w:type="dxa"/>
            <w:gridSpan w:val="7"/>
            <w:noWrap/>
            <w:hideMark/>
          </w:tcPr>
          <w:p w14:paraId="29032869" w14:textId="77777777" w:rsidR="006C386A" w:rsidRPr="00A455AE" w:rsidRDefault="006C386A" w:rsidP="006C386A">
            <w:pPr>
              <w:spacing w:line="240" w:lineRule="auto"/>
              <w:contextualSpacing/>
              <w:rPr>
                <w:rFonts w:eastAsia="Times New Roman" w:cs="Times New Roman"/>
              </w:rPr>
            </w:pPr>
            <w:r w:rsidRPr="00A455AE">
              <w:rPr>
                <w:rFonts w:eastAsia="Times New Roman" w:cs="Times New Roman"/>
                <w:sz w:val="22"/>
              </w:rPr>
              <w:t xml:space="preserve">a Dependent variable: Financial management </w:t>
            </w:r>
          </w:p>
        </w:tc>
      </w:tr>
    </w:tbl>
    <w:p w14:paraId="76A81BAA" w14:textId="77777777" w:rsidR="006C386A" w:rsidRPr="00A455AE" w:rsidRDefault="006C386A" w:rsidP="006C386A">
      <w:pPr>
        <w:spacing w:line="240" w:lineRule="auto"/>
        <w:rPr>
          <w:rFonts w:cs="Times New Roman"/>
        </w:rPr>
      </w:pPr>
      <w:r w:rsidRPr="00A455AE">
        <w:rPr>
          <w:rFonts w:cs="Times New Roman"/>
        </w:rPr>
        <w:t xml:space="preserve">Based   on the results in Table </w:t>
      </w:r>
      <w:proofErr w:type="gramStart"/>
      <w:r w:rsidRPr="00A455AE">
        <w:rPr>
          <w:rFonts w:cs="Times New Roman"/>
        </w:rPr>
        <w:t>5 ,</w:t>
      </w:r>
      <w:proofErr w:type="gramEnd"/>
      <w:r w:rsidRPr="00A455AE">
        <w:rPr>
          <w:rFonts w:cs="Times New Roman"/>
        </w:rPr>
        <w:t xml:space="preserve"> the equation </w:t>
      </w:r>
    </w:p>
    <w:p w14:paraId="2A3A3DF3" w14:textId="77777777" w:rsidR="006C386A" w:rsidRPr="00A455AE" w:rsidRDefault="006C386A" w:rsidP="006C386A">
      <w:pPr>
        <w:spacing w:line="240" w:lineRule="auto"/>
        <w:rPr>
          <w:rFonts w:cs="Times New Roman"/>
          <w:b/>
          <w:bCs/>
          <w:szCs w:val="24"/>
        </w:rPr>
      </w:pPr>
      <m:oMathPara>
        <m:oMathParaPr>
          <m:jc m:val="left"/>
        </m:oMathParaPr>
        <m:oMath>
          <m:r>
            <m:rPr>
              <m:sty m:val="bi"/>
            </m:rPr>
            <w:rPr>
              <w:rFonts w:ascii="Cambria Math" w:hAnsi="Cambria Math" w:cs="Times New Roman"/>
              <w:szCs w:val="24"/>
            </w:rPr>
            <m:t>y=</m:t>
          </m:r>
          <m:sSub>
            <m:sSubPr>
              <m:ctrlPr>
                <w:rPr>
                  <w:rFonts w:ascii="Cambria Math" w:hAnsi="Cambria Math" w:cs="Times New Roman"/>
                  <w:b/>
                  <w:bCs/>
                  <w:i/>
                  <w:szCs w:val="24"/>
                </w:rPr>
              </m:ctrlPr>
            </m:sSubPr>
            <m:e>
              <m:r>
                <m:rPr>
                  <m:sty m:val="bi"/>
                </m:rPr>
                <w:rPr>
                  <w:rFonts w:ascii="Cambria Math" w:hAnsi="Cambria Math" w:cs="Times New Roman"/>
                  <w:szCs w:val="24"/>
                </w:rPr>
                <m:t>β</m:t>
              </m:r>
            </m:e>
            <m:sub>
              <m:r>
                <m:rPr>
                  <m:sty m:val="bi"/>
                </m:rPr>
                <w:rPr>
                  <w:rFonts w:ascii="Cambria Math" w:hAnsi="Cambria Math" w:cs="Times New Roman"/>
                  <w:szCs w:val="24"/>
                </w:rPr>
                <m:t>0</m:t>
              </m:r>
            </m:sub>
          </m:sSub>
          <m:r>
            <m:rPr>
              <m:sty m:val="bi"/>
            </m:rPr>
            <w:rPr>
              <w:rFonts w:ascii="Cambria Math" w:hAnsi="Cambria Math" w:cs="Times New Roman"/>
              <w:szCs w:val="24"/>
            </w:rPr>
            <m:t>+</m:t>
          </m:r>
          <m:sSub>
            <m:sSubPr>
              <m:ctrlPr>
                <w:rPr>
                  <w:rFonts w:ascii="Cambria Math" w:hAnsi="Cambria Math" w:cs="Times New Roman"/>
                  <w:b/>
                  <w:bCs/>
                  <w:i/>
                  <w:szCs w:val="24"/>
                </w:rPr>
              </m:ctrlPr>
            </m:sSubPr>
            <m:e>
              <m:r>
                <m:rPr>
                  <m:sty m:val="bi"/>
                </m:rPr>
                <w:rPr>
                  <w:rFonts w:ascii="Cambria Math" w:hAnsi="Cambria Math" w:cs="Times New Roman"/>
                  <w:szCs w:val="24"/>
                </w:rPr>
                <m:t>β</m:t>
              </m:r>
            </m:e>
            <m:sub>
              <m:r>
                <m:rPr>
                  <m:sty m:val="bi"/>
                </m:rPr>
                <w:rPr>
                  <w:rFonts w:ascii="Cambria Math" w:hAnsi="Cambria Math" w:cs="Times New Roman"/>
                  <w:szCs w:val="24"/>
                </w:rPr>
                <m:t>1</m:t>
              </m:r>
            </m:sub>
          </m:sSub>
          <m:sSub>
            <m:sSubPr>
              <m:ctrlPr>
                <w:rPr>
                  <w:rFonts w:ascii="Cambria Math" w:hAnsi="Cambria Math" w:cs="Times New Roman"/>
                  <w:b/>
                  <w:bCs/>
                  <w:i/>
                  <w:szCs w:val="24"/>
                </w:rPr>
              </m:ctrlPr>
            </m:sSubPr>
            <m:e>
              <m:r>
                <m:rPr>
                  <m:sty m:val="bi"/>
                </m:rPr>
                <w:rPr>
                  <w:rFonts w:ascii="Cambria Math" w:hAnsi="Cambria Math" w:cs="Times New Roman"/>
                  <w:szCs w:val="24"/>
                </w:rPr>
                <m:t>x</m:t>
              </m:r>
            </m:e>
            <m:sub>
              <m:r>
                <m:rPr>
                  <m:sty m:val="bi"/>
                </m:rPr>
                <w:rPr>
                  <w:rFonts w:ascii="Cambria Math" w:hAnsi="Cambria Math" w:cs="Times New Roman"/>
                  <w:szCs w:val="24"/>
                </w:rPr>
                <m:t>1</m:t>
              </m:r>
            </m:sub>
          </m:sSub>
          <m:r>
            <m:rPr>
              <m:sty m:val="bi"/>
            </m:rPr>
            <w:rPr>
              <w:rFonts w:ascii="Cambria Math" w:hAnsi="Cambria Math" w:cs="Times New Roman"/>
              <w:szCs w:val="24"/>
            </w:rPr>
            <m:t>+ε</m:t>
          </m:r>
        </m:oMath>
      </m:oMathPara>
    </w:p>
    <w:p w14:paraId="17674A0D" w14:textId="77777777" w:rsidR="006C386A" w:rsidRPr="00A455AE" w:rsidRDefault="006C386A" w:rsidP="006C386A">
      <w:pPr>
        <w:spacing w:line="240" w:lineRule="auto"/>
        <w:rPr>
          <w:rFonts w:cs="Times New Roman"/>
        </w:rPr>
      </w:pPr>
      <w:r w:rsidRPr="00A455AE">
        <w:rPr>
          <w:rFonts w:cs="Times New Roman"/>
        </w:rPr>
        <w:t>Becomes</w:t>
      </w:r>
    </w:p>
    <w:p w14:paraId="7090A618" w14:textId="77777777" w:rsidR="006C386A" w:rsidRPr="00A455AE" w:rsidRDefault="006C386A" w:rsidP="006C386A">
      <w:pPr>
        <w:spacing w:line="240" w:lineRule="auto"/>
        <w:rPr>
          <w:rFonts w:cs="Times New Roman"/>
          <w:szCs w:val="24"/>
        </w:rPr>
      </w:pPr>
      <w:r w:rsidRPr="00A455AE">
        <w:rPr>
          <w:rFonts w:cs="Times New Roman"/>
          <w:szCs w:val="24"/>
        </w:rPr>
        <w:t>Financial management= 5.111 +0.799 (</w:t>
      </w:r>
      <w:r w:rsidRPr="00A455AE">
        <w:rPr>
          <w:rStyle w:val="Strong"/>
          <w:rFonts w:eastAsia="SimSun"/>
        </w:rPr>
        <w:t>Board engagement</w:t>
      </w:r>
      <w:r w:rsidRPr="00A455AE">
        <w:rPr>
          <w:rFonts w:cs="Times New Roman"/>
          <w:szCs w:val="24"/>
        </w:rPr>
        <w:t xml:space="preserve">).  </w:t>
      </w:r>
    </w:p>
    <w:p w14:paraId="68A92E5D" w14:textId="77777777" w:rsidR="006C386A" w:rsidRPr="00A455AE" w:rsidRDefault="006C386A" w:rsidP="006C386A">
      <w:pPr>
        <w:spacing w:line="240" w:lineRule="auto"/>
      </w:pPr>
      <w:r w:rsidRPr="00A455AE">
        <w:t>Results show that a unit increase in board engagement will result to a unit increase in financial management</w:t>
      </w:r>
      <w:r w:rsidRPr="00A455AE">
        <w:rPr>
          <w:shd w:val="clear" w:color="auto" w:fill="FFFFFF"/>
        </w:rPr>
        <w:t xml:space="preserve"> (</w:t>
      </w:r>
      <w:r w:rsidRPr="00A455AE">
        <w:rPr>
          <w:rFonts w:eastAsia="Times New Roman" w:cs="Times New Roman"/>
          <w:szCs w:val="24"/>
        </w:rPr>
        <w:t>B = 0.799, SE = 0.049, Beta = 0.752, t = 16.217, p &lt; 0.001). The very strong Beta (0.752) indicate that engagement has the strongest effect on financial</w:t>
      </w:r>
      <w:r w:rsidRPr="00A455AE">
        <w:t xml:space="preserve"> management</w:t>
      </w:r>
      <w:r w:rsidRPr="00A455AE">
        <w:rPr>
          <w:rFonts w:eastAsia="Times New Roman" w:cs="Times New Roman"/>
          <w:szCs w:val="24"/>
        </w:rPr>
        <w:t xml:space="preserve"> among the four dimensions of </w:t>
      </w:r>
      <w:r w:rsidRPr="00A455AE">
        <w:t xml:space="preserve">board of management governance.  This implies that active participation in meetings, financial supervision, and monitoring enhances effective resource utilization in secondary schools. Findings concur with </w:t>
      </w:r>
      <w:proofErr w:type="spellStart"/>
      <w:r w:rsidRPr="00A455AE">
        <w:t>Odidi</w:t>
      </w:r>
      <w:proofErr w:type="spellEnd"/>
      <w:r w:rsidRPr="00A455AE">
        <w:t xml:space="preserve"> (2020) that there was a statistically significant influence of BOM engagement on completion of school projects.</w:t>
      </w:r>
    </w:p>
    <w:p w14:paraId="57F8FB53" w14:textId="77777777" w:rsidR="006C386A" w:rsidRPr="00A455AE" w:rsidRDefault="006C386A" w:rsidP="006C386A">
      <w:pPr>
        <w:rPr>
          <w:b/>
        </w:rPr>
      </w:pPr>
      <w:r w:rsidRPr="00A455AE">
        <w:rPr>
          <w:b/>
        </w:rPr>
        <w:t>Conclusion</w:t>
      </w:r>
    </w:p>
    <w:p w14:paraId="5E5D6A6D" w14:textId="77777777" w:rsidR="006C386A" w:rsidRPr="00A455AE" w:rsidRDefault="006C386A" w:rsidP="006C386A">
      <w:pPr>
        <w:spacing w:line="240" w:lineRule="auto"/>
        <w:rPr>
          <w:szCs w:val="24"/>
        </w:rPr>
      </w:pPr>
      <w:r w:rsidRPr="00A455AE">
        <w:rPr>
          <w:szCs w:val="24"/>
        </w:rPr>
        <w:t xml:space="preserve">Board engagement has the most significant effect on financial management in public secondary school in Kenya.  School boards that </w:t>
      </w:r>
      <w:proofErr w:type="gramStart"/>
      <w:r w:rsidRPr="00A455AE">
        <w:rPr>
          <w:szCs w:val="24"/>
        </w:rPr>
        <w:t>are  engaged</w:t>
      </w:r>
      <w:proofErr w:type="gramEnd"/>
      <w:r w:rsidRPr="00A455AE">
        <w:rPr>
          <w:szCs w:val="24"/>
        </w:rPr>
        <w:t xml:space="preserve"> with their communities, engaged in monitoring school finances, working with stakeholders (parents, teachers.), and engaged in monitoring and assessing the delivery of educational services are the driving force behind the effective management of school finances. The research shows that the engagement, involvement and commitment of the school board members is vital for the accountability and effectiveness of resource utilization within the public secondary schools.</w:t>
      </w:r>
    </w:p>
    <w:p w14:paraId="7AB83C57" w14:textId="77777777" w:rsidR="006C386A" w:rsidRPr="00A455AE" w:rsidRDefault="006C386A" w:rsidP="006C386A">
      <w:pPr>
        <w:autoSpaceDE w:val="0"/>
        <w:autoSpaceDN w:val="0"/>
        <w:adjustRightInd w:val="0"/>
        <w:spacing w:line="240" w:lineRule="auto"/>
        <w:rPr>
          <w:b/>
        </w:rPr>
      </w:pPr>
      <w:r w:rsidRPr="00A455AE">
        <w:rPr>
          <w:b/>
        </w:rPr>
        <w:t>Recommendations</w:t>
      </w:r>
    </w:p>
    <w:p w14:paraId="74FE2B87" w14:textId="77777777" w:rsidR="006C386A" w:rsidRDefault="006C386A" w:rsidP="006C386A">
      <w:pPr>
        <w:spacing w:line="240" w:lineRule="auto"/>
        <w:rPr>
          <w:szCs w:val="24"/>
        </w:rPr>
      </w:pPr>
      <w:r w:rsidRPr="00A455AE">
        <w:rPr>
          <w:szCs w:val="24"/>
        </w:rPr>
        <w:t xml:space="preserve">BoM members should improve on their meeting attendance rate and as well improve on their participation in decision-making processes.  The board should establish strategies for monitoring the school financial spending and regularly evaluate the budget and expenses to improve on financial transparency. The school administrators should ensure that the board engage representatives from stakeholders such as the teachers, parents, and community to improve accountability and resource allocation. </w:t>
      </w:r>
    </w:p>
    <w:p w14:paraId="7E234BAF" w14:textId="77777777" w:rsidR="003478EF" w:rsidRPr="003478EF" w:rsidRDefault="003478EF" w:rsidP="003478EF">
      <w:pPr>
        <w:spacing w:before="0" w:line="240" w:lineRule="auto"/>
        <w:jc w:val="left"/>
        <w:rPr>
          <w:rFonts w:ascii="Arial" w:hAnsi="Arial" w:cs="Arial"/>
          <w:b/>
          <w:color w:val="auto"/>
          <w:sz w:val="20"/>
          <w:szCs w:val="20"/>
          <w14:ligatures w14:val="none"/>
        </w:rPr>
      </w:pPr>
      <w:bookmarkStart w:id="45" w:name="_Hlk238550938"/>
      <w:bookmarkStart w:id="46" w:name="_Hlk237856463"/>
      <w:r w:rsidRPr="003478EF">
        <w:rPr>
          <w:rFonts w:ascii="Arial" w:hAnsi="Arial" w:cs="Arial"/>
          <w:b/>
          <w:color w:val="auto"/>
          <w:sz w:val="20"/>
          <w:szCs w:val="20"/>
          <w14:ligatures w14:val="none"/>
        </w:rPr>
        <w:lastRenderedPageBreak/>
        <w:t>Declaration of AI Use</w:t>
      </w:r>
    </w:p>
    <w:p w14:paraId="2B1B7DF3" w14:textId="77777777" w:rsidR="003478EF" w:rsidRPr="003478EF" w:rsidRDefault="003478EF" w:rsidP="003478EF">
      <w:pPr>
        <w:spacing w:before="0" w:line="240" w:lineRule="auto"/>
        <w:jc w:val="left"/>
        <w:rPr>
          <w:rFonts w:ascii="Arial" w:hAnsi="Arial" w:cs="Arial"/>
          <w:color w:val="auto"/>
          <w:sz w:val="20"/>
          <w:szCs w:val="20"/>
          <w14:ligatures w14:val="none"/>
        </w:rPr>
      </w:pPr>
      <w:bookmarkStart w:id="47" w:name="_Hlk239068730"/>
    </w:p>
    <w:p w14:paraId="58BB930A" w14:textId="77777777" w:rsidR="003478EF" w:rsidRPr="003478EF" w:rsidRDefault="003478EF" w:rsidP="003478EF">
      <w:pPr>
        <w:spacing w:before="0" w:line="240" w:lineRule="auto"/>
        <w:jc w:val="left"/>
        <w:rPr>
          <w:rFonts w:ascii="Arial" w:hAnsi="Arial" w:cs="Arial"/>
          <w:color w:val="auto"/>
          <w:sz w:val="20"/>
          <w:szCs w:val="20"/>
          <w14:ligatures w14:val="none"/>
        </w:rPr>
      </w:pPr>
      <w:bookmarkStart w:id="48" w:name="_Hlk237862032"/>
      <w:r w:rsidRPr="003478EF">
        <w:rPr>
          <w:rFonts w:ascii="Arial" w:hAnsi="Arial" w:cs="Arial"/>
          <w:color w:val="auto"/>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45"/>
      <w:r w:rsidRPr="003478EF">
        <w:rPr>
          <w:rFonts w:ascii="Arial" w:hAnsi="Arial" w:cs="Arial"/>
          <w:color w:val="auto"/>
          <w:sz w:val="20"/>
          <w:szCs w:val="20"/>
          <w14:ligatures w14:val="none"/>
        </w:rPr>
        <w:t>.</w:t>
      </w:r>
    </w:p>
    <w:bookmarkEnd w:id="46"/>
    <w:bookmarkEnd w:id="47"/>
    <w:bookmarkEnd w:id="48"/>
    <w:p w14:paraId="12C6C62A" w14:textId="77777777" w:rsidR="003478EF" w:rsidRPr="00A455AE" w:rsidRDefault="003478EF" w:rsidP="006C386A">
      <w:pPr>
        <w:spacing w:line="240" w:lineRule="auto"/>
        <w:rPr>
          <w:szCs w:val="24"/>
        </w:rPr>
      </w:pPr>
    </w:p>
    <w:p w14:paraId="7A679E25" w14:textId="77777777" w:rsidR="006C386A" w:rsidRPr="00A455AE" w:rsidRDefault="006C386A" w:rsidP="006C386A">
      <w:pPr>
        <w:pStyle w:val="Heading2"/>
      </w:pPr>
      <w:r w:rsidRPr="00A455AE">
        <w:t xml:space="preserve">References </w:t>
      </w:r>
    </w:p>
    <w:p w14:paraId="742AF90F" w14:textId="77777777" w:rsidR="006C386A" w:rsidRPr="00A455AE" w:rsidRDefault="006C386A" w:rsidP="006C386A">
      <w:pPr>
        <w:spacing w:line="240" w:lineRule="auto"/>
        <w:rPr>
          <w:rFonts w:cs="Times New Roman"/>
          <w:szCs w:val="24"/>
          <w:shd w:val="clear" w:color="auto" w:fill="FFFFFF"/>
        </w:rPr>
      </w:pPr>
      <w:r w:rsidRPr="00A455AE">
        <w:rPr>
          <w:rFonts w:cs="Times New Roman"/>
          <w:szCs w:val="24"/>
          <w:shd w:val="clear" w:color="auto" w:fill="FFFFFF"/>
        </w:rPr>
        <w:t xml:space="preserve"> Abdikadir, A. (2018). </w:t>
      </w:r>
      <w:r w:rsidRPr="00A455AE">
        <w:rPr>
          <w:rFonts w:cs="Times New Roman"/>
          <w:i/>
          <w:szCs w:val="24"/>
          <w:shd w:val="clear" w:color="auto" w:fill="FFFFFF"/>
        </w:rPr>
        <w:t xml:space="preserve">Influence of Board of Managements’ Corporate Governance Practices on </w:t>
      </w:r>
      <w:r w:rsidRPr="00A455AE">
        <w:rPr>
          <w:rFonts w:cs="Times New Roman"/>
          <w:i/>
          <w:szCs w:val="24"/>
          <w:shd w:val="clear" w:color="auto" w:fill="FFFFFF"/>
        </w:rPr>
        <w:tab/>
        <w:t>Financial Management in Public Secondary Schools in Moyale Sub- County, Kenya</w:t>
      </w:r>
      <w:r w:rsidRPr="00A455AE">
        <w:rPr>
          <w:rFonts w:cs="Times New Roman"/>
          <w:szCs w:val="24"/>
          <w:shd w:val="clear" w:color="auto" w:fill="FFFFFF"/>
        </w:rPr>
        <w:t xml:space="preserve">. </w:t>
      </w:r>
      <w:r w:rsidRPr="00A455AE">
        <w:rPr>
          <w:rFonts w:cs="Times New Roman"/>
          <w:szCs w:val="24"/>
          <w:shd w:val="clear" w:color="auto" w:fill="FFFFFF"/>
        </w:rPr>
        <w:tab/>
        <w:t>Doctoral dissertation, University of Nairobi.</w:t>
      </w:r>
    </w:p>
    <w:p w14:paraId="684ECB6A" w14:textId="77777777" w:rsidR="006C386A" w:rsidRPr="00A455AE" w:rsidRDefault="006C386A" w:rsidP="006C386A">
      <w:pPr>
        <w:spacing w:line="240" w:lineRule="auto"/>
        <w:ind w:left="720" w:hangingChars="300" w:hanging="720"/>
        <w:rPr>
          <w:rFonts w:cs="Times New Roman"/>
          <w:szCs w:val="24"/>
          <w:shd w:val="clear" w:color="auto" w:fill="FFFFFF"/>
        </w:rPr>
      </w:pPr>
      <w:r w:rsidRPr="00A455AE">
        <w:rPr>
          <w:rFonts w:cs="Times New Roman"/>
          <w:szCs w:val="24"/>
          <w:shd w:val="clear" w:color="auto" w:fill="FFFFFF"/>
        </w:rPr>
        <w:t xml:space="preserve">Alio, A. A., Chui, M., &amp; </w:t>
      </w:r>
      <w:proofErr w:type="spellStart"/>
      <w:r w:rsidRPr="00A455AE">
        <w:rPr>
          <w:rFonts w:cs="Times New Roman"/>
          <w:szCs w:val="24"/>
          <w:shd w:val="clear" w:color="auto" w:fill="FFFFFF"/>
        </w:rPr>
        <w:t>Githui</w:t>
      </w:r>
      <w:proofErr w:type="spellEnd"/>
      <w:r w:rsidRPr="00A455AE">
        <w:rPr>
          <w:rFonts w:cs="Times New Roman"/>
          <w:szCs w:val="24"/>
          <w:shd w:val="clear" w:color="auto" w:fill="FFFFFF"/>
        </w:rPr>
        <w:t>, K. (2019). Influence of Budget Reporting Practices on Financial Management in Public Secondary Schools in Mandera County, Kenya. </w:t>
      </w:r>
      <w:r w:rsidRPr="00A455AE">
        <w:rPr>
          <w:rFonts w:cs="Times New Roman"/>
          <w:i/>
          <w:iCs/>
          <w:szCs w:val="24"/>
          <w:shd w:val="clear" w:color="auto" w:fill="FFFFFF"/>
        </w:rPr>
        <w:t>African Journal of Education and Practice, 4</w:t>
      </w:r>
      <w:r w:rsidRPr="00A455AE">
        <w:rPr>
          <w:rFonts w:cs="Times New Roman"/>
          <w:szCs w:val="24"/>
          <w:shd w:val="clear" w:color="auto" w:fill="FFFFFF"/>
        </w:rPr>
        <w:t>(2), 51-60</w:t>
      </w:r>
    </w:p>
    <w:p w14:paraId="42CF4D3B" w14:textId="77777777" w:rsidR="006C386A" w:rsidRPr="00A455AE" w:rsidRDefault="006C386A" w:rsidP="006C386A">
      <w:pPr>
        <w:spacing w:line="240" w:lineRule="auto"/>
        <w:ind w:left="720" w:hangingChars="300" w:hanging="720"/>
        <w:rPr>
          <w:rFonts w:cs="Times New Roman"/>
          <w:szCs w:val="24"/>
        </w:rPr>
      </w:pPr>
      <w:proofErr w:type="spellStart"/>
      <w:r w:rsidRPr="00A455AE">
        <w:rPr>
          <w:rFonts w:cs="Times New Roman"/>
          <w:szCs w:val="24"/>
          <w:shd w:val="clear" w:color="auto" w:fill="FFFFFF"/>
        </w:rPr>
        <w:t>Apriana</w:t>
      </w:r>
      <w:proofErr w:type="spellEnd"/>
      <w:r w:rsidRPr="00A455AE">
        <w:rPr>
          <w:rFonts w:cs="Times New Roman"/>
          <w:szCs w:val="24"/>
          <w:shd w:val="clear" w:color="auto" w:fill="FFFFFF"/>
        </w:rPr>
        <w:t xml:space="preserve">, D., </w:t>
      </w:r>
      <w:proofErr w:type="spellStart"/>
      <w:r w:rsidRPr="00A455AE">
        <w:rPr>
          <w:rFonts w:cs="Times New Roman"/>
          <w:szCs w:val="24"/>
          <w:shd w:val="clear" w:color="auto" w:fill="FFFFFF"/>
        </w:rPr>
        <w:t>Kristiawan</w:t>
      </w:r>
      <w:proofErr w:type="spellEnd"/>
      <w:r w:rsidRPr="00A455AE">
        <w:rPr>
          <w:rFonts w:cs="Times New Roman"/>
          <w:szCs w:val="24"/>
          <w:shd w:val="clear" w:color="auto" w:fill="FFFFFF"/>
        </w:rPr>
        <w:t>, M., &amp; Wardiah, D. (2019). Headmaster’s competency in preparing vocational school students for entrepreneurship</w:t>
      </w:r>
      <w:r w:rsidRPr="00A455AE">
        <w:rPr>
          <w:rFonts w:cs="Times New Roman"/>
          <w:i/>
          <w:szCs w:val="24"/>
          <w:shd w:val="clear" w:color="auto" w:fill="FFFFFF"/>
        </w:rPr>
        <w:t>. International Journal of Scientific &amp; Technology Research</w:t>
      </w:r>
      <w:r w:rsidRPr="00A455AE">
        <w:rPr>
          <w:rFonts w:cs="Times New Roman"/>
          <w:szCs w:val="24"/>
          <w:shd w:val="clear" w:color="auto" w:fill="FFFFFF"/>
        </w:rPr>
        <w:t>, 8(8), 1316-1330.</w:t>
      </w:r>
      <w:r w:rsidRPr="00A455AE">
        <w:rPr>
          <w:rFonts w:cs="Times New Roman"/>
          <w:szCs w:val="24"/>
        </w:rPr>
        <w:t xml:space="preserve"> </w:t>
      </w:r>
    </w:p>
    <w:p w14:paraId="1F875DD6" w14:textId="77777777" w:rsidR="006C386A" w:rsidRPr="00A455AE" w:rsidRDefault="006C386A" w:rsidP="006C386A">
      <w:pPr>
        <w:spacing w:line="240" w:lineRule="auto"/>
        <w:ind w:left="720" w:hangingChars="300" w:hanging="720"/>
        <w:rPr>
          <w:rFonts w:cs="Times New Roman"/>
          <w:szCs w:val="24"/>
          <w:shd w:val="clear" w:color="auto" w:fill="FFFFFF"/>
        </w:rPr>
      </w:pPr>
      <w:proofErr w:type="spellStart"/>
      <w:r w:rsidRPr="00A455AE">
        <w:rPr>
          <w:rFonts w:cs="Times New Roman"/>
          <w:szCs w:val="24"/>
          <w:shd w:val="clear" w:color="auto" w:fill="FFFFFF"/>
        </w:rPr>
        <w:t>Baaru</w:t>
      </w:r>
      <w:proofErr w:type="spellEnd"/>
      <w:r w:rsidRPr="00A455AE">
        <w:rPr>
          <w:rFonts w:cs="Times New Roman"/>
          <w:szCs w:val="24"/>
          <w:shd w:val="clear" w:color="auto" w:fill="FFFFFF"/>
        </w:rPr>
        <w:t>, C. M. (2019). Effectiveness of School Boards in Managing Financial and Human Resources in Public Primary Schools in Nyeri County, Kenya. </w:t>
      </w:r>
      <w:r w:rsidRPr="00A455AE">
        <w:rPr>
          <w:rFonts w:cs="Times New Roman"/>
          <w:i/>
          <w:szCs w:val="24"/>
          <w:shd w:val="clear" w:color="auto" w:fill="FFFFFF"/>
        </w:rPr>
        <w:t>Journal of Arts and Humanities</w:t>
      </w:r>
      <w:r w:rsidRPr="00A455AE">
        <w:rPr>
          <w:rFonts w:cs="Times New Roman"/>
          <w:szCs w:val="24"/>
          <w:shd w:val="clear" w:color="auto" w:fill="FFFFFF"/>
        </w:rPr>
        <w:t>, 8(6), 77-87.</w:t>
      </w:r>
    </w:p>
    <w:p w14:paraId="336DED2E" w14:textId="77777777" w:rsidR="006C386A" w:rsidRPr="00A455AE" w:rsidRDefault="006C386A" w:rsidP="006C386A">
      <w:pPr>
        <w:spacing w:line="240" w:lineRule="auto"/>
        <w:ind w:left="720" w:hangingChars="300" w:hanging="720"/>
        <w:rPr>
          <w:rFonts w:cs="Times New Roman"/>
          <w:szCs w:val="24"/>
        </w:rPr>
      </w:pPr>
      <w:r w:rsidRPr="00A455AE">
        <w:rPr>
          <w:rFonts w:cs="Times New Roman"/>
          <w:szCs w:val="24"/>
        </w:rPr>
        <w:t xml:space="preserve">Clarkson, M.E., (1994). A risk-based model of stakeholder theory. Working paper, University of Toronto. </w:t>
      </w:r>
    </w:p>
    <w:p w14:paraId="3B87F0DF" w14:textId="77777777" w:rsidR="006C386A" w:rsidRPr="00A455AE" w:rsidRDefault="006C386A" w:rsidP="006C386A">
      <w:pPr>
        <w:spacing w:line="240" w:lineRule="auto"/>
        <w:ind w:left="720" w:hangingChars="300" w:hanging="720"/>
        <w:rPr>
          <w:rFonts w:cs="Times New Roman"/>
          <w:szCs w:val="24"/>
          <w:shd w:val="clear" w:color="auto" w:fill="FFFFFF"/>
        </w:rPr>
      </w:pPr>
      <w:r w:rsidRPr="00A455AE">
        <w:rPr>
          <w:rFonts w:cs="Times New Roman"/>
          <w:szCs w:val="24"/>
          <w:shd w:val="clear" w:color="auto" w:fill="FFFFFF"/>
        </w:rPr>
        <w:t xml:space="preserve">Edmund, S., &amp; </w:t>
      </w:r>
      <w:proofErr w:type="spellStart"/>
      <w:r w:rsidRPr="00A455AE">
        <w:rPr>
          <w:rFonts w:cs="Times New Roman"/>
          <w:szCs w:val="24"/>
          <w:shd w:val="clear" w:color="auto" w:fill="FFFFFF"/>
        </w:rPr>
        <w:t>Lyamtane</w:t>
      </w:r>
      <w:proofErr w:type="spellEnd"/>
      <w:r w:rsidRPr="00A455AE">
        <w:rPr>
          <w:rFonts w:cs="Times New Roman"/>
          <w:szCs w:val="24"/>
          <w:shd w:val="clear" w:color="auto" w:fill="FFFFFF"/>
        </w:rPr>
        <w:t>, R. D. E. (2018). Effectiveness of the heads of schools in managing financial resources in public secondary schools in Moshi Municipality. </w:t>
      </w:r>
      <w:r w:rsidRPr="00A455AE">
        <w:rPr>
          <w:rFonts w:cs="Times New Roman"/>
          <w:i/>
          <w:szCs w:val="24"/>
          <w:shd w:val="clear" w:color="auto" w:fill="FFFFFF"/>
        </w:rPr>
        <w:t>International Journal of Scientific Research and Management</w:t>
      </w:r>
      <w:r w:rsidRPr="00A455AE">
        <w:rPr>
          <w:rFonts w:cs="Times New Roman"/>
          <w:szCs w:val="24"/>
          <w:shd w:val="clear" w:color="auto" w:fill="FFFFFF"/>
        </w:rPr>
        <w:t>, 6(05)</w:t>
      </w:r>
    </w:p>
    <w:p w14:paraId="7FE364B0" w14:textId="77777777" w:rsidR="006C386A" w:rsidRPr="00A455AE" w:rsidRDefault="006C386A" w:rsidP="006C386A">
      <w:pPr>
        <w:spacing w:line="240" w:lineRule="auto"/>
        <w:ind w:left="720" w:hangingChars="300" w:hanging="720"/>
        <w:rPr>
          <w:rFonts w:cs="Times New Roman"/>
          <w:szCs w:val="24"/>
        </w:rPr>
      </w:pPr>
      <w:r w:rsidRPr="00A455AE">
        <w:rPr>
          <w:rFonts w:cs="Times New Roman"/>
          <w:szCs w:val="24"/>
          <w:shd w:val="clear" w:color="auto" w:fill="FFFFFF"/>
        </w:rPr>
        <w:t xml:space="preserve">Kadir, J., &amp; </w:t>
      </w:r>
      <w:proofErr w:type="spellStart"/>
      <w:r w:rsidRPr="00A455AE">
        <w:rPr>
          <w:rFonts w:cs="Times New Roman"/>
          <w:szCs w:val="24"/>
          <w:shd w:val="clear" w:color="auto" w:fill="FFFFFF"/>
        </w:rPr>
        <w:t>Nimota</w:t>
      </w:r>
      <w:proofErr w:type="spellEnd"/>
      <w:r w:rsidRPr="00A455AE">
        <w:rPr>
          <w:rFonts w:cs="Times New Roman"/>
          <w:szCs w:val="24"/>
          <w:shd w:val="clear" w:color="auto" w:fill="FFFFFF"/>
        </w:rPr>
        <w:t xml:space="preserve">, A. (2019). Good Governance Issues in Education System and Management of Secondary Schools in Kwara State, Nigeria. EJEP: </w:t>
      </w:r>
      <w:r w:rsidRPr="00A455AE">
        <w:rPr>
          <w:rFonts w:cs="Times New Roman"/>
          <w:i/>
          <w:szCs w:val="24"/>
          <w:shd w:val="clear" w:color="auto" w:fill="FFFFFF"/>
        </w:rPr>
        <w:t>Journal of Education Policy</w:t>
      </w:r>
      <w:r w:rsidRPr="00A455AE">
        <w:rPr>
          <w:rFonts w:cs="Times New Roman"/>
          <w:szCs w:val="24"/>
          <w:shd w:val="clear" w:color="auto" w:fill="FFFFFF"/>
        </w:rPr>
        <w:t>.</w:t>
      </w:r>
      <w:r w:rsidRPr="00A455AE">
        <w:rPr>
          <w:rFonts w:cs="Times New Roman"/>
          <w:szCs w:val="24"/>
        </w:rPr>
        <w:t xml:space="preserve"> </w:t>
      </w:r>
    </w:p>
    <w:p w14:paraId="35850BB1" w14:textId="77777777" w:rsidR="006C386A" w:rsidRPr="00A455AE" w:rsidRDefault="006C386A" w:rsidP="006C386A">
      <w:pPr>
        <w:spacing w:line="240" w:lineRule="auto"/>
        <w:ind w:left="720" w:hangingChars="300" w:hanging="720"/>
        <w:rPr>
          <w:rFonts w:cs="Times New Roman"/>
          <w:szCs w:val="24"/>
          <w:shd w:val="clear" w:color="auto" w:fill="FFFFFF"/>
        </w:rPr>
      </w:pPr>
      <w:proofErr w:type="spellStart"/>
      <w:r w:rsidRPr="00A455AE">
        <w:rPr>
          <w:rFonts w:cs="Times New Roman"/>
          <w:szCs w:val="24"/>
          <w:shd w:val="clear" w:color="auto" w:fill="FFFFFF"/>
        </w:rPr>
        <w:t>Kaimuri</w:t>
      </w:r>
      <w:proofErr w:type="spellEnd"/>
      <w:r w:rsidRPr="00A455AE">
        <w:rPr>
          <w:rFonts w:cs="Times New Roman"/>
          <w:szCs w:val="24"/>
          <w:shd w:val="clear" w:color="auto" w:fill="FFFFFF"/>
        </w:rPr>
        <w:t>, J. (2021). </w:t>
      </w:r>
      <w:r w:rsidRPr="00A455AE">
        <w:rPr>
          <w:rFonts w:cs="Times New Roman"/>
          <w:i/>
          <w:szCs w:val="24"/>
          <w:shd w:val="clear" w:color="auto" w:fill="FFFFFF"/>
        </w:rPr>
        <w:t>Influence of Board of Management Skills on Financial Management in Public Primary Schools in Tharaka South Sub-County, Tharaka Nithi County, Kenya </w:t>
      </w:r>
      <w:r w:rsidRPr="00A455AE">
        <w:rPr>
          <w:rFonts w:cs="Times New Roman"/>
          <w:szCs w:val="24"/>
          <w:shd w:val="clear" w:color="auto" w:fill="FFFFFF"/>
        </w:rPr>
        <w:t>(University of Nairobi Doctoral dissertation).</w:t>
      </w:r>
    </w:p>
    <w:p w14:paraId="448DD5BE" w14:textId="77777777" w:rsidR="006C386A" w:rsidRPr="00A455AE" w:rsidRDefault="006C386A" w:rsidP="006C386A">
      <w:pPr>
        <w:spacing w:line="240" w:lineRule="auto"/>
        <w:ind w:left="720" w:hangingChars="300" w:hanging="720"/>
        <w:rPr>
          <w:rFonts w:cs="Times New Roman"/>
          <w:szCs w:val="24"/>
          <w:shd w:val="clear" w:color="auto" w:fill="FFFFFF"/>
        </w:rPr>
      </w:pPr>
      <w:proofErr w:type="spellStart"/>
      <w:r w:rsidRPr="00A455AE">
        <w:rPr>
          <w:rFonts w:cs="Times New Roman"/>
          <w:szCs w:val="24"/>
          <w:shd w:val="clear" w:color="auto" w:fill="FFFFFF"/>
        </w:rPr>
        <w:t>Kalungu</w:t>
      </w:r>
      <w:proofErr w:type="spellEnd"/>
      <w:r w:rsidRPr="00A455AE">
        <w:rPr>
          <w:rFonts w:cs="Times New Roman"/>
          <w:szCs w:val="24"/>
          <w:shd w:val="clear" w:color="auto" w:fill="FFFFFF"/>
        </w:rPr>
        <w:t>, A. S. (2015). </w:t>
      </w:r>
      <w:r w:rsidRPr="00A455AE">
        <w:rPr>
          <w:rFonts w:cs="Times New Roman"/>
          <w:i/>
          <w:szCs w:val="24"/>
          <w:shd w:val="clear" w:color="auto" w:fill="FFFFFF"/>
        </w:rPr>
        <w:t xml:space="preserve">Influence of board of managements’ financial management on public secondary schools in </w:t>
      </w:r>
      <w:proofErr w:type="spellStart"/>
      <w:r w:rsidRPr="00A455AE">
        <w:rPr>
          <w:rFonts w:cs="Times New Roman"/>
          <w:i/>
          <w:szCs w:val="24"/>
          <w:shd w:val="clear" w:color="auto" w:fill="FFFFFF"/>
        </w:rPr>
        <w:t>Westlands</w:t>
      </w:r>
      <w:proofErr w:type="spellEnd"/>
      <w:r w:rsidRPr="00A455AE">
        <w:rPr>
          <w:rFonts w:cs="Times New Roman"/>
          <w:i/>
          <w:szCs w:val="24"/>
          <w:shd w:val="clear" w:color="auto" w:fill="FFFFFF"/>
        </w:rPr>
        <w:t xml:space="preserve"> district, Nairobi City County, Kenya</w:t>
      </w:r>
      <w:r w:rsidRPr="00A455AE">
        <w:rPr>
          <w:rFonts w:cs="Times New Roman"/>
          <w:szCs w:val="24"/>
          <w:shd w:val="clear" w:color="auto" w:fill="FFFFFF"/>
        </w:rPr>
        <w:t> (Doctoral dissertation, University of Nairobi).</w:t>
      </w:r>
    </w:p>
    <w:p w14:paraId="0E02ED98" w14:textId="77777777" w:rsidR="006C386A" w:rsidRPr="00A455AE" w:rsidRDefault="006C386A" w:rsidP="006C386A">
      <w:pPr>
        <w:spacing w:line="240" w:lineRule="auto"/>
        <w:ind w:left="720" w:hangingChars="300" w:hanging="720"/>
        <w:rPr>
          <w:rFonts w:eastAsia="Times New Roman" w:cs="Times New Roman"/>
          <w:szCs w:val="24"/>
        </w:rPr>
      </w:pPr>
      <w:r w:rsidRPr="00A455AE">
        <w:rPr>
          <w:rFonts w:eastAsia="Times New Roman" w:cs="Times New Roman"/>
          <w:szCs w:val="24"/>
        </w:rPr>
        <w:t>Kiptoo, J. K., &amp; Mwangi, P. N. (2023). Community Engagement and Its Impact on School Performance in Public Secondary Schools in Nakuru County, Kenya</w:t>
      </w:r>
      <w:r w:rsidRPr="00A455AE">
        <w:rPr>
          <w:rFonts w:eastAsia="Times New Roman" w:cs="Times New Roman"/>
          <w:i/>
          <w:szCs w:val="24"/>
        </w:rPr>
        <w:t>. Journal of African Education Studies</w:t>
      </w:r>
      <w:r w:rsidRPr="00A455AE">
        <w:rPr>
          <w:rFonts w:eastAsia="Times New Roman" w:cs="Times New Roman"/>
          <w:szCs w:val="24"/>
        </w:rPr>
        <w:t>, 6(1), 78-94.</w:t>
      </w:r>
    </w:p>
    <w:p w14:paraId="3632936F" w14:textId="77777777" w:rsidR="006C386A" w:rsidRPr="00A455AE" w:rsidRDefault="006C386A" w:rsidP="006C386A">
      <w:pPr>
        <w:spacing w:line="240" w:lineRule="auto"/>
        <w:ind w:left="720" w:hangingChars="300" w:hanging="720"/>
        <w:rPr>
          <w:rFonts w:cs="Times New Roman"/>
          <w:szCs w:val="24"/>
          <w:shd w:val="clear" w:color="auto" w:fill="FFFFFF"/>
        </w:rPr>
      </w:pPr>
      <w:proofErr w:type="spellStart"/>
      <w:r w:rsidRPr="00A455AE">
        <w:rPr>
          <w:rFonts w:cs="Times New Roman"/>
          <w:szCs w:val="24"/>
          <w:shd w:val="clear" w:color="auto" w:fill="FFFFFF"/>
        </w:rPr>
        <w:t>Midialo</w:t>
      </w:r>
      <w:proofErr w:type="spellEnd"/>
      <w:r w:rsidRPr="00A455AE">
        <w:rPr>
          <w:rFonts w:cs="Times New Roman"/>
          <w:szCs w:val="24"/>
          <w:shd w:val="clear" w:color="auto" w:fill="FFFFFF"/>
        </w:rPr>
        <w:t>, T. (2017). The Impact of corporate governance on financial management of public secondary schools in Kenya: A case of Siaya County. Available at SSRN 3735286.</w:t>
      </w:r>
      <w:r w:rsidRPr="00A455AE">
        <w:rPr>
          <w:rFonts w:cs="Times New Roman"/>
          <w:szCs w:val="24"/>
        </w:rPr>
        <w:t xml:space="preserve"> </w:t>
      </w:r>
      <w:r w:rsidRPr="00A455AE">
        <w:rPr>
          <w:rFonts w:cs="Times New Roman"/>
          <w:szCs w:val="24"/>
          <w:shd w:val="clear" w:color="auto" w:fill="FFFFFF"/>
        </w:rPr>
        <w:t>https://papers.ssrn.com/sol3/papers.cfm?abstract_id=3735286</w:t>
      </w:r>
    </w:p>
    <w:p w14:paraId="64B007F9" w14:textId="77777777" w:rsidR="006C386A" w:rsidRPr="00A455AE" w:rsidRDefault="006C386A" w:rsidP="006C386A">
      <w:pPr>
        <w:spacing w:line="240" w:lineRule="auto"/>
        <w:ind w:left="720" w:hangingChars="300" w:hanging="720"/>
        <w:rPr>
          <w:rFonts w:eastAsia="Times New Roman" w:cs="Times New Roman"/>
          <w:szCs w:val="24"/>
        </w:rPr>
      </w:pPr>
      <w:r w:rsidRPr="00A455AE">
        <w:rPr>
          <w:rFonts w:eastAsia="Times New Roman" w:cs="Times New Roman"/>
          <w:szCs w:val="24"/>
        </w:rPr>
        <w:t xml:space="preserve">Munyao, J. K., &amp; Ochieng, P. A. (2022). Stakeholder Involvement and Financial Accountability in Public Secondary Schools in Machakos County, Kenya. </w:t>
      </w:r>
      <w:r w:rsidRPr="00A455AE">
        <w:rPr>
          <w:rFonts w:eastAsia="Times New Roman" w:cs="Times New Roman"/>
          <w:i/>
          <w:szCs w:val="24"/>
        </w:rPr>
        <w:t>African Journal of Educational Management</w:t>
      </w:r>
      <w:r w:rsidRPr="00A455AE">
        <w:rPr>
          <w:rFonts w:eastAsia="Times New Roman" w:cs="Times New Roman"/>
          <w:szCs w:val="24"/>
        </w:rPr>
        <w:t>, 7(3), 112-128.</w:t>
      </w:r>
    </w:p>
    <w:p w14:paraId="502ECDCC" w14:textId="77777777" w:rsidR="006C386A" w:rsidRPr="00A455AE" w:rsidRDefault="006C386A" w:rsidP="006C386A">
      <w:pPr>
        <w:spacing w:line="240" w:lineRule="auto"/>
        <w:ind w:left="720" w:hangingChars="300" w:hanging="720"/>
        <w:rPr>
          <w:rFonts w:cs="Times New Roman"/>
          <w:szCs w:val="24"/>
        </w:rPr>
      </w:pPr>
      <w:proofErr w:type="spellStart"/>
      <w:r w:rsidRPr="00A455AE">
        <w:rPr>
          <w:rFonts w:cs="Times New Roman"/>
          <w:szCs w:val="24"/>
        </w:rPr>
        <w:lastRenderedPageBreak/>
        <w:t>Nke</w:t>
      </w:r>
      <w:proofErr w:type="spellEnd"/>
      <w:r w:rsidRPr="00A455AE">
        <w:rPr>
          <w:rFonts w:cs="Times New Roman"/>
          <w:szCs w:val="24"/>
        </w:rPr>
        <w:t xml:space="preserve">, G. &amp; Wachira, J. (2023). Project Management Practices and Implementation of Construction Projects in Public Secondary Schools in Nairobi City County, Kenya. </w:t>
      </w:r>
      <w:r w:rsidRPr="00A455AE">
        <w:rPr>
          <w:rFonts w:cs="Times New Roman"/>
          <w:i/>
          <w:szCs w:val="24"/>
        </w:rPr>
        <w:t>International Journal of Science and Research</w:t>
      </w:r>
      <w:r w:rsidRPr="00A455AE">
        <w:rPr>
          <w:rFonts w:cs="Times New Roman"/>
          <w:szCs w:val="24"/>
        </w:rPr>
        <w:t>, 12(11)1449-1457</w:t>
      </w:r>
    </w:p>
    <w:p w14:paraId="61FF43CA" w14:textId="77777777" w:rsidR="006C386A" w:rsidRPr="00A455AE" w:rsidRDefault="006C386A" w:rsidP="006C386A">
      <w:pPr>
        <w:spacing w:line="240" w:lineRule="auto"/>
        <w:ind w:left="720" w:hangingChars="300" w:hanging="720"/>
        <w:rPr>
          <w:rFonts w:eastAsia="Times New Roman" w:cs="Times New Roman"/>
          <w:szCs w:val="24"/>
        </w:rPr>
      </w:pPr>
      <w:proofErr w:type="spellStart"/>
      <w:r w:rsidRPr="00A455AE">
        <w:rPr>
          <w:rFonts w:eastAsia="Times New Roman" w:cs="Times New Roman"/>
          <w:szCs w:val="24"/>
        </w:rPr>
        <w:t>Odide</w:t>
      </w:r>
      <w:proofErr w:type="spellEnd"/>
      <w:r w:rsidRPr="00A455AE">
        <w:rPr>
          <w:rFonts w:eastAsia="Times New Roman" w:cs="Times New Roman"/>
          <w:szCs w:val="24"/>
        </w:rPr>
        <w:t xml:space="preserve">, M. O. (2021). Financial Resource Management and Its Influence on Students’ Academic Performance in Public Secondary Schools in </w:t>
      </w:r>
      <w:proofErr w:type="spellStart"/>
      <w:r w:rsidRPr="00A455AE">
        <w:rPr>
          <w:rFonts w:eastAsia="Times New Roman" w:cs="Times New Roman"/>
          <w:szCs w:val="24"/>
        </w:rPr>
        <w:t>Lang’ata</w:t>
      </w:r>
      <w:proofErr w:type="spellEnd"/>
      <w:r w:rsidRPr="00A455AE">
        <w:rPr>
          <w:rFonts w:eastAsia="Times New Roman" w:cs="Times New Roman"/>
          <w:szCs w:val="24"/>
        </w:rPr>
        <w:t xml:space="preserve"> Sub-County, Nairobi</w:t>
      </w:r>
      <w:r w:rsidRPr="00A455AE">
        <w:rPr>
          <w:rFonts w:eastAsia="Times New Roman" w:cs="Times New Roman"/>
          <w:i/>
          <w:szCs w:val="24"/>
        </w:rPr>
        <w:t>. International Journal of Scientific Research and Management</w:t>
      </w:r>
      <w:r w:rsidRPr="00A455AE">
        <w:rPr>
          <w:rFonts w:eastAsia="Times New Roman" w:cs="Times New Roman"/>
          <w:szCs w:val="24"/>
        </w:rPr>
        <w:t>, 9(11).</w:t>
      </w:r>
    </w:p>
    <w:p w14:paraId="485AFF68" w14:textId="77777777" w:rsidR="006C386A" w:rsidRPr="00A455AE" w:rsidRDefault="006C386A" w:rsidP="006C386A">
      <w:pPr>
        <w:spacing w:line="240" w:lineRule="auto"/>
        <w:ind w:left="720" w:hangingChars="300" w:hanging="720"/>
        <w:rPr>
          <w:rFonts w:cs="Times New Roman"/>
          <w:szCs w:val="24"/>
        </w:rPr>
      </w:pPr>
      <w:proofErr w:type="spellStart"/>
      <w:r w:rsidRPr="00A455AE">
        <w:rPr>
          <w:rFonts w:cs="Times New Roman"/>
          <w:szCs w:val="24"/>
          <w:shd w:val="clear" w:color="auto" w:fill="FFFFFF"/>
        </w:rPr>
        <w:t>Okelele</w:t>
      </w:r>
      <w:proofErr w:type="spellEnd"/>
      <w:r w:rsidRPr="00A455AE">
        <w:rPr>
          <w:rFonts w:cs="Times New Roman"/>
          <w:szCs w:val="24"/>
          <w:shd w:val="clear" w:color="auto" w:fill="FFFFFF"/>
        </w:rPr>
        <w:t>, J. (2021). </w:t>
      </w:r>
      <w:r w:rsidRPr="00A455AE">
        <w:rPr>
          <w:rFonts w:cs="Times New Roman"/>
          <w:i/>
          <w:szCs w:val="24"/>
          <w:shd w:val="clear" w:color="auto" w:fill="FFFFFF"/>
        </w:rPr>
        <w:t xml:space="preserve">Factors influencing financial control practices in public secondary school in </w:t>
      </w:r>
      <w:proofErr w:type="spellStart"/>
      <w:r w:rsidRPr="00A455AE">
        <w:rPr>
          <w:rFonts w:cs="Times New Roman"/>
          <w:i/>
          <w:szCs w:val="24"/>
          <w:shd w:val="clear" w:color="auto" w:fill="FFFFFF"/>
        </w:rPr>
        <w:t>Kibra</w:t>
      </w:r>
      <w:proofErr w:type="spellEnd"/>
      <w:r w:rsidRPr="00A455AE">
        <w:rPr>
          <w:rFonts w:cs="Times New Roman"/>
          <w:i/>
          <w:szCs w:val="24"/>
          <w:shd w:val="clear" w:color="auto" w:fill="FFFFFF"/>
        </w:rPr>
        <w:t xml:space="preserve"> Sub County </w:t>
      </w:r>
      <w:proofErr w:type="gramStart"/>
      <w:r w:rsidRPr="00A455AE">
        <w:rPr>
          <w:rFonts w:cs="Times New Roman"/>
          <w:i/>
          <w:szCs w:val="24"/>
          <w:shd w:val="clear" w:color="auto" w:fill="FFFFFF"/>
        </w:rPr>
        <w:t>In</w:t>
      </w:r>
      <w:proofErr w:type="gramEnd"/>
      <w:r w:rsidRPr="00A455AE">
        <w:rPr>
          <w:rFonts w:cs="Times New Roman"/>
          <w:i/>
          <w:szCs w:val="24"/>
          <w:shd w:val="clear" w:color="auto" w:fill="FFFFFF"/>
        </w:rPr>
        <w:t xml:space="preserve"> Nairobi City County, Kenya</w:t>
      </w:r>
      <w:r w:rsidRPr="00A455AE">
        <w:rPr>
          <w:rFonts w:cs="Times New Roman"/>
          <w:szCs w:val="24"/>
          <w:shd w:val="clear" w:color="auto" w:fill="FFFFFF"/>
        </w:rPr>
        <w:t> (Doctoral dissertation, KCA University).</w:t>
      </w:r>
      <w:r w:rsidRPr="00A455AE">
        <w:rPr>
          <w:rFonts w:cs="Times New Roman"/>
          <w:szCs w:val="24"/>
        </w:rPr>
        <w:t xml:space="preserve"> </w:t>
      </w:r>
      <w:r w:rsidRPr="00A455AE">
        <w:rPr>
          <w:rFonts w:cs="Times New Roman"/>
          <w:szCs w:val="24"/>
          <w:shd w:val="clear" w:color="auto" w:fill="FFFFFF"/>
        </w:rPr>
        <w:t>https://repository.kcau.ac.ke/handle/123456789/1260</w:t>
      </w:r>
    </w:p>
    <w:p w14:paraId="6BADEF2C" w14:textId="77777777" w:rsidR="006C386A" w:rsidRPr="00A455AE" w:rsidRDefault="006C386A" w:rsidP="006C386A">
      <w:pPr>
        <w:spacing w:line="240" w:lineRule="auto"/>
        <w:ind w:left="720" w:hangingChars="300" w:hanging="720"/>
        <w:jc w:val="left"/>
        <w:rPr>
          <w:rFonts w:cs="Times New Roman"/>
          <w:szCs w:val="24"/>
          <w:shd w:val="clear" w:color="auto" w:fill="FFFFFF"/>
        </w:rPr>
      </w:pPr>
      <w:proofErr w:type="spellStart"/>
      <w:r w:rsidRPr="00A455AE">
        <w:rPr>
          <w:rFonts w:cs="Times New Roman"/>
          <w:szCs w:val="24"/>
          <w:shd w:val="clear" w:color="auto" w:fill="FFFFFF"/>
        </w:rPr>
        <w:t>Okeze</w:t>
      </w:r>
      <w:proofErr w:type="spellEnd"/>
      <w:r w:rsidRPr="00A455AE">
        <w:rPr>
          <w:rFonts w:cs="Times New Roman"/>
          <w:szCs w:val="24"/>
          <w:shd w:val="clear" w:color="auto" w:fill="FFFFFF"/>
        </w:rPr>
        <w:t xml:space="preserve">, W. O., &amp; </w:t>
      </w:r>
      <w:proofErr w:type="spellStart"/>
      <w:r w:rsidRPr="00A455AE">
        <w:rPr>
          <w:rFonts w:cs="Times New Roman"/>
          <w:szCs w:val="24"/>
          <w:shd w:val="clear" w:color="auto" w:fill="FFFFFF"/>
        </w:rPr>
        <w:t>Ngwakwe</w:t>
      </w:r>
      <w:proofErr w:type="spellEnd"/>
      <w:r w:rsidRPr="00A455AE">
        <w:rPr>
          <w:rFonts w:cs="Times New Roman"/>
          <w:szCs w:val="24"/>
          <w:shd w:val="clear" w:color="auto" w:fill="FFFFFF"/>
        </w:rPr>
        <w:t>, E. J. (2018). Assessment of financial management practices of secondary schools in Abia State. </w:t>
      </w:r>
      <w:r w:rsidRPr="00A455AE">
        <w:rPr>
          <w:rFonts w:cs="Times New Roman"/>
          <w:i/>
          <w:szCs w:val="24"/>
          <w:shd w:val="clear" w:color="auto" w:fill="FFFFFF"/>
        </w:rPr>
        <w:t>Environmental Education</w:t>
      </w:r>
      <w:r w:rsidRPr="00A455AE">
        <w:rPr>
          <w:rFonts w:cs="Times New Roman"/>
          <w:szCs w:val="24"/>
          <w:shd w:val="clear" w:color="auto" w:fill="FFFFFF"/>
        </w:rPr>
        <w:t>, 3(1), 33-46</w:t>
      </w:r>
    </w:p>
    <w:p w14:paraId="1E787130" w14:textId="77777777" w:rsidR="006C386A" w:rsidRPr="00A455AE" w:rsidRDefault="006C386A" w:rsidP="006C386A">
      <w:pPr>
        <w:spacing w:line="240" w:lineRule="auto"/>
        <w:ind w:left="720" w:hangingChars="300" w:hanging="720"/>
        <w:rPr>
          <w:rFonts w:cs="Times New Roman"/>
          <w:szCs w:val="24"/>
          <w:shd w:val="clear" w:color="auto" w:fill="FFFFFF"/>
        </w:rPr>
      </w:pPr>
      <w:r w:rsidRPr="00A455AE">
        <w:rPr>
          <w:rFonts w:cs="Times New Roman"/>
          <w:szCs w:val="24"/>
          <w:shd w:val="clear" w:color="auto" w:fill="FFFFFF"/>
        </w:rPr>
        <w:t xml:space="preserve">Oko, O. F., Nguwasen, M. P., &amp; </w:t>
      </w:r>
      <w:proofErr w:type="spellStart"/>
      <w:r w:rsidRPr="00A455AE">
        <w:rPr>
          <w:rFonts w:cs="Times New Roman"/>
          <w:szCs w:val="24"/>
          <w:shd w:val="clear" w:color="auto" w:fill="FFFFFF"/>
        </w:rPr>
        <w:t>Ebelechukwu</w:t>
      </w:r>
      <w:proofErr w:type="spellEnd"/>
      <w:r w:rsidRPr="00A455AE">
        <w:rPr>
          <w:rFonts w:cs="Times New Roman"/>
          <w:szCs w:val="24"/>
          <w:shd w:val="clear" w:color="auto" w:fill="FFFFFF"/>
        </w:rPr>
        <w:t>, N. F. (2022). Extent of School-Based Management Committee Involvement in Public Secondary Schools Administration in Abuja, Nigeria. </w:t>
      </w:r>
      <w:r w:rsidRPr="00A455AE">
        <w:rPr>
          <w:rFonts w:cs="Times New Roman"/>
          <w:i/>
          <w:iCs/>
          <w:szCs w:val="24"/>
          <w:shd w:val="clear" w:color="auto" w:fill="FFFFFF"/>
        </w:rPr>
        <w:t>Social Education Research</w:t>
      </w:r>
      <w:r w:rsidRPr="00A455AE">
        <w:rPr>
          <w:rFonts w:cs="Times New Roman"/>
          <w:szCs w:val="24"/>
          <w:shd w:val="clear" w:color="auto" w:fill="FFFFFF"/>
        </w:rPr>
        <w:t>, 1-11.</w:t>
      </w:r>
    </w:p>
    <w:p w14:paraId="0FDFE5E9" w14:textId="77777777" w:rsidR="006C386A" w:rsidRPr="00A455AE" w:rsidRDefault="006C386A" w:rsidP="006C386A">
      <w:pPr>
        <w:spacing w:line="240" w:lineRule="auto"/>
        <w:ind w:left="720" w:hangingChars="300" w:hanging="720"/>
        <w:rPr>
          <w:rFonts w:cs="Times New Roman"/>
          <w:szCs w:val="24"/>
        </w:rPr>
      </w:pPr>
      <w:r w:rsidRPr="00A455AE">
        <w:rPr>
          <w:rFonts w:cs="Times New Roman"/>
          <w:szCs w:val="24"/>
          <w:shd w:val="clear" w:color="auto" w:fill="FFFFFF"/>
        </w:rPr>
        <w:t>Osuji, C. U., &amp; Queen, N. (2021). Administrators Financial Management Strategies for Effective Administration of Public Secondary School in Port Harcourt Metropolis, Rivers State. </w:t>
      </w:r>
      <w:r w:rsidRPr="00A455AE">
        <w:rPr>
          <w:rFonts w:cs="Times New Roman"/>
          <w:i/>
          <w:szCs w:val="24"/>
          <w:shd w:val="clear" w:color="auto" w:fill="FFFFFF"/>
        </w:rPr>
        <w:t>International Journal of Education Research</w:t>
      </w:r>
      <w:r w:rsidRPr="00A455AE">
        <w:rPr>
          <w:rFonts w:cs="Times New Roman"/>
          <w:szCs w:val="24"/>
          <w:shd w:val="clear" w:color="auto" w:fill="FFFFFF"/>
        </w:rPr>
        <w:t>, 9(2), 163-171.</w:t>
      </w:r>
    </w:p>
    <w:p w14:paraId="2C59F6AA" w14:textId="77777777" w:rsidR="006C386A" w:rsidRPr="00A455AE" w:rsidRDefault="006C386A" w:rsidP="006C386A">
      <w:pPr>
        <w:spacing w:line="240" w:lineRule="auto"/>
        <w:ind w:left="720" w:hangingChars="300" w:hanging="720"/>
        <w:rPr>
          <w:rFonts w:cs="Times New Roman"/>
          <w:szCs w:val="24"/>
          <w:shd w:val="clear" w:color="auto" w:fill="FFFFFF"/>
        </w:rPr>
      </w:pPr>
      <w:r w:rsidRPr="00A455AE">
        <w:rPr>
          <w:rFonts w:cs="Times New Roman"/>
          <w:szCs w:val="24"/>
          <w:shd w:val="clear" w:color="auto" w:fill="FFFFFF"/>
        </w:rPr>
        <w:t xml:space="preserve">Soita, M. W., &amp; Khaemba, P. F. (2021). Preparedness of </w:t>
      </w:r>
      <w:proofErr w:type="gramStart"/>
      <w:r w:rsidRPr="00A455AE">
        <w:rPr>
          <w:rFonts w:cs="Times New Roman"/>
          <w:szCs w:val="24"/>
          <w:shd w:val="clear" w:color="auto" w:fill="FFFFFF"/>
        </w:rPr>
        <w:t>schools</w:t>
      </w:r>
      <w:proofErr w:type="gramEnd"/>
      <w:r w:rsidRPr="00A455AE">
        <w:rPr>
          <w:rFonts w:cs="Times New Roman"/>
          <w:szCs w:val="24"/>
          <w:shd w:val="clear" w:color="auto" w:fill="FFFFFF"/>
        </w:rPr>
        <w:t xml:space="preserve"> management boards in curriculum implementation in public primary schools in Bungoma County, Kenya. </w:t>
      </w:r>
      <w:r w:rsidRPr="00A455AE">
        <w:rPr>
          <w:rFonts w:cs="Times New Roman"/>
          <w:i/>
          <w:szCs w:val="24"/>
          <w:shd w:val="clear" w:color="auto" w:fill="FFFFFF"/>
        </w:rPr>
        <w:t>East African Journal of Education Studies</w:t>
      </w:r>
      <w:r w:rsidRPr="00A455AE">
        <w:rPr>
          <w:rFonts w:cs="Times New Roman"/>
          <w:szCs w:val="24"/>
          <w:shd w:val="clear" w:color="auto" w:fill="FFFFFF"/>
        </w:rPr>
        <w:t>, 3(1), 233-245.</w:t>
      </w:r>
    </w:p>
    <w:p w14:paraId="6F882D6A" w14:textId="77777777" w:rsidR="006C386A" w:rsidRPr="00A27B37" w:rsidRDefault="006C386A" w:rsidP="006C386A">
      <w:pPr>
        <w:spacing w:line="240" w:lineRule="auto"/>
        <w:ind w:left="720" w:hangingChars="300" w:hanging="720"/>
        <w:rPr>
          <w:rFonts w:cs="Times New Roman"/>
          <w:szCs w:val="24"/>
        </w:rPr>
      </w:pPr>
      <w:r w:rsidRPr="00A455AE">
        <w:rPr>
          <w:rFonts w:cs="Times New Roman"/>
          <w:szCs w:val="24"/>
          <w:shd w:val="clear" w:color="auto" w:fill="FFFFFF"/>
        </w:rPr>
        <w:t>Sundaram, A. K., &amp; Inkpen, A. C. (2004). The corporate objective revisited. </w:t>
      </w:r>
      <w:r w:rsidRPr="00A455AE">
        <w:rPr>
          <w:rFonts w:cs="Times New Roman"/>
          <w:i/>
          <w:szCs w:val="24"/>
          <w:shd w:val="clear" w:color="auto" w:fill="FFFFFF"/>
        </w:rPr>
        <w:t>Organization science,</w:t>
      </w:r>
      <w:r w:rsidRPr="00A455AE">
        <w:rPr>
          <w:rFonts w:cs="Times New Roman"/>
          <w:szCs w:val="24"/>
          <w:shd w:val="clear" w:color="auto" w:fill="FFFFFF"/>
        </w:rPr>
        <w:t> 15(3), 350-363.</w:t>
      </w:r>
    </w:p>
    <w:p w14:paraId="564339FC" w14:textId="77777777" w:rsidR="006C386A" w:rsidRDefault="006C386A" w:rsidP="006C386A">
      <w:pPr>
        <w:pStyle w:val="Bibliography"/>
        <w:ind w:left="720" w:hanging="720"/>
        <w:rPr>
          <w:rFonts w:cs="Times New Roman"/>
          <w:noProof/>
        </w:rPr>
      </w:pPr>
    </w:p>
    <w:p w14:paraId="6C1469C3" w14:textId="77777777" w:rsidR="006C386A" w:rsidRPr="00794172" w:rsidRDefault="006C386A" w:rsidP="006C386A"/>
    <w:p w14:paraId="662A4949" w14:textId="77777777" w:rsidR="006C386A" w:rsidRDefault="006C386A" w:rsidP="006C386A"/>
    <w:p w14:paraId="22A005A7" w14:textId="16ACEAB6" w:rsidR="00B55CEF" w:rsidRPr="00D2350E" w:rsidRDefault="00B55CEF" w:rsidP="00F2302B">
      <w:pPr>
        <w:tabs>
          <w:tab w:val="left" w:pos="3150"/>
        </w:tabs>
        <w:spacing w:before="0" w:line="240" w:lineRule="auto"/>
        <w:ind w:left="720" w:hanging="720"/>
        <w:rPr>
          <w:rFonts w:cs="Times New Roman"/>
          <w:color w:val="000000" w:themeColor="text1"/>
          <w:szCs w:val="24"/>
        </w:rPr>
      </w:pPr>
    </w:p>
    <w:sectPr w:rsidR="00B55CEF" w:rsidRPr="00D2350E" w:rsidSect="00055D83">
      <w:headerReference w:type="even" r:id="rId7"/>
      <w:headerReference w:type="default" r:id="rId8"/>
      <w:footerReference w:type="even" r:id="rId9"/>
      <w:footerReference w:type="default" r:id="rId10"/>
      <w:headerReference w:type="first" r:id="rId11"/>
      <w:footerReference w:type="first" r:id="rId12"/>
      <w:pgSz w:w="12240" w:h="15840" w:code="1"/>
      <w:pgMar w:top="1094" w:right="605" w:bottom="605" w:left="605" w:header="346"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9F1D7" w14:textId="77777777" w:rsidR="002D10F9" w:rsidRDefault="002D10F9">
      <w:pPr>
        <w:spacing w:before="0" w:line="240" w:lineRule="auto"/>
      </w:pPr>
      <w:r>
        <w:separator/>
      </w:r>
    </w:p>
  </w:endnote>
  <w:endnote w:type="continuationSeparator" w:id="0">
    <w:p w14:paraId="1866787C" w14:textId="77777777" w:rsidR="002D10F9" w:rsidRDefault="002D10F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f1">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6C944" w14:textId="77777777" w:rsidR="00EB42F1" w:rsidRDefault="00EB42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236679"/>
      <w:docPartObj>
        <w:docPartGallery w:val="Page Numbers (Bottom of Page)"/>
        <w:docPartUnique/>
      </w:docPartObj>
    </w:sdtPr>
    <w:sdtEndPr>
      <w:rPr>
        <w:noProof/>
        <w:sz w:val="20"/>
        <w:szCs w:val="18"/>
      </w:rPr>
    </w:sdtEndPr>
    <w:sdtContent>
      <w:p w14:paraId="78E128D3" w14:textId="50169B02" w:rsidR="004A12F4" w:rsidRPr="008A0558" w:rsidRDefault="00556C7C">
        <w:pPr>
          <w:pStyle w:val="Footer"/>
          <w:jc w:val="center"/>
          <w:rPr>
            <w:sz w:val="20"/>
            <w:szCs w:val="18"/>
          </w:rPr>
        </w:pPr>
        <w:r w:rsidRPr="008A0558">
          <w:rPr>
            <w:sz w:val="20"/>
            <w:szCs w:val="18"/>
          </w:rPr>
          <w:fldChar w:fldCharType="begin"/>
        </w:r>
        <w:r w:rsidRPr="008A0558">
          <w:rPr>
            <w:sz w:val="20"/>
            <w:szCs w:val="18"/>
          </w:rPr>
          <w:instrText xml:space="preserve"> PAGE   \* MERGEFORMAT </w:instrText>
        </w:r>
        <w:r w:rsidRPr="008A0558">
          <w:rPr>
            <w:sz w:val="20"/>
            <w:szCs w:val="18"/>
          </w:rPr>
          <w:fldChar w:fldCharType="separate"/>
        </w:r>
        <w:r w:rsidR="005B4DB1">
          <w:rPr>
            <w:noProof/>
            <w:sz w:val="20"/>
            <w:szCs w:val="18"/>
          </w:rPr>
          <w:t>1</w:t>
        </w:r>
        <w:r w:rsidRPr="008A0558">
          <w:rPr>
            <w:noProof/>
            <w:sz w:val="20"/>
            <w:szCs w:val="18"/>
          </w:rPr>
          <w:fldChar w:fldCharType="end"/>
        </w:r>
      </w:p>
    </w:sdtContent>
  </w:sdt>
  <w:p w14:paraId="70E80D4D" w14:textId="77777777" w:rsidR="004A12F4" w:rsidRDefault="004A12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5C5DE" w14:textId="77777777" w:rsidR="00EB42F1" w:rsidRDefault="00EB42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87888" w14:textId="77777777" w:rsidR="002D10F9" w:rsidRDefault="002D10F9">
      <w:pPr>
        <w:spacing w:before="0" w:line="240" w:lineRule="auto"/>
      </w:pPr>
      <w:r>
        <w:separator/>
      </w:r>
    </w:p>
  </w:footnote>
  <w:footnote w:type="continuationSeparator" w:id="0">
    <w:p w14:paraId="6A52566B" w14:textId="77777777" w:rsidR="002D10F9" w:rsidRDefault="002D10F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2986E" w14:textId="240D0E96" w:rsidR="00EB42F1" w:rsidRDefault="00EB42F1">
    <w:pPr>
      <w:pStyle w:val="Header"/>
    </w:pPr>
    <w:r>
      <w:rPr>
        <w:noProof/>
      </w:rPr>
      <w:pict w14:anchorId="5D97CF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23391" o:spid="_x0000_s1026" type="#_x0000_t136" style="position:absolute;left:0;text-align:left;margin-left:0;margin-top:0;width:699.8pt;height:77.7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2CF72" w14:textId="4D51ECC6" w:rsidR="00EB42F1" w:rsidRDefault="00EB42F1">
    <w:pPr>
      <w:pStyle w:val="Header"/>
    </w:pPr>
    <w:r>
      <w:rPr>
        <w:noProof/>
      </w:rPr>
      <w:pict w14:anchorId="3166BC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23392" o:spid="_x0000_s1027" type="#_x0000_t136" style="position:absolute;left:0;text-align:left;margin-left:0;margin-top:0;width:699.8pt;height:77.7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3C33D" w14:textId="45C14CE9" w:rsidR="00EB42F1" w:rsidRDefault="00EB42F1">
    <w:pPr>
      <w:pStyle w:val="Header"/>
    </w:pPr>
    <w:r>
      <w:rPr>
        <w:noProof/>
      </w:rPr>
      <w:pict w14:anchorId="71BEF4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23390" o:spid="_x0000_s1025" type="#_x0000_t136" style="position:absolute;left:0;text-align:left;margin-left:0;margin-top:0;width:699.8pt;height:77.7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687400"/>
    <w:multiLevelType w:val="hybridMultilevel"/>
    <w:tmpl w:val="07187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566D1"/>
    <w:multiLevelType w:val="hybridMultilevel"/>
    <w:tmpl w:val="7BAE53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B7C9E"/>
    <w:multiLevelType w:val="multilevel"/>
    <w:tmpl w:val="0C88FA22"/>
    <w:lvl w:ilvl="0">
      <w:start w:val="4"/>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114F32EA"/>
    <w:multiLevelType w:val="hybridMultilevel"/>
    <w:tmpl w:val="E7D68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01C5E"/>
    <w:multiLevelType w:val="hybridMultilevel"/>
    <w:tmpl w:val="F65823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733DE"/>
    <w:multiLevelType w:val="hybridMultilevel"/>
    <w:tmpl w:val="1BD88F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256848"/>
    <w:multiLevelType w:val="hybridMultilevel"/>
    <w:tmpl w:val="AD36A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8C196C"/>
    <w:multiLevelType w:val="hybridMultilevel"/>
    <w:tmpl w:val="E9F03D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4A1EAC"/>
    <w:multiLevelType w:val="hybridMultilevel"/>
    <w:tmpl w:val="A7EA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EE5C35"/>
    <w:multiLevelType w:val="hybridMultilevel"/>
    <w:tmpl w:val="4A0AC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F1490C"/>
    <w:multiLevelType w:val="hybridMultilevel"/>
    <w:tmpl w:val="30E2D4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B47B39"/>
    <w:multiLevelType w:val="hybridMultilevel"/>
    <w:tmpl w:val="0D0A84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FD2ADC"/>
    <w:multiLevelType w:val="hybridMultilevel"/>
    <w:tmpl w:val="390E27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2D3349"/>
    <w:multiLevelType w:val="hybridMultilevel"/>
    <w:tmpl w:val="7B7E2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D46DE2"/>
    <w:multiLevelType w:val="hybridMultilevel"/>
    <w:tmpl w:val="C33094B4"/>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D63F92"/>
    <w:multiLevelType w:val="hybridMultilevel"/>
    <w:tmpl w:val="0010C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8732FF"/>
    <w:multiLevelType w:val="multilevel"/>
    <w:tmpl w:val="568460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374EA5"/>
    <w:multiLevelType w:val="hybridMultilevel"/>
    <w:tmpl w:val="CAF83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8C22F9"/>
    <w:multiLevelType w:val="hybridMultilevel"/>
    <w:tmpl w:val="DDBAC8F8"/>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16B58F2"/>
    <w:multiLevelType w:val="multilevel"/>
    <w:tmpl w:val="EC12FE2E"/>
    <w:lvl w:ilvl="0">
      <w:start w:val="4"/>
      <w:numFmt w:val="decimal"/>
      <w:lvlText w:val="%1"/>
      <w:lvlJc w:val="left"/>
      <w:pPr>
        <w:ind w:left="375" w:hanging="375"/>
      </w:pPr>
      <w:rPr>
        <w:rFonts w:cs="SimSun" w:hint="default"/>
        <w:color w:val="000000"/>
        <w:sz w:val="24"/>
      </w:rPr>
    </w:lvl>
    <w:lvl w:ilvl="1">
      <w:start w:val="1"/>
      <w:numFmt w:val="decimal"/>
      <w:lvlText w:val="%1.%2"/>
      <w:lvlJc w:val="left"/>
      <w:pPr>
        <w:ind w:left="375" w:hanging="375"/>
      </w:pPr>
      <w:rPr>
        <w:rFonts w:cs="SimSun" w:hint="default"/>
        <w:color w:val="000000"/>
        <w:sz w:val="24"/>
      </w:rPr>
    </w:lvl>
    <w:lvl w:ilvl="2">
      <w:start w:val="1"/>
      <w:numFmt w:val="decimal"/>
      <w:lvlText w:val="%1.%2.%3"/>
      <w:lvlJc w:val="left"/>
      <w:pPr>
        <w:ind w:left="720" w:hanging="720"/>
      </w:pPr>
      <w:rPr>
        <w:rFonts w:cs="SimSun" w:hint="default"/>
        <w:color w:val="000000"/>
        <w:sz w:val="24"/>
      </w:rPr>
    </w:lvl>
    <w:lvl w:ilvl="3">
      <w:start w:val="1"/>
      <w:numFmt w:val="decimal"/>
      <w:lvlText w:val="%1.%2.%3.%4"/>
      <w:lvlJc w:val="left"/>
      <w:pPr>
        <w:ind w:left="720" w:hanging="720"/>
      </w:pPr>
      <w:rPr>
        <w:rFonts w:cs="SimSun" w:hint="default"/>
        <w:color w:val="000000"/>
        <w:sz w:val="24"/>
      </w:rPr>
    </w:lvl>
    <w:lvl w:ilvl="4">
      <w:start w:val="1"/>
      <w:numFmt w:val="decimal"/>
      <w:lvlText w:val="%1.%2.%3.%4.%5"/>
      <w:lvlJc w:val="left"/>
      <w:pPr>
        <w:ind w:left="1080" w:hanging="1080"/>
      </w:pPr>
      <w:rPr>
        <w:rFonts w:cs="SimSun" w:hint="default"/>
        <w:color w:val="000000"/>
        <w:sz w:val="24"/>
      </w:rPr>
    </w:lvl>
    <w:lvl w:ilvl="5">
      <w:start w:val="1"/>
      <w:numFmt w:val="decimal"/>
      <w:lvlText w:val="%1.%2.%3.%4.%5.%6"/>
      <w:lvlJc w:val="left"/>
      <w:pPr>
        <w:ind w:left="1080" w:hanging="1080"/>
      </w:pPr>
      <w:rPr>
        <w:rFonts w:cs="SimSun" w:hint="default"/>
        <w:color w:val="000000"/>
        <w:sz w:val="24"/>
      </w:rPr>
    </w:lvl>
    <w:lvl w:ilvl="6">
      <w:start w:val="1"/>
      <w:numFmt w:val="decimal"/>
      <w:lvlText w:val="%1.%2.%3.%4.%5.%6.%7"/>
      <w:lvlJc w:val="left"/>
      <w:pPr>
        <w:ind w:left="1440" w:hanging="1440"/>
      </w:pPr>
      <w:rPr>
        <w:rFonts w:cs="SimSun" w:hint="default"/>
        <w:color w:val="000000"/>
        <w:sz w:val="24"/>
      </w:rPr>
    </w:lvl>
    <w:lvl w:ilvl="7">
      <w:start w:val="1"/>
      <w:numFmt w:val="decimal"/>
      <w:lvlText w:val="%1.%2.%3.%4.%5.%6.%7.%8"/>
      <w:lvlJc w:val="left"/>
      <w:pPr>
        <w:ind w:left="1440" w:hanging="1440"/>
      </w:pPr>
      <w:rPr>
        <w:rFonts w:cs="SimSun" w:hint="default"/>
        <w:color w:val="000000"/>
        <w:sz w:val="24"/>
      </w:rPr>
    </w:lvl>
    <w:lvl w:ilvl="8">
      <w:start w:val="1"/>
      <w:numFmt w:val="decimal"/>
      <w:lvlText w:val="%1.%2.%3.%4.%5.%6.%7.%8.%9"/>
      <w:lvlJc w:val="left"/>
      <w:pPr>
        <w:ind w:left="1800" w:hanging="1800"/>
      </w:pPr>
      <w:rPr>
        <w:rFonts w:cs="SimSun" w:hint="default"/>
        <w:color w:val="000000"/>
        <w:sz w:val="24"/>
      </w:rPr>
    </w:lvl>
  </w:abstractNum>
  <w:abstractNum w:abstractNumId="21" w15:restartNumberingAfterBreak="0">
    <w:nsid w:val="79B72972"/>
    <w:multiLevelType w:val="hybridMultilevel"/>
    <w:tmpl w:val="4F306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C84D78"/>
    <w:multiLevelType w:val="multilevel"/>
    <w:tmpl w:val="C2EA0EBE"/>
    <w:lvl w:ilvl="0">
      <w:start w:val="4"/>
      <w:numFmt w:val="decimal"/>
      <w:lvlText w:val="%1"/>
      <w:lvlJc w:val="left"/>
      <w:pPr>
        <w:ind w:left="525" w:hanging="360"/>
      </w:pPr>
      <w:rPr>
        <w:rFonts w:hint="default"/>
        <w:lang w:val="en-US" w:eastAsia="en-US" w:bidi="ar-SA"/>
      </w:rPr>
    </w:lvl>
    <w:lvl w:ilvl="1">
      <w:start w:val="1"/>
      <w:numFmt w:val="decimal"/>
      <w:lvlText w:val="%1.%2"/>
      <w:lvlJc w:val="left"/>
      <w:pPr>
        <w:ind w:left="525"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705"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960" w:hanging="540"/>
      </w:pPr>
      <w:rPr>
        <w:rFonts w:hint="default"/>
        <w:lang w:val="en-US" w:eastAsia="en-US" w:bidi="ar-SA"/>
      </w:rPr>
    </w:lvl>
    <w:lvl w:ilvl="4">
      <w:numFmt w:val="bullet"/>
      <w:lvlText w:val="•"/>
      <w:lvlJc w:val="left"/>
      <w:pPr>
        <w:ind w:left="1090" w:hanging="540"/>
      </w:pPr>
      <w:rPr>
        <w:rFonts w:hint="default"/>
        <w:lang w:val="en-US" w:eastAsia="en-US" w:bidi="ar-SA"/>
      </w:rPr>
    </w:lvl>
    <w:lvl w:ilvl="5">
      <w:numFmt w:val="bullet"/>
      <w:lvlText w:val="•"/>
      <w:lvlJc w:val="left"/>
      <w:pPr>
        <w:ind w:left="1220" w:hanging="540"/>
      </w:pPr>
      <w:rPr>
        <w:rFonts w:hint="default"/>
        <w:lang w:val="en-US" w:eastAsia="en-US" w:bidi="ar-SA"/>
      </w:rPr>
    </w:lvl>
    <w:lvl w:ilvl="6">
      <w:numFmt w:val="bullet"/>
      <w:lvlText w:val="•"/>
      <w:lvlJc w:val="left"/>
      <w:pPr>
        <w:ind w:left="1351" w:hanging="540"/>
      </w:pPr>
      <w:rPr>
        <w:rFonts w:hint="default"/>
        <w:lang w:val="en-US" w:eastAsia="en-US" w:bidi="ar-SA"/>
      </w:rPr>
    </w:lvl>
    <w:lvl w:ilvl="7">
      <w:numFmt w:val="bullet"/>
      <w:lvlText w:val="•"/>
      <w:lvlJc w:val="left"/>
      <w:pPr>
        <w:ind w:left="1481" w:hanging="540"/>
      </w:pPr>
      <w:rPr>
        <w:rFonts w:hint="default"/>
        <w:lang w:val="en-US" w:eastAsia="en-US" w:bidi="ar-SA"/>
      </w:rPr>
    </w:lvl>
    <w:lvl w:ilvl="8">
      <w:numFmt w:val="bullet"/>
      <w:lvlText w:val="•"/>
      <w:lvlJc w:val="left"/>
      <w:pPr>
        <w:ind w:left="1611" w:hanging="540"/>
      </w:pPr>
      <w:rPr>
        <w:rFonts w:hint="default"/>
        <w:lang w:val="en-US" w:eastAsia="en-US" w:bidi="ar-SA"/>
      </w:rPr>
    </w:lvl>
  </w:abstractNum>
  <w:num w:numId="1" w16cid:durableId="443112232">
    <w:abstractNumId w:val="4"/>
  </w:num>
  <w:num w:numId="2" w16cid:durableId="1324504850">
    <w:abstractNumId w:val="16"/>
  </w:num>
  <w:num w:numId="3" w16cid:durableId="475143699">
    <w:abstractNumId w:val="22"/>
  </w:num>
  <w:num w:numId="4" w16cid:durableId="266425524">
    <w:abstractNumId w:val="21"/>
  </w:num>
  <w:num w:numId="5" w16cid:durableId="1830557844">
    <w:abstractNumId w:val="17"/>
  </w:num>
  <w:num w:numId="6" w16cid:durableId="409425585">
    <w:abstractNumId w:val="20"/>
  </w:num>
  <w:num w:numId="7" w16cid:durableId="1541933895">
    <w:abstractNumId w:val="3"/>
  </w:num>
  <w:num w:numId="8" w16cid:durableId="1930313013">
    <w:abstractNumId w:val="0"/>
  </w:num>
  <w:num w:numId="9" w16cid:durableId="35662397">
    <w:abstractNumId w:val="12"/>
  </w:num>
  <w:num w:numId="10" w16cid:durableId="1635713586">
    <w:abstractNumId w:val="5"/>
  </w:num>
  <w:num w:numId="11" w16cid:durableId="1703092163">
    <w:abstractNumId w:val="1"/>
  </w:num>
  <w:num w:numId="12" w16cid:durableId="1427923962">
    <w:abstractNumId w:val="10"/>
  </w:num>
  <w:num w:numId="13" w16cid:durableId="1679769103">
    <w:abstractNumId w:val="14"/>
  </w:num>
  <w:num w:numId="14" w16cid:durableId="1636518440">
    <w:abstractNumId w:val="19"/>
  </w:num>
  <w:num w:numId="15" w16cid:durableId="885793934">
    <w:abstractNumId w:val="2"/>
  </w:num>
  <w:num w:numId="16" w16cid:durableId="1143234687">
    <w:abstractNumId w:val="9"/>
  </w:num>
  <w:num w:numId="17" w16cid:durableId="1565874723">
    <w:abstractNumId w:val="7"/>
  </w:num>
  <w:num w:numId="18" w16cid:durableId="199171095">
    <w:abstractNumId w:val="15"/>
  </w:num>
  <w:num w:numId="19" w16cid:durableId="68621832">
    <w:abstractNumId w:val="13"/>
  </w:num>
  <w:num w:numId="20" w16cid:durableId="1524588911">
    <w:abstractNumId w:val="6"/>
  </w:num>
  <w:num w:numId="21" w16cid:durableId="715355275">
    <w:abstractNumId w:val="8"/>
  </w:num>
  <w:num w:numId="22" w16cid:durableId="1618487902">
    <w:abstractNumId w:val="11"/>
  </w:num>
  <w:num w:numId="23" w16cid:durableId="11657038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D83"/>
    <w:rsid w:val="00001A44"/>
    <w:rsid w:val="00005286"/>
    <w:rsid w:val="00014726"/>
    <w:rsid w:val="0001490C"/>
    <w:rsid w:val="00036654"/>
    <w:rsid w:val="000410EC"/>
    <w:rsid w:val="000443AB"/>
    <w:rsid w:val="000446E8"/>
    <w:rsid w:val="00045AD9"/>
    <w:rsid w:val="00047D61"/>
    <w:rsid w:val="00055D83"/>
    <w:rsid w:val="000577EB"/>
    <w:rsid w:val="00057B58"/>
    <w:rsid w:val="0006448B"/>
    <w:rsid w:val="00064933"/>
    <w:rsid w:val="000661F9"/>
    <w:rsid w:val="00073097"/>
    <w:rsid w:val="000747C2"/>
    <w:rsid w:val="000750F8"/>
    <w:rsid w:val="00076BA5"/>
    <w:rsid w:val="00082DAA"/>
    <w:rsid w:val="00087358"/>
    <w:rsid w:val="00087A1D"/>
    <w:rsid w:val="0009733F"/>
    <w:rsid w:val="000A3BD7"/>
    <w:rsid w:val="000A57EC"/>
    <w:rsid w:val="000A6884"/>
    <w:rsid w:val="000B496D"/>
    <w:rsid w:val="000C037E"/>
    <w:rsid w:val="000C4ACD"/>
    <w:rsid w:val="000C57D5"/>
    <w:rsid w:val="000D075E"/>
    <w:rsid w:val="000D0F56"/>
    <w:rsid w:val="000D1B44"/>
    <w:rsid w:val="000D7152"/>
    <w:rsid w:val="000D7DAA"/>
    <w:rsid w:val="000E11E7"/>
    <w:rsid w:val="000E2349"/>
    <w:rsid w:val="000F4C94"/>
    <w:rsid w:val="00111B62"/>
    <w:rsid w:val="001163C7"/>
    <w:rsid w:val="00130874"/>
    <w:rsid w:val="00131EAA"/>
    <w:rsid w:val="00135580"/>
    <w:rsid w:val="001403AD"/>
    <w:rsid w:val="00142F60"/>
    <w:rsid w:val="001450C8"/>
    <w:rsid w:val="001452A3"/>
    <w:rsid w:val="00147E4C"/>
    <w:rsid w:val="00151266"/>
    <w:rsid w:val="00154669"/>
    <w:rsid w:val="00162029"/>
    <w:rsid w:val="00167079"/>
    <w:rsid w:val="00167C75"/>
    <w:rsid w:val="0017796D"/>
    <w:rsid w:val="0018163F"/>
    <w:rsid w:val="00185BCB"/>
    <w:rsid w:val="00185FFD"/>
    <w:rsid w:val="0018600E"/>
    <w:rsid w:val="001938DE"/>
    <w:rsid w:val="001A1E1C"/>
    <w:rsid w:val="001A5880"/>
    <w:rsid w:val="001C0412"/>
    <w:rsid w:val="001C35CA"/>
    <w:rsid w:val="001C4B7D"/>
    <w:rsid w:val="001D23A9"/>
    <w:rsid w:val="001D4A55"/>
    <w:rsid w:val="001D6A60"/>
    <w:rsid w:val="001E0043"/>
    <w:rsid w:val="001E21F0"/>
    <w:rsid w:val="001E5289"/>
    <w:rsid w:val="001E649F"/>
    <w:rsid w:val="001F024F"/>
    <w:rsid w:val="001F27A6"/>
    <w:rsid w:val="001F2B0E"/>
    <w:rsid w:val="001F51C1"/>
    <w:rsid w:val="001F7468"/>
    <w:rsid w:val="00204AAD"/>
    <w:rsid w:val="0021142D"/>
    <w:rsid w:val="002151BA"/>
    <w:rsid w:val="00217B45"/>
    <w:rsid w:val="0022048F"/>
    <w:rsid w:val="0022156B"/>
    <w:rsid w:val="00223099"/>
    <w:rsid w:val="00223A1A"/>
    <w:rsid w:val="0022500A"/>
    <w:rsid w:val="00231033"/>
    <w:rsid w:val="0023499E"/>
    <w:rsid w:val="00243C69"/>
    <w:rsid w:val="0024737A"/>
    <w:rsid w:val="002479E0"/>
    <w:rsid w:val="0025131C"/>
    <w:rsid w:val="0025160E"/>
    <w:rsid w:val="0025635B"/>
    <w:rsid w:val="00260B2D"/>
    <w:rsid w:val="00262277"/>
    <w:rsid w:val="002645C1"/>
    <w:rsid w:val="00270AED"/>
    <w:rsid w:val="00271CF6"/>
    <w:rsid w:val="00274AC6"/>
    <w:rsid w:val="00276CE5"/>
    <w:rsid w:val="002779A5"/>
    <w:rsid w:val="00280B3D"/>
    <w:rsid w:val="00281B4F"/>
    <w:rsid w:val="002856C7"/>
    <w:rsid w:val="002859D4"/>
    <w:rsid w:val="002860AE"/>
    <w:rsid w:val="002B2D3C"/>
    <w:rsid w:val="002B5578"/>
    <w:rsid w:val="002C2F8F"/>
    <w:rsid w:val="002C5E15"/>
    <w:rsid w:val="002C6F25"/>
    <w:rsid w:val="002C72A3"/>
    <w:rsid w:val="002D10F9"/>
    <w:rsid w:val="002D1CB2"/>
    <w:rsid w:val="002D32ED"/>
    <w:rsid w:val="002D4259"/>
    <w:rsid w:val="002D7340"/>
    <w:rsid w:val="002E3874"/>
    <w:rsid w:val="002E784F"/>
    <w:rsid w:val="002F03DA"/>
    <w:rsid w:val="002F3573"/>
    <w:rsid w:val="00300BE0"/>
    <w:rsid w:val="00301FD6"/>
    <w:rsid w:val="003029F0"/>
    <w:rsid w:val="00311377"/>
    <w:rsid w:val="00311DFA"/>
    <w:rsid w:val="003128C6"/>
    <w:rsid w:val="003131D7"/>
    <w:rsid w:val="003140FD"/>
    <w:rsid w:val="00323D68"/>
    <w:rsid w:val="00324548"/>
    <w:rsid w:val="0033028F"/>
    <w:rsid w:val="0033151D"/>
    <w:rsid w:val="00336C6D"/>
    <w:rsid w:val="00337145"/>
    <w:rsid w:val="0034183D"/>
    <w:rsid w:val="00342FD9"/>
    <w:rsid w:val="00343363"/>
    <w:rsid w:val="00344733"/>
    <w:rsid w:val="003478EF"/>
    <w:rsid w:val="003518C1"/>
    <w:rsid w:val="003607E2"/>
    <w:rsid w:val="0036344E"/>
    <w:rsid w:val="00370F8B"/>
    <w:rsid w:val="00372DCB"/>
    <w:rsid w:val="00374FD9"/>
    <w:rsid w:val="00376BF4"/>
    <w:rsid w:val="0038103F"/>
    <w:rsid w:val="003851AE"/>
    <w:rsid w:val="003959CD"/>
    <w:rsid w:val="003A22F0"/>
    <w:rsid w:val="003A2387"/>
    <w:rsid w:val="003C4227"/>
    <w:rsid w:val="003C581F"/>
    <w:rsid w:val="003C59BB"/>
    <w:rsid w:val="003C7107"/>
    <w:rsid w:val="003D2541"/>
    <w:rsid w:val="003D39AB"/>
    <w:rsid w:val="003D4D6F"/>
    <w:rsid w:val="003D7198"/>
    <w:rsid w:val="003E0D69"/>
    <w:rsid w:val="003E0FAD"/>
    <w:rsid w:val="003F01AE"/>
    <w:rsid w:val="003F72A0"/>
    <w:rsid w:val="0040460F"/>
    <w:rsid w:val="0040626D"/>
    <w:rsid w:val="00406845"/>
    <w:rsid w:val="004071F4"/>
    <w:rsid w:val="00407977"/>
    <w:rsid w:val="0041566F"/>
    <w:rsid w:val="00415ABE"/>
    <w:rsid w:val="004165B3"/>
    <w:rsid w:val="00416E73"/>
    <w:rsid w:val="00417EC9"/>
    <w:rsid w:val="00421CF2"/>
    <w:rsid w:val="0042251A"/>
    <w:rsid w:val="00426617"/>
    <w:rsid w:val="00426CDB"/>
    <w:rsid w:val="00437393"/>
    <w:rsid w:val="00440EF7"/>
    <w:rsid w:val="00442282"/>
    <w:rsid w:val="00455234"/>
    <w:rsid w:val="00462B59"/>
    <w:rsid w:val="00466181"/>
    <w:rsid w:val="004737A8"/>
    <w:rsid w:val="004855D1"/>
    <w:rsid w:val="004916BB"/>
    <w:rsid w:val="004963A4"/>
    <w:rsid w:val="00496991"/>
    <w:rsid w:val="004A12F4"/>
    <w:rsid w:val="004A3F7C"/>
    <w:rsid w:val="004A5357"/>
    <w:rsid w:val="004B7C71"/>
    <w:rsid w:val="004C3121"/>
    <w:rsid w:val="004C41F7"/>
    <w:rsid w:val="004C4596"/>
    <w:rsid w:val="004C7D5D"/>
    <w:rsid w:val="004D0812"/>
    <w:rsid w:val="004D081D"/>
    <w:rsid w:val="004D5CCD"/>
    <w:rsid w:val="004D6AC0"/>
    <w:rsid w:val="004E3D2D"/>
    <w:rsid w:val="004E4A2C"/>
    <w:rsid w:val="004F5A5D"/>
    <w:rsid w:val="00500683"/>
    <w:rsid w:val="00505972"/>
    <w:rsid w:val="0051495F"/>
    <w:rsid w:val="0052143B"/>
    <w:rsid w:val="00526412"/>
    <w:rsid w:val="0052667E"/>
    <w:rsid w:val="00526B6F"/>
    <w:rsid w:val="00531B5F"/>
    <w:rsid w:val="005417F4"/>
    <w:rsid w:val="0054398C"/>
    <w:rsid w:val="00546369"/>
    <w:rsid w:val="005508BF"/>
    <w:rsid w:val="00556C7C"/>
    <w:rsid w:val="00561737"/>
    <w:rsid w:val="00563CE7"/>
    <w:rsid w:val="005666F9"/>
    <w:rsid w:val="00571717"/>
    <w:rsid w:val="00571F99"/>
    <w:rsid w:val="005740B5"/>
    <w:rsid w:val="00575F00"/>
    <w:rsid w:val="00591997"/>
    <w:rsid w:val="00591DBD"/>
    <w:rsid w:val="005926C9"/>
    <w:rsid w:val="00594F68"/>
    <w:rsid w:val="005A1956"/>
    <w:rsid w:val="005B04D7"/>
    <w:rsid w:val="005B0558"/>
    <w:rsid w:val="005B4DB1"/>
    <w:rsid w:val="005B74B1"/>
    <w:rsid w:val="005C09D0"/>
    <w:rsid w:val="005D3FE1"/>
    <w:rsid w:val="005D72F4"/>
    <w:rsid w:val="005E3D2C"/>
    <w:rsid w:val="005F1DA5"/>
    <w:rsid w:val="005F2F50"/>
    <w:rsid w:val="0060683F"/>
    <w:rsid w:val="00610BEF"/>
    <w:rsid w:val="0061111A"/>
    <w:rsid w:val="00615B2D"/>
    <w:rsid w:val="00616E93"/>
    <w:rsid w:val="006177C4"/>
    <w:rsid w:val="006211E5"/>
    <w:rsid w:val="00622E5D"/>
    <w:rsid w:val="00623C02"/>
    <w:rsid w:val="00632E53"/>
    <w:rsid w:val="00652189"/>
    <w:rsid w:val="0065654C"/>
    <w:rsid w:val="00661AAF"/>
    <w:rsid w:val="00675C16"/>
    <w:rsid w:val="006826A1"/>
    <w:rsid w:val="00683F32"/>
    <w:rsid w:val="00685965"/>
    <w:rsid w:val="0068692A"/>
    <w:rsid w:val="00687C50"/>
    <w:rsid w:val="006A0520"/>
    <w:rsid w:val="006B1220"/>
    <w:rsid w:val="006B3C88"/>
    <w:rsid w:val="006B4BA6"/>
    <w:rsid w:val="006B5A8E"/>
    <w:rsid w:val="006B5CA2"/>
    <w:rsid w:val="006C386A"/>
    <w:rsid w:val="006C3DFD"/>
    <w:rsid w:val="006C41A9"/>
    <w:rsid w:val="006C4D79"/>
    <w:rsid w:val="006D16E8"/>
    <w:rsid w:val="006E1D74"/>
    <w:rsid w:val="006E343E"/>
    <w:rsid w:val="006E3F3F"/>
    <w:rsid w:val="006E526B"/>
    <w:rsid w:val="0070085D"/>
    <w:rsid w:val="00707641"/>
    <w:rsid w:val="00711AB4"/>
    <w:rsid w:val="00714562"/>
    <w:rsid w:val="0071731F"/>
    <w:rsid w:val="007173FC"/>
    <w:rsid w:val="007205CE"/>
    <w:rsid w:val="00722A32"/>
    <w:rsid w:val="00723B81"/>
    <w:rsid w:val="0072767B"/>
    <w:rsid w:val="007313ED"/>
    <w:rsid w:val="00741D98"/>
    <w:rsid w:val="00750F50"/>
    <w:rsid w:val="0076188C"/>
    <w:rsid w:val="00762807"/>
    <w:rsid w:val="007656A9"/>
    <w:rsid w:val="00766A2F"/>
    <w:rsid w:val="0077042C"/>
    <w:rsid w:val="00772A04"/>
    <w:rsid w:val="00774F84"/>
    <w:rsid w:val="007769D0"/>
    <w:rsid w:val="00777615"/>
    <w:rsid w:val="007846B3"/>
    <w:rsid w:val="00784B96"/>
    <w:rsid w:val="00785F6F"/>
    <w:rsid w:val="00790BF9"/>
    <w:rsid w:val="00795B86"/>
    <w:rsid w:val="00797B58"/>
    <w:rsid w:val="007A0442"/>
    <w:rsid w:val="007A2567"/>
    <w:rsid w:val="007A48D9"/>
    <w:rsid w:val="007A56B8"/>
    <w:rsid w:val="007A602B"/>
    <w:rsid w:val="007A6B64"/>
    <w:rsid w:val="007A7328"/>
    <w:rsid w:val="007A784F"/>
    <w:rsid w:val="007A7BFC"/>
    <w:rsid w:val="007B3AE1"/>
    <w:rsid w:val="007B652A"/>
    <w:rsid w:val="007B75C6"/>
    <w:rsid w:val="007C3182"/>
    <w:rsid w:val="007C6929"/>
    <w:rsid w:val="007D08AC"/>
    <w:rsid w:val="007D4F35"/>
    <w:rsid w:val="007E3458"/>
    <w:rsid w:val="007E5A6C"/>
    <w:rsid w:val="007F1318"/>
    <w:rsid w:val="007F4F3C"/>
    <w:rsid w:val="008003E7"/>
    <w:rsid w:val="0081762C"/>
    <w:rsid w:val="008209F0"/>
    <w:rsid w:val="00822A7E"/>
    <w:rsid w:val="008263C5"/>
    <w:rsid w:val="008456FF"/>
    <w:rsid w:val="00854FF7"/>
    <w:rsid w:val="00857BF9"/>
    <w:rsid w:val="00860F17"/>
    <w:rsid w:val="00870856"/>
    <w:rsid w:val="00870B4E"/>
    <w:rsid w:val="008718EE"/>
    <w:rsid w:val="00872612"/>
    <w:rsid w:val="00876501"/>
    <w:rsid w:val="00880213"/>
    <w:rsid w:val="00895281"/>
    <w:rsid w:val="008A5E87"/>
    <w:rsid w:val="008B0097"/>
    <w:rsid w:val="008B4F87"/>
    <w:rsid w:val="008B511B"/>
    <w:rsid w:val="008B630B"/>
    <w:rsid w:val="008B7836"/>
    <w:rsid w:val="008B7D65"/>
    <w:rsid w:val="008C2098"/>
    <w:rsid w:val="008D43EA"/>
    <w:rsid w:val="008E2312"/>
    <w:rsid w:val="008F4E62"/>
    <w:rsid w:val="00906288"/>
    <w:rsid w:val="00912F66"/>
    <w:rsid w:val="0092006B"/>
    <w:rsid w:val="00925466"/>
    <w:rsid w:val="0092720B"/>
    <w:rsid w:val="00935ABF"/>
    <w:rsid w:val="00942EC1"/>
    <w:rsid w:val="00945F70"/>
    <w:rsid w:val="00961903"/>
    <w:rsid w:val="00963A57"/>
    <w:rsid w:val="00973355"/>
    <w:rsid w:val="009841F2"/>
    <w:rsid w:val="00984917"/>
    <w:rsid w:val="00993BED"/>
    <w:rsid w:val="009963FB"/>
    <w:rsid w:val="009A067C"/>
    <w:rsid w:val="009A1D5D"/>
    <w:rsid w:val="009A2D28"/>
    <w:rsid w:val="009B17C5"/>
    <w:rsid w:val="009B2CE5"/>
    <w:rsid w:val="009B3203"/>
    <w:rsid w:val="009B38E7"/>
    <w:rsid w:val="009B7DE4"/>
    <w:rsid w:val="009C0C7F"/>
    <w:rsid w:val="009C11BB"/>
    <w:rsid w:val="009D5CE2"/>
    <w:rsid w:val="009E0B92"/>
    <w:rsid w:val="009E0CF9"/>
    <w:rsid w:val="009E42B6"/>
    <w:rsid w:val="009E457F"/>
    <w:rsid w:val="009E783A"/>
    <w:rsid w:val="009F3871"/>
    <w:rsid w:val="009F5632"/>
    <w:rsid w:val="009F6D2D"/>
    <w:rsid w:val="00A00A05"/>
    <w:rsid w:val="00A0120F"/>
    <w:rsid w:val="00A01B25"/>
    <w:rsid w:val="00A01E19"/>
    <w:rsid w:val="00A13C87"/>
    <w:rsid w:val="00A22EB7"/>
    <w:rsid w:val="00A27439"/>
    <w:rsid w:val="00A31119"/>
    <w:rsid w:val="00A40F08"/>
    <w:rsid w:val="00A455AE"/>
    <w:rsid w:val="00A52C12"/>
    <w:rsid w:val="00A57832"/>
    <w:rsid w:val="00A616A9"/>
    <w:rsid w:val="00A6679B"/>
    <w:rsid w:val="00A67F40"/>
    <w:rsid w:val="00A73EDF"/>
    <w:rsid w:val="00A75341"/>
    <w:rsid w:val="00A755D3"/>
    <w:rsid w:val="00A81F27"/>
    <w:rsid w:val="00A82DFB"/>
    <w:rsid w:val="00A85593"/>
    <w:rsid w:val="00A85B82"/>
    <w:rsid w:val="00A91ACF"/>
    <w:rsid w:val="00A91C98"/>
    <w:rsid w:val="00A94D23"/>
    <w:rsid w:val="00A9586C"/>
    <w:rsid w:val="00A9631D"/>
    <w:rsid w:val="00A96A1E"/>
    <w:rsid w:val="00AC0D69"/>
    <w:rsid w:val="00AD0959"/>
    <w:rsid w:val="00AD4106"/>
    <w:rsid w:val="00AD51A6"/>
    <w:rsid w:val="00AD6429"/>
    <w:rsid w:val="00AE3911"/>
    <w:rsid w:val="00AE4AA5"/>
    <w:rsid w:val="00AE69E8"/>
    <w:rsid w:val="00AF253B"/>
    <w:rsid w:val="00AF38F9"/>
    <w:rsid w:val="00AF46F3"/>
    <w:rsid w:val="00B00FCB"/>
    <w:rsid w:val="00B013C1"/>
    <w:rsid w:val="00B03327"/>
    <w:rsid w:val="00B04E6C"/>
    <w:rsid w:val="00B108BB"/>
    <w:rsid w:val="00B14EAC"/>
    <w:rsid w:val="00B2188D"/>
    <w:rsid w:val="00B22173"/>
    <w:rsid w:val="00B40B7A"/>
    <w:rsid w:val="00B40DD3"/>
    <w:rsid w:val="00B449E1"/>
    <w:rsid w:val="00B44B78"/>
    <w:rsid w:val="00B55CEF"/>
    <w:rsid w:val="00B55DC9"/>
    <w:rsid w:val="00B67158"/>
    <w:rsid w:val="00B717D1"/>
    <w:rsid w:val="00B836B4"/>
    <w:rsid w:val="00B85E42"/>
    <w:rsid w:val="00B87A83"/>
    <w:rsid w:val="00B93488"/>
    <w:rsid w:val="00B9497F"/>
    <w:rsid w:val="00BA0C30"/>
    <w:rsid w:val="00BA58DB"/>
    <w:rsid w:val="00BA790C"/>
    <w:rsid w:val="00BB1899"/>
    <w:rsid w:val="00BB3A83"/>
    <w:rsid w:val="00BC2524"/>
    <w:rsid w:val="00BC4935"/>
    <w:rsid w:val="00BC6A0A"/>
    <w:rsid w:val="00BC7830"/>
    <w:rsid w:val="00BD0E33"/>
    <w:rsid w:val="00BD15A0"/>
    <w:rsid w:val="00BD64EB"/>
    <w:rsid w:val="00BD7BE1"/>
    <w:rsid w:val="00BE1869"/>
    <w:rsid w:val="00BE24E1"/>
    <w:rsid w:val="00BE5008"/>
    <w:rsid w:val="00BE754B"/>
    <w:rsid w:val="00BF3C23"/>
    <w:rsid w:val="00BF6F97"/>
    <w:rsid w:val="00C01423"/>
    <w:rsid w:val="00C0320B"/>
    <w:rsid w:val="00C03297"/>
    <w:rsid w:val="00C053F5"/>
    <w:rsid w:val="00C06731"/>
    <w:rsid w:val="00C10FCA"/>
    <w:rsid w:val="00C1335A"/>
    <w:rsid w:val="00C237CE"/>
    <w:rsid w:val="00C25488"/>
    <w:rsid w:val="00C32AB8"/>
    <w:rsid w:val="00C4118B"/>
    <w:rsid w:val="00C54577"/>
    <w:rsid w:val="00C67694"/>
    <w:rsid w:val="00C864EE"/>
    <w:rsid w:val="00C9348C"/>
    <w:rsid w:val="00C936A9"/>
    <w:rsid w:val="00C95979"/>
    <w:rsid w:val="00CA2418"/>
    <w:rsid w:val="00CA37C0"/>
    <w:rsid w:val="00CA6BD4"/>
    <w:rsid w:val="00CB6E82"/>
    <w:rsid w:val="00CC04B9"/>
    <w:rsid w:val="00CE3570"/>
    <w:rsid w:val="00CE4C91"/>
    <w:rsid w:val="00CF7125"/>
    <w:rsid w:val="00CF7422"/>
    <w:rsid w:val="00D15E77"/>
    <w:rsid w:val="00D16476"/>
    <w:rsid w:val="00D20B1E"/>
    <w:rsid w:val="00D21679"/>
    <w:rsid w:val="00D2350E"/>
    <w:rsid w:val="00D242AA"/>
    <w:rsid w:val="00D257C4"/>
    <w:rsid w:val="00D257F6"/>
    <w:rsid w:val="00D26C8B"/>
    <w:rsid w:val="00D309F6"/>
    <w:rsid w:val="00D352C1"/>
    <w:rsid w:val="00D35C0E"/>
    <w:rsid w:val="00D36322"/>
    <w:rsid w:val="00D54CAA"/>
    <w:rsid w:val="00D56393"/>
    <w:rsid w:val="00D56DAA"/>
    <w:rsid w:val="00D656A4"/>
    <w:rsid w:val="00D665A0"/>
    <w:rsid w:val="00D73F27"/>
    <w:rsid w:val="00D74259"/>
    <w:rsid w:val="00D7477F"/>
    <w:rsid w:val="00D7785F"/>
    <w:rsid w:val="00D85955"/>
    <w:rsid w:val="00D916BC"/>
    <w:rsid w:val="00D94638"/>
    <w:rsid w:val="00DA0813"/>
    <w:rsid w:val="00DB19EB"/>
    <w:rsid w:val="00DB266B"/>
    <w:rsid w:val="00DB408B"/>
    <w:rsid w:val="00DC406B"/>
    <w:rsid w:val="00DC4076"/>
    <w:rsid w:val="00DC411F"/>
    <w:rsid w:val="00DD21C0"/>
    <w:rsid w:val="00DE2430"/>
    <w:rsid w:val="00DE5974"/>
    <w:rsid w:val="00DF126E"/>
    <w:rsid w:val="00DF2A42"/>
    <w:rsid w:val="00E05059"/>
    <w:rsid w:val="00E0554F"/>
    <w:rsid w:val="00E07021"/>
    <w:rsid w:val="00E1065F"/>
    <w:rsid w:val="00E1453F"/>
    <w:rsid w:val="00E160F3"/>
    <w:rsid w:val="00E17890"/>
    <w:rsid w:val="00E207BA"/>
    <w:rsid w:val="00E22B03"/>
    <w:rsid w:val="00E22FC8"/>
    <w:rsid w:val="00E236F2"/>
    <w:rsid w:val="00E24AB2"/>
    <w:rsid w:val="00E27800"/>
    <w:rsid w:val="00E31A3E"/>
    <w:rsid w:val="00E3230A"/>
    <w:rsid w:val="00E36430"/>
    <w:rsid w:val="00E3709F"/>
    <w:rsid w:val="00E41E2F"/>
    <w:rsid w:val="00E4360E"/>
    <w:rsid w:val="00E448DE"/>
    <w:rsid w:val="00E468EC"/>
    <w:rsid w:val="00E5141C"/>
    <w:rsid w:val="00E54B24"/>
    <w:rsid w:val="00E550A5"/>
    <w:rsid w:val="00E57ADC"/>
    <w:rsid w:val="00E60AE6"/>
    <w:rsid w:val="00E63B72"/>
    <w:rsid w:val="00E63DD0"/>
    <w:rsid w:val="00E70601"/>
    <w:rsid w:val="00E728DB"/>
    <w:rsid w:val="00E730D7"/>
    <w:rsid w:val="00E737F5"/>
    <w:rsid w:val="00E73E17"/>
    <w:rsid w:val="00E7572C"/>
    <w:rsid w:val="00E75DCB"/>
    <w:rsid w:val="00E77E87"/>
    <w:rsid w:val="00E819C7"/>
    <w:rsid w:val="00E85394"/>
    <w:rsid w:val="00E85589"/>
    <w:rsid w:val="00E85EDC"/>
    <w:rsid w:val="00E87A78"/>
    <w:rsid w:val="00EA355D"/>
    <w:rsid w:val="00EA6B12"/>
    <w:rsid w:val="00EA7AE3"/>
    <w:rsid w:val="00EB42F1"/>
    <w:rsid w:val="00EC58C5"/>
    <w:rsid w:val="00ED008A"/>
    <w:rsid w:val="00EE0214"/>
    <w:rsid w:val="00EF2DD5"/>
    <w:rsid w:val="00EF7D22"/>
    <w:rsid w:val="00F00D01"/>
    <w:rsid w:val="00F01BA4"/>
    <w:rsid w:val="00F02225"/>
    <w:rsid w:val="00F05D67"/>
    <w:rsid w:val="00F111A2"/>
    <w:rsid w:val="00F14915"/>
    <w:rsid w:val="00F16858"/>
    <w:rsid w:val="00F2302B"/>
    <w:rsid w:val="00F23691"/>
    <w:rsid w:val="00F341B9"/>
    <w:rsid w:val="00F42712"/>
    <w:rsid w:val="00F42A52"/>
    <w:rsid w:val="00F42B0A"/>
    <w:rsid w:val="00F46BA3"/>
    <w:rsid w:val="00F61F6F"/>
    <w:rsid w:val="00F6655B"/>
    <w:rsid w:val="00F66CAF"/>
    <w:rsid w:val="00F74A68"/>
    <w:rsid w:val="00F74BD5"/>
    <w:rsid w:val="00F81C01"/>
    <w:rsid w:val="00F857CA"/>
    <w:rsid w:val="00F926C6"/>
    <w:rsid w:val="00F933EE"/>
    <w:rsid w:val="00F93EB9"/>
    <w:rsid w:val="00FA3A0A"/>
    <w:rsid w:val="00FA74EF"/>
    <w:rsid w:val="00FB2158"/>
    <w:rsid w:val="00FB2E0F"/>
    <w:rsid w:val="00FB3030"/>
    <w:rsid w:val="00FB4E25"/>
    <w:rsid w:val="00FC34D0"/>
    <w:rsid w:val="00FC4A1C"/>
    <w:rsid w:val="00FD3DAC"/>
    <w:rsid w:val="00FD4A02"/>
    <w:rsid w:val="00FE31C2"/>
    <w:rsid w:val="00FE5B93"/>
    <w:rsid w:val="00FE6B26"/>
    <w:rsid w:val="00FE7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60C7A"/>
  <w15:chartTrackingRefBased/>
  <w15:docId w15:val="{F58B4E4C-2E9A-4CEF-A397-9B648E9CC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D83"/>
    <w:pPr>
      <w:spacing w:before="240" w:after="0" w:line="480" w:lineRule="auto"/>
      <w:jc w:val="both"/>
    </w:pPr>
    <w:rPr>
      <w:rFonts w:ascii="Times New Roman" w:eastAsia="Calibri" w:hAnsi="Times New Roman" w:cs="SimSun"/>
      <w:color w:val="000000"/>
      <w:kern w:val="0"/>
      <w:sz w:val="24"/>
    </w:rPr>
  </w:style>
  <w:style w:type="paragraph" w:styleId="Heading1">
    <w:name w:val="heading 1"/>
    <w:basedOn w:val="Normal"/>
    <w:next w:val="Normal"/>
    <w:link w:val="Heading1Char"/>
    <w:autoRedefine/>
    <w:uiPriority w:val="9"/>
    <w:qFormat/>
    <w:rsid w:val="00B67158"/>
    <w:pPr>
      <w:keepNext/>
      <w:keepLines/>
      <w:spacing w:before="600" w:after="120" w:line="240" w:lineRule="auto"/>
      <w:outlineLvl w:val="0"/>
    </w:pPr>
    <w:rPr>
      <w:rFonts w:eastAsia="Times New Roman" w:cs="Times New Roman"/>
      <w:b/>
      <w:color w:val="000000" w:themeColor="text1"/>
      <w:kern w:val="2"/>
      <w:sz w:val="28"/>
      <w:szCs w:val="28"/>
      <w:u w:val="single"/>
    </w:rPr>
  </w:style>
  <w:style w:type="paragraph" w:styleId="Heading2">
    <w:name w:val="heading 2"/>
    <w:basedOn w:val="Normal"/>
    <w:next w:val="Normal"/>
    <w:link w:val="Heading2Char"/>
    <w:uiPriority w:val="9"/>
    <w:semiHidden/>
    <w:unhideWhenUsed/>
    <w:qFormat/>
    <w:rsid w:val="0060683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111A2"/>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3D719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55D83"/>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158"/>
    <w:rPr>
      <w:rFonts w:ascii="Times New Roman" w:eastAsia="Times New Roman" w:hAnsi="Times New Roman" w:cs="Times New Roman"/>
      <w:b/>
      <w:color w:val="000000" w:themeColor="text1"/>
      <w:sz w:val="28"/>
      <w:szCs w:val="28"/>
      <w:u w:val="single"/>
    </w:rPr>
  </w:style>
  <w:style w:type="character" w:customStyle="1" w:styleId="Heading5Char">
    <w:name w:val="Heading 5 Char"/>
    <w:basedOn w:val="DefaultParagraphFont"/>
    <w:link w:val="Heading5"/>
    <w:uiPriority w:val="9"/>
    <w:rsid w:val="00055D83"/>
    <w:rPr>
      <w:rFonts w:asciiTheme="majorHAnsi" w:eastAsiaTheme="majorEastAsia" w:hAnsiTheme="majorHAnsi" w:cstheme="majorBidi"/>
      <w:color w:val="2F5496" w:themeColor="accent1" w:themeShade="BF"/>
      <w:kern w:val="0"/>
      <w:sz w:val="24"/>
    </w:rPr>
  </w:style>
  <w:style w:type="character" w:customStyle="1" w:styleId="ListParagraphChar">
    <w:name w:val="List Paragraph Char"/>
    <w:link w:val="ListParagraph"/>
    <w:uiPriority w:val="34"/>
    <w:rsid w:val="00055D83"/>
    <w:rPr>
      <w:rFonts w:ascii="Calibri" w:eastAsia="Calibri" w:hAnsi="Calibri" w:cs="Times New Roman"/>
    </w:rPr>
  </w:style>
  <w:style w:type="paragraph" w:styleId="ListParagraph">
    <w:name w:val="List Paragraph"/>
    <w:basedOn w:val="Normal"/>
    <w:link w:val="ListParagraphChar"/>
    <w:uiPriority w:val="34"/>
    <w:qFormat/>
    <w:rsid w:val="00055D83"/>
    <w:pPr>
      <w:spacing w:before="120" w:after="200"/>
      <w:ind w:left="720"/>
      <w:contextualSpacing/>
    </w:pPr>
    <w:rPr>
      <w:rFonts w:ascii="Calibri" w:hAnsi="Calibri" w:cs="Times New Roman"/>
      <w:color w:val="auto"/>
      <w:kern w:val="2"/>
      <w:sz w:val="22"/>
    </w:rPr>
  </w:style>
  <w:style w:type="paragraph" w:styleId="Footer">
    <w:name w:val="footer"/>
    <w:basedOn w:val="Normal"/>
    <w:link w:val="FooterChar"/>
    <w:uiPriority w:val="99"/>
    <w:unhideWhenUsed/>
    <w:rsid w:val="00055D83"/>
    <w:pPr>
      <w:tabs>
        <w:tab w:val="center" w:pos="4680"/>
        <w:tab w:val="right" w:pos="9360"/>
      </w:tabs>
      <w:spacing w:before="0" w:line="240" w:lineRule="auto"/>
    </w:pPr>
  </w:style>
  <w:style w:type="character" w:customStyle="1" w:styleId="FooterChar">
    <w:name w:val="Footer Char"/>
    <w:basedOn w:val="DefaultParagraphFont"/>
    <w:link w:val="Footer"/>
    <w:uiPriority w:val="99"/>
    <w:rsid w:val="00055D83"/>
    <w:rPr>
      <w:rFonts w:ascii="Times New Roman" w:eastAsia="Calibri" w:hAnsi="Times New Roman" w:cs="SimSun"/>
      <w:color w:val="000000"/>
      <w:kern w:val="0"/>
      <w:sz w:val="24"/>
    </w:rPr>
  </w:style>
  <w:style w:type="paragraph" w:styleId="BodyText">
    <w:name w:val="Body Text"/>
    <w:basedOn w:val="Normal"/>
    <w:link w:val="BodyTextChar"/>
    <w:uiPriority w:val="1"/>
    <w:qFormat/>
    <w:rsid w:val="00055D83"/>
    <w:pPr>
      <w:widowControl w:val="0"/>
      <w:autoSpaceDE w:val="0"/>
      <w:autoSpaceDN w:val="0"/>
      <w:spacing w:before="0" w:line="240" w:lineRule="auto"/>
      <w:jc w:val="left"/>
    </w:pPr>
    <w:rPr>
      <w:rFonts w:eastAsia="Times New Roman" w:cs="Times New Roman"/>
      <w:color w:val="auto"/>
      <w:szCs w:val="24"/>
      <w:lang w:val="en-GB"/>
      <w14:ligatures w14:val="none"/>
    </w:rPr>
  </w:style>
  <w:style w:type="character" w:customStyle="1" w:styleId="BodyTextChar">
    <w:name w:val="Body Text Char"/>
    <w:basedOn w:val="DefaultParagraphFont"/>
    <w:link w:val="BodyText"/>
    <w:uiPriority w:val="1"/>
    <w:rsid w:val="00055D83"/>
    <w:rPr>
      <w:rFonts w:ascii="Times New Roman" w:eastAsia="Times New Roman" w:hAnsi="Times New Roman" w:cs="Times New Roman"/>
      <w:kern w:val="0"/>
      <w:sz w:val="24"/>
      <w:szCs w:val="24"/>
      <w:lang w:val="en-GB"/>
      <w14:ligatures w14:val="none"/>
    </w:rPr>
  </w:style>
  <w:style w:type="paragraph" w:customStyle="1" w:styleId="Default">
    <w:name w:val="Default"/>
    <w:rsid w:val="00055D83"/>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character" w:customStyle="1" w:styleId="apple-converted-space">
    <w:name w:val="apple-converted-space"/>
    <w:basedOn w:val="DefaultParagraphFont"/>
    <w:rsid w:val="007F1318"/>
  </w:style>
  <w:style w:type="paragraph" w:customStyle="1" w:styleId="TableParagraph">
    <w:name w:val="Table Paragraph"/>
    <w:basedOn w:val="Normal"/>
    <w:uiPriority w:val="1"/>
    <w:qFormat/>
    <w:rsid w:val="00A6679B"/>
    <w:pPr>
      <w:widowControl w:val="0"/>
      <w:autoSpaceDE w:val="0"/>
      <w:autoSpaceDN w:val="0"/>
      <w:spacing w:before="0" w:line="240" w:lineRule="auto"/>
      <w:jc w:val="left"/>
    </w:pPr>
    <w:rPr>
      <w:rFonts w:eastAsia="Times New Roman" w:cs="Times New Roman"/>
      <w:color w:val="auto"/>
      <w:sz w:val="22"/>
      <w14:ligatures w14:val="none"/>
    </w:rPr>
  </w:style>
  <w:style w:type="character" w:customStyle="1" w:styleId="Heading2Char">
    <w:name w:val="Heading 2 Char"/>
    <w:basedOn w:val="DefaultParagraphFont"/>
    <w:link w:val="Heading2"/>
    <w:uiPriority w:val="9"/>
    <w:semiHidden/>
    <w:rsid w:val="0060683F"/>
    <w:rPr>
      <w:rFonts w:asciiTheme="majorHAnsi" w:eastAsiaTheme="majorEastAsia" w:hAnsiTheme="majorHAnsi" w:cstheme="majorBidi"/>
      <w:color w:val="2F5496" w:themeColor="accent1" w:themeShade="BF"/>
      <w:kern w:val="0"/>
      <w:sz w:val="26"/>
      <w:szCs w:val="26"/>
    </w:rPr>
  </w:style>
  <w:style w:type="character" w:customStyle="1" w:styleId="Heading4Char">
    <w:name w:val="Heading 4 Char"/>
    <w:basedOn w:val="DefaultParagraphFont"/>
    <w:link w:val="Heading4"/>
    <w:uiPriority w:val="9"/>
    <w:rsid w:val="003D7198"/>
    <w:rPr>
      <w:rFonts w:asciiTheme="majorHAnsi" w:eastAsiaTheme="majorEastAsia" w:hAnsiTheme="majorHAnsi" w:cstheme="majorBidi"/>
      <w:i/>
      <w:iCs/>
      <w:color w:val="2F5496" w:themeColor="accent1" w:themeShade="BF"/>
      <w:kern w:val="0"/>
      <w:sz w:val="24"/>
    </w:rPr>
  </w:style>
  <w:style w:type="character" w:styleId="Emphasis">
    <w:name w:val="Emphasis"/>
    <w:qFormat/>
    <w:rsid w:val="00E1453F"/>
    <w:rPr>
      <w:i/>
      <w:iCs/>
    </w:rPr>
  </w:style>
  <w:style w:type="character" w:customStyle="1" w:styleId="Heading3Char">
    <w:name w:val="Heading 3 Char"/>
    <w:basedOn w:val="DefaultParagraphFont"/>
    <w:link w:val="Heading3"/>
    <w:uiPriority w:val="9"/>
    <w:qFormat/>
    <w:rsid w:val="00F111A2"/>
    <w:rPr>
      <w:rFonts w:asciiTheme="majorHAnsi" w:eastAsiaTheme="majorEastAsia" w:hAnsiTheme="majorHAnsi" w:cstheme="majorBidi"/>
      <w:color w:val="1F3763" w:themeColor="accent1" w:themeShade="7F"/>
      <w:kern w:val="0"/>
      <w:sz w:val="24"/>
      <w:szCs w:val="24"/>
    </w:rPr>
  </w:style>
  <w:style w:type="paragraph" w:styleId="NoSpacing">
    <w:name w:val="No Spacing"/>
    <w:uiPriority w:val="1"/>
    <w:qFormat/>
    <w:rsid w:val="00BB3A83"/>
    <w:pPr>
      <w:spacing w:after="0" w:line="240" w:lineRule="auto"/>
      <w:jc w:val="center"/>
    </w:pPr>
    <w:rPr>
      <w:rFonts w:ascii="Times New Roman" w:hAnsi="Times New Roman"/>
      <w:b/>
      <w:i/>
      <w:color w:val="000000" w:themeColor="text1"/>
      <w:kern w:val="0"/>
      <w:sz w:val="24"/>
      <w14:ligatures w14:val="none"/>
    </w:rPr>
  </w:style>
  <w:style w:type="table" w:styleId="TableGrid">
    <w:name w:val="Table Grid"/>
    <w:basedOn w:val="TableNormal"/>
    <w:uiPriority w:val="59"/>
    <w:qFormat/>
    <w:rsid w:val="00BB3A8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B3A83"/>
    <w:pPr>
      <w:spacing w:before="0" w:after="200" w:line="240" w:lineRule="auto"/>
    </w:pPr>
    <w:rPr>
      <w:rFonts w:eastAsia="Times New Roman" w:cs="Times New Roman"/>
      <w:b/>
      <w:bCs/>
      <w:color w:val="4472C4" w:themeColor="accent1"/>
      <w:sz w:val="18"/>
      <w:szCs w:val="18"/>
      <w14:ligatures w14:val="none"/>
    </w:rPr>
  </w:style>
  <w:style w:type="character" w:customStyle="1" w:styleId="markedcontent">
    <w:name w:val="markedcontent"/>
    <w:basedOn w:val="DefaultParagraphFont"/>
    <w:rsid w:val="002D7340"/>
  </w:style>
  <w:style w:type="paragraph" w:customStyle="1" w:styleId="Tables">
    <w:name w:val="Tables"/>
    <w:basedOn w:val="Normal"/>
    <w:link w:val="TablesChar"/>
    <w:qFormat/>
    <w:rsid w:val="00076BA5"/>
    <w:pPr>
      <w:spacing w:before="0" w:line="240" w:lineRule="auto"/>
      <w:jc w:val="left"/>
    </w:pPr>
    <w:rPr>
      <w:rFonts w:eastAsiaTheme="minorHAnsi" w:cs="Times New Roman"/>
      <w:b/>
      <w:color w:val="auto"/>
      <w:szCs w:val="24"/>
      <w14:ligatures w14:val="none"/>
    </w:rPr>
  </w:style>
  <w:style w:type="character" w:customStyle="1" w:styleId="TablesChar">
    <w:name w:val="Tables Char"/>
    <w:basedOn w:val="DefaultParagraphFont"/>
    <w:link w:val="Tables"/>
    <w:rsid w:val="00076BA5"/>
    <w:rPr>
      <w:rFonts w:ascii="Times New Roman" w:hAnsi="Times New Roman" w:cs="Times New Roman"/>
      <w:b/>
      <w:kern w:val="0"/>
      <w:sz w:val="24"/>
      <w:szCs w:val="24"/>
      <w14:ligatures w14:val="none"/>
    </w:rPr>
  </w:style>
  <w:style w:type="character" w:styleId="Hyperlink">
    <w:name w:val="Hyperlink"/>
    <w:basedOn w:val="DefaultParagraphFont"/>
    <w:uiPriority w:val="99"/>
    <w:unhideWhenUsed/>
    <w:rsid w:val="001E649F"/>
    <w:rPr>
      <w:color w:val="0563C1" w:themeColor="hyperlink"/>
      <w:u w:val="single"/>
    </w:rPr>
  </w:style>
  <w:style w:type="character" w:customStyle="1" w:styleId="UnresolvedMention1">
    <w:name w:val="Unresolved Mention1"/>
    <w:basedOn w:val="DefaultParagraphFont"/>
    <w:uiPriority w:val="99"/>
    <w:semiHidden/>
    <w:unhideWhenUsed/>
    <w:rsid w:val="001E649F"/>
    <w:rPr>
      <w:color w:val="605E5C"/>
      <w:shd w:val="clear" w:color="auto" w:fill="E1DFDD"/>
    </w:rPr>
  </w:style>
  <w:style w:type="paragraph" w:styleId="NormalWeb">
    <w:name w:val="Normal (Web)"/>
    <w:basedOn w:val="Normal"/>
    <w:uiPriority w:val="99"/>
    <w:unhideWhenUsed/>
    <w:qFormat/>
    <w:rsid w:val="00D16476"/>
    <w:pPr>
      <w:spacing w:before="100" w:beforeAutospacing="1" w:after="100" w:afterAutospacing="1" w:line="240" w:lineRule="auto"/>
      <w:jc w:val="left"/>
    </w:pPr>
    <w:rPr>
      <w:rFonts w:eastAsia="Times New Roman" w:cs="Times New Roman"/>
      <w:color w:val="auto"/>
      <w:szCs w:val="24"/>
      <w14:ligatures w14:val="none"/>
    </w:rPr>
  </w:style>
  <w:style w:type="paragraph" w:customStyle="1" w:styleId="TABLES0">
    <w:name w:val="TABLES"/>
    <w:basedOn w:val="Normal"/>
    <w:qFormat/>
    <w:rsid w:val="00437393"/>
    <w:pPr>
      <w:spacing w:before="120" w:after="120"/>
    </w:pPr>
    <w:rPr>
      <w:rFonts w:cs="Times New Roman"/>
      <w:b/>
      <w:color w:val="auto"/>
      <w14:ligatures w14:val="none"/>
    </w:rPr>
  </w:style>
  <w:style w:type="table" w:styleId="PlainTable5">
    <w:name w:val="Plain Table 5"/>
    <w:basedOn w:val="TableNormal"/>
    <w:uiPriority w:val="45"/>
    <w:rsid w:val="00C053F5"/>
    <w:pPr>
      <w:spacing w:after="0" w:line="240" w:lineRule="auto"/>
      <w:jc w:val="both"/>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ListofTables">
    <w:name w:val="List of Tables"/>
    <w:basedOn w:val="Caption"/>
    <w:next w:val="Caption"/>
    <w:qFormat/>
    <w:rsid w:val="00860F17"/>
    <w:pPr>
      <w:keepNext/>
      <w:jc w:val="left"/>
    </w:pPr>
    <w:rPr>
      <w:rFonts w:eastAsia="Calibri"/>
      <w:color w:val="auto"/>
      <w:kern w:val="2"/>
      <w:sz w:val="24"/>
      <w:szCs w:val="24"/>
      <w14:ligatures w14:val="standardContextual"/>
    </w:rPr>
  </w:style>
  <w:style w:type="character" w:customStyle="1" w:styleId="UnresolvedMention2">
    <w:name w:val="Unresolved Mention2"/>
    <w:basedOn w:val="DefaultParagraphFont"/>
    <w:uiPriority w:val="99"/>
    <w:semiHidden/>
    <w:unhideWhenUsed/>
    <w:rsid w:val="00790BF9"/>
    <w:rPr>
      <w:color w:val="605E5C"/>
      <w:shd w:val="clear" w:color="auto" w:fill="E1DFDD"/>
    </w:rPr>
  </w:style>
  <w:style w:type="character" w:styleId="Strong">
    <w:name w:val="Strong"/>
    <w:basedOn w:val="DefaultParagraphFont"/>
    <w:uiPriority w:val="22"/>
    <w:qFormat/>
    <w:rsid w:val="001F51C1"/>
    <w:rPr>
      <w:b/>
      <w:bCs/>
    </w:rPr>
  </w:style>
  <w:style w:type="table" w:customStyle="1" w:styleId="TableGrid1">
    <w:name w:val="Table Grid1"/>
    <w:basedOn w:val="TableNormal"/>
    <w:next w:val="TableGrid"/>
    <w:uiPriority w:val="39"/>
    <w:qFormat/>
    <w:rsid w:val="007E3458"/>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916BC"/>
    <w:pPr>
      <w:widowControl w:val="0"/>
      <w:autoSpaceDE w:val="0"/>
      <w:autoSpaceDN w:val="0"/>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D916BC"/>
    <w:pPr>
      <w:spacing w:after="0" w:line="240" w:lineRule="auto"/>
    </w:pPr>
    <w:rPr>
      <w:rFonts w:ascii="Calibri" w:eastAsia="Calibri" w:hAnsi="Calibri" w:cs="SimSun"/>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pagerange">
    <w:name w:val="page_range"/>
    <w:basedOn w:val="DefaultParagraphFont"/>
    <w:rsid w:val="009E42B6"/>
  </w:style>
  <w:style w:type="table" w:customStyle="1" w:styleId="ListTable6Colorful1">
    <w:name w:val="List Table 6 Colorful1"/>
    <w:basedOn w:val="TableNormal"/>
    <w:uiPriority w:val="51"/>
    <w:rsid w:val="006C386A"/>
    <w:pPr>
      <w:spacing w:after="0" w:line="240" w:lineRule="auto"/>
    </w:pPr>
    <w:rPr>
      <w:color w:val="000000" w:themeColor="text1"/>
      <w:kern w:val="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phy">
    <w:name w:val="Bibliography"/>
    <w:basedOn w:val="Normal"/>
    <w:next w:val="Normal"/>
    <w:uiPriority w:val="37"/>
    <w:unhideWhenUsed/>
    <w:rsid w:val="006C386A"/>
    <w:pPr>
      <w:spacing w:before="0" w:line="240" w:lineRule="auto"/>
    </w:pPr>
    <w:rPr>
      <w:rFonts w:eastAsiaTheme="minorEastAsia" w:cstheme="minorBidi"/>
      <w:color w:val="auto"/>
      <w14:ligatures w14:val="none"/>
    </w:rPr>
  </w:style>
  <w:style w:type="character" w:styleId="UnresolvedMention">
    <w:name w:val="Unresolved Mention"/>
    <w:basedOn w:val="DefaultParagraphFont"/>
    <w:uiPriority w:val="99"/>
    <w:semiHidden/>
    <w:unhideWhenUsed/>
    <w:rsid w:val="005B74B1"/>
    <w:rPr>
      <w:color w:val="605E5C"/>
      <w:shd w:val="clear" w:color="auto" w:fill="E1DFDD"/>
    </w:rPr>
  </w:style>
  <w:style w:type="paragraph" w:styleId="Header">
    <w:name w:val="header"/>
    <w:basedOn w:val="Normal"/>
    <w:link w:val="HeaderChar"/>
    <w:uiPriority w:val="99"/>
    <w:unhideWhenUsed/>
    <w:rsid w:val="00EB42F1"/>
    <w:pPr>
      <w:tabs>
        <w:tab w:val="center" w:pos="4513"/>
        <w:tab w:val="right" w:pos="9026"/>
      </w:tabs>
      <w:spacing w:before="0" w:line="240" w:lineRule="auto"/>
    </w:pPr>
  </w:style>
  <w:style w:type="character" w:customStyle="1" w:styleId="HeaderChar">
    <w:name w:val="Header Char"/>
    <w:basedOn w:val="DefaultParagraphFont"/>
    <w:link w:val="Header"/>
    <w:uiPriority w:val="99"/>
    <w:rsid w:val="00EB42F1"/>
    <w:rPr>
      <w:rFonts w:ascii="Times New Roman" w:eastAsia="Calibri" w:hAnsi="Times New Roman" w:cs="SimSun"/>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9357">
      <w:bodyDiv w:val="1"/>
      <w:marLeft w:val="0"/>
      <w:marRight w:val="0"/>
      <w:marTop w:val="0"/>
      <w:marBottom w:val="0"/>
      <w:divBdr>
        <w:top w:val="none" w:sz="0" w:space="0" w:color="auto"/>
        <w:left w:val="none" w:sz="0" w:space="0" w:color="auto"/>
        <w:bottom w:val="none" w:sz="0" w:space="0" w:color="auto"/>
        <w:right w:val="none" w:sz="0" w:space="0" w:color="auto"/>
      </w:divBdr>
    </w:div>
    <w:div w:id="340470004">
      <w:bodyDiv w:val="1"/>
      <w:marLeft w:val="0"/>
      <w:marRight w:val="0"/>
      <w:marTop w:val="0"/>
      <w:marBottom w:val="0"/>
      <w:divBdr>
        <w:top w:val="none" w:sz="0" w:space="0" w:color="auto"/>
        <w:left w:val="none" w:sz="0" w:space="0" w:color="auto"/>
        <w:bottom w:val="none" w:sz="0" w:space="0" w:color="auto"/>
        <w:right w:val="none" w:sz="0" w:space="0" w:color="auto"/>
      </w:divBdr>
    </w:div>
    <w:div w:id="385884447">
      <w:bodyDiv w:val="1"/>
      <w:marLeft w:val="0"/>
      <w:marRight w:val="0"/>
      <w:marTop w:val="0"/>
      <w:marBottom w:val="0"/>
      <w:divBdr>
        <w:top w:val="none" w:sz="0" w:space="0" w:color="auto"/>
        <w:left w:val="none" w:sz="0" w:space="0" w:color="auto"/>
        <w:bottom w:val="none" w:sz="0" w:space="0" w:color="auto"/>
        <w:right w:val="none" w:sz="0" w:space="0" w:color="auto"/>
      </w:divBdr>
    </w:div>
    <w:div w:id="566765604">
      <w:bodyDiv w:val="1"/>
      <w:marLeft w:val="0"/>
      <w:marRight w:val="0"/>
      <w:marTop w:val="0"/>
      <w:marBottom w:val="0"/>
      <w:divBdr>
        <w:top w:val="none" w:sz="0" w:space="0" w:color="auto"/>
        <w:left w:val="none" w:sz="0" w:space="0" w:color="auto"/>
        <w:bottom w:val="none" w:sz="0" w:space="0" w:color="auto"/>
        <w:right w:val="none" w:sz="0" w:space="0" w:color="auto"/>
      </w:divBdr>
    </w:div>
    <w:div w:id="583222418">
      <w:bodyDiv w:val="1"/>
      <w:marLeft w:val="0"/>
      <w:marRight w:val="0"/>
      <w:marTop w:val="0"/>
      <w:marBottom w:val="0"/>
      <w:divBdr>
        <w:top w:val="none" w:sz="0" w:space="0" w:color="auto"/>
        <w:left w:val="none" w:sz="0" w:space="0" w:color="auto"/>
        <w:bottom w:val="none" w:sz="0" w:space="0" w:color="auto"/>
        <w:right w:val="none" w:sz="0" w:space="0" w:color="auto"/>
      </w:divBdr>
    </w:div>
    <w:div w:id="618725703">
      <w:bodyDiv w:val="1"/>
      <w:marLeft w:val="0"/>
      <w:marRight w:val="0"/>
      <w:marTop w:val="0"/>
      <w:marBottom w:val="0"/>
      <w:divBdr>
        <w:top w:val="none" w:sz="0" w:space="0" w:color="auto"/>
        <w:left w:val="none" w:sz="0" w:space="0" w:color="auto"/>
        <w:bottom w:val="none" w:sz="0" w:space="0" w:color="auto"/>
        <w:right w:val="none" w:sz="0" w:space="0" w:color="auto"/>
      </w:divBdr>
    </w:div>
    <w:div w:id="947202476">
      <w:bodyDiv w:val="1"/>
      <w:marLeft w:val="0"/>
      <w:marRight w:val="0"/>
      <w:marTop w:val="0"/>
      <w:marBottom w:val="0"/>
      <w:divBdr>
        <w:top w:val="none" w:sz="0" w:space="0" w:color="auto"/>
        <w:left w:val="none" w:sz="0" w:space="0" w:color="auto"/>
        <w:bottom w:val="none" w:sz="0" w:space="0" w:color="auto"/>
        <w:right w:val="none" w:sz="0" w:space="0" w:color="auto"/>
      </w:divBdr>
    </w:div>
    <w:div w:id="1041175574">
      <w:bodyDiv w:val="1"/>
      <w:marLeft w:val="0"/>
      <w:marRight w:val="0"/>
      <w:marTop w:val="0"/>
      <w:marBottom w:val="0"/>
      <w:divBdr>
        <w:top w:val="none" w:sz="0" w:space="0" w:color="auto"/>
        <w:left w:val="none" w:sz="0" w:space="0" w:color="auto"/>
        <w:bottom w:val="none" w:sz="0" w:space="0" w:color="auto"/>
        <w:right w:val="none" w:sz="0" w:space="0" w:color="auto"/>
      </w:divBdr>
    </w:div>
    <w:div w:id="1208760504">
      <w:bodyDiv w:val="1"/>
      <w:marLeft w:val="0"/>
      <w:marRight w:val="0"/>
      <w:marTop w:val="0"/>
      <w:marBottom w:val="0"/>
      <w:divBdr>
        <w:top w:val="none" w:sz="0" w:space="0" w:color="auto"/>
        <w:left w:val="none" w:sz="0" w:space="0" w:color="auto"/>
        <w:bottom w:val="none" w:sz="0" w:space="0" w:color="auto"/>
        <w:right w:val="none" w:sz="0" w:space="0" w:color="auto"/>
      </w:divBdr>
    </w:div>
    <w:div w:id="1240483030">
      <w:bodyDiv w:val="1"/>
      <w:marLeft w:val="0"/>
      <w:marRight w:val="0"/>
      <w:marTop w:val="0"/>
      <w:marBottom w:val="0"/>
      <w:divBdr>
        <w:top w:val="none" w:sz="0" w:space="0" w:color="auto"/>
        <w:left w:val="none" w:sz="0" w:space="0" w:color="auto"/>
        <w:bottom w:val="none" w:sz="0" w:space="0" w:color="auto"/>
        <w:right w:val="none" w:sz="0" w:space="0" w:color="auto"/>
      </w:divBdr>
    </w:div>
    <w:div w:id="1380744296">
      <w:bodyDiv w:val="1"/>
      <w:marLeft w:val="0"/>
      <w:marRight w:val="0"/>
      <w:marTop w:val="0"/>
      <w:marBottom w:val="0"/>
      <w:divBdr>
        <w:top w:val="none" w:sz="0" w:space="0" w:color="auto"/>
        <w:left w:val="none" w:sz="0" w:space="0" w:color="auto"/>
        <w:bottom w:val="none" w:sz="0" w:space="0" w:color="auto"/>
        <w:right w:val="none" w:sz="0" w:space="0" w:color="auto"/>
      </w:divBdr>
    </w:div>
    <w:div w:id="1746954200">
      <w:bodyDiv w:val="1"/>
      <w:marLeft w:val="0"/>
      <w:marRight w:val="0"/>
      <w:marTop w:val="0"/>
      <w:marBottom w:val="0"/>
      <w:divBdr>
        <w:top w:val="none" w:sz="0" w:space="0" w:color="auto"/>
        <w:left w:val="none" w:sz="0" w:space="0" w:color="auto"/>
        <w:bottom w:val="none" w:sz="0" w:space="0" w:color="auto"/>
        <w:right w:val="none" w:sz="0" w:space="0" w:color="auto"/>
      </w:divBdr>
    </w:div>
    <w:div w:id="1806503340">
      <w:bodyDiv w:val="1"/>
      <w:marLeft w:val="0"/>
      <w:marRight w:val="0"/>
      <w:marTop w:val="0"/>
      <w:marBottom w:val="0"/>
      <w:divBdr>
        <w:top w:val="none" w:sz="0" w:space="0" w:color="auto"/>
        <w:left w:val="none" w:sz="0" w:space="0" w:color="auto"/>
        <w:bottom w:val="none" w:sz="0" w:space="0" w:color="auto"/>
        <w:right w:val="none" w:sz="0" w:space="0" w:color="auto"/>
      </w:divBdr>
    </w:div>
    <w:div w:id="183024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6041</Words>
  <Characters>34439</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WUCHERERIA BANCROFTI</dc:creator>
  <cp:keywords/>
  <dc:description/>
  <cp:lastModifiedBy>SDI 1166</cp:lastModifiedBy>
  <cp:revision>8</cp:revision>
  <dcterms:created xsi:type="dcterms:W3CDTF">2026-10-16T07:46:00Z</dcterms:created>
  <dcterms:modified xsi:type="dcterms:W3CDTF">2026-10-17T12:45:00Z</dcterms:modified>
</cp:coreProperties>
</file>