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8646E" w14:textId="77777777" w:rsidR="00490284" w:rsidRDefault="00CC162A">
      <w:pPr>
        <w:spacing w:after="40"/>
        <w:rPr>
          <w:b/>
          <w:color w:val="000000" w:themeColor="text1"/>
          <w:sz w:val="19"/>
        </w:rPr>
      </w:pPr>
      <w:r>
        <w:rPr>
          <w:b/>
          <w:color w:val="000000" w:themeColor="text1"/>
          <w:sz w:val="19"/>
        </w:rPr>
        <w:t xml:space="preserve">CASE REPORT </w:t>
      </w:r>
    </w:p>
    <w:p w14:paraId="0F01B019" w14:textId="77777777" w:rsidR="009349F8" w:rsidRDefault="009349F8">
      <w:pPr>
        <w:spacing w:after="40"/>
        <w:rPr>
          <w:color w:val="000000" w:themeColor="text1"/>
        </w:rPr>
      </w:pPr>
    </w:p>
    <w:p w14:paraId="4ECD6448" w14:textId="77777777" w:rsidR="00490284" w:rsidRDefault="00CC162A">
      <w:pPr>
        <w:spacing w:before="80"/>
        <w:rPr>
          <w:color w:val="000000" w:themeColor="text1"/>
        </w:rPr>
      </w:pPr>
      <w:r>
        <w:rPr>
          <w:b/>
          <w:color w:val="000000" w:themeColor="text1"/>
          <w:sz w:val="34"/>
        </w:rPr>
        <w:t>Infected Urachal Sinus with Urachal Cyst Following Umbilical Polypectomy in an Infant: A Rare Case Report and Review of Literature</w:t>
      </w:r>
    </w:p>
    <w:p w14:paraId="12DF05A4" w14:textId="6A32C9D3" w:rsidR="00490284" w:rsidRDefault="00CC162A">
      <w:pPr>
        <w:spacing w:after="240"/>
        <w:rPr>
          <w:color w:val="000000" w:themeColor="text1"/>
          <w:lang w:val="en-IN"/>
        </w:rPr>
      </w:pPr>
      <w:r>
        <w:rPr>
          <w:i/>
          <w:color w:val="000000" w:themeColor="text1"/>
          <w:sz w:val="18"/>
          <w:lang w:val="en-IN"/>
        </w:rPr>
        <w:t xml:space="preserve"> </w:t>
      </w:r>
    </w:p>
    <w:tbl>
      <w:tblPr>
        <w:tblW w:w="0" w:type="auto"/>
        <w:jc w:val="center"/>
        <w:tblLook w:val="04A0" w:firstRow="1" w:lastRow="0" w:firstColumn="1" w:lastColumn="0" w:noHBand="0" w:noVBand="1"/>
      </w:tblPr>
      <w:tblGrid>
        <w:gridCol w:w="9360"/>
      </w:tblGrid>
      <w:tr w:rsidR="00490284" w14:paraId="327CA7EF" w14:textId="77777777">
        <w:trPr>
          <w:jc w:val="center"/>
        </w:trPr>
        <w:tc>
          <w:tcPr>
            <w:tcW w:w="9360" w:type="dxa"/>
            <w:shd w:val="clear" w:color="auto" w:fill="0F355C"/>
          </w:tcPr>
          <w:p w14:paraId="10E8150F" w14:textId="77777777" w:rsidR="00490284" w:rsidRDefault="00CC162A">
            <w:pPr>
              <w:spacing w:before="20" w:after="20"/>
              <w:rPr>
                <w:color w:val="000000" w:themeColor="text1"/>
              </w:rPr>
            </w:pPr>
            <w:r>
              <w:rPr>
                <w:color w:val="000000" w:themeColor="text1"/>
                <w:sz w:val="2"/>
              </w:rPr>
              <w:t xml:space="preserve"> </w:t>
            </w:r>
          </w:p>
        </w:tc>
      </w:tr>
      <w:tr w:rsidR="00490284" w14:paraId="0D6E0DC9" w14:textId="77777777">
        <w:trPr>
          <w:jc w:val="center"/>
        </w:trPr>
        <w:tc>
          <w:tcPr>
            <w:tcW w:w="9360" w:type="dxa"/>
            <w:shd w:val="clear" w:color="auto" w:fill="F4F6F9"/>
            <w:tcMar>
              <w:top w:w="140" w:type="dxa"/>
              <w:left w:w="180" w:type="dxa"/>
              <w:bottom w:w="140" w:type="dxa"/>
              <w:right w:w="180" w:type="dxa"/>
            </w:tcMar>
          </w:tcPr>
          <w:p w14:paraId="73433A3D" w14:textId="77777777" w:rsidR="00490284" w:rsidRDefault="00CC162A">
            <w:pPr>
              <w:spacing w:after="120"/>
              <w:rPr>
                <w:color w:val="000000" w:themeColor="text1"/>
              </w:rPr>
            </w:pPr>
            <w:r>
              <w:rPr>
                <w:b/>
                <w:color w:val="000000" w:themeColor="text1"/>
              </w:rPr>
              <w:t>ABSTRACT</w:t>
            </w:r>
          </w:p>
          <w:p w14:paraId="751E1BC3" w14:textId="77777777" w:rsidR="00490284" w:rsidRDefault="00CC162A">
            <w:pPr>
              <w:pStyle w:val="NormalWeb"/>
              <w:rPr>
                <w:color w:val="000000" w:themeColor="text1"/>
              </w:rPr>
            </w:pPr>
            <w:r>
              <w:rPr>
                <w:color w:val="000000" w:themeColor="text1"/>
                <w:sz w:val="20"/>
                <w:szCs w:val="20"/>
              </w:rPr>
              <w:t>Urachal vestiges are exceedingly uncommon congenital malformations which occur in cases where there is partial lack of obliteration of the primitive embryonic urachus. Among urachal anomalies an infected</w:t>
            </w:r>
            <w:r>
              <w:rPr>
                <w:color w:val="000000" w:themeColor="text1"/>
                <w:sz w:val="20"/>
                <w:szCs w:val="20"/>
                <w:lang w:val="en-IN"/>
              </w:rPr>
              <w:t xml:space="preserve"> </w:t>
            </w:r>
            <w:r>
              <w:rPr>
                <w:color w:val="000000" w:themeColor="text1"/>
                <w:sz w:val="20"/>
                <w:szCs w:val="20"/>
              </w:rPr>
              <w:t>urachal</w:t>
            </w:r>
            <w:r>
              <w:rPr>
                <w:color w:val="000000" w:themeColor="text1"/>
                <w:sz w:val="20"/>
                <w:szCs w:val="20"/>
                <w:lang w:val="en-IN"/>
              </w:rPr>
              <w:t xml:space="preserve"> </w:t>
            </w:r>
            <w:r>
              <w:rPr>
                <w:color w:val="000000" w:themeColor="text1"/>
                <w:sz w:val="20"/>
                <w:szCs w:val="20"/>
              </w:rPr>
              <w:t>sinus with underlying urachal cyst is so infrequent that it may be wrongly identified in infancy and childhood cases. This case report addresses a 1-year old female infant with a month history of recurrent episodic purulent umbilical discharge, erythematous overlying skin, tender periumbilical region, and history of prior</w:t>
            </w:r>
            <w:r>
              <w:rPr>
                <w:color w:val="000000" w:themeColor="text1"/>
                <w:sz w:val="20"/>
                <w:szCs w:val="20"/>
                <w:lang w:val="en-IN"/>
              </w:rPr>
              <w:t xml:space="preserve"> </w:t>
            </w:r>
            <w:r>
              <w:rPr>
                <w:color w:val="000000" w:themeColor="text1"/>
                <w:sz w:val="20"/>
                <w:szCs w:val="20"/>
              </w:rPr>
              <w:t>umbilical</w:t>
            </w:r>
            <w:r>
              <w:rPr>
                <w:color w:val="000000" w:themeColor="text1"/>
                <w:sz w:val="20"/>
                <w:szCs w:val="20"/>
                <w:lang w:val="en-IN"/>
              </w:rPr>
              <w:t xml:space="preserve"> </w:t>
            </w:r>
            <w:r>
              <w:rPr>
                <w:color w:val="000000" w:themeColor="text1"/>
                <w:sz w:val="20"/>
                <w:szCs w:val="20"/>
              </w:rPr>
              <w:t xml:space="preserve">polypectomy at 5 months of age. </w:t>
            </w:r>
            <w:proofErr w:type="gramStart"/>
            <w:r>
              <w:rPr>
                <w:color w:val="000000" w:themeColor="text1"/>
                <w:sz w:val="20"/>
                <w:szCs w:val="20"/>
              </w:rPr>
              <w:t>An</w:t>
            </w:r>
            <w:proofErr w:type="gramEnd"/>
            <w:r>
              <w:rPr>
                <w:color w:val="000000" w:themeColor="text1"/>
                <w:sz w:val="20"/>
                <w:szCs w:val="20"/>
              </w:rPr>
              <w:t xml:space="preserve"> high-resolution sonogram performed abdominally &amp; abdominally revealed a circa 1.4 cm linear blindly-ending sinus tract emerging from the umbilicus and directly entering infected intra</w:t>
            </w:r>
            <w:r>
              <w:rPr>
                <w:color w:val="000000" w:themeColor="text1"/>
                <w:sz w:val="20"/>
                <w:szCs w:val="20"/>
                <w:lang w:val="en-IN"/>
              </w:rPr>
              <w:t>-</w:t>
            </w:r>
            <w:r>
              <w:rPr>
                <w:color w:val="000000" w:themeColor="text1"/>
                <w:sz w:val="20"/>
                <w:szCs w:val="20"/>
              </w:rPr>
              <w:t>urachal</w:t>
            </w:r>
            <w:r>
              <w:rPr>
                <w:color w:val="000000" w:themeColor="text1"/>
                <w:sz w:val="20"/>
                <w:szCs w:val="20"/>
                <w:lang w:val="en-IN"/>
              </w:rPr>
              <w:t xml:space="preserve"> </w:t>
            </w:r>
            <w:proofErr w:type="spellStart"/>
            <w:r>
              <w:rPr>
                <w:color w:val="000000" w:themeColor="text1"/>
                <w:sz w:val="20"/>
                <w:szCs w:val="20"/>
              </w:rPr>
              <w:t>urachal</w:t>
            </w:r>
            <w:proofErr w:type="spellEnd"/>
            <w:r>
              <w:rPr>
                <w:color w:val="000000" w:themeColor="text1"/>
                <w:sz w:val="20"/>
                <w:szCs w:val="20"/>
                <w:lang w:val="en-IN"/>
              </w:rPr>
              <w:t xml:space="preserve"> </w:t>
            </w:r>
            <w:proofErr w:type="gramStart"/>
            <w:r>
              <w:rPr>
                <w:color w:val="000000" w:themeColor="text1"/>
                <w:sz w:val="20"/>
                <w:szCs w:val="20"/>
              </w:rPr>
              <w:t>vestige(</w:t>
            </w:r>
            <w:proofErr w:type="gramEnd"/>
            <w:r>
              <w:rPr>
                <w:color w:val="000000" w:themeColor="text1"/>
                <w:sz w:val="20"/>
                <w:szCs w:val="20"/>
              </w:rPr>
              <w:t xml:space="preserve">voided collection with </w:t>
            </w:r>
            <w:r>
              <w:rPr>
                <w:color w:val="000000" w:themeColor="text1"/>
                <w:sz w:val="20"/>
                <w:szCs w:val="20"/>
                <w:lang w:val="en-IN"/>
              </w:rPr>
              <w:t xml:space="preserve">approximately </w:t>
            </w:r>
            <w:r>
              <w:rPr>
                <w:color w:val="000000" w:themeColor="text1"/>
                <w:sz w:val="20"/>
                <w:szCs w:val="20"/>
              </w:rPr>
              <w:t xml:space="preserve">2.2×1.9×1.4 cm hypoechoic and </w:t>
            </w:r>
            <w:r>
              <w:rPr>
                <w:color w:val="000000" w:themeColor="text1"/>
                <w:sz w:val="20"/>
                <w:szCs w:val="20"/>
                <w:lang w:val="en-IN"/>
              </w:rPr>
              <w:t xml:space="preserve">approximately </w:t>
            </w:r>
            <w:r>
              <w:rPr>
                <w:color w:val="000000" w:themeColor="text1"/>
                <w:sz w:val="20"/>
                <w:szCs w:val="20"/>
              </w:rPr>
              <w:t>3.4</w:t>
            </w:r>
            <w:r>
              <w:rPr>
                <w:color w:val="000000" w:themeColor="text1"/>
                <w:sz w:val="20"/>
                <w:szCs w:val="20"/>
                <w:lang w:val="en-IN"/>
              </w:rPr>
              <w:t xml:space="preserve"> ml </w:t>
            </w:r>
            <w:r>
              <w:rPr>
                <w:color w:val="000000" w:themeColor="text1"/>
                <w:sz w:val="20"/>
                <w:szCs w:val="20"/>
              </w:rPr>
              <w:t xml:space="preserve">collection of fluid positioned along the course of </w:t>
            </w:r>
            <w:proofErr w:type="spellStart"/>
            <w:r>
              <w:rPr>
                <w:color w:val="000000" w:themeColor="text1"/>
                <w:sz w:val="20"/>
                <w:szCs w:val="20"/>
              </w:rPr>
              <w:t>urachovesical</w:t>
            </w:r>
            <w:proofErr w:type="spellEnd"/>
            <w:r>
              <w:rPr>
                <w:color w:val="000000" w:themeColor="text1"/>
                <w:sz w:val="20"/>
                <w:szCs w:val="20"/>
              </w:rPr>
              <w:t xml:space="preserve"> duct and communicating without the urinary tract). Exploratory infraumbilical laparotomy confirmed findings of a urachal cyst containing purulent material along with discharging sinus tract and following that the cyst, sinus tract along with the fibrous umbilical remnant was </w:t>
            </w:r>
            <w:proofErr w:type="spellStart"/>
            <w:r>
              <w:rPr>
                <w:color w:val="000000" w:themeColor="text1"/>
                <w:sz w:val="20"/>
                <w:szCs w:val="20"/>
              </w:rPr>
              <w:t>en</w:t>
            </w:r>
            <w:proofErr w:type="spellEnd"/>
            <w:r>
              <w:rPr>
                <w:color w:val="000000" w:themeColor="text1"/>
                <w:sz w:val="20"/>
                <w:szCs w:val="20"/>
              </w:rPr>
              <w:t xml:space="preserve"> bloc removed. </w:t>
            </w:r>
            <w:proofErr w:type="spellStart"/>
            <w:r>
              <w:rPr>
                <w:color w:val="000000" w:themeColor="text1"/>
                <w:sz w:val="20"/>
                <w:szCs w:val="20"/>
              </w:rPr>
              <w:t>Tranfixion</w:t>
            </w:r>
            <w:proofErr w:type="spellEnd"/>
            <w:r>
              <w:rPr>
                <w:color w:val="000000" w:themeColor="text1"/>
                <w:sz w:val="20"/>
                <w:szCs w:val="20"/>
              </w:rPr>
              <w:t xml:space="preserve"> ligature at the bladder base was performed using polydioxanone (PDS 5-0). Culture of the pus yielded Proteus mirabilis which was multi drug resistance with a maintained sensitivity toward </w:t>
            </w:r>
            <w:proofErr w:type="spellStart"/>
            <w:r>
              <w:rPr>
                <w:color w:val="000000" w:themeColor="text1"/>
                <w:sz w:val="20"/>
                <w:szCs w:val="20"/>
              </w:rPr>
              <w:t>carbepenams</w:t>
            </w:r>
            <w:proofErr w:type="spellEnd"/>
            <w:r>
              <w:rPr>
                <w:color w:val="000000" w:themeColor="text1"/>
                <w:sz w:val="20"/>
                <w:szCs w:val="20"/>
              </w:rPr>
              <w:t xml:space="preserve"> and Piperacillin and Tazobactam combinations, and was treated appropriately with Intravenous meropenem along with metronidazole which led to complete resolution with no wound infection. It will thus be wise to harbor higher suspicion to include the possibility of an infected urachal sinus along with other urachal variations and to keep an account of a precise pre-intraoperative sonographic report in case of persistent recurrent </w:t>
            </w:r>
            <w:proofErr w:type="spellStart"/>
            <w:r>
              <w:rPr>
                <w:color w:val="000000" w:themeColor="text1"/>
                <w:sz w:val="20"/>
                <w:szCs w:val="20"/>
              </w:rPr>
              <w:t>atypicial</w:t>
            </w:r>
            <w:proofErr w:type="spellEnd"/>
            <w:r>
              <w:rPr>
                <w:color w:val="000000" w:themeColor="text1"/>
                <w:sz w:val="20"/>
                <w:szCs w:val="20"/>
              </w:rPr>
              <w:t xml:space="preserve"> </w:t>
            </w:r>
            <w:proofErr w:type="spellStart"/>
            <w:r>
              <w:rPr>
                <w:color w:val="000000" w:themeColor="text1"/>
                <w:sz w:val="20"/>
                <w:szCs w:val="20"/>
              </w:rPr>
              <w:t>paediatric</w:t>
            </w:r>
            <w:proofErr w:type="spellEnd"/>
            <w:r>
              <w:rPr>
                <w:color w:val="000000" w:themeColor="text1"/>
                <w:sz w:val="20"/>
                <w:szCs w:val="20"/>
              </w:rPr>
              <w:t xml:space="preserve"> umbilical lesion, and also have a close follow up of the abdominal &amp; pelvic sonogram in a follow-up period.</w:t>
            </w:r>
          </w:p>
          <w:p w14:paraId="1F1BED5F" w14:textId="77777777" w:rsidR="00490284" w:rsidRDefault="00CC162A">
            <w:pPr>
              <w:spacing w:after="40"/>
              <w:rPr>
                <w:color w:val="000000" w:themeColor="text1"/>
              </w:rPr>
            </w:pPr>
            <w:r>
              <w:rPr>
                <w:b/>
                <w:color w:val="000000" w:themeColor="text1"/>
                <w:sz w:val="19"/>
              </w:rPr>
              <w:t xml:space="preserve">Keywords: </w:t>
            </w:r>
            <w:r>
              <w:rPr>
                <w:i/>
                <w:color w:val="000000" w:themeColor="text1"/>
                <w:sz w:val="19"/>
              </w:rPr>
              <w:t>Urachal cyst; Umbilical sinus; Congenital urachal remnant; Umbilical polyp; Proteus mirabilis; Pediatric laparotomy; Ultrasonography.</w:t>
            </w:r>
          </w:p>
        </w:tc>
      </w:tr>
    </w:tbl>
    <w:p w14:paraId="52139B4E" w14:textId="77777777" w:rsidR="00490284" w:rsidRDefault="00490284">
      <w:pPr>
        <w:spacing w:after="120"/>
        <w:rPr>
          <w:color w:val="000000" w:themeColor="text1"/>
        </w:rPr>
      </w:pPr>
    </w:p>
    <w:p w14:paraId="5539DD85" w14:textId="77777777" w:rsidR="00490284" w:rsidRDefault="00CC162A">
      <w:pPr>
        <w:keepNext/>
        <w:spacing w:before="280" w:after="80"/>
        <w:rPr>
          <w:color w:val="000000" w:themeColor="text1"/>
        </w:rPr>
      </w:pPr>
      <w:r>
        <w:rPr>
          <w:b/>
          <w:color w:val="000000" w:themeColor="text1"/>
          <w:sz w:val="26"/>
        </w:rPr>
        <w:t>1. INTRODUCTION</w:t>
      </w:r>
    </w:p>
    <w:p w14:paraId="27F41D85" w14:textId="77777777" w:rsidR="00490284" w:rsidRDefault="00CC162A">
      <w:pPr>
        <w:pStyle w:val="NormalWeb"/>
        <w:rPr>
          <w:color w:val="000000" w:themeColor="text1"/>
        </w:rPr>
      </w:pPr>
      <w:r>
        <w:rPr>
          <w:color w:val="000000" w:themeColor="text1"/>
        </w:rPr>
        <w:t xml:space="preserve">The urachus, or median umbilical ligament, is the midline and tubular embryonic structure that usually bridges the anterosuperior apex of the maturing bladder of the fetus and the allantois at the level of the umbilicus [1]. In normal human embryogenesis, obliteration and fibrotic degeneration of the lumen of the urachus progresses between the fourth and fifth months of intrauterine life and results in the urachus forming a cord-like, non-functional fibrotic structure that lies </w:t>
      </w:r>
      <w:proofErr w:type="spellStart"/>
      <w:r>
        <w:rPr>
          <w:color w:val="000000" w:themeColor="text1"/>
        </w:rPr>
        <w:t>extraperitoneally</w:t>
      </w:r>
      <w:proofErr w:type="spellEnd"/>
      <w:r>
        <w:rPr>
          <w:color w:val="000000" w:themeColor="text1"/>
        </w:rPr>
        <w:t xml:space="preserve"> in the </w:t>
      </w:r>
      <w:proofErr w:type="spellStart"/>
      <w:r>
        <w:rPr>
          <w:color w:val="000000" w:themeColor="text1"/>
        </w:rPr>
        <w:t>Retzius</w:t>
      </w:r>
      <w:proofErr w:type="spellEnd"/>
      <w:r>
        <w:rPr>
          <w:color w:val="000000" w:themeColor="text1"/>
        </w:rPr>
        <w:t xml:space="preserve"> space</w:t>
      </w:r>
      <w:r>
        <w:rPr>
          <w:color w:val="000000" w:themeColor="text1"/>
          <w:lang w:val="en-IN"/>
        </w:rPr>
        <w:t xml:space="preserve"> </w:t>
      </w:r>
      <w:r>
        <w:rPr>
          <w:color w:val="000000" w:themeColor="text1"/>
        </w:rPr>
        <w:t xml:space="preserve">(prevesical space) bounded by the transversalis fascia anteriorly and the peritoneum </w:t>
      </w:r>
      <w:proofErr w:type="spellStart"/>
      <w:r>
        <w:rPr>
          <w:color w:val="000000" w:themeColor="text1"/>
        </w:rPr>
        <w:t>parietes</w:t>
      </w:r>
      <w:proofErr w:type="spellEnd"/>
      <w:r>
        <w:rPr>
          <w:color w:val="000000" w:themeColor="text1"/>
        </w:rPr>
        <w:t xml:space="preserve"> posteriorly [2].</w:t>
      </w:r>
      <w:r>
        <w:rPr>
          <w:color w:val="000000" w:themeColor="text1"/>
          <w:lang w:val="en-IN"/>
        </w:rPr>
        <w:t xml:space="preserve"> F</w:t>
      </w:r>
      <w:proofErr w:type="spellStart"/>
      <w:r>
        <w:rPr>
          <w:color w:val="000000" w:themeColor="text1"/>
        </w:rPr>
        <w:t>ailure</w:t>
      </w:r>
      <w:proofErr w:type="spellEnd"/>
      <w:r>
        <w:rPr>
          <w:color w:val="000000" w:themeColor="text1"/>
        </w:rPr>
        <w:t xml:space="preserve"> of anatomical obliteration and failure of lumen regression of the urachus may lead to congenital urachal anomalies. They are rarely encountered clinical conditions encountered approximately in 1/5,000–1/8,000 of live </w:t>
      </w:r>
      <w:r>
        <w:rPr>
          <w:color w:val="000000" w:themeColor="text1"/>
        </w:rPr>
        <w:lastRenderedPageBreak/>
        <w:t>births with significant 2:1 male-female bias [3].</w:t>
      </w:r>
      <w:r>
        <w:rPr>
          <w:color w:val="000000" w:themeColor="text1"/>
          <w:lang w:val="en-IN"/>
        </w:rPr>
        <w:t xml:space="preserve"> </w:t>
      </w:r>
      <w:r>
        <w:rPr>
          <w:color w:val="000000" w:themeColor="text1"/>
        </w:rPr>
        <w:t xml:space="preserve">Urachal anomalies are traditionally categorized into five types based on the way they represent the incompleteness of obliterating: (a) Patent Urachus (approx. 50%)-total continuity of the lumen between the urachus and the umbilical cord, with leakage of urine (b) Urachal Cyst (approx. 30%)-when both the umbilical and vesical openings of the urachus are occluded but its middle part isolated as a secretory, mucous and cystic cavity, and (c) Urachal Sinus (approx. 15%)-when only the umbilical part does not occlude, forming a blind-ending canal opening at the umbilicus and (d) </w:t>
      </w:r>
      <w:proofErr w:type="spellStart"/>
      <w:r>
        <w:rPr>
          <w:color w:val="000000" w:themeColor="text1"/>
        </w:rPr>
        <w:t>Vesicourachal</w:t>
      </w:r>
      <w:proofErr w:type="spellEnd"/>
      <w:r>
        <w:rPr>
          <w:color w:val="000000" w:themeColor="text1"/>
        </w:rPr>
        <w:t xml:space="preserve"> Diverticulum (3%–5%)-where the vesical end of the urachus remain</w:t>
      </w:r>
      <w:r>
        <w:rPr>
          <w:color w:val="000000" w:themeColor="text1"/>
          <w:lang w:val="en-IN"/>
        </w:rPr>
        <w:t>s</w:t>
      </w:r>
      <w:r>
        <w:rPr>
          <w:color w:val="000000" w:themeColor="text1"/>
        </w:rPr>
        <w:t xml:space="preserve"> open in the form of a wide diverticulum arising at the dome of the bladder, and (e) alternating sinus-cyst urachal configurations. The former cases may also appear a</w:t>
      </w:r>
      <w:r>
        <w:rPr>
          <w:color w:val="000000" w:themeColor="text1"/>
          <w:lang w:val="en-IN"/>
        </w:rPr>
        <w:t xml:space="preserve"> </w:t>
      </w:r>
      <w:r>
        <w:rPr>
          <w:color w:val="000000" w:themeColor="text1"/>
        </w:rPr>
        <w:t>urachal sinus with underling urachal cyst which makes for a chronically infected and drain</w:t>
      </w:r>
      <w:proofErr w:type="spellStart"/>
      <w:r>
        <w:rPr>
          <w:color w:val="000000" w:themeColor="text1"/>
          <w:lang w:val="en-IN"/>
        </w:rPr>
        <w:t>ing</w:t>
      </w:r>
      <w:proofErr w:type="spellEnd"/>
      <w:r>
        <w:rPr>
          <w:color w:val="000000" w:themeColor="text1"/>
        </w:rPr>
        <w:t xml:space="preserve"> cavity [4, 5]. There may be also other rare presentations such as that Urachal sinus communicating into an underling urachal cyst.[</w:t>
      </w:r>
      <w:proofErr w:type="gramStart"/>
      <w:r>
        <w:rPr>
          <w:color w:val="000000" w:themeColor="text1"/>
        </w:rPr>
        <w:t>6]Non</w:t>
      </w:r>
      <w:proofErr w:type="gramEnd"/>
      <w:r>
        <w:rPr>
          <w:color w:val="000000" w:themeColor="text1"/>
        </w:rPr>
        <w:t>-patent urachal anomalies are asymptomatic and silent throughout infancy and adolescence with no clinical signs or symptoms until secondary bacterial infection develops [7]. If infected, a 'quiet' urachal remnant can become an 'active' acute or subacute suppurative process causing persistent seropurulent/purulent discharge from umbilicus, local inflammation and tenderness of periumbilical area and intra-abdominal mass formation (8). Pediatric umbilical lesions are often misdiagnosed or mismanaged initially as benign superficial umbilical conditions, which include omphalitis, stitch abscess, umbilical granuloma and umbilical polyp (9). Repeated superficial procedures without preprocedural sonographic examination of deep component, e.g.</w:t>
      </w:r>
      <w:r>
        <w:rPr>
          <w:color w:val="000000" w:themeColor="text1"/>
          <w:lang w:val="en-IN"/>
        </w:rPr>
        <w:t>,</w:t>
      </w:r>
      <w:r>
        <w:rPr>
          <w:color w:val="000000" w:themeColor="text1"/>
        </w:rPr>
        <w:t xml:space="preserve"> Superficial trimming and removal by topical silver nitrate application or by simple polypectomy, will mask deep congenital communications so as to cause recurrence (10). In this paper, we presented a striking unusual pediatric case with urachal cyst combined with infected urachal sinus, which was managed in an 1-year-old girl with a history of umbilical polypectomy, the findings on diagnosis and microbiological study, surgery treatment, and literature review.</w:t>
      </w:r>
    </w:p>
    <w:p w14:paraId="5B1D47DD" w14:textId="77777777" w:rsidR="00490284" w:rsidRDefault="00CC162A">
      <w:pPr>
        <w:keepNext/>
        <w:spacing w:before="280" w:after="80"/>
        <w:rPr>
          <w:color w:val="000000" w:themeColor="text1"/>
        </w:rPr>
      </w:pPr>
      <w:r>
        <w:rPr>
          <w:b/>
          <w:color w:val="000000" w:themeColor="text1"/>
          <w:sz w:val="26"/>
        </w:rPr>
        <w:t>2. CASE REPORT</w:t>
      </w:r>
    </w:p>
    <w:p w14:paraId="0D5ACD3E" w14:textId="77777777" w:rsidR="00490284" w:rsidRDefault="00CC162A">
      <w:pPr>
        <w:keepNext/>
        <w:spacing w:before="200" w:after="60"/>
        <w:rPr>
          <w:color w:val="000000" w:themeColor="text1"/>
        </w:rPr>
      </w:pPr>
      <w:r>
        <w:rPr>
          <w:b/>
          <w:color w:val="000000" w:themeColor="text1"/>
          <w:sz w:val="23"/>
        </w:rPr>
        <w:t>2.1 Patient Profile and Clinical Presentation</w:t>
      </w:r>
    </w:p>
    <w:p w14:paraId="6F8082D6" w14:textId="77777777" w:rsidR="00490284" w:rsidRDefault="00CC162A">
      <w:pPr>
        <w:pStyle w:val="NormalWeb"/>
        <w:rPr>
          <w:color w:val="000000" w:themeColor="text1"/>
          <w:lang w:val="en-IN"/>
        </w:rPr>
      </w:pPr>
      <w:r>
        <w:rPr>
          <w:color w:val="000000" w:themeColor="text1"/>
          <w:sz w:val="22"/>
        </w:rPr>
        <w:t xml:space="preserve">A </w:t>
      </w:r>
      <w:r>
        <w:rPr>
          <w:color w:val="000000" w:themeColor="text1"/>
        </w:rPr>
        <w:t xml:space="preserve">One-year-old female baby, brought to Department of </w:t>
      </w:r>
      <w:proofErr w:type="spellStart"/>
      <w:r>
        <w:rPr>
          <w:color w:val="000000" w:themeColor="text1"/>
        </w:rPr>
        <w:t>Paediatric</w:t>
      </w:r>
      <w:proofErr w:type="spellEnd"/>
      <w:r>
        <w:rPr>
          <w:color w:val="000000" w:themeColor="text1"/>
        </w:rPr>
        <w:t xml:space="preserve"> Surgery, S.S Institute of Medical Sciences &amp; Research Center (SSIMS &amp; RC) Davangere, Karnataka India, with the complaint of intermittent continuous purulent discharge from umbilical region </w:t>
      </w:r>
      <w:proofErr w:type="gramStart"/>
      <w:r>
        <w:rPr>
          <w:color w:val="000000" w:themeColor="text1"/>
        </w:rPr>
        <w:t>since</w:t>
      </w:r>
      <w:proofErr w:type="gramEnd"/>
      <w:r>
        <w:rPr>
          <w:color w:val="000000" w:themeColor="text1"/>
        </w:rPr>
        <w:t xml:space="preserve"> one month. The discharge used to appear intermittently, which had a periodicity of 2 days since a long time and changing from clear serosanguinous discharge gradually from it</w:t>
      </w:r>
      <w:r>
        <w:rPr>
          <w:color w:val="000000" w:themeColor="text1"/>
          <w:lang w:val="en-IN"/>
        </w:rPr>
        <w:t xml:space="preserve"> </w:t>
      </w:r>
      <w:r>
        <w:rPr>
          <w:color w:val="000000" w:themeColor="text1"/>
        </w:rPr>
        <w:t>to thick purulent matter with offensive smell from it accompanied with reddening and soft swelling and tenderness around skin of umbilical region. Child had some spike of low-grade fever two weeks back, subsided over symptomatic antipyretic medication. No active bleeding from umbilical discharge nor</w:t>
      </w:r>
      <w:r>
        <w:rPr>
          <w:color w:val="000000" w:themeColor="text1"/>
          <w:lang w:val="en-IN"/>
        </w:rPr>
        <w:t xml:space="preserve"> </w:t>
      </w:r>
      <w:r>
        <w:rPr>
          <w:color w:val="000000" w:themeColor="text1"/>
        </w:rPr>
        <w:t>gross</w:t>
      </w:r>
      <w:r>
        <w:rPr>
          <w:color w:val="000000" w:themeColor="text1"/>
          <w:lang w:val="en-IN"/>
        </w:rPr>
        <w:t xml:space="preserve"> </w:t>
      </w:r>
      <w:r>
        <w:rPr>
          <w:color w:val="000000" w:themeColor="text1"/>
        </w:rPr>
        <w:t>hematuria was heard in the umbilical discharge nor</w:t>
      </w:r>
      <w:r>
        <w:rPr>
          <w:color w:val="000000" w:themeColor="text1"/>
          <w:lang w:val="en-IN"/>
        </w:rPr>
        <w:t xml:space="preserve"> </w:t>
      </w:r>
      <w:r>
        <w:rPr>
          <w:color w:val="000000" w:themeColor="text1"/>
        </w:rPr>
        <w:t>any</w:t>
      </w:r>
      <w:r>
        <w:rPr>
          <w:color w:val="000000" w:themeColor="text1"/>
          <w:lang w:val="en-IN"/>
        </w:rPr>
        <w:t xml:space="preserve"> </w:t>
      </w:r>
      <w:r>
        <w:rPr>
          <w:color w:val="000000" w:themeColor="text1"/>
        </w:rPr>
        <w:t>fecal</w:t>
      </w:r>
      <w:r>
        <w:rPr>
          <w:color w:val="000000" w:themeColor="text1"/>
          <w:lang w:val="en-IN"/>
        </w:rPr>
        <w:t>/</w:t>
      </w:r>
      <w:r>
        <w:rPr>
          <w:color w:val="000000" w:themeColor="text1"/>
        </w:rPr>
        <w:t>bilious discharge nor</w:t>
      </w:r>
      <w:r>
        <w:rPr>
          <w:color w:val="000000" w:themeColor="text1"/>
          <w:lang w:val="en-IN"/>
        </w:rPr>
        <w:t xml:space="preserve"> </w:t>
      </w:r>
      <w:r>
        <w:rPr>
          <w:color w:val="000000" w:themeColor="text1"/>
        </w:rPr>
        <w:t>oliguria was documented. The child otherwise is active and playful</w:t>
      </w:r>
      <w:r>
        <w:rPr>
          <w:color w:val="000000" w:themeColor="text1"/>
          <w:lang w:val="en-IN"/>
        </w:rPr>
        <w:t>.</w:t>
      </w:r>
    </w:p>
    <w:p w14:paraId="3028383D" w14:textId="77777777" w:rsidR="00490284" w:rsidRDefault="00CC162A">
      <w:pPr>
        <w:keepNext/>
        <w:spacing w:before="200" w:after="60"/>
        <w:rPr>
          <w:b/>
          <w:color w:val="000000" w:themeColor="text1"/>
          <w:sz w:val="23"/>
        </w:rPr>
      </w:pPr>
      <w:r>
        <w:rPr>
          <w:b/>
          <w:color w:val="000000" w:themeColor="text1"/>
          <w:sz w:val="23"/>
        </w:rPr>
        <w:t>2.2 Past Medical and Surgical History</w:t>
      </w:r>
    </w:p>
    <w:p w14:paraId="1202569A" w14:textId="77777777" w:rsidR="00490284" w:rsidRDefault="00CC162A">
      <w:pPr>
        <w:keepNext/>
        <w:spacing w:before="200" w:after="60"/>
        <w:rPr>
          <w:color w:val="000000" w:themeColor="text1"/>
        </w:rPr>
      </w:pPr>
      <w:r>
        <w:rPr>
          <w:color w:val="000000" w:themeColor="text1"/>
        </w:rPr>
        <w:t>Was born at full-term by LSCS weighing 2.15</w:t>
      </w:r>
      <w:r>
        <w:rPr>
          <w:color w:val="000000" w:themeColor="text1"/>
          <w:lang w:val="en-IN"/>
        </w:rPr>
        <w:t>k</w:t>
      </w:r>
      <w:r>
        <w:rPr>
          <w:color w:val="000000" w:themeColor="text1"/>
        </w:rPr>
        <w:t xml:space="preserve">g following an uneventful antenatal and natal period. The infant did not have NICU admission and all milestones were at per-gross: Standing without support and ambulation of stairs and fine: Pincer grip and feeding with a spoon independently, communication: </w:t>
      </w:r>
      <w:proofErr w:type="gramStart"/>
      <w:r>
        <w:rPr>
          <w:color w:val="000000" w:themeColor="text1"/>
        </w:rPr>
        <w:t xml:space="preserve">2 </w:t>
      </w:r>
      <w:r>
        <w:rPr>
          <w:color w:val="000000" w:themeColor="text1"/>
        </w:rPr>
        <w:lastRenderedPageBreak/>
        <w:t>word</w:t>
      </w:r>
      <w:proofErr w:type="gramEnd"/>
      <w:r>
        <w:rPr>
          <w:color w:val="000000" w:themeColor="text1"/>
        </w:rPr>
        <w:t xml:space="preserve"> meaningful sentence, and social: at par. Infant's immunizations were all in pace as per national immunization program. History revealed a surgical history of an umbilical polyp which was removed at 5months of age on 18/12/2025 by superficial polypectomy.</w:t>
      </w:r>
      <w:r>
        <w:rPr>
          <w:color w:val="000000" w:themeColor="text1"/>
          <w:lang w:val="en-IN"/>
        </w:rPr>
        <w:t xml:space="preserve"> </w:t>
      </w:r>
      <w:r>
        <w:rPr>
          <w:color w:val="000000" w:themeColor="text1"/>
        </w:rPr>
        <w:t xml:space="preserve">The infant had recurrent episode of discharge and erythema from the umbilicus with previous episodic episodes of empirical diagnosis of Stitch Abscess and Omphalitis followed by symptomatic treatment with 5% povidone-iodine washes, betadine powder, antibiotic syrup for Stitch Abscess and Omphalitis (Syrup </w:t>
      </w:r>
      <w:proofErr w:type="spellStart"/>
      <w:r>
        <w:rPr>
          <w:color w:val="000000" w:themeColor="text1"/>
        </w:rPr>
        <w:t>Taxim</w:t>
      </w:r>
      <w:proofErr w:type="spellEnd"/>
      <w:r>
        <w:rPr>
          <w:color w:val="000000" w:themeColor="text1"/>
        </w:rPr>
        <w:t>-O 100mg) for 3days on 20/02/2026, 23/02/2026 and finally on 29/04/2026 during his out-patient visits.</w:t>
      </w:r>
    </w:p>
    <w:p w14:paraId="7EC10EA2" w14:textId="77777777" w:rsidR="00490284" w:rsidRDefault="00CC162A">
      <w:pPr>
        <w:keepNext/>
        <w:spacing w:before="200" w:after="60"/>
        <w:rPr>
          <w:color w:val="000000" w:themeColor="text1"/>
        </w:rPr>
      </w:pPr>
      <w:r>
        <w:rPr>
          <w:b/>
          <w:color w:val="000000" w:themeColor="text1"/>
          <w:sz w:val="23"/>
        </w:rPr>
        <w:t>2.3 Physical Examination and Vitals</w:t>
      </w:r>
    </w:p>
    <w:p w14:paraId="4F5B6200" w14:textId="77777777" w:rsidR="00490284" w:rsidRDefault="00CC162A">
      <w:pPr>
        <w:pStyle w:val="NormalWeb"/>
        <w:rPr>
          <w:color w:val="000000" w:themeColor="text1"/>
          <w:lang w:val="en-IN"/>
        </w:rPr>
      </w:pPr>
      <w:r>
        <w:rPr>
          <w:color w:val="000000" w:themeColor="text1"/>
        </w:rPr>
        <w:t xml:space="preserve">On general physical examination at admission (07-04-06) the child was active, awake, alert, playing on examination. The weight of the baby at admission was 8.2kg and his vital signs were all stable and unremarkable: heart rate at 122 beats per min and regular, </w:t>
      </w:r>
      <w:r>
        <w:rPr>
          <w:color w:val="000000" w:themeColor="text1"/>
          <w:lang w:val="en-IN"/>
        </w:rPr>
        <w:t>respiration</w:t>
      </w:r>
      <w:r>
        <w:rPr>
          <w:color w:val="000000" w:themeColor="text1"/>
        </w:rPr>
        <w:t xml:space="preserve"> 36 breaths per min and unlabored; air saturation at 98%;</w:t>
      </w:r>
      <w:r>
        <w:rPr>
          <w:color w:val="000000" w:themeColor="text1"/>
          <w:lang w:val="en-IN"/>
        </w:rPr>
        <w:t xml:space="preserve"> </w:t>
      </w:r>
      <w:r>
        <w:rPr>
          <w:color w:val="000000" w:themeColor="text1"/>
        </w:rPr>
        <w:t xml:space="preserve">axillary temperature at 98.4. At examination the vesicular breath sounds were clear and non-wheezing to auscultation in both lung fields; S1 and S2 were clear and audible with no murmurs, heart sounds were heard at regular rhythm with all chest and heart sounds </w:t>
      </w:r>
      <w:proofErr w:type="gramStart"/>
      <w:r>
        <w:rPr>
          <w:color w:val="000000" w:themeColor="text1"/>
        </w:rPr>
        <w:t>normal..</w:t>
      </w:r>
      <w:proofErr w:type="gramEnd"/>
      <w:r>
        <w:rPr>
          <w:color w:val="000000" w:themeColor="text1"/>
        </w:rPr>
        <w:t xml:space="preserve"> The mouth examination found that </w:t>
      </w:r>
      <w:r>
        <w:rPr>
          <w:color w:val="000000" w:themeColor="text1"/>
          <w:lang w:val="en-IN"/>
        </w:rPr>
        <w:t>anterior</w:t>
      </w:r>
      <w:r>
        <w:rPr>
          <w:color w:val="000000" w:themeColor="text1"/>
        </w:rPr>
        <w:t xml:space="preserve"> the baby was tongue-tied asymptomatically.</w:t>
      </w:r>
      <w:r>
        <w:rPr>
          <w:color w:val="000000" w:themeColor="text1"/>
          <w:sz w:val="22"/>
        </w:rPr>
        <w:t xml:space="preserve"> </w:t>
      </w:r>
      <w:r>
        <w:rPr>
          <w:color w:val="000000" w:themeColor="text1"/>
        </w:rPr>
        <w:t xml:space="preserve">On local examination of the abdomen, there was an opening of the central umbilical sinus leaking cream-colored, purulent discharge, without any active bleeding or discharge of any blood. The skin around </w:t>
      </w:r>
      <w:r>
        <w:rPr>
          <w:color w:val="000000" w:themeColor="text1"/>
          <w:lang w:val="en-IN"/>
        </w:rPr>
        <w:t>the umbilicus</w:t>
      </w:r>
      <w:r>
        <w:rPr>
          <w:color w:val="000000" w:themeColor="text1"/>
        </w:rPr>
        <w:t xml:space="preserve"> was reddened in a circular fashion and had mild </w:t>
      </w:r>
      <w:r>
        <w:rPr>
          <w:color w:val="000000" w:themeColor="text1"/>
          <w:lang w:val="en-IN"/>
        </w:rPr>
        <w:t>in duration</w:t>
      </w:r>
      <w:r>
        <w:rPr>
          <w:color w:val="000000" w:themeColor="text1"/>
        </w:rPr>
        <w:t xml:space="preserve">. Abdomen was soft on palpation, without any organomegaly, without any signs of generalize peritonitis. Though, an ill-defined </w:t>
      </w:r>
      <w:proofErr w:type="gramStart"/>
      <w:r>
        <w:rPr>
          <w:color w:val="000000" w:themeColor="text1"/>
        </w:rPr>
        <w:t>deep seated</w:t>
      </w:r>
      <w:proofErr w:type="gramEnd"/>
      <w:r>
        <w:rPr>
          <w:color w:val="000000" w:themeColor="text1"/>
        </w:rPr>
        <w:t xml:space="preserve"> swelling noted on deep palpation in the umbilical </w:t>
      </w:r>
      <w:r>
        <w:rPr>
          <w:color w:val="000000" w:themeColor="text1"/>
          <w:lang w:val="en-IN"/>
        </w:rPr>
        <w:t>mid line</w:t>
      </w:r>
      <w:r>
        <w:rPr>
          <w:color w:val="000000" w:themeColor="text1"/>
        </w:rPr>
        <w:t xml:space="preserve">, on the region just below the umbilicus and below the mid of </w:t>
      </w:r>
      <w:proofErr w:type="spellStart"/>
      <w:r>
        <w:rPr>
          <w:color w:val="000000" w:themeColor="text1"/>
        </w:rPr>
        <w:t>urachovesical</w:t>
      </w:r>
      <w:proofErr w:type="spellEnd"/>
      <w:r>
        <w:rPr>
          <w:color w:val="000000" w:themeColor="text1"/>
        </w:rPr>
        <w:t xml:space="preserve"> axis. It had no cough impulse, or</w:t>
      </w:r>
      <w:r>
        <w:rPr>
          <w:color w:val="000000" w:themeColor="text1"/>
          <w:lang w:val="en-IN"/>
        </w:rPr>
        <w:t xml:space="preserve"> r</w:t>
      </w:r>
      <w:r>
        <w:rPr>
          <w:color w:val="000000" w:themeColor="text1"/>
        </w:rPr>
        <w:t>educible</w:t>
      </w:r>
      <w:r>
        <w:rPr>
          <w:color w:val="000000" w:themeColor="text1"/>
          <w:lang w:val="en-IN"/>
        </w:rPr>
        <w:t xml:space="preserve"> </w:t>
      </w:r>
      <w:r>
        <w:rPr>
          <w:color w:val="000000" w:themeColor="text1"/>
        </w:rPr>
        <w:t>hernia</w:t>
      </w:r>
      <w:r>
        <w:rPr>
          <w:color w:val="000000" w:themeColor="text1"/>
          <w:lang w:val="en-IN"/>
        </w:rPr>
        <w:t xml:space="preserve"> was noted.</w:t>
      </w:r>
    </w:p>
    <w:p w14:paraId="7FCB6B4B" w14:textId="77777777" w:rsidR="00490284" w:rsidRDefault="00CC162A">
      <w:pPr>
        <w:keepNext/>
        <w:spacing w:before="200" w:after="60"/>
        <w:rPr>
          <w:color w:val="000000" w:themeColor="text1"/>
        </w:rPr>
      </w:pPr>
      <w:r>
        <w:rPr>
          <w:b/>
          <w:color w:val="000000" w:themeColor="text1"/>
          <w:sz w:val="23"/>
        </w:rPr>
        <w:t>2.4 Laboratory Investigations</w:t>
      </w:r>
    </w:p>
    <w:p w14:paraId="39E01F85" w14:textId="77777777" w:rsidR="00490284" w:rsidRDefault="00CC162A">
      <w:pPr>
        <w:pStyle w:val="NormalWeb"/>
        <w:rPr>
          <w:color w:val="000000" w:themeColor="text1"/>
        </w:rPr>
      </w:pPr>
      <w:r>
        <w:rPr>
          <w:color w:val="000000" w:themeColor="text1"/>
        </w:rPr>
        <w:t xml:space="preserve">The hematological results obtained were mild microcytic hypochromic anemia with profound reactive </w:t>
      </w:r>
      <w:proofErr w:type="spellStart"/>
      <w:r>
        <w:rPr>
          <w:color w:val="000000" w:themeColor="text1"/>
        </w:rPr>
        <w:t>leucocytosis</w:t>
      </w:r>
      <w:proofErr w:type="spellEnd"/>
      <w:r>
        <w:rPr>
          <w:color w:val="000000" w:themeColor="text1"/>
        </w:rPr>
        <w:t>: Hb was 10.6g/dL, PCV was 31.8% and TLC was 15,960 with the cell counts as follows 18% neutrophils and 76% lymphocytes (This represents the Physiological lymphocytic preponderance of infancy with toxic granulation) ; RBC count was 5.1 million/</w:t>
      </w:r>
      <w:proofErr w:type="spellStart"/>
      <w:r>
        <w:rPr>
          <w:color w:val="000000" w:themeColor="text1"/>
        </w:rPr>
        <w:t>cumm</w:t>
      </w:r>
      <w:proofErr w:type="spellEnd"/>
      <w:r>
        <w:rPr>
          <w:color w:val="000000" w:themeColor="text1"/>
        </w:rPr>
        <w:t>, MCV was 64.8fL, MCH was 20.8pg, MCHC was 32.1g/dL and RDW-CV was 17.3%</w:t>
      </w:r>
      <w:r>
        <w:rPr>
          <w:color w:val="000000" w:themeColor="text1"/>
          <w:lang w:val="en-IN"/>
        </w:rPr>
        <w:t xml:space="preserve">, </w:t>
      </w:r>
      <w:r>
        <w:rPr>
          <w:color w:val="000000" w:themeColor="text1"/>
        </w:rPr>
        <w:t>plate</w:t>
      </w:r>
      <w:r>
        <w:rPr>
          <w:color w:val="000000" w:themeColor="text1"/>
          <w:lang w:val="en-IN"/>
        </w:rPr>
        <w:t>let</w:t>
      </w:r>
      <w:r>
        <w:rPr>
          <w:color w:val="000000" w:themeColor="text1"/>
        </w:rPr>
        <w:t xml:space="preserve"> count were 5x10 5 /</w:t>
      </w:r>
      <w:proofErr w:type="spellStart"/>
      <w:r>
        <w:rPr>
          <w:color w:val="000000" w:themeColor="text1"/>
        </w:rPr>
        <w:t>cumm</w:t>
      </w:r>
      <w:proofErr w:type="spellEnd"/>
      <w:r>
        <w:rPr>
          <w:color w:val="000000" w:themeColor="text1"/>
        </w:rPr>
        <w:t>. Coagulation study were: Bleeding time were 2</w:t>
      </w:r>
      <w:r>
        <w:rPr>
          <w:color w:val="000000" w:themeColor="text1"/>
          <w:lang w:val="en-IN"/>
        </w:rPr>
        <w:t>.</w:t>
      </w:r>
      <w:r>
        <w:rPr>
          <w:color w:val="000000" w:themeColor="text1"/>
        </w:rPr>
        <w:t>40</w:t>
      </w:r>
      <w:r>
        <w:rPr>
          <w:color w:val="000000" w:themeColor="text1"/>
          <w:lang w:val="en-IN"/>
        </w:rPr>
        <w:t xml:space="preserve"> minutes</w:t>
      </w:r>
      <w:r>
        <w:rPr>
          <w:color w:val="000000" w:themeColor="text1"/>
        </w:rPr>
        <w:t xml:space="preserve"> while clotting time were 3</w:t>
      </w:r>
      <w:r>
        <w:rPr>
          <w:color w:val="000000" w:themeColor="text1"/>
          <w:lang w:val="en-IN"/>
        </w:rPr>
        <w:t>.</w:t>
      </w:r>
      <w:r>
        <w:rPr>
          <w:color w:val="000000" w:themeColor="text1"/>
        </w:rPr>
        <w:t>20</w:t>
      </w:r>
      <w:r>
        <w:rPr>
          <w:color w:val="000000" w:themeColor="text1"/>
          <w:lang w:val="en-IN"/>
        </w:rPr>
        <w:t xml:space="preserve"> minutes</w:t>
      </w:r>
      <w:r>
        <w:rPr>
          <w:color w:val="000000" w:themeColor="text1"/>
        </w:rPr>
        <w:t>. Biochemical tests showed:</w:t>
      </w:r>
      <w:r>
        <w:rPr>
          <w:color w:val="000000" w:themeColor="text1"/>
          <w:lang w:val="en-IN"/>
        </w:rPr>
        <w:t xml:space="preserve"> </w:t>
      </w:r>
      <w:r>
        <w:rPr>
          <w:color w:val="000000" w:themeColor="text1"/>
        </w:rPr>
        <w:t>normal renal function, with Normal electrolytic balance:</w:t>
      </w:r>
      <w:r>
        <w:rPr>
          <w:color w:val="000000" w:themeColor="text1"/>
          <w:lang w:val="en-IN"/>
        </w:rPr>
        <w:t xml:space="preserve"> </w:t>
      </w:r>
      <w:r>
        <w:rPr>
          <w:color w:val="000000" w:themeColor="text1"/>
        </w:rPr>
        <w:t>Serum urea: 7.9 mg/d</w:t>
      </w:r>
      <w:r>
        <w:rPr>
          <w:color w:val="000000" w:themeColor="text1"/>
          <w:lang w:val="en-IN"/>
        </w:rPr>
        <w:t>L</w:t>
      </w:r>
      <w:r>
        <w:rPr>
          <w:color w:val="000000" w:themeColor="text1"/>
        </w:rPr>
        <w:t>; Serum creatinine: 0.22 mg/d</w:t>
      </w:r>
      <w:r>
        <w:rPr>
          <w:color w:val="000000" w:themeColor="text1"/>
          <w:lang w:val="en-IN"/>
        </w:rPr>
        <w:t>L</w:t>
      </w:r>
      <w:r>
        <w:rPr>
          <w:color w:val="000000" w:themeColor="text1"/>
        </w:rPr>
        <w:t>,</w:t>
      </w:r>
      <w:r>
        <w:rPr>
          <w:color w:val="000000" w:themeColor="text1"/>
          <w:lang w:val="en-IN"/>
        </w:rPr>
        <w:t xml:space="preserve"> </w:t>
      </w:r>
      <w:r>
        <w:rPr>
          <w:color w:val="000000" w:themeColor="text1"/>
        </w:rPr>
        <w:t>Serum sodium:135.5 mmol/</w:t>
      </w:r>
      <w:r>
        <w:rPr>
          <w:color w:val="000000" w:themeColor="text1"/>
          <w:lang w:val="en-IN"/>
        </w:rPr>
        <w:t>L</w:t>
      </w:r>
      <w:r>
        <w:rPr>
          <w:color w:val="000000" w:themeColor="text1"/>
        </w:rPr>
        <w:t>; Serum potassium:4.82 mmol/</w:t>
      </w:r>
      <w:r>
        <w:rPr>
          <w:color w:val="000000" w:themeColor="text1"/>
          <w:lang w:val="en-IN"/>
        </w:rPr>
        <w:t>L</w:t>
      </w:r>
      <w:r>
        <w:rPr>
          <w:color w:val="000000" w:themeColor="text1"/>
        </w:rPr>
        <w:t xml:space="preserve"> and serum chloride: 102.46 mmol/</w:t>
      </w:r>
      <w:r>
        <w:rPr>
          <w:color w:val="000000" w:themeColor="text1"/>
          <w:lang w:val="en-IN"/>
        </w:rPr>
        <w:t>L</w:t>
      </w:r>
      <w:r>
        <w:rPr>
          <w:color w:val="000000" w:themeColor="text1"/>
        </w:rPr>
        <w:t>. The viral screening for both HIV and Hepatitis B surface antigen</w:t>
      </w:r>
      <w:r>
        <w:rPr>
          <w:color w:val="000000" w:themeColor="text1"/>
          <w:lang w:val="en-IN"/>
        </w:rPr>
        <w:t xml:space="preserve"> (HBsAg)</w:t>
      </w:r>
      <w:r>
        <w:rPr>
          <w:color w:val="000000" w:themeColor="text1"/>
        </w:rPr>
        <w:t xml:space="preserve"> using chem</w:t>
      </w:r>
      <w:proofErr w:type="spellStart"/>
      <w:r>
        <w:rPr>
          <w:color w:val="000000" w:themeColor="text1"/>
          <w:lang w:val="en-IN"/>
        </w:rPr>
        <w:t>i</w:t>
      </w:r>
      <w:r>
        <w:rPr>
          <w:color w:val="000000" w:themeColor="text1"/>
        </w:rPr>
        <w:t>luminescen</w:t>
      </w:r>
      <w:r>
        <w:rPr>
          <w:color w:val="000000" w:themeColor="text1"/>
          <w:lang w:val="en-IN"/>
        </w:rPr>
        <w:t>ce</w:t>
      </w:r>
      <w:proofErr w:type="spellEnd"/>
      <w:r>
        <w:rPr>
          <w:color w:val="000000" w:themeColor="text1"/>
        </w:rPr>
        <w:t xml:space="preserve"> immunoassay</w:t>
      </w:r>
      <w:r>
        <w:rPr>
          <w:color w:val="000000" w:themeColor="text1"/>
          <w:lang w:val="en-IN"/>
        </w:rPr>
        <w:t xml:space="preserve"> (</w:t>
      </w:r>
      <w:r>
        <w:rPr>
          <w:color w:val="000000" w:themeColor="text1"/>
        </w:rPr>
        <w:t xml:space="preserve">CLIA) were </w:t>
      </w:r>
      <w:proofErr w:type="spellStart"/>
      <w:r>
        <w:rPr>
          <w:color w:val="000000" w:themeColor="text1"/>
        </w:rPr>
        <w:t>non reactive</w:t>
      </w:r>
      <w:proofErr w:type="spellEnd"/>
      <w:r>
        <w:rPr>
          <w:color w:val="000000" w:themeColor="text1"/>
        </w:rPr>
        <w:t>.</w:t>
      </w:r>
    </w:p>
    <w:tbl>
      <w:tblPr>
        <w:tblW w:w="0" w:type="auto"/>
        <w:jc w:val="center"/>
        <w:tblLook w:val="04A0" w:firstRow="1" w:lastRow="0" w:firstColumn="1" w:lastColumn="0" w:noHBand="0" w:noVBand="1"/>
      </w:tblPr>
      <w:tblGrid>
        <w:gridCol w:w="2340"/>
        <w:gridCol w:w="2340"/>
        <w:gridCol w:w="2340"/>
        <w:gridCol w:w="2340"/>
      </w:tblGrid>
      <w:tr w:rsidR="00490284" w14:paraId="284576A3" w14:textId="77777777">
        <w:trPr>
          <w:jc w:val="center"/>
        </w:trPr>
        <w:tc>
          <w:tcPr>
            <w:tcW w:w="2340" w:type="dxa"/>
            <w:shd w:val="clear" w:color="auto" w:fill="102C57"/>
            <w:tcMar>
              <w:top w:w="80" w:type="dxa"/>
              <w:left w:w="100" w:type="dxa"/>
              <w:bottom w:w="80" w:type="dxa"/>
              <w:right w:w="100" w:type="dxa"/>
            </w:tcMar>
          </w:tcPr>
          <w:p w14:paraId="66261425" w14:textId="77777777" w:rsidR="00490284" w:rsidRDefault="00CC162A">
            <w:pPr>
              <w:jc w:val="center"/>
              <w:rPr>
                <w:color w:val="FFFFFF" w:themeColor="background1"/>
              </w:rPr>
            </w:pPr>
            <w:r>
              <w:rPr>
                <w:b/>
                <w:color w:val="FFFFFF" w:themeColor="background1"/>
                <w:sz w:val="19"/>
              </w:rPr>
              <w:t>Parameter</w:t>
            </w:r>
          </w:p>
        </w:tc>
        <w:tc>
          <w:tcPr>
            <w:tcW w:w="2340" w:type="dxa"/>
            <w:shd w:val="clear" w:color="auto" w:fill="102C57"/>
            <w:tcMar>
              <w:top w:w="80" w:type="dxa"/>
              <w:left w:w="100" w:type="dxa"/>
              <w:bottom w:w="80" w:type="dxa"/>
              <w:right w:w="100" w:type="dxa"/>
            </w:tcMar>
          </w:tcPr>
          <w:p w14:paraId="5DDFBFAF" w14:textId="77777777" w:rsidR="00490284" w:rsidRDefault="00CC162A">
            <w:pPr>
              <w:jc w:val="center"/>
              <w:rPr>
                <w:color w:val="FFFFFF" w:themeColor="background1"/>
              </w:rPr>
            </w:pPr>
            <w:r>
              <w:rPr>
                <w:b/>
                <w:color w:val="FFFFFF" w:themeColor="background1"/>
                <w:sz w:val="19"/>
              </w:rPr>
              <w:t>Patient Value</w:t>
            </w:r>
          </w:p>
        </w:tc>
        <w:tc>
          <w:tcPr>
            <w:tcW w:w="2340" w:type="dxa"/>
            <w:shd w:val="clear" w:color="auto" w:fill="102C57"/>
            <w:tcMar>
              <w:top w:w="80" w:type="dxa"/>
              <w:left w:w="100" w:type="dxa"/>
              <w:bottom w:w="80" w:type="dxa"/>
              <w:right w:w="100" w:type="dxa"/>
            </w:tcMar>
          </w:tcPr>
          <w:p w14:paraId="6BC97A28" w14:textId="77777777" w:rsidR="00490284" w:rsidRDefault="00CC162A">
            <w:pPr>
              <w:jc w:val="center"/>
              <w:rPr>
                <w:color w:val="FFFFFF" w:themeColor="background1"/>
              </w:rPr>
            </w:pPr>
            <w:r>
              <w:rPr>
                <w:b/>
                <w:color w:val="FFFFFF" w:themeColor="background1"/>
                <w:sz w:val="19"/>
              </w:rPr>
              <w:t>Reference Range</w:t>
            </w:r>
          </w:p>
        </w:tc>
        <w:tc>
          <w:tcPr>
            <w:tcW w:w="2340" w:type="dxa"/>
            <w:shd w:val="clear" w:color="auto" w:fill="102C57"/>
            <w:tcMar>
              <w:top w:w="80" w:type="dxa"/>
              <w:left w:w="100" w:type="dxa"/>
              <w:bottom w:w="80" w:type="dxa"/>
              <w:right w:w="100" w:type="dxa"/>
            </w:tcMar>
          </w:tcPr>
          <w:p w14:paraId="2B604BB7" w14:textId="77777777" w:rsidR="00490284" w:rsidRDefault="00CC162A">
            <w:pPr>
              <w:jc w:val="center"/>
              <w:rPr>
                <w:color w:val="FFFFFF" w:themeColor="background1"/>
              </w:rPr>
            </w:pPr>
            <w:r>
              <w:rPr>
                <w:b/>
                <w:color w:val="FFFFFF" w:themeColor="background1"/>
                <w:sz w:val="19"/>
              </w:rPr>
              <w:t>Clinical Significance</w:t>
            </w:r>
          </w:p>
        </w:tc>
      </w:tr>
      <w:tr w:rsidR="00490284" w14:paraId="35116042" w14:textId="77777777">
        <w:trPr>
          <w:jc w:val="center"/>
        </w:trPr>
        <w:tc>
          <w:tcPr>
            <w:tcW w:w="2340" w:type="dxa"/>
            <w:shd w:val="clear" w:color="auto" w:fill="FFFFFF"/>
            <w:tcMar>
              <w:top w:w="60" w:type="dxa"/>
              <w:left w:w="80" w:type="dxa"/>
              <w:bottom w:w="60" w:type="dxa"/>
              <w:right w:w="80" w:type="dxa"/>
            </w:tcMar>
          </w:tcPr>
          <w:p w14:paraId="0BE505D0" w14:textId="77777777" w:rsidR="00490284" w:rsidRDefault="00CC162A">
            <w:pPr>
              <w:rPr>
                <w:color w:val="000000" w:themeColor="text1"/>
              </w:rPr>
            </w:pPr>
            <w:proofErr w:type="spellStart"/>
            <w:r>
              <w:rPr>
                <w:b/>
                <w:color w:val="000000" w:themeColor="text1"/>
                <w:sz w:val="18"/>
              </w:rPr>
              <w:t>Haemoglobin</w:t>
            </w:r>
            <w:proofErr w:type="spellEnd"/>
            <w:r>
              <w:rPr>
                <w:b/>
                <w:color w:val="000000" w:themeColor="text1"/>
                <w:sz w:val="18"/>
              </w:rPr>
              <w:t xml:space="preserve"> (Hb)</w:t>
            </w:r>
          </w:p>
        </w:tc>
        <w:tc>
          <w:tcPr>
            <w:tcW w:w="2340" w:type="dxa"/>
            <w:shd w:val="clear" w:color="auto" w:fill="FFFFFF"/>
            <w:tcMar>
              <w:top w:w="60" w:type="dxa"/>
              <w:left w:w="80" w:type="dxa"/>
              <w:bottom w:w="60" w:type="dxa"/>
              <w:right w:w="80" w:type="dxa"/>
            </w:tcMar>
          </w:tcPr>
          <w:p w14:paraId="6C1CB1AF" w14:textId="77777777" w:rsidR="00490284" w:rsidRDefault="00CC162A">
            <w:pPr>
              <w:jc w:val="center"/>
              <w:rPr>
                <w:color w:val="000000" w:themeColor="text1"/>
              </w:rPr>
            </w:pPr>
            <w:r>
              <w:rPr>
                <w:color w:val="000000" w:themeColor="text1"/>
                <w:sz w:val="18"/>
              </w:rPr>
              <w:t>10.6 g/dL</w:t>
            </w:r>
          </w:p>
        </w:tc>
        <w:tc>
          <w:tcPr>
            <w:tcW w:w="2340" w:type="dxa"/>
            <w:shd w:val="clear" w:color="auto" w:fill="FFFFFF"/>
            <w:tcMar>
              <w:top w:w="60" w:type="dxa"/>
              <w:left w:w="80" w:type="dxa"/>
              <w:bottom w:w="60" w:type="dxa"/>
              <w:right w:w="80" w:type="dxa"/>
            </w:tcMar>
          </w:tcPr>
          <w:p w14:paraId="23D97E76" w14:textId="77777777" w:rsidR="00490284" w:rsidRDefault="00CC162A">
            <w:pPr>
              <w:jc w:val="center"/>
              <w:rPr>
                <w:color w:val="000000" w:themeColor="text1"/>
              </w:rPr>
            </w:pPr>
            <w:r>
              <w:rPr>
                <w:color w:val="000000" w:themeColor="text1"/>
                <w:sz w:val="18"/>
              </w:rPr>
              <w:t>11.1 – 14.1 g/dL</w:t>
            </w:r>
          </w:p>
        </w:tc>
        <w:tc>
          <w:tcPr>
            <w:tcW w:w="2340" w:type="dxa"/>
            <w:shd w:val="clear" w:color="auto" w:fill="FFFFFF"/>
            <w:tcMar>
              <w:top w:w="60" w:type="dxa"/>
              <w:left w:w="80" w:type="dxa"/>
              <w:bottom w:w="60" w:type="dxa"/>
              <w:right w:w="80" w:type="dxa"/>
            </w:tcMar>
          </w:tcPr>
          <w:p w14:paraId="69D54051" w14:textId="77777777" w:rsidR="00490284" w:rsidRDefault="00CC162A">
            <w:pPr>
              <w:rPr>
                <w:color w:val="000000" w:themeColor="text1"/>
              </w:rPr>
            </w:pPr>
            <w:r>
              <w:rPr>
                <w:color w:val="000000" w:themeColor="text1"/>
                <w:sz w:val="18"/>
              </w:rPr>
              <w:t>Mild microcytic hypochromic anemia</w:t>
            </w:r>
          </w:p>
        </w:tc>
      </w:tr>
      <w:tr w:rsidR="00490284" w14:paraId="22168A23" w14:textId="77777777">
        <w:trPr>
          <w:jc w:val="center"/>
        </w:trPr>
        <w:tc>
          <w:tcPr>
            <w:tcW w:w="2340" w:type="dxa"/>
            <w:shd w:val="clear" w:color="auto" w:fill="F9FAFC"/>
            <w:tcMar>
              <w:top w:w="60" w:type="dxa"/>
              <w:left w:w="80" w:type="dxa"/>
              <w:bottom w:w="60" w:type="dxa"/>
              <w:right w:w="80" w:type="dxa"/>
            </w:tcMar>
          </w:tcPr>
          <w:p w14:paraId="76A68EFA" w14:textId="77777777" w:rsidR="00490284" w:rsidRDefault="00CC162A">
            <w:pPr>
              <w:rPr>
                <w:color w:val="000000" w:themeColor="text1"/>
              </w:rPr>
            </w:pPr>
            <w:r>
              <w:rPr>
                <w:b/>
                <w:color w:val="000000" w:themeColor="text1"/>
                <w:sz w:val="18"/>
              </w:rPr>
              <w:t xml:space="preserve">Total Leukocyte Count </w:t>
            </w:r>
            <w:r>
              <w:rPr>
                <w:b/>
                <w:color w:val="000000" w:themeColor="text1"/>
                <w:sz w:val="18"/>
              </w:rPr>
              <w:lastRenderedPageBreak/>
              <w:t>(TLC)</w:t>
            </w:r>
          </w:p>
        </w:tc>
        <w:tc>
          <w:tcPr>
            <w:tcW w:w="2340" w:type="dxa"/>
            <w:shd w:val="clear" w:color="auto" w:fill="F9FAFC"/>
            <w:tcMar>
              <w:top w:w="60" w:type="dxa"/>
              <w:left w:w="80" w:type="dxa"/>
              <w:bottom w:w="60" w:type="dxa"/>
              <w:right w:w="80" w:type="dxa"/>
            </w:tcMar>
          </w:tcPr>
          <w:p w14:paraId="6EC80634" w14:textId="77777777" w:rsidR="00490284" w:rsidRDefault="00CC162A">
            <w:pPr>
              <w:jc w:val="center"/>
              <w:rPr>
                <w:color w:val="000000" w:themeColor="text1"/>
              </w:rPr>
            </w:pPr>
            <w:r>
              <w:rPr>
                <w:color w:val="000000" w:themeColor="text1"/>
                <w:sz w:val="18"/>
              </w:rPr>
              <w:lastRenderedPageBreak/>
              <w:t>15,960 cells/</w:t>
            </w:r>
            <w:proofErr w:type="spellStart"/>
            <w:r>
              <w:rPr>
                <w:color w:val="000000" w:themeColor="text1"/>
                <w:sz w:val="18"/>
              </w:rPr>
              <w:t>cumm</w:t>
            </w:r>
            <w:proofErr w:type="spellEnd"/>
          </w:p>
        </w:tc>
        <w:tc>
          <w:tcPr>
            <w:tcW w:w="2340" w:type="dxa"/>
            <w:shd w:val="clear" w:color="auto" w:fill="F9FAFC"/>
            <w:tcMar>
              <w:top w:w="60" w:type="dxa"/>
              <w:left w:w="80" w:type="dxa"/>
              <w:bottom w:w="60" w:type="dxa"/>
              <w:right w:w="80" w:type="dxa"/>
            </w:tcMar>
          </w:tcPr>
          <w:p w14:paraId="0AA2DCA0" w14:textId="77777777" w:rsidR="00490284" w:rsidRDefault="00CC162A">
            <w:pPr>
              <w:jc w:val="center"/>
              <w:rPr>
                <w:color w:val="000000" w:themeColor="text1"/>
              </w:rPr>
            </w:pPr>
            <w:r>
              <w:rPr>
                <w:color w:val="000000" w:themeColor="text1"/>
                <w:sz w:val="18"/>
              </w:rPr>
              <w:t>4,000 – 16,000 cells/</w:t>
            </w:r>
            <w:proofErr w:type="spellStart"/>
            <w:r>
              <w:rPr>
                <w:color w:val="000000" w:themeColor="text1"/>
                <w:sz w:val="18"/>
              </w:rPr>
              <w:t>cumm</w:t>
            </w:r>
            <w:proofErr w:type="spellEnd"/>
          </w:p>
        </w:tc>
        <w:tc>
          <w:tcPr>
            <w:tcW w:w="2340" w:type="dxa"/>
            <w:shd w:val="clear" w:color="auto" w:fill="F9FAFC"/>
            <w:tcMar>
              <w:top w:w="60" w:type="dxa"/>
              <w:left w:w="80" w:type="dxa"/>
              <w:bottom w:w="60" w:type="dxa"/>
              <w:right w:w="80" w:type="dxa"/>
            </w:tcMar>
          </w:tcPr>
          <w:p w14:paraId="24F6909C" w14:textId="77777777" w:rsidR="00490284" w:rsidRDefault="00CC162A">
            <w:pPr>
              <w:rPr>
                <w:color w:val="000000" w:themeColor="text1"/>
              </w:rPr>
            </w:pPr>
            <w:r>
              <w:rPr>
                <w:color w:val="000000" w:themeColor="text1"/>
                <w:sz w:val="18"/>
              </w:rPr>
              <w:t xml:space="preserve">High-normal / reactive </w:t>
            </w:r>
            <w:r>
              <w:rPr>
                <w:color w:val="000000" w:themeColor="text1"/>
                <w:sz w:val="18"/>
              </w:rPr>
              <w:lastRenderedPageBreak/>
              <w:t>leukocytosis</w:t>
            </w:r>
          </w:p>
        </w:tc>
      </w:tr>
      <w:tr w:rsidR="00490284" w14:paraId="77FFF59E" w14:textId="77777777">
        <w:trPr>
          <w:jc w:val="center"/>
        </w:trPr>
        <w:tc>
          <w:tcPr>
            <w:tcW w:w="2340" w:type="dxa"/>
            <w:shd w:val="clear" w:color="auto" w:fill="FFFFFF"/>
            <w:tcMar>
              <w:top w:w="60" w:type="dxa"/>
              <w:left w:w="80" w:type="dxa"/>
              <w:bottom w:w="60" w:type="dxa"/>
              <w:right w:w="80" w:type="dxa"/>
            </w:tcMar>
          </w:tcPr>
          <w:p w14:paraId="55BE35E8" w14:textId="77777777" w:rsidR="00490284" w:rsidRDefault="00CC162A">
            <w:pPr>
              <w:rPr>
                <w:color w:val="000000" w:themeColor="text1"/>
              </w:rPr>
            </w:pPr>
            <w:r>
              <w:rPr>
                <w:b/>
                <w:color w:val="000000" w:themeColor="text1"/>
                <w:sz w:val="18"/>
              </w:rPr>
              <w:lastRenderedPageBreak/>
              <w:t>Differential: Neutrophils</w:t>
            </w:r>
          </w:p>
        </w:tc>
        <w:tc>
          <w:tcPr>
            <w:tcW w:w="2340" w:type="dxa"/>
            <w:shd w:val="clear" w:color="auto" w:fill="FFFFFF"/>
            <w:tcMar>
              <w:top w:w="60" w:type="dxa"/>
              <w:left w:w="80" w:type="dxa"/>
              <w:bottom w:w="60" w:type="dxa"/>
              <w:right w:w="80" w:type="dxa"/>
            </w:tcMar>
          </w:tcPr>
          <w:p w14:paraId="7D26F346" w14:textId="77777777" w:rsidR="00490284" w:rsidRDefault="00CC162A">
            <w:pPr>
              <w:jc w:val="center"/>
              <w:rPr>
                <w:color w:val="000000" w:themeColor="text1"/>
              </w:rPr>
            </w:pPr>
            <w:r>
              <w:rPr>
                <w:color w:val="000000" w:themeColor="text1"/>
                <w:sz w:val="18"/>
              </w:rPr>
              <w:t>18 %</w:t>
            </w:r>
          </w:p>
        </w:tc>
        <w:tc>
          <w:tcPr>
            <w:tcW w:w="2340" w:type="dxa"/>
            <w:shd w:val="clear" w:color="auto" w:fill="FFFFFF"/>
            <w:tcMar>
              <w:top w:w="60" w:type="dxa"/>
              <w:left w:w="80" w:type="dxa"/>
              <w:bottom w:w="60" w:type="dxa"/>
              <w:right w:w="80" w:type="dxa"/>
            </w:tcMar>
          </w:tcPr>
          <w:p w14:paraId="5A4FB725" w14:textId="77777777" w:rsidR="00490284" w:rsidRDefault="00CC162A">
            <w:pPr>
              <w:jc w:val="center"/>
              <w:rPr>
                <w:color w:val="000000" w:themeColor="text1"/>
              </w:rPr>
            </w:pPr>
            <w:r>
              <w:rPr>
                <w:color w:val="000000" w:themeColor="text1"/>
                <w:sz w:val="18"/>
              </w:rPr>
              <w:t>15 – 46 %</w:t>
            </w:r>
          </w:p>
        </w:tc>
        <w:tc>
          <w:tcPr>
            <w:tcW w:w="2340" w:type="dxa"/>
            <w:shd w:val="clear" w:color="auto" w:fill="FFFFFF"/>
            <w:tcMar>
              <w:top w:w="60" w:type="dxa"/>
              <w:left w:w="80" w:type="dxa"/>
              <w:bottom w:w="60" w:type="dxa"/>
              <w:right w:w="80" w:type="dxa"/>
            </w:tcMar>
          </w:tcPr>
          <w:p w14:paraId="3F31E3E1" w14:textId="77777777" w:rsidR="00490284" w:rsidRDefault="00CC162A">
            <w:pPr>
              <w:rPr>
                <w:color w:val="000000" w:themeColor="text1"/>
              </w:rPr>
            </w:pPr>
            <w:r>
              <w:rPr>
                <w:color w:val="000000" w:themeColor="text1"/>
                <w:sz w:val="18"/>
              </w:rPr>
              <w:t>Within pediatric reference range</w:t>
            </w:r>
          </w:p>
        </w:tc>
      </w:tr>
      <w:tr w:rsidR="00490284" w14:paraId="5A84C6F8" w14:textId="77777777">
        <w:trPr>
          <w:jc w:val="center"/>
        </w:trPr>
        <w:tc>
          <w:tcPr>
            <w:tcW w:w="2340" w:type="dxa"/>
            <w:shd w:val="clear" w:color="auto" w:fill="F9FAFC"/>
            <w:tcMar>
              <w:top w:w="60" w:type="dxa"/>
              <w:left w:w="80" w:type="dxa"/>
              <w:bottom w:w="60" w:type="dxa"/>
              <w:right w:w="80" w:type="dxa"/>
            </w:tcMar>
          </w:tcPr>
          <w:p w14:paraId="317EA828" w14:textId="77777777" w:rsidR="00490284" w:rsidRDefault="00CC162A">
            <w:pPr>
              <w:rPr>
                <w:color w:val="000000" w:themeColor="text1"/>
              </w:rPr>
            </w:pPr>
            <w:r>
              <w:rPr>
                <w:b/>
                <w:color w:val="000000" w:themeColor="text1"/>
                <w:sz w:val="18"/>
              </w:rPr>
              <w:t>Differential: Lymphocytes</w:t>
            </w:r>
          </w:p>
        </w:tc>
        <w:tc>
          <w:tcPr>
            <w:tcW w:w="2340" w:type="dxa"/>
            <w:shd w:val="clear" w:color="auto" w:fill="F9FAFC"/>
            <w:tcMar>
              <w:top w:w="60" w:type="dxa"/>
              <w:left w:w="80" w:type="dxa"/>
              <w:bottom w:w="60" w:type="dxa"/>
              <w:right w:w="80" w:type="dxa"/>
            </w:tcMar>
          </w:tcPr>
          <w:p w14:paraId="6305E6D0" w14:textId="77777777" w:rsidR="00490284" w:rsidRDefault="00CC162A">
            <w:pPr>
              <w:jc w:val="center"/>
              <w:rPr>
                <w:color w:val="000000" w:themeColor="text1"/>
              </w:rPr>
            </w:pPr>
            <w:r>
              <w:rPr>
                <w:color w:val="000000" w:themeColor="text1"/>
                <w:sz w:val="18"/>
              </w:rPr>
              <w:t>76 %</w:t>
            </w:r>
          </w:p>
        </w:tc>
        <w:tc>
          <w:tcPr>
            <w:tcW w:w="2340" w:type="dxa"/>
            <w:shd w:val="clear" w:color="auto" w:fill="F9FAFC"/>
            <w:tcMar>
              <w:top w:w="60" w:type="dxa"/>
              <w:left w:w="80" w:type="dxa"/>
              <w:bottom w:w="60" w:type="dxa"/>
              <w:right w:w="80" w:type="dxa"/>
            </w:tcMar>
          </w:tcPr>
          <w:p w14:paraId="7474A30F" w14:textId="77777777" w:rsidR="00490284" w:rsidRDefault="00CC162A">
            <w:pPr>
              <w:jc w:val="center"/>
              <w:rPr>
                <w:color w:val="000000" w:themeColor="text1"/>
              </w:rPr>
            </w:pPr>
            <w:r>
              <w:rPr>
                <w:color w:val="000000" w:themeColor="text1"/>
                <w:sz w:val="18"/>
              </w:rPr>
              <w:t>20 – 45 %</w:t>
            </w:r>
          </w:p>
        </w:tc>
        <w:tc>
          <w:tcPr>
            <w:tcW w:w="2340" w:type="dxa"/>
            <w:shd w:val="clear" w:color="auto" w:fill="F9FAFC"/>
            <w:tcMar>
              <w:top w:w="60" w:type="dxa"/>
              <w:left w:w="80" w:type="dxa"/>
              <w:bottom w:w="60" w:type="dxa"/>
              <w:right w:w="80" w:type="dxa"/>
            </w:tcMar>
          </w:tcPr>
          <w:p w14:paraId="39A06D10" w14:textId="77777777" w:rsidR="00490284" w:rsidRDefault="00CC162A">
            <w:pPr>
              <w:rPr>
                <w:color w:val="000000" w:themeColor="text1"/>
              </w:rPr>
            </w:pPr>
            <w:r>
              <w:rPr>
                <w:color w:val="000000" w:themeColor="text1"/>
                <w:sz w:val="18"/>
              </w:rPr>
              <w:t>Physiological infantile lymphocytosis</w:t>
            </w:r>
          </w:p>
        </w:tc>
      </w:tr>
      <w:tr w:rsidR="00490284" w14:paraId="23AF7DB1" w14:textId="77777777">
        <w:trPr>
          <w:jc w:val="center"/>
        </w:trPr>
        <w:tc>
          <w:tcPr>
            <w:tcW w:w="2340" w:type="dxa"/>
            <w:shd w:val="clear" w:color="auto" w:fill="FFFFFF"/>
            <w:tcMar>
              <w:top w:w="60" w:type="dxa"/>
              <w:left w:w="80" w:type="dxa"/>
              <w:bottom w:w="60" w:type="dxa"/>
              <w:right w:w="80" w:type="dxa"/>
            </w:tcMar>
          </w:tcPr>
          <w:p w14:paraId="32D1EEDD" w14:textId="77777777" w:rsidR="00490284" w:rsidRDefault="00CC162A">
            <w:pPr>
              <w:rPr>
                <w:color w:val="000000" w:themeColor="text1"/>
              </w:rPr>
            </w:pPr>
            <w:r>
              <w:rPr>
                <w:b/>
                <w:color w:val="000000" w:themeColor="text1"/>
                <w:sz w:val="18"/>
              </w:rPr>
              <w:t>RBC Count</w:t>
            </w:r>
          </w:p>
        </w:tc>
        <w:tc>
          <w:tcPr>
            <w:tcW w:w="2340" w:type="dxa"/>
            <w:shd w:val="clear" w:color="auto" w:fill="FFFFFF"/>
            <w:tcMar>
              <w:top w:w="60" w:type="dxa"/>
              <w:left w:w="80" w:type="dxa"/>
              <w:bottom w:w="60" w:type="dxa"/>
              <w:right w:w="80" w:type="dxa"/>
            </w:tcMar>
          </w:tcPr>
          <w:p w14:paraId="3AC554CD" w14:textId="77777777" w:rsidR="00490284" w:rsidRDefault="00CC162A">
            <w:pPr>
              <w:jc w:val="center"/>
              <w:rPr>
                <w:color w:val="000000" w:themeColor="text1"/>
              </w:rPr>
            </w:pPr>
            <w:r>
              <w:rPr>
                <w:color w:val="000000" w:themeColor="text1"/>
                <w:sz w:val="18"/>
              </w:rPr>
              <w:t>5.1 x 10^6 /</w:t>
            </w:r>
            <w:proofErr w:type="spellStart"/>
            <w:r>
              <w:rPr>
                <w:color w:val="000000" w:themeColor="text1"/>
                <w:sz w:val="18"/>
              </w:rPr>
              <w:t>cumm</w:t>
            </w:r>
            <w:proofErr w:type="spellEnd"/>
          </w:p>
        </w:tc>
        <w:tc>
          <w:tcPr>
            <w:tcW w:w="2340" w:type="dxa"/>
            <w:shd w:val="clear" w:color="auto" w:fill="FFFFFF"/>
            <w:tcMar>
              <w:top w:w="60" w:type="dxa"/>
              <w:left w:w="80" w:type="dxa"/>
              <w:bottom w:w="60" w:type="dxa"/>
              <w:right w:w="80" w:type="dxa"/>
            </w:tcMar>
          </w:tcPr>
          <w:p w14:paraId="3F52FF02" w14:textId="77777777" w:rsidR="00490284" w:rsidRDefault="00CC162A">
            <w:pPr>
              <w:jc w:val="center"/>
              <w:rPr>
                <w:color w:val="000000" w:themeColor="text1"/>
              </w:rPr>
            </w:pPr>
            <w:r>
              <w:rPr>
                <w:color w:val="000000" w:themeColor="text1"/>
                <w:sz w:val="18"/>
              </w:rPr>
              <w:t>3.4 – 5.2 x 10^6 /</w:t>
            </w:r>
            <w:proofErr w:type="spellStart"/>
            <w:r>
              <w:rPr>
                <w:color w:val="000000" w:themeColor="text1"/>
                <w:sz w:val="18"/>
              </w:rPr>
              <w:t>cumm</w:t>
            </w:r>
            <w:proofErr w:type="spellEnd"/>
          </w:p>
        </w:tc>
        <w:tc>
          <w:tcPr>
            <w:tcW w:w="2340" w:type="dxa"/>
            <w:shd w:val="clear" w:color="auto" w:fill="FFFFFF"/>
            <w:tcMar>
              <w:top w:w="60" w:type="dxa"/>
              <w:left w:w="80" w:type="dxa"/>
              <w:bottom w:w="60" w:type="dxa"/>
              <w:right w:w="80" w:type="dxa"/>
            </w:tcMar>
          </w:tcPr>
          <w:p w14:paraId="6E0DD4F4" w14:textId="77777777" w:rsidR="00490284" w:rsidRDefault="00CC162A">
            <w:pPr>
              <w:rPr>
                <w:color w:val="000000" w:themeColor="text1"/>
              </w:rPr>
            </w:pPr>
            <w:r>
              <w:rPr>
                <w:color w:val="000000" w:themeColor="text1"/>
                <w:sz w:val="18"/>
              </w:rPr>
              <w:t>Normal red cell mass</w:t>
            </w:r>
          </w:p>
        </w:tc>
      </w:tr>
      <w:tr w:rsidR="00490284" w14:paraId="04DA4DA0" w14:textId="77777777">
        <w:trPr>
          <w:jc w:val="center"/>
        </w:trPr>
        <w:tc>
          <w:tcPr>
            <w:tcW w:w="2340" w:type="dxa"/>
            <w:shd w:val="clear" w:color="auto" w:fill="F9FAFC"/>
            <w:tcMar>
              <w:top w:w="60" w:type="dxa"/>
              <w:left w:w="80" w:type="dxa"/>
              <w:bottom w:w="60" w:type="dxa"/>
              <w:right w:w="80" w:type="dxa"/>
            </w:tcMar>
          </w:tcPr>
          <w:p w14:paraId="1E75BC41" w14:textId="77777777" w:rsidR="00490284" w:rsidRDefault="00CC162A">
            <w:pPr>
              <w:rPr>
                <w:color w:val="000000" w:themeColor="text1"/>
              </w:rPr>
            </w:pPr>
            <w:r>
              <w:rPr>
                <w:b/>
                <w:color w:val="000000" w:themeColor="text1"/>
                <w:sz w:val="18"/>
              </w:rPr>
              <w:t>Packed Cell Volume (PCV)</w:t>
            </w:r>
          </w:p>
        </w:tc>
        <w:tc>
          <w:tcPr>
            <w:tcW w:w="2340" w:type="dxa"/>
            <w:shd w:val="clear" w:color="auto" w:fill="F9FAFC"/>
            <w:tcMar>
              <w:top w:w="60" w:type="dxa"/>
              <w:left w:w="80" w:type="dxa"/>
              <w:bottom w:w="60" w:type="dxa"/>
              <w:right w:w="80" w:type="dxa"/>
            </w:tcMar>
          </w:tcPr>
          <w:p w14:paraId="25C3D1FF" w14:textId="77777777" w:rsidR="00490284" w:rsidRDefault="00CC162A">
            <w:pPr>
              <w:jc w:val="center"/>
              <w:rPr>
                <w:color w:val="000000" w:themeColor="text1"/>
              </w:rPr>
            </w:pPr>
            <w:r>
              <w:rPr>
                <w:color w:val="000000" w:themeColor="text1"/>
                <w:sz w:val="18"/>
              </w:rPr>
              <w:t>31.8 %</w:t>
            </w:r>
          </w:p>
        </w:tc>
        <w:tc>
          <w:tcPr>
            <w:tcW w:w="2340" w:type="dxa"/>
            <w:shd w:val="clear" w:color="auto" w:fill="F9FAFC"/>
            <w:tcMar>
              <w:top w:w="60" w:type="dxa"/>
              <w:left w:w="80" w:type="dxa"/>
              <w:bottom w:w="60" w:type="dxa"/>
              <w:right w:w="80" w:type="dxa"/>
            </w:tcMar>
          </w:tcPr>
          <w:p w14:paraId="645BE8F2" w14:textId="77777777" w:rsidR="00490284" w:rsidRDefault="00CC162A">
            <w:pPr>
              <w:jc w:val="center"/>
              <w:rPr>
                <w:color w:val="000000" w:themeColor="text1"/>
              </w:rPr>
            </w:pPr>
            <w:r>
              <w:rPr>
                <w:color w:val="000000" w:themeColor="text1"/>
                <w:sz w:val="18"/>
              </w:rPr>
              <w:t>40.0 – 54.0 %</w:t>
            </w:r>
          </w:p>
        </w:tc>
        <w:tc>
          <w:tcPr>
            <w:tcW w:w="2340" w:type="dxa"/>
            <w:shd w:val="clear" w:color="auto" w:fill="F9FAFC"/>
            <w:tcMar>
              <w:top w:w="60" w:type="dxa"/>
              <w:left w:w="80" w:type="dxa"/>
              <w:bottom w:w="60" w:type="dxa"/>
              <w:right w:w="80" w:type="dxa"/>
            </w:tcMar>
          </w:tcPr>
          <w:p w14:paraId="3504666E" w14:textId="77777777" w:rsidR="00490284" w:rsidRDefault="00CC162A">
            <w:pPr>
              <w:rPr>
                <w:color w:val="000000" w:themeColor="text1"/>
              </w:rPr>
            </w:pPr>
            <w:r>
              <w:rPr>
                <w:color w:val="000000" w:themeColor="text1"/>
                <w:sz w:val="18"/>
              </w:rPr>
              <w:t xml:space="preserve">Reduced </w:t>
            </w:r>
            <w:proofErr w:type="spellStart"/>
            <w:r>
              <w:rPr>
                <w:color w:val="000000" w:themeColor="text1"/>
                <w:sz w:val="18"/>
              </w:rPr>
              <w:t>haematocrit</w:t>
            </w:r>
            <w:proofErr w:type="spellEnd"/>
          </w:p>
        </w:tc>
      </w:tr>
      <w:tr w:rsidR="00490284" w14:paraId="68ED897B" w14:textId="77777777">
        <w:trPr>
          <w:jc w:val="center"/>
        </w:trPr>
        <w:tc>
          <w:tcPr>
            <w:tcW w:w="2340" w:type="dxa"/>
            <w:shd w:val="clear" w:color="auto" w:fill="FFFFFF"/>
            <w:tcMar>
              <w:top w:w="60" w:type="dxa"/>
              <w:left w:w="80" w:type="dxa"/>
              <w:bottom w:w="60" w:type="dxa"/>
              <w:right w:w="80" w:type="dxa"/>
            </w:tcMar>
          </w:tcPr>
          <w:p w14:paraId="45E0A76D" w14:textId="77777777" w:rsidR="00490284" w:rsidRDefault="00CC162A">
            <w:pPr>
              <w:rPr>
                <w:color w:val="000000" w:themeColor="text1"/>
              </w:rPr>
            </w:pPr>
            <w:r>
              <w:rPr>
                <w:b/>
                <w:color w:val="000000" w:themeColor="text1"/>
                <w:sz w:val="18"/>
              </w:rPr>
              <w:t>MCV / MCH / MCHC</w:t>
            </w:r>
          </w:p>
        </w:tc>
        <w:tc>
          <w:tcPr>
            <w:tcW w:w="2340" w:type="dxa"/>
            <w:shd w:val="clear" w:color="auto" w:fill="FFFFFF"/>
            <w:tcMar>
              <w:top w:w="60" w:type="dxa"/>
              <w:left w:w="80" w:type="dxa"/>
              <w:bottom w:w="60" w:type="dxa"/>
              <w:right w:w="80" w:type="dxa"/>
            </w:tcMar>
          </w:tcPr>
          <w:p w14:paraId="5683D232" w14:textId="77777777" w:rsidR="00490284" w:rsidRDefault="00CC162A">
            <w:pPr>
              <w:jc w:val="center"/>
              <w:rPr>
                <w:color w:val="000000" w:themeColor="text1"/>
              </w:rPr>
            </w:pPr>
            <w:r>
              <w:rPr>
                <w:color w:val="000000" w:themeColor="text1"/>
                <w:sz w:val="18"/>
              </w:rPr>
              <w:t xml:space="preserve">64.8 </w:t>
            </w:r>
            <w:proofErr w:type="spellStart"/>
            <w:r>
              <w:rPr>
                <w:color w:val="000000" w:themeColor="text1"/>
                <w:sz w:val="18"/>
              </w:rPr>
              <w:t>fL</w:t>
            </w:r>
            <w:proofErr w:type="spellEnd"/>
            <w:r>
              <w:rPr>
                <w:color w:val="000000" w:themeColor="text1"/>
                <w:sz w:val="18"/>
              </w:rPr>
              <w:t xml:space="preserve"> / 20.8 </w:t>
            </w:r>
            <w:proofErr w:type="spellStart"/>
            <w:r>
              <w:rPr>
                <w:color w:val="000000" w:themeColor="text1"/>
                <w:sz w:val="18"/>
              </w:rPr>
              <w:t>pg</w:t>
            </w:r>
            <w:proofErr w:type="spellEnd"/>
            <w:r>
              <w:rPr>
                <w:color w:val="000000" w:themeColor="text1"/>
                <w:sz w:val="18"/>
              </w:rPr>
              <w:t xml:space="preserve"> / 32.1%</w:t>
            </w:r>
          </w:p>
        </w:tc>
        <w:tc>
          <w:tcPr>
            <w:tcW w:w="2340" w:type="dxa"/>
            <w:shd w:val="clear" w:color="auto" w:fill="FFFFFF"/>
            <w:tcMar>
              <w:top w:w="60" w:type="dxa"/>
              <w:left w:w="80" w:type="dxa"/>
              <w:bottom w:w="60" w:type="dxa"/>
              <w:right w:w="80" w:type="dxa"/>
            </w:tcMar>
          </w:tcPr>
          <w:p w14:paraId="1A239A96" w14:textId="77777777" w:rsidR="00490284" w:rsidRDefault="00CC162A">
            <w:pPr>
              <w:jc w:val="center"/>
              <w:rPr>
                <w:color w:val="000000" w:themeColor="text1"/>
              </w:rPr>
            </w:pPr>
            <w:r>
              <w:rPr>
                <w:color w:val="000000" w:themeColor="text1"/>
                <w:sz w:val="18"/>
              </w:rPr>
              <w:t xml:space="preserve">76-96 </w:t>
            </w:r>
            <w:proofErr w:type="spellStart"/>
            <w:r>
              <w:rPr>
                <w:color w:val="000000" w:themeColor="text1"/>
                <w:sz w:val="18"/>
              </w:rPr>
              <w:t>fL</w:t>
            </w:r>
            <w:proofErr w:type="spellEnd"/>
            <w:r>
              <w:rPr>
                <w:color w:val="000000" w:themeColor="text1"/>
                <w:sz w:val="18"/>
              </w:rPr>
              <w:t xml:space="preserve"> / 23-31 </w:t>
            </w:r>
            <w:proofErr w:type="spellStart"/>
            <w:r>
              <w:rPr>
                <w:color w:val="000000" w:themeColor="text1"/>
                <w:sz w:val="18"/>
              </w:rPr>
              <w:t>pg</w:t>
            </w:r>
            <w:proofErr w:type="spellEnd"/>
            <w:r>
              <w:rPr>
                <w:color w:val="000000" w:themeColor="text1"/>
                <w:sz w:val="18"/>
              </w:rPr>
              <w:t xml:space="preserve"> / 32-36%</w:t>
            </w:r>
          </w:p>
        </w:tc>
        <w:tc>
          <w:tcPr>
            <w:tcW w:w="2340" w:type="dxa"/>
            <w:shd w:val="clear" w:color="auto" w:fill="FFFFFF"/>
            <w:tcMar>
              <w:top w:w="60" w:type="dxa"/>
              <w:left w:w="80" w:type="dxa"/>
              <w:bottom w:w="60" w:type="dxa"/>
              <w:right w:w="80" w:type="dxa"/>
            </w:tcMar>
          </w:tcPr>
          <w:p w14:paraId="62EE3ED6" w14:textId="77777777" w:rsidR="00490284" w:rsidRDefault="00CC162A">
            <w:pPr>
              <w:rPr>
                <w:color w:val="000000" w:themeColor="text1"/>
              </w:rPr>
            </w:pPr>
            <w:r>
              <w:rPr>
                <w:color w:val="000000" w:themeColor="text1"/>
                <w:sz w:val="18"/>
              </w:rPr>
              <w:t>Microcytosis and hypochromia</w:t>
            </w:r>
          </w:p>
        </w:tc>
      </w:tr>
      <w:tr w:rsidR="00490284" w14:paraId="204AE71A" w14:textId="77777777">
        <w:trPr>
          <w:jc w:val="center"/>
        </w:trPr>
        <w:tc>
          <w:tcPr>
            <w:tcW w:w="2340" w:type="dxa"/>
            <w:shd w:val="clear" w:color="auto" w:fill="F9FAFC"/>
            <w:tcMar>
              <w:top w:w="60" w:type="dxa"/>
              <w:left w:w="80" w:type="dxa"/>
              <w:bottom w:w="60" w:type="dxa"/>
              <w:right w:w="80" w:type="dxa"/>
            </w:tcMar>
          </w:tcPr>
          <w:p w14:paraId="7BC0298B" w14:textId="77777777" w:rsidR="00490284" w:rsidRDefault="00CC162A">
            <w:pPr>
              <w:rPr>
                <w:color w:val="000000" w:themeColor="text1"/>
              </w:rPr>
            </w:pPr>
            <w:r>
              <w:rPr>
                <w:b/>
                <w:color w:val="000000" w:themeColor="text1"/>
                <w:sz w:val="18"/>
              </w:rPr>
              <w:t>Platelet Count</w:t>
            </w:r>
          </w:p>
        </w:tc>
        <w:tc>
          <w:tcPr>
            <w:tcW w:w="2340" w:type="dxa"/>
            <w:shd w:val="clear" w:color="auto" w:fill="F9FAFC"/>
            <w:tcMar>
              <w:top w:w="60" w:type="dxa"/>
              <w:left w:w="80" w:type="dxa"/>
              <w:bottom w:w="60" w:type="dxa"/>
              <w:right w:w="80" w:type="dxa"/>
            </w:tcMar>
          </w:tcPr>
          <w:p w14:paraId="1606AEFD" w14:textId="77777777" w:rsidR="00490284" w:rsidRDefault="00CC162A">
            <w:pPr>
              <w:jc w:val="center"/>
              <w:rPr>
                <w:color w:val="000000" w:themeColor="text1"/>
              </w:rPr>
            </w:pPr>
            <w:r>
              <w:rPr>
                <w:color w:val="000000" w:themeColor="text1"/>
                <w:sz w:val="18"/>
              </w:rPr>
              <w:t>5.00 x 10^5 /</w:t>
            </w:r>
            <w:proofErr w:type="spellStart"/>
            <w:r>
              <w:rPr>
                <w:color w:val="000000" w:themeColor="text1"/>
                <w:sz w:val="18"/>
              </w:rPr>
              <w:t>cumm</w:t>
            </w:r>
            <w:proofErr w:type="spellEnd"/>
          </w:p>
        </w:tc>
        <w:tc>
          <w:tcPr>
            <w:tcW w:w="2340" w:type="dxa"/>
            <w:shd w:val="clear" w:color="auto" w:fill="F9FAFC"/>
            <w:tcMar>
              <w:top w:w="60" w:type="dxa"/>
              <w:left w:w="80" w:type="dxa"/>
              <w:bottom w:w="60" w:type="dxa"/>
              <w:right w:w="80" w:type="dxa"/>
            </w:tcMar>
          </w:tcPr>
          <w:p w14:paraId="1973CC32" w14:textId="77777777" w:rsidR="00490284" w:rsidRDefault="00CC162A">
            <w:pPr>
              <w:jc w:val="center"/>
              <w:rPr>
                <w:color w:val="000000" w:themeColor="text1"/>
              </w:rPr>
            </w:pPr>
            <w:r>
              <w:rPr>
                <w:color w:val="000000" w:themeColor="text1"/>
                <w:sz w:val="18"/>
              </w:rPr>
              <w:t>1.5 – 5.5 x 10^5 /</w:t>
            </w:r>
            <w:proofErr w:type="spellStart"/>
            <w:r>
              <w:rPr>
                <w:color w:val="000000" w:themeColor="text1"/>
                <w:sz w:val="18"/>
              </w:rPr>
              <w:t>cumm</w:t>
            </w:r>
            <w:proofErr w:type="spellEnd"/>
          </w:p>
        </w:tc>
        <w:tc>
          <w:tcPr>
            <w:tcW w:w="2340" w:type="dxa"/>
            <w:shd w:val="clear" w:color="auto" w:fill="F9FAFC"/>
            <w:tcMar>
              <w:top w:w="60" w:type="dxa"/>
              <w:left w:w="80" w:type="dxa"/>
              <w:bottom w:w="60" w:type="dxa"/>
              <w:right w:w="80" w:type="dxa"/>
            </w:tcMar>
          </w:tcPr>
          <w:p w14:paraId="0A6D5B0E" w14:textId="77777777" w:rsidR="00490284" w:rsidRDefault="00CC162A">
            <w:pPr>
              <w:rPr>
                <w:color w:val="000000" w:themeColor="text1"/>
              </w:rPr>
            </w:pPr>
            <w:r>
              <w:rPr>
                <w:color w:val="000000" w:themeColor="text1"/>
                <w:sz w:val="18"/>
              </w:rPr>
              <w:t>Normal platelet count</w:t>
            </w:r>
          </w:p>
        </w:tc>
      </w:tr>
      <w:tr w:rsidR="00490284" w14:paraId="039482AD" w14:textId="77777777">
        <w:trPr>
          <w:jc w:val="center"/>
        </w:trPr>
        <w:tc>
          <w:tcPr>
            <w:tcW w:w="2340" w:type="dxa"/>
            <w:shd w:val="clear" w:color="auto" w:fill="FFFFFF"/>
            <w:tcMar>
              <w:top w:w="60" w:type="dxa"/>
              <w:left w:w="80" w:type="dxa"/>
              <w:bottom w:w="60" w:type="dxa"/>
              <w:right w:w="80" w:type="dxa"/>
            </w:tcMar>
          </w:tcPr>
          <w:p w14:paraId="7490A111" w14:textId="77777777" w:rsidR="00490284" w:rsidRDefault="00CC162A">
            <w:pPr>
              <w:rPr>
                <w:color w:val="000000" w:themeColor="text1"/>
              </w:rPr>
            </w:pPr>
            <w:r>
              <w:rPr>
                <w:b/>
                <w:color w:val="000000" w:themeColor="text1"/>
                <w:sz w:val="18"/>
              </w:rPr>
              <w:t>Bleeding Time (BT)</w:t>
            </w:r>
          </w:p>
        </w:tc>
        <w:tc>
          <w:tcPr>
            <w:tcW w:w="2340" w:type="dxa"/>
            <w:shd w:val="clear" w:color="auto" w:fill="FFFFFF"/>
            <w:tcMar>
              <w:top w:w="60" w:type="dxa"/>
              <w:left w:w="80" w:type="dxa"/>
              <w:bottom w:w="60" w:type="dxa"/>
              <w:right w:w="80" w:type="dxa"/>
            </w:tcMar>
          </w:tcPr>
          <w:p w14:paraId="6B7FF419" w14:textId="77777777" w:rsidR="00490284" w:rsidRDefault="00CC162A">
            <w:pPr>
              <w:jc w:val="center"/>
              <w:rPr>
                <w:color w:val="000000" w:themeColor="text1"/>
              </w:rPr>
            </w:pPr>
            <w:r>
              <w:rPr>
                <w:color w:val="000000" w:themeColor="text1"/>
                <w:sz w:val="18"/>
              </w:rPr>
              <w:t>2 min 40 sec</w:t>
            </w:r>
          </w:p>
        </w:tc>
        <w:tc>
          <w:tcPr>
            <w:tcW w:w="2340" w:type="dxa"/>
            <w:shd w:val="clear" w:color="auto" w:fill="FFFFFF"/>
            <w:tcMar>
              <w:top w:w="60" w:type="dxa"/>
              <w:left w:w="80" w:type="dxa"/>
              <w:bottom w:w="60" w:type="dxa"/>
              <w:right w:w="80" w:type="dxa"/>
            </w:tcMar>
          </w:tcPr>
          <w:p w14:paraId="26C444B7" w14:textId="77777777" w:rsidR="00490284" w:rsidRDefault="00CC162A">
            <w:pPr>
              <w:jc w:val="center"/>
              <w:rPr>
                <w:color w:val="000000" w:themeColor="text1"/>
              </w:rPr>
            </w:pPr>
            <w:r>
              <w:rPr>
                <w:color w:val="000000" w:themeColor="text1"/>
                <w:sz w:val="18"/>
              </w:rPr>
              <w:t>2 – 7 min</w:t>
            </w:r>
          </w:p>
        </w:tc>
        <w:tc>
          <w:tcPr>
            <w:tcW w:w="2340" w:type="dxa"/>
            <w:shd w:val="clear" w:color="auto" w:fill="FFFFFF"/>
            <w:tcMar>
              <w:top w:w="60" w:type="dxa"/>
              <w:left w:w="80" w:type="dxa"/>
              <w:bottom w:w="60" w:type="dxa"/>
              <w:right w:w="80" w:type="dxa"/>
            </w:tcMar>
          </w:tcPr>
          <w:p w14:paraId="528CEE08" w14:textId="77777777" w:rsidR="00490284" w:rsidRDefault="00CC162A">
            <w:pPr>
              <w:rPr>
                <w:color w:val="000000" w:themeColor="text1"/>
              </w:rPr>
            </w:pPr>
            <w:r>
              <w:rPr>
                <w:color w:val="000000" w:themeColor="text1"/>
                <w:sz w:val="18"/>
              </w:rPr>
              <w:t>Normal primary hemostasis</w:t>
            </w:r>
          </w:p>
        </w:tc>
      </w:tr>
      <w:tr w:rsidR="00490284" w14:paraId="524900EC" w14:textId="77777777">
        <w:trPr>
          <w:jc w:val="center"/>
        </w:trPr>
        <w:tc>
          <w:tcPr>
            <w:tcW w:w="2340" w:type="dxa"/>
            <w:shd w:val="clear" w:color="auto" w:fill="F9FAFC"/>
            <w:tcMar>
              <w:top w:w="60" w:type="dxa"/>
              <w:left w:w="80" w:type="dxa"/>
              <w:bottom w:w="60" w:type="dxa"/>
              <w:right w:w="80" w:type="dxa"/>
            </w:tcMar>
          </w:tcPr>
          <w:p w14:paraId="7365CB2F" w14:textId="77777777" w:rsidR="00490284" w:rsidRDefault="00CC162A">
            <w:pPr>
              <w:rPr>
                <w:color w:val="000000" w:themeColor="text1"/>
              </w:rPr>
            </w:pPr>
            <w:r>
              <w:rPr>
                <w:b/>
                <w:color w:val="000000" w:themeColor="text1"/>
                <w:sz w:val="18"/>
              </w:rPr>
              <w:t>Clotting Time (CT)</w:t>
            </w:r>
          </w:p>
        </w:tc>
        <w:tc>
          <w:tcPr>
            <w:tcW w:w="2340" w:type="dxa"/>
            <w:shd w:val="clear" w:color="auto" w:fill="F9FAFC"/>
            <w:tcMar>
              <w:top w:w="60" w:type="dxa"/>
              <w:left w:w="80" w:type="dxa"/>
              <w:bottom w:w="60" w:type="dxa"/>
              <w:right w:w="80" w:type="dxa"/>
            </w:tcMar>
          </w:tcPr>
          <w:p w14:paraId="2330CDF3" w14:textId="77777777" w:rsidR="00490284" w:rsidRDefault="00CC162A">
            <w:pPr>
              <w:jc w:val="center"/>
              <w:rPr>
                <w:color w:val="000000" w:themeColor="text1"/>
              </w:rPr>
            </w:pPr>
            <w:r>
              <w:rPr>
                <w:color w:val="000000" w:themeColor="text1"/>
                <w:sz w:val="18"/>
              </w:rPr>
              <w:t>3 min 20 sec</w:t>
            </w:r>
          </w:p>
        </w:tc>
        <w:tc>
          <w:tcPr>
            <w:tcW w:w="2340" w:type="dxa"/>
            <w:shd w:val="clear" w:color="auto" w:fill="F9FAFC"/>
            <w:tcMar>
              <w:top w:w="60" w:type="dxa"/>
              <w:left w:w="80" w:type="dxa"/>
              <w:bottom w:w="60" w:type="dxa"/>
              <w:right w:w="80" w:type="dxa"/>
            </w:tcMar>
          </w:tcPr>
          <w:p w14:paraId="2259B121" w14:textId="77777777" w:rsidR="00490284" w:rsidRDefault="00CC162A">
            <w:pPr>
              <w:jc w:val="center"/>
              <w:rPr>
                <w:color w:val="000000" w:themeColor="text1"/>
              </w:rPr>
            </w:pPr>
            <w:r>
              <w:rPr>
                <w:color w:val="000000" w:themeColor="text1"/>
                <w:sz w:val="18"/>
              </w:rPr>
              <w:t>3 – 9 min</w:t>
            </w:r>
          </w:p>
        </w:tc>
        <w:tc>
          <w:tcPr>
            <w:tcW w:w="2340" w:type="dxa"/>
            <w:shd w:val="clear" w:color="auto" w:fill="F9FAFC"/>
            <w:tcMar>
              <w:top w:w="60" w:type="dxa"/>
              <w:left w:w="80" w:type="dxa"/>
              <w:bottom w:w="60" w:type="dxa"/>
              <w:right w:w="80" w:type="dxa"/>
            </w:tcMar>
          </w:tcPr>
          <w:p w14:paraId="65ED0E43" w14:textId="77777777" w:rsidR="00490284" w:rsidRDefault="00CC162A">
            <w:pPr>
              <w:rPr>
                <w:color w:val="000000" w:themeColor="text1"/>
              </w:rPr>
            </w:pPr>
            <w:r>
              <w:rPr>
                <w:color w:val="000000" w:themeColor="text1"/>
                <w:sz w:val="18"/>
              </w:rPr>
              <w:t>Normal intrinsic coagulation</w:t>
            </w:r>
          </w:p>
        </w:tc>
      </w:tr>
      <w:tr w:rsidR="00490284" w14:paraId="4FDCDF3F" w14:textId="77777777">
        <w:trPr>
          <w:jc w:val="center"/>
        </w:trPr>
        <w:tc>
          <w:tcPr>
            <w:tcW w:w="2340" w:type="dxa"/>
            <w:shd w:val="clear" w:color="auto" w:fill="FFFFFF"/>
            <w:tcMar>
              <w:top w:w="60" w:type="dxa"/>
              <w:left w:w="80" w:type="dxa"/>
              <w:bottom w:w="60" w:type="dxa"/>
              <w:right w:w="80" w:type="dxa"/>
            </w:tcMar>
          </w:tcPr>
          <w:p w14:paraId="55B53CBE" w14:textId="77777777" w:rsidR="00490284" w:rsidRDefault="00CC162A">
            <w:pPr>
              <w:rPr>
                <w:color w:val="000000" w:themeColor="text1"/>
              </w:rPr>
            </w:pPr>
            <w:r>
              <w:rPr>
                <w:b/>
                <w:color w:val="000000" w:themeColor="text1"/>
                <w:sz w:val="18"/>
              </w:rPr>
              <w:t>Serum Urea</w:t>
            </w:r>
          </w:p>
        </w:tc>
        <w:tc>
          <w:tcPr>
            <w:tcW w:w="2340" w:type="dxa"/>
            <w:shd w:val="clear" w:color="auto" w:fill="FFFFFF"/>
            <w:tcMar>
              <w:top w:w="60" w:type="dxa"/>
              <w:left w:w="80" w:type="dxa"/>
              <w:bottom w:w="60" w:type="dxa"/>
              <w:right w:w="80" w:type="dxa"/>
            </w:tcMar>
          </w:tcPr>
          <w:p w14:paraId="24E82B27" w14:textId="77777777" w:rsidR="00490284" w:rsidRDefault="00CC162A">
            <w:pPr>
              <w:jc w:val="center"/>
              <w:rPr>
                <w:color w:val="000000" w:themeColor="text1"/>
              </w:rPr>
            </w:pPr>
            <w:r>
              <w:rPr>
                <w:color w:val="000000" w:themeColor="text1"/>
                <w:sz w:val="18"/>
              </w:rPr>
              <w:t>7.9 mg/dL</w:t>
            </w:r>
          </w:p>
        </w:tc>
        <w:tc>
          <w:tcPr>
            <w:tcW w:w="2340" w:type="dxa"/>
            <w:shd w:val="clear" w:color="auto" w:fill="FFFFFF"/>
            <w:tcMar>
              <w:top w:w="60" w:type="dxa"/>
              <w:left w:w="80" w:type="dxa"/>
              <w:bottom w:w="60" w:type="dxa"/>
              <w:right w:w="80" w:type="dxa"/>
            </w:tcMar>
          </w:tcPr>
          <w:p w14:paraId="79CC40BF" w14:textId="77777777" w:rsidR="00490284" w:rsidRDefault="00CC162A">
            <w:pPr>
              <w:jc w:val="center"/>
              <w:rPr>
                <w:color w:val="000000" w:themeColor="text1"/>
              </w:rPr>
            </w:pPr>
            <w:r>
              <w:rPr>
                <w:color w:val="000000" w:themeColor="text1"/>
                <w:sz w:val="18"/>
              </w:rPr>
              <w:t>10.8 – 38.4 mg/dL</w:t>
            </w:r>
          </w:p>
        </w:tc>
        <w:tc>
          <w:tcPr>
            <w:tcW w:w="2340" w:type="dxa"/>
            <w:shd w:val="clear" w:color="auto" w:fill="FFFFFF"/>
            <w:tcMar>
              <w:top w:w="60" w:type="dxa"/>
              <w:left w:w="80" w:type="dxa"/>
              <w:bottom w:w="60" w:type="dxa"/>
              <w:right w:w="80" w:type="dxa"/>
            </w:tcMar>
          </w:tcPr>
          <w:p w14:paraId="2BDCC777" w14:textId="77777777" w:rsidR="00490284" w:rsidRDefault="00CC162A">
            <w:pPr>
              <w:rPr>
                <w:color w:val="000000" w:themeColor="text1"/>
              </w:rPr>
            </w:pPr>
            <w:r>
              <w:rPr>
                <w:color w:val="000000" w:themeColor="text1"/>
                <w:sz w:val="18"/>
              </w:rPr>
              <w:t>Adequate hydration / normal metabolism</w:t>
            </w:r>
          </w:p>
        </w:tc>
      </w:tr>
      <w:tr w:rsidR="00490284" w14:paraId="5FCF1F29" w14:textId="77777777">
        <w:trPr>
          <w:jc w:val="center"/>
        </w:trPr>
        <w:tc>
          <w:tcPr>
            <w:tcW w:w="2340" w:type="dxa"/>
            <w:shd w:val="clear" w:color="auto" w:fill="F9FAFC"/>
            <w:tcMar>
              <w:top w:w="60" w:type="dxa"/>
              <w:left w:w="80" w:type="dxa"/>
              <w:bottom w:w="60" w:type="dxa"/>
              <w:right w:w="80" w:type="dxa"/>
            </w:tcMar>
          </w:tcPr>
          <w:p w14:paraId="676D4482" w14:textId="77777777" w:rsidR="00490284" w:rsidRDefault="00CC162A">
            <w:pPr>
              <w:rPr>
                <w:color w:val="000000" w:themeColor="text1"/>
              </w:rPr>
            </w:pPr>
            <w:r>
              <w:rPr>
                <w:b/>
                <w:color w:val="000000" w:themeColor="text1"/>
                <w:sz w:val="18"/>
              </w:rPr>
              <w:t>Serum Creatinine</w:t>
            </w:r>
          </w:p>
        </w:tc>
        <w:tc>
          <w:tcPr>
            <w:tcW w:w="2340" w:type="dxa"/>
            <w:shd w:val="clear" w:color="auto" w:fill="F9FAFC"/>
            <w:tcMar>
              <w:top w:w="60" w:type="dxa"/>
              <w:left w:w="80" w:type="dxa"/>
              <w:bottom w:w="60" w:type="dxa"/>
              <w:right w:w="80" w:type="dxa"/>
            </w:tcMar>
          </w:tcPr>
          <w:p w14:paraId="65EA1A26" w14:textId="77777777" w:rsidR="00490284" w:rsidRDefault="00CC162A">
            <w:pPr>
              <w:jc w:val="center"/>
              <w:rPr>
                <w:color w:val="000000" w:themeColor="text1"/>
              </w:rPr>
            </w:pPr>
            <w:r>
              <w:rPr>
                <w:color w:val="000000" w:themeColor="text1"/>
                <w:sz w:val="18"/>
              </w:rPr>
              <w:t>0.22 mg/dL</w:t>
            </w:r>
          </w:p>
        </w:tc>
        <w:tc>
          <w:tcPr>
            <w:tcW w:w="2340" w:type="dxa"/>
            <w:shd w:val="clear" w:color="auto" w:fill="F9FAFC"/>
            <w:tcMar>
              <w:top w:w="60" w:type="dxa"/>
              <w:left w:w="80" w:type="dxa"/>
              <w:bottom w:w="60" w:type="dxa"/>
              <w:right w:w="80" w:type="dxa"/>
            </w:tcMar>
          </w:tcPr>
          <w:p w14:paraId="60FA055C" w14:textId="77777777" w:rsidR="00490284" w:rsidRDefault="00CC162A">
            <w:pPr>
              <w:jc w:val="center"/>
              <w:rPr>
                <w:color w:val="000000" w:themeColor="text1"/>
              </w:rPr>
            </w:pPr>
            <w:r>
              <w:rPr>
                <w:color w:val="000000" w:themeColor="text1"/>
                <w:sz w:val="18"/>
              </w:rPr>
              <w:t>0.15 – 0.37 mg/dL</w:t>
            </w:r>
          </w:p>
        </w:tc>
        <w:tc>
          <w:tcPr>
            <w:tcW w:w="2340" w:type="dxa"/>
            <w:shd w:val="clear" w:color="auto" w:fill="F9FAFC"/>
            <w:tcMar>
              <w:top w:w="60" w:type="dxa"/>
              <w:left w:w="80" w:type="dxa"/>
              <w:bottom w:w="60" w:type="dxa"/>
              <w:right w:w="80" w:type="dxa"/>
            </w:tcMar>
          </w:tcPr>
          <w:p w14:paraId="72AC874A" w14:textId="77777777" w:rsidR="00490284" w:rsidRDefault="00CC162A">
            <w:pPr>
              <w:rPr>
                <w:color w:val="000000" w:themeColor="text1"/>
              </w:rPr>
            </w:pPr>
            <w:r>
              <w:rPr>
                <w:color w:val="000000" w:themeColor="text1"/>
                <w:sz w:val="18"/>
              </w:rPr>
              <w:t>Normal infantile renal function</w:t>
            </w:r>
          </w:p>
        </w:tc>
      </w:tr>
      <w:tr w:rsidR="00490284" w14:paraId="66867A05" w14:textId="77777777">
        <w:trPr>
          <w:jc w:val="center"/>
        </w:trPr>
        <w:tc>
          <w:tcPr>
            <w:tcW w:w="2340" w:type="dxa"/>
            <w:shd w:val="clear" w:color="auto" w:fill="FFFFFF"/>
            <w:tcMar>
              <w:top w:w="60" w:type="dxa"/>
              <w:left w:w="80" w:type="dxa"/>
              <w:bottom w:w="60" w:type="dxa"/>
              <w:right w:w="80" w:type="dxa"/>
            </w:tcMar>
          </w:tcPr>
          <w:p w14:paraId="27EB5CB6" w14:textId="77777777" w:rsidR="00490284" w:rsidRDefault="00CC162A">
            <w:pPr>
              <w:rPr>
                <w:color w:val="000000" w:themeColor="text1"/>
              </w:rPr>
            </w:pPr>
            <w:r>
              <w:rPr>
                <w:b/>
                <w:color w:val="000000" w:themeColor="text1"/>
                <w:sz w:val="18"/>
              </w:rPr>
              <w:t>Serum Sodium (Na+)</w:t>
            </w:r>
          </w:p>
        </w:tc>
        <w:tc>
          <w:tcPr>
            <w:tcW w:w="2340" w:type="dxa"/>
            <w:shd w:val="clear" w:color="auto" w:fill="FFFFFF"/>
            <w:tcMar>
              <w:top w:w="60" w:type="dxa"/>
              <w:left w:w="80" w:type="dxa"/>
              <w:bottom w:w="60" w:type="dxa"/>
              <w:right w:w="80" w:type="dxa"/>
            </w:tcMar>
          </w:tcPr>
          <w:p w14:paraId="0B506C6A" w14:textId="77777777" w:rsidR="00490284" w:rsidRDefault="00CC162A">
            <w:pPr>
              <w:jc w:val="center"/>
              <w:rPr>
                <w:color w:val="000000" w:themeColor="text1"/>
              </w:rPr>
            </w:pPr>
            <w:r>
              <w:rPr>
                <w:color w:val="000000" w:themeColor="text1"/>
                <w:sz w:val="18"/>
              </w:rPr>
              <w:t>135.5 mmol/L</w:t>
            </w:r>
          </w:p>
        </w:tc>
        <w:tc>
          <w:tcPr>
            <w:tcW w:w="2340" w:type="dxa"/>
            <w:shd w:val="clear" w:color="auto" w:fill="FFFFFF"/>
            <w:tcMar>
              <w:top w:w="60" w:type="dxa"/>
              <w:left w:w="80" w:type="dxa"/>
              <w:bottom w:w="60" w:type="dxa"/>
              <w:right w:w="80" w:type="dxa"/>
            </w:tcMar>
          </w:tcPr>
          <w:p w14:paraId="275BDE20" w14:textId="77777777" w:rsidR="00490284" w:rsidRDefault="00CC162A">
            <w:pPr>
              <w:jc w:val="center"/>
              <w:rPr>
                <w:color w:val="000000" w:themeColor="text1"/>
              </w:rPr>
            </w:pPr>
            <w:r>
              <w:rPr>
                <w:color w:val="000000" w:themeColor="text1"/>
                <w:sz w:val="18"/>
              </w:rPr>
              <w:t>133 – 152 mmol/L</w:t>
            </w:r>
          </w:p>
        </w:tc>
        <w:tc>
          <w:tcPr>
            <w:tcW w:w="2340" w:type="dxa"/>
            <w:shd w:val="clear" w:color="auto" w:fill="FFFFFF"/>
            <w:tcMar>
              <w:top w:w="60" w:type="dxa"/>
              <w:left w:w="80" w:type="dxa"/>
              <w:bottom w:w="60" w:type="dxa"/>
              <w:right w:w="80" w:type="dxa"/>
            </w:tcMar>
          </w:tcPr>
          <w:p w14:paraId="0A652D46" w14:textId="77777777" w:rsidR="00490284" w:rsidRDefault="00CC162A">
            <w:pPr>
              <w:rPr>
                <w:color w:val="000000" w:themeColor="text1"/>
              </w:rPr>
            </w:pPr>
            <w:proofErr w:type="spellStart"/>
            <w:r>
              <w:rPr>
                <w:color w:val="000000" w:themeColor="text1"/>
                <w:sz w:val="18"/>
              </w:rPr>
              <w:t>Eunatremic</w:t>
            </w:r>
            <w:proofErr w:type="spellEnd"/>
          </w:p>
        </w:tc>
      </w:tr>
      <w:tr w:rsidR="00490284" w14:paraId="4430989F" w14:textId="77777777">
        <w:trPr>
          <w:jc w:val="center"/>
        </w:trPr>
        <w:tc>
          <w:tcPr>
            <w:tcW w:w="2340" w:type="dxa"/>
            <w:shd w:val="clear" w:color="auto" w:fill="F9FAFC"/>
            <w:tcMar>
              <w:top w:w="60" w:type="dxa"/>
              <w:left w:w="80" w:type="dxa"/>
              <w:bottom w:w="60" w:type="dxa"/>
              <w:right w:w="80" w:type="dxa"/>
            </w:tcMar>
          </w:tcPr>
          <w:p w14:paraId="5003F65F" w14:textId="77777777" w:rsidR="00490284" w:rsidRDefault="00CC162A">
            <w:pPr>
              <w:rPr>
                <w:color w:val="000000" w:themeColor="text1"/>
              </w:rPr>
            </w:pPr>
            <w:r>
              <w:rPr>
                <w:b/>
                <w:color w:val="000000" w:themeColor="text1"/>
                <w:sz w:val="18"/>
              </w:rPr>
              <w:t>Serum Potassium (K+)</w:t>
            </w:r>
          </w:p>
        </w:tc>
        <w:tc>
          <w:tcPr>
            <w:tcW w:w="2340" w:type="dxa"/>
            <w:shd w:val="clear" w:color="auto" w:fill="F9FAFC"/>
            <w:tcMar>
              <w:top w:w="60" w:type="dxa"/>
              <w:left w:w="80" w:type="dxa"/>
              <w:bottom w:w="60" w:type="dxa"/>
              <w:right w:w="80" w:type="dxa"/>
            </w:tcMar>
          </w:tcPr>
          <w:p w14:paraId="430F6B36" w14:textId="77777777" w:rsidR="00490284" w:rsidRDefault="00CC162A">
            <w:pPr>
              <w:jc w:val="center"/>
              <w:rPr>
                <w:color w:val="000000" w:themeColor="text1"/>
              </w:rPr>
            </w:pPr>
            <w:r>
              <w:rPr>
                <w:color w:val="000000" w:themeColor="text1"/>
                <w:sz w:val="18"/>
              </w:rPr>
              <w:t>4.82 mmol/L</w:t>
            </w:r>
          </w:p>
        </w:tc>
        <w:tc>
          <w:tcPr>
            <w:tcW w:w="2340" w:type="dxa"/>
            <w:shd w:val="clear" w:color="auto" w:fill="F9FAFC"/>
            <w:tcMar>
              <w:top w:w="60" w:type="dxa"/>
              <w:left w:w="80" w:type="dxa"/>
              <w:bottom w:w="60" w:type="dxa"/>
              <w:right w:w="80" w:type="dxa"/>
            </w:tcMar>
          </w:tcPr>
          <w:p w14:paraId="4190C225" w14:textId="77777777" w:rsidR="00490284" w:rsidRDefault="00CC162A">
            <w:pPr>
              <w:jc w:val="center"/>
              <w:rPr>
                <w:color w:val="000000" w:themeColor="text1"/>
              </w:rPr>
            </w:pPr>
            <w:r>
              <w:rPr>
                <w:color w:val="000000" w:themeColor="text1"/>
                <w:sz w:val="18"/>
              </w:rPr>
              <w:t>3.5 – 5.5 mmol/L</w:t>
            </w:r>
          </w:p>
        </w:tc>
        <w:tc>
          <w:tcPr>
            <w:tcW w:w="2340" w:type="dxa"/>
            <w:shd w:val="clear" w:color="auto" w:fill="F9FAFC"/>
            <w:tcMar>
              <w:top w:w="60" w:type="dxa"/>
              <w:left w:w="80" w:type="dxa"/>
              <w:bottom w:w="60" w:type="dxa"/>
              <w:right w:w="80" w:type="dxa"/>
            </w:tcMar>
          </w:tcPr>
          <w:p w14:paraId="6974E2E0" w14:textId="77777777" w:rsidR="00490284" w:rsidRDefault="00CC162A">
            <w:pPr>
              <w:rPr>
                <w:color w:val="000000" w:themeColor="text1"/>
              </w:rPr>
            </w:pPr>
            <w:proofErr w:type="spellStart"/>
            <w:r>
              <w:rPr>
                <w:color w:val="000000" w:themeColor="text1"/>
                <w:sz w:val="18"/>
              </w:rPr>
              <w:t>Eukalemic</w:t>
            </w:r>
            <w:proofErr w:type="spellEnd"/>
          </w:p>
        </w:tc>
      </w:tr>
      <w:tr w:rsidR="00490284" w14:paraId="61F35DB0" w14:textId="77777777">
        <w:trPr>
          <w:jc w:val="center"/>
        </w:trPr>
        <w:tc>
          <w:tcPr>
            <w:tcW w:w="2340" w:type="dxa"/>
            <w:shd w:val="clear" w:color="auto" w:fill="FFFFFF"/>
            <w:tcMar>
              <w:top w:w="60" w:type="dxa"/>
              <w:left w:w="80" w:type="dxa"/>
              <w:bottom w:w="60" w:type="dxa"/>
              <w:right w:w="80" w:type="dxa"/>
            </w:tcMar>
          </w:tcPr>
          <w:p w14:paraId="175BDF29" w14:textId="77777777" w:rsidR="00490284" w:rsidRDefault="00CC162A">
            <w:pPr>
              <w:rPr>
                <w:color w:val="000000" w:themeColor="text1"/>
              </w:rPr>
            </w:pPr>
            <w:r>
              <w:rPr>
                <w:b/>
                <w:color w:val="000000" w:themeColor="text1"/>
                <w:sz w:val="18"/>
              </w:rPr>
              <w:t>Serum Chloride (Cl-)</w:t>
            </w:r>
          </w:p>
        </w:tc>
        <w:tc>
          <w:tcPr>
            <w:tcW w:w="2340" w:type="dxa"/>
            <w:shd w:val="clear" w:color="auto" w:fill="FFFFFF"/>
            <w:tcMar>
              <w:top w:w="60" w:type="dxa"/>
              <w:left w:w="80" w:type="dxa"/>
              <w:bottom w:w="60" w:type="dxa"/>
              <w:right w:w="80" w:type="dxa"/>
            </w:tcMar>
          </w:tcPr>
          <w:p w14:paraId="3A8CE1BD" w14:textId="77777777" w:rsidR="00490284" w:rsidRDefault="00CC162A">
            <w:pPr>
              <w:jc w:val="center"/>
              <w:rPr>
                <w:color w:val="000000" w:themeColor="text1"/>
              </w:rPr>
            </w:pPr>
            <w:r>
              <w:rPr>
                <w:color w:val="000000" w:themeColor="text1"/>
                <w:sz w:val="18"/>
              </w:rPr>
              <w:t>102.46 mmol/L</w:t>
            </w:r>
          </w:p>
        </w:tc>
        <w:tc>
          <w:tcPr>
            <w:tcW w:w="2340" w:type="dxa"/>
            <w:shd w:val="clear" w:color="auto" w:fill="FFFFFF"/>
            <w:tcMar>
              <w:top w:w="60" w:type="dxa"/>
              <w:left w:w="80" w:type="dxa"/>
              <w:bottom w:w="60" w:type="dxa"/>
              <w:right w:w="80" w:type="dxa"/>
            </w:tcMar>
          </w:tcPr>
          <w:p w14:paraId="49BCF231" w14:textId="77777777" w:rsidR="00490284" w:rsidRDefault="00CC162A">
            <w:pPr>
              <w:jc w:val="center"/>
              <w:rPr>
                <w:color w:val="000000" w:themeColor="text1"/>
              </w:rPr>
            </w:pPr>
            <w:r>
              <w:rPr>
                <w:color w:val="000000" w:themeColor="text1"/>
                <w:sz w:val="18"/>
              </w:rPr>
              <w:t>96 – 106 mmol/L</w:t>
            </w:r>
          </w:p>
        </w:tc>
        <w:tc>
          <w:tcPr>
            <w:tcW w:w="2340" w:type="dxa"/>
            <w:shd w:val="clear" w:color="auto" w:fill="FFFFFF"/>
            <w:tcMar>
              <w:top w:w="60" w:type="dxa"/>
              <w:left w:w="80" w:type="dxa"/>
              <w:bottom w:w="60" w:type="dxa"/>
              <w:right w:w="80" w:type="dxa"/>
            </w:tcMar>
          </w:tcPr>
          <w:p w14:paraId="70A4162B" w14:textId="77777777" w:rsidR="00490284" w:rsidRDefault="00CC162A">
            <w:pPr>
              <w:rPr>
                <w:color w:val="000000" w:themeColor="text1"/>
              </w:rPr>
            </w:pPr>
            <w:r>
              <w:rPr>
                <w:color w:val="000000" w:themeColor="text1"/>
                <w:sz w:val="18"/>
              </w:rPr>
              <w:t>Normal chloride concentration</w:t>
            </w:r>
          </w:p>
        </w:tc>
      </w:tr>
      <w:tr w:rsidR="00490284" w14:paraId="7C39075A" w14:textId="77777777">
        <w:trPr>
          <w:jc w:val="center"/>
        </w:trPr>
        <w:tc>
          <w:tcPr>
            <w:tcW w:w="2340" w:type="dxa"/>
            <w:shd w:val="clear" w:color="auto" w:fill="F9FAFC"/>
            <w:tcMar>
              <w:top w:w="60" w:type="dxa"/>
              <w:left w:w="80" w:type="dxa"/>
              <w:bottom w:w="60" w:type="dxa"/>
              <w:right w:w="80" w:type="dxa"/>
            </w:tcMar>
          </w:tcPr>
          <w:p w14:paraId="505E22B2" w14:textId="77777777" w:rsidR="00490284" w:rsidRDefault="00CC162A">
            <w:pPr>
              <w:rPr>
                <w:color w:val="000000" w:themeColor="text1"/>
              </w:rPr>
            </w:pPr>
            <w:r>
              <w:rPr>
                <w:b/>
                <w:color w:val="000000" w:themeColor="text1"/>
                <w:sz w:val="18"/>
              </w:rPr>
              <w:t>HIV &amp; HBsAg (CLIA)</w:t>
            </w:r>
          </w:p>
        </w:tc>
        <w:tc>
          <w:tcPr>
            <w:tcW w:w="2340" w:type="dxa"/>
            <w:shd w:val="clear" w:color="auto" w:fill="F9FAFC"/>
            <w:tcMar>
              <w:top w:w="60" w:type="dxa"/>
              <w:left w:w="80" w:type="dxa"/>
              <w:bottom w:w="60" w:type="dxa"/>
              <w:right w:w="80" w:type="dxa"/>
            </w:tcMar>
          </w:tcPr>
          <w:p w14:paraId="4665E6DF" w14:textId="77777777" w:rsidR="00490284" w:rsidRDefault="00CC162A">
            <w:pPr>
              <w:jc w:val="center"/>
              <w:rPr>
                <w:color w:val="000000" w:themeColor="text1"/>
              </w:rPr>
            </w:pPr>
            <w:r>
              <w:rPr>
                <w:color w:val="000000" w:themeColor="text1"/>
                <w:sz w:val="18"/>
              </w:rPr>
              <w:t>Non-Reactive</w:t>
            </w:r>
          </w:p>
        </w:tc>
        <w:tc>
          <w:tcPr>
            <w:tcW w:w="2340" w:type="dxa"/>
            <w:shd w:val="clear" w:color="auto" w:fill="F9FAFC"/>
            <w:tcMar>
              <w:top w:w="60" w:type="dxa"/>
              <w:left w:w="80" w:type="dxa"/>
              <w:bottom w:w="60" w:type="dxa"/>
              <w:right w:w="80" w:type="dxa"/>
            </w:tcMar>
          </w:tcPr>
          <w:p w14:paraId="4E56DB8B" w14:textId="77777777" w:rsidR="00490284" w:rsidRDefault="00CC162A">
            <w:pPr>
              <w:jc w:val="center"/>
              <w:rPr>
                <w:color w:val="000000" w:themeColor="text1"/>
              </w:rPr>
            </w:pPr>
            <w:r>
              <w:rPr>
                <w:color w:val="000000" w:themeColor="text1"/>
                <w:sz w:val="18"/>
              </w:rPr>
              <w:t>Non-Reactive</w:t>
            </w:r>
          </w:p>
        </w:tc>
        <w:tc>
          <w:tcPr>
            <w:tcW w:w="2340" w:type="dxa"/>
            <w:shd w:val="clear" w:color="auto" w:fill="F9FAFC"/>
            <w:tcMar>
              <w:top w:w="60" w:type="dxa"/>
              <w:left w:w="80" w:type="dxa"/>
              <w:bottom w:w="60" w:type="dxa"/>
              <w:right w:w="80" w:type="dxa"/>
            </w:tcMar>
          </w:tcPr>
          <w:p w14:paraId="753137DD" w14:textId="77777777" w:rsidR="00490284" w:rsidRDefault="00CC162A">
            <w:pPr>
              <w:rPr>
                <w:color w:val="000000" w:themeColor="text1"/>
              </w:rPr>
            </w:pPr>
            <w:r>
              <w:rPr>
                <w:color w:val="000000" w:themeColor="text1"/>
                <w:sz w:val="18"/>
              </w:rPr>
              <w:t>Negative viral screen</w:t>
            </w:r>
          </w:p>
        </w:tc>
      </w:tr>
    </w:tbl>
    <w:p w14:paraId="32DC0174" w14:textId="77777777" w:rsidR="00490284" w:rsidRDefault="00CC162A">
      <w:pPr>
        <w:spacing w:before="60" w:after="160"/>
        <w:rPr>
          <w:color w:val="000000" w:themeColor="text1"/>
        </w:rPr>
      </w:pPr>
      <w:r>
        <w:rPr>
          <w:b/>
          <w:color w:val="000000" w:themeColor="text1"/>
          <w:sz w:val="18"/>
        </w:rPr>
        <w:t xml:space="preserve">Table 1: Baseline </w:t>
      </w:r>
      <w:proofErr w:type="spellStart"/>
      <w:r>
        <w:rPr>
          <w:b/>
          <w:color w:val="000000" w:themeColor="text1"/>
          <w:sz w:val="18"/>
        </w:rPr>
        <w:t>Haematological</w:t>
      </w:r>
      <w:proofErr w:type="spellEnd"/>
      <w:r>
        <w:rPr>
          <w:b/>
          <w:color w:val="000000" w:themeColor="text1"/>
          <w:sz w:val="18"/>
        </w:rPr>
        <w:t xml:space="preserve"> and Biochemical Investigations of the Patient.</w:t>
      </w:r>
    </w:p>
    <w:p w14:paraId="3D309F6D" w14:textId="77777777" w:rsidR="00490284" w:rsidRDefault="00CC162A">
      <w:pPr>
        <w:keepNext/>
        <w:spacing w:before="200" w:after="60"/>
        <w:rPr>
          <w:color w:val="000000" w:themeColor="text1"/>
        </w:rPr>
      </w:pPr>
      <w:r>
        <w:rPr>
          <w:b/>
          <w:color w:val="000000" w:themeColor="text1"/>
          <w:sz w:val="23"/>
        </w:rPr>
        <w:t>2.5 Radiological Imaging</w:t>
      </w:r>
    </w:p>
    <w:p w14:paraId="0D60DBBD" w14:textId="77777777" w:rsidR="00490284" w:rsidRDefault="00CC162A">
      <w:pPr>
        <w:pStyle w:val="NormalWeb"/>
        <w:rPr>
          <w:color w:val="000000" w:themeColor="text1"/>
        </w:rPr>
      </w:pPr>
      <w:r>
        <w:rPr>
          <w:color w:val="000000" w:themeColor="text1"/>
        </w:rPr>
        <w:t xml:space="preserve">The ultrasound (USG) study of abdomen and pelvis of 6 </w:t>
      </w:r>
      <w:proofErr w:type="spellStart"/>
      <w:r>
        <w:rPr>
          <w:color w:val="000000" w:themeColor="text1"/>
        </w:rPr>
        <w:t>th</w:t>
      </w:r>
      <w:proofErr w:type="spellEnd"/>
      <w:r>
        <w:rPr>
          <w:color w:val="000000" w:themeColor="text1"/>
        </w:rPr>
        <w:t xml:space="preserve"> July, 2006 is the only anatomical guide for reference. Liver, gallbladder, portal vein, spleen (6.2cm), pancreas and kidneys bilaterally with parenchymal </w:t>
      </w:r>
      <w:r>
        <w:rPr>
          <w:color w:val="000000" w:themeColor="text1"/>
          <w:lang w:val="en-IN"/>
        </w:rPr>
        <w:t>echo texture</w:t>
      </w:r>
      <w:r>
        <w:rPr>
          <w:color w:val="000000" w:themeColor="text1"/>
        </w:rPr>
        <w:t xml:space="preserve"> were unremarkable; there was no pelvicalyceal dilatation and no stones (kidneys of right 5.0 x 3.0cms &amp; left 5.5 x 3.2cms respectively). Evaluation of </w:t>
      </w:r>
      <w:r>
        <w:rPr>
          <w:color w:val="000000" w:themeColor="text1"/>
          <w:lang w:val="en-IN"/>
        </w:rPr>
        <w:t>mid line</w:t>
      </w:r>
      <w:r>
        <w:rPr>
          <w:color w:val="000000" w:themeColor="text1"/>
        </w:rPr>
        <w:t xml:space="preserve"> anterior abdominal wall along shows a discrete, linear, blind ending sinus tract (of about 1.4 cm) extending from the </w:t>
      </w:r>
      <w:r>
        <w:rPr>
          <w:color w:val="000000" w:themeColor="text1"/>
          <w:lang w:val="en-IN"/>
        </w:rPr>
        <w:t>umbilical</w:t>
      </w:r>
      <w:r>
        <w:rPr>
          <w:color w:val="000000" w:themeColor="text1"/>
        </w:rPr>
        <w:t xml:space="preserve"> cutaneous rind extending directly to an </w:t>
      </w:r>
      <w:proofErr w:type="spellStart"/>
      <w:r>
        <w:rPr>
          <w:color w:val="000000" w:themeColor="text1"/>
        </w:rPr>
        <w:t>ill defined</w:t>
      </w:r>
      <w:proofErr w:type="spellEnd"/>
      <w:r>
        <w:rPr>
          <w:color w:val="000000" w:themeColor="text1"/>
        </w:rPr>
        <w:t xml:space="preserve"> hypoechoic, thick walled cystic collection which is located along the </w:t>
      </w:r>
      <w:proofErr w:type="spellStart"/>
      <w:r>
        <w:rPr>
          <w:color w:val="000000" w:themeColor="text1"/>
        </w:rPr>
        <w:t>urachesovesical</w:t>
      </w:r>
      <w:proofErr w:type="spellEnd"/>
      <w:r>
        <w:rPr>
          <w:color w:val="000000" w:themeColor="text1"/>
        </w:rPr>
        <w:t xml:space="preserve"> </w:t>
      </w:r>
      <w:r>
        <w:rPr>
          <w:color w:val="000000" w:themeColor="text1"/>
        </w:rPr>
        <w:lastRenderedPageBreak/>
        <w:t xml:space="preserve">area (Figure 1,2). The urachal cyst measures 2.2 x 1.9 x 1.4cm with estimated volume of 3.4 cc. The cyst terminates blindly above the anterosuperior dome of the bladder showing no communicating patent fistulous tract opening to the bladder lumen (Figure 1, 2). There is no </w:t>
      </w:r>
      <w:r>
        <w:rPr>
          <w:color w:val="000000" w:themeColor="text1"/>
          <w:lang w:val="en-IN"/>
        </w:rPr>
        <w:t>free fluid</w:t>
      </w:r>
      <w:r>
        <w:rPr>
          <w:color w:val="000000" w:themeColor="text1"/>
        </w:rPr>
        <w:t xml:space="preserve"> or other collection in the peritoneum.</w:t>
      </w:r>
    </w:p>
    <w:p w14:paraId="57DA8B8B" w14:textId="77777777" w:rsidR="00490284" w:rsidRDefault="00490284">
      <w:pPr>
        <w:spacing w:before="160" w:after="40"/>
        <w:jc w:val="center"/>
        <w:rPr>
          <w:color w:val="000000" w:themeColor="text1"/>
        </w:rPr>
      </w:pPr>
    </w:p>
    <w:p w14:paraId="762841F0" w14:textId="77777777" w:rsidR="00490284" w:rsidRDefault="00CC162A">
      <w:pPr>
        <w:rPr>
          <w:color w:val="000000" w:themeColor="text1"/>
          <w:lang w:val="en-IN"/>
        </w:rPr>
      </w:pPr>
      <w:r>
        <w:rPr>
          <w:noProof/>
          <w:color w:val="000000" w:themeColor="text1"/>
          <w:lang w:val="en-IN"/>
        </w:rPr>
        <w:drawing>
          <wp:inline distT="0" distB="0" distL="114300" distR="114300" wp14:anchorId="3D50FAC0" wp14:editId="66B06C91">
            <wp:extent cx="5939790" cy="3884295"/>
            <wp:effectExtent l="0" t="0" r="3810" b="1905"/>
            <wp:docPr id="5" name="Picture 5" descr="WhatsApp Image 2026-09-09 at 3.23.08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6-09-09 at 3.23.08 PM (1)"/>
                    <pic:cNvPicPr>
                      <a:picLocks noChangeAspect="1"/>
                    </pic:cNvPicPr>
                  </pic:nvPicPr>
                  <pic:blipFill>
                    <a:blip r:embed="rId8"/>
                    <a:stretch>
                      <a:fillRect/>
                    </a:stretch>
                  </pic:blipFill>
                  <pic:spPr>
                    <a:xfrm>
                      <a:off x="0" y="0"/>
                      <a:ext cx="5939790" cy="3884295"/>
                    </a:xfrm>
                    <a:prstGeom prst="rect">
                      <a:avLst/>
                    </a:prstGeom>
                  </pic:spPr>
                </pic:pic>
              </a:graphicData>
            </a:graphic>
          </wp:inline>
        </w:drawing>
      </w:r>
    </w:p>
    <w:p w14:paraId="01768A5B" w14:textId="77777777" w:rsidR="00490284" w:rsidRDefault="00CC162A">
      <w:pPr>
        <w:jc w:val="center"/>
        <w:rPr>
          <w:color w:val="000000" w:themeColor="text1"/>
          <w:lang w:val="en-IN"/>
        </w:rPr>
      </w:pPr>
      <w:r>
        <w:rPr>
          <w:i/>
          <w:color w:val="000000" w:themeColor="text1"/>
          <w:sz w:val="18"/>
        </w:rPr>
        <w:t xml:space="preserve">Figure </w:t>
      </w:r>
      <w:r w:rsidR="00473820">
        <w:rPr>
          <w:i/>
          <w:color w:val="000000" w:themeColor="text1"/>
          <w:sz w:val="18"/>
          <w:lang w:val="en-IN"/>
        </w:rPr>
        <w:t>1-</w:t>
      </w:r>
      <w:r>
        <w:rPr>
          <w:i/>
          <w:color w:val="000000" w:themeColor="text1"/>
          <w:sz w:val="18"/>
        </w:rPr>
        <w:t>:</w:t>
      </w:r>
      <w:r>
        <w:rPr>
          <w:i/>
          <w:color w:val="000000" w:themeColor="text1"/>
          <w:sz w:val="18"/>
          <w:lang w:val="en-IN"/>
        </w:rPr>
        <w:t xml:space="preserve"> Targeted ultrasound with </w:t>
      </w:r>
      <w:proofErr w:type="spellStart"/>
      <w:r>
        <w:rPr>
          <w:i/>
          <w:color w:val="000000" w:themeColor="text1"/>
          <w:sz w:val="18"/>
          <w:lang w:val="en-IN"/>
        </w:rPr>
        <w:t>calipers</w:t>
      </w:r>
      <w:proofErr w:type="spellEnd"/>
      <w:r>
        <w:rPr>
          <w:i/>
          <w:color w:val="000000" w:themeColor="text1"/>
          <w:sz w:val="18"/>
          <w:lang w:val="en-IN"/>
        </w:rPr>
        <w:t xml:space="preserve"> showing urachal cyst and sinus dimensions. (Left) Transverse view displaying an infected urachal cyst presenting as a rounded, hypoechoic to anechoic fluid collection with thickened, </w:t>
      </w:r>
      <w:proofErr w:type="spellStart"/>
      <w:r>
        <w:rPr>
          <w:i/>
          <w:color w:val="000000" w:themeColor="text1"/>
          <w:sz w:val="18"/>
          <w:lang w:val="en-IN"/>
        </w:rPr>
        <w:t>hyperemic</w:t>
      </w:r>
      <w:proofErr w:type="spellEnd"/>
      <w:r>
        <w:rPr>
          <w:i/>
          <w:color w:val="000000" w:themeColor="text1"/>
          <w:sz w:val="18"/>
          <w:lang w:val="en-IN"/>
        </w:rPr>
        <w:t xml:space="preserve"> walls and internal low-level debris. (Right) Longitudinal scan demonstrating the linear, tubular urachal sinus tract extending toward the deep margin of the umbilicus.</w:t>
      </w:r>
    </w:p>
    <w:p w14:paraId="3BA66368" w14:textId="77777777" w:rsidR="00490284" w:rsidRDefault="00CC162A">
      <w:pPr>
        <w:rPr>
          <w:color w:val="000000" w:themeColor="text1"/>
          <w:lang w:val="en-IN"/>
        </w:rPr>
      </w:pPr>
      <w:r>
        <w:rPr>
          <w:noProof/>
          <w:color w:val="000000" w:themeColor="text1"/>
          <w:lang w:val="en-IN"/>
        </w:rPr>
        <w:lastRenderedPageBreak/>
        <w:drawing>
          <wp:inline distT="0" distB="0" distL="114300" distR="114300" wp14:anchorId="1941E832" wp14:editId="107580C3">
            <wp:extent cx="5939790" cy="4213860"/>
            <wp:effectExtent l="0" t="0" r="3810" b="7620"/>
            <wp:docPr id="6" name="Picture 6" descr="WhatsApp Image 2026-09-09 at 3.23.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9-09 at 3.23.43 PM"/>
                    <pic:cNvPicPr>
                      <a:picLocks noChangeAspect="1"/>
                    </pic:cNvPicPr>
                  </pic:nvPicPr>
                  <pic:blipFill>
                    <a:blip r:embed="rId9"/>
                    <a:stretch>
                      <a:fillRect/>
                    </a:stretch>
                  </pic:blipFill>
                  <pic:spPr>
                    <a:xfrm>
                      <a:off x="0" y="0"/>
                      <a:ext cx="5939790" cy="4213860"/>
                    </a:xfrm>
                    <a:prstGeom prst="rect">
                      <a:avLst/>
                    </a:prstGeom>
                  </pic:spPr>
                </pic:pic>
              </a:graphicData>
            </a:graphic>
          </wp:inline>
        </w:drawing>
      </w:r>
    </w:p>
    <w:p w14:paraId="794055E9" w14:textId="77777777" w:rsidR="00490284" w:rsidRDefault="00CC162A">
      <w:pPr>
        <w:jc w:val="center"/>
        <w:rPr>
          <w:color w:val="000000" w:themeColor="text1"/>
          <w:lang w:val="en-IN"/>
        </w:rPr>
      </w:pPr>
      <w:r>
        <w:rPr>
          <w:i/>
          <w:color w:val="000000" w:themeColor="text1"/>
          <w:sz w:val="18"/>
        </w:rPr>
        <w:t xml:space="preserve">Figure </w:t>
      </w:r>
      <w:r>
        <w:rPr>
          <w:i/>
          <w:color w:val="000000" w:themeColor="text1"/>
          <w:sz w:val="18"/>
          <w:lang w:val="en-IN"/>
        </w:rPr>
        <w:t>2</w:t>
      </w:r>
      <w:r>
        <w:rPr>
          <w:i/>
          <w:color w:val="000000" w:themeColor="text1"/>
          <w:sz w:val="18"/>
        </w:rPr>
        <w:t>: High-resolution ultrasonography of the infraumbilical anterior abdominal wall. Transverse and longitudinal grey-scale ultrasound scans demonstrating an infected urachal remnant complex. The images show a well-defined, thick-walled midline cystic lesion (urachal cyst) deep to the rectus abdominis muscle with fine internal echoes, communicating superiorly with a blind-ending tubular tract extending to the umbilicus (urachal sinus).</w:t>
      </w:r>
    </w:p>
    <w:p w14:paraId="342CBBBD" w14:textId="77777777" w:rsidR="00490284" w:rsidRDefault="00CC162A">
      <w:pPr>
        <w:rPr>
          <w:color w:val="000000" w:themeColor="text1"/>
          <w:lang w:val="en-IN"/>
        </w:rPr>
      </w:pPr>
      <w:r>
        <w:rPr>
          <w:color w:val="000000" w:themeColor="text1"/>
          <w:lang w:val="en-IN"/>
        </w:rPr>
        <w:lastRenderedPageBreak/>
        <w:t xml:space="preserve">                  </w:t>
      </w:r>
      <w:r>
        <w:rPr>
          <w:noProof/>
          <w:color w:val="000000" w:themeColor="text1"/>
          <w:lang w:val="en-IN"/>
        </w:rPr>
        <w:drawing>
          <wp:inline distT="0" distB="0" distL="114300" distR="114300" wp14:anchorId="06D96DF8" wp14:editId="5E5C6E40">
            <wp:extent cx="5939790" cy="5172075"/>
            <wp:effectExtent l="0" t="0" r="3810" b="9525"/>
            <wp:docPr id="11" name="Picture 11" descr="WhatsApp Image 2026-09-09 at 3.31.4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9-09 at 3.31.40 PM"/>
                    <pic:cNvPicPr>
                      <a:picLocks noChangeAspect="1"/>
                    </pic:cNvPicPr>
                  </pic:nvPicPr>
                  <pic:blipFill>
                    <a:blip r:embed="rId10"/>
                    <a:stretch>
                      <a:fillRect/>
                    </a:stretch>
                  </pic:blipFill>
                  <pic:spPr>
                    <a:xfrm>
                      <a:off x="0" y="0"/>
                      <a:ext cx="5939790" cy="5172075"/>
                    </a:xfrm>
                    <a:prstGeom prst="rect">
                      <a:avLst/>
                    </a:prstGeom>
                  </pic:spPr>
                </pic:pic>
              </a:graphicData>
            </a:graphic>
          </wp:inline>
        </w:drawing>
      </w:r>
    </w:p>
    <w:p w14:paraId="332B114F" w14:textId="77777777" w:rsidR="00490284" w:rsidRDefault="00CC162A">
      <w:pPr>
        <w:spacing w:after="160"/>
        <w:jc w:val="center"/>
        <w:rPr>
          <w:color w:val="000000" w:themeColor="text1"/>
        </w:rPr>
      </w:pPr>
      <w:r>
        <w:rPr>
          <w:i/>
          <w:color w:val="000000" w:themeColor="text1"/>
          <w:sz w:val="18"/>
        </w:rPr>
        <w:t xml:space="preserve">Figure </w:t>
      </w:r>
      <w:r>
        <w:rPr>
          <w:i/>
          <w:color w:val="000000" w:themeColor="text1"/>
          <w:sz w:val="18"/>
          <w:lang w:val="en-IN"/>
        </w:rPr>
        <w:t>3</w:t>
      </w:r>
      <w:r>
        <w:rPr>
          <w:i/>
          <w:color w:val="000000" w:themeColor="text1"/>
          <w:sz w:val="18"/>
        </w:rPr>
        <w:t>: High-resolution pelvic ultrasonography demonstration showing the midline hypoechoic urachal cyst (measuring ~2.2 x 1.9 x 1.4 cm, volume ~3.4 cc) communicating with an umbilical sinus tract.</w:t>
      </w:r>
    </w:p>
    <w:p w14:paraId="1643E0C3" w14:textId="77777777" w:rsidR="00490284" w:rsidRDefault="00490284">
      <w:pPr>
        <w:spacing w:before="120" w:after="40"/>
        <w:jc w:val="center"/>
        <w:rPr>
          <w:color w:val="000000" w:themeColor="text1"/>
        </w:rPr>
      </w:pPr>
    </w:p>
    <w:p w14:paraId="4512633E" w14:textId="77777777" w:rsidR="00490284" w:rsidRDefault="00CC162A">
      <w:pPr>
        <w:rPr>
          <w:color w:val="000000" w:themeColor="text1"/>
        </w:rPr>
      </w:pPr>
      <w:r>
        <w:rPr>
          <w:noProof/>
          <w:color w:val="000000" w:themeColor="text1"/>
        </w:rPr>
        <w:lastRenderedPageBreak/>
        <w:drawing>
          <wp:inline distT="0" distB="0" distL="114300" distR="114300" wp14:anchorId="1AFE7F12" wp14:editId="305D85A5">
            <wp:extent cx="5372100" cy="4868545"/>
            <wp:effectExtent l="0" t="0" r="762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5372100" cy="4868545"/>
                    </a:xfrm>
                    <a:prstGeom prst="rect">
                      <a:avLst/>
                    </a:prstGeom>
                  </pic:spPr>
                </pic:pic>
              </a:graphicData>
            </a:graphic>
          </wp:inline>
        </w:drawing>
      </w:r>
    </w:p>
    <w:p w14:paraId="6D762985" w14:textId="77777777" w:rsidR="00490284" w:rsidRDefault="00CC162A">
      <w:pPr>
        <w:spacing w:after="160"/>
        <w:jc w:val="center"/>
        <w:rPr>
          <w:color w:val="000000" w:themeColor="text1"/>
        </w:rPr>
      </w:pPr>
      <w:r>
        <w:rPr>
          <w:i/>
          <w:color w:val="000000" w:themeColor="text1"/>
          <w:sz w:val="18"/>
        </w:rPr>
        <w:t xml:space="preserve">Figure </w:t>
      </w:r>
      <w:r>
        <w:rPr>
          <w:i/>
          <w:color w:val="000000" w:themeColor="text1"/>
          <w:sz w:val="18"/>
          <w:lang w:val="en-IN"/>
        </w:rPr>
        <w:t>4</w:t>
      </w:r>
      <w:r>
        <w:rPr>
          <w:i/>
          <w:color w:val="000000" w:themeColor="text1"/>
          <w:sz w:val="18"/>
        </w:rPr>
        <w:t>: Clinical-anatomical schematic illustration drafted during surgical evaluation, highlighting the umbilical sinus tract opening at the skin, the infected urachal cyst, and its blind termination without intravesical communication.</w:t>
      </w:r>
    </w:p>
    <w:p w14:paraId="6923D803" w14:textId="77777777" w:rsidR="00490284" w:rsidRDefault="00CC162A">
      <w:pPr>
        <w:keepNext/>
        <w:spacing w:before="200" w:after="60"/>
        <w:rPr>
          <w:color w:val="000000" w:themeColor="text1"/>
        </w:rPr>
      </w:pPr>
      <w:r>
        <w:rPr>
          <w:b/>
          <w:color w:val="000000" w:themeColor="text1"/>
          <w:sz w:val="23"/>
        </w:rPr>
        <w:t>2.6 Surgical Technique and Intraoperative Findings</w:t>
      </w:r>
    </w:p>
    <w:p w14:paraId="1F22DF4E" w14:textId="77777777" w:rsidR="00490284" w:rsidRDefault="00CC162A">
      <w:pPr>
        <w:pStyle w:val="NormalWeb"/>
        <w:rPr>
          <w:color w:val="000000" w:themeColor="text1"/>
        </w:rPr>
      </w:pPr>
      <w:r>
        <w:rPr>
          <w:color w:val="000000" w:themeColor="text1"/>
        </w:rPr>
        <w:t xml:space="preserve">On 7/7/2006 the patient was taken in for elective exploratory laparotomy with excision, with </w:t>
      </w:r>
      <w:r>
        <w:rPr>
          <w:color w:val="000000" w:themeColor="text1"/>
          <w:lang w:val="en-IN"/>
        </w:rPr>
        <w:t>per-operative</w:t>
      </w:r>
      <w:r>
        <w:rPr>
          <w:color w:val="000000" w:themeColor="text1"/>
        </w:rPr>
        <w:t xml:space="preserve"> pediatric anesthesia clearance (ASA PS grade 1). Anesthesia induced with general endotracheal </w:t>
      </w:r>
      <w:r>
        <w:rPr>
          <w:color w:val="000000" w:themeColor="text1"/>
          <w:lang w:val="en-IN"/>
        </w:rPr>
        <w:t>incubation</w:t>
      </w:r>
      <w:r>
        <w:rPr>
          <w:color w:val="000000" w:themeColor="text1"/>
        </w:rPr>
        <w:t>, with uncuffed, 4.5 mm, ET</w:t>
      </w:r>
      <w:r>
        <w:rPr>
          <w:color w:val="000000" w:themeColor="text1"/>
          <w:lang w:val="en-IN"/>
        </w:rPr>
        <w:t xml:space="preserve"> (endotracheal tube)</w:t>
      </w:r>
      <w:r>
        <w:rPr>
          <w:color w:val="000000" w:themeColor="text1"/>
        </w:rPr>
        <w:t xml:space="preserve"> tube at 12 cm. Anesthesia is maintained on oxygen, N 2 O, isoflurane, and vecuronium </w:t>
      </w:r>
      <w:r>
        <w:rPr>
          <w:color w:val="000000" w:themeColor="text1"/>
          <w:lang w:val="en-IN"/>
        </w:rPr>
        <w:t>neuromuscular</w:t>
      </w:r>
      <w:r>
        <w:rPr>
          <w:color w:val="000000" w:themeColor="text1"/>
        </w:rPr>
        <w:t xml:space="preserve">. Under stringent sterile technique an epidural caudal block was placed ultrasound-guided, via 23 G hypodermic needle, placed within sacral hiatus, 6 </w:t>
      </w:r>
      <w:r>
        <w:rPr>
          <w:color w:val="000000" w:themeColor="text1"/>
          <w:lang w:val="en-IN"/>
        </w:rPr>
        <w:t>ml</w:t>
      </w:r>
      <w:r>
        <w:rPr>
          <w:color w:val="000000" w:themeColor="text1"/>
        </w:rPr>
        <w:t xml:space="preserve">, with 0.25% bupivacaine which provided excellent regional </w:t>
      </w:r>
      <w:r>
        <w:rPr>
          <w:color w:val="000000" w:themeColor="text1"/>
          <w:lang w:val="en-IN"/>
        </w:rPr>
        <w:t>preoperative</w:t>
      </w:r>
      <w:r>
        <w:rPr>
          <w:color w:val="000000" w:themeColor="text1"/>
        </w:rPr>
        <w:t xml:space="preserve"> </w:t>
      </w:r>
      <w:proofErr w:type="spellStart"/>
      <w:proofErr w:type="gramStart"/>
      <w:r>
        <w:rPr>
          <w:color w:val="000000" w:themeColor="text1"/>
        </w:rPr>
        <w:t>analgesia.The</w:t>
      </w:r>
      <w:proofErr w:type="spellEnd"/>
      <w:proofErr w:type="gramEnd"/>
      <w:r>
        <w:rPr>
          <w:color w:val="000000" w:themeColor="text1"/>
        </w:rPr>
        <w:t xml:space="preserve"> patient was in supine position with proper paint and sterile draping of the region of interest. A 5cm straight </w:t>
      </w:r>
      <w:r>
        <w:rPr>
          <w:color w:val="000000" w:themeColor="text1"/>
          <w:lang w:val="en-IN"/>
        </w:rPr>
        <w:t>mid line</w:t>
      </w:r>
      <w:r>
        <w:rPr>
          <w:color w:val="000000" w:themeColor="text1"/>
        </w:rPr>
        <w:t xml:space="preserve"> </w:t>
      </w:r>
      <w:r>
        <w:rPr>
          <w:color w:val="000000" w:themeColor="text1"/>
          <w:lang w:val="en-IN"/>
        </w:rPr>
        <w:t>infra umbilical</w:t>
      </w:r>
      <w:r>
        <w:rPr>
          <w:color w:val="000000" w:themeColor="text1"/>
        </w:rPr>
        <w:t xml:space="preserve"> vertical </w:t>
      </w:r>
      <w:r>
        <w:rPr>
          <w:color w:val="000000" w:themeColor="text1"/>
          <w:lang w:val="en-IN"/>
        </w:rPr>
        <w:t>mid line</w:t>
      </w:r>
      <w:r>
        <w:rPr>
          <w:color w:val="000000" w:themeColor="text1"/>
        </w:rPr>
        <w:t xml:space="preserve"> incision was given beginning at the inferior border of the umbilicus and extended caudal words. Subcutaneously, the umbilical sinus tract was meticulously dissected and traced. </w:t>
      </w:r>
      <w:r>
        <w:rPr>
          <w:color w:val="000000" w:themeColor="text1"/>
          <w:lang w:val="en-IN"/>
        </w:rPr>
        <w:t>Mid line</w:t>
      </w:r>
      <w:r>
        <w:rPr>
          <w:color w:val="000000" w:themeColor="text1"/>
        </w:rPr>
        <w:t xml:space="preserve"> linear opening of the anterior </w:t>
      </w:r>
      <w:r>
        <w:rPr>
          <w:color w:val="000000" w:themeColor="text1"/>
          <w:lang w:val="en-IN"/>
        </w:rPr>
        <w:t>rectums</w:t>
      </w:r>
      <w:r>
        <w:rPr>
          <w:color w:val="000000" w:themeColor="text1"/>
        </w:rPr>
        <w:t xml:space="preserve"> sheath and </w:t>
      </w:r>
      <w:r>
        <w:rPr>
          <w:color w:val="000000" w:themeColor="text1"/>
          <w:lang w:val="en-IN"/>
        </w:rPr>
        <w:t>lines</w:t>
      </w:r>
      <w:r>
        <w:rPr>
          <w:color w:val="000000" w:themeColor="text1"/>
        </w:rPr>
        <w:t xml:space="preserve"> </w:t>
      </w:r>
      <w:r>
        <w:rPr>
          <w:color w:val="000000" w:themeColor="text1"/>
          <w:lang w:val="en-IN"/>
        </w:rPr>
        <w:t>Alba</w:t>
      </w:r>
      <w:r>
        <w:rPr>
          <w:color w:val="000000" w:themeColor="text1"/>
        </w:rPr>
        <w:t xml:space="preserve"> gave access to the </w:t>
      </w:r>
      <w:r>
        <w:rPr>
          <w:color w:val="000000" w:themeColor="text1"/>
          <w:lang w:val="en-IN"/>
        </w:rPr>
        <w:t>peritoneal</w:t>
      </w:r>
      <w:r>
        <w:rPr>
          <w:color w:val="000000" w:themeColor="text1"/>
        </w:rPr>
        <w:t xml:space="preserve"> space (space of </w:t>
      </w:r>
      <w:proofErr w:type="spellStart"/>
      <w:r>
        <w:rPr>
          <w:color w:val="000000" w:themeColor="text1"/>
        </w:rPr>
        <w:t>Retzius</w:t>
      </w:r>
      <w:proofErr w:type="spellEnd"/>
      <w:r>
        <w:rPr>
          <w:color w:val="000000" w:themeColor="text1"/>
        </w:rPr>
        <w:t xml:space="preserve">). Careful dissection disclosed a chronically inflamed, thick walled, </w:t>
      </w:r>
      <w:r>
        <w:rPr>
          <w:color w:val="000000" w:themeColor="text1"/>
          <w:lang w:val="en-IN"/>
        </w:rPr>
        <w:t>suppuration</w:t>
      </w:r>
      <w:r>
        <w:rPr>
          <w:color w:val="000000" w:themeColor="text1"/>
        </w:rPr>
        <w:t xml:space="preserve"> urachal cyst with active pus collection over the prevesical plane and this together with the </w:t>
      </w:r>
      <w:r>
        <w:rPr>
          <w:color w:val="000000" w:themeColor="text1"/>
        </w:rPr>
        <w:lastRenderedPageBreak/>
        <w:t xml:space="preserve">umbilical sinus tract were mobilized </w:t>
      </w:r>
      <w:proofErr w:type="spellStart"/>
      <w:r>
        <w:rPr>
          <w:color w:val="000000" w:themeColor="text1"/>
        </w:rPr>
        <w:t>en</w:t>
      </w:r>
      <w:proofErr w:type="spellEnd"/>
      <w:r>
        <w:rPr>
          <w:color w:val="000000" w:themeColor="text1"/>
        </w:rPr>
        <w:t xml:space="preserve">-bloc and mobilized. Caudal dissection of the mass showed a blind fibrous cord which seemed to be joining the dome of the bladder via a small pinpoint tract. However, there was no intimation of </w:t>
      </w:r>
      <w:r>
        <w:rPr>
          <w:color w:val="000000" w:themeColor="text1"/>
          <w:lang w:val="en-IN"/>
        </w:rPr>
        <w:t>mucous</w:t>
      </w:r>
      <w:r>
        <w:rPr>
          <w:color w:val="000000" w:themeColor="text1"/>
        </w:rPr>
        <w:t xml:space="preserve"> prolapse into the cyst and the pinpoint tract at its bladder end was ligated after transfixing close to the bladder surface in its muscular plane with polypropylene suture (PDS 5-0). </w:t>
      </w:r>
      <w:proofErr w:type="gramStart"/>
      <w:r>
        <w:rPr>
          <w:color w:val="000000" w:themeColor="text1"/>
        </w:rPr>
        <w:t>Thus</w:t>
      </w:r>
      <w:proofErr w:type="gramEnd"/>
      <w:r>
        <w:rPr>
          <w:color w:val="000000" w:themeColor="text1"/>
        </w:rPr>
        <w:t xml:space="preserve"> the umbilical sinus tract, surrounding extra-peritoneal tissue and cyst were excised as an </w:t>
      </w:r>
      <w:proofErr w:type="spellStart"/>
      <w:r>
        <w:rPr>
          <w:color w:val="000000" w:themeColor="text1"/>
        </w:rPr>
        <w:t>en</w:t>
      </w:r>
      <w:proofErr w:type="spellEnd"/>
      <w:r>
        <w:rPr>
          <w:color w:val="000000" w:themeColor="text1"/>
        </w:rPr>
        <w:t xml:space="preserve">-bloc specimen. Pus was drained and sent for microbiological work up. Rectus sheath was closed over anatomical layers with continuous PDS and interrupted </w:t>
      </w:r>
      <w:proofErr w:type="spellStart"/>
      <w:r>
        <w:rPr>
          <w:color w:val="000000" w:themeColor="text1"/>
        </w:rPr>
        <w:t>prolene</w:t>
      </w:r>
      <w:proofErr w:type="spellEnd"/>
      <w:r>
        <w:rPr>
          <w:color w:val="000000" w:themeColor="text1"/>
        </w:rPr>
        <w:t xml:space="preserve"> sutures and the</w:t>
      </w:r>
      <w:r>
        <w:rPr>
          <w:color w:val="000000" w:themeColor="text1"/>
          <w:lang w:val="en-IN"/>
        </w:rPr>
        <w:t xml:space="preserve"> </w:t>
      </w:r>
      <w:r>
        <w:rPr>
          <w:color w:val="000000" w:themeColor="text1"/>
        </w:rPr>
        <w:t xml:space="preserve">skin was closed by subcuticular </w:t>
      </w:r>
      <w:proofErr w:type="spellStart"/>
      <w:r>
        <w:rPr>
          <w:color w:val="000000" w:themeColor="text1"/>
        </w:rPr>
        <w:t>prolene</w:t>
      </w:r>
      <w:proofErr w:type="spellEnd"/>
      <w:r>
        <w:rPr>
          <w:color w:val="000000" w:themeColor="text1"/>
        </w:rPr>
        <w:t xml:space="preserve"> (3-0) sutures. Ankyloglossia release (though not indicated for the case) was done as ancillary procedure. Total operative time was one hour fifteen minutes and approximate blood loss was 10 </w:t>
      </w:r>
      <w:r>
        <w:rPr>
          <w:color w:val="000000" w:themeColor="text1"/>
          <w:lang w:val="en-IN"/>
        </w:rPr>
        <w:t>ml</w:t>
      </w:r>
      <w:r>
        <w:rPr>
          <w:color w:val="000000" w:themeColor="text1"/>
        </w:rPr>
        <w:t xml:space="preserve"> with </w:t>
      </w:r>
      <w:r>
        <w:rPr>
          <w:color w:val="000000" w:themeColor="text1"/>
          <w:lang w:val="en-IN"/>
        </w:rPr>
        <w:t>intro-operative</w:t>
      </w:r>
      <w:r>
        <w:rPr>
          <w:color w:val="000000" w:themeColor="text1"/>
        </w:rPr>
        <w:t xml:space="preserve"> uneventful recovery.</w:t>
      </w:r>
    </w:p>
    <w:p w14:paraId="17DD829D" w14:textId="77777777" w:rsidR="00490284" w:rsidRDefault="00CC162A">
      <w:pPr>
        <w:keepNext/>
        <w:spacing w:before="200" w:after="60"/>
        <w:rPr>
          <w:color w:val="000000" w:themeColor="text1"/>
        </w:rPr>
      </w:pPr>
      <w:r>
        <w:rPr>
          <w:b/>
          <w:color w:val="000000" w:themeColor="text1"/>
          <w:sz w:val="23"/>
        </w:rPr>
        <w:t>2.7 Microbiological Profile and Postoperative Course</w:t>
      </w:r>
    </w:p>
    <w:p w14:paraId="27E87B42" w14:textId="77777777" w:rsidR="00490284" w:rsidRDefault="00CC162A">
      <w:pPr>
        <w:pStyle w:val="NormalWeb"/>
        <w:rPr>
          <w:color w:val="000000" w:themeColor="text1"/>
        </w:rPr>
      </w:pPr>
      <w:r>
        <w:rPr>
          <w:color w:val="000000" w:themeColor="text1"/>
        </w:rPr>
        <w:t xml:space="preserve">An </w:t>
      </w:r>
      <w:r>
        <w:rPr>
          <w:color w:val="000000" w:themeColor="text1"/>
          <w:lang w:val="en-IN"/>
        </w:rPr>
        <w:t>intro-operative</w:t>
      </w:r>
      <w:r>
        <w:rPr>
          <w:color w:val="000000" w:themeColor="text1"/>
        </w:rPr>
        <w:t xml:space="preserve"> pus culture from this case, run on the Vitek-2 automated microbiology system (</w:t>
      </w:r>
      <w:proofErr w:type="spellStart"/>
      <w:r>
        <w:rPr>
          <w:color w:val="000000" w:themeColor="text1"/>
        </w:rPr>
        <w:t>bioMerieux</w:t>
      </w:r>
      <w:proofErr w:type="spellEnd"/>
      <w:r>
        <w:rPr>
          <w:color w:val="000000" w:themeColor="text1"/>
        </w:rPr>
        <w:t xml:space="preserve">), identified Proteus mirabilis with 99% confidence. Antibiotic susceptibility testing was performed and shows </w:t>
      </w:r>
      <w:r>
        <w:rPr>
          <w:color w:val="000000" w:themeColor="text1"/>
          <w:lang w:val="en-IN"/>
        </w:rPr>
        <w:t>multi resistant</w:t>
      </w:r>
      <w:r>
        <w:rPr>
          <w:color w:val="000000" w:themeColor="text1"/>
        </w:rPr>
        <w:t xml:space="preserve"> susceptibility with demonstrated resistance against Ceftazidime</w:t>
      </w:r>
      <w:r>
        <w:rPr>
          <w:color w:val="000000" w:themeColor="text1"/>
          <w:lang w:val="en-IN"/>
        </w:rPr>
        <w:t xml:space="preserve"> </w:t>
      </w:r>
      <w:r>
        <w:rPr>
          <w:color w:val="000000" w:themeColor="text1"/>
        </w:rPr>
        <w:t>(MIC &gt;=64mcg/ml), Cefepime</w:t>
      </w:r>
      <w:r>
        <w:rPr>
          <w:color w:val="000000" w:themeColor="text1"/>
          <w:lang w:val="en-IN"/>
        </w:rPr>
        <w:t xml:space="preserve"> </w:t>
      </w:r>
      <w:r>
        <w:rPr>
          <w:color w:val="000000" w:themeColor="text1"/>
        </w:rPr>
        <w:t xml:space="preserve">(MIC 8mcg/ml, SDD), Ciprofloxacin (MIC &gt;=4mcg/ml), </w:t>
      </w:r>
      <w:proofErr w:type="spellStart"/>
      <w:r>
        <w:rPr>
          <w:color w:val="000000" w:themeColor="text1"/>
        </w:rPr>
        <w:t>Leofloxacin</w:t>
      </w:r>
      <w:proofErr w:type="spellEnd"/>
      <w:r>
        <w:rPr>
          <w:color w:val="000000" w:themeColor="text1"/>
          <w:lang w:val="en-IN"/>
        </w:rPr>
        <w:t xml:space="preserve"> </w:t>
      </w:r>
      <w:r>
        <w:rPr>
          <w:color w:val="000000" w:themeColor="text1"/>
        </w:rPr>
        <w:t>(MIC &gt;=8mcg/ml) Minocycline</w:t>
      </w:r>
      <w:r>
        <w:rPr>
          <w:color w:val="000000" w:themeColor="text1"/>
          <w:lang w:val="en-IN"/>
        </w:rPr>
        <w:t xml:space="preserve"> </w:t>
      </w:r>
      <w:r>
        <w:rPr>
          <w:color w:val="000000" w:themeColor="text1"/>
        </w:rPr>
        <w:t>(MIC&gt;=32mcg/ml), Colistin</w:t>
      </w:r>
      <w:r>
        <w:rPr>
          <w:color w:val="000000" w:themeColor="text1"/>
          <w:lang w:val="en-IN"/>
        </w:rPr>
        <w:t xml:space="preserve"> </w:t>
      </w:r>
      <w:r>
        <w:rPr>
          <w:color w:val="000000" w:themeColor="text1"/>
        </w:rPr>
        <w:t>(MIC&gt;=16mcg/ml, in</w:t>
      </w:r>
      <w:proofErr w:type="spellStart"/>
      <w:r>
        <w:rPr>
          <w:color w:val="000000" w:themeColor="text1"/>
          <w:lang w:val="en-IN"/>
        </w:rPr>
        <w:t>trinsic</w:t>
      </w:r>
      <w:proofErr w:type="spellEnd"/>
      <w:r>
        <w:rPr>
          <w:color w:val="000000" w:themeColor="text1"/>
        </w:rPr>
        <w:t>) and trimethoprim/sulfamethoxazole</w:t>
      </w:r>
      <w:r>
        <w:rPr>
          <w:color w:val="000000" w:themeColor="text1"/>
          <w:lang w:val="en-IN"/>
        </w:rPr>
        <w:t xml:space="preserve"> </w:t>
      </w:r>
      <w:r>
        <w:rPr>
          <w:color w:val="000000" w:themeColor="text1"/>
        </w:rPr>
        <w:t>(MIC&gt;=320mcg/ml) with intermediate susceptibility against amikacin</w:t>
      </w:r>
      <w:r>
        <w:rPr>
          <w:color w:val="000000" w:themeColor="text1"/>
          <w:lang w:val="en-IN"/>
        </w:rPr>
        <w:t xml:space="preserve"> </w:t>
      </w:r>
      <w:r>
        <w:rPr>
          <w:color w:val="000000" w:themeColor="text1"/>
        </w:rPr>
        <w:t xml:space="preserve">(MIC 16mcg/ml), with susceptible response to all carbapenem-class drugs, </w:t>
      </w:r>
      <w:proofErr w:type="spellStart"/>
      <w:r>
        <w:rPr>
          <w:color w:val="000000" w:themeColor="text1"/>
        </w:rPr>
        <w:t>Piperecillin</w:t>
      </w:r>
      <w:proofErr w:type="spellEnd"/>
      <w:r>
        <w:rPr>
          <w:color w:val="000000" w:themeColor="text1"/>
        </w:rPr>
        <w:t xml:space="preserve">/ tazobactam ( MIC&lt;=4mcg/ml) </w:t>
      </w:r>
      <w:proofErr w:type="spellStart"/>
      <w:r>
        <w:rPr>
          <w:color w:val="000000" w:themeColor="text1"/>
        </w:rPr>
        <w:t>Cefoperazone</w:t>
      </w:r>
      <w:proofErr w:type="spellEnd"/>
      <w:r>
        <w:rPr>
          <w:color w:val="000000" w:themeColor="text1"/>
        </w:rPr>
        <w:t>/Sulbactam (MIC &lt;=8mcg/ml), aztreonam</w:t>
      </w:r>
      <w:r>
        <w:rPr>
          <w:color w:val="000000" w:themeColor="text1"/>
          <w:lang w:val="en-IN"/>
        </w:rPr>
        <w:t xml:space="preserve"> </w:t>
      </w:r>
      <w:r>
        <w:rPr>
          <w:color w:val="000000" w:themeColor="text1"/>
        </w:rPr>
        <w:t>(MIC 4mcg/ml)and Meropenem</w:t>
      </w:r>
      <w:r>
        <w:rPr>
          <w:color w:val="000000" w:themeColor="text1"/>
          <w:lang w:val="en-IN"/>
        </w:rPr>
        <w:t xml:space="preserve"> </w:t>
      </w:r>
      <w:r>
        <w:rPr>
          <w:color w:val="000000" w:themeColor="text1"/>
        </w:rPr>
        <w:t>(MIC &lt;=0.25 mcg/ml)</w:t>
      </w:r>
    </w:p>
    <w:tbl>
      <w:tblPr>
        <w:tblW w:w="0" w:type="auto"/>
        <w:jc w:val="center"/>
        <w:tblLook w:val="04A0" w:firstRow="1" w:lastRow="0" w:firstColumn="1" w:lastColumn="0" w:noHBand="0" w:noVBand="1"/>
      </w:tblPr>
      <w:tblGrid>
        <w:gridCol w:w="2340"/>
        <w:gridCol w:w="2340"/>
        <w:gridCol w:w="2340"/>
        <w:gridCol w:w="2340"/>
      </w:tblGrid>
      <w:tr w:rsidR="00490284" w14:paraId="6D1D8BDC" w14:textId="77777777">
        <w:trPr>
          <w:jc w:val="center"/>
        </w:trPr>
        <w:tc>
          <w:tcPr>
            <w:tcW w:w="2340" w:type="dxa"/>
            <w:shd w:val="clear" w:color="auto" w:fill="102C57"/>
            <w:tcMar>
              <w:top w:w="80" w:type="dxa"/>
              <w:left w:w="100" w:type="dxa"/>
              <w:bottom w:w="80" w:type="dxa"/>
              <w:right w:w="100" w:type="dxa"/>
            </w:tcMar>
          </w:tcPr>
          <w:p w14:paraId="1CCD4BA0" w14:textId="77777777" w:rsidR="00490284" w:rsidRDefault="00CC162A">
            <w:pPr>
              <w:jc w:val="center"/>
              <w:rPr>
                <w:color w:val="FFFFFF" w:themeColor="background1"/>
              </w:rPr>
            </w:pPr>
            <w:r>
              <w:rPr>
                <w:b/>
                <w:color w:val="FFFFFF" w:themeColor="background1"/>
                <w:sz w:val="19"/>
              </w:rPr>
              <w:t>Antimicrobial Agent</w:t>
            </w:r>
          </w:p>
        </w:tc>
        <w:tc>
          <w:tcPr>
            <w:tcW w:w="2340" w:type="dxa"/>
            <w:shd w:val="clear" w:color="auto" w:fill="102C57"/>
            <w:tcMar>
              <w:top w:w="80" w:type="dxa"/>
              <w:left w:w="100" w:type="dxa"/>
              <w:bottom w:w="80" w:type="dxa"/>
              <w:right w:w="100" w:type="dxa"/>
            </w:tcMar>
          </w:tcPr>
          <w:p w14:paraId="0ADAF8E4" w14:textId="77777777" w:rsidR="00490284" w:rsidRDefault="00CC162A">
            <w:pPr>
              <w:jc w:val="center"/>
              <w:rPr>
                <w:color w:val="FFFFFF" w:themeColor="background1"/>
              </w:rPr>
            </w:pPr>
            <w:r>
              <w:rPr>
                <w:b/>
                <w:color w:val="FFFFFF" w:themeColor="background1"/>
                <w:sz w:val="19"/>
              </w:rPr>
              <w:t>MIC (mcg/mL)</w:t>
            </w:r>
          </w:p>
        </w:tc>
        <w:tc>
          <w:tcPr>
            <w:tcW w:w="2340" w:type="dxa"/>
            <w:shd w:val="clear" w:color="auto" w:fill="102C57"/>
            <w:tcMar>
              <w:top w:w="80" w:type="dxa"/>
              <w:left w:w="100" w:type="dxa"/>
              <w:bottom w:w="80" w:type="dxa"/>
              <w:right w:w="100" w:type="dxa"/>
            </w:tcMar>
          </w:tcPr>
          <w:p w14:paraId="0D8B0C69" w14:textId="77777777" w:rsidR="00490284" w:rsidRDefault="00CC162A">
            <w:pPr>
              <w:jc w:val="center"/>
              <w:rPr>
                <w:color w:val="FFFFFF" w:themeColor="background1"/>
              </w:rPr>
            </w:pPr>
            <w:r>
              <w:rPr>
                <w:b/>
                <w:color w:val="FFFFFF" w:themeColor="background1"/>
                <w:sz w:val="19"/>
              </w:rPr>
              <w:t>Interpretation</w:t>
            </w:r>
          </w:p>
        </w:tc>
        <w:tc>
          <w:tcPr>
            <w:tcW w:w="2340" w:type="dxa"/>
            <w:shd w:val="clear" w:color="auto" w:fill="102C57"/>
            <w:tcMar>
              <w:top w:w="80" w:type="dxa"/>
              <w:left w:w="100" w:type="dxa"/>
              <w:bottom w:w="80" w:type="dxa"/>
              <w:right w:w="100" w:type="dxa"/>
            </w:tcMar>
          </w:tcPr>
          <w:p w14:paraId="2A67D9DC" w14:textId="77777777" w:rsidR="00490284" w:rsidRDefault="00CC162A">
            <w:pPr>
              <w:jc w:val="center"/>
              <w:rPr>
                <w:color w:val="FFFFFF" w:themeColor="background1"/>
              </w:rPr>
            </w:pPr>
            <w:r>
              <w:rPr>
                <w:b/>
                <w:color w:val="FFFFFF" w:themeColor="background1"/>
                <w:sz w:val="19"/>
              </w:rPr>
              <w:t>Therapeutic Decision</w:t>
            </w:r>
          </w:p>
        </w:tc>
      </w:tr>
      <w:tr w:rsidR="00490284" w14:paraId="7FBAC80F" w14:textId="77777777">
        <w:trPr>
          <w:jc w:val="center"/>
        </w:trPr>
        <w:tc>
          <w:tcPr>
            <w:tcW w:w="2340" w:type="dxa"/>
            <w:shd w:val="clear" w:color="auto" w:fill="FFFFFF"/>
            <w:tcMar>
              <w:top w:w="60" w:type="dxa"/>
              <w:left w:w="80" w:type="dxa"/>
              <w:bottom w:w="60" w:type="dxa"/>
              <w:right w:w="80" w:type="dxa"/>
            </w:tcMar>
          </w:tcPr>
          <w:p w14:paraId="218B66F1" w14:textId="77777777" w:rsidR="00490284" w:rsidRDefault="00CC162A">
            <w:pPr>
              <w:rPr>
                <w:color w:val="000000" w:themeColor="text1"/>
              </w:rPr>
            </w:pPr>
            <w:r>
              <w:rPr>
                <w:b/>
                <w:color w:val="000000" w:themeColor="text1"/>
                <w:sz w:val="18"/>
              </w:rPr>
              <w:t>Meropenem</w:t>
            </w:r>
          </w:p>
        </w:tc>
        <w:tc>
          <w:tcPr>
            <w:tcW w:w="2340" w:type="dxa"/>
            <w:shd w:val="clear" w:color="auto" w:fill="FFFFFF"/>
            <w:tcMar>
              <w:top w:w="60" w:type="dxa"/>
              <w:left w:w="80" w:type="dxa"/>
              <w:bottom w:w="60" w:type="dxa"/>
              <w:right w:w="80" w:type="dxa"/>
            </w:tcMar>
          </w:tcPr>
          <w:p w14:paraId="7BF8F44E" w14:textId="77777777" w:rsidR="00490284" w:rsidRDefault="00CC162A">
            <w:pPr>
              <w:jc w:val="center"/>
              <w:rPr>
                <w:color w:val="000000" w:themeColor="text1"/>
              </w:rPr>
            </w:pPr>
            <w:r>
              <w:rPr>
                <w:color w:val="000000" w:themeColor="text1"/>
                <w:sz w:val="18"/>
              </w:rPr>
              <w:t>&lt;= 0.25</w:t>
            </w:r>
          </w:p>
        </w:tc>
        <w:tc>
          <w:tcPr>
            <w:tcW w:w="2340" w:type="dxa"/>
            <w:shd w:val="clear" w:color="auto" w:fill="FFFFFF"/>
            <w:tcMar>
              <w:top w:w="60" w:type="dxa"/>
              <w:left w:w="80" w:type="dxa"/>
              <w:bottom w:w="60" w:type="dxa"/>
              <w:right w:w="80" w:type="dxa"/>
            </w:tcMar>
          </w:tcPr>
          <w:p w14:paraId="18C13C7D" w14:textId="77777777" w:rsidR="00490284" w:rsidRDefault="00CC162A">
            <w:pPr>
              <w:jc w:val="center"/>
              <w:rPr>
                <w:color w:val="000000" w:themeColor="text1"/>
              </w:rPr>
            </w:pPr>
            <w:r>
              <w:rPr>
                <w:b/>
                <w:color w:val="000000" w:themeColor="text1"/>
                <w:sz w:val="18"/>
              </w:rPr>
              <w:t>Susceptible (S)</w:t>
            </w:r>
          </w:p>
        </w:tc>
        <w:tc>
          <w:tcPr>
            <w:tcW w:w="2340" w:type="dxa"/>
            <w:shd w:val="clear" w:color="auto" w:fill="FFFFFF"/>
            <w:tcMar>
              <w:top w:w="60" w:type="dxa"/>
              <w:left w:w="80" w:type="dxa"/>
              <w:bottom w:w="60" w:type="dxa"/>
              <w:right w:w="80" w:type="dxa"/>
            </w:tcMar>
          </w:tcPr>
          <w:p w14:paraId="483A4D78" w14:textId="77777777" w:rsidR="00490284" w:rsidRDefault="00CC162A">
            <w:pPr>
              <w:rPr>
                <w:color w:val="000000" w:themeColor="text1"/>
              </w:rPr>
            </w:pPr>
            <w:r>
              <w:rPr>
                <w:color w:val="000000" w:themeColor="text1"/>
                <w:sz w:val="18"/>
              </w:rPr>
              <w:t>Initiated postoperatively (Day 11 onwards)</w:t>
            </w:r>
          </w:p>
        </w:tc>
      </w:tr>
      <w:tr w:rsidR="00490284" w14:paraId="44B0AEEC" w14:textId="77777777">
        <w:trPr>
          <w:jc w:val="center"/>
        </w:trPr>
        <w:tc>
          <w:tcPr>
            <w:tcW w:w="2340" w:type="dxa"/>
            <w:shd w:val="clear" w:color="auto" w:fill="F9FAFC"/>
            <w:tcMar>
              <w:top w:w="60" w:type="dxa"/>
              <w:left w:w="80" w:type="dxa"/>
              <w:bottom w:w="60" w:type="dxa"/>
              <w:right w:w="80" w:type="dxa"/>
            </w:tcMar>
          </w:tcPr>
          <w:p w14:paraId="3B99F4FD" w14:textId="77777777" w:rsidR="00490284" w:rsidRDefault="00CC162A">
            <w:pPr>
              <w:rPr>
                <w:color w:val="000000" w:themeColor="text1"/>
              </w:rPr>
            </w:pPr>
            <w:r>
              <w:rPr>
                <w:b/>
                <w:color w:val="000000" w:themeColor="text1"/>
                <w:sz w:val="18"/>
              </w:rPr>
              <w:t>Piperacillin / Tazobactam</w:t>
            </w:r>
          </w:p>
        </w:tc>
        <w:tc>
          <w:tcPr>
            <w:tcW w:w="2340" w:type="dxa"/>
            <w:shd w:val="clear" w:color="auto" w:fill="F9FAFC"/>
            <w:tcMar>
              <w:top w:w="60" w:type="dxa"/>
              <w:left w:w="80" w:type="dxa"/>
              <w:bottom w:w="60" w:type="dxa"/>
              <w:right w:w="80" w:type="dxa"/>
            </w:tcMar>
          </w:tcPr>
          <w:p w14:paraId="1C586C66" w14:textId="77777777" w:rsidR="00490284" w:rsidRDefault="00CC162A">
            <w:pPr>
              <w:jc w:val="center"/>
              <w:rPr>
                <w:color w:val="000000" w:themeColor="text1"/>
              </w:rPr>
            </w:pPr>
            <w:r>
              <w:rPr>
                <w:color w:val="000000" w:themeColor="text1"/>
                <w:sz w:val="18"/>
              </w:rPr>
              <w:t>&lt;= 4.0</w:t>
            </w:r>
          </w:p>
        </w:tc>
        <w:tc>
          <w:tcPr>
            <w:tcW w:w="2340" w:type="dxa"/>
            <w:shd w:val="clear" w:color="auto" w:fill="F9FAFC"/>
            <w:tcMar>
              <w:top w:w="60" w:type="dxa"/>
              <w:left w:w="80" w:type="dxa"/>
              <w:bottom w:w="60" w:type="dxa"/>
              <w:right w:w="80" w:type="dxa"/>
            </w:tcMar>
          </w:tcPr>
          <w:p w14:paraId="07433A68" w14:textId="77777777" w:rsidR="00490284" w:rsidRDefault="00CC162A">
            <w:pPr>
              <w:jc w:val="center"/>
              <w:rPr>
                <w:color w:val="000000" w:themeColor="text1"/>
              </w:rPr>
            </w:pPr>
            <w:r>
              <w:rPr>
                <w:b/>
                <w:color w:val="000000" w:themeColor="text1"/>
                <w:sz w:val="18"/>
              </w:rPr>
              <w:t>Susceptible (S)</w:t>
            </w:r>
          </w:p>
        </w:tc>
        <w:tc>
          <w:tcPr>
            <w:tcW w:w="2340" w:type="dxa"/>
            <w:shd w:val="clear" w:color="auto" w:fill="F9FAFC"/>
            <w:tcMar>
              <w:top w:w="60" w:type="dxa"/>
              <w:left w:w="80" w:type="dxa"/>
              <w:bottom w:w="60" w:type="dxa"/>
              <w:right w:w="80" w:type="dxa"/>
            </w:tcMar>
          </w:tcPr>
          <w:p w14:paraId="392467D8" w14:textId="77777777" w:rsidR="00490284" w:rsidRDefault="00CC162A">
            <w:pPr>
              <w:rPr>
                <w:color w:val="000000" w:themeColor="text1"/>
              </w:rPr>
            </w:pPr>
            <w:r>
              <w:rPr>
                <w:color w:val="000000" w:themeColor="text1"/>
                <w:sz w:val="18"/>
              </w:rPr>
              <w:t>Effective alternative option</w:t>
            </w:r>
          </w:p>
        </w:tc>
      </w:tr>
      <w:tr w:rsidR="00490284" w14:paraId="116DABCB" w14:textId="77777777">
        <w:trPr>
          <w:jc w:val="center"/>
        </w:trPr>
        <w:tc>
          <w:tcPr>
            <w:tcW w:w="2340" w:type="dxa"/>
            <w:shd w:val="clear" w:color="auto" w:fill="FFFFFF"/>
            <w:tcMar>
              <w:top w:w="60" w:type="dxa"/>
              <w:left w:w="80" w:type="dxa"/>
              <w:bottom w:w="60" w:type="dxa"/>
              <w:right w:w="80" w:type="dxa"/>
            </w:tcMar>
          </w:tcPr>
          <w:p w14:paraId="49336B53" w14:textId="77777777" w:rsidR="00490284" w:rsidRDefault="00CC162A">
            <w:pPr>
              <w:rPr>
                <w:color w:val="000000" w:themeColor="text1"/>
              </w:rPr>
            </w:pPr>
            <w:proofErr w:type="spellStart"/>
            <w:r>
              <w:rPr>
                <w:b/>
                <w:color w:val="000000" w:themeColor="text1"/>
                <w:sz w:val="18"/>
              </w:rPr>
              <w:t>Cefoperazone</w:t>
            </w:r>
            <w:proofErr w:type="spellEnd"/>
            <w:r>
              <w:rPr>
                <w:b/>
                <w:color w:val="000000" w:themeColor="text1"/>
                <w:sz w:val="18"/>
              </w:rPr>
              <w:t xml:space="preserve"> / Sulbactam</w:t>
            </w:r>
          </w:p>
        </w:tc>
        <w:tc>
          <w:tcPr>
            <w:tcW w:w="2340" w:type="dxa"/>
            <w:shd w:val="clear" w:color="auto" w:fill="FFFFFF"/>
            <w:tcMar>
              <w:top w:w="60" w:type="dxa"/>
              <w:left w:w="80" w:type="dxa"/>
              <w:bottom w:w="60" w:type="dxa"/>
              <w:right w:w="80" w:type="dxa"/>
            </w:tcMar>
          </w:tcPr>
          <w:p w14:paraId="54A935F4" w14:textId="77777777" w:rsidR="00490284" w:rsidRDefault="00CC162A">
            <w:pPr>
              <w:jc w:val="center"/>
              <w:rPr>
                <w:color w:val="000000" w:themeColor="text1"/>
              </w:rPr>
            </w:pPr>
            <w:r>
              <w:rPr>
                <w:color w:val="000000" w:themeColor="text1"/>
                <w:sz w:val="18"/>
              </w:rPr>
              <w:t>&lt;= 8.0</w:t>
            </w:r>
          </w:p>
        </w:tc>
        <w:tc>
          <w:tcPr>
            <w:tcW w:w="2340" w:type="dxa"/>
            <w:shd w:val="clear" w:color="auto" w:fill="FFFFFF"/>
            <w:tcMar>
              <w:top w:w="60" w:type="dxa"/>
              <w:left w:w="80" w:type="dxa"/>
              <w:bottom w:w="60" w:type="dxa"/>
              <w:right w:w="80" w:type="dxa"/>
            </w:tcMar>
          </w:tcPr>
          <w:p w14:paraId="7A87B392" w14:textId="77777777" w:rsidR="00490284" w:rsidRDefault="00CC162A">
            <w:pPr>
              <w:jc w:val="center"/>
              <w:rPr>
                <w:color w:val="000000" w:themeColor="text1"/>
              </w:rPr>
            </w:pPr>
            <w:r>
              <w:rPr>
                <w:b/>
                <w:color w:val="000000" w:themeColor="text1"/>
                <w:sz w:val="18"/>
              </w:rPr>
              <w:t>Susceptible (S)</w:t>
            </w:r>
          </w:p>
        </w:tc>
        <w:tc>
          <w:tcPr>
            <w:tcW w:w="2340" w:type="dxa"/>
            <w:shd w:val="clear" w:color="auto" w:fill="FFFFFF"/>
            <w:tcMar>
              <w:top w:w="60" w:type="dxa"/>
              <w:left w:w="80" w:type="dxa"/>
              <w:bottom w:w="60" w:type="dxa"/>
              <w:right w:w="80" w:type="dxa"/>
            </w:tcMar>
          </w:tcPr>
          <w:p w14:paraId="4300D163" w14:textId="77777777" w:rsidR="00490284" w:rsidRDefault="00CC162A">
            <w:pPr>
              <w:rPr>
                <w:color w:val="000000" w:themeColor="text1"/>
              </w:rPr>
            </w:pPr>
            <w:r>
              <w:rPr>
                <w:color w:val="000000" w:themeColor="text1"/>
                <w:sz w:val="18"/>
              </w:rPr>
              <w:t>Effective beta-lactamase inhibitor combination</w:t>
            </w:r>
          </w:p>
        </w:tc>
      </w:tr>
      <w:tr w:rsidR="00490284" w14:paraId="70E5AD00" w14:textId="77777777">
        <w:trPr>
          <w:jc w:val="center"/>
        </w:trPr>
        <w:tc>
          <w:tcPr>
            <w:tcW w:w="2340" w:type="dxa"/>
            <w:shd w:val="clear" w:color="auto" w:fill="F9FAFC"/>
            <w:tcMar>
              <w:top w:w="60" w:type="dxa"/>
              <w:left w:w="80" w:type="dxa"/>
              <w:bottom w:w="60" w:type="dxa"/>
              <w:right w:w="80" w:type="dxa"/>
            </w:tcMar>
          </w:tcPr>
          <w:p w14:paraId="376442A5" w14:textId="77777777" w:rsidR="00490284" w:rsidRDefault="00CC162A">
            <w:pPr>
              <w:rPr>
                <w:color w:val="000000" w:themeColor="text1"/>
              </w:rPr>
            </w:pPr>
            <w:r>
              <w:rPr>
                <w:b/>
                <w:color w:val="000000" w:themeColor="text1"/>
                <w:sz w:val="18"/>
              </w:rPr>
              <w:t>Aztreonam</w:t>
            </w:r>
          </w:p>
        </w:tc>
        <w:tc>
          <w:tcPr>
            <w:tcW w:w="2340" w:type="dxa"/>
            <w:shd w:val="clear" w:color="auto" w:fill="F9FAFC"/>
            <w:tcMar>
              <w:top w:w="60" w:type="dxa"/>
              <w:left w:w="80" w:type="dxa"/>
              <w:bottom w:w="60" w:type="dxa"/>
              <w:right w:w="80" w:type="dxa"/>
            </w:tcMar>
          </w:tcPr>
          <w:p w14:paraId="1C5D7AC0" w14:textId="77777777" w:rsidR="00490284" w:rsidRDefault="00CC162A">
            <w:pPr>
              <w:jc w:val="center"/>
              <w:rPr>
                <w:color w:val="000000" w:themeColor="text1"/>
              </w:rPr>
            </w:pPr>
            <w:r>
              <w:rPr>
                <w:color w:val="000000" w:themeColor="text1"/>
                <w:sz w:val="18"/>
              </w:rPr>
              <w:t>4.0</w:t>
            </w:r>
          </w:p>
        </w:tc>
        <w:tc>
          <w:tcPr>
            <w:tcW w:w="2340" w:type="dxa"/>
            <w:shd w:val="clear" w:color="auto" w:fill="F9FAFC"/>
            <w:tcMar>
              <w:top w:w="60" w:type="dxa"/>
              <w:left w:w="80" w:type="dxa"/>
              <w:bottom w:w="60" w:type="dxa"/>
              <w:right w:w="80" w:type="dxa"/>
            </w:tcMar>
          </w:tcPr>
          <w:p w14:paraId="493AE42D" w14:textId="77777777" w:rsidR="00490284" w:rsidRDefault="00CC162A">
            <w:pPr>
              <w:jc w:val="center"/>
              <w:rPr>
                <w:color w:val="000000" w:themeColor="text1"/>
              </w:rPr>
            </w:pPr>
            <w:r>
              <w:rPr>
                <w:b/>
                <w:color w:val="000000" w:themeColor="text1"/>
                <w:sz w:val="18"/>
              </w:rPr>
              <w:t>Susceptible (S)</w:t>
            </w:r>
          </w:p>
        </w:tc>
        <w:tc>
          <w:tcPr>
            <w:tcW w:w="2340" w:type="dxa"/>
            <w:shd w:val="clear" w:color="auto" w:fill="F9FAFC"/>
            <w:tcMar>
              <w:top w:w="60" w:type="dxa"/>
              <w:left w:w="80" w:type="dxa"/>
              <w:bottom w:w="60" w:type="dxa"/>
              <w:right w:w="80" w:type="dxa"/>
            </w:tcMar>
          </w:tcPr>
          <w:p w14:paraId="735076AD" w14:textId="77777777" w:rsidR="00490284" w:rsidRDefault="00CC162A">
            <w:pPr>
              <w:rPr>
                <w:color w:val="000000" w:themeColor="text1"/>
              </w:rPr>
            </w:pPr>
            <w:r>
              <w:rPr>
                <w:color w:val="000000" w:themeColor="text1"/>
                <w:sz w:val="18"/>
              </w:rPr>
              <w:t>Monobactam sensitive</w:t>
            </w:r>
          </w:p>
        </w:tc>
      </w:tr>
      <w:tr w:rsidR="00490284" w14:paraId="1B6BAD80" w14:textId="77777777">
        <w:trPr>
          <w:jc w:val="center"/>
        </w:trPr>
        <w:tc>
          <w:tcPr>
            <w:tcW w:w="2340" w:type="dxa"/>
            <w:shd w:val="clear" w:color="auto" w:fill="FFFFFF"/>
            <w:tcMar>
              <w:top w:w="60" w:type="dxa"/>
              <w:left w:w="80" w:type="dxa"/>
              <w:bottom w:w="60" w:type="dxa"/>
              <w:right w:w="80" w:type="dxa"/>
            </w:tcMar>
          </w:tcPr>
          <w:p w14:paraId="362AD768" w14:textId="77777777" w:rsidR="00490284" w:rsidRDefault="00CC162A">
            <w:pPr>
              <w:rPr>
                <w:color w:val="000000" w:themeColor="text1"/>
              </w:rPr>
            </w:pPr>
            <w:r>
              <w:rPr>
                <w:b/>
                <w:color w:val="000000" w:themeColor="text1"/>
                <w:sz w:val="18"/>
              </w:rPr>
              <w:t>Fosfomycin</w:t>
            </w:r>
          </w:p>
        </w:tc>
        <w:tc>
          <w:tcPr>
            <w:tcW w:w="2340" w:type="dxa"/>
            <w:shd w:val="clear" w:color="auto" w:fill="FFFFFF"/>
            <w:tcMar>
              <w:top w:w="60" w:type="dxa"/>
              <w:left w:w="80" w:type="dxa"/>
              <w:bottom w:w="60" w:type="dxa"/>
              <w:right w:w="80" w:type="dxa"/>
            </w:tcMar>
          </w:tcPr>
          <w:p w14:paraId="249674BE" w14:textId="77777777" w:rsidR="00490284" w:rsidRDefault="00CC162A">
            <w:pPr>
              <w:jc w:val="center"/>
              <w:rPr>
                <w:color w:val="000000" w:themeColor="text1"/>
              </w:rPr>
            </w:pPr>
            <w:r>
              <w:rPr>
                <w:color w:val="000000" w:themeColor="text1"/>
                <w:sz w:val="18"/>
              </w:rPr>
              <w:t>&lt;= 16.0</w:t>
            </w:r>
          </w:p>
        </w:tc>
        <w:tc>
          <w:tcPr>
            <w:tcW w:w="2340" w:type="dxa"/>
            <w:shd w:val="clear" w:color="auto" w:fill="FFFFFF"/>
            <w:tcMar>
              <w:top w:w="60" w:type="dxa"/>
              <w:left w:w="80" w:type="dxa"/>
              <w:bottom w:w="60" w:type="dxa"/>
              <w:right w:w="80" w:type="dxa"/>
            </w:tcMar>
          </w:tcPr>
          <w:p w14:paraId="3B096D33" w14:textId="77777777" w:rsidR="00490284" w:rsidRDefault="00CC162A">
            <w:pPr>
              <w:jc w:val="center"/>
              <w:rPr>
                <w:color w:val="000000" w:themeColor="text1"/>
              </w:rPr>
            </w:pPr>
            <w:r>
              <w:rPr>
                <w:b/>
                <w:color w:val="000000" w:themeColor="text1"/>
                <w:sz w:val="18"/>
              </w:rPr>
              <w:t>Susceptible (S)</w:t>
            </w:r>
          </w:p>
        </w:tc>
        <w:tc>
          <w:tcPr>
            <w:tcW w:w="2340" w:type="dxa"/>
            <w:shd w:val="clear" w:color="auto" w:fill="FFFFFF"/>
            <w:tcMar>
              <w:top w:w="60" w:type="dxa"/>
              <w:left w:w="80" w:type="dxa"/>
              <w:bottom w:w="60" w:type="dxa"/>
              <w:right w:w="80" w:type="dxa"/>
            </w:tcMar>
          </w:tcPr>
          <w:p w14:paraId="73AEFEA3" w14:textId="77777777" w:rsidR="00490284" w:rsidRDefault="00CC162A">
            <w:pPr>
              <w:rPr>
                <w:color w:val="000000" w:themeColor="text1"/>
              </w:rPr>
            </w:pPr>
            <w:r>
              <w:rPr>
                <w:color w:val="000000" w:themeColor="text1"/>
                <w:sz w:val="18"/>
              </w:rPr>
              <w:t>Sensitive</w:t>
            </w:r>
          </w:p>
        </w:tc>
      </w:tr>
      <w:tr w:rsidR="00490284" w14:paraId="1DFEFD75" w14:textId="77777777">
        <w:trPr>
          <w:jc w:val="center"/>
        </w:trPr>
        <w:tc>
          <w:tcPr>
            <w:tcW w:w="2340" w:type="dxa"/>
            <w:shd w:val="clear" w:color="auto" w:fill="F9FAFC"/>
            <w:tcMar>
              <w:top w:w="60" w:type="dxa"/>
              <w:left w:w="80" w:type="dxa"/>
              <w:bottom w:w="60" w:type="dxa"/>
              <w:right w:w="80" w:type="dxa"/>
            </w:tcMar>
          </w:tcPr>
          <w:p w14:paraId="0CEBCBC3" w14:textId="77777777" w:rsidR="00490284" w:rsidRDefault="00CC162A">
            <w:pPr>
              <w:rPr>
                <w:color w:val="000000" w:themeColor="text1"/>
              </w:rPr>
            </w:pPr>
            <w:r>
              <w:rPr>
                <w:b/>
                <w:color w:val="000000" w:themeColor="text1"/>
                <w:sz w:val="18"/>
              </w:rPr>
              <w:t>Amikacin</w:t>
            </w:r>
          </w:p>
        </w:tc>
        <w:tc>
          <w:tcPr>
            <w:tcW w:w="2340" w:type="dxa"/>
            <w:shd w:val="clear" w:color="auto" w:fill="F9FAFC"/>
            <w:tcMar>
              <w:top w:w="60" w:type="dxa"/>
              <w:left w:w="80" w:type="dxa"/>
              <w:bottom w:w="60" w:type="dxa"/>
              <w:right w:w="80" w:type="dxa"/>
            </w:tcMar>
          </w:tcPr>
          <w:p w14:paraId="4CF4BD86" w14:textId="77777777" w:rsidR="00490284" w:rsidRDefault="00CC162A">
            <w:pPr>
              <w:jc w:val="center"/>
              <w:rPr>
                <w:color w:val="000000" w:themeColor="text1"/>
              </w:rPr>
            </w:pPr>
            <w:r>
              <w:rPr>
                <w:color w:val="000000" w:themeColor="text1"/>
                <w:sz w:val="18"/>
              </w:rPr>
              <w:t>16.0</w:t>
            </w:r>
          </w:p>
        </w:tc>
        <w:tc>
          <w:tcPr>
            <w:tcW w:w="2340" w:type="dxa"/>
            <w:shd w:val="clear" w:color="auto" w:fill="F9FAFC"/>
            <w:tcMar>
              <w:top w:w="60" w:type="dxa"/>
              <w:left w:w="80" w:type="dxa"/>
              <w:bottom w:w="60" w:type="dxa"/>
              <w:right w:w="80" w:type="dxa"/>
            </w:tcMar>
          </w:tcPr>
          <w:p w14:paraId="641794AB" w14:textId="77777777" w:rsidR="00490284" w:rsidRDefault="00CC162A">
            <w:pPr>
              <w:jc w:val="center"/>
              <w:rPr>
                <w:color w:val="000000" w:themeColor="text1"/>
              </w:rPr>
            </w:pPr>
            <w:r>
              <w:rPr>
                <w:color w:val="000000" w:themeColor="text1"/>
                <w:sz w:val="18"/>
              </w:rPr>
              <w:t>Intermediate (I)</w:t>
            </w:r>
          </w:p>
        </w:tc>
        <w:tc>
          <w:tcPr>
            <w:tcW w:w="2340" w:type="dxa"/>
            <w:shd w:val="clear" w:color="auto" w:fill="F9FAFC"/>
            <w:tcMar>
              <w:top w:w="60" w:type="dxa"/>
              <w:left w:w="80" w:type="dxa"/>
              <w:bottom w:w="60" w:type="dxa"/>
              <w:right w:w="80" w:type="dxa"/>
            </w:tcMar>
          </w:tcPr>
          <w:p w14:paraId="77AF5FE6" w14:textId="77777777" w:rsidR="00490284" w:rsidRDefault="00CC162A">
            <w:pPr>
              <w:rPr>
                <w:color w:val="000000" w:themeColor="text1"/>
              </w:rPr>
            </w:pPr>
            <w:r>
              <w:rPr>
                <w:color w:val="000000" w:themeColor="text1"/>
                <w:sz w:val="18"/>
              </w:rPr>
              <w:t>Administered empirically, then discontinued</w:t>
            </w:r>
          </w:p>
        </w:tc>
      </w:tr>
      <w:tr w:rsidR="00490284" w14:paraId="496ED29B" w14:textId="77777777">
        <w:trPr>
          <w:jc w:val="center"/>
        </w:trPr>
        <w:tc>
          <w:tcPr>
            <w:tcW w:w="2340" w:type="dxa"/>
            <w:shd w:val="clear" w:color="auto" w:fill="FFFFFF"/>
            <w:tcMar>
              <w:top w:w="60" w:type="dxa"/>
              <w:left w:w="80" w:type="dxa"/>
              <w:bottom w:w="60" w:type="dxa"/>
              <w:right w:w="80" w:type="dxa"/>
            </w:tcMar>
          </w:tcPr>
          <w:p w14:paraId="5A4E3191" w14:textId="77777777" w:rsidR="00490284" w:rsidRDefault="00CC162A">
            <w:pPr>
              <w:rPr>
                <w:color w:val="000000" w:themeColor="text1"/>
              </w:rPr>
            </w:pPr>
            <w:r>
              <w:rPr>
                <w:b/>
                <w:color w:val="000000" w:themeColor="text1"/>
                <w:sz w:val="18"/>
              </w:rPr>
              <w:t>Gentamicin</w:t>
            </w:r>
          </w:p>
        </w:tc>
        <w:tc>
          <w:tcPr>
            <w:tcW w:w="2340" w:type="dxa"/>
            <w:shd w:val="clear" w:color="auto" w:fill="FFFFFF"/>
            <w:tcMar>
              <w:top w:w="60" w:type="dxa"/>
              <w:left w:w="80" w:type="dxa"/>
              <w:bottom w:w="60" w:type="dxa"/>
              <w:right w:w="80" w:type="dxa"/>
            </w:tcMar>
          </w:tcPr>
          <w:p w14:paraId="04D06D22" w14:textId="77777777" w:rsidR="00490284" w:rsidRDefault="00CC162A">
            <w:pPr>
              <w:jc w:val="center"/>
              <w:rPr>
                <w:color w:val="000000" w:themeColor="text1"/>
              </w:rPr>
            </w:pPr>
            <w:r>
              <w:rPr>
                <w:color w:val="000000" w:themeColor="text1"/>
                <w:sz w:val="18"/>
              </w:rPr>
              <w:t>4.0</w:t>
            </w:r>
          </w:p>
        </w:tc>
        <w:tc>
          <w:tcPr>
            <w:tcW w:w="2340" w:type="dxa"/>
            <w:shd w:val="clear" w:color="auto" w:fill="FFFFFF"/>
            <w:tcMar>
              <w:top w:w="60" w:type="dxa"/>
              <w:left w:w="80" w:type="dxa"/>
              <w:bottom w:w="60" w:type="dxa"/>
              <w:right w:w="80" w:type="dxa"/>
            </w:tcMar>
          </w:tcPr>
          <w:p w14:paraId="4AF76294" w14:textId="77777777" w:rsidR="00490284" w:rsidRDefault="00CC162A">
            <w:pPr>
              <w:jc w:val="center"/>
              <w:rPr>
                <w:color w:val="000000" w:themeColor="text1"/>
              </w:rPr>
            </w:pPr>
            <w:r>
              <w:rPr>
                <w:color w:val="000000" w:themeColor="text1"/>
                <w:sz w:val="18"/>
              </w:rPr>
              <w:t>Intermediate (I)</w:t>
            </w:r>
          </w:p>
        </w:tc>
        <w:tc>
          <w:tcPr>
            <w:tcW w:w="2340" w:type="dxa"/>
            <w:shd w:val="clear" w:color="auto" w:fill="FFFFFF"/>
            <w:tcMar>
              <w:top w:w="60" w:type="dxa"/>
              <w:left w:w="80" w:type="dxa"/>
              <w:bottom w:w="60" w:type="dxa"/>
              <w:right w:w="80" w:type="dxa"/>
            </w:tcMar>
          </w:tcPr>
          <w:p w14:paraId="0F8DAE92" w14:textId="77777777" w:rsidR="00490284" w:rsidRDefault="00CC162A">
            <w:pPr>
              <w:rPr>
                <w:color w:val="000000" w:themeColor="text1"/>
              </w:rPr>
            </w:pPr>
            <w:r>
              <w:rPr>
                <w:color w:val="000000" w:themeColor="text1"/>
                <w:sz w:val="18"/>
              </w:rPr>
              <w:t>Not recommended</w:t>
            </w:r>
          </w:p>
        </w:tc>
      </w:tr>
      <w:tr w:rsidR="00490284" w14:paraId="6A829B1A" w14:textId="77777777">
        <w:trPr>
          <w:jc w:val="center"/>
        </w:trPr>
        <w:tc>
          <w:tcPr>
            <w:tcW w:w="2340" w:type="dxa"/>
            <w:shd w:val="clear" w:color="auto" w:fill="F9FAFC"/>
            <w:tcMar>
              <w:top w:w="60" w:type="dxa"/>
              <w:left w:w="80" w:type="dxa"/>
              <w:bottom w:w="60" w:type="dxa"/>
              <w:right w:w="80" w:type="dxa"/>
            </w:tcMar>
          </w:tcPr>
          <w:p w14:paraId="3B926DA9" w14:textId="77777777" w:rsidR="00490284" w:rsidRDefault="00CC162A">
            <w:pPr>
              <w:rPr>
                <w:color w:val="000000" w:themeColor="text1"/>
              </w:rPr>
            </w:pPr>
            <w:r>
              <w:rPr>
                <w:b/>
                <w:color w:val="000000" w:themeColor="text1"/>
                <w:sz w:val="18"/>
              </w:rPr>
              <w:t>Ceftazidime</w:t>
            </w:r>
          </w:p>
        </w:tc>
        <w:tc>
          <w:tcPr>
            <w:tcW w:w="2340" w:type="dxa"/>
            <w:shd w:val="clear" w:color="auto" w:fill="F9FAFC"/>
            <w:tcMar>
              <w:top w:w="60" w:type="dxa"/>
              <w:left w:w="80" w:type="dxa"/>
              <w:bottom w:w="60" w:type="dxa"/>
              <w:right w:w="80" w:type="dxa"/>
            </w:tcMar>
          </w:tcPr>
          <w:p w14:paraId="7B85AEB4" w14:textId="77777777" w:rsidR="00490284" w:rsidRDefault="00CC162A">
            <w:pPr>
              <w:jc w:val="center"/>
              <w:rPr>
                <w:color w:val="000000" w:themeColor="text1"/>
              </w:rPr>
            </w:pPr>
            <w:r>
              <w:rPr>
                <w:color w:val="000000" w:themeColor="text1"/>
                <w:sz w:val="18"/>
              </w:rPr>
              <w:t>&gt;= 64.0</w:t>
            </w:r>
          </w:p>
        </w:tc>
        <w:tc>
          <w:tcPr>
            <w:tcW w:w="2340" w:type="dxa"/>
            <w:shd w:val="clear" w:color="auto" w:fill="F9FAFC"/>
            <w:tcMar>
              <w:top w:w="60" w:type="dxa"/>
              <w:left w:w="80" w:type="dxa"/>
              <w:bottom w:w="60" w:type="dxa"/>
              <w:right w:w="80" w:type="dxa"/>
            </w:tcMar>
          </w:tcPr>
          <w:p w14:paraId="528C2614"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659D9C50" w14:textId="77777777" w:rsidR="00490284" w:rsidRDefault="00CC162A">
            <w:pPr>
              <w:rPr>
                <w:color w:val="000000" w:themeColor="text1"/>
              </w:rPr>
            </w:pPr>
            <w:r>
              <w:rPr>
                <w:color w:val="000000" w:themeColor="text1"/>
                <w:sz w:val="18"/>
              </w:rPr>
              <w:t>Resistant 3rd gen cephalosporin</w:t>
            </w:r>
          </w:p>
        </w:tc>
      </w:tr>
      <w:tr w:rsidR="00490284" w14:paraId="495933A4" w14:textId="77777777">
        <w:trPr>
          <w:jc w:val="center"/>
        </w:trPr>
        <w:tc>
          <w:tcPr>
            <w:tcW w:w="2340" w:type="dxa"/>
            <w:shd w:val="clear" w:color="auto" w:fill="FFFFFF"/>
            <w:tcMar>
              <w:top w:w="60" w:type="dxa"/>
              <w:left w:w="80" w:type="dxa"/>
              <w:bottom w:w="60" w:type="dxa"/>
              <w:right w:w="80" w:type="dxa"/>
            </w:tcMar>
          </w:tcPr>
          <w:p w14:paraId="2F851FD2" w14:textId="77777777" w:rsidR="00490284" w:rsidRDefault="00CC162A">
            <w:pPr>
              <w:rPr>
                <w:color w:val="000000" w:themeColor="text1"/>
              </w:rPr>
            </w:pPr>
            <w:r>
              <w:rPr>
                <w:b/>
                <w:color w:val="000000" w:themeColor="text1"/>
                <w:sz w:val="18"/>
              </w:rPr>
              <w:lastRenderedPageBreak/>
              <w:t>Cefepime</w:t>
            </w:r>
          </w:p>
        </w:tc>
        <w:tc>
          <w:tcPr>
            <w:tcW w:w="2340" w:type="dxa"/>
            <w:shd w:val="clear" w:color="auto" w:fill="FFFFFF"/>
            <w:tcMar>
              <w:top w:w="60" w:type="dxa"/>
              <w:left w:w="80" w:type="dxa"/>
              <w:bottom w:w="60" w:type="dxa"/>
              <w:right w:w="80" w:type="dxa"/>
            </w:tcMar>
          </w:tcPr>
          <w:p w14:paraId="212279EE" w14:textId="77777777" w:rsidR="00490284" w:rsidRDefault="00CC162A">
            <w:pPr>
              <w:jc w:val="center"/>
              <w:rPr>
                <w:color w:val="000000" w:themeColor="text1"/>
              </w:rPr>
            </w:pPr>
            <w:r>
              <w:rPr>
                <w:color w:val="000000" w:themeColor="text1"/>
                <w:sz w:val="18"/>
              </w:rPr>
              <w:t>8.0</w:t>
            </w:r>
          </w:p>
        </w:tc>
        <w:tc>
          <w:tcPr>
            <w:tcW w:w="2340" w:type="dxa"/>
            <w:shd w:val="clear" w:color="auto" w:fill="FFFFFF"/>
            <w:tcMar>
              <w:top w:w="60" w:type="dxa"/>
              <w:left w:w="80" w:type="dxa"/>
              <w:bottom w:w="60" w:type="dxa"/>
              <w:right w:w="80" w:type="dxa"/>
            </w:tcMar>
          </w:tcPr>
          <w:p w14:paraId="42AC739B" w14:textId="77777777" w:rsidR="00490284" w:rsidRDefault="00CC162A">
            <w:pPr>
              <w:jc w:val="center"/>
              <w:rPr>
                <w:color w:val="000000" w:themeColor="text1"/>
              </w:rPr>
            </w:pPr>
            <w:r>
              <w:rPr>
                <w:color w:val="000000" w:themeColor="text1"/>
                <w:sz w:val="18"/>
              </w:rPr>
              <w:t>SDD (Dose-Dependent)</w:t>
            </w:r>
          </w:p>
        </w:tc>
        <w:tc>
          <w:tcPr>
            <w:tcW w:w="2340" w:type="dxa"/>
            <w:shd w:val="clear" w:color="auto" w:fill="FFFFFF"/>
            <w:tcMar>
              <w:top w:w="60" w:type="dxa"/>
              <w:left w:w="80" w:type="dxa"/>
              <w:bottom w:w="60" w:type="dxa"/>
              <w:right w:w="80" w:type="dxa"/>
            </w:tcMar>
          </w:tcPr>
          <w:p w14:paraId="6CDBDA79" w14:textId="77777777" w:rsidR="00490284" w:rsidRDefault="00CC162A">
            <w:pPr>
              <w:rPr>
                <w:color w:val="000000" w:themeColor="text1"/>
              </w:rPr>
            </w:pPr>
            <w:r>
              <w:rPr>
                <w:color w:val="000000" w:themeColor="text1"/>
                <w:sz w:val="18"/>
              </w:rPr>
              <w:t>Avoided due to high MIC</w:t>
            </w:r>
          </w:p>
        </w:tc>
      </w:tr>
      <w:tr w:rsidR="00490284" w14:paraId="44FE64EF" w14:textId="77777777">
        <w:trPr>
          <w:jc w:val="center"/>
        </w:trPr>
        <w:tc>
          <w:tcPr>
            <w:tcW w:w="2340" w:type="dxa"/>
            <w:shd w:val="clear" w:color="auto" w:fill="F9FAFC"/>
            <w:tcMar>
              <w:top w:w="60" w:type="dxa"/>
              <w:left w:w="80" w:type="dxa"/>
              <w:bottom w:w="60" w:type="dxa"/>
              <w:right w:w="80" w:type="dxa"/>
            </w:tcMar>
          </w:tcPr>
          <w:p w14:paraId="7E1EF2C4" w14:textId="77777777" w:rsidR="00490284" w:rsidRDefault="00CC162A">
            <w:pPr>
              <w:rPr>
                <w:color w:val="000000" w:themeColor="text1"/>
              </w:rPr>
            </w:pPr>
            <w:r>
              <w:rPr>
                <w:b/>
                <w:color w:val="000000" w:themeColor="text1"/>
                <w:sz w:val="18"/>
              </w:rPr>
              <w:t>Ciprofloxacin</w:t>
            </w:r>
          </w:p>
        </w:tc>
        <w:tc>
          <w:tcPr>
            <w:tcW w:w="2340" w:type="dxa"/>
            <w:shd w:val="clear" w:color="auto" w:fill="F9FAFC"/>
            <w:tcMar>
              <w:top w:w="60" w:type="dxa"/>
              <w:left w:w="80" w:type="dxa"/>
              <w:bottom w:w="60" w:type="dxa"/>
              <w:right w:w="80" w:type="dxa"/>
            </w:tcMar>
          </w:tcPr>
          <w:p w14:paraId="04544164" w14:textId="77777777" w:rsidR="00490284" w:rsidRDefault="00CC162A">
            <w:pPr>
              <w:jc w:val="center"/>
              <w:rPr>
                <w:color w:val="000000" w:themeColor="text1"/>
              </w:rPr>
            </w:pPr>
            <w:r>
              <w:rPr>
                <w:color w:val="000000" w:themeColor="text1"/>
                <w:sz w:val="18"/>
              </w:rPr>
              <w:t>&gt;= 4.0</w:t>
            </w:r>
          </w:p>
        </w:tc>
        <w:tc>
          <w:tcPr>
            <w:tcW w:w="2340" w:type="dxa"/>
            <w:shd w:val="clear" w:color="auto" w:fill="F9FAFC"/>
            <w:tcMar>
              <w:top w:w="60" w:type="dxa"/>
              <w:left w:w="80" w:type="dxa"/>
              <w:bottom w:w="60" w:type="dxa"/>
              <w:right w:w="80" w:type="dxa"/>
            </w:tcMar>
          </w:tcPr>
          <w:p w14:paraId="2F5D5A4B"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2B5DB53B" w14:textId="77777777" w:rsidR="00490284" w:rsidRDefault="00CC162A">
            <w:pPr>
              <w:rPr>
                <w:color w:val="000000" w:themeColor="text1"/>
              </w:rPr>
            </w:pPr>
            <w:r>
              <w:rPr>
                <w:color w:val="000000" w:themeColor="text1"/>
                <w:sz w:val="18"/>
              </w:rPr>
              <w:t>Fluoroquinolone resistance</w:t>
            </w:r>
          </w:p>
        </w:tc>
      </w:tr>
      <w:tr w:rsidR="00490284" w14:paraId="21970C5B" w14:textId="77777777">
        <w:trPr>
          <w:jc w:val="center"/>
        </w:trPr>
        <w:tc>
          <w:tcPr>
            <w:tcW w:w="2340" w:type="dxa"/>
            <w:shd w:val="clear" w:color="auto" w:fill="FFFFFF"/>
            <w:tcMar>
              <w:top w:w="60" w:type="dxa"/>
              <w:left w:w="80" w:type="dxa"/>
              <w:bottom w:w="60" w:type="dxa"/>
              <w:right w:w="80" w:type="dxa"/>
            </w:tcMar>
          </w:tcPr>
          <w:p w14:paraId="6E73101E" w14:textId="77777777" w:rsidR="00490284" w:rsidRDefault="00CC162A">
            <w:pPr>
              <w:rPr>
                <w:color w:val="000000" w:themeColor="text1"/>
              </w:rPr>
            </w:pPr>
            <w:r>
              <w:rPr>
                <w:b/>
                <w:color w:val="000000" w:themeColor="text1"/>
                <w:sz w:val="18"/>
              </w:rPr>
              <w:t>Levofloxacin</w:t>
            </w:r>
          </w:p>
        </w:tc>
        <w:tc>
          <w:tcPr>
            <w:tcW w:w="2340" w:type="dxa"/>
            <w:shd w:val="clear" w:color="auto" w:fill="FFFFFF"/>
            <w:tcMar>
              <w:top w:w="60" w:type="dxa"/>
              <w:left w:w="80" w:type="dxa"/>
              <w:bottom w:w="60" w:type="dxa"/>
              <w:right w:w="80" w:type="dxa"/>
            </w:tcMar>
          </w:tcPr>
          <w:p w14:paraId="4F3E534C" w14:textId="77777777" w:rsidR="00490284" w:rsidRDefault="00CC162A">
            <w:pPr>
              <w:jc w:val="center"/>
              <w:rPr>
                <w:color w:val="000000" w:themeColor="text1"/>
              </w:rPr>
            </w:pPr>
            <w:r>
              <w:rPr>
                <w:color w:val="000000" w:themeColor="text1"/>
                <w:sz w:val="18"/>
              </w:rPr>
              <w:t>&gt;= 8.0</w:t>
            </w:r>
          </w:p>
        </w:tc>
        <w:tc>
          <w:tcPr>
            <w:tcW w:w="2340" w:type="dxa"/>
            <w:shd w:val="clear" w:color="auto" w:fill="FFFFFF"/>
            <w:tcMar>
              <w:top w:w="60" w:type="dxa"/>
              <w:left w:w="80" w:type="dxa"/>
              <w:bottom w:w="60" w:type="dxa"/>
              <w:right w:w="80" w:type="dxa"/>
            </w:tcMar>
          </w:tcPr>
          <w:p w14:paraId="250E62F4" w14:textId="77777777" w:rsidR="00490284" w:rsidRDefault="00CC162A">
            <w:pPr>
              <w:jc w:val="center"/>
              <w:rPr>
                <w:color w:val="000000" w:themeColor="text1"/>
              </w:rPr>
            </w:pPr>
            <w:r>
              <w:rPr>
                <w:b/>
                <w:color w:val="000000" w:themeColor="text1"/>
                <w:sz w:val="18"/>
              </w:rPr>
              <w:t>Resistant (R)</w:t>
            </w:r>
          </w:p>
        </w:tc>
        <w:tc>
          <w:tcPr>
            <w:tcW w:w="2340" w:type="dxa"/>
            <w:shd w:val="clear" w:color="auto" w:fill="FFFFFF"/>
            <w:tcMar>
              <w:top w:w="60" w:type="dxa"/>
              <w:left w:w="80" w:type="dxa"/>
              <w:bottom w:w="60" w:type="dxa"/>
              <w:right w:w="80" w:type="dxa"/>
            </w:tcMar>
          </w:tcPr>
          <w:p w14:paraId="33F6E409" w14:textId="77777777" w:rsidR="00490284" w:rsidRDefault="00CC162A">
            <w:pPr>
              <w:rPr>
                <w:color w:val="000000" w:themeColor="text1"/>
              </w:rPr>
            </w:pPr>
            <w:r>
              <w:rPr>
                <w:color w:val="000000" w:themeColor="text1"/>
                <w:sz w:val="18"/>
              </w:rPr>
              <w:t>Fluoroquinolone resistance</w:t>
            </w:r>
          </w:p>
        </w:tc>
      </w:tr>
      <w:tr w:rsidR="00490284" w14:paraId="1C646561" w14:textId="77777777">
        <w:trPr>
          <w:jc w:val="center"/>
        </w:trPr>
        <w:tc>
          <w:tcPr>
            <w:tcW w:w="2340" w:type="dxa"/>
            <w:shd w:val="clear" w:color="auto" w:fill="F9FAFC"/>
            <w:tcMar>
              <w:top w:w="60" w:type="dxa"/>
              <w:left w:w="80" w:type="dxa"/>
              <w:bottom w:w="60" w:type="dxa"/>
              <w:right w:w="80" w:type="dxa"/>
            </w:tcMar>
          </w:tcPr>
          <w:p w14:paraId="3AC1C5CB" w14:textId="77777777" w:rsidR="00490284" w:rsidRDefault="00CC162A">
            <w:pPr>
              <w:rPr>
                <w:color w:val="000000" w:themeColor="text1"/>
              </w:rPr>
            </w:pPr>
            <w:r>
              <w:rPr>
                <w:b/>
                <w:color w:val="000000" w:themeColor="text1"/>
                <w:sz w:val="18"/>
              </w:rPr>
              <w:t>Minocycline</w:t>
            </w:r>
          </w:p>
        </w:tc>
        <w:tc>
          <w:tcPr>
            <w:tcW w:w="2340" w:type="dxa"/>
            <w:shd w:val="clear" w:color="auto" w:fill="F9FAFC"/>
            <w:tcMar>
              <w:top w:w="60" w:type="dxa"/>
              <w:left w:w="80" w:type="dxa"/>
              <w:bottom w:w="60" w:type="dxa"/>
              <w:right w:w="80" w:type="dxa"/>
            </w:tcMar>
          </w:tcPr>
          <w:p w14:paraId="36CDC235" w14:textId="77777777" w:rsidR="00490284" w:rsidRDefault="00CC162A">
            <w:pPr>
              <w:jc w:val="center"/>
              <w:rPr>
                <w:color w:val="000000" w:themeColor="text1"/>
              </w:rPr>
            </w:pPr>
            <w:r>
              <w:rPr>
                <w:color w:val="000000" w:themeColor="text1"/>
                <w:sz w:val="18"/>
              </w:rPr>
              <w:t>&gt;= 32.0</w:t>
            </w:r>
          </w:p>
        </w:tc>
        <w:tc>
          <w:tcPr>
            <w:tcW w:w="2340" w:type="dxa"/>
            <w:shd w:val="clear" w:color="auto" w:fill="F9FAFC"/>
            <w:tcMar>
              <w:top w:w="60" w:type="dxa"/>
              <w:left w:w="80" w:type="dxa"/>
              <w:bottom w:w="60" w:type="dxa"/>
              <w:right w:w="80" w:type="dxa"/>
            </w:tcMar>
          </w:tcPr>
          <w:p w14:paraId="0EA02D58"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31F84463" w14:textId="77777777" w:rsidR="00490284" w:rsidRDefault="00CC162A">
            <w:pPr>
              <w:rPr>
                <w:color w:val="000000" w:themeColor="text1"/>
              </w:rPr>
            </w:pPr>
            <w:r>
              <w:rPr>
                <w:color w:val="000000" w:themeColor="text1"/>
                <w:sz w:val="18"/>
              </w:rPr>
              <w:t>Tetracycline resistance</w:t>
            </w:r>
          </w:p>
        </w:tc>
      </w:tr>
      <w:tr w:rsidR="00490284" w14:paraId="73FF1FC0" w14:textId="77777777">
        <w:trPr>
          <w:jc w:val="center"/>
        </w:trPr>
        <w:tc>
          <w:tcPr>
            <w:tcW w:w="2340" w:type="dxa"/>
            <w:shd w:val="clear" w:color="auto" w:fill="FFFFFF"/>
            <w:tcMar>
              <w:top w:w="60" w:type="dxa"/>
              <w:left w:w="80" w:type="dxa"/>
              <w:bottom w:w="60" w:type="dxa"/>
              <w:right w:w="80" w:type="dxa"/>
            </w:tcMar>
          </w:tcPr>
          <w:p w14:paraId="529204CB" w14:textId="77777777" w:rsidR="00490284" w:rsidRDefault="00CC162A">
            <w:pPr>
              <w:rPr>
                <w:color w:val="000000" w:themeColor="text1"/>
              </w:rPr>
            </w:pPr>
            <w:r>
              <w:rPr>
                <w:b/>
                <w:color w:val="000000" w:themeColor="text1"/>
                <w:sz w:val="18"/>
              </w:rPr>
              <w:t>Trimethoprim / Sulfamethoxazole</w:t>
            </w:r>
          </w:p>
        </w:tc>
        <w:tc>
          <w:tcPr>
            <w:tcW w:w="2340" w:type="dxa"/>
            <w:shd w:val="clear" w:color="auto" w:fill="FFFFFF"/>
            <w:tcMar>
              <w:top w:w="60" w:type="dxa"/>
              <w:left w:w="80" w:type="dxa"/>
              <w:bottom w:w="60" w:type="dxa"/>
              <w:right w:w="80" w:type="dxa"/>
            </w:tcMar>
          </w:tcPr>
          <w:p w14:paraId="46CEAF52" w14:textId="77777777" w:rsidR="00490284" w:rsidRDefault="00CC162A">
            <w:pPr>
              <w:jc w:val="center"/>
              <w:rPr>
                <w:color w:val="000000" w:themeColor="text1"/>
              </w:rPr>
            </w:pPr>
            <w:r>
              <w:rPr>
                <w:color w:val="000000" w:themeColor="text1"/>
                <w:sz w:val="18"/>
              </w:rPr>
              <w:t>&gt;= 320.0</w:t>
            </w:r>
          </w:p>
        </w:tc>
        <w:tc>
          <w:tcPr>
            <w:tcW w:w="2340" w:type="dxa"/>
            <w:shd w:val="clear" w:color="auto" w:fill="FFFFFF"/>
            <w:tcMar>
              <w:top w:w="60" w:type="dxa"/>
              <w:left w:w="80" w:type="dxa"/>
              <w:bottom w:w="60" w:type="dxa"/>
              <w:right w:w="80" w:type="dxa"/>
            </w:tcMar>
          </w:tcPr>
          <w:p w14:paraId="0228B2E3" w14:textId="77777777" w:rsidR="00490284" w:rsidRDefault="00CC162A">
            <w:pPr>
              <w:jc w:val="center"/>
              <w:rPr>
                <w:color w:val="000000" w:themeColor="text1"/>
              </w:rPr>
            </w:pPr>
            <w:r>
              <w:rPr>
                <w:b/>
                <w:color w:val="000000" w:themeColor="text1"/>
                <w:sz w:val="18"/>
              </w:rPr>
              <w:t>Resistant (R)</w:t>
            </w:r>
          </w:p>
        </w:tc>
        <w:tc>
          <w:tcPr>
            <w:tcW w:w="2340" w:type="dxa"/>
            <w:shd w:val="clear" w:color="auto" w:fill="FFFFFF"/>
            <w:tcMar>
              <w:top w:w="60" w:type="dxa"/>
              <w:left w:w="80" w:type="dxa"/>
              <w:bottom w:w="60" w:type="dxa"/>
              <w:right w:w="80" w:type="dxa"/>
            </w:tcMar>
          </w:tcPr>
          <w:p w14:paraId="6E6356A0" w14:textId="77777777" w:rsidR="00490284" w:rsidRDefault="00CC162A">
            <w:pPr>
              <w:rPr>
                <w:color w:val="000000" w:themeColor="text1"/>
              </w:rPr>
            </w:pPr>
            <w:r>
              <w:rPr>
                <w:color w:val="000000" w:themeColor="text1"/>
                <w:sz w:val="18"/>
              </w:rPr>
              <w:t>Folate pathway inhibitor resistance</w:t>
            </w:r>
          </w:p>
        </w:tc>
      </w:tr>
      <w:tr w:rsidR="00490284" w14:paraId="7E41A7F0" w14:textId="77777777">
        <w:trPr>
          <w:jc w:val="center"/>
        </w:trPr>
        <w:tc>
          <w:tcPr>
            <w:tcW w:w="2340" w:type="dxa"/>
            <w:shd w:val="clear" w:color="auto" w:fill="F9FAFC"/>
            <w:tcMar>
              <w:top w:w="60" w:type="dxa"/>
              <w:left w:w="80" w:type="dxa"/>
              <w:bottom w:w="60" w:type="dxa"/>
              <w:right w:w="80" w:type="dxa"/>
            </w:tcMar>
          </w:tcPr>
          <w:p w14:paraId="1D72019D" w14:textId="77777777" w:rsidR="00490284" w:rsidRDefault="00CC162A">
            <w:pPr>
              <w:rPr>
                <w:color w:val="000000" w:themeColor="text1"/>
              </w:rPr>
            </w:pPr>
            <w:r>
              <w:rPr>
                <w:b/>
                <w:color w:val="000000" w:themeColor="text1"/>
                <w:sz w:val="18"/>
              </w:rPr>
              <w:t>Colistin</w:t>
            </w:r>
          </w:p>
        </w:tc>
        <w:tc>
          <w:tcPr>
            <w:tcW w:w="2340" w:type="dxa"/>
            <w:shd w:val="clear" w:color="auto" w:fill="F9FAFC"/>
            <w:tcMar>
              <w:top w:w="60" w:type="dxa"/>
              <w:left w:w="80" w:type="dxa"/>
              <w:bottom w:w="60" w:type="dxa"/>
              <w:right w:w="80" w:type="dxa"/>
            </w:tcMar>
          </w:tcPr>
          <w:p w14:paraId="39B49710" w14:textId="77777777" w:rsidR="00490284" w:rsidRDefault="00CC162A">
            <w:pPr>
              <w:jc w:val="center"/>
              <w:rPr>
                <w:color w:val="000000" w:themeColor="text1"/>
              </w:rPr>
            </w:pPr>
            <w:r>
              <w:rPr>
                <w:color w:val="000000" w:themeColor="text1"/>
                <w:sz w:val="18"/>
              </w:rPr>
              <w:t>&gt;= 16.0</w:t>
            </w:r>
          </w:p>
        </w:tc>
        <w:tc>
          <w:tcPr>
            <w:tcW w:w="2340" w:type="dxa"/>
            <w:shd w:val="clear" w:color="auto" w:fill="F9FAFC"/>
            <w:tcMar>
              <w:top w:w="60" w:type="dxa"/>
              <w:left w:w="80" w:type="dxa"/>
              <w:bottom w:w="60" w:type="dxa"/>
              <w:right w:w="80" w:type="dxa"/>
            </w:tcMar>
          </w:tcPr>
          <w:p w14:paraId="60140F09"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7C91BE62" w14:textId="77777777" w:rsidR="00490284" w:rsidRDefault="00CC162A">
            <w:pPr>
              <w:rPr>
                <w:color w:val="000000" w:themeColor="text1"/>
              </w:rPr>
            </w:pPr>
            <w:r>
              <w:rPr>
                <w:color w:val="000000" w:themeColor="text1"/>
                <w:sz w:val="18"/>
              </w:rPr>
              <w:t>Intrinsic non-susceptibility (Proteus spp.)</w:t>
            </w:r>
          </w:p>
        </w:tc>
      </w:tr>
    </w:tbl>
    <w:p w14:paraId="37D4A995" w14:textId="77777777" w:rsidR="00490284" w:rsidRDefault="00CC162A">
      <w:pPr>
        <w:spacing w:before="60" w:after="160"/>
        <w:rPr>
          <w:color w:val="000000" w:themeColor="text1"/>
        </w:rPr>
      </w:pPr>
      <w:r>
        <w:rPr>
          <w:b/>
          <w:color w:val="000000" w:themeColor="text1"/>
          <w:sz w:val="18"/>
        </w:rPr>
        <w:t>Table 2: Antimicrobial Susceptibility Testing (VITEK-2) for Proteus mirabilis Isolated from Urachal Abscess Pus.</w:t>
      </w:r>
    </w:p>
    <w:p w14:paraId="747A9BA8" w14:textId="77777777" w:rsidR="00490284" w:rsidRDefault="00CC162A">
      <w:pPr>
        <w:pStyle w:val="NormalWeb"/>
        <w:rPr>
          <w:color w:val="000000" w:themeColor="text1"/>
        </w:rPr>
      </w:pPr>
      <w:r>
        <w:rPr>
          <w:color w:val="000000" w:themeColor="text1"/>
        </w:rPr>
        <w:t>Intraoperative continuous IV Fentanyl infusion (1 m</w:t>
      </w:r>
      <w:r>
        <w:rPr>
          <w:color w:val="000000" w:themeColor="text1"/>
          <w:lang w:val="en-IN"/>
        </w:rPr>
        <w:t>cg/</w:t>
      </w:r>
      <w:r>
        <w:rPr>
          <w:color w:val="000000" w:themeColor="text1"/>
        </w:rPr>
        <w:t>kg</w:t>
      </w:r>
      <w:r>
        <w:rPr>
          <w:color w:val="000000" w:themeColor="text1"/>
          <w:lang w:val="en-IN"/>
        </w:rPr>
        <w:t>/hr</w:t>
      </w:r>
      <w:r>
        <w:rPr>
          <w:color w:val="000000" w:themeColor="text1"/>
        </w:rPr>
        <w:t xml:space="preserve">) and postoperative IV ondansetron and </w:t>
      </w:r>
      <w:proofErr w:type="spellStart"/>
      <w:r>
        <w:rPr>
          <w:color w:val="000000" w:themeColor="text1"/>
        </w:rPr>
        <w:t>Pr</w:t>
      </w:r>
      <w:proofErr w:type="spellEnd"/>
      <w:r>
        <w:rPr>
          <w:color w:val="000000" w:themeColor="text1"/>
        </w:rPr>
        <w:t xml:space="preserve"> Suppositories Paracetamol 80mg, and initial empirically Started IV antibiotic cover (</w:t>
      </w:r>
      <w:proofErr w:type="spellStart"/>
      <w:r>
        <w:rPr>
          <w:color w:val="000000" w:themeColor="text1"/>
        </w:rPr>
        <w:t>Cefrtixone</w:t>
      </w:r>
      <w:proofErr w:type="spellEnd"/>
      <w:r>
        <w:rPr>
          <w:color w:val="000000" w:themeColor="text1"/>
        </w:rPr>
        <w:t xml:space="preserve"> 250mg IV </w:t>
      </w:r>
      <w:r>
        <w:rPr>
          <w:color w:val="000000" w:themeColor="text1"/>
          <w:lang w:val="en-IN"/>
        </w:rPr>
        <w:t>BD</w:t>
      </w:r>
      <w:r>
        <w:rPr>
          <w:color w:val="000000" w:themeColor="text1"/>
        </w:rPr>
        <w:t xml:space="preserve"> and Ami</w:t>
      </w:r>
      <w:proofErr w:type="spellStart"/>
      <w:r>
        <w:rPr>
          <w:color w:val="000000" w:themeColor="text1"/>
          <w:lang w:val="en-IN"/>
        </w:rPr>
        <w:t>kacin</w:t>
      </w:r>
      <w:proofErr w:type="spellEnd"/>
      <w:r>
        <w:rPr>
          <w:color w:val="000000" w:themeColor="text1"/>
        </w:rPr>
        <w:t xml:space="preserve"> 90mg IV </w:t>
      </w:r>
      <w:r>
        <w:rPr>
          <w:color w:val="000000" w:themeColor="text1"/>
          <w:lang w:val="en-IN"/>
        </w:rPr>
        <w:t>O</w:t>
      </w:r>
      <w:r>
        <w:rPr>
          <w:color w:val="000000" w:themeColor="text1"/>
        </w:rPr>
        <w:t>D and IV metronidazole 15</w:t>
      </w:r>
      <w:r>
        <w:rPr>
          <w:color w:val="000000" w:themeColor="text1"/>
          <w:lang w:val="en-IN"/>
        </w:rPr>
        <w:t>mg</w:t>
      </w:r>
      <w:r>
        <w:rPr>
          <w:color w:val="000000" w:themeColor="text1"/>
        </w:rPr>
        <w:t xml:space="preserve"> </w:t>
      </w:r>
      <w:proofErr w:type="gramStart"/>
      <w:r>
        <w:rPr>
          <w:color w:val="000000" w:themeColor="text1"/>
          <w:lang w:val="en-IN"/>
        </w:rPr>
        <w:t>TID</w:t>
      </w:r>
      <w:r>
        <w:rPr>
          <w:color w:val="000000" w:themeColor="text1"/>
        </w:rPr>
        <w:t xml:space="preserve"> )</w:t>
      </w:r>
      <w:proofErr w:type="gramEnd"/>
      <w:r>
        <w:rPr>
          <w:color w:val="000000" w:themeColor="text1"/>
        </w:rPr>
        <w:t xml:space="preserve"> was continued with</w:t>
      </w:r>
      <w:r>
        <w:rPr>
          <w:color w:val="000000" w:themeColor="text1"/>
          <w:lang w:val="en-IN"/>
        </w:rPr>
        <w:t xml:space="preserve"> </w:t>
      </w:r>
      <w:r>
        <w:rPr>
          <w:color w:val="000000" w:themeColor="text1"/>
        </w:rPr>
        <w:t>in</w:t>
      </w:r>
      <w:r>
        <w:rPr>
          <w:color w:val="000000" w:themeColor="text1"/>
          <w:lang w:val="en-IN"/>
        </w:rPr>
        <w:t xml:space="preserve"> </w:t>
      </w:r>
      <w:r>
        <w:rPr>
          <w:color w:val="000000" w:themeColor="text1"/>
        </w:rPr>
        <w:t xml:space="preserve">PICU for 24 hours. After the culture &amp; S.F confirmed it as M D R </w:t>
      </w:r>
      <w:proofErr w:type="spellStart"/>
      <w:r>
        <w:rPr>
          <w:color w:val="000000" w:themeColor="text1"/>
        </w:rPr>
        <w:t>Proteusmirabilis</w:t>
      </w:r>
      <w:proofErr w:type="spellEnd"/>
      <w:r>
        <w:rPr>
          <w:color w:val="000000" w:themeColor="text1"/>
        </w:rPr>
        <w:t xml:space="preserve"> (POD 5), it was changed over the targeted </w:t>
      </w:r>
      <w:proofErr w:type="spellStart"/>
      <w:r>
        <w:rPr>
          <w:color w:val="000000" w:themeColor="text1"/>
        </w:rPr>
        <w:t>intavenous</w:t>
      </w:r>
      <w:proofErr w:type="spellEnd"/>
      <w:r>
        <w:rPr>
          <w:color w:val="000000" w:themeColor="text1"/>
        </w:rPr>
        <w:t xml:space="preserve"> Meropenem 150 mg </w:t>
      </w:r>
      <w:r>
        <w:rPr>
          <w:color w:val="000000" w:themeColor="text1"/>
          <w:lang w:val="en-IN"/>
        </w:rPr>
        <w:t>TID</w:t>
      </w:r>
      <w:r>
        <w:rPr>
          <w:color w:val="000000" w:themeColor="text1"/>
        </w:rPr>
        <w:t>. and ceased Ceftriaxone &amp; Am</w:t>
      </w:r>
      <w:proofErr w:type="spellStart"/>
      <w:r>
        <w:rPr>
          <w:color w:val="000000" w:themeColor="text1"/>
          <w:lang w:val="en-IN"/>
        </w:rPr>
        <w:t>ikaci</w:t>
      </w:r>
      <w:proofErr w:type="spellEnd"/>
      <w:r>
        <w:rPr>
          <w:color w:val="000000" w:themeColor="text1"/>
        </w:rPr>
        <w:t xml:space="preserve">n. Started </w:t>
      </w:r>
      <w:r>
        <w:rPr>
          <w:color w:val="000000" w:themeColor="text1"/>
          <w:lang w:val="en-IN"/>
        </w:rPr>
        <w:t>oral syrup</w:t>
      </w:r>
      <w:r>
        <w:rPr>
          <w:color w:val="000000" w:themeColor="text1"/>
        </w:rPr>
        <w:t xml:space="preserve"> &amp; liquid feed POD- 2 successfully and maintained. Wound dressings remained clear on the 1 st postoperative day without any </w:t>
      </w:r>
      <w:r>
        <w:rPr>
          <w:color w:val="000000" w:themeColor="text1"/>
          <w:lang w:val="en-IN"/>
        </w:rPr>
        <w:t>soakage</w:t>
      </w:r>
      <w:r>
        <w:rPr>
          <w:color w:val="000000" w:themeColor="text1"/>
        </w:rPr>
        <w:t xml:space="preserve"> or discharge or redness. There were healthy wound margins. IV Bladder Catheter was removed on POD 6 with regular </w:t>
      </w:r>
      <w:proofErr w:type="spellStart"/>
      <w:r>
        <w:rPr>
          <w:color w:val="000000" w:themeColor="text1"/>
        </w:rPr>
        <w:t>s.v</w:t>
      </w:r>
      <w:proofErr w:type="spellEnd"/>
      <w:r>
        <w:rPr>
          <w:color w:val="000000" w:themeColor="text1"/>
        </w:rPr>
        <w:t xml:space="preserve"> and without any problem; the uneventful recovery continued &amp; was discharged on o</w:t>
      </w:r>
      <w:proofErr w:type="spellStart"/>
      <w:r>
        <w:rPr>
          <w:color w:val="000000" w:themeColor="text1"/>
          <w:lang w:val="en-IN"/>
        </w:rPr>
        <w:t>ral</w:t>
      </w:r>
      <w:proofErr w:type="spellEnd"/>
      <w:r>
        <w:rPr>
          <w:color w:val="000000" w:themeColor="text1"/>
          <w:lang w:val="en-IN"/>
        </w:rPr>
        <w:t xml:space="preserve"> cefixime</w:t>
      </w:r>
      <w:r>
        <w:rPr>
          <w:color w:val="000000" w:themeColor="text1"/>
        </w:rPr>
        <w:t xml:space="preserve"> &amp; syrup Paracetamol in excellent condition. Uneventful outcome with 2 weeks' &amp;</w:t>
      </w:r>
      <w:r>
        <w:rPr>
          <w:color w:val="000000" w:themeColor="text1"/>
          <w:lang w:val="en-IN"/>
        </w:rPr>
        <w:t xml:space="preserve"> </w:t>
      </w:r>
      <w:r>
        <w:rPr>
          <w:color w:val="000000" w:themeColor="text1"/>
        </w:rPr>
        <w:t xml:space="preserve">6 weeks' </w:t>
      </w:r>
      <w:r>
        <w:rPr>
          <w:color w:val="000000" w:themeColor="text1"/>
          <w:lang w:val="en-IN"/>
        </w:rPr>
        <w:t xml:space="preserve">postoperative out patients </w:t>
      </w:r>
      <w:proofErr w:type="gramStart"/>
      <w:r>
        <w:rPr>
          <w:color w:val="000000" w:themeColor="text1"/>
          <w:lang w:val="en-IN"/>
        </w:rPr>
        <w:t>follow</w:t>
      </w:r>
      <w:proofErr w:type="gramEnd"/>
      <w:r>
        <w:rPr>
          <w:color w:val="000000" w:themeColor="text1"/>
          <w:lang w:val="en-IN"/>
        </w:rPr>
        <w:t xml:space="preserve"> up</w:t>
      </w:r>
      <w:r>
        <w:rPr>
          <w:color w:val="000000" w:themeColor="text1"/>
        </w:rPr>
        <w:t xml:space="preserve"> visit showed well healed umbilicus without discharge.</w:t>
      </w:r>
    </w:p>
    <w:p w14:paraId="1EB276C4" w14:textId="77777777" w:rsidR="00490284" w:rsidRDefault="00CC162A">
      <w:pPr>
        <w:keepNext/>
        <w:spacing w:before="280" w:after="80"/>
        <w:rPr>
          <w:color w:val="000000" w:themeColor="text1"/>
        </w:rPr>
      </w:pPr>
      <w:r>
        <w:rPr>
          <w:b/>
          <w:color w:val="000000" w:themeColor="text1"/>
          <w:sz w:val="26"/>
        </w:rPr>
        <w:t>3. DISCUSSION</w:t>
      </w:r>
    </w:p>
    <w:p w14:paraId="3F83050F" w14:textId="77777777" w:rsidR="00490284" w:rsidRDefault="00CC162A">
      <w:pPr>
        <w:pStyle w:val="NormalWeb"/>
        <w:rPr>
          <w:color w:val="000000" w:themeColor="text1"/>
        </w:rPr>
      </w:pPr>
      <w:r>
        <w:rPr>
          <w:color w:val="000000" w:themeColor="text1"/>
        </w:rPr>
        <w:t xml:space="preserve">A congenital urachal anomaly develops due to imperfect regression of the cloacal allantois of the embryo into a cord of fibrosis from the anterior abdominal wall to the bladder vertex [11]. Our </w:t>
      </w:r>
      <w:proofErr w:type="gramStart"/>
      <w:r>
        <w:rPr>
          <w:color w:val="000000" w:themeColor="text1"/>
        </w:rPr>
        <w:t>patients</w:t>
      </w:r>
      <w:proofErr w:type="gramEnd"/>
      <w:r>
        <w:rPr>
          <w:color w:val="000000" w:themeColor="text1"/>
        </w:rPr>
        <w:t xml:space="preserve"> unique presentation with an infected urachal sinus in communication with a prevesical urachal cyst beneath was the most unusual combination reported so far, representing less than 5% of all known childhood urachal abnormalities [12]. The most conspicuous, and informative element of the entire case was initial removal of a tumor described as an 'umbilical polyp', then persistently infected and recurrent purulent discharges of the umbilicus during the next seven months [13</w:t>
      </w:r>
      <w:proofErr w:type="gramStart"/>
      <w:r>
        <w:rPr>
          <w:color w:val="000000" w:themeColor="text1"/>
        </w:rPr>
        <w:t>].Umbilical</w:t>
      </w:r>
      <w:proofErr w:type="gramEnd"/>
      <w:r>
        <w:rPr>
          <w:color w:val="000000" w:themeColor="text1"/>
        </w:rPr>
        <w:t xml:space="preserve"> pathology in young children is very common. Children present with granulomas, omphalitis, polyps and stitch abscesses. Granulomas typically present as pink tissue not covered by squamous epithelium and usually respond to topical application of silver nitrate, while polyps are epithelialized remnants of embryonic tissues, either ductus </w:t>
      </w:r>
      <w:proofErr w:type="spellStart"/>
      <w:r>
        <w:rPr>
          <w:color w:val="000000" w:themeColor="text1"/>
        </w:rPr>
        <w:t>omphalo</w:t>
      </w:r>
      <w:proofErr w:type="spellEnd"/>
      <w:r>
        <w:rPr>
          <w:color w:val="000000" w:themeColor="text1"/>
          <w:lang w:val="en-IN"/>
        </w:rPr>
        <w:t xml:space="preserve"> </w:t>
      </w:r>
      <w:proofErr w:type="spellStart"/>
      <w:r>
        <w:rPr>
          <w:color w:val="000000" w:themeColor="text1"/>
        </w:rPr>
        <w:t>mentericus</w:t>
      </w:r>
      <w:proofErr w:type="spellEnd"/>
      <w:r>
        <w:rPr>
          <w:color w:val="000000" w:themeColor="text1"/>
        </w:rPr>
        <w:t xml:space="preserve"> (vitelline duct) or urachus [15]. Excision of </w:t>
      </w:r>
      <w:proofErr w:type="spellStart"/>
      <w:r>
        <w:rPr>
          <w:color w:val="000000" w:themeColor="text1"/>
        </w:rPr>
        <w:t>aumbilicalpolyp</w:t>
      </w:r>
      <w:proofErr w:type="spellEnd"/>
      <w:r>
        <w:rPr>
          <w:color w:val="000000" w:themeColor="text1"/>
        </w:rPr>
        <w:t xml:space="preserve"> or nodule of discharge can take place without cross sectional ultrasonography or high frequency US and leave a deep cystic and/or tubular continuity into the abdominal wall where bacteria can get trapped, leading to purulent abdominal wall abscesses [16].High-resolution frequency ultrasound is thus the imaging </w:t>
      </w:r>
      <w:r>
        <w:rPr>
          <w:color w:val="000000" w:themeColor="text1"/>
        </w:rPr>
        <w:lastRenderedPageBreak/>
        <w:t xml:space="preserve">modalities par excellence in suspicious urachal anomalies in childhood since it is totally non-invasive, void of ionizing radiation and is providing resolution to visualize the anterior abdominal wall soft tissues better [17]. If done by a skilled pediatric radiologist the sensitivity is &gt;90-95% able to precisely delineate, size, content of cysts, wall-thickness and longitudinally course of urachal remnant between umbilicus and apex of the bladder [18]. The accurate anatomical illustration of the following pelvic sonography of the child, namely that there is a blind-ending umbilical sinus tract 1.4 cm, going along the </w:t>
      </w:r>
      <w:proofErr w:type="spellStart"/>
      <w:r>
        <w:rPr>
          <w:color w:val="000000" w:themeColor="text1"/>
        </w:rPr>
        <w:t>urachovesical</w:t>
      </w:r>
      <w:proofErr w:type="spellEnd"/>
      <w:r>
        <w:rPr>
          <w:color w:val="000000" w:themeColor="text1"/>
        </w:rPr>
        <w:t xml:space="preserve"> tract leading to a 2.2×1.9×1.4 cm hypoechoic collection (volume 3.4 cc), gives a blueprint to perform definite surgical resection [19]. Rarely indicated in otherwise uncomplicated pediatric cases, the computed tomographic (CT) scan or magnetic resonance imaging (MRI) is reserve for suspicion of extraperitoneal rupture and pervasive peritonitis, as well as the need to exclude the probability of subsequent malignant change (e.g. Urachal adenocarcinoma) in adult patients [20].The </w:t>
      </w:r>
      <w:proofErr w:type="spellStart"/>
      <w:r>
        <w:rPr>
          <w:color w:val="000000" w:themeColor="text1"/>
        </w:rPr>
        <w:t>aetiology</w:t>
      </w:r>
      <w:proofErr w:type="spellEnd"/>
      <w:r>
        <w:rPr>
          <w:color w:val="000000" w:themeColor="text1"/>
        </w:rPr>
        <w:t xml:space="preserve"> among patients presenting with infected urachal anomalies most often include</w:t>
      </w:r>
      <w:r>
        <w:rPr>
          <w:color w:val="000000" w:themeColor="text1"/>
          <w:lang w:val="en-IN"/>
        </w:rPr>
        <w:t xml:space="preserve"> </w:t>
      </w:r>
      <w:proofErr w:type="spellStart"/>
      <w:r>
        <w:rPr>
          <w:color w:val="000000" w:themeColor="text1"/>
        </w:rPr>
        <w:t>scutaneous</w:t>
      </w:r>
      <w:proofErr w:type="spellEnd"/>
      <w:r>
        <w:rPr>
          <w:color w:val="000000" w:themeColor="text1"/>
        </w:rPr>
        <w:t xml:space="preserve"> commensals (e.g., </w:t>
      </w:r>
      <w:proofErr w:type="spellStart"/>
      <w:r>
        <w:rPr>
          <w:color w:val="000000" w:themeColor="text1"/>
        </w:rPr>
        <w:t>Staphly</w:t>
      </w:r>
      <w:proofErr w:type="spellEnd"/>
      <w:r>
        <w:rPr>
          <w:color w:val="000000" w:themeColor="text1"/>
        </w:rPr>
        <w:t xml:space="preserve"> coccus aureus, Strep </w:t>
      </w:r>
      <w:proofErr w:type="spellStart"/>
      <w:r>
        <w:rPr>
          <w:color w:val="000000" w:themeColor="text1"/>
        </w:rPr>
        <w:t>tococcus</w:t>
      </w:r>
      <w:proofErr w:type="spellEnd"/>
      <w:r>
        <w:rPr>
          <w:color w:val="000000" w:themeColor="text1"/>
        </w:rPr>
        <w:t xml:space="preserve"> pyogenes),Gram-</w:t>
      </w:r>
      <w:proofErr w:type="spellStart"/>
      <w:r>
        <w:rPr>
          <w:color w:val="000000" w:themeColor="text1"/>
        </w:rPr>
        <w:t>negati</w:t>
      </w:r>
      <w:proofErr w:type="spellEnd"/>
      <w:r>
        <w:rPr>
          <w:color w:val="000000" w:themeColor="text1"/>
        </w:rPr>
        <w:t xml:space="preserve"> </w:t>
      </w:r>
      <w:proofErr w:type="spellStart"/>
      <w:r>
        <w:rPr>
          <w:color w:val="000000" w:themeColor="text1"/>
        </w:rPr>
        <w:t>ve</w:t>
      </w:r>
      <w:proofErr w:type="spellEnd"/>
      <w:r>
        <w:rPr>
          <w:color w:val="000000" w:themeColor="text1"/>
        </w:rPr>
        <w:t xml:space="preserve"> enterobacteria (e.g., </w:t>
      </w:r>
      <w:r>
        <w:rPr>
          <w:i/>
          <w:iCs/>
          <w:color w:val="000000" w:themeColor="text1"/>
        </w:rPr>
        <w:t xml:space="preserve">Esch </w:t>
      </w:r>
      <w:proofErr w:type="spellStart"/>
      <w:r>
        <w:rPr>
          <w:i/>
          <w:iCs/>
          <w:color w:val="000000" w:themeColor="text1"/>
        </w:rPr>
        <w:t>erichia</w:t>
      </w:r>
      <w:proofErr w:type="spellEnd"/>
      <w:r>
        <w:rPr>
          <w:i/>
          <w:iCs/>
          <w:color w:val="000000" w:themeColor="text1"/>
        </w:rPr>
        <w:t xml:space="preserve"> coli, Klebsiella pneumoniae</w:t>
      </w:r>
      <w:r>
        <w:rPr>
          <w:color w:val="000000" w:themeColor="text1"/>
        </w:rPr>
        <w:t>) ascending the opening of the umbilical cord, or</w:t>
      </w:r>
      <w:r>
        <w:rPr>
          <w:color w:val="000000" w:themeColor="text1"/>
          <w:lang w:val="en-IN"/>
        </w:rPr>
        <w:t xml:space="preserve"> </w:t>
      </w:r>
      <w:r>
        <w:rPr>
          <w:color w:val="000000" w:themeColor="text1"/>
        </w:rPr>
        <w:t xml:space="preserve">Retrograde lymphatics [21]. The </w:t>
      </w:r>
      <w:r>
        <w:rPr>
          <w:color w:val="000000" w:themeColor="text1"/>
          <w:lang w:val="en-IN"/>
        </w:rPr>
        <w:t>intro-operative</w:t>
      </w:r>
      <w:r>
        <w:rPr>
          <w:color w:val="000000" w:themeColor="text1"/>
        </w:rPr>
        <w:t xml:space="preserve"> culture specimen in our patient grew Proteus mirabilis- a multi-drug resistant strain demonstrating third generation, fourth generation cephalosporin, fluoroquinolone, and trimethoprim/sulfamethoxazole as well as </w:t>
      </w:r>
      <w:proofErr w:type="spellStart"/>
      <w:r>
        <w:rPr>
          <w:color w:val="000000" w:themeColor="text1"/>
        </w:rPr>
        <w:t>intrinsicallycolistin</w:t>
      </w:r>
      <w:proofErr w:type="spellEnd"/>
      <w:r>
        <w:rPr>
          <w:color w:val="000000" w:themeColor="text1"/>
        </w:rPr>
        <w:t xml:space="preserve"> resistant pathogens [22]. Proteus mirabilis elaboration</w:t>
      </w:r>
      <w:r>
        <w:rPr>
          <w:color w:val="000000" w:themeColor="text1"/>
          <w:lang w:val="en-IN"/>
        </w:rPr>
        <w:t xml:space="preserve"> </w:t>
      </w:r>
      <w:r>
        <w:rPr>
          <w:color w:val="000000" w:themeColor="text1"/>
        </w:rPr>
        <w:t xml:space="preserve">of urease </w:t>
      </w:r>
      <w:proofErr w:type="spellStart"/>
      <w:r>
        <w:rPr>
          <w:color w:val="000000" w:themeColor="text1"/>
        </w:rPr>
        <w:t>createsa</w:t>
      </w:r>
      <w:proofErr w:type="spellEnd"/>
      <w:r>
        <w:rPr>
          <w:color w:val="000000" w:themeColor="text1"/>
        </w:rPr>
        <w:t xml:space="preserve"> highly alkalinized environment conducive to the </w:t>
      </w:r>
      <w:proofErr w:type="spellStart"/>
      <w:r>
        <w:rPr>
          <w:color w:val="000000" w:themeColor="text1"/>
        </w:rPr>
        <w:t>perpetuationof</w:t>
      </w:r>
      <w:proofErr w:type="spellEnd"/>
      <w:r>
        <w:rPr>
          <w:color w:val="000000" w:themeColor="text1"/>
        </w:rPr>
        <w:t xml:space="preserve"> biofilm formations and collections </w:t>
      </w:r>
      <w:r>
        <w:rPr>
          <w:color w:val="000000" w:themeColor="text1"/>
          <w:lang w:val="en-IN"/>
        </w:rPr>
        <w:t>of pus</w:t>
      </w:r>
      <w:r>
        <w:rPr>
          <w:color w:val="000000" w:themeColor="text1"/>
        </w:rPr>
        <w:t xml:space="preserve"> within </w:t>
      </w:r>
      <w:r>
        <w:rPr>
          <w:color w:val="000000" w:themeColor="text1"/>
          <w:lang w:val="en-IN"/>
        </w:rPr>
        <w:t>congenital</w:t>
      </w:r>
      <w:r>
        <w:rPr>
          <w:color w:val="000000" w:themeColor="text1"/>
        </w:rPr>
        <w:t xml:space="preserve"> blind-ending structures [23]. It is most fortunate that the initiation of a culture guided course of IV meropenem along with intravenous </w:t>
      </w:r>
      <w:proofErr w:type="spellStart"/>
      <w:r>
        <w:rPr>
          <w:color w:val="000000" w:themeColor="text1"/>
        </w:rPr>
        <w:t>metroniidazole</w:t>
      </w:r>
      <w:proofErr w:type="spellEnd"/>
      <w:r>
        <w:rPr>
          <w:color w:val="000000" w:themeColor="text1"/>
        </w:rPr>
        <w:t xml:space="preserve"> resulted in swift resolution and avoided development of infection into the deeper space [24</w:t>
      </w:r>
      <w:proofErr w:type="gramStart"/>
      <w:r>
        <w:rPr>
          <w:color w:val="000000" w:themeColor="text1"/>
        </w:rPr>
        <w:t>].Symptomatic</w:t>
      </w:r>
      <w:proofErr w:type="gramEnd"/>
      <w:r>
        <w:rPr>
          <w:color w:val="000000" w:themeColor="text1"/>
        </w:rPr>
        <w:t xml:space="preserve"> urachal cysts and sinuses have proved to require surgical excision for complete treatment [25]. While treatment with oral antibiotics can result in over 30-40% recurrence, simple Incision, drainage and packing or incomplete excision is frequently associated with chronic discharge, secondary sinus tracts and in the longer term an </w:t>
      </w:r>
      <w:proofErr w:type="spellStart"/>
      <w:r>
        <w:rPr>
          <w:color w:val="000000" w:themeColor="text1"/>
        </w:rPr>
        <w:t>increase</w:t>
      </w:r>
      <w:proofErr w:type="spellEnd"/>
      <w:r>
        <w:rPr>
          <w:color w:val="000000" w:themeColor="text1"/>
        </w:rPr>
        <w:t xml:space="preserve"> risk of malignancies in the adult [26]. Surgical approach involves complete </w:t>
      </w:r>
      <w:proofErr w:type="spellStart"/>
      <w:r>
        <w:rPr>
          <w:color w:val="000000" w:themeColor="text1"/>
        </w:rPr>
        <w:t>en</w:t>
      </w:r>
      <w:proofErr w:type="spellEnd"/>
      <w:r>
        <w:rPr>
          <w:color w:val="000000" w:themeColor="text1"/>
        </w:rPr>
        <w:t xml:space="preserve"> bloc excision of the tract, pyogenic sac, and remnants of </w:t>
      </w:r>
      <w:proofErr w:type="spellStart"/>
      <w:r>
        <w:rPr>
          <w:color w:val="000000" w:themeColor="text1"/>
        </w:rPr>
        <w:t>fibrousurachal</w:t>
      </w:r>
      <w:proofErr w:type="spellEnd"/>
      <w:r>
        <w:rPr>
          <w:color w:val="000000" w:themeColor="text1"/>
        </w:rPr>
        <w:t xml:space="preserve"> structure down to the very dome of the urinary bladder, secured by means of a transfixing stitch at the superior dome of bladder [27]. While in recent times </w:t>
      </w:r>
      <w:r>
        <w:rPr>
          <w:color w:val="000000" w:themeColor="text1"/>
          <w:lang w:val="en-IN"/>
        </w:rPr>
        <w:t>Laparoscopic</w:t>
      </w:r>
      <w:r>
        <w:rPr>
          <w:color w:val="000000" w:themeColor="text1"/>
        </w:rPr>
        <w:t>/ robotic guided approaches have become relatively popular, in young infants an open trans</w:t>
      </w:r>
      <w:r>
        <w:rPr>
          <w:color w:val="000000" w:themeColor="text1"/>
          <w:lang w:val="en-IN"/>
        </w:rPr>
        <w:t xml:space="preserve"> </w:t>
      </w:r>
      <w:r>
        <w:rPr>
          <w:color w:val="000000" w:themeColor="text1"/>
        </w:rPr>
        <w:t xml:space="preserve">umbilical </w:t>
      </w:r>
      <w:r>
        <w:rPr>
          <w:color w:val="000000" w:themeColor="text1"/>
          <w:lang w:val="en-IN"/>
        </w:rPr>
        <w:t>mid line</w:t>
      </w:r>
      <w:r>
        <w:rPr>
          <w:color w:val="000000" w:themeColor="text1"/>
        </w:rPr>
        <w:t xml:space="preserve"> exploration is the surest method; cost-effective and quicker approach for excellent feedback and clean extra</w:t>
      </w:r>
      <w:r>
        <w:rPr>
          <w:color w:val="000000" w:themeColor="text1"/>
          <w:lang w:val="en-IN"/>
        </w:rPr>
        <w:t xml:space="preserve"> </w:t>
      </w:r>
      <w:r>
        <w:rPr>
          <w:color w:val="000000" w:themeColor="text1"/>
        </w:rPr>
        <w:t>peritoneal dissection, without breaching the peritoneal cavity [28,29].</w:t>
      </w:r>
    </w:p>
    <w:p w14:paraId="2065F1B5" w14:textId="77777777" w:rsidR="00490284" w:rsidRDefault="00CC162A">
      <w:pPr>
        <w:keepNext/>
        <w:spacing w:before="280" w:after="80"/>
        <w:rPr>
          <w:color w:val="000000" w:themeColor="text1"/>
        </w:rPr>
      </w:pPr>
      <w:r>
        <w:rPr>
          <w:b/>
          <w:color w:val="000000" w:themeColor="text1"/>
          <w:sz w:val="26"/>
        </w:rPr>
        <w:t>4. CONCLUSION</w:t>
      </w:r>
    </w:p>
    <w:p w14:paraId="01F67DC1" w14:textId="77777777" w:rsidR="00490284" w:rsidRDefault="00CC162A">
      <w:pPr>
        <w:pStyle w:val="NormalWeb"/>
        <w:rPr>
          <w:color w:val="000000" w:themeColor="text1"/>
        </w:rPr>
      </w:pPr>
      <w:r>
        <w:rPr>
          <w:color w:val="000000" w:themeColor="text1"/>
          <w:sz w:val="22"/>
        </w:rPr>
        <w:t xml:space="preserve">This </w:t>
      </w:r>
      <w:r>
        <w:rPr>
          <w:color w:val="000000" w:themeColor="text1"/>
        </w:rPr>
        <w:t>This case shows a deep</w:t>
      </w:r>
      <w:r>
        <w:rPr>
          <w:color w:val="000000" w:themeColor="text1"/>
          <w:lang w:val="en-IN"/>
        </w:rPr>
        <w:t xml:space="preserve"> </w:t>
      </w:r>
      <w:r>
        <w:rPr>
          <w:color w:val="000000" w:themeColor="text1"/>
        </w:rPr>
        <w:t>urachal cyst communicating via an infected</w:t>
      </w:r>
      <w:r>
        <w:rPr>
          <w:color w:val="000000" w:themeColor="text1"/>
          <w:lang w:val="en-IN"/>
        </w:rPr>
        <w:t xml:space="preserve"> </w:t>
      </w:r>
      <w:r>
        <w:rPr>
          <w:color w:val="000000" w:themeColor="text1"/>
        </w:rPr>
        <w:t>urachal</w:t>
      </w:r>
      <w:r>
        <w:rPr>
          <w:color w:val="000000" w:themeColor="text1"/>
          <w:lang w:val="en-IN"/>
        </w:rPr>
        <w:t xml:space="preserve"> </w:t>
      </w:r>
      <w:r>
        <w:rPr>
          <w:color w:val="000000" w:themeColor="text1"/>
        </w:rPr>
        <w:t>sinus which can be mistakenly interpreted as a recurrent umbilical polyp, stitch abscess or a refractory</w:t>
      </w:r>
      <w:r>
        <w:rPr>
          <w:color w:val="000000" w:themeColor="text1"/>
          <w:lang w:val="en-IN"/>
        </w:rPr>
        <w:t xml:space="preserve"> </w:t>
      </w:r>
      <w:r>
        <w:rPr>
          <w:color w:val="000000" w:themeColor="text1"/>
        </w:rPr>
        <w:t>omphalitis</w:t>
      </w:r>
      <w:r>
        <w:rPr>
          <w:color w:val="000000" w:themeColor="text1"/>
          <w:lang w:val="en-IN"/>
        </w:rPr>
        <w:t xml:space="preserve"> </w:t>
      </w:r>
      <w:r>
        <w:rPr>
          <w:color w:val="000000" w:themeColor="text1"/>
        </w:rPr>
        <w:t>after superficial resection. Pediatricians managing patients with intermittent or recurrent, prolonged umbilical discharge should maintain a high index of suspicion. Routine high-resolution ultrasound assessment of the abdominal wall and pelvis should be performed before performing any superficial surgical removal or cautery. En Bloc surgery with thorough bladder dome ligation of the Cyst, the sinus and apex has been the modality of choice for permanent cure of</w:t>
      </w:r>
      <w:r>
        <w:rPr>
          <w:color w:val="000000" w:themeColor="text1"/>
          <w:lang w:val="en-IN"/>
        </w:rPr>
        <w:t xml:space="preserve"> </w:t>
      </w:r>
      <w:r>
        <w:rPr>
          <w:color w:val="000000" w:themeColor="text1"/>
        </w:rPr>
        <w:t>urachal Cyst. Antibiotic coverage directed towards an identified pathogenic organism has provided complete resolution.</w:t>
      </w:r>
    </w:p>
    <w:p w14:paraId="68431626" w14:textId="77777777" w:rsidR="00490284" w:rsidRDefault="00CC162A">
      <w:pPr>
        <w:keepNext/>
        <w:spacing w:before="280" w:after="80"/>
        <w:rPr>
          <w:color w:val="000000" w:themeColor="text1"/>
        </w:rPr>
      </w:pPr>
      <w:r>
        <w:rPr>
          <w:b/>
          <w:color w:val="000000" w:themeColor="text1"/>
          <w:sz w:val="26"/>
        </w:rPr>
        <w:lastRenderedPageBreak/>
        <w:t>5. ETHICAL APPROVAL AND PATIENT CONSENT</w:t>
      </w:r>
    </w:p>
    <w:p w14:paraId="70B5A31E" w14:textId="77777777" w:rsidR="00490284" w:rsidRDefault="00CC162A">
      <w:pPr>
        <w:pStyle w:val="NormalWeb"/>
        <w:rPr>
          <w:color w:val="000000" w:themeColor="text1"/>
        </w:rPr>
      </w:pPr>
      <w:r>
        <w:rPr>
          <w:color w:val="000000" w:themeColor="text1"/>
        </w:rPr>
        <w:t xml:space="preserve">Institutional approval from the institutional ethics committee of S.S. Institute of Medical Sciences &amp; Research </w:t>
      </w:r>
      <w:proofErr w:type="spellStart"/>
      <w:r>
        <w:rPr>
          <w:color w:val="000000" w:themeColor="text1"/>
        </w:rPr>
        <w:t>centre</w:t>
      </w:r>
      <w:proofErr w:type="spellEnd"/>
      <w:r>
        <w:rPr>
          <w:color w:val="000000" w:themeColor="text1"/>
        </w:rPr>
        <w:t xml:space="preserve"> was granted prior to study. Written consent from the </w:t>
      </w:r>
      <w:r>
        <w:rPr>
          <w:color w:val="000000" w:themeColor="text1"/>
          <w:lang w:val="en-IN"/>
        </w:rPr>
        <w:t>legal guardians</w:t>
      </w:r>
      <w:r>
        <w:rPr>
          <w:color w:val="000000" w:themeColor="text1"/>
        </w:rPr>
        <w:t xml:space="preserve"> (parents) of the patient for publication of this case report and associated photographs and radiography were obtained</w:t>
      </w:r>
    </w:p>
    <w:p w14:paraId="033FBBA6" w14:textId="77777777" w:rsidR="00490284" w:rsidRDefault="00CC162A">
      <w:pPr>
        <w:pStyle w:val="NormalWeb"/>
        <w:numPr>
          <w:ilvl w:val="0"/>
          <w:numId w:val="7"/>
        </w:numPr>
        <w:rPr>
          <w:color w:val="000000" w:themeColor="text1"/>
          <w:lang w:val="en-IN"/>
        </w:rPr>
      </w:pPr>
      <w:r>
        <w:rPr>
          <w:b/>
          <w:bCs/>
          <w:color w:val="000000" w:themeColor="text1"/>
          <w:lang w:val="en-IN"/>
        </w:rPr>
        <w:t>LIMITATION</w:t>
      </w:r>
      <w:r>
        <w:rPr>
          <w:color w:val="000000" w:themeColor="text1"/>
          <w:lang w:val="en-IN"/>
        </w:rPr>
        <w:t xml:space="preserve"> </w:t>
      </w:r>
    </w:p>
    <w:p w14:paraId="3F0E8B9F" w14:textId="77777777" w:rsidR="00490284" w:rsidRDefault="00CC162A">
      <w:pPr>
        <w:pStyle w:val="NormalWeb"/>
        <w:rPr>
          <w:color w:val="000000" w:themeColor="text1"/>
          <w:lang w:val="en-IN"/>
        </w:rPr>
      </w:pPr>
      <w:r>
        <w:t xml:space="preserve">Some of the limitations to this case report include that it is a single patient, single center study and thus, there are limits on generalizing both the clinical course and treatment as well as </w:t>
      </w:r>
      <w:proofErr w:type="spellStart"/>
      <w:r>
        <w:t>microgiological</w:t>
      </w:r>
      <w:proofErr w:type="spellEnd"/>
      <w:r>
        <w:t xml:space="preserve"> features to the overall pediatric population with urachal anomalies. Information regarding previous interventions including previous superficial polypectomy at five months of age as well as previously presumed OMPSs in intermittent clinic visits and intermittent operative reports is prone to selection and recall bias since data from retrospectively charted and parent reported information had gaps in earlier years. An all ultrasound pre-operative assessment as well as work up, without advanced sectional imaging like CT scans or MRIs with contrast, may have hindered detection of discreet subtle deepened fistulous tracts and prevesical fascial planes. Detailed histological assessment of the epithelium lining the cyst and sinus as well as how it correlated with findings during </w:t>
      </w:r>
      <w:proofErr w:type="spellStart"/>
      <w:r>
        <w:t>en</w:t>
      </w:r>
      <w:proofErr w:type="spellEnd"/>
      <w:r>
        <w:t xml:space="preserve">-bloc excision, the cyst and the sinus lining as was done in this reported procedure is not presented with as high a degree of detail and focus on histopathology of the types of epithelial cells as would be ideal. Early wound healing and immediate post-operative complications are adequately detected up to two and six weeks, though the patient in this report has not been evaluated beyond six weeks post-operatively so definitive conclusions concerning post operative urinary function, late adhesions or late abdominal re-infection </w:t>
      </w:r>
      <w:proofErr w:type="spellStart"/>
      <w:r>
        <w:t>can not</w:t>
      </w:r>
      <w:proofErr w:type="spellEnd"/>
      <w:r>
        <w:t xml:space="preserve"> be made at this point.</w:t>
      </w:r>
    </w:p>
    <w:p w14:paraId="1B1979BB" w14:textId="77777777" w:rsidR="00490284" w:rsidRDefault="00490284">
      <w:pPr>
        <w:spacing w:after="80"/>
        <w:rPr>
          <w:color w:val="000000" w:themeColor="text1"/>
        </w:rPr>
      </w:pPr>
    </w:p>
    <w:p w14:paraId="3B5FCDF4" w14:textId="77777777" w:rsidR="000B683B" w:rsidRDefault="000B683B" w:rsidP="000B683B">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p>
    <w:p w14:paraId="656CED5E" w14:textId="77777777" w:rsidR="000B683B" w:rsidRPr="002D08AC" w:rsidRDefault="000B683B" w:rsidP="000B683B">
      <w:pPr>
        <w:spacing w:after="0" w:line="240" w:lineRule="auto"/>
        <w:rPr>
          <w:rFonts w:ascii="Arial" w:hAnsi="Arial" w:cs="Arial"/>
          <w:b/>
          <w:sz w:val="20"/>
          <w:szCs w:val="20"/>
        </w:rPr>
      </w:pPr>
      <w:bookmarkStart w:id="3" w:name="_Hlk238550938"/>
      <w:bookmarkStart w:id="4" w:name="_Hlk237856463"/>
      <w:bookmarkEnd w:id="0"/>
      <w:r w:rsidRPr="002D08AC">
        <w:rPr>
          <w:rFonts w:ascii="Arial" w:hAnsi="Arial" w:cs="Arial"/>
          <w:b/>
          <w:sz w:val="20"/>
          <w:szCs w:val="20"/>
        </w:rPr>
        <w:t>Declaration of AI Use</w:t>
      </w:r>
    </w:p>
    <w:p w14:paraId="1EDB2649" w14:textId="77777777" w:rsidR="000B683B" w:rsidRPr="002D08AC" w:rsidRDefault="000B683B" w:rsidP="000B683B">
      <w:pPr>
        <w:spacing w:after="0" w:line="240" w:lineRule="auto"/>
        <w:rPr>
          <w:rFonts w:ascii="Arial" w:hAnsi="Arial" w:cs="Arial"/>
          <w:sz w:val="20"/>
          <w:szCs w:val="20"/>
        </w:rPr>
      </w:pPr>
      <w:bookmarkStart w:id="5" w:name="_Hlk239068730"/>
    </w:p>
    <w:p w14:paraId="58589104" w14:textId="77777777" w:rsidR="000B683B" w:rsidRPr="002D08AC" w:rsidRDefault="000B683B" w:rsidP="000B683B">
      <w:pPr>
        <w:spacing w:after="0" w:line="240" w:lineRule="auto"/>
        <w:rPr>
          <w:rFonts w:ascii="Arial" w:hAnsi="Arial" w:cs="Arial"/>
          <w:sz w:val="20"/>
          <w:szCs w:val="20"/>
        </w:rPr>
      </w:pPr>
      <w:bookmarkStart w:id="6"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sz w:val="20"/>
          <w:szCs w:val="20"/>
        </w:rPr>
        <w:t>.</w:t>
      </w:r>
    </w:p>
    <w:bookmarkEnd w:id="2"/>
    <w:bookmarkEnd w:id="4"/>
    <w:bookmarkEnd w:id="5"/>
    <w:bookmarkEnd w:id="6"/>
    <w:p w14:paraId="68DE34B0" w14:textId="77777777" w:rsidR="003B76C0" w:rsidRDefault="003B76C0" w:rsidP="000B683B">
      <w:pPr>
        <w:jc w:val="both"/>
        <w:outlineLvl w:val="0"/>
        <w:rPr>
          <w:rFonts w:ascii="Arial" w:hAnsi="Arial" w:cs="Arial"/>
          <w:b/>
          <w:bCs/>
        </w:rPr>
      </w:pPr>
    </w:p>
    <w:p w14:paraId="58C01FC4" w14:textId="697FDA15" w:rsidR="000B683B" w:rsidRPr="003A29C6" w:rsidRDefault="000B683B" w:rsidP="000B683B">
      <w:pPr>
        <w:jc w:val="both"/>
        <w:outlineLvl w:val="0"/>
        <w:rPr>
          <w:rFonts w:ascii="Arial" w:hAnsi="Arial" w:cs="Arial"/>
        </w:rPr>
      </w:pPr>
      <w:r w:rsidRPr="003A29C6">
        <w:rPr>
          <w:rFonts w:ascii="Arial" w:hAnsi="Arial" w:cs="Arial"/>
          <w:b/>
          <w:bCs/>
        </w:rPr>
        <w:t>COMPETING INTERESTS DISCLAIMER:</w:t>
      </w:r>
    </w:p>
    <w:p w14:paraId="5D8F8FD2" w14:textId="77777777" w:rsidR="000B683B" w:rsidRDefault="000B683B" w:rsidP="000B683B">
      <w:r w:rsidRPr="00A10EDE">
        <w:t>Authors have declared that they have no known competing financial interests OR non-financial interests OR personal relationships that could have appeared to influence the work reported in this paper.</w:t>
      </w:r>
    </w:p>
    <w:p w14:paraId="678D6186" w14:textId="77777777" w:rsidR="000B683B" w:rsidRDefault="000B683B" w:rsidP="000B683B"/>
    <w:p w14:paraId="35E343A6" w14:textId="77777777" w:rsidR="000B683B" w:rsidRDefault="000B683B" w:rsidP="000B683B"/>
    <w:p w14:paraId="6AA6F558" w14:textId="77777777" w:rsidR="000B683B" w:rsidRDefault="000B683B">
      <w:pPr>
        <w:keepNext/>
        <w:spacing w:before="280" w:after="80"/>
        <w:rPr>
          <w:b/>
          <w:color w:val="000000" w:themeColor="text1"/>
          <w:sz w:val="26"/>
          <w:lang w:val="en-IN"/>
        </w:rPr>
      </w:pPr>
    </w:p>
    <w:p w14:paraId="221F1A18" w14:textId="77777777" w:rsidR="00490284" w:rsidRDefault="00CC162A">
      <w:pPr>
        <w:keepNext/>
        <w:spacing w:before="280" w:after="80"/>
        <w:rPr>
          <w:color w:val="000000" w:themeColor="text1"/>
        </w:rPr>
      </w:pPr>
      <w:r>
        <w:rPr>
          <w:b/>
          <w:color w:val="000000" w:themeColor="text1"/>
          <w:sz w:val="26"/>
          <w:lang w:val="en-IN"/>
        </w:rPr>
        <w:t>9</w:t>
      </w:r>
      <w:r>
        <w:rPr>
          <w:b/>
          <w:color w:val="000000" w:themeColor="text1"/>
          <w:sz w:val="26"/>
        </w:rPr>
        <w:t>. REFERENCES</w:t>
      </w:r>
    </w:p>
    <w:p w14:paraId="1E38DE7E" w14:textId="77777777" w:rsidR="00490284" w:rsidRDefault="00CC162A">
      <w:pPr>
        <w:spacing w:after="60" w:line="264" w:lineRule="auto"/>
        <w:rPr>
          <w:color w:val="000000" w:themeColor="text1"/>
        </w:rPr>
      </w:pPr>
      <w:r>
        <w:rPr>
          <w:color w:val="000000" w:themeColor="text1"/>
          <w:sz w:val="19"/>
        </w:rPr>
        <w:t>1. Begg RC. The urachus: its anatomy, histology, and development. J Anat. 1930;64(Pt 2):170-183.</w:t>
      </w:r>
    </w:p>
    <w:p w14:paraId="06BC3E1A" w14:textId="77777777" w:rsidR="00490284" w:rsidRDefault="00CC162A">
      <w:pPr>
        <w:spacing w:after="60" w:line="264" w:lineRule="auto"/>
        <w:rPr>
          <w:color w:val="000000" w:themeColor="text1"/>
        </w:rPr>
      </w:pPr>
      <w:r>
        <w:rPr>
          <w:color w:val="000000" w:themeColor="text1"/>
          <w:sz w:val="19"/>
        </w:rPr>
        <w:t>2. Choi YJ, Kim JM, Rho J, Do H. Patent urachus and urachal anomalies in pediatric patients: A single-center review of 10-year experience. J Pediatr Urol. 2021;17(4</w:t>
      </w:r>
      <w:proofErr w:type="gramStart"/>
      <w:r>
        <w:rPr>
          <w:color w:val="000000" w:themeColor="text1"/>
          <w:sz w:val="19"/>
        </w:rPr>
        <w:t>):534.e</w:t>
      </w:r>
      <w:proofErr w:type="gramEnd"/>
      <w:r>
        <w:rPr>
          <w:color w:val="000000" w:themeColor="text1"/>
          <w:sz w:val="19"/>
        </w:rPr>
        <w:t>1-534.e6.</w:t>
      </w:r>
    </w:p>
    <w:p w14:paraId="7EA71301" w14:textId="77777777" w:rsidR="00490284" w:rsidRDefault="00CC162A">
      <w:pPr>
        <w:spacing w:after="60" w:line="264" w:lineRule="auto"/>
        <w:rPr>
          <w:color w:val="000000" w:themeColor="text1"/>
        </w:rPr>
      </w:pPr>
      <w:r>
        <w:rPr>
          <w:color w:val="000000" w:themeColor="text1"/>
          <w:sz w:val="19"/>
        </w:rPr>
        <w:t xml:space="preserve">3. Gleason JM, Bowlin PR, Bagli DJ, Lorenzo AJ, Hassouna MM, Koyle MA, et al. A comprehensive review of pediatric urachal anomalies and their management. Can </w:t>
      </w:r>
      <w:proofErr w:type="spellStart"/>
      <w:r>
        <w:rPr>
          <w:color w:val="000000" w:themeColor="text1"/>
          <w:sz w:val="19"/>
        </w:rPr>
        <w:t>Urol</w:t>
      </w:r>
      <w:proofErr w:type="spellEnd"/>
      <w:r>
        <w:rPr>
          <w:color w:val="000000" w:themeColor="text1"/>
          <w:sz w:val="19"/>
        </w:rPr>
        <w:t xml:space="preserve"> Assoc J. 2013;7(9-10</w:t>
      </w:r>
      <w:proofErr w:type="gramStart"/>
      <w:r>
        <w:rPr>
          <w:color w:val="000000" w:themeColor="text1"/>
          <w:sz w:val="19"/>
        </w:rPr>
        <w:t>):E</w:t>
      </w:r>
      <w:proofErr w:type="gramEnd"/>
      <w:r>
        <w:rPr>
          <w:color w:val="000000" w:themeColor="text1"/>
          <w:sz w:val="19"/>
        </w:rPr>
        <w:t>632-E638.</w:t>
      </w:r>
    </w:p>
    <w:p w14:paraId="6A9109F7" w14:textId="77777777" w:rsidR="00490284" w:rsidRDefault="00CC162A">
      <w:pPr>
        <w:spacing w:after="60" w:line="264" w:lineRule="auto"/>
        <w:rPr>
          <w:color w:val="000000" w:themeColor="text1"/>
        </w:rPr>
      </w:pPr>
      <w:r>
        <w:rPr>
          <w:color w:val="000000" w:themeColor="text1"/>
          <w:sz w:val="19"/>
        </w:rPr>
        <w:t>4. Blichert-Toft M, Nielsen OV. Congenital patent urachus and urachal anomalies: an embryological and clinical study. Proc R Soc Med. 1971;64(10):1078-1080.</w:t>
      </w:r>
    </w:p>
    <w:p w14:paraId="59384BA1" w14:textId="77777777" w:rsidR="00490284" w:rsidRDefault="00CC162A">
      <w:pPr>
        <w:spacing w:after="60" w:line="264" w:lineRule="auto"/>
        <w:rPr>
          <w:color w:val="000000" w:themeColor="text1"/>
        </w:rPr>
      </w:pPr>
      <w:r>
        <w:rPr>
          <w:color w:val="000000" w:themeColor="text1"/>
          <w:sz w:val="19"/>
        </w:rPr>
        <w:t xml:space="preserve">5. Cilento BG, Bauer SB, </w:t>
      </w:r>
      <w:proofErr w:type="spellStart"/>
      <w:r>
        <w:rPr>
          <w:color w:val="000000" w:themeColor="text1"/>
          <w:sz w:val="19"/>
        </w:rPr>
        <w:t>Retik</w:t>
      </w:r>
      <w:proofErr w:type="spellEnd"/>
      <w:r>
        <w:rPr>
          <w:color w:val="000000" w:themeColor="text1"/>
          <w:sz w:val="19"/>
        </w:rPr>
        <w:t xml:space="preserve"> AB, Peters CA, Atala A. Urachal anomalies in children: contemporary management. J Urol. 1998;159(6):2135-2138.</w:t>
      </w:r>
    </w:p>
    <w:p w14:paraId="5FBA45D7" w14:textId="77777777" w:rsidR="00490284" w:rsidRDefault="00CC162A">
      <w:pPr>
        <w:spacing w:after="60" w:line="264" w:lineRule="auto"/>
        <w:rPr>
          <w:color w:val="000000" w:themeColor="text1"/>
        </w:rPr>
      </w:pPr>
      <w:r>
        <w:rPr>
          <w:color w:val="000000" w:themeColor="text1"/>
          <w:sz w:val="19"/>
        </w:rPr>
        <w:t xml:space="preserve">6. </w:t>
      </w:r>
      <w:proofErr w:type="spellStart"/>
      <w:r>
        <w:rPr>
          <w:color w:val="000000" w:themeColor="text1"/>
          <w:sz w:val="19"/>
        </w:rPr>
        <w:t>Ekwunife</w:t>
      </w:r>
      <w:proofErr w:type="spellEnd"/>
      <w:r>
        <w:rPr>
          <w:color w:val="000000" w:themeColor="text1"/>
          <w:sz w:val="19"/>
        </w:rPr>
        <w:t xml:space="preserve"> OH, Ugwu JO, </w:t>
      </w:r>
      <w:proofErr w:type="spellStart"/>
      <w:r>
        <w:rPr>
          <w:color w:val="000000" w:themeColor="text1"/>
          <w:sz w:val="19"/>
        </w:rPr>
        <w:t>Modekwe</w:t>
      </w:r>
      <w:proofErr w:type="spellEnd"/>
      <w:r>
        <w:rPr>
          <w:color w:val="000000" w:themeColor="text1"/>
          <w:sz w:val="19"/>
        </w:rPr>
        <w:t xml:space="preserve"> VI. Pediatric urachal anomalies: clinical spectrum, diagnostic pitfalls, and management outcomes. </w:t>
      </w:r>
      <w:proofErr w:type="spellStart"/>
      <w:r>
        <w:rPr>
          <w:color w:val="000000" w:themeColor="text1"/>
          <w:sz w:val="19"/>
        </w:rPr>
        <w:t>Afr</w:t>
      </w:r>
      <w:proofErr w:type="spellEnd"/>
      <w:r>
        <w:rPr>
          <w:color w:val="000000" w:themeColor="text1"/>
          <w:sz w:val="19"/>
        </w:rPr>
        <w:t xml:space="preserve"> J </w:t>
      </w:r>
      <w:proofErr w:type="spellStart"/>
      <w:r>
        <w:rPr>
          <w:color w:val="000000" w:themeColor="text1"/>
          <w:sz w:val="19"/>
        </w:rPr>
        <w:t>Paediatr</w:t>
      </w:r>
      <w:proofErr w:type="spellEnd"/>
      <w:r>
        <w:rPr>
          <w:color w:val="000000" w:themeColor="text1"/>
          <w:sz w:val="19"/>
        </w:rPr>
        <w:t xml:space="preserve"> Surg. 2018;15(3):142-146.</w:t>
      </w:r>
    </w:p>
    <w:p w14:paraId="08162798" w14:textId="77777777" w:rsidR="00490284" w:rsidRDefault="00CC162A">
      <w:pPr>
        <w:spacing w:after="60" w:line="264" w:lineRule="auto"/>
        <w:rPr>
          <w:color w:val="000000" w:themeColor="text1"/>
        </w:rPr>
      </w:pPr>
      <w:r>
        <w:rPr>
          <w:color w:val="000000" w:themeColor="text1"/>
          <w:sz w:val="19"/>
        </w:rPr>
        <w:t>7. Galati V, Donovan B, Ramji F, Campbell J, Frimberger D, Kropp BP. Management of urachal remnants in early childhood. J Pediatr Urol. 2008;4(6):459-464.</w:t>
      </w:r>
    </w:p>
    <w:p w14:paraId="54F9A791" w14:textId="77777777" w:rsidR="00490284" w:rsidRDefault="00CC162A">
      <w:pPr>
        <w:spacing w:after="60" w:line="264" w:lineRule="auto"/>
        <w:rPr>
          <w:color w:val="000000" w:themeColor="text1"/>
        </w:rPr>
      </w:pPr>
      <w:r>
        <w:rPr>
          <w:color w:val="000000" w:themeColor="text1"/>
          <w:sz w:val="19"/>
        </w:rPr>
        <w:t>8. Ashley RA, Inman BA, Routh JC, Rohlinger AL, Husmann DA, Kramer SA. Urachal anomalies: a longitudinal study of urachal remnants in children and adults. J Urol. 2007;178(4 Pt 1):1615-1618.</w:t>
      </w:r>
    </w:p>
    <w:p w14:paraId="089E4C1B" w14:textId="77777777" w:rsidR="00490284" w:rsidRDefault="00CC162A">
      <w:pPr>
        <w:spacing w:after="60" w:line="264" w:lineRule="auto"/>
        <w:rPr>
          <w:color w:val="000000" w:themeColor="text1"/>
        </w:rPr>
      </w:pPr>
      <w:r>
        <w:rPr>
          <w:color w:val="000000" w:themeColor="text1"/>
          <w:sz w:val="19"/>
        </w:rPr>
        <w:t xml:space="preserve">9. Snyder CL. Current management of umbilical abnormalities and urachal remnants in children. Semin </w:t>
      </w:r>
      <w:proofErr w:type="spellStart"/>
      <w:r>
        <w:rPr>
          <w:color w:val="000000" w:themeColor="text1"/>
          <w:sz w:val="19"/>
        </w:rPr>
        <w:t>Pediatr</w:t>
      </w:r>
      <w:proofErr w:type="spellEnd"/>
      <w:r>
        <w:rPr>
          <w:color w:val="000000" w:themeColor="text1"/>
          <w:sz w:val="19"/>
        </w:rPr>
        <w:t xml:space="preserve"> Surg. 2007;16(1):41-45.</w:t>
      </w:r>
    </w:p>
    <w:p w14:paraId="3BDA66E6" w14:textId="77777777" w:rsidR="00490284" w:rsidRDefault="00CC162A">
      <w:pPr>
        <w:spacing w:after="60" w:line="264" w:lineRule="auto"/>
        <w:rPr>
          <w:color w:val="000000" w:themeColor="text1"/>
        </w:rPr>
      </w:pPr>
      <w:r>
        <w:rPr>
          <w:color w:val="000000" w:themeColor="text1"/>
          <w:sz w:val="19"/>
        </w:rPr>
        <w:t xml:space="preserve">10. Upadhyay V, </w:t>
      </w:r>
      <w:proofErr w:type="spellStart"/>
      <w:r>
        <w:rPr>
          <w:color w:val="000000" w:themeColor="text1"/>
          <w:sz w:val="19"/>
        </w:rPr>
        <w:t>Kukkady</w:t>
      </w:r>
      <w:proofErr w:type="spellEnd"/>
      <w:r>
        <w:rPr>
          <w:color w:val="000000" w:themeColor="text1"/>
          <w:sz w:val="19"/>
        </w:rPr>
        <w:t xml:space="preserve"> A. Urachal anomalies in children: a 10-year retrospective study of presentation and treatment. N Z Med J. 2003;116(1178</w:t>
      </w:r>
      <w:proofErr w:type="gramStart"/>
      <w:r>
        <w:rPr>
          <w:color w:val="000000" w:themeColor="text1"/>
          <w:sz w:val="19"/>
        </w:rPr>
        <w:t>):U</w:t>
      </w:r>
      <w:proofErr w:type="gramEnd"/>
      <w:r>
        <w:rPr>
          <w:color w:val="000000" w:themeColor="text1"/>
          <w:sz w:val="19"/>
        </w:rPr>
        <w:t>524.</w:t>
      </w:r>
    </w:p>
    <w:p w14:paraId="44AA5D25" w14:textId="77777777" w:rsidR="00490284" w:rsidRDefault="00CC162A">
      <w:pPr>
        <w:spacing w:after="60" w:line="264" w:lineRule="auto"/>
        <w:rPr>
          <w:color w:val="000000" w:themeColor="text1"/>
        </w:rPr>
      </w:pPr>
      <w:r>
        <w:rPr>
          <w:color w:val="000000" w:themeColor="text1"/>
          <w:sz w:val="19"/>
        </w:rPr>
        <w:t>11. Naiditch JA, Radhakrishnan J, Chin AC. Current trends in the management of urachal anomalies in children. J Pediatr Surg. 2013;48(8):1752-1756.</w:t>
      </w:r>
    </w:p>
    <w:p w14:paraId="56C43B3E" w14:textId="77777777" w:rsidR="00490284" w:rsidRDefault="00CC162A">
      <w:pPr>
        <w:spacing w:after="60" w:line="264" w:lineRule="auto"/>
        <w:rPr>
          <w:color w:val="000000" w:themeColor="text1"/>
        </w:rPr>
      </w:pPr>
      <w:r>
        <w:rPr>
          <w:color w:val="000000" w:themeColor="text1"/>
          <w:sz w:val="19"/>
        </w:rPr>
        <w:t>12. Lipskar AM, Glick RD, Rosen NG, Boley SJ, St-Vil D. Nonoperative management of symptomatic urachal anomalies in children. J Pediatr Surg. 2010;45(5):1016-1019.</w:t>
      </w:r>
    </w:p>
    <w:p w14:paraId="41219B74" w14:textId="77777777" w:rsidR="00490284" w:rsidRDefault="00CC162A">
      <w:pPr>
        <w:spacing w:after="60" w:line="264" w:lineRule="auto"/>
        <w:rPr>
          <w:color w:val="000000" w:themeColor="text1"/>
        </w:rPr>
      </w:pPr>
      <w:r>
        <w:rPr>
          <w:color w:val="000000" w:themeColor="text1"/>
          <w:sz w:val="19"/>
        </w:rPr>
        <w:t xml:space="preserve">13. Kamel K, Nasr H, Tawfik S, Azzam A, Elsaid M, </w:t>
      </w:r>
      <w:proofErr w:type="spellStart"/>
      <w:r>
        <w:rPr>
          <w:color w:val="000000" w:themeColor="text1"/>
          <w:sz w:val="19"/>
        </w:rPr>
        <w:t>Qinawy</w:t>
      </w:r>
      <w:proofErr w:type="spellEnd"/>
      <w:r>
        <w:rPr>
          <w:color w:val="000000" w:themeColor="text1"/>
          <w:sz w:val="19"/>
        </w:rPr>
        <w:t xml:space="preserve"> M, et al. Complicated urachal cyst in two pediatric patients: a case report. BMC </w:t>
      </w:r>
      <w:proofErr w:type="spellStart"/>
      <w:r>
        <w:rPr>
          <w:color w:val="000000" w:themeColor="text1"/>
          <w:sz w:val="19"/>
        </w:rPr>
        <w:t>Pediatr</w:t>
      </w:r>
      <w:proofErr w:type="spellEnd"/>
      <w:r>
        <w:rPr>
          <w:color w:val="000000" w:themeColor="text1"/>
          <w:sz w:val="19"/>
        </w:rPr>
        <w:t>. 2023;23(1):154.</w:t>
      </w:r>
    </w:p>
    <w:p w14:paraId="41559A7D" w14:textId="77777777" w:rsidR="00490284" w:rsidRDefault="00CC162A">
      <w:pPr>
        <w:spacing w:after="60" w:line="264" w:lineRule="auto"/>
        <w:rPr>
          <w:color w:val="000000" w:themeColor="text1"/>
        </w:rPr>
      </w:pPr>
      <w:r>
        <w:rPr>
          <w:color w:val="000000" w:themeColor="text1"/>
          <w:sz w:val="19"/>
        </w:rPr>
        <w:t xml:space="preserve">14. </w:t>
      </w:r>
      <w:proofErr w:type="spellStart"/>
      <w:r>
        <w:rPr>
          <w:color w:val="000000" w:themeColor="text1"/>
          <w:sz w:val="19"/>
        </w:rPr>
        <w:t>Kutin</w:t>
      </w:r>
      <w:proofErr w:type="spellEnd"/>
      <w:r>
        <w:rPr>
          <w:color w:val="000000" w:themeColor="text1"/>
          <w:sz w:val="19"/>
        </w:rPr>
        <w:t xml:space="preserve"> ND, Allen JE, Jewett TC. The umbilical polyp. J Pediatr Surg. 1979;14(6):741-744.</w:t>
      </w:r>
    </w:p>
    <w:p w14:paraId="0C149617" w14:textId="77777777" w:rsidR="00490284" w:rsidRDefault="00CC162A">
      <w:pPr>
        <w:spacing w:after="60" w:line="264" w:lineRule="auto"/>
        <w:rPr>
          <w:color w:val="000000" w:themeColor="text1"/>
        </w:rPr>
      </w:pPr>
      <w:r>
        <w:rPr>
          <w:color w:val="000000" w:themeColor="text1"/>
          <w:sz w:val="19"/>
        </w:rPr>
        <w:t xml:space="preserve">15. Pacilli M, Sebire NJ, </w:t>
      </w:r>
      <w:proofErr w:type="spellStart"/>
      <w:r>
        <w:rPr>
          <w:color w:val="000000" w:themeColor="text1"/>
          <w:sz w:val="19"/>
        </w:rPr>
        <w:t>Maritsi</w:t>
      </w:r>
      <w:proofErr w:type="spellEnd"/>
      <w:r>
        <w:rPr>
          <w:color w:val="000000" w:themeColor="text1"/>
          <w:sz w:val="19"/>
        </w:rPr>
        <w:t xml:space="preserve"> D, Kiely EM, Drake DP, Curry JI, et al. Umbilical polyp in infants and children. </w:t>
      </w:r>
      <w:proofErr w:type="spellStart"/>
      <w:r>
        <w:rPr>
          <w:color w:val="000000" w:themeColor="text1"/>
          <w:sz w:val="19"/>
        </w:rPr>
        <w:t>Eur</w:t>
      </w:r>
      <w:proofErr w:type="spellEnd"/>
      <w:r>
        <w:rPr>
          <w:color w:val="000000" w:themeColor="text1"/>
          <w:sz w:val="19"/>
        </w:rPr>
        <w:t xml:space="preserve"> J </w:t>
      </w:r>
      <w:proofErr w:type="spellStart"/>
      <w:r>
        <w:rPr>
          <w:color w:val="000000" w:themeColor="text1"/>
          <w:sz w:val="19"/>
        </w:rPr>
        <w:t>Pediatr</w:t>
      </w:r>
      <w:proofErr w:type="spellEnd"/>
      <w:r>
        <w:rPr>
          <w:color w:val="000000" w:themeColor="text1"/>
          <w:sz w:val="19"/>
        </w:rPr>
        <w:t xml:space="preserve"> Surg. 2007;17(6):397-400.</w:t>
      </w:r>
    </w:p>
    <w:p w14:paraId="0CCE9A52" w14:textId="77777777" w:rsidR="00490284" w:rsidRDefault="00CC162A">
      <w:pPr>
        <w:spacing w:after="60" w:line="264" w:lineRule="auto"/>
        <w:rPr>
          <w:color w:val="000000" w:themeColor="text1"/>
        </w:rPr>
      </w:pPr>
      <w:r>
        <w:rPr>
          <w:color w:val="000000" w:themeColor="text1"/>
          <w:sz w:val="19"/>
        </w:rPr>
        <w:t xml:space="preserve">16. Swanson DC, Patel R, Laje P. Umbilical mass in children: distinguishing benign polyps from congenital patent vitelline and urachal remnants. </w:t>
      </w:r>
      <w:proofErr w:type="spellStart"/>
      <w:r>
        <w:rPr>
          <w:color w:val="000000" w:themeColor="text1"/>
          <w:sz w:val="19"/>
        </w:rPr>
        <w:t>Pediatr</w:t>
      </w:r>
      <w:proofErr w:type="spellEnd"/>
      <w:r>
        <w:rPr>
          <w:color w:val="000000" w:themeColor="text1"/>
          <w:sz w:val="19"/>
        </w:rPr>
        <w:t xml:space="preserve"> Surg Int. 2022;38(11):1583-1589.</w:t>
      </w:r>
    </w:p>
    <w:p w14:paraId="6D02E479" w14:textId="77777777" w:rsidR="00490284" w:rsidRDefault="00CC162A">
      <w:pPr>
        <w:spacing w:after="60" w:line="264" w:lineRule="auto"/>
        <w:rPr>
          <w:color w:val="000000" w:themeColor="text1"/>
        </w:rPr>
      </w:pPr>
      <w:r>
        <w:rPr>
          <w:color w:val="000000" w:themeColor="text1"/>
          <w:sz w:val="19"/>
        </w:rPr>
        <w:t xml:space="preserve">17. Robert Y, </w:t>
      </w:r>
      <w:proofErr w:type="spellStart"/>
      <w:r>
        <w:rPr>
          <w:color w:val="000000" w:themeColor="text1"/>
          <w:sz w:val="19"/>
        </w:rPr>
        <w:t>Hennequin</w:t>
      </w:r>
      <w:proofErr w:type="spellEnd"/>
      <w:r>
        <w:rPr>
          <w:color w:val="000000" w:themeColor="text1"/>
          <w:sz w:val="19"/>
        </w:rPr>
        <w:t>-Delerue C, Chaillet D, Bouras P, Rocher L, Lemaitre L. Urachal remnants: sonographic assessment. J Clin Ultrasound. 1996;24(7):339-347.</w:t>
      </w:r>
    </w:p>
    <w:p w14:paraId="2303E800" w14:textId="77777777" w:rsidR="00490284" w:rsidRDefault="00CC162A">
      <w:pPr>
        <w:spacing w:after="60" w:line="264" w:lineRule="auto"/>
        <w:rPr>
          <w:color w:val="000000" w:themeColor="text1"/>
        </w:rPr>
      </w:pPr>
      <w:r>
        <w:rPr>
          <w:color w:val="000000" w:themeColor="text1"/>
          <w:sz w:val="19"/>
        </w:rPr>
        <w:t xml:space="preserve">18. </w:t>
      </w:r>
      <w:proofErr w:type="spellStart"/>
      <w:r>
        <w:rPr>
          <w:color w:val="000000" w:themeColor="text1"/>
          <w:sz w:val="19"/>
        </w:rPr>
        <w:t>Widni</w:t>
      </w:r>
      <w:proofErr w:type="spellEnd"/>
      <w:r>
        <w:rPr>
          <w:color w:val="000000" w:themeColor="text1"/>
          <w:sz w:val="19"/>
        </w:rPr>
        <w:t xml:space="preserve"> EE, </w:t>
      </w:r>
      <w:proofErr w:type="spellStart"/>
      <w:r>
        <w:rPr>
          <w:color w:val="000000" w:themeColor="text1"/>
          <w:sz w:val="19"/>
        </w:rPr>
        <w:t>Höllwarth</w:t>
      </w:r>
      <w:proofErr w:type="spellEnd"/>
      <w:r>
        <w:rPr>
          <w:color w:val="000000" w:themeColor="text1"/>
          <w:sz w:val="19"/>
        </w:rPr>
        <w:t xml:space="preserve"> ME, Haxhija EQ. The impact of preoperative ultrasound on correct diagnosis of urachal remnants in children. J Pediatr Surg. 2010;45(7):1433-1437.</w:t>
      </w:r>
    </w:p>
    <w:p w14:paraId="67E80D28" w14:textId="77777777" w:rsidR="00490284" w:rsidRDefault="00CC162A">
      <w:pPr>
        <w:spacing w:after="60" w:line="264" w:lineRule="auto"/>
        <w:rPr>
          <w:color w:val="000000" w:themeColor="text1"/>
        </w:rPr>
      </w:pPr>
      <w:r>
        <w:rPr>
          <w:color w:val="000000" w:themeColor="text1"/>
          <w:sz w:val="19"/>
        </w:rPr>
        <w:t xml:space="preserve">19. </w:t>
      </w:r>
      <w:proofErr w:type="spellStart"/>
      <w:r>
        <w:rPr>
          <w:color w:val="000000" w:themeColor="text1"/>
          <w:sz w:val="19"/>
        </w:rPr>
        <w:t>Yiee</w:t>
      </w:r>
      <w:proofErr w:type="spellEnd"/>
      <w:r>
        <w:rPr>
          <w:color w:val="000000" w:themeColor="text1"/>
          <w:sz w:val="19"/>
        </w:rPr>
        <w:t xml:space="preserve"> JH, Pei L, Cheng EY. Diagnostic accuracy of ultrasound in pediatric urachal pathology: a systematic review. J Urol. 2014;192(5):1520-1525.</w:t>
      </w:r>
    </w:p>
    <w:p w14:paraId="4C4DAA79" w14:textId="77777777" w:rsidR="00490284" w:rsidRDefault="00CC162A">
      <w:pPr>
        <w:spacing w:after="60" w:line="264" w:lineRule="auto"/>
        <w:rPr>
          <w:color w:val="000000" w:themeColor="text1"/>
        </w:rPr>
      </w:pPr>
      <w:r>
        <w:rPr>
          <w:color w:val="000000" w:themeColor="text1"/>
          <w:sz w:val="19"/>
        </w:rPr>
        <w:t xml:space="preserve">20. Yu JS, Kim KW, Lee HJ, Lee YJ, Yoon CS, Ryu YH. Urachal remnant diseases: spectrum of CT and US findings. </w:t>
      </w:r>
      <w:proofErr w:type="spellStart"/>
      <w:r>
        <w:rPr>
          <w:color w:val="000000" w:themeColor="text1"/>
          <w:sz w:val="19"/>
        </w:rPr>
        <w:t>Radiographics</w:t>
      </w:r>
      <w:proofErr w:type="spellEnd"/>
      <w:r>
        <w:rPr>
          <w:color w:val="000000" w:themeColor="text1"/>
          <w:sz w:val="19"/>
        </w:rPr>
        <w:t>. 2001;21(2):451-461.</w:t>
      </w:r>
    </w:p>
    <w:p w14:paraId="5A91AFDC" w14:textId="77777777" w:rsidR="00490284" w:rsidRDefault="00CC162A">
      <w:pPr>
        <w:spacing w:after="60" w:line="264" w:lineRule="auto"/>
        <w:rPr>
          <w:color w:val="000000" w:themeColor="text1"/>
        </w:rPr>
      </w:pPr>
      <w:r>
        <w:rPr>
          <w:color w:val="000000" w:themeColor="text1"/>
          <w:sz w:val="19"/>
        </w:rPr>
        <w:t>21. Newman BM, Karp MP, Jewett TC, Cooney DR. Advances in the management of infected urachal cysts in pediatric patients. J Pediatr Surg. 1986;21(12):1051-1054.</w:t>
      </w:r>
    </w:p>
    <w:p w14:paraId="221464D7" w14:textId="77777777" w:rsidR="00490284" w:rsidRDefault="00CC162A">
      <w:pPr>
        <w:spacing w:after="60" w:line="264" w:lineRule="auto"/>
        <w:rPr>
          <w:color w:val="000000" w:themeColor="text1"/>
        </w:rPr>
      </w:pPr>
      <w:r>
        <w:rPr>
          <w:color w:val="000000" w:themeColor="text1"/>
          <w:sz w:val="19"/>
        </w:rPr>
        <w:t>22. O'Gara TA, Halle-Martin P, Khoury AE. Microbiology and antibiotic management of infected urachal remnants in children. J Pediatr Urol. 2012;8(3):289-293.</w:t>
      </w:r>
    </w:p>
    <w:p w14:paraId="036D3E63" w14:textId="77777777" w:rsidR="00490284" w:rsidRDefault="00CC162A">
      <w:pPr>
        <w:spacing w:after="60" w:line="264" w:lineRule="auto"/>
        <w:rPr>
          <w:color w:val="000000" w:themeColor="text1"/>
        </w:rPr>
      </w:pPr>
      <w:r>
        <w:rPr>
          <w:color w:val="000000" w:themeColor="text1"/>
          <w:sz w:val="19"/>
        </w:rPr>
        <w:t>23. Armbruster CE, Mobley HLT. Merging mathematics and biology: Proteus mirabilis pathogenesis, urease production, and biofilm formation. Nat Rev Microbiol. 2018;16(2):77-92.</w:t>
      </w:r>
    </w:p>
    <w:p w14:paraId="10FF0AE0" w14:textId="77777777" w:rsidR="00490284" w:rsidRDefault="00CC162A">
      <w:pPr>
        <w:spacing w:after="60" w:line="264" w:lineRule="auto"/>
        <w:rPr>
          <w:color w:val="000000" w:themeColor="text1"/>
        </w:rPr>
      </w:pPr>
      <w:r>
        <w:rPr>
          <w:color w:val="000000" w:themeColor="text1"/>
          <w:sz w:val="19"/>
        </w:rPr>
        <w:lastRenderedPageBreak/>
        <w:t xml:space="preserve">24. Guven A, </w:t>
      </w:r>
      <w:proofErr w:type="spellStart"/>
      <w:r>
        <w:rPr>
          <w:color w:val="000000" w:themeColor="text1"/>
          <w:sz w:val="19"/>
        </w:rPr>
        <w:t>Kocaoglu</w:t>
      </w:r>
      <w:proofErr w:type="spellEnd"/>
      <w:r>
        <w:rPr>
          <w:color w:val="000000" w:themeColor="text1"/>
          <w:sz w:val="19"/>
        </w:rPr>
        <w:t xml:space="preserve"> M, Ozcan A. Infected urachal cyst caused by Proteus mirabilis in a young infant: diagnostic and therapeutic challenges. </w:t>
      </w:r>
      <w:proofErr w:type="spellStart"/>
      <w:r>
        <w:rPr>
          <w:color w:val="000000" w:themeColor="text1"/>
          <w:sz w:val="19"/>
        </w:rPr>
        <w:t>Pediatr</w:t>
      </w:r>
      <w:proofErr w:type="spellEnd"/>
      <w:r>
        <w:rPr>
          <w:color w:val="000000" w:themeColor="text1"/>
          <w:sz w:val="19"/>
        </w:rPr>
        <w:t xml:space="preserve"> Surg Int. 2007;23(7):705-708.</w:t>
      </w:r>
    </w:p>
    <w:p w14:paraId="2350DB9D" w14:textId="77777777" w:rsidR="00490284" w:rsidRDefault="00CC162A">
      <w:pPr>
        <w:spacing w:after="60" w:line="264" w:lineRule="auto"/>
        <w:rPr>
          <w:color w:val="000000" w:themeColor="text1"/>
        </w:rPr>
      </w:pPr>
      <w:r>
        <w:rPr>
          <w:color w:val="000000" w:themeColor="text1"/>
          <w:sz w:val="19"/>
        </w:rPr>
        <w:t xml:space="preserve">25. McCollum MO, </w:t>
      </w:r>
      <w:proofErr w:type="spellStart"/>
      <w:r>
        <w:rPr>
          <w:color w:val="000000" w:themeColor="text1"/>
          <w:sz w:val="19"/>
        </w:rPr>
        <w:t>Macneily</w:t>
      </w:r>
      <w:proofErr w:type="spellEnd"/>
      <w:r>
        <w:rPr>
          <w:color w:val="000000" w:themeColor="text1"/>
          <w:sz w:val="19"/>
        </w:rPr>
        <w:t xml:space="preserve"> AE, Blair GK. Surgical implications of urachal remnants: presentation and management. J Pediatr Surg. 2001;36(5):798-803.</w:t>
      </w:r>
    </w:p>
    <w:p w14:paraId="7005DE43" w14:textId="77777777" w:rsidR="00490284" w:rsidRDefault="00CC162A">
      <w:pPr>
        <w:spacing w:after="60" w:line="264" w:lineRule="auto"/>
        <w:rPr>
          <w:color w:val="000000" w:themeColor="text1"/>
        </w:rPr>
      </w:pPr>
      <w:r>
        <w:rPr>
          <w:color w:val="000000" w:themeColor="text1"/>
          <w:sz w:val="19"/>
        </w:rPr>
        <w:t xml:space="preserve">26. Nogueras-Ocaña M, Rodríguez-Gómez UF, </w:t>
      </w:r>
      <w:proofErr w:type="spellStart"/>
      <w:r>
        <w:rPr>
          <w:color w:val="000000" w:themeColor="text1"/>
          <w:sz w:val="19"/>
        </w:rPr>
        <w:t>Uberos</w:t>
      </w:r>
      <w:proofErr w:type="spellEnd"/>
      <w:r>
        <w:rPr>
          <w:color w:val="000000" w:themeColor="text1"/>
          <w:sz w:val="19"/>
        </w:rPr>
        <w:t xml:space="preserve">-Fernández J, Vallejo-Herrador J, Mizuno K. Urachal anomalies in children: surgical or conservative approach? </w:t>
      </w:r>
      <w:proofErr w:type="spellStart"/>
      <w:r>
        <w:rPr>
          <w:color w:val="000000" w:themeColor="text1"/>
          <w:sz w:val="19"/>
        </w:rPr>
        <w:t>Actas</w:t>
      </w:r>
      <w:proofErr w:type="spellEnd"/>
      <w:r>
        <w:rPr>
          <w:color w:val="000000" w:themeColor="text1"/>
          <w:sz w:val="19"/>
        </w:rPr>
        <w:t xml:space="preserve"> </w:t>
      </w:r>
      <w:proofErr w:type="spellStart"/>
      <w:r>
        <w:rPr>
          <w:color w:val="000000" w:themeColor="text1"/>
          <w:sz w:val="19"/>
        </w:rPr>
        <w:t>Urol</w:t>
      </w:r>
      <w:proofErr w:type="spellEnd"/>
      <w:r>
        <w:rPr>
          <w:color w:val="000000" w:themeColor="text1"/>
          <w:sz w:val="19"/>
        </w:rPr>
        <w:t xml:space="preserve"> Esp. 2014;38(8):546-551.</w:t>
      </w:r>
    </w:p>
    <w:p w14:paraId="2C2CB471" w14:textId="77777777" w:rsidR="00490284" w:rsidRDefault="00CC162A">
      <w:pPr>
        <w:spacing w:after="60" w:line="264" w:lineRule="auto"/>
        <w:rPr>
          <w:color w:val="000000" w:themeColor="text1"/>
        </w:rPr>
      </w:pPr>
      <w:r>
        <w:rPr>
          <w:color w:val="000000" w:themeColor="text1"/>
          <w:sz w:val="19"/>
        </w:rPr>
        <w:t>27. Little DC, Shah SR, St Peter SD, Calkins CM, Morrow SE, Murphy JP, et al. Urachal anomalies in children: the premier experience. J Pediatr Surg. 2005;40(12):1897-1900.</w:t>
      </w:r>
    </w:p>
    <w:p w14:paraId="4A130F85" w14:textId="77777777" w:rsidR="00490284" w:rsidRDefault="00CC162A">
      <w:pPr>
        <w:spacing w:after="60" w:line="264" w:lineRule="auto"/>
        <w:rPr>
          <w:color w:val="000000" w:themeColor="text1"/>
        </w:rPr>
      </w:pPr>
      <w:r>
        <w:rPr>
          <w:color w:val="000000" w:themeColor="text1"/>
          <w:sz w:val="19"/>
        </w:rPr>
        <w:t xml:space="preserve">28. Cadeddu JA, Boyle KE, Fabrizio MD, </w:t>
      </w:r>
      <w:proofErr w:type="spellStart"/>
      <w:r>
        <w:rPr>
          <w:color w:val="000000" w:themeColor="text1"/>
          <w:sz w:val="19"/>
        </w:rPr>
        <w:t>Schulam</w:t>
      </w:r>
      <w:proofErr w:type="spellEnd"/>
      <w:r>
        <w:rPr>
          <w:color w:val="000000" w:themeColor="text1"/>
          <w:sz w:val="19"/>
        </w:rPr>
        <w:t xml:space="preserve"> PG, Kavoussi LR. Laparoscopic management of urachal cysts in children and young adults. Tech Urol. 2000;6(1):32-34.</w:t>
      </w:r>
    </w:p>
    <w:p w14:paraId="58472B32" w14:textId="77777777" w:rsidR="00490284" w:rsidRDefault="00CC162A">
      <w:pPr>
        <w:spacing w:after="60" w:line="264" w:lineRule="auto"/>
        <w:rPr>
          <w:color w:val="000000" w:themeColor="text1"/>
        </w:rPr>
      </w:pPr>
      <w:r>
        <w:rPr>
          <w:color w:val="000000" w:themeColor="text1"/>
          <w:sz w:val="19"/>
        </w:rPr>
        <w:t xml:space="preserve">29. </w:t>
      </w:r>
      <w:proofErr w:type="spellStart"/>
      <w:r>
        <w:rPr>
          <w:color w:val="000000" w:themeColor="text1"/>
          <w:sz w:val="19"/>
        </w:rPr>
        <w:t>Patrzyk</w:t>
      </w:r>
      <w:proofErr w:type="spellEnd"/>
      <w:r>
        <w:rPr>
          <w:color w:val="000000" w:themeColor="text1"/>
          <w:sz w:val="19"/>
        </w:rPr>
        <w:t xml:space="preserve"> M, </w:t>
      </w:r>
      <w:proofErr w:type="spellStart"/>
      <w:r>
        <w:rPr>
          <w:color w:val="000000" w:themeColor="text1"/>
          <w:sz w:val="19"/>
        </w:rPr>
        <w:t>Glitsch</w:t>
      </w:r>
      <w:proofErr w:type="spellEnd"/>
      <w:r>
        <w:rPr>
          <w:color w:val="000000" w:themeColor="text1"/>
          <w:sz w:val="19"/>
        </w:rPr>
        <w:t xml:space="preserve"> A, Schreiber A, von Bernstorff W, Heidecke CD. Single-incision laparoscopic resection of urachal anomalies in pediatric and adolescent patients. J Laparoendosc Adv Surg Tech A. 2013;23(10):883-887.</w:t>
      </w:r>
    </w:p>
    <w:sectPr w:rsidR="0049028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E494" w14:textId="77777777" w:rsidR="00D36494" w:rsidRDefault="00D36494">
      <w:pPr>
        <w:spacing w:line="240" w:lineRule="auto"/>
      </w:pPr>
      <w:r>
        <w:separator/>
      </w:r>
    </w:p>
  </w:endnote>
  <w:endnote w:type="continuationSeparator" w:id="0">
    <w:p w14:paraId="29AE5264" w14:textId="77777777" w:rsidR="00D36494" w:rsidRDefault="00D364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269B" w14:textId="77777777" w:rsidR="003B76C0" w:rsidRDefault="003B7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D770" w14:textId="77777777" w:rsidR="00490284" w:rsidRDefault="00CC162A">
    <w:pPr>
      <w:pStyle w:val="Footer"/>
      <w:jc w:val="center"/>
    </w:pPr>
    <w:r>
      <w:rPr>
        <w:color w:val="787878"/>
        <w:sz w:val="18"/>
      </w:rPr>
      <w:t xml:space="preserve">Page </w:t>
    </w:r>
    <w:r>
      <w:fldChar w:fldCharType="begin"/>
    </w:r>
    <w:r>
      <w:instrText>PAGE</w:instrText>
    </w:r>
    <w:r>
      <w:fldChar w:fldCharType="separate"/>
    </w:r>
    <w:r w:rsidR="00D3643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4BAA" w14:textId="77777777" w:rsidR="003B76C0" w:rsidRDefault="003B7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1E7B3" w14:textId="77777777" w:rsidR="00D36494" w:rsidRDefault="00D36494">
      <w:pPr>
        <w:spacing w:after="0"/>
      </w:pPr>
      <w:r>
        <w:separator/>
      </w:r>
    </w:p>
  </w:footnote>
  <w:footnote w:type="continuationSeparator" w:id="0">
    <w:p w14:paraId="14430612" w14:textId="77777777" w:rsidR="00D36494" w:rsidRDefault="00D3649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C563" w14:textId="3CF77955" w:rsidR="003B76C0" w:rsidRDefault="003B76C0">
    <w:pPr>
      <w:pStyle w:val="Header"/>
    </w:pPr>
    <w:r>
      <w:rPr>
        <w:noProof/>
      </w:rPr>
      <w:pict w14:anchorId="2BF3A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541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A433" w14:textId="14A699A8" w:rsidR="00490284" w:rsidRDefault="003B76C0">
    <w:pPr>
      <w:pStyle w:val="Header"/>
      <w:jc w:val="right"/>
    </w:pPr>
    <w:r>
      <w:rPr>
        <w:noProof/>
      </w:rPr>
      <w:pict w14:anchorId="2B631E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54125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ED71" w14:textId="4D413F0E" w:rsidR="003B76C0" w:rsidRDefault="003B76C0">
    <w:pPr>
      <w:pStyle w:val="Header"/>
    </w:pPr>
    <w:r>
      <w:rPr>
        <w:noProof/>
      </w:rPr>
      <w:pict w14:anchorId="3FF5A1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541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15:restartNumberingAfterBreak="0">
    <w:nsid w:val="2A49CBCB"/>
    <w:multiLevelType w:val="singleLevel"/>
    <w:tmpl w:val="2A49CBCB"/>
    <w:lvl w:ilvl="0">
      <w:start w:val="6"/>
      <w:numFmt w:val="decimal"/>
      <w:suff w:val="space"/>
      <w:lvlText w:val="%1."/>
      <w:lvlJc w:val="left"/>
    </w:lvl>
  </w:abstractNum>
  <w:num w:numId="1" w16cid:durableId="265887970">
    <w:abstractNumId w:val="5"/>
  </w:num>
  <w:num w:numId="2" w16cid:durableId="1458179101">
    <w:abstractNumId w:val="3"/>
  </w:num>
  <w:num w:numId="3" w16cid:durableId="497699318">
    <w:abstractNumId w:val="2"/>
  </w:num>
  <w:num w:numId="4" w16cid:durableId="1030496224">
    <w:abstractNumId w:val="4"/>
  </w:num>
  <w:num w:numId="5" w16cid:durableId="889194260">
    <w:abstractNumId w:val="1"/>
  </w:num>
  <w:num w:numId="6" w16cid:durableId="825172356">
    <w:abstractNumId w:val="0"/>
  </w:num>
  <w:num w:numId="7" w16cid:durableId="135416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83B"/>
    <w:rsid w:val="0015074B"/>
    <w:rsid w:val="00223885"/>
    <w:rsid w:val="0029639D"/>
    <w:rsid w:val="00326F90"/>
    <w:rsid w:val="003B76C0"/>
    <w:rsid w:val="00473820"/>
    <w:rsid w:val="00490284"/>
    <w:rsid w:val="00622F7F"/>
    <w:rsid w:val="009349F8"/>
    <w:rsid w:val="00AA1D8D"/>
    <w:rsid w:val="00B47730"/>
    <w:rsid w:val="00BD7F90"/>
    <w:rsid w:val="00CB0664"/>
    <w:rsid w:val="00CC162A"/>
    <w:rsid w:val="00D36437"/>
    <w:rsid w:val="00D36494"/>
    <w:rsid w:val="00FC693F"/>
    <w:rsid w:val="16305C49"/>
    <w:rsid w:val="281A6853"/>
    <w:rsid w:val="31642694"/>
    <w:rsid w:val="73100AD4"/>
    <w:rsid w:val="7A9E4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503D2D"/>
  <w14:defaultImageDpi w14:val="300"/>
  <w15:docId w15:val="{FB0D3B78-C4FB-48AD-88F8-E077D70B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cstheme="minorBidi"/>
      <w:color w:val="1E1E1E"/>
      <w:sz w:val="22"/>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Web">
    <w:name w:val="Normal (Web)"/>
    <w:uiPriority w:val="99"/>
    <w:semiHidden/>
    <w:unhideWhenUsed/>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065F4-1108-4750-9D76-C82FB8F4F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14</Pages>
  <Words>4671</Words>
  <Characters>26626</Characters>
  <Application>Microsoft Office Word</Application>
  <DocSecurity>0</DocSecurity>
  <Lines>221</Lines>
  <Paragraphs>62</Paragraphs>
  <ScaleCrop>false</ScaleCrop>
  <Company/>
  <LinksUpToDate>false</LinksUpToDate>
  <CharactersWithSpaces>31235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1166</cp:lastModifiedBy>
  <cp:revision>7</cp:revision>
  <dcterms:created xsi:type="dcterms:W3CDTF">2013-12-23T23:15:00Z</dcterms:created>
  <dcterms:modified xsi:type="dcterms:W3CDTF">2026-09-10T08:10:00Z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eyJoZGlkIjoiNzM1N2I5ZjUwY2YzMTJhNWRhYjg5MTUxYjAxNzM0MjkiLCJ1c2VySWQiOiI1NDk3Njg4MTM3NTYifQ==</vt:lpwstr>
  </property>
  <property fmtid="{D5CDD505-2E9C-101B-9397-08002B2CF9AE}" pid="3" name="KSOProductBuildVer">
    <vt:lpwstr>1033-12.1.0.28032</vt:lpwstr>
  </property>
  <property fmtid="{D5CDD505-2E9C-101B-9397-08002B2CF9AE}" pid="4" name="ICV">
    <vt:lpwstr>D4E5593A3AF34377860D5B16297E3DEE_13</vt:lpwstr>
  </property>
</Properties>
</file>