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BD7DF" w14:textId="77777777" w:rsidR="00963F80" w:rsidRDefault="00AA250C">
      <w:pPr>
        <w:pStyle w:val="Title"/>
        <w:jc w:val="center"/>
      </w:pPr>
      <w:bookmarkStart w:id="0" w:name="_Hlk239517284"/>
      <w:r>
        <w:rPr>
          <w:rFonts w:ascii="Times New Roman" w:hAnsi="Times New Roman"/>
        </w:rPr>
        <w:t xml:space="preserve">Agricultural Value Chain Development </w:t>
      </w:r>
      <w:bookmarkEnd w:id="0"/>
      <w:r>
        <w:rPr>
          <w:rFonts w:ascii="Times New Roman" w:hAnsi="Times New Roman"/>
        </w:rPr>
        <w:t>and Market Access for Small-Scale Arable Crop Farmers in Nigeria: A Critical Narrative Review</w:t>
      </w:r>
    </w:p>
    <w:p w14:paraId="60555489" w14:textId="77777777" w:rsidR="00963F80" w:rsidRDefault="00963F80">
      <w:pPr>
        <w:pBdr>
          <w:bottom w:val="single" w:sz="8" w:space="1" w:color="808080"/>
        </w:pBdr>
        <w:spacing w:after="200"/>
      </w:pPr>
    </w:p>
    <w:p w14:paraId="4498F365" w14:textId="77777777" w:rsidR="00963F80" w:rsidRDefault="00AA250C">
      <w:pPr>
        <w:pStyle w:val="Heading1"/>
        <w:jc w:val="left"/>
      </w:pPr>
      <w:r>
        <w:t>Abstract</w:t>
      </w:r>
    </w:p>
    <w:p w14:paraId="3ABE4B8C" w14:textId="77777777" w:rsidR="00963F80" w:rsidRDefault="00AA250C">
      <w:pPr>
        <w:pStyle w:val="AbstractBody"/>
      </w:pPr>
      <w:r>
        <w:t>Nigeria’s arable crop economy is dominated by household farms whose commercial prospects are shaped not only by production constraints but also by the costs and risks of moving produce, information and finance through fragmented value chains. This critical narrative review examines how agricultural value chain development can improve market access for small-scale arable crop farmers in Nigeria, with particular attention to rice, maize, cassava and cowpea and to transferable evidence from other annual crop chains. Literature published principally from 2005 to 1 July 2026 was synthesised alongside selected foundational studies and authoritative institutional evidence. The review integrates research on market participation, commercialisation, collective action, midstream enterprises, technology adoption, post-harvest management, digitalisation, finance, gender, infrastructure and climate- and conflict-related shocks.</w:t>
      </w:r>
    </w:p>
    <w:p w14:paraId="31651C3E" w14:textId="77777777" w:rsidR="00963F80" w:rsidRDefault="00AA250C">
      <w:pPr>
        <w:pStyle w:val="AbstractBody"/>
      </w:pPr>
      <w:r>
        <w:t>The evidence indicates that market access is best understood as a coordinated-system outcome rather than proximity to a physical market. Roads, aggregation, storage, reliable buyers, information, working capital, productivity-enhancing technologies and quality management are complementary; isolated interventions often shift rather than remove bottlenecks. Nigerian studies associate greater market participation and commercialisation with improved income or welfare, but causal confidence varies because much of the evidence is observational and geographically concentrated. Stronger quasi-experimental and panel evidence supports benefits from selected technologies and market participation, while recent work shows that extreme heat, insecurity and weak logistics can erode production and sales simultaneously. Midstream actors—including traders, wholesalers, processors and medium-scale farms—frequently provide coordination, information and service functions, challenging policy narratives that treat intermediaries principally as extractive. Yet formalisation, standards, digital tools and structured procurement may exclude farmers lacking assets, documentation, connectivity or bargaining power.</w:t>
      </w:r>
    </w:p>
    <w:p w14:paraId="0EF93CF6" w14:textId="77777777" w:rsidR="00963F80" w:rsidRDefault="00AA250C">
      <w:pPr>
        <w:pStyle w:val="AbstractBody"/>
      </w:pPr>
      <w:r>
        <w:t>The review argues for a portfolio approach that couples productivity with resilient rural infrastructure, competitive aggregation and off-take arrangements, inclusive finance, post-harvest upgrading, market information, and governance safeguards. Nigeria’s current programme architecture increasingly reflects this logic, but implementation quality, maintenance, competition and distributional accountability will determine whether value-chain investment translates into durable gains for small-scale farmers.</w:t>
      </w:r>
    </w:p>
    <w:p w14:paraId="0AA452F5" w14:textId="77777777" w:rsidR="00963F80" w:rsidRDefault="00AA250C">
      <w:pPr>
        <w:spacing w:after="240"/>
      </w:pPr>
      <w:r>
        <w:rPr>
          <w:b/>
          <w:sz w:val="21"/>
        </w:rPr>
        <w:t xml:space="preserve">Keywords: </w:t>
      </w:r>
      <w:r>
        <w:rPr>
          <w:sz w:val="21"/>
        </w:rPr>
        <w:t>smallholder commercialisation; agricultural value chains; market participation; rural infrastructure; post-harvest systems; agrifood markets; Nigeria</w:t>
      </w:r>
    </w:p>
    <w:p w14:paraId="5D0F2D36" w14:textId="77777777" w:rsidR="00963F80" w:rsidRDefault="00AA250C">
      <w:pPr>
        <w:pStyle w:val="Heading1"/>
      </w:pPr>
      <w:r>
        <w:t>1. Introduction</w:t>
      </w:r>
    </w:p>
    <w:p w14:paraId="2A4650E7" w14:textId="77777777" w:rsidR="00963F80" w:rsidRDefault="00AA250C">
      <w:r>
        <w:t xml:space="preserve">Agricultural transformation in Nigeria depends in large measure on whether millions of household farms can move from low-productivity, weakly connected production towards profitable and resilient participation in domestic agrifood markets. The scale of the challenge is substantial. Nigeria’s 2022/23 agricultural survey estimated 40.2 million active agricultural households, with crop production reported as the main activity by about 36 million. Average holding size was approximately 2.0 hectares, and about half of agricultural households reported producing mainly or exclusively for commercial purposes (50x2030 Initiative, 2026). These aggregates describe an economy in which market participation is already widespread but highly </w:t>
      </w:r>
      <w:r>
        <w:lastRenderedPageBreak/>
        <w:t>uneven. The practical policy question is therefore not simply how to “connect farmers to markets”, but how to improve the quality, reliability and returns of that participation.</w:t>
      </w:r>
    </w:p>
    <w:p w14:paraId="669A710D" w14:textId="77777777" w:rsidR="00963F80" w:rsidRDefault="00AA250C">
      <w:r>
        <w:t>The distinction matters because market access is often reduced to physical distance or the existence of a nearby marketplace. Smallholder market participation research instead shows that participation and sales intensity emerge from interacting household assets, production technologies, transport costs, information, liquidity, risk, product characteristics and institutional arrangements (Barrett, 2008; Bellemare &amp; Barrett, 2006). A farmer may live near a periodic market yet remain commercially constrained by low volumes, poor quality, lack of storage, urgent cash needs, weak bargaining power or the absence of credible buyers. Conversely, a farmer at greater distance may participate successfully if aggregation, transport, finance and buyer coordination reduce transaction costs. In this sense, market access is a system property: it reflects whether the chain can coordinate the movement of produce and services at a cost and level of risk compatible with small-scale production.</w:t>
      </w:r>
    </w:p>
    <w:p w14:paraId="4DEFF655" w14:textId="77777777" w:rsidR="00963F80" w:rsidRDefault="00AA250C">
      <w:r>
        <w:t>Value chain development provides a broader analytical lens because it extends attention beyond the farm gate to input suppliers, aggregators, traders, transporters, processors, wholesalers, retailers, service firms, public agencies and consumers. The growth of small and medium-sized enterprises in the “hidden middle” of agrifood systems has been central to the transformation of food markets in developing regions, even though public policy has historically focused more heavily on farms and large downstream firms (Reardon et al., 2021). Nigerian evidence reinforces the importance of this middle segment. Maize traders respond to climate risk through technology and management choices (Liverpool-Tasie &amp; Parkhi, 2021), while cowpea traders provide market channels associated with improved household income and food-security outcomes for participating farmers (Manda et al., 2020). More recent evidence from tomato chains similarly suggests that informal sales to wholesalers and aggregators can influence production and handling practices, indicating that market relationships can shape farm-level upgrading even without formal contracts (Yami et al., 2026).</w:t>
      </w:r>
    </w:p>
    <w:p w14:paraId="09CA0954" w14:textId="77777777" w:rsidR="00963F80" w:rsidRDefault="00AA250C">
      <w:r>
        <w:t>Commercialisation should nevertheless not be treated as an unqualified development objective. Selling a larger share of output can raise income and reduce poverty when farmers have adequate productive capacity and favourable exchange conditions, as comparative evidence indicates (Ogutu &amp; Qaim, 2019). Yet commercialisation can also expose households to price volatility, input debt, climatic loss, buyer concentration and food-purchase risk. The distribution of benefits is likely to differ by landholding, gender, liquidity, remoteness and crop. Nigerian studies consistently show that productive assets, access to improved technology, irrigation, credit and market-supporting institutions condition participation and welfare outcomes (Awotide et al., 2016; Balana &amp; Oyeyemi, 2022; Owusu &amp; İşcan, 2021). The implication is that policies that raise marketed surplus without addressing the terms and resilience of market participation may increase exposure without producing durable welfare gains.</w:t>
      </w:r>
    </w:p>
    <w:p w14:paraId="26D484F4" w14:textId="77777777" w:rsidR="00963F80" w:rsidRDefault="00AA250C">
      <w:r>
        <w:t xml:space="preserve">Nigeria’s current policy and investment environment makes a critical synthesis especially timely. The Value Chain Development Programme has used rice and cassava chains as vehicles for coordinated support to producers, processors and traders and for improving market access (International Fund for Agricultural Development [IFAD], n.d.). The Special Agro-Industrial Processing Zones programme seeks to combine agro-industrial hubs with enabling infrastructure and productivity support (African Development Bank Group [AfDB], 2025). The Rural Access Agricultural Marketing Project–Scale Up targets rehabilitation, upgrading and maintenance of 6,500 km of rural roads, explicitly linking transport infrastructure to agricultural markets (World Bank, 2024). In March 2026, the Nigeria Sustainable Agricultural Value-Chains for Growth (AGROW) Project was approved with a stated focus on smallholder productivity, aggregation, post-harvest handling, agro-processing and market access (World Bank, 2026a, 2026b). These initiatives embody a shift from single-input interventions towards value-chain portfolios, but their development effect </w:t>
      </w:r>
      <w:r>
        <w:lastRenderedPageBreak/>
        <w:t>will depend on whether complementary constraints are addressed and whether benefits reach farmers with limited assets.</w:t>
      </w:r>
    </w:p>
    <w:p w14:paraId="41FD4946" w14:textId="77777777" w:rsidR="00963F80" w:rsidRDefault="00AA250C">
      <w:r>
        <w:t>The academic literature offers useful pieces of this problem but remains fragmented. One strand models market participation and commercialisation; another estimates technology-adoption and welfare effects; a third analyses credit, roads, digital information or collective action; and a newer literature studies midstream enterprises, climate and conflict. Crop-specific Nigerian studies are often locally bounded, use differing definitions of smallholder status and commercialisation, and rely on cross-sectional data. This limits simple aggregation and can generate apparently conflicting conclusions. A critical narrative synthesis is therefore appropriate because the key task is conceptual integration and evidence calibration rather than estimation of a single pooled effect.</w:t>
      </w:r>
    </w:p>
    <w:p w14:paraId="2CF0EAF5" w14:textId="77777777" w:rsidR="00963F80" w:rsidRDefault="00AA250C">
      <w:pPr>
        <w:pStyle w:val="Heading2"/>
      </w:pPr>
      <w:r>
        <w:t>1.1 Scope, Research Gap and Objectives</w:t>
      </w:r>
    </w:p>
    <w:p w14:paraId="31727B64" w14:textId="77777777" w:rsidR="00963F80" w:rsidRDefault="00AA250C">
      <w:r>
        <w:t>This review focuses on small-scale, household-based producers of arable crops in Nigeria, with rice, maize, cassava and cowpea used as the principal empirical anchors because they are prominent in the accessible literature and in current value-chain programmes. Evidence from closely related crop chains is included where it illuminates a mechanism that is transferable to arable farming, such as aggregation, post-harvest handling or informal market-channel coordination. The review examines market access as an outcome of productive capacity, transaction costs, chain governance, infrastructure, finance, information, inclusion and resilience. It does not attempt a commodity-by-commodity production review, a national marketing-margin census, or an evaluation of every agricultural programme.</w:t>
      </w:r>
    </w:p>
    <w:p w14:paraId="0FF4829F" w14:textId="77777777" w:rsidR="00963F80" w:rsidRDefault="00AA250C">
      <w:r>
        <w:t>The principal gap is the absence of an integrated Nigeria-focused account that connects farm-level commercialisation evidence with the organisation and resilience of the wider chain. The objectives are to clarify the mechanisms through which value chain development can improve or constrain market access; assess the strength and limitations of Nigerian evidence; identify where crop, spatial and social heterogeneity qualify general conclusions; evaluate the role of midstream and institutional actors; and derive priorities for research and policy that are proportionate to the available evidence.</w:t>
      </w:r>
    </w:p>
    <w:p w14:paraId="3243D8B1" w14:textId="77777777" w:rsidR="00963F80" w:rsidRDefault="00AA250C">
      <w:pPr>
        <w:pStyle w:val="Heading1"/>
      </w:pPr>
      <w:r>
        <w:t>2. Methods for Literature Selection</w:t>
      </w:r>
    </w:p>
    <w:p w14:paraId="6FDCCA5A" w14:textId="77777777" w:rsidR="00963F80" w:rsidRDefault="00AA250C">
      <w:pPr>
        <w:pStyle w:val="Heading2"/>
      </w:pPr>
      <w:r>
        <w:t>2.1 Review Design and Rationale</w:t>
      </w:r>
    </w:p>
    <w:p w14:paraId="044BC68D" w14:textId="77777777" w:rsidR="00963F80" w:rsidRDefault="00AA250C">
      <w:r>
        <w:t>A critical narrative review design was used because the question spans heterogeneous theories, outcomes and study designs and requires interpretation of relationships among production, marketing, institutions and policy rather than estimation of one common treatment effect. Narrative synthesis is particularly useful for integrating methodologically diverse evidence and distinguishing conclusions that are well established from those that remain conditional or unresolved (Baumeister &amp; Leary, 1997). Transparency, explicit relevance criteria and critical appraisal were retained as core safeguards. The review process was informed by the principles underlying the SANRA framework, especially justification of the review’s importance, a clearly stated objective, description of the literature search, appropriate referencing, scientific reasoning and presentation of relevant endpoint data (Baethge et al., 2019).</w:t>
      </w:r>
    </w:p>
    <w:p w14:paraId="6A0CB968" w14:textId="77777777" w:rsidR="00963F80" w:rsidRDefault="00AA250C">
      <w:pPr>
        <w:pStyle w:val="Heading2"/>
      </w:pPr>
      <w:r>
        <w:t>2.2 Information Sources</w:t>
      </w:r>
    </w:p>
    <w:p w14:paraId="0531AEBD" w14:textId="77777777" w:rsidR="00963F80" w:rsidRDefault="00AA250C">
      <w:r>
        <w:t xml:space="preserve">Literature searches were conducted across AGRIS, DOAJ, OpenAlex, Crossref, Semantic Scholar, EconBiz and African Journals Online, supplemented by targeted searches of bibliographic records indexed in PubMed where relevant. Citation chaining was used to identify foundational work on market participation, collective </w:t>
      </w:r>
      <w:r>
        <w:lastRenderedPageBreak/>
        <w:t>action and commercialisation. Authoritative programme, statistical and policy evidence was retrieved from the National Bureau of Statistics, the 50x2030 Initiative, IFAD, the African Development Bank Group and the World Bank. DOI landing pages and bibliographic records were used to verify journal metadata and to resolve discrepancies in titles, author order, publication year, volume, pagination and article numbers.</w:t>
      </w:r>
    </w:p>
    <w:p w14:paraId="5E0947F9" w14:textId="77777777" w:rsidR="00963F80" w:rsidRDefault="00AA250C">
      <w:pPr>
        <w:pStyle w:val="Heading2"/>
      </w:pPr>
      <w:r>
        <w:t>2.3 Search Strategy and Search Period</w:t>
      </w:r>
    </w:p>
    <w:p w14:paraId="251B07F5" w14:textId="77777777" w:rsidR="00963F80" w:rsidRDefault="00AA250C">
      <w:r>
        <w:t>The main search period was 1 January 2005 to 1 July 2026. The starting point captures the modern literature on smallholder commercialisation and value-chain coordination in sub-Saharan Africa while allowing selective inclusion of earlier methodological work required to justify the review design. Search concepts combined terms for the population, value-chain process, market outcome, crop and geographical setting. Representative combinations included: (“smallholder” OR “small-scale farmer” OR “farm household”) AND (“market participation” OR commercialisation OR commercialization OR “market access”) AND Nigeria; (“agricultural value chain” OR “food value chain” OR aggregation OR “collective action”) AND (rice OR maize OR cassava OR cowpea) AND Nigeria; and (credit OR roads OR transport OR digital OR storage OR “post-harvest” OR climate OR conflict) AND (“market access” OR commercialisation) AND Nigeria. Broader African evidence was searched where Nigerian evidence was insufficient to establish a general mechanism.</w:t>
      </w:r>
    </w:p>
    <w:p w14:paraId="190CF615" w14:textId="77777777" w:rsidR="00963F80" w:rsidRDefault="00AA250C">
      <w:pPr>
        <w:pStyle w:val="Heading2"/>
      </w:pPr>
      <w:r>
        <w:t>2.4 Eligibility Criteria</w:t>
      </w:r>
    </w:p>
    <w:p w14:paraId="21494053" w14:textId="77777777" w:rsidR="00963F80" w:rsidRDefault="00AA250C">
      <w:r>
        <w:t>Priority was given to peer-reviewed empirical studies and high-quality reviews that directly addressed market participation, commercialisation, value-chain organisation, technology, post-harvest systems, finance, information, collective action, infrastructure or shocks relevant to small-scale crop farming. Nigerian evidence was prioritised; non-Nigerian evidence was retained when conceptually important or when it provided a stronger design for a mechanism of direct relevance. Authoritative institutional reports were included for national statistics, programme architecture and recent policy developments. Studies were excluded when bibliographic identity could not be verified, when the relationship to smallholder market access was peripheral, when only a title or unverified secondary citation was available, or when claims could not be traced to an accessible abstract, full text, authoritative record or official report. English-language publications dominated the accessible evidence base.</w:t>
      </w:r>
    </w:p>
    <w:p w14:paraId="12356894" w14:textId="77777777" w:rsidR="00963F80" w:rsidRDefault="00AA250C">
      <w:pPr>
        <w:pStyle w:val="Heading2"/>
      </w:pPr>
      <w:r>
        <w:t>2.5 Screening, Duplicate Handling and Study Selection</w:t>
      </w:r>
    </w:p>
    <w:p w14:paraId="25F9A0A0" w14:textId="77777777" w:rsidR="00963F80" w:rsidRDefault="00AA250C">
      <w:r>
        <w:t>Titles and abstracts were assessed first for conceptual and geographical relevance, followed by examination of full text or detailed bibliographic records where accessible. Duplicate records were identified using DOI, exact title and author–year combinations. When multiple versions existed, the version of record or authoritative bibliographic record was preferred. Sources with incomplete or inconsistent metadata that could not be resolved were removed rather than inferred. No numerical screening counts are reported because the selection process was iterative and interpretive rather than a prospectively registered systematic-review workflow.</w:t>
      </w:r>
    </w:p>
    <w:p w14:paraId="7493F011" w14:textId="77777777" w:rsidR="00963F80" w:rsidRDefault="00AA250C">
      <w:pPr>
        <w:pStyle w:val="Heading2"/>
      </w:pPr>
      <w:r>
        <w:t>2.6 Critical Appraisal and Evidence Synthesis</w:t>
      </w:r>
    </w:p>
    <w:p w14:paraId="6A6DA320" w14:textId="77777777" w:rsidR="00963F80" w:rsidRDefault="00AA250C">
      <w:r>
        <w:t xml:space="preserve">Evidence was appraised in relation to study design, sample size and representativeness, measurement of market participation or commercialisation, treatment of endogeneity and confounding, temporal scope, external validity, crop specificity and the directness with which results addressed the review question. Greater inferential weight was placed on panel designs, instrumental-variable and other quasi-experimental strategies, controlled field evidence, nationally representative datasets and studies that explicitly tested </w:t>
      </w:r>
      <w:r>
        <w:lastRenderedPageBreak/>
        <w:t>market or welfare mechanisms. Cross-sectional associations and local case studies were retained where they illuminated context or implementation but were not treated as equivalent causal evidence. Findings were organised thematically around transaction costs, coordination, productive capacity, midstream actors, post-harvest upgrading, digital and financial services, inclusion, resilience and programme architecture. Contradictions were interpreted by considering differences in crop perishability, market channel, geography, farmer endowments, measurement and research design.</w:t>
      </w:r>
    </w:p>
    <w:p w14:paraId="0B17F2A5" w14:textId="77777777" w:rsidR="00963F80" w:rsidRDefault="00AA250C">
      <w:pPr>
        <w:pStyle w:val="Heading1"/>
      </w:pPr>
      <w:r>
        <w:t>3. Conceptualising Value Chain Development and Market Access</w:t>
      </w:r>
    </w:p>
    <w:p w14:paraId="30C46CA0" w14:textId="77777777" w:rsidR="00963F80" w:rsidRDefault="00AA250C">
      <w:r>
        <w:t>Value chain development is most useful when treated as a set of coordinated changes that alter incentives and transaction costs across linked stages of production, aggregation, storage, processing, distribution and exchange. It is less useful when used as a broad label for any agricultural project. For small-scale farmers, the relevant question is whether chain development changes the probability of selling, the volume and quality sold, the timing and location of sale, the costs incurred, the price and payment terms received, and the capacity to remain in the market through adverse seasons.</w:t>
      </w:r>
    </w:p>
    <w:p w14:paraId="7A87F0F1" w14:textId="77777777" w:rsidR="00963F80" w:rsidRDefault="00AA250C">
      <w:r>
        <w:t>Market participation has both an extensive and an intensive margin. A household may choose whether to sell at all and, conditional on selling, how much to sell. Bellemare and Barrett (2006) demonstrated that these decisions can be sequential, while Barrett (2008) emphasised that household asset positions and transaction costs can trap poorer producers in semi-subsistence states. This framework is directly relevant to Nigeria because a policy may increase output without increasing profitable sales if transport, aggregation or buyer constraints remain binding. Equally, improved roads may have a small effect where farms produce too little surplus or where access to working capital prevents timely production and marketing. Market access therefore cannot be inferred from a single indicator such as distance to market.</w:t>
      </w:r>
    </w:p>
    <w:p w14:paraId="4C333DF1" w14:textId="77777777" w:rsidR="00963F80" w:rsidRDefault="00AA250C">
      <w:r>
        <w:t>Commercialisation overlaps with, but is not identical to, market access. It usually denotes a reorientation of production towards market exchange, often measured through the proportion of output sold, the value of sales or movement between subsistence and more commercial production states. Owusu and İşcan (2021), using panel data from Nigeria and Tanzania, show that commercialisation transitions are associated with farm resources, irrigation, input use and crop choice. Nigerian rice evidence similarly links technology adoption and market participation to welfare (Awotide et al., 2016). These findings support the view that commercialisation is endogenous to the farm’s productive base. Market-access interventions that do not raise or stabilise marketable surplus may therefore have weak effects, while production interventions that ignore exchange conditions can generate surpluses that are costly to sell.</w:t>
      </w:r>
    </w:p>
    <w:p w14:paraId="64DC3212" w14:textId="77777777" w:rsidR="00963F80" w:rsidRDefault="00AA250C">
      <w:r>
        <w:t>A value-chain lens adds governance to this transaction-cost account. Market relationships determine who sets grades, who bears quality risk, whether payment is immediate or deferred, whether inputs or advice are bundled with purchase, and how disputes are handled. Formal contracts are one governance form, but informal repeated relationships can also coordinate production and handling. Yami et al. (2026) show that Nigerian tomato farmers’ market channels are associated with production and handling practices, underscoring that wholesalers and aggregators can transmit requirements and incentives upstream without formal contracting. Such arrangements may reduce uncertainty, but they can also create dependency if farmers face few alternative buyers.</w:t>
      </w:r>
    </w:p>
    <w:p w14:paraId="6E79CF7A" w14:textId="77777777" w:rsidR="00963F80" w:rsidRDefault="00AA250C">
      <w:r>
        <w:t xml:space="preserve">Collective action is a second governance mechanism. Producer organisations can consolidate volumes, lower per-unit transport and search costs, negotiate with buyers, arrange storage, and make extension or financial services cheaper to deliver. Evidence from Africa indicates that collective action can improve market access when group composition, governance, product characteristics and external institutional conditions are </w:t>
      </w:r>
      <w:r>
        <w:lastRenderedPageBreak/>
        <w:t>favourable (Markelova et al., 2009; Markelova &amp; Mwangi, 2010). Yet groups are not intrinsically inclusive or effective. Small producers may be marginalised by membership fees, minimum volumes, elite capture or unequal participation, while poorly governed groups can add administrative costs without solving market uncertainty. The relevant comparison is therefore not “organisation versus no organisation”, but whether a specific organisational form credibly performs functions that individual farmers cannot perform efficiently.</w:t>
      </w:r>
    </w:p>
    <w:p w14:paraId="52196D96" w14:textId="77777777" w:rsidR="00963F80" w:rsidRDefault="00AA250C">
      <w:r>
        <w:t>The “hidden middle” perspective broadens this point. Wholesale markets, logistics businesses, traders, millers and processors can be major investors in aggregation and distribution and may respond more rapidly to consumer demand than formal public structures (Reardon et al., 2021). In Nigeria, the welfare effect of trader-mediated channels cannot be presumed negative: Manda et al. (2020) found positive associations and estimated treatment effects between cowpea sales through rural or urban traders and household outcomes. This evidence cautions against policy approaches that attempt to bypass intermediaries simply because marketing margins appear large. Margins may reflect real transport, storage, sorting, financing and risk-bearing costs. The more useful policy objective is competitive and transparent intermediation, not intermediation-free markets.</w:t>
      </w:r>
    </w:p>
    <w:p w14:paraId="348DED7B" w14:textId="77777777" w:rsidR="00963F80" w:rsidRDefault="00AA250C">
      <w:r>
        <w:t>A final conceptual distinction concerns access versus effective inclusion. Digital platforms, grades, warehouse systems, formal finance and structured procurement can make chains more efficient while simultaneously raising entry requirements. Farmers without smartphones, identification, bank accounts, reliable connectivity, quality-control capacity or minimum volumes may be excluded from the upgraded segment. Ola and Menapace (2020) show that smallholders value market attributes that reduce output-market uncertainty and may accept collective decision-making when it secures better market conditions. This suggests that the sustainability of participation depends on the distribution of risk and the credibility of market arrangements, not only on the nominal availability of a channel.</w:t>
      </w:r>
    </w:p>
    <w:p w14:paraId="43DC674B" w14:textId="77777777" w:rsidR="00963F80" w:rsidRDefault="00AA250C">
      <w:r>
        <w:t>Table 1 summarises the conceptual dimensions used in this review. The central implication is that market access should be assessed as a bundle of mutually dependent capabilities rather than as a single endpoint.</w:t>
      </w:r>
    </w:p>
    <w:p w14:paraId="79737964" w14:textId="77777777" w:rsidR="00963F80" w:rsidRDefault="00AA250C">
      <w:pPr>
        <w:keepNext/>
        <w:spacing w:before="100" w:after="80"/>
      </w:pPr>
      <w:r>
        <w:rPr>
          <w:b/>
          <w:sz w:val="19"/>
        </w:rPr>
        <w:t>Table 1. Conceptual dimensions linking value chain development to small-scale farmer market access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23A20D26" w14:textId="77777777">
        <w:trPr>
          <w:cantSplit/>
          <w:tblHeader/>
          <w:jc w:val="center"/>
        </w:trPr>
        <w:tc>
          <w:tcPr>
            <w:tcW w:w="1512" w:type="dxa"/>
            <w:shd w:val="clear" w:color="auto" w:fill="D9E2F3"/>
            <w:tcMar>
              <w:top w:w="55" w:type="dxa"/>
              <w:left w:w="55" w:type="dxa"/>
              <w:bottom w:w="55" w:type="dxa"/>
              <w:right w:w="55" w:type="dxa"/>
            </w:tcMar>
            <w:vAlign w:val="center"/>
          </w:tcPr>
          <w:p w14:paraId="5E04E6AA" w14:textId="77777777" w:rsidR="00963F80" w:rsidRDefault="00AA250C">
            <w:pPr>
              <w:spacing w:after="0"/>
              <w:jc w:val="left"/>
            </w:pPr>
            <w:r>
              <w:rPr>
                <w:b/>
                <w:sz w:val="16"/>
              </w:rPr>
              <w:t>Dimension</w:t>
            </w:r>
          </w:p>
        </w:tc>
        <w:tc>
          <w:tcPr>
            <w:tcW w:w="2088" w:type="dxa"/>
            <w:shd w:val="clear" w:color="auto" w:fill="D9E2F3"/>
            <w:tcMar>
              <w:top w:w="55" w:type="dxa"/>
              <w:left w:w="55" w:type="dxa"/>
              <w:bottom w:w="55" w:type="dxa"/>
              <w:right w:w="55" w:type="dxa"/>
            </w:tcMar>
            <w:vAlign w:val="center"/>
          </w:tcPr>
          <w:p w14:paraId="7D11F2FA" w14:textId="77777777" w:rsidR="00963F80" w:rsidRDefault="00AA250C">
            <w:pPr>
              <w:spacing w:after="0"/>
              <w:jc w:val="left"/>
            </w:pPr>
            <w:r>
              <w:rPr>
                <w:b/>
                <w:sz w:val="16"/>
              </w:rPr>
              <w:t>Core mechanism</w:t>
            </w:r>
          </w:p>
        </w:tc>
        <w:tc>
          <w:tcPr>
            <w:tcW w:w="2232" w:type="dxa"/>
            <w:shd w:val="clear" w:color="auto" w:fill="D9E2F3"/>
            <w:tcMar>
              <w:top w:w="55" w:type="dxa"/>
              <w:left w:w="55" w:type="dxa"/>
              <w:bottom w:w="55" w:type="dxa"/>
              <w:right w:w="55" w:type="dxa"/>
            </w:tcMar>
            <w:vAlign w:val="center"/>
          </w:tcPr>
          <w:p w14:paraId="34A35E40" w14:textId="77777777" w:rsidR="00963F80" w:rsidRDefault="00AA250C">
            <w:pPr>
              <w:spacing w:after="0"/>
              <w:jc w:val="left"/>
            </w:pPr>
            <w:r>
              <w:rPr>
                <w:b/>
                <w:sz w:val="16"/>
              </w:rPr>
              <w:t>Indicative market-access outcome</w:t>
            </w:r>
          </w:p>
        </w:tc>
        <w:tc>
          <w:tcPr>
            <w:tcW w:w="1944" w:type="dxa"/>
            <w:shd w:val="clear" w:color="auto" w:fill="D9E2F3"/>
            <w:tcMar>
              <w:top w:w="55" w:type="dxa"/>
              <w:left w:w="55" w:type="dxa"/>
              <w:bottom w:w="55" w:type="dxa"/>
              <w:right w:w="55" w:type="dxa"/>
            </w:tcMar>
            <w:vAlign w:val="center"/>
          </w:tcPr>
          <w:p w14:paraId="7A6399C8" w14:textId="77777777" w:rsidR="00963F80" w:rsidRDefault="00AA250C">
            <w:pPr>
              <w:spacing w:after="0"/>
              <w:jc w:val="left"/>
            </w:pPr>
            <w:r>
              <w:rPr>
                <w:b/>
                <w:sz w:val="16"/>
              </w:rPr>
              <w:t>Critical qualification</w:t>
            </w:r>
          </w:p>
        </w:tc>
        <w:tc>
          <w:tcPr>
            <w:tcW w:w="1584" w:type="dxa"/>
            <w:shd w:val="clear" w:color="auto" w:fill="D9E2F3"/>
            <w:tcMar>
              <w:top w:w="55" w:type="dxa"/>
              <w:left w:w="55" w:type="dxa"/>
              <w:bottom w:w="55" w:type="dxa"/>
              <w:right w:w="55" w:type="dxa"/>
            </w:tcMar>
            <w:vAlign w:val="center"/>
          </w:tcPr>
          <w:p w14:paraId="5A0F9A5F" w14:textId="77777777" w:rsidR="00963F80" w:rsidRDefault="00AA250C">
            <w:pPr>
              <w:spacing w:after="0"/>
              <w:jc w:val="left"/>
            </w:pPr>
            <w:r>
              <w:rPr>
                <w:b/>
                <w:sz w:val="16"/>
              </w:rPr>
              <w:t>Supporting references</w:t>
            </w:r>
          </w:p>
        </w:tc>
      </w:tr>
      <w:tr w:rsidR="00963F80" w14:paraId="216102EC" w14:textId="77777777">
        <w:trPr>
          <w:cantSplit/>
          <w:jc w:val="center"/>
        </w:trPr>
        <w:tc>
          <w:tcPr>
            <w:tcW w:w="1512" w:type="dxa"/>
            <w:tcMar>
              <w:top w:w="55" w:type="dxa"/>
              <w:left w:w="55" w:type="dxa"/>
              <w:bottom w:w="55" w:type="dxa"/>
              <w:right w:w="55" w:type="dxa"/>
            </w:tcMar>
          </w:tcPr>
          <w:p w14:paraId="1ADF2E18" w14:textId="77777777" w:rsidR="00963F80" w:rsidRDefault="00AA250C">
            <w:pPr>
              <w:spacing w:after="0" w:line="240" w:lineRule="auto"/>
              <w:jc w:val="left"/>
            </w:pPr>
            <w:r>
              <w:rPr>
                <w:sz w:val="15"/>
              </w:rPr>
              <w:t>Productive capacity</w:t>
            </w:r>
          </w:p>
        </w:tc>
        <w:tc>
          <w:tcPr>
            <w:tcW w:w="2088" w:type="dxa"/>
            <w:tcMar>
              <w:top w:w="55" w:type="dxa"/>
              <w:left w:w="55" w:type="dxa"/>
              <w:bottom w:w="55" w:type="dxa"/>
              <w:right w:w="55" w:type="dxa"/>
            </w:tcMar>
          </w:tcPr>
          <w:p w14:paraId="7EF80689" w14:textId="77777777" w:rsidR="00963F80" w:rsidRDefault="00AA250C">
            <w:pPr>
              <w:spacing w:after="0" w:line="240" w:lineRule="auto"/>
              <w:jc w:val="left"/>
            </w:pPr>
            <w:r>
              <w:rPr>
                <w:sz w:val="15"/>
              </w:rPr>
              <w:t>Technology, inputs, irrigation and farm assets increase or stabilise marketable surplus.</w:t>
            </w:r>
          </w:p>
        </w:tc>
        <w:tc>
          <w:tcPr>
            <w:tcW w:w="2232" w:type="dxa"/>
            <w:tcMar>
              <w:top w:w="55" w:type="dxa"/>
              <w:left w:w="55" w:type="dxa"/>
              <w:bottom w:w="55" w:type="dxa"/>
              <w:right w:w="55" w:type="dxa"/>
            </w:tcMar>
          </w:tcPr>
          <w:p w14:paraId="0C1FC257" w14:textId="77777777" w:rsidR="00963F80" w:rsidRDefault="00AA250C">
            <w:pPr>
              <w:spacing w:after="0" w:line="240" w:lineRule="auto"/>
              <w:jc w:val="left"/>
            </w:pPr>
            <w:r>
              <w:rPr>
                <w:sz w:val="15"/>
              </w:rPr>
              <w:t>Probability and volume of sale; ability to meet delivery commitments.</w:t>
            </w:r>
          </w:p>
        </w:tc>
        <w:tc>
          <w:tcPr>
            <w:tcW w:w="1944" w:type="dxa"/>
            <w:tcMar>
              <w:top w:w="55" w:type="dxa"/>
              <w:left w:w="55" w:type="dxa"/>
              <w:bottom w:w="55" w:type="dxa"/>
              <w:right w:w="55" w:type="dxa"/>
            </w:tcMar>
          </w:tcPr>
          <w:p w14:paraId="396F2DCA" w14:textId="77777777" w:rsidR="00963F80" w:rsidRDefault="00AA250C">
            <w:pPr>
              <w:spacing w:after="0" w:line="240" w:lineRule="auto"/>
              <w:jc w:val="left"/>
            </w:pPr>
            <w:r>
              <w:rPr>
                <w:sz w:val="15"/>
              </w:rPr>
              <w:t>Output growth does not guarantee profitable sales when downstream constraints bind.</w:t>
            </w:r>
          </w:p>
        </w:tc>
        <w:tc>
          <w:tcPr>
            <w:tcW w:w="1584" w:type="dxa"/>
            <w:tcMar>
              <w:top w:w="55" w:type="dxa"/>
              <w:left w:w="55" w:type="dxa"/>
              <w:bottom w:w="55" w:type="dxa"/>
              <w:right w:w="55" w:type="dxa"/>
            </w:tcMar>
          </w:tcPr>
          <w:p w14:paraId="793C8256" w14:textId="77777777" w:rsidR="00963F80" w:rsidRDefault="00AA250C">
            <w:pPr>
              <w:spacing w:after="0" w:line="240" w:lineRule="auto"/>
              <w:jc w:val="left"/>
            </w:pPr>
            <w:r>
              <w:rPr>
                <w:sz w:val="15"/>
              </w:rPr>
              <w:t>Awotide et al. (2016); Owusu &amp; İşcan (2021); Wossen et al. (2017)</w:t>
            </w:r>
          </w:p>
        </w:tc>
      </w:tr>
      <w:tr w:rsidR="00963F80" w14:paraId="7E707E7F" w14:textId="77777777">
        <w:trPr>
          <w:cantSplit/>
          <w:jc w:val="center"/>
        </w:trPr>
        <w:tc>
          <w:tcPr>
            <w:tcW w:w="1512" w:type="dxa"/>
            <w:tcMar>
              <w:top w:w="55" w:type="dxa"/>
              <w:left w:w="55" w:type="dxa"/>
              <w:bottom w:w="55" w:type="dxa"/>
              <w:right w:w="55" w:type="dxa"/>
            </w:tcMar>
          </w:tcPr>
          <w:p w14:paraId="21B9DDF2" w14:textId="77777777" w:rsidR="00963F80" w:rsidRDefault="00AA250C">
            <w:pPr>
              <w:spacing w:after="0" w:line="240" w:lineRule="auto"/>
              <w:jc w:val="left"/>
            </w:pPr>
            <w:r>
              <w:rPr>
                <w:sz w:val="15"/>
              </w:rPr>
              <w:t>Transaction costs</w:t>
            </w:r>
          </w:p>
        </w:tc>
        <w:tc>
          <w:tcPr>
            <w:tcW w:w="2088" w:type="dxa"/>
            <w:tcMar>
              <w:top w:w="55" w:type="dxa"/>
              <w:left w:w="55" w:type="dxa"/>
              <w:bottom w:w="55" w:type="dxa"/>
              <w:right w:w="55" w:type="dxa"/>
            </w:tcMar>
          </w:tcPr>
          <w:p w14:paraId="728447F4" w14:textId="77777777" w:rsidR="00963F80" w:rsidRDefault="00AA250C">
            <w:pPr>
              <w:spacing w:after="0" w:line="240" w:lineRule="auto"/>
              <w:jc w:val="left"/>
            </w:pPr>
            <w:r>
              <w:rPr>
                <w:sz w:val="15"/>
              </w:rPr>
              <w:t>Roads, information, aggregation and logistics lower search, transport and exchange costs.</w:t>
            </w:r>
          </w:p>
        </w:tc>
        <w:tc>
          <w:tcPr>
            <w:tcW w:w="2232" w:type="dxa"/>
            <w:tcMar>
              <w:top w:w="55" w:type="dxa"/>
              <w:left w:w="55" w:type="dxa"/>
              <w:bottom w:w="55" w:type="dxa"/>
              <w:right w:w="55" w:type="dxa"/>
            </w:tcMar>
          </w:tcPr>
          <w:p w14:paraId="57C960F0" w14:textId="77777777" w:rsidR="00963F80" w:rsidRDefault="00AA250C">
            <w:pPr>
              <w:spacing w:after="0" w:line="240" w:lineRule="auto"/>
              <w:jc w:val="left"/>
            </w:pPr>
            <w:r>
              <w:rPr>
                <w:sz w:val="15"/>
              </w:rPr>
              <w:t>More frequent participation, wider buyer choice and improved net prices.</w:t>
            </w:r>
          </w:p>
        </w:tc>
        <w:tc>
          <w:tcPr>
            <w:tcW w:w="1944" w:type="dxa"/>
            <w:tcMar>
              <w:top w:w="55" w:type="dxa"/>
              <w:left w:w="55" w:type="dxa"/>
              <w:bottom w:w="55" w:type="dxa"/>
              <w:right w:w="55" w:type="dxa"/>
            </w:tcMar>
          </w:tcPr>
          <w:p w14:paraId="6398B66B" w14:textId="77777777" w:rsidR="00963F80" w:rsidRDefault="00AA250C">
            <w:pPr>
              <w:spacing w:after="0" w:line="240" w:lineRule="auto"/>
              <w:jc w:val="left"/>
            </w:pPr>
            <w:r>
              <w:rPr>
                <w:sz w:val="15"/>
              </w:rPr>
              <w:t>Benefits depend on complementary surplus, security and market competition.</w:t>
            </w:r>
          </w:p>
        </w:tc>
        <w:tc>
          <w:tcPr>
            <w:tcW w:w="1584" w:type="dxa"/>
            <w:tcMar>
              <w:top w:w="55" w:type="dxa"/>
              <w:left w:w="55" w:type="dxa"/>
              <w:bottom w:w="55" w:type="dxa"/>
              <w:right w:w="55" w:type="dxa"/>
            </w:tcMar>
          </w:tcPr>
          <w:p w14:paraId="749B21E7" w14:textId="77777777" w:rsidR="00963F80" w:rsidRDefault="00AA250C">
            <w:pPr>
              <w:spacing w:after="0" w:line="240" w:lineRule="auto"/>
              <w:jc w:val="left"/>
            </w:pPr>
            <w:r>
              <w:rPr>
                <w:sz w:val="15"/>
              </w:rPr>
              <w:t>Barrett (2008); Bellemare &amp; Barrett (2006); Manda et al. (2020)</w:t>
            </w:r>
          </w:p>
        </w:tc>
      </w:tr>
      <w:tr w:rsidR="00963F80" w14:paraId="7406BD8B" w14:textId="77777777">
        <w:trPr>
          <w:cantSplit/>
          <w:jc w:val="center"/>
        </w:trPr>
        <w:tc>
          <w:tcPr>
            <w:tcW w:w="1512" w:type="dxa"/>
            <w:tcMar>
              <w:top w:w="55" w:type="dxa"/>
              <w:left w:w="55" w:type="dxa"/>
              <w:bottom w:w="55" w:type="dxa"/>
              <w:right w:w="55" w:type="dxa"/>
            </w:tcMar>
          </w:tcPr>
          <w:p w14:paraId="3CB1B769" w14:textId="77777777" w:rsidR="00963F80" w:rsidRDefault="00AA250C">
            <w:pPr>
              <w:spacing w:after="0" w:line="240" w:lineRule="auto"/>
              <w:jc w:val="left"/>
            </w:pPr>
            <w:r>
              <w:rPr>
                <w:sz w:val="15"/>
              </w:rPr>
              <w:t>Chain governance</w:t>
            </w:r>
          </w:p>
        </w:tc>
        <w:tc>
          <w:tcPr>
            <w:tcW w:w="2088" w:type="dxa"/>
            <w:tcMar>
              <w:top w:w="55" w:type="dxa"/>
              <w:left w:w="55" w:type="dxa"/>
              <w:bottom w:w="55" w:type="dxa"/>
              <w:right w:w="55" w:type="dxa"/>
            </w:tcMar>
          </w:tcPr>
          <w:p w14:paraId="08D618EE" w14:textId="77777777" w:rsidR="00963F80" w:rsidRDefault="00AA250C">
            <w:pPr>
              <w:spacing w:after="0" w:line="240" w:lineRule="auto"/>
              <w:jc w:val="left"/>
            </w:pPr>
            <w:r>
              <w:rPr>
                <w:sz w:val="15"/>
              </w:rPr>
              <w:t>Contracts, repeated relationships and standards allocate information, quality and payment risks.</w:t>
            </w:r>
          </w:p>
        </w:tc>
        <w:tc>
          <w:tcPr>
            <w:tcW w:w="2232" w:type="dxa"/>
            <w:tcMar>
              <w:top w:w="55" w:type="dxa"/>
              <w:left w:w="55" w:type="dxa"/>
              <w:bottom w:w="55" w:type="dxa"/>
              <w:right w:w="55" w:type="dxa"/>
            </w:tcMar>
          </w:tcPr>
          <w:p w14:paraId="18871783" w14:textId="77777777" w:rsidR="00963F80" w:rsidRDefault="00AA250C">
            <w:pPr>
              <w:spacing w:after="0" w:line="240" w:lineRule="auto"/>
              <w:jc w:val="left"/>
            </w:pPr>
            <w:r>
              <w:rPr>
                <w:sz w:val="15"/>
              </w:rPr>
              <w:t>More predictable sales and stronger incentives for quality.</w:t>
            </w:r>
          </w:p>
        </w:tc>
        <w:tc>
          <w:tcPr>
            <w:tcW w:w="1944" w:type="dxa"/>
            <w:tcMar>
              <w:top w:w="55" w:type="dxa"/>
              <w:left w:w="55" w:type="dxa"/>
              <w:bottom w:w="55" w:type="dxa"/>
              <w:right w:w="55" w:type="dxa"/>
            </w:tcMar>
          </w:tcPr>
          <w:p w14:paraId="119DC726" w14:textId="77777777" w:rsidR="00963F80" w:rsidRDefault="00AA250C">
            <w:pPr>
              <w:spacing w:after="0" w:line="240" w:lineRule="auto"/>
              <w:jc w:val="left"/>
            </w:pPr>
            <w:r>
              <w:rPr>
                <w:sz w:val="15"/>
              </w:rPr>
              <w:t>Buyer concentration can shift risk or reduce bargaining power.</w:t>
            </w:r>
          </w:p>
        </w:tc>
        <w:tc>
          <w:tcPr>
            <w:tcW w:w="1584" w:type="dxa"/>
            <w:tcMar>
              <w:top w:w="55" w:type="dxa"/>
              <w:left w:w="55" w:type="dxa"/>
              <w:bottom w:w="55" w:type="dxa"/>
              <w:right w:w="55" w:type="dxa"/>
            </w:tcMar>
          </w:tcPr>
          <w:p w14:paraId="6CEDA603" w14:textId="77777777" w:rsidR="00963F80" w:rsidRDefault="00AA250C">
            <w:pPr>
              <w:spacing w:after="0" w:line="240" w:lineRule="auto"/>
              <w:jc w:val="left"/>
            </w:pPr>
            <w:r>
              <w:rPr>
                <w:sz w:val="15"/>
              </w:rPr>
              <w:t>Ola &amp; Menapace (2020); Yami et al. (2026)</w:t>
            </w:r>
          </w:p>
        </w:tc>
      </w:tr>
      <w:tr w:rsidR="00963F80" w14:paraId="727C4AFE" w14:textId="77777777">
        <w:trPr>
          <w:cantSplit/>
          <w:jc w:val="center"/>
        </w:trPr>
        <w:tc>
          <w:tcPr>
            <w:tcW w:w="1512" w:type="dxa"/>
            <w:tcMar>
              <w:top w:w="55" w:type="dxa"/>
              <w:left w:w="55" w:type="dxa"/>
              <w:bottom w:w="55" w:type="dxa"/>
              <w:right w:w="55" w:type="dxa"/>
            </w:tcMar>
          </w:tcPr>
          <w:p w14:paraId="41A27276" w14:textId="77777777" w:rsidR="00963F80" w:rsidRDefault="00AA250C">
            <w:pPr>
              <w:spacing w:after="0" w:line="240" w:lineRule="auto"/>
              <w:jc w:val="left"/>
            </w:pPr>
            <w:r>
              <w:rPr>
                <w:sz w:val="15"/>
              </w:rPr>
              <w:t>Collective action</w:t>
            </w:r>
          </w:p>
        </w:tc>
        <w:tc>
          <w:tcPr>
            <w:tcW w:w="2088" w:type="dxa"/>
            <w:tcMar>
              <w:top w:w="55" w:type="dxa"/>
              <w:left w:w="55" w:type="dxa"/>
              <w:bottom w:w="55" w:type="dxa"/>
              <w:right w:w="55" w:type="dxa"/>
            </w:tcMar>
          </w:tcPr>
          <w:p w14:paraId="100DE12D" w14:textId="77777777" w:rsidR="00963F80" w:rsidRDefault="00AA250C">
            <w:pPr>
              <w:spacing w:after="0" w:line="240" w:lineRule="auto"/>
              <w:jc w:val="left"/>
            </w:pPr>
            <w:r>
              <w:rPr>
                <w:sz w:val="15"/>
              </w:rPr>
              <w:t>Producer organisations pool volume and services and strengthen negotiation.</w:t>
            </w:r>
          </w:p>
        </w:tc>
        <w:tc>
          <w:tcPr>
            <w:tcW w:w="2232" w:type="dxa"/>
            <w:tcMar>
              <w:top w:w="55" w:type="dxa"/>
              <w:left w:w="55" w:type="dxa"/>
              <w:bottom w:w="55" w:type="dxa"/>
              <w:right w:w="55" w:type="dxa"/>
            </w:tcMar>
          </w:tcPr>
          <w:p w14:paraId="7F8439AF" w14:textId="77777777" w:rsidR="00963F80" w:rsidRDefault="00AA250C">
            <w:pPr>
              <w:spacing w:after="0" w:line="240" w:lineRule="auto"/>
              <w:jc w:val="left"/>
            </w:pPr>
            <w:r>
              <w:rPr>
                <w:sz w:val="15"/>
              </w:rPr>
              <w:t>Lower per-unit marketing costs and access to larger buyers.</w:t>
            </w:r>
          </w:p>
        </w:tc>
        <w:tc>
          <w:tcPr>
            <w:tcW w:w="1944" w:type="dxa"/>
            <w:tcMar>
              <w:top w:w="55" w:type="dxa"/>
              <w:left w:w="55" w:type="dxa"/>
              <w:bottom w:w="55" w:type="dxa"/>
              <w:right w:w="55" w:type="dxa"/>
            </w:tcMar>
          </w:tcPr>
          <w:p w14:paraId="0EA5F393" w14:textId="77777777" w:rsidR="00963F80" w:rsidRDefault="00AA250C">
            <w:pPr>
              <w:spacing w:after="0" w:line="240" w:lineRule="auto"/>
              <w:jc w:val="left"/>
            </w:pPr>
            <w:r>
              <w:rPr>
                <w:sz w:val="15"/>
              </w:rPr>
              <w:t>Governance failures, exclusion and elite capture can offset benefits.</w:t>
            </w:r>
          </w:p>
        </w:tc>
        <w:tc>
          <w:tcPr>
            <w:tcW w:w="1584" w:type="dxa"/>
            <w:tcMar>
              <w:top w:w="55" w:type="dxa"/>
              <w:left w:w="55" w:type="dxa"/>
              <w:bottom w:w="55" w:type="dxa"/>
              <w:right w:w="55" w:type="dxa"/>
            </w:tcMar>
          </w:tcPr>
          <w:p w14:paraId="0F7E11C4" w14:textId="77777777" w:rsidR="00963F80" w:rsidRDefault="00AA250C">
            <w:pPr>
              <w:spacing w:after="0" w:line="240" w:lineRule="auto"/>
              <w:jc w:val="left"/>
            </w:pPr>
            <w:r>
              <w:rPr>
                <w:sz w:val="15"/>
              </w:rPr>
              <w:t>Markelova et al. (2009); Markelova &amp; Mwangi (2010)</w:t>
            </w:r>
          </w:p>
        </w:tc>
      </w:tr>
      <w:tr w:rsidR="00963F80" w14:paraId="2AF6CEEE" w14:textId="77777777">
        <w:trPr>
          <w:cantSplit/>
          <w:jc w:val="center"/>
        </w:trPr>
        <w:tc>
          <w:tcPr>
            <w:tcW w:w="1512" w:type="dxa"/>
            <w:tcMar>
              <w:top w:w="55" w:type="dxa"/>
              <w:left w:w="55" w:type="dxa"/>
              <w:bottom w:w="55" w:type="dxa"/>
              <w:right w:w="55" w:type="dxa"/>
            </w:tcMar>
          </w:tcPr>
          <w:p w14:paraId="2555D45B" w14:textId="77777777" w:rsidR="00963F80" w:rsidRDefault="00AA250C">
            <w:pPr>
              <w:spacing w:after="0" w:line="240" w:lineRule="auto"/>
              <w:jc w:val="left"/>
            </w:pPr>
            <w:r>
              <w:rPr>
                <w:sz w:val="15"/>
              </w:rPr>
              <w:t>Midstream capability</w:t>
            </w:r>
          </w:p>
        </w:tc>
        <w:tc>
          <w:tcPr>
            <w:tcW w:w="2088" w:type="dxa"/>
            <w:tcMar>
              <w:top w:w="55" w:type="dxa"/>
              <w:left w:w="55" w:type="dxa"/>
              <w:bottom w:w="55" w:type="dxa"/>
              <w:right w:w="55" w:type="dxa"/>
            </w:tcMar>
          </w:tcPr>
          <w:p w14:paraId="68C0780E" w14:textId="77777777" w:rsidR="00963F80" w:rsidRDefault="00AA250C">
            <w:pPr>
              <w:spacing w:after="0" w:line="240" w:lineRule="auto"/>
              <w:jc w:val="left"/>
            </w:pPr>
            <w:r>
              <w:rPr>
                <w:sz w:val="15"/>
              </w:rPr>
              <w:t>Traders, wholesalers, processors and logistics firms coordinate spatial and temporal exchange.</w:t>
            </w:r>
          </w:p>
        </w:tc>
        <w:tc>
          <w:tcPr>
            <w:tcW w:w="2232" w:type="dxa"/>
            <w:tcMar>
              <w:top w:w="55" w:type="dxa"/>
              <w:left w:w="55" w:type="dxa"/>
              <w:bottom w:w="55" w:type="dxa"/>
              <w:right w:w="55" w:type="dxa"/>
            </w:tcMar>
          </w:tcPr>
          <w:p w14:paraId="3ACA987D" w14:textId="77777777" w:rsidR="00963F80" w:rsidRDefault="00AA250C">
            <w:pPr>
              <w:spacing w:after="0" w:line="240" w:lineRule="auto"/>
              <w:jc w:val="left"/>
            </w:pPr>
            <w:r>
              <w:rPr>
                <w:sz w:val="15"/>
              </w:rPr>
              <w:t>Aggregation, grading, storage, finance and market information.</w:t>
            </w:r>
          </w:p>
        </w:tc>
        <w:tc>
          <w:tcPr>
            <w:tcW w:w="1944" w:type="dxa"/>
            <w:tcMar>
              <w:top w:w="55" w:type="dxa"/>
              <w:left w:w="55" w:type="dxa"/>
              <w:bottom w:w="55" w:type="dxa"/>
              <w:right w:w="55" w:type="dxa"/>
            </w:tcMar>
          </w:tcPr>
          <w:p w14:paraId="0948C05D" w14:textId="77777777" w:rsidR="00963F80" w:rsidRDefault="00AA250C">
            <w:pPr>
              <w:spacing w:after="0" w:line="240" w:lineRule="auto"/>
              <w:jc w:val="left"/>
            </w:pPr>
            <w:r>
              <w:rPr>
                <w:sz w:val="15"/>
              </w:rPr>
              <w:t>Intermediary margins should be evaluated against functions and competition, not assumed exploitative.</w:t>
            </w:r>
          </w:p>
        </w:tc>
        <w:tc>
          <w:tcPr>
            <w:tcW w:w="1584" w:type="dxa"/>
            <w:tcMar>
              <w:top w:w="55" w:type="dxa"/>
              <w:left w:w="55" w:type="dxa"/>
              <w:bottom w:w="55" w:type="dxa"/>
              <w:right w:w="55" w:type="dxa"/>
            </w:tcMar>
          </w:tcPr>
          <w:p w14:paraId="4708782A" w14:textId="77777777" w:rsidR="00963F80" w:rsidRDefault="00AA250C">
            <w:pPr>
              <w:spacing w:after="0" w:line="240" w:lineRule="auto"/>
              <w:jc w:val="left"/>
            </w:pPr>
            <w:r>
              <w:rPr>
                <w:sz w:val="15"/>
              </w:rPr>
              <w:t>Manda et al. (2020); Reardon et al. (2021)</w:t>
            </w:r>
          </w:p>
        </w:tc>
      </w:tr>
      <w:tr w:rsidR="00963F80" w14:paraId="6ED77472" w14:textId="77777777">
        <w:trPr>
          <w:cantSplit/>
          <w:jc w:val="center"/>
        </w:trPr>
        <w:tc>
          <w:tcPr>
            <w:tcW w:w="1512" w:type="dxa"/>
            <w:tcMar>
              <w:top w:w="55" w:type="dxa"/>
              <w:left w:w="55" w:type="dxa"/>
              <w:bottom w:w="55" w:type="dxa"/>
              <w:right w:w="55" w:type="dxa"/>
            </w:tcMar>
          </w:tcPr>
          <w:p w14:paraId="596D5AF9" w14:textId="77777777" w:rsidR="00963F80" w:rsidRDefault="00AA250C">
            <w:pPr>
              <w:spacing w:after="0" w:line="240" w:lineRule="auto"/>
              <w:jc w:val="left"/>
            </w:pPr>
            <w:r>
              <w:rPr>
                <w:sz w:val="15"/>
              </w:rPr>
              <w:t>Resilience and inclusion</w:t>
            </w:r>
          </w:p>
        </w:tc>
        <w:tc>
          <w:tcPr>
            <w:tcW w:w="2088" w:type="dxa"/>
            <w:tcMar>
              <w:top w:w="55" w:type="dxa"/>
              <w:left w:w="55" w:type="dxa"/>
              <w:bottom w:w="55" w:type="dxa"/>
              <w:right w:w="55" w:type="dxa"/>
            </w:tcMar>
          </w:tcPr>
          <w:p w14:paraId="5347EC7B" w14:textId="77777777" w:rsidR="00963F80" w:rsidRDefault="00AA250C">
            <w:pPr>
              <w:spacing w:after="0" w:line="240" w:lineRule="auto"/>
              <w:jc w:val="left"/>
            </w:pPr>
            <w:r>
              <w:rPr>
                <w:sz w:val="15"/>
              </w:rPr>
              <w:t>Risk management, resilient infrastructure and inclusive services protect continuity of participation.</w:t>
            </w:r>
          </w:p>
        </w:tc>
        <w:tc>
          <w:tcPr>
            <w:tcW w:w="2232" w:type="dxa"/>
            <w:tcMar>
              <w:top w:w="55" w:type="dxa"/>
              <w:left w:w="55" w:type="dxa"/>
              <w:bottom w:w="55" w:type="dxa"/>
              <w:right w:w="55" w:type="dxa"/>
            </w:tcMar>
          </w:tcPr>
          <w:p w14:paraId="0948055A" w14:textId="77777777" w:rsidR="00963F80" w:rsidRDefault="00AA250C">
            <w:pPr>
              <w:spacing w:after="0" w:line="240" w:lineRule="auto"/>
              <w:jc w:val="left"/>
            </w:pPr>
            <w:r>
              <w:rPr>
                <w:sz w:val="15"/>
              </w:rPr>
              <w:t>Lower probability of distress sales, market exit or exclusion after shocks.</w:t>
            </w:r>
          </w:p>
        </w:tc>
        <w:tc>
          <w:tcPr>
            <w:tcW w:w="1944" w:type="dxa"/>
            <w:tcMar>
              <w:top w:w="55" w:type="dxa"/>
              <w:left w:w="55" w:type="dxa"/>
              <w:bottom w:w="55" w:type="dxa"/>
              <w:right w:w="55" w:type="dxa"/>
            </w:tcMar>
          </w:tcPr>
          <w:p w14:paraId="2B01F8EE" w14:textId="77777777" w:rsidR="00963F80" w:rsidRDefault="00AA250C">
            <w:pPr>
              <w:spacing w:after="0" w:line="240" w:lineRule="auto"/>
              <w:jc w:val="left"/>
            </w:pPr>
            <w:r>
              <w:rPr>
                <w:sz w:val="15"/>
              </w:rPr>
              <w:t>Formalisation and digitalisation may exclude farmers with weak assets or connectivity.</w:t>
            </w:r>
          </w:p>
        </w:tc>
        <w:tc>
          <w:tcPr>
            <w:tcW w:w="1584" w:type="dxa"/>
            <w:tcMar>
              <w:top w:w="55" w:type="dxa"/>
              <w:left w:w="55" w:type="dxa"/>
              <w:bottom w:w="55" w:type="dxa"/>
              <w:right w:w="55" w:type="dxa"/>
            </w:tcMar>
          </w:tcPr>
          <w:p w14:paraId="05B794E3" w14:textId="77777777" w:rsidR="00963F80" w:rsidRDefault="00AA250C">
            <w:pPr>
              <w:spacing w:after="0" w:line="240" w:lineRule="auto"/>
              <w:jc w:val="left"/>
            </w:pPr>
            <w:r>
              <w:rPr>
                <w:sz w:val="15"/>
              </w:rPr>
              <w:t>Adegbite &amp; Machethe (2020); Kwon et al. (2026); Tabe-Ojong &amp; Lokossou (2026)</w:t>
            </w:r>
          </w:p>
        </w:tc>
      </w:tr>
    </w:tbl>
    <w:p w14:paraId="5A9B2B27" w14:textId="77777777" w:rsidR="00963F80" w:rsidRDefault="00AA250C">
      <w:pPr>
        <w:pStyle w:val="TableNote"/>
      </w:pPr>
      <w:r>
        <w:lastRenderedPageBreak/>
        <w:t>Note. Market access is treated as a multidimensional outcome encompassing entry, sales intensity, transaction costs, buyer choice, price realisation and continuity of participation.</w:t>
      </w:r>
    </w:p>
    <w:p w14:paraId="0DD36D2F" w14:textId="77777777" w:rsidR="00963F80" w:rsidRDefault="00AA250C">
      <w:pPr>
        <w:pStyle w:val="Heading1"/>
      </w:pPr>
      <w:r>
        <w:t>4. Structural Conditions of Nigeria’s Small-Scale Arable Economy</w:t>
      </w:r>
    </w:p>
    <w:p w14:paraId="03105AC7" w14:textId="77777777" w:rsidR="00963F80" w:rsidRDefault="00AA250C">
      <w:r>
        <w:t>Nigeria’s agricultural structure gives value-chain policy both its rationale and its difficulty. The 2022/23 survey indicates an average agricultural holding of about 2.0 hectares, with marked regional variation from roughly 0.5 hectares in the South East to 3.1 hectares in the North East (50x2030 Initiative, 2026). The same source reports that 94.5% of agricultural holdings were not registered under a legal form. These characteristics imply a highly dispersed supply base in which the unit cost of serving individual farms can be high and formal collateral, record-keeping and contracting capacity may be limited. Small scale is therefore not only a production characteristic; it shapes the economics of aggregation, finance, extension, compliance and procurement.</w:t>
      </w:r>
    </w:p>
    <w:p w14:paraId="25772856" w14:textId="77777777" w:rsidR="00963F80" w:rsidRDefault="00AA250C">
      <w:r>
        <w:t>Crop geography further complicates national generalisation. Maize and rice production is concentrated heavily in northern regions, whereas cassava has broad importance across southern and central zones, and cowpea is particularly prominent in northern systems. Differences in rainfall, irrigation potential, road quality, security and market distance mean that the same intervention can produce different outcomes across states. A warehouse or processor may be transformative in a dense production cluster but underutilised where marketed surplus is scattered. Similarly, digital price information may be useful where farmers have several feasible buyers but less powerful where poor roads or insecurity effectively eliminate choice.</w:t>
      </w:r>
    </w:p>
    <w:p w14:paraId="67532CE1" w14:textId="77777777" w:rsidR="00963F80" w:rsidRDefault="00AA250C">
      <w:r>
        <w:t>Farm-size heterogeneity also matters. Omotilewa et al. (2021) find a non-linear relationship between farm size and productivity across a wide range of Nigerian farms, cautioning against a simplistic assumption that either very small or larger farms are universally more efficient. Liverpool-Tasie et al. (2023) add an important relational perspective: interactions with medium-scale farms can support smallholder commercialisation through input access, training and market links, with particularly relevant benefits for very small farms. These studies challenge a binary policy framing in which smallholders and larger commercial farms compete for support. Spatially proximate medium-scale farms can act as local service and information nodes, although benefits are unlikely to arise automatically and may depend on the nature of interaction.</w:t>
      </w:r>
    </w:p>
    <w:p w14:paraId="7CEDA913" w14:textId="77777777" w:rsidR="00963F80" w:rsidRDefault="00AA250C">
      <w:r>
        <w:t>The productive base remains a critical constraint. Wossen et al. (2017) found that participation in Nigeria’s electronic voucher input-subsidy programme was associated with improved productivity and welfare, using an instrumental-variable strategy to address endogeneity. Wossen et al. (2019) found poverty-reduction effects from improved cassava varieties but also showed that estimates are sensitive to accurate measurement of adoption, a methodological lesson with broader significance. Awotide et al. (2016) likewise reported welfare gains associated with rice technology adoption and commercialisation. Collectively, this evidence supports investment in productivity, but it does not imply that input provision alone constitutes value-chain development. Productive gains become commercial gains only when farmers can sell incremental output on terms that exceed the additional costs and risks of production.</w:t>
      </w:r>
    </w:p>
    <w:p w14:paraId="447C28FA" w14:textId="77777777" w:rsidR="00963F80" w:rsidRDefault="00AA250C">
      <w:r>
        <w:t>Credit constraints connect these production and marketing problems. Balana and Oyeyemi (2022), drawing on nationally oriented household data, show that Nigerian smallholders face both supply-side and demand-side constraints: lack of collateral and finance supply coexist with risk perceptions, information limitations and transaction costs that suppress borrowing demand. This is important because programmes that merely expand loan availability may see low take-up or adverse selection if farmers remain uncertain about output markets. Conversely, credible off-take or aggregation can improve the bankability of production by reducing revenue uncertainty. Finance and markets are therefore joint constraints rather than separable policy domains.</w:t>
      </w:r>
    </w:p>
    <w:p w14:paraId="6A3CC806" w14:textId="77777777" w:rsidR="00963F80" w:rsidRDefault="00AA250C">
      <w:r>
        <w:lastRenderedPageBreak/>
        <w:t>Commercialisation also interacts with household food security rather than operating as a purely marketing variable. In a cross-sectional study of 352 smallholder households in south-western Nigeria, Otekunrin (2022) found that commercialisation, food insecurity and household characteristics were interrelated. Because the design is observational and geographically limited, it does not establish that commercialisation alone improves food security; it nevertheless reinforces the need to evaluate market interventions against household welfare as well as sales outcomes.</w:t>
      </w:r>
    </w:p>
    <w:p w14:paraId="38D279C7" w14:textId="77777777" w:rsidR="00963F80" w:rsidRDefault="00AA250C">
      <w:r>
        <w:t>The structure of labour and household decision-making also shapes market participation. Agricultural production relies heavily on family labour, while women’s access to decision-making roles and formal finance remains more limited. Adegbite and Machethe (2020) document a persistent financial-inclusion gender gap in Nigerian smallholder agriculture, linking it to interlocking socioeconomic, institutional and legal factors. Because liquidity affects input use, timing of sale and capacity to hold produce after harvest, unequal financial access can translate into unequal market outcomes even when roads and buyers are nominally available.</w:t>
      </w:r>
    </w:p>
    <w:p w14:paraId="7D969AD6" w14:textId="77777777" w:rsidR="00963F80" w:rsidRDefault="00AA250C">
      <w:r>
        <w:t>Informality is similarly double-edged. It lowers entry barriers and allows flexible trading relationships, but can weaken record-based credit, enforceability and participation in structured procurement. A policy that seeks rapid formalisation may therefore impose costs on farmers before delivering corresponding benefits. The more defensible approach is functional formalisation: support records, traceability, group governance and payment systems when they solve a defined market problem, while avoiding administrative requirements that exceed the scale or capability of the target farmer.</w:t>
      </w:r>
    </w:p>
    <w:p w14:paraId="15BEF1E4" w14:textId="77777777" w:rsidR="00963F80" w:rsidRDefault="00AA250C">
      <w:r>
        <w:t>These structural conditions imply that value-chain development should be spatially differentiated and sequenced. Regions with high surplus and poor logistics may justify road, storage and aggregation investments first. Areas with market proximity but low surplus may need productivity and finance. Where a dominant buyer already exists, competition, contract transparency and quality verification may be more important than simply creating another collection centre. National strategy is therefore necessary, but uniform intervention packages are unlikely to be efficient.</w:t>
      </w:r>
    </w:p>
    <w:p w14:paraId="59526BE7" w14:textId="77777777" w:rsidR="00963F80" w:rsidRDefault="00AA250C">
      <w:pPr>
        <w:pStyle w:val="Heading1"/>
      </w:pPr>
      <w:r>
        <w:t>5. Market Access as a Transaction-Cost and Coordination Problem</w:t>
      </w:r>
    </w:p>
    <w:p w14:paraId="4A025FF9" w14:textId="77777777" w:rsidR="00963F80" w:rsidRDefault="00AA250C">
      <w:r>
        <w:t>The most consistent finding across smallholder market research is that transaction costs influence both whether farmers enter markets and the scale at which they participate. These costs include transport, search, bargaining, grading, loading, informal payments, waiting time, spoilage, uncertainty over price and payment, and the opportunity cost of assembling small quantities. Some are observable in cash terms; others are embodied in risk or time. Because many costs are fixed per transaction, they are disproportionately burdensome for small farms with limited marketed surplus (Barrett, 2008).</w:t>
      </w:r>
    </w:p>
    <w:p w14:paraId="5828B23D" w14:textId="77777777" w:rsidR="00963F80" w:rsidRDefault="00AA250C">
      <w:r>
        <w:t>Physical infrastructure remains fundamental. Poor rural roads raise vehicle operating costs, increase travel times, reduce the frequency of trader visits and amplify post-harvest deterioration. Nigeria’s Rural Access Agricultural Marketing Project–Scale Up is explicitly designed around this mechanism, combining road rehabilitation with institutional arrangements for maintenance (World Bank, 2024). The maintenance component is analytically important. A new road can produce short-run access gains that erode quickly if drainage, surfaces and bridges deteriorate. Climate resilience is also integral rather than ancillary because floods and extreme rainfall can sever routes precisely when produce must move.</w:t>
      </w:r>
    </w:p>
    <w:p w14:paraId="2C4AC5BF" w14:textId="77777777" w:rsidR="00963F80" w:rsidRDefault="00AA250C">
      <w:r>
        <w:t xml:space="preserve">Yet road effects should not be overstated. A transport corridor can lower delivered marketing costs but will not create a profitable market when the underlying chain lacks buyers, storage or sufficient quality. Nor does </w:t>
      </w:r>
      <w:r>
        <w:lastRenderedPageBreak/>
        <w:t>a road guarantee that farm-gate price gains accrue to producers if local buyer competition is weak. Infrastructure evaluation should therefore trace changes in trader entry, transport charges, farm-gate prices, marketing frequency, spoilage and sales volumes rather than relying on road kilometres as a proxy for market access.</w:t>
      </w:r>
    </w:p>
    <w:p w14:paraId="4B910654" w14:textId="77777777" w:rsidR="00963F80" w:rsidRDefault="00AA250C">
      <w:r>
        <w:t>Information is another transaction cost, but “information access” needs specification. Farmers require not only prices but information about buyer identity, grades, quantities, delivery dates, payment reliability and input requirements. Mobile phones can reduce search costs and facilitate coordination, yet the Nigerian evidence suggests a gap between device availability and effective agricultural use. Anadozie et al. (2022) found that mobile-phone use among rural farmers is shaped by practical and capability constraints. More recent evidence indicates that exposure influences adoption of agricultural smartphone applications and that use may be associated with farm-level efficiency (Kolapo &amp; Didunyemi, 2024). These findings support digital tools as complements to, rather than substitutes for, functioning market institutions. A price message has limited value if transport is unavailable, a buyer is untrustworthy or the farmer cannot meet the specified grade.</w:t>
      </w:r>
    </w:p>
    <w:p w14:paraId="15ACAB78" w14:textId="77777777" w:rsidR="00963F80" w:rsidRDefault="00AA250C">
      <w:r>
        <w:t>Recent local evidence also cautions against assuming that market orientation follows automatically from production. Among 288 smallholder rice farmers in south-east Nigeria, Ukwuaba et al. (2026) identify continuing barriers to market orientation and participation. The study is useful as a contemporary diagnostic but, because it is cross-sectional and region-specific, it should not be used to infer national effect sizes.</w:t>
      </w:r>
    </w:p>
    <w:p w14:paraId="1C3AE41A" w14:textId="77777777" w:rsidR="00963F80" w:rsidRDefault="00AA250C">
      <w:r>
        <w:t>Market timing is equally important. Smallholders often sell soon after harvest when prices are seasonally weak because they require cash, lack storage or fear losses. Post-harvest infrastructure can therefore affect market access through intertemporal choice. For maize, Kitinoja et al. (2019) documented losses at multiple stages of the Nigerian value chain, illustrating how handling and storage deficiencies reduce the quantity and quality ultimately marketed. For rice, controlled experimental evidence shows that mechanised harvesting and threshing can sharply reduce losses and improve the business case for smallholders in the study context (Castelein et al., 2022). These results suggest that market-access programmes should measure retained saleable output, not only field yield.</w:t>
      </w:r>
    </w:p>
    <w:p w14:paraId="1A4D7431" w14:textId="77777777" w:rsidR="00963F80" w:rsidRDefault="00AA250C">
      <w:r>
        <w:t>Buyer coordination addresses a different class of cost: uncertainty over whether surplus will be purchased. Ola and Menapace (2020) show in a broader developing-country context that smallholders place high value on market attributes that reduce output-market uncertainty. In Nigeria, IFAD’s Value Chain Development Programme explicitly links farmers, processors and traders and uses local value-chain planning to strengthen market relationships (IFAD, n.d.). Such arrangements can induce production and quality investment because expected sales become more credible. Their weakness is the possibility of monopsony or failed commitments. Off-take arrangements require transparent grades, weighing, payment schedules and grievance mechanisms if reduced uncertainty is not to be exchanged for weaker bargaining power.</w:t>
      </w:r>
    </w:p>
    <w:p w14:paraId="286F3EDD" w14:textId="77777777" w:rsidR="00963F80" w:rsidRDefault="00AA250C">
      <w:r>
        <w:t>Trader competition deserves particular attention. Development programmes sometimes interpret a high gap between farm-gate and urban prices as evidence of excessive intermediary power. That inference is unsafe without observing handling, transport, storage, financing, loss and risk costs. Manda et al. (2020), using instrumental-variable and dose–response methods among more than 1,500 cowpea producers in northern Nigeria, found that market participation improved food-security and income measures and that sales to rural and urban traders were associated with favourable household outcomes. This does not establish that all trader relationships are competitive or equitable; rather, it demonstrates that excluding traders from value-chain design can remove services that farmers use productively.</w:t>
      </w:r>
    </w:p>
    <w:p w14:paraId="4ECB6D90" w14:textId="77777777" w:rsidR="00963F80" w:rsidRDefault="00AA250C">
      <w:r>
        <w:lastRenderedPageBreak/>
        <w:t>Market channels also influence practice. Yami et al. (2026), studying 1,673 tomato farmers, found that sales to different channels were related to adoption of good agricultural and handling practices. Although tomato is more perishable than the core arable crops considered here, the mechanism is relevant: buyers and aggregators can transmit quality signals upstream. For maize, rice and cassava, comparable coordination may involve moisture content, varietal purity, cleanliness, timing or processing characteristics. Where quality is verifiable and rewarded, market access can stimulate upgrading. Where grades are opaque or price premiums unreliable, farmers have little incentive to incur additional costs.</w:t>
      </w:r>
    </w:p>
    <w:p w14:paraId="6D371FE0" w14:textId="77777777" w:rsidR="00963F80" w:rsidRDefault="00AA250C">
      <w:r>
        <w:t>Table 2 consolidates the major transaction-cost constraints and the strength of the underlying evidence. Its main message is that constraints are complementary: alleviating only one can leave the farmer on the same low-commercialisation equilibrium.</w:t>
      </w:r>
    </w:p>
    <w:p w14:paraId="76CECA29" w14:textId="77777777" w:rsidR="00963F80" w:rsidRDefault="00AA250C">
      <w:pPr>
        <w:keepNext/>
        <w:spacing w:before="100" w:after="80"/>
      </w:pPr>
      <w:r>
        <w:rPr>
          <w:b/>
          <w:sz w:val="19"/>
        </w:rPr>
        <w:t>Table 2. Binding market-access constraints, mechanisms and evidence in the Nigerian smallholder context</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579146B1" w14:textId="77777777">
        <w:trPr>
          <w:cantSplit/>
          <w:tblHeader/>
          <w:jc w:val="center"/>
        </w:trPr>
        <w:tc>
          <w:tcPr>
            <w:tcW w:w="1512" w:type="dxa"/>
            <w:shd w:val="clear" w:color="auto" w:fill="D9E2F3"/>
            <w:tcMar>
              <w:top w:w="55" w:type="dxa"/>
              <w:left w:w="55" w:type="dxa"/>
              <w:bottom w:w="55" w:type="dxa"/>
              <w:right w:w="55" w:type="dxa"/>
            </w:tcMar>
            <w:vAlign w:val="center"/>
          </w:tcPr>
          <w:p w14:paraId="762E7569" w14:textId="77777777" w:rsidR="00963F80" w:rsidRDefault="00AA250C">
            <w:pPr>
              <w:spacing w:after="0"/>
              <w:jc w:val="left"/>
            </w:pPr>
            <w:r>
              <w:rPr>
                <w:b/>
                <w:sz w:val="16"/>
              </w:rPr>
              <w:t>Constraint</w:t>
            </w:r>
          </w:p>
        </w:tc>
        <w:tc>
          <w:tcPr>
            <w:tcW w:w="2088" w:type="dxa"/>
            <w:shd w:val="clear" w:color="auto" w:fill="D9E2F3"/>
            <w:tcMar>
              <w:top w:w="55" w:type="dxa"/>
              <w:left w:w="55" w:type="dxa"/>
              <w:bottom w:w="55" w:type="dxa"/>
              <w:right w:w="55" w:type="dxa"/>
            </w:tcMar>
            <w:vAlign w:val="center"/>
          </w:tcPr>
          <w:p w14:paraId="6F5B3A59" w14:textId="77777777" w:rsidR="00963F80" w:rsidRDefault="00AA250C">
            <w:pPr>
              <w:spacing w:after="0"/>
              <w:jc w:val="left"/>
            </w:pPr>
            <w:r>
              <w:rPr>
                <w:b/>
                <w:sz w:val="16"/>
              </w:rPr>
              <w:t>How it restricts market access</w:t>
            </w:r>
          </w:p>
        </w:tc>
        <w:tc>
          <w:tcPr>
            <w:tcW w:w="2232" w:type="dxa"/>
            <w:shd w:val="clear" w:color="auto" w:fill="D9E2F3"/>
            <w:tcMar>
              <w:top w:w="55" w:type="dxa"/>
              <w:left w:w="55" w:type="dxa"/>
              <w:bottom w:w="55" w:type="dxa"/>
              <w:right w:w="55" w:type="dxa"/>
            </w:tcMar>
            <w:vAlign w:val="center"/>
          </w:tcPr>
          <w:p w14:paraId="19DA5641" w14:textId="77777777" w:rsidR="00963F80" w:rsidRDefault="00AA250C">
            <w:pPr>
              <w:spacing w:after="0"/>
              <w:jc w:val="left"/>
            </w:pPr>
            <w:r>
              <w:rPr>
                <w:b/>
                <w:sz w:val="16"/>
              </w:rPr>
              <w:t>Most plausible value-chain response</w:t>
            </w:r>
          </w:p>
        </w:tc>
        <w:tc>
          <w:tcPr>
            <w:tcW w:w="1944" w:type="dxa"/>
            <w:shd w:val="clear" w:color="auto" w:fill="D9E2F3"/>
            <w:tcMar>
              <w:top w:w="55" w:type="dxa"/>
              <w:left w:w="55" w:type="dxa"/>
              <w:bottom w:w="55" w:type="dxa"/>
              <w:right w:w="55" w:type="dxa"/>
            </w:tcMar>
            <w:vAlign w:val="center"/>
          </w:tcPr>
          <w:p w14:paraId="682BC112" w14:textId="77777777" w:rsidR="00963F80" w:rsidRDefault="00AA250C">
            <w:pPr>
              <w:spacing w:after="0"/>
              <w:jc w:val="left"/>
            </w:pPr>
            <w:r>
              <w:rPr>
                <w:b/>
                <w:sz w:val="16"/>
              </w:rPr>
              <w:t>Evidence appraisal</w:t>
            </w:r>
          </w:p>
        </w:tc>
        <w:tc>
          <w:tcPr>
            <w:tcW w:w="1584" w:type="dxa"/>
            <w:shd w:val="clear" w:color="auto" w:fill="D9E2F3"/>
            <w:tcMar>
              <w:top w:w="55" w:type="dxa"/>
              <w:left w:w="55" w:type="dxa"/>
              <w:bottom w:w="55" w:type="dxa"/>
              <w:right w:w="55" w:type="dxa"/>
            </w:tcMar>
            <w:vAlign w:val="center"/>
          </w:tcPr>
          <w:p w14:paraId="719AB7FD" w14:textId="77777777" w:rsidR="00963F80" w:rsidRDefault="00AA250C">
            <w:pPr>
              <w:spacing w:after="0"/>
              <w:jc w:val="left"/>
            </w:pPr>
            <w:r>
              <w:rPr>
                <w:b/>
                <w:sz w:val="16"/>
              </w:rPr>
              <w:t>Supporting references</w:t>
            </w:r>
          </w:p>
        </w:tc>
      </w:tr>
      <w:tr w:rsidR="00963F80" w14:paraId="14BBFC47" w14:textId="77777777">
        <w:trPr>
          <w:cantSplit/>
          <w:jc w:val="center"/>
        </w:trPr>
        <w:tc>
          <w:tcPr>
            <w:tcW w:w="1512" w:type="dxa"/>
            <w:tcMar>
              <w:top w:w="55" w:type="dxa"/>
              <w:left w:w="55" w:type="dxa"/>
              <w:bottom w:w="55" w:type="dxa"/>
              <w:right w:w="55" w:type="dxa"/>
            </w:tcMar>
          </w:tcPr>
          <w:p w14:paraId="7B51CFC9" w14:textId="77777777" w:rsidR="00963F80" w:rsidRDefault="00AA250C">
            <w:pPr>
              <w:spacing w:after="0" w:line="240" w:lineRule="auto"/>
              <w:jc w:val="left"/>
            </w:pPr>
            <w:r>
              <w:rPr>
                <w:sz w:val="15"/>
              </w:rPr>
              <w:t>Poor rural transport and road reliability</w:t>
            </w:r>
          </w:p>
        </w:tc>
        <w:tc>
          <w:tcPr>
            <w:tcW w:w="2088" w:type="dxa"/>
            <w:tcMar>
              <w:top w:w="55" w:type="dxa"/>
              <w:left w:w="55" w:type="dxa"/>
              <w:bottom w:w="55" w:type="dxa"/>
              <w:right w:w="55" w:type="dxa"/>
            </w:tcMar>
          </w:tcPr>
          <w:p w14:paraId="0C9D49E9" w14:textId="77777777" w:rsidR="00963F80" w:rsidRDefault="00AA250C">
            <w:pPr>
              <w:spacing w:after="0" w:line="240" w:lineRule="auto"/>
              <w:jc w:val="left"/>
            </w:pPr>
            <w:r>
              <w:rPr>
                <w:sz w:val="15"/>
              </w:rPr>
              <w:t>Raises delivered costs, trader search costs, travel time and physical losses.</w:t>
            </w:r>
          </w:p>
        </w:tc>
        <w:tc>
          <w:tcPr>
            <w:tcW w:w="2232" w:type="dxa"/>
            <w:tcMar>
              <w:top w:w="55" w:type="dxa"/>
              <w:left w:w="55" w:type="dxa"/>
              <w:bottom w:w="55" w:type="dxa"/>
              <w:right w:w="55" w:type="dxa"/>
            </w:tcMar>
          </w:tcPr>
          <w:p w14:paraId="092914BD" w14:textId="77777777" w:rsidR="00963F80" w:rsidRDefault="00AA250C">
            <w:pPr>
              <w:spacing w:after="0" w:line="240" w:lineRule="auto"/>
              <w:jc w:val="left"/>
            </w:pPr>
            <w:r>
              <w:rPr>
                <w:sz w:val="15"/>
              </w:rPr>
              <w:t>Climate-resilient feeder roads, maintenance institutions, transport aggregation and route security.</w:t>
            </w:r>
          </w:p>
        </w:tc>
        <w:tc>
          <w:tcPr>
            <w:tcW w:w="1944" w:type="dxa"/>
            <w:tcMar>
              <w:top w:w="55" w:type="dxa"/>
              <w:left w:w="55" w:type="dxa"/>
              <w:bottom w:w="55" w:type="dxa"/>
              <w:right w:w="55" w:type="dxa"/>
            </w:tcMar>
          </w:tcPr>
          <w:p w14:paraId="080D46C5" w14:textId="77777777" w:rsidR="00963F80" w:rsidRDefault="00AA250C">
            <w:pPr>
              <w:spacing w:after="0" w:line="240" w:lineRule="auto"/>
              <w:jc w:val="left"/>
            </w:pPr>
            <w:r>
              <w:rPr>
                <w:sz w:val="15"/>
              </w:rPr>
              <w:t>Mechanism is strongly supported conceptually; Nigeria-specific programme evidence is substantial, but causal farmer-level impact evaluation remains limited.</w:t>
            </w:r>
          </w:p>
        </w:tc>
        <w:tc>
          <w:tcPr>
            <w:tcW w:w="1584" w:type="dxa"/>
            <w:tcMar>
              <w:top w:w="55" w:type="dxa"/>
              <w:left w:w="55" w:type="dxa"/>
              <w:bottom w:w="55" w:type="dxa"/>
              <w:right w:w="55" w:type="dxa"/>
            </w:tcMar>
          </w:tcPr>
          <w:p w14:paraId="00609836" w14:textId="77777777" w:rsidR="00963F80" w:rsidRDefault="00AA250C">
            <w:pPr>
              <w:spacing w:after="0" w:line="240" w:lineRule="auto"/>
              <w:jc w:val="left"/>
            </w:pPr>
            <w:r>
              <w:rPr>
                <w:sz w:val="15"/>
              </w:rPr>
              <w:t>Barrett (2008); World Bank (2024); Kwon et al. (2026)</w:t>
            </w:r>
          </w:p>
        </w:tc>
      </w:tr>
      <w:tr w:rsidR="00963F80" w14:paraId="309BDCE7" w14:textId="77777777">
        <w:trPr>
          <w:cantSplit/>
          <w:jc w:val="center"/>
        </w:trPr>
        <w:tc>
          <w:tcPr>
            <w:tcW w:w="1512" w:type="dxa"/>
            <w:tcMar>
              <w:top w:w="55" w:type="dxa"/>
              <w:left w:w="55" w:type="dxa"/>
              <w:bottom w:w="55" w:type="dxa"/>
              <w:right w:w="55" w:type="dxa"/>
            </w:tcMar>
          </w:tcPr>
          <w:p w14:paraId="0AC9ED2A" w14:textId="77777777" w:rsidR="00963F80" w:rsidRDefault="00AA250C">
            <w:pPr>
              <w:spacing w:after="0" w:line="240" w:lineRule="auto"/>
              <w:jc w:val="left"/>
            </w:pPr>
            <w:r>
              <w:rPr>
                <w:sz w:val="15"/>
              </w:rPr>
              <w:t>Low and unstable marketable surplus</w:t>
            </w:r>
          </w:p>
        </w:tc>
        <w:tc>
          <w:tcPr>
            <w:tcW w:w="2088" w:type="dxa"/>
            <w:tcMar>
              <w:top w:w="55" w:type="dxa"/>
              <w:left w:w="55" w:type="dxa"/>
              <w:bottom w:w="55" w:type="dxa"/>
              <w:right w:w="55" w:type="dxa"/>
            </w:tcMar>
          </w:tcPr>
          <w:p w14:paraId="7F9C1D08" w14:textId="77777777" w:rsidR="00963F80" w:rsidRDefault="00AA250C">
            <w:pPr>
              <w:spacing w:after="0" w:line="240" w:lineRule="auto"/>
              <w:jc w:val="left"/>
            </w:pPr>
            <w:r>
              <w:rPr>
                <w:sz w:val="15"/>
              </w:rPr>
              <w:t>Raises per-unit marketing costs and weakens ability to meet buyer commitments.</w:t>
            </w:r>
          </w:p>
        </w:tc>
        <w:tc>
          <w:tcPr>
            <w:tcW w:w="2232" w:type="dxa"/>
            <w:tcMar>
              <w:top w:w="55" w:type="dxa"/>
              <w:left w:w="55" w:type="dxa"/>
              <w:bottom w:w="55" w:type="dxa"/>
              <w:right w:w="55" w:type="dxa"/>
            </w:tcMar>
          </w:tcPr>
          <w:p w14:paraId="2312B7D2" w14:textId="77777777" w:rsidR="00963F80" w:rsidRDefault="00AA250C">
            <w:pPr>
              <w:spacing w:after="0" w:line="240" w:lineRule="auto"/>
              <w:jc w:val="left"/>
            </w:pPr>
            <w:r>
              <w:rPr>
                <w:sz w:val="15"/>
              </w:rPr>
              <w:t>Improved seed, agronomy, irrigation, mechanisation and bundled market linkage.</w:t>
            </w:r>
          </w:p>
        </w:tc>
        <w:tc>
          <w:tcPr>
            <w:tcW w:w="1944" w:type="dxa"/>
            <w:tcMar>
              <w:top w:w="55" w:type="dxa"/>
              <w:left w:w="55" w:type="dxa"/>
              <w:bottom w:w="55" w:type="dxa"/>
              <w:right w:w="55" w:type="dxa"/>
            </w:tcMar>
          </w:tcPr>
          <w:p w14:paraId="2022BF58" w14:textId="77777777" w:rsidR="00963F80" w:rsidRDefault="00AA250C">
            <w:pPr>
              <w:spacing w:after="0" w:line="240" w:lineRule="auto"/>
              <w:jc w:val="left"/>
            </w:pPr>
            <w:r>
              <w:rPr>
                <w:sz w:val="15"/>
              </w:rPr>
              <w:t>Nigerian quasi-experimental and panel evidence supports productivity–commercialisation links, although effects vary by crop and farmer endowment.</w:t>
            </w:r>
          </w:p>
        </w:tc>
        <w:tc>
          <w:tcPr>
            <w:tcW w:w="1584" w:type="dxa"/>
            <w:tcMar>
              <w:top w:w="55" w:type="dxa"/>
              <w:left w:w="55" w:type="dxa"/>
              <w:bottom w:w="55" w:type="dxa"/>
              <w:right w:w="55" w:type="dxa"/>
            </w:tcMar>
          </w:tcPr>
          <w:p w14:paraId="70135474" w14:textId="77777777" w:rsidR="00963F80" w:rsidRDefault="00AA250C">
            <w:pPr>
              <w:spacing w:after="0" w:line="240" w:lineRule="auto"/>
              <w:jc w:val="left"/>
            </w:pPr>
            <w:r>
              <w:rPr>
                <w:sz w:val="15"/>
              </w:rPr>
              <w:t>Awotide et al. (2016); Owusu &amp; İşcan (2021); Wossen et al. (2017)</w:t>
            </w:r>
          </w:p>
        </w:tc>
      </w:tr>
      <w:tr w:rsidR="00963F80" w14:paraId="161BB64A" w14:textId="77777777">
        <w:trPr>
          <w:cantSplit/>
          <w:jc w:val="center"/>
        </w:trPr>
        <w:tc>
          <w:tcPr>
            <w:tcW w:w="1512" w:type="dxa"/>
            <w:tcMar>
              <w:top w:w="55" w:type="dxa"/>
              <w:left w:w="55" w:type="dxa"/>
              <w:bottom w:w="55" w:type="dxa"/>
              <w:right w:w="55" w:type="dxa"/>
            </w:tcMar>
          </w:tcPr>
          <w:p w14:paraId="66766002" w14:textId="77777777" w:rsidR="00963F80" w:rsidRDefault="00AA250C">
            <w:pPr>
              <w:spacing w:after="0" w:line="240" w:lineRule="auto"/>
              <w:jc w:val="left"/>
            </w:pPr>
            <w:r>
              <w:rPr>
                <w:sz w:val="15"/>
              </w:rPr>
              <w:t>Liquidity and credit constraints</w:t>
            </w:r>
          </w:p>
        </w:tc>
        <w:tc>
          <w:tcPr>
            <w:tcW w:w="2088" w:type="dxa"/>
            <w:tcMar>
              <w:top w:w="55" w:type="dxa"/>
              <w:left w:w="55" w:type="dxa"/>
              <w:bottom w:w="55" w:type="dxa"/>
              <w:right w:w="55" w:type="dxa"/>
            </w:tcMar>
          </w:tcPr>
          <w:p w14:paraId="664E219D" w14:textId="77777777" w:rsidR="00963F80" w:rsidRDefault="00AA250C">
            <w:pPr>
              <w:spacing w:after="0" w:line="240" w:lineRule="auto"/>
              <w:jc w:val="left"/>
            </w:pPr>
            <w:r>
              <w:rPr>
                <w:sz w:val="15"/>
              </w:rPr>
              <w:t>Limit input use and induce harvest-time sales when prices may be weak.</w:t>
            </w:r>
          </w:p>
        </w:tc>
        <w:tc>
          <w:tcPr>
            <w:tcW w:w="2232" w:type="dxa"/>
            <w:tcMar>
              <w:top w:w="55" w:type="dxa"/>
              <w:left w:w="55" w:type="dxa"/>
              <w:bottom w:w="55" w:type="dxa"/>
              <w:right w:w="55" w:type="dxa"/>
            </w:tcMar>
          </w:tcPr>
          <w:p w14:paraId="5E6C6BA9" w14:textId="77777777" w:rsidR="00963F80" w:rsidRDefault="00AA250C">
            <w:pPr>
              <w:spacing w:after="0" w:line="240" w:lineRule="auto"/>
              <w:jc w:val="left"/>
            </w:pPr>
            <w:r>
              <w:rPr>
                <w:sz w:val="15"/>
              </w:rPr>
              <w:t>Appropriate finance, savings, buyer-linked working capital and risk reduction.</w:t>
            </w:r>
          </w:p>
        </w:tc>
        <w:tc>
          <w:tcPr>
            <w:tcW w:w="1944" w:type="dxa"/>
            <w:tcMar>
              <w:top w:w="55" w:type="dxa"/>
              <w:left w:w="55" w:type="dxa"/>
              <w:bottom w:w="55" w:type="dxa"/>
              <w:right w:w="55" w:type="dxa"/>
            </w:tcMar>
          </w:tcPr>
          <w:p w14:paraId="006B1441" w14:textId="77777777" w:rsidR="00963F80" w:rsidRDefault="00AA250C">
            <w:pPr>
              <w:spacing w:after="0" w:line="240" w:lineRule="auto"/>
              <w:jc w:val="left"/>
            </w:pPr>
            <w:r>
              <w:rPr>
                <w:sz w:val="15"/>
              </w:rPr>
              <w:t>National evidence shows both supply- and demand-side credit constraints; simply expanding credit supply is insufficient.</w:t>
            </w:r>
          </w:p>
        </w:tc>
        <w:tc>
          <w:tcPr>
            <w:tcW w:w="1584" w:type="dxa"/>
            <w:tcMar>
              <w:top w:w="55" w:type="dxa"/>
              <w:left w:w="55" w:type="dxa"/>
              <w:bottom w:w="55" w:type="dxa"/>
              <w:right w:w="55" w:type="dxa"/>
            </w:tcMar>
          </w:tcPr>
          <w:p w14:paraId="26F4BDA2" w14:textId="77777777" w:rsidR="00963F80" w:rsidRDefault="00AA250C">
            <w:pPr>
              <w:spacing w:after="0" w:line="240" w:lineRule="auto"/>
              <w:jc w:val="left"/>
            </w:pPr>
            <w:r>
              <w:rPr>
                <w:sz w:val="15"/>
              </w:rPr>
              <w:t>Balana &amp; Oyeyemi (2022); Adegbite &amp; Machethe (2020)</w:t>
            </w:r>
          </w:p>
        </w:tc>
      </w:tr>
      <w:tr w:rsidR="00963F80" w14:paraId="5F0B1890" w14:textId="77777777">
        <w:trPr>
          <w:cantSplit/>
          <w:jc w:val="center"/>
        </w:trPr>
        <w:tc>
          <w:tcPr>
            <w:tcW w:w="1512" w:type="dxa"/>
            <w:tcMar>
              <w:top w:w="55" w:type="dxa"/>
              <w:left w:w="55" w:type="dxa"/>
              <w:bottom w:w="55" w:type="dxa"/>
              <w:right w:w="55" w:type="dxa"/>
            </w:tcMar>
          </w:tcPr>
          <w:p w14:paraId="402CE9F8" w14:textId="77777777" w:rsidR="00963F80" w:rsidRDefault="00AA250C">
            <w:pPr>
              <w:spacing w:after="0" w:line="240" w:lineRule="auto"/>
              <w:jc w:val="left"/>
            </w:pPr>
            <w:r>
              <w:rPr>
                <w:sz w:val="15"/>
              </w:rPr>
              <w:t>Information and coordination failures</w:t>
            </w:r>
          </w:p>
        </w:tc>
        <w:tc>
          <w:tcPr>
            <w:tcW w:w="2088" w:type="dxa"/>
            <w:tcMar>
              <w:top w:w="55" w:type="dxa"/>
              <w:left w:w="55" w:type="dxa"/>
              <w:bottom w:w="55" w:type="dxa"/>
              <w:right w:w="55" w:type="dxa"/>
            </w:tcMar>
          </w:tcPr>
          <w:p w14:paraId="1618B051" w14:textId="77777777" w:rsidR="00963F80" w:rsidRDefault="00AA250C">
            <w:pPr>
              <w:spacing w:after="0" w:line="240" w:lineRule="auto"/>
              <w:jc w:val="left"/>
            </w:pPr>
            <w:r>
              <w:rPr>
                <w:sz w:val="15"/>
              </w:rPr>
              <w:t>Increase search costs and uncertainty over buyers, grades, timing and payment.</w:t>
            </w:r>
          </w:p>
        </w:tc>
        <w:tc>
          <w:tcPr>
            <w:tcW w:w="2232" w:type="dxa"/>
            <w:tcMar>
              <w:top w:w="55" w:type="dxa"/>
              <w:left w:w="55" w:type="dxa"/>
              <w:bottom w:w="55" w:type="dxa"/>
              <w:right w:w="55" w:type="dxa"/>
            </w:tcMar>
          </w:tcPr>
          <w:p w14:paraId="4C30CDB8" w14:textId="77777777" w:rsidR="00963F80" w:rsidRDefault="00AA250C">
            <w:pPr>
              <w:spacing w:after="0" w:line="240" w:lineRule="auto"/>
              <w:jc w:val="left"/>
            </w:pPr>
            <w:r>
              <w:rPr>
                <w:sz w:val="15"/>
              </w:rPr>
              <w:t>Mobile coordination, extension, market information, transparent off-take and repeated relationships.</w:t>
            </w:r>
          </w:p>
        </w:tc>
        <w:tc>
          <w:tcPr>
            <w:tcW w:w="1944" w:type="dxa"/>
            <w:tcMar>
              <w:top w:w="55" w:type="dxa"/>
              <w:left w:w="55" w:type="dxa"/>
              <w:bottom w:w="55" w:type="dxa"/>
              <w:right w:w="55" w:type="dxa"/>
            </w:tcMar>
          </w:tcPr>
          <w:p w14:paraId="0750F1D3" w14:textId="77777777" w:rsidR="00963F80" w:rsidRDefault="00AA250C">
            <w:pPr>
              <w:spacing w:after="0" w:line="240" w:lineRule="auto"/>
              <w:jc w:val="left"/>
            </w:pPr>
            <w:r>
              <w:rPr>
                <w:sz w:val="15"/>
              </w:rPr>
              <w:t>Digital-adoption evidence is promising but local and observational; coordination effects are more broadly supported.</w:t>
            </w:r>
          </w:p>
        </w:tc>
        <w:tc>
          <w:tcPr>
            <w:tcW w:w="1584" w:type="dxa"/>
            <w:tcMar>
              <w:top w:w="55" w:type="dxa"/>
              <w:left w:w="55" w:type="dxa"/>
              <w:bottom w:w="55" w:type="dxa"/>
              <w:right w:w="55" w:type="dxa"/>
            </w:tcMar>
          </w:tcPr>
          <w:p w14:paraId="4759E74C" w14:textId="77777777" w:rsidR="00963F80" w:rsidRDefault="00AA250C">
            <w:pPr>
              <w:spacing w:after="0" w:line="240" w:lineRule="auto"/>
              <w:jc w:val="left"/>
            </w:pPr>
            <w:r>
              <w:rPr>
                <w:sz w:val="15"/>
              </w:rPr>
              <w:t>Anadozie et al. (2022); Kolapo &amp; Didunyemi (2024); Ola &amp; Menapace (2020)</w:t>
            </w:r>
          </w:p>
        </w:tc>
      </w:tr>
      <w:tr w:rsidR="00963F80" w14:paraId="3F574ABB" w14:textId="77777777">
        <w:trPr>
          <w:cantSplit/>
          <w:jc w:val="center"/>
        </w:trPr>
        <w:tc>
          <w:tcPr>
            <w:tcW w:w="1512" w:type="dxa"/>
            <w:tcMar>
              <w:top w:w="55" w:type="dxa"/>
              <w:left w:w="55" w:type="dxa"/>
              <w:bottom w:w="55" w:type="dxa"/>
              <w:right w:w="55" w:type="dxa"/>
            </w:tcMar>
          </w:tcPr>
          <w:p w14:paraId="47BA30DE" w14:textId="77777777" w:rsidR="00963F80" w:rsidRDefault="00AA250C">
            <w:pPr>
              <w:spacing w:after="0" w:line="240" w:lineRule="auto"/>
              <w:jc w:val="left"/>
            </w:pPr>
            <w:r>
              <w:rPr>
                <w:sz w:val="15"/>
              </w:rPr>
              <w:t>Post-harvest loss and weak quality control</w:t>
            </w:r>
          </w:p>
        </w:tc>
        <w:tc>
          <w:tcPr>
            <w:tcW w:w="2088" w:type="dxa"/>
            <w:tcMar>
              <w:top w:w="55" w:type="dxa"/>
              <w:left w:w="55" w:type="dxa"/>
              <w:bottom w:w="55" w:type="dxa"/>
              <w:right w:w="55" w:type="dxa"/>
            </w:tcMar>
          </w:tcPr>
          <w:p w14:paraId="4CF18559" w14:textId="77777777" w:rsidR="00963F80" w:rsidRDefault="00AA250C">
            <w:pPr>
              <w:spacing w:after="0" w:line="240" w:lineRule="auto"/>
              <w:jc w:val="left"/>
            </w:pPr>
            <w:r>
              <w:rPr>
                <w:sz w:val="15"/>
              </w:rPr>
              <w:t>Reduce saleable volume, shorten marketing window and weaken price realisation.</w:t>
            </w:r>
          </w:p>
        </w:tc>
        <w:tc>
          <w:tcPr>
            <w:tcW w:w="2232" w:type="dxa"/>
            <w:tcMar>
              <w:top w:w="55" w:type="dxa"/>
              <w:left w:w="55" w:type="dxa"/>
              <w:bottom w:w="55" w:type="dxa"/>
              <w:right w:w="55" w:type="dxa"/>
            </w:tcMar>
          </w:tcPr>
          <w:p w14:paraId="689572DC" w14:textId="77777777" w:rsidR="00963F80" w:rsidRDefault="00AA250C">
            <w:pPr>
              <w:spacing w:after="0" w:line="240" w:lineRule="auto"/>
              <w:jc w:val="left"/>
            </w:pPr>
            <w:r>
              <w:rPr>
                <w:sz w:val="15"/>
              </w:rPr>
              <w:t>Drying, storage, mechanised harvesting/threshing, grading and processing.</w:t>
            </w:r>
          </w:p>
        </w:tc>
        <w:tc>
          <w:tcPr>
            <w:tcW w:w="1944" w:type="dxa"/>
            <w:tcMar>
              <w:top w:w="55" w:type="dxa"/>
              <w:left w:w="55" w:type="dxa"/>
              <w:bottom w:w="55" w:type="dxa"/>
              <w:right w:w="55" w:type="dxa"/>
            </w:tcMar>
          </w:tcPr>
          <w:p w14:paraId="48643F5B" w14:textId="77777777" w:rsidR="00963F80" w:rsidRDefault="00AA250C">
            <w:pPr>
              <w:spacing w:after="0" w:line="240" w:lineRule="auto"/>
              <w:jc w:val="left"/>
            </w:pPr>
            <w:r>
              <w:rPr>
                <w:sz w:val="15"/>
              </w:rPr>
              <w:t>Direct Nigerian evidence demonstrates material loss-reduction opportunities, but scalability and service-market economics require further study.</w:t>
            </w:r>
          </w:p>
        </w:tc>
        <w:tc>
          <w:tcPr>
            <w:tcW w:w="1584" w:type="dxa"/>
            <w:tcMar>
              <w:top w:w="55" w:type="dxa"/>
              <w:left w:w="55" w:type="dxa"/>
              <w:bottom w:w="55" w:type="dxa"/>
              <w:right w:w="55" w:type="dxa"/>
            </w:tcMar>
          </w:tcPr>
          <w:p w14:paraId="48DF734E" w14:textId="77777777" w:rsidR="00963F80" w:rsidRDefault="00AA250C">
            <w:pPr>
              <w:spacing w:after="0" w:line="240" w:lineRule="auto"/>
              <w:jc w:val="left"/>
            </w:pPr>
            <w:r>
              <w:rPr>
                <w:sz w:val="15"/>
              </w:rPr>
              <w:t>Castelein et al. (2022); Kitinoja et al. (2019)</w:t>
            </w:r>
          </w:p>
        </w:tc>
      </w:tr>
      <w:tr w:rsidR="00963F80" w14:paraId="5943CC23" w14:textId="77777777">
        <w:trPr>
          <w:cantSplit/>
          <w:jc w:val="center"/>
        </w:trPr>
        <w:tc>
          <w:tcPr>
            <w:tcW w:w="1512" w:type="dxa"/>
            <w:tcMar>
              <w:top w:w="55" w:type="dxa"/>
              <w:left w:w="55" w:type="dxa"/>
              <w:bottom w:w="55" w:type="dxa"/>
              <w:right w:w="55" w:type="dxa"/>
            </w:tcMar>
          </w:tcPr>
          <w:p w14:paraId="12DAC825" w14:textId="77777777" w:rsidR="00963F80" w:rsidRDefault="00AA250C">
            <w:pPr>
              <w:spacing w:after="0" w:line="240" w:lineRule="auto"/>
              <w:jc w:val="left"/>
            </w:pPr>
            <w:r>
              <w:rPr>
                <w:sz w:val="15"/>
              </w:rPr>
              <w:t>Thin or concentrated buyer markets</w:t>
            </w:r>
          </w:p>
        </w:tc>
        <w:tc>
          <w:tcPr>
            <w:tcW w:w="2088" w:type="dxa"/>
            <w:tcMar>
              <w:top w:w="55" w:type="dxa"/>
              <w:left w:w="55" w:type="dxa"/>
              <w:bottom w:w="55" w:type="dxa"/>
              <w:right w:w="55" w:type="dxa"/>
            </w:tcMar>
          </w:tcPr>
          <w:p w14:paraId="6E3CEF9B" w14:textId="77777777" w:rsidR="00963F80" w:rsidRDefault="00AA250C">
            <w:pPr>
              <w:spacing w:after="0" w:line="240" w:lineRule="auto"/>
              <w:jc w:val="left"/>
            </w:pPr>
            <w:r>
              <w:rPr>
                <w:sz w:val="15"/>
              </w:rPr>
              <w:t>Weakens bargaining and may discourage quality investment.</w:t>
            </w:r>
          </w:p>
        </w:tc>
        <w:tc>
          <w:tcPr>
            <w:tcW w:w="2232" w:type="dxa"/>
            <w:tcMar>
              <w:top w:w="55" w:type="dxa"/>
              <w:left w:w="55" w:type="dxa"/>
              <w:bottom w:w="55" w:type="dxa"/>
              <w:right w:w="55" w:type="dxa"/>
            </w:tcMar>
          </w:tcPr>
          <w:p w14:paraId="32C1080B" w14:textId="77777777" w:rsidR="00963F80" w:rsidRDefault="00AA250C">
            <w:pPr>
              <w:spacing w:after="0" w:line="240" w:lineRule="auto"/>
              <w:jc w:val="left"/>
            </w:pPr>
            <w:r>
              <w:rPr>
                <w:sz w:val="15"/>
              </w:rPr>
              <w:t>Aggregation, buyer competition, transparent grades, enforceable payment terms and dispute resolution.</w:t>
            </w:r>
          </w:p>
        </w:tc>
        <w:tc>
          <w:tcPr>
            <w:tcW w:w="1944" w:type="dxa"/>
            <w:tcMar>
              <w:top w:w="55" w:type="dxa"/>
              <w:left w:w="55" w:type="dxa"/>
              <w:bottom w:w="55" w:type="dxa"/>
              <w:right w:w="55" w:type="dxa"/>
            </w:tcMar>
          </w:tcPr>
          <w:p w14:paraId="325E55DA" w14:textId="77777777" w:rsidR="00963F80" w:rsidRDefault="00AA250C">
            <w:pPr>
              <w:spacing w:after="0" w:line="240" w:lineRule="auto"/>
              <w:jc w:val="left"/>
            </w:pPr>
            <w:r>
              <w:rPr>
                <w:sz w:val="15"/>
              </w:rPr>
              <w:t>Trader-mediated channels can be beneficial; evidence does not support treating intermediaries uniformly as exploitative.</w:t>
            </w:r>
          </w:p>
        </w:tc>
        <w:tc>
          <w:tcPr>
            <w:tcW w:w="1584" w:type="dxa"/>
            <w:tcMar>
              <w:top w:w="55" w:type="dxa"/>
              <w:left w:w="55" w:type="dxa"/>
              <w:bottom w:w="55" w:type="dxa"/>
              <w:right w:w="55" w:type="dxa"/>
            </w:tcMar>
          </w:tcPr>
          <w:p w14:paraId="68106D73" w14:textId="77777777" w:rsidR="00963F80" w:rsidRDefault="00AA250C">
            <w:pPr>
              <w:spacing w:after="0" w:line="240" w:lineRule="auto"/>
              <w:jc w:val="left"/>
            </w:pPr>
            <w:r>
              <w:rPr>
                <w:sz w:val="15"/>
              </w:rPr>
              <w:t>Manda et al. (2020); Reardon et al. (2021); Yami et al. (2026)</w:t>
            </w:r>
          </w:p>
        </w:tc>
      </w:tr>
      <w:tr w:rsidR="00963F80" w14:paraId="4BE20650" w14:textId="77777777">
        <w:trPr>
          <w:cantSplit/>
          <w:jc w:val="center"/>
        </w:trPr>
        <w:tc>
          <w:tcPr>
            <w:tcW w:w="1512" w:type="dxa"/>
            <w:tcMar>
              <w:top w:w="55" w:type="dxa"/>
              <w:left w:w="55" w:type="dxa"/>
              <w:bottom w:w="55" w:type="dxa"/>
              <w:right w:w="55" w:type="dxa"/>
            </w:tcMar>
          </w:tcPr>
          <w:p w14:paraId="18FB421E" w14:textId="77777777" w:rsidR="00963F80" w:rsidRDefault="00AA250C">
            <w:pPr>
              <w:spacing w:after="0" w:line="240" w:lineRule="auto"/>
              <w:jc w:val="left"/>
            </w:pPr>
            <w:r>
              <w:rPr>
                <w:sz w:val="15"/>
              </w:rPr>
              <w:t>Climate and security shocks</w:t>
            </w:r>
          </w:p>
        </w:tc>
        <w:tc>
          <w:tcPr>
            <w:tcW w:w="2088" w:type="dxa"/>
            <w:tcMar>
              <w:top w:w="55" w:type="dxa"/>
              <w:left w:w="55" w:type="dxa"/>
              <w:bottom w:w="55" w:type="dxa"/>
              <w:right w:w="55" w:type="dxa"/>
            </w:tcMar>
          </w:tcPr>
          <w:p w14:paraId="7A2445D9" w14:textId="77777777" w:rsidR="00963F80" w:rsidRDefault="00AA250C">
            <w:pPr>
              <w:spacing w:after="0" w:line="240" w:lineRule="auto"/>
              <w:jc w:val="left"/>
            </w:pPr>
            <w:r>
              <w:rPr>
                <w:sz w:val="15"/>
              </w:rPr>
              <w:t>Reduce output, disrupt routes and increase risk premia and market exit.</w:t>
            </w:r>
          </w:p>
        </w:tc>
        <w:tc>
          <w:tcPr>
            <w:tcW w:w="2232" w:type="dxa"/>
            <w:tcMar>
              <w:top w:w="55" w:type="dxa"/>
              <w:left w:w="55" w:type="dxa"/>
              <w:bottom w:w="55" w:type="dxa"/>
              <w:right w:w="55" w:type="dxa"/>
            </w:tcMar>
          </w:tcPr>
          <w:p w14:paraId="5C988493" w14:textId="77777777" w:rsidR="00963F80" w:rsidRDefault="00AA250C">
            <w:pPr>
              <w:spacing w:after="0" w:line="240" w:lineRule="auto"/>
              <w:jc w:val="left"/>
            </w:pPr>
            <w:r>
              <w:rPr>
                <w:sz w:val="15"/>
              </w:rPr>
              <w:t>Resilient infrastructure, route security, information, insurance/finance and diversified channels.</w:t>
            </w:r>
          </w:p>
        </w:tc>
        <w:tc>
          <w:tcPr>
            <w:tcW w:w="1944" w:type="dxa"/>
            <w:tcMar>
              <w:top w:w="55" w:type="dxa"/>
              <w:left w:w="55" w:type="dxa"/>
              <w:bottom w:w="55" w:type="dxa"/>
              <w:right w:w="55" w:type="dxa"/>
            </w:tcMar>
          </w:tcPr>
          <w:p w14:paraId="6222E739" w14:textId="77777777" w:rsidR="00963F80" w:rsidRDefault="00AA250C">
            <w:pPr>
              <w:spacing w:after="0" w:line="240" w:lineRule="auto"/>
              <w:jc w:val="left"/>
            </w:pPr>
            <w:r>
              <w:rPr>
                <w:sz w:val="15"/>
              </w:rPr>
              <w:t>Recent Nigeria-specific evidence directly links extreme heat and value-chain shocks to marketing outcomes and actor preferences.</w:t>
            </w:r>
          </w:p>
        </w:tc>
        <w:tc>
          <w:tcPr>
            <w:tcW w:w="1584" w:type="dxa"/>
            <w:tcMar>
              <w:top w:w="55" w:type="dxa"/>
              <w:left w:w="55" w:type="dxa"/>
              <w:bottom w:w="55" w:type="dxa"/>
              <w:right w:w="55" w:type="dxa"/>
            </w:tcMar>
          </w:tcPr>
          <w:p w14:paraId="700D5E28" w14:textId="77777777" w:rsidR="00963F80" w:rsidRDefault="00AA250C">
            <w:pPr>
              <w:spacing w:after="0" w:line="240" w:lineRule="auto"/>
              <w:jc w:val="left"/>
            </w:pPr>
            <w:r>
              <w:rPr>
                <w:sz w:val="15"/>
              </w:rPr>
              <w:t>Kwon et al. (2026); Tabe-Ojong &amp; Lokossou (2026)</w:t>
            </w:r>
          </w:p>
        </w:tc>
      </w:tr>
    </w:tbl>
    <w:p w14:paraId="3919068D" w14:textId="77777777" w:rsidR="00963F80" w:rsidRDefault="00AA250C">
      <w:pPr>
        <w:pStyle w:val="TableNote"/>
      </w:pPr>
      <w:r>
        <w:t>Note. Evidence appraisal is qualitative and reflects design strength, directness to the review question and geographical relevance; no formal risk-of-bias score was assigned.</w:t>
      </w:r>
    </w:p>
    <w:p w14:paraId="101D20BF" w14:textId="77777777" w:rsidR="00963F80" w:rsidRDefault="00AA250C">
      <w:pPr>
        <w:pStyle w:val="Heading1"/>
      </w:pPr>
      <w:r>
        <w:t>6. Aggregation, Midstream Actors and Farmer Organisation</w:t>
      </w:r>
    </w:p>
    <w:p w14:paraId="487E0AD7" w14:textId="77777777" w:rsidR="00963F80" w:rsidRDefault="00AA250C">
      <w:r>
        <w:t xml:space="preserve">Aggregation is the organisational bridge between dispersed small farms and buyers that require predictable volumes. Its economic logic is straightforward: pooling output can spread loading, transport, quality-control </w:t>
      </w:r>
      <w:r>
        <w:lastRenderedPageBreak/>
        <w:t>and negotiation costs over larger consignments. It can also make it economical for processors, banks and extension providers to serve farmers. The institutional form, however, may be a cooperative, an informal producer group, a trader network, a lead farmer, a medium-scale farm, an aggregator or a processor-led collection system. Treating one form as inherently superior obscures the function that aggregation is intended to perform.</w:t>
      </w:r>
    </w:p>
    <w:p w14:paraId="2672B093" w14:textId="77777777" w:rsidR="00963F80" w:rsidRDefault="00AA250C">
      <w:r>
        <w:t>The collective-action literature provides a useful benchmark. Markelova et al. (2009) and Markelova and Mwangi (2010) conclude that producer organisations can overcome market failures, but performance depends on internal governance, product characteristics, member heterogeneity and the surrounding institutional environment. This conditionality is especially important for staple and arable crops, where margins can be thin. Group administration, side-selling controls and meeting costs can consume a material share of potential gains if the organisation does not achieve scale or provide a credible service. A cooperative that exists primarily to receive subsidised inputs may have little capacity to market grain collectively.</w:t>
      </w:r>
    </w:p>
    <w:p w14:paraId="18ECC269" w14:textId="77777777" w:rsidR="00963F80" w:rsidRDefault="00AA250C">
      <w:r>
        <w:t>Buyer-facing functions should therefore be the core test of aggregation. Effective systems establish how much product will be collected, where and when it will be delivered, how quality will be assessed, how prices are determined, when payment will occur and what happens when either party fails to perform. IFAD’s Nigerian Value Chain Development Programme is relevant because its model explicitly connects producers with processors, traders and service providers rather than treating farmer organisation as an end in itself (IFAD, n.d.). The programme’s emphasis on commodity-specific planning illustrates a broader principle: aggregation is most durable when anchored in an actual demand relationship.</w:t>
      </w:r>
    </w:p>
    <w:p w14:paraId="4DEAE2CD" w14:textId="77777777" w:rsidR="00963F80" w:rsidRDefault="00AA250C">
      <w:r>
        <w:t>Midstream enterprises can perform similar functions without farmer-owned organisations. Reardon et al. (2021) document the rapid expansion of small and medium-sized wholesalers, logistics firms and processors across developing regions. These actors invest in vehicles, storage, working capital, information and relationships that are difficult for individual smallholders to replicate. Nigerian maize and cowpea evidence demonstrates their practical importance (Liverpool-Tasie &amp; Parkhi, 2021; Manda et al., 2020). Policy should therefore ask how to improve competition, capability and resilience in the midstream, not merely how to shorten chains.</w:t>
      </w:r>
    </w:p>
    <w:p w14:paraId="470BB634" w14:textId="77777777" w:rsidR="00963F80" w:rsidRDefault="00AA250C">
      <w:r>
        <w:t>Medium-scale farms constitute another possible coordination node. Liverpool-Tasie et al. (2023) find that Nigerian smallholders who interact with medium-scale farms through training or input-related relationships can experience higher input use, productivity, prices and incomes, with effects especially relevant to very small farms. This suggests potential spillovers from commercially oriented neighbours through demonstration, mechanisation services, bulk input purchase or market information. Yet the mechanism is relational and context-specific. Expanding medium-scale farming per se does not guarantee smallholder benefits; land competition and unequal access to public support remain possible. Programmes should therefore monitor concrete service and market linkages rather than infer spillovers from farm size.</w:t>
      </w:r>
    </w:p>
    <w:p w14:paraId="2759B9AA" w14:textId="77777777" w:rsidR="00963F80" w:rsidRDefault="00AA250C">
      <w:r>
        <w:t>Processors can create stronger demand signals where raw crops require transformation. Cassava is a clear case because roots are bulky and perishable and different end uses require specific quality and timing. Donkor et al. (2018), using data from 400 cassava farmers in Oyo State, found that participation in value addition was associated with farmer organisation, extension, credit, record-keeping and infrastructure-related factors. This evidence suggests that on-farm or local processing is not simply a technology choice; it is embedded in human capital, services and institutional access. Processing investment without reliable feedstock and business capability can create idle capacity, while production expansion without processing can depress local prices.</w:t>
      </w:r>
    </w:p>
    <w:p w14:paraId="38348141" w14:textId="77777777" w:rsidR="00963F80" w:rsidRDefault="00AA250C">
      <w:r>
        <w:lastRenderedPageBreak/>
        <w:t>Aggregation also changes bargaining dynamics. Large consignments can improve farmers’ negotiating position, but they can create new gatekeepers. Group leaders or aggregators may control buyer information, weighing and payment. Transparent records, independent or verifiable measures, member access to price information and clear deductions for services are therefore necessary governance safeguards. In structured procurement, disclosure of quality discounts and prompt electronic or traceable payment can reduce disputes, but digital payment must not exclude farmers without suitable accounts or identification.</w:t>
      </w:r>
    </w:p>
    <w:p w14:paraId="514F73ED" w14:textId="77777777" w:rsidR="00963F80" w:rsidRDefault="00AA250C">
      <w:r>
        <w:t>The policy objective should thus be “competitive coordination”. Competition without coordination leaves small farmers facing high search and logistics costs. Coordination without competition risks dependence on a single buyer or intermediary. Competitive coordination requires multiple credible channels where feasible, transparent switching rules, clear service charges, and collective institutions that remain accountable to members. This is more demanding than creating farmer groups, but it better reflects the economic problem value-chain programmes are intended to solve.</w:t>
      </w:r>
    </w:p>
    <w:p w14:paraId="701F38B7" w14:textId="77777777" w:rsidR="00963F80" w:rsidRDefault="00AA250C">
      <w:pPr>
        <w:pStyle w:val="Heading1"/>
      </w:pPr>
      <w:r>
        <w:t>7. Productivity, Post-Harvest Upgrading and Quality</w:t>
      </w:r>
    </w:p>
    <w:p w14:paraId="78CFBAB7" w14:textId="77777777" w:rsidR="00963F80" w:rsidRDefault="00AA250C">
      <w:r>
        <w:t>Market access is frequently constrained before produce reaches the road. Farmers with low yields, unstable harvests or high physical losses may be unable to assemble a marketable surplus large enough to justify transport or meet buyer commitments. Nigerian evidence indicates that productivity-enhancing technologies can improve welfare and commercialisation, but it also shows why production support should be connected to downstream demand rather than treated as an independent objective.</w:t>
      </w:r>
    </w:p>
    <w:p w14:paraId="543AF098" w14:textId="77777777" w:rsidR="00963F80" w:rsidRDefault="00AA250C">
      <w:r>
        <w:t>Rice provides relatively strong evidence. Awotide et al. (2016) examined technology adoption, commercialisation and welfare among rural rice farmers and found that adoption and market participation were associated with improved household welfare. Wossen et al. (2017), using an instrumental-variable strategy, found positive productivity and welfare effects from Nigeria’s electronic voucher input-subsidy programme. Although the latter was not a value-chain intervention in the narrow sense, it demonstrates that improved input access can relax a binding productive constraint. Its relevance to market access depends on whether increased output is accompanied by storage, aggregation and reliable demand. Otherwise, farmers may face lower prices at peak harvest or fail to recover input costs.</w:t>
      </w:r>
    </w:p>
    <w:p w14:paraId="742CE9A2" w14:textId="77777777" w:rsidR="00963F80" w:rsidRDefault="00AA250C">
      <w:r>
        <w:t>Cassava evidence similarly demonstrates that technology and commercial opportunity interact. Afolami et al. (2015) reported welfare benefits associated with adoption of improved cassava varieties in south-western Nigeria. Wossen et al. (2019), using DNA fingerprinting to improve varietal identification, found that improved cassava adoption reduced poverty but also showed that estimated effects were sensitive to adoption measurement. The latter finding is methodologically important: self-reported varietal adoption can misclassify technology status and exaggerate confidence in impact estimates. It also underscores the need for value-chain research to measure actual technologies, volumes and quality rather than rely only on farmer labels.</w:t>
      </w:r>
    </w:p>
    <w:p w14:paraId="7A0BD3B3" w14:textId="77777777" w:rsidR="00963F80" w:rsidRDefault="00AA250C">
      <w:r>
        <w:t>The transition from yield to saleable output is mediated by harvest and post-harvest systems. Castelein et al. (2022) provide unusually direct controlled evidence from Nigerian rice farming: mechanised harvesting and threshing substantially reduced losses relative to manual practices in the experimental setting and improved the business case for mechanisation. The study is valuable because it measures a physical mechanism that sits between production and marketing. Its external validity nevertheless depends on local machine availability, utilisation rates, maintenance, operator skill and service pricing. Ownership subsidies may be inefficient where seasonal utilisation is low; commercially viable service provision may be more scalable.</w:t>
      </w:r>
    </w:p>
    <w:p w14:paraId="32C570F1" w14:textId="77777777" w:rsidR="00963F80" w:rsidRDefault="00AA250C">
      <w:r>
        <w:lastRenderedPageBreak/>
        <w:t>For maize, Kitinoja et al. (2019) documented post-harvest losses along the Nigerian value chain. Losses have several market consequences beyond foregone quantity. Poor drying can reduce storability and expose grain to quality deterioration; contamination or excess moisture can trigger buyer discounts; and inadequate storage shortens the period over which farmers can choose to sell. Interventions in drying, shelling, hermetic or improved storage, and moisture measurement therefore affect both physical efficiency and bargaining. Their value should be assessed by net returns and marketability, not only percentage loss reduction.</w:t>
      </w:r>
    </w:p>
    <w:p w14:paraId="5B8A8B37" w14:textId="77777777" w:rsidR="00963F80" w:rsidRDefault="00AA250C">
      <w:r>
        <w:t>Quality is a coordination problem because the farmer will invest only if the market rewards the attribute. Grades that are not transparently measured create weak incentives. Conversely, a processor or wholesaler that consistently pays a premium for moisture, cleanliness, variety or timing can induce upgrading. Yami et al. (2026) provide evidence from tomato that market channel is associated with adoption of good agricultural and handling practices. The transferable lesson for arable crops is that quality upgrading is more likely to persist when embedded in a buyer relationship and when the measurement technology is credible to both sides.</w:t>
      </w:r>
    </w:p>
    <w:p w14:paraId="6D0BA9A0" w14:textId="77777777" w:rsidR="00963F80" w:rsidRDefault="00AA250C">
      <w:r>
        <w:t>Value addition is often presented as a universal route to higher farmer income, but the evidence requires qualification. Donkor et al. (2018) show that participation in cassava processing is associated with extension, credit, farmer organisation and record-keeping, implying substantial capability requirements. Processing also creates fixed costs, energy needs, working-capital requirements, quality-control obligations and marketing risk for the processed product. A farmer or cooperative can capture a greater share of value only if the additional revenue exceeds these costs and if it can manage the downstream business. The policy aim should therefore be profitable functional upgrading, not maximum vertical integration by farmers.</w:t>
      </w:r>
    </w:p>
    <w:p w14:paraId="7377477F" w14:textId="77777777" w:rsidR="00963F80" w:rsidRDefault="00AA250C">
      <w:r>
        <w:t>Table 3 contrasts representative crop-specific evidence. Three patterns stand out. First, farm-level technology and market participation are repeatedly linked, indicating complementarity. Second, measurement quality and research design materially affect confidence. Third, crop characteristics determine which value-chain bottleneck dominates: storage and grain quality are central for maize and rice; rapid bulking, processing and outlet reliability are more prominent for cassava; and market-channel choice is especially important for perishables.</w:t>
      </w:r>
    </w:p>
    <w:p w14:paraId="41FED463" w14:textId="77777777" w:rsidR="00963F80" w:rsidRDefault="00AA250C">
      <w:pPr>
        <w:keepNext/>
        <w:spacing w:before="100" w:after="80"/>
      </w:pPr>
      <w:r>
        <w:rPr>
          <w:b/>
          <w:sz w:val="19"/>
        </w:rPr>
        <w:t>Table 3. Representative crop-specific evidence on pathways from upgrading to market access and welfare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4D2820CF" w14:textId="77777777">
        <w:trPr>
          <w:cantSplit/>
          <w:tblHeader/>
          <w:jc w:val="center"/>
        </w:trPr>
        <w:tc>
          <w:tcPr>
            <w:tcW w:w="1512" w:type="dxa"/>
            <w:shd w:val="clear" w:color="auto" w:fill="D9E2F3"/>
            <w:tcMar>
              <w:top w:w="55" w:type="dxa"/>
              <w:left w:w="55" w:type="dxa"/>
              <w:bottom w:w="55" w:type="dxa"/>
              <w:right w:w="55" w:type="dxa"/>
            </w:tcMar>
            <w:vAlign w:val="center"/>
          </w:tcPr>
          <w:p w14:paraId="6826C08A" w14:textId="77777777" w:rsidR="00963F80" w:rsidRDefault="00AA250C">
            <w:pPr>
              <w:spacing w:after="0"/>
              <w:jc w:val="left"/>
            </w:pPr>
            <w:r>
              <w:rPr>
                <w:b/>
                <w:sz w:val="16"/>
              </w:rPr>
              <w:t>Crop/context</w:t>
            </w:r>
          </w:p>
        </w:tc>
        <w:tc>
          <w:tcPr>
            <w:tcW w:w="2088" w:type="dxa"/>
            <w:shd w:val="clear" w:color="auto" w:fill="D9E2F3"/>
            <w:tcMar>
              <w:top w:w="55" w:type="dxa"/>
              <w:left w:w="55" w:type="dxa"/>
              <w:bottom w:w="55" w:type="dxa"/>
              <w:right w:w="55" w:type="dxa"/>
            </w:tcMar>
            <w:vAlign w:val="center"/>
          </w:tcPr>
          <w:p w14:paraId="31B56186" w14:textId="77777777" w:rsidR="00963F80" w:rsidRDefault="00AA250C">
            <w:pPr>
              <w:spacing w:after="0"/>
              <w:jc w:val="left"/>
            </w:pPr>
            <w:r>
              <w:rPr>
                <w:b/>
                <w:sz w:val="16"/>
              </w:rPr>
              <w:t>Intervention or mechanism</w:t>
            </w:r>
          </w:p>
        </w:tc>
        <w:tc>
          <w:tcPr>
            <w:tcW w:w="2232" w:type="dxa"/>
            <w:shd w:val="clear" w:color="auto" w:fill="D9E2F3"/>
            <w:tcMar>
              <w:top w:w="55" w:type="dxa"/>
              <w:left w:w="55" w:type="dxa"/>
              <w:bottom w:w="55" w:type="dxa"/>
              <w:right w:w="55" w:type="dxa"/>
            </w:tcMar>
            <w:vAlign w:val="center"/>
          </w:tcPr>
          <w:p w14:paraId="166B2108" w14:textId="77777777" w:rsidR="00963F80" w:rsidRDefault="00AA250C">
            <w:pPr>
              <w:spacing w:after="0"/>
              <w:jc w:val="left"/>
            </w:pPr>
            <w:r>
              <w:rPr>
                <w:b/>
                <w:sz w:val="16"/>
              </w:rPr>
              <w:t>Principal finding relevant to market access</w:t>
            </w:r>
          </w:p>
        </w:tc>
        <w:tc>
          <w:tcPr>
            <w:tcW w:w="1944" w:type="dxa"/>
            <w:shd w:val="clear" w:color="auto" w:fill="D9E2F3"/>
            <w:tcMar>
              <w:top w:w="55" w:type="dxa"/>
              <w:left w:w="55" w:type="dxa"/>
              <w:bottom w:w="55" w:type="dxa"/>
              <w:right w:w="55" w:type="dxa"/>
            </w:tcMar>
            <w:vAlign w:val="center"/>
          </w:tcPr>
          <w:p w14:paraId="26DEF119" w14:textId="77777777" w:rsidR="00963F80" w:rsidRDefault="00AA250C">
            <w:pPr>
              <w:spacing w:after="0"/>
              <w:jc w:val="left"/>
            </w:pPr>
            <w:r>
              <w:rPr>
                <w:b/>
                <w:sz w:val="16"/>
              </w:rPr>
              <w:t>Methodological qualification</w:t>
            </w:r>
          </w:p>
        </w:tc>
        <w:tc>
          <w:tcPr>
            <w:tcW w:w="1584" w:type="dxa"/>
            <w:shd w:val="clear" w:color="auto" w:fill="D9E2F3"/>
            <w:tcMar>
              <w:top w:w="55" w:type="dxa"/>
              <w:left w:w="55" w:type="dxa"/>
              <w:bottom w:w="55" w:type="dxa"/>
              <w:right w:w="55" w:type="dxa"/>
            </w:tcMar>
            <w:vAlign w:val="center"/>
          </w:tcPr>
          <w:p w14:paraId="51D4009B" w14:textId="77777777" w:rsidR="00963F80" w:rsidRDefault="00AA250C">
            <w:pPr>
              <w:spacing w:after="0"/>
              <w:jc w:val="left"/>
            </w:pPr>
            <w:r>
              <w:rPr>
                <w:b/>
                <w:sz w:val="16"/>
              </w:rPr>
              <w:t>Supporting references</w:t>
            </w:r>
          </w:p>
        </w:tc>
      </w:tr>
      <w:tr w:rsidR="00963F80" w14:paraId="458CBA0F" w14:textId="77777777">
        <w:trPr>
          <w:cantSplit/>
          <w:jc w:val="center"/>
        </w:trPr>
        <w:tc>
          <w:tcPr>
            <w:tcW w:w="1512" w:type="dxa"/>
            <w:tcMar>
              <w:top w:w="55" w:type="dxa"/>
              <w:left w:w="55" w:type="dxa"/>
              <w:bottom w:w="55" w:type="dxa"/>
              <w:right w:w="55" w:type="dxa"/>
            </w:tcMar>
          </w:tcPr>
          <w:p w14:paraId="177F91A0" w14:textId="77777777" w:rsidR="00963F80" w:rsidRDefault="00AA250C">
            <w:pPr>
              <w:spacing w:after="0" w:line="240" w:lineRule="auto"/>
              <w:jc w:val="left"/>
            </w:pPr>
            <w:r>
              <w:rPr>
                <w:sz w:val="15"/>
              </w:rPr>
              <w:t>Rice, rural Nigeria</w:t>
            </w:r>
          </w:p>
        </w:tc>
        <w:tc>
          <w:tcPr>
            <w:tcW w:w="2088" w:type="dxa"/>
            <w:tcMar>
              <w:top w:w="55" w:type="dxa"/>
              <w:left w:w="55" w:type="dxa"/>
              <w:bottom w:w="55" w:type="dxa"/>
              <w:right w:w="55" w:type="dxa"/>
            </w:tcMar>
          </w:tcPr>
          <w:p w14:paraId="1402543C" w14:textId="77777777" w:rsidR="00963F80" w:rsidRDefault="00AA250C">
            <w:pPr>
              <w:spacing w:after="0" w:line="240" w:lineRule="auto"/>
              <w:jc w:val="left"/>
            </w:pPr>
            <w:r>
              <w:rPr>
                <w:sz w:val="15"/>
              </w:rPr>
              <w:t>Improved technology adoption and commercialisation</w:t>
            </w:r>
          </w:p>
        </w:tc>
        <w:tc>
          <w:tcPr>
            <w:tcW w:w="2232" w:type="dxa"/>
            <w:tcMar>
              <w:top w:w="55" w:type="dxa"/>
              <w:left w:w="55" w:type="dxa"/>
              <w:bottom w:w="55" w:type="dxa"/>
              <w:right w:w="55" w:type="dxa"/>
            </w:tcMar>
          </w:tcPr>
          <w:p w14:paraId="3866429C" w14:textId="77777777" w:rsidR="00963F80" w:rsidRDefault="00AA250C">
            <w:pPr>
              <w:spacing w:after="0" w:line="240" w:lineRule="auto"/>
              <w:jc w:val="left"/>
            </w:pPr>
            <w:r>
              <w:rPr>
                <w:sz w:val="15"/>
              </w:rPr>
              <w:t>Adoption and market participation were associated with better welfare outcomes.</w:t>
            </w:r>
          </w:p>
        </w:tc>
        <w:tc>
          <w:tcPr>
            <w:tcW w:w="1944" w:type="dxa"/>
            <w:tcMar>
              <w:top w:w="55" w:type="dxa"/>
              <w:left w:w="55" w:type="dxa"/>
              <w:bottom w:w="55" w:type="dxa"/>
              <w:right w:w="55" w:type="dxa"/>
            </w:tcMar>
          </w:tcPr>
          <w:p w14:paraId="46163915" w14:textId="77777777" w:rsidR="00963F80" w:rsidRDefault="00AA250C">
            <w:pPr>
              <w:spacing w:after="0" w:line="240" w:lineRule="auto"/>
              <w:jc w:val="left"/>
            </w:pPr>
            <w:r>
              <w:rPr>
                <w:sz w:val="15"/>
              </w:rPr>
              <w:t>Household observational/econometric evidence; causal interpretation depends on identification assumptions.</w:t>
            </w:r>
          </w:p>
        </w:tc>
        <w:tc>
          <w:tcPr>
            <w:tcW w:w="1584" w:type="dxa"/>
            <w:tcMar>
              <w:top w:w="55" w:type="dxa"/>
              <w:left w:w="55" w:type="dxa"/>
              <w:bottom w:w="55" w:type="dxa"/>
              <w:right w:w="55" w:type="dxa"/>
            </w:tcMar>
          </w:tcPr>
          <w:p w14:paraId="5D98AF5F" w14:textId="77777777" w:rsidR="00963F80" w:rsidRDefault="00AA250C">
            <w:pPr>
              <w:spacing w:after="0" w:line="240" w:lineRule="auto"/>
              <w:jc w:val="left"/>
            </w:pPr>
            <w:r>
              <w:rPr>
                <w:sz w:val="15"/>
              </w:rPr>
              <w:t>Awotide et al. (2016)</w:t>
            </w:r>
          </w:p>
        </w:tc>
      </w:tr>
      <w:tr w:rsidR="00963F80" w14:paraId="19447E5F" w14:textId="77777777">
        <w:trPr>
          <w:cantSplit/>
          <w:jc w:val="center"/>
        </w:trPr>
        <w:tc>
          <w:tcPr>
            <w:tcW w:w="1512" w:type="dxa"/>
            <w:tcMar>
              <w:top w:w="55" w:type="dxa"/>
              <w:left w:w="55" w:type="dxa"/>
              <w:bottom w:w="55" w:type="dxa"/>
              <w:right w:w="55" w:type="dxa"/>
            </w:tcMar>
          </w:tcPr>
          <w:p w14:paraId="42CAB687" w14:textId="77777777" w:rsidR="00963F80" w:rsidRDefault="00AA250C">
            <w:pPr>
              <w:spacing w:after="0" w:line="240" w:lineRule="auto"/>
              <w:jc w:val="left"/>
            </w:pPr>
            <w:r>
              <w:rPr>
                <w:sz w:val="15"/>
              </w:rPr>
              <w:t>Multi-crop smallholders, Nigeria</w:t>
            </w:r>
          </w:p>
        </w:tc>
        <w:tc>
          <w:tcPr>
            <w:tcW w:w="2088" w:type="dxa"/>
            <w:tcMar>
              <w:top w:w="55" w:type="dxa"/>
              <w:left w:w="55" w:type="dxa"/>
              <w:bottom w:w="55" w:type="dxa"/>
              <w:right w:w="55" w:type="dxa"/>
            </w:tcMar>
          </w:tcPr>
          <w:p w14:paraId="75C93427" w14:textId="77777777" w:rsidR="00963F80" w:rsidRDefault="00AA250C">
            <w:pPr>
              <w:spacing w:after="0" w:line="240" w:lineRule="auto"/>
              <w:jc w:val="left"/>
            </w:pPr>
            <w:r>
              <w:rPr>
                <w:sz w:val="15"/>
              </w:rPr>
              <w:t>Electronic voucher input subsidy</w:t>
            </w:r>
          </w:p>
        </w:tc>
        <w:tc>
          <w:tcPr>
            <w:tcW w:w="2232" w:type="dxa"/>
            <w:tcMar>
              <w:top w:w="55" w:type="dxa"/>
              <w:left w:w="55" w:type="dxa"/>
              <w:bottom w:w="55" w:type="dxa"/>
              <w:right w:w="55" w:type="dxa"/>
            </w:tcMar>
          </w:tcPr>
          <w:p w14:paraId="42E2B793" w14:textId="77777777" w:rsidR="00963F80" w:rsidRDefault="00AA250C">
            <w:pPr>
              <w:spacing w:after="0" w:line="240" w:lineRule="auto"/>
              <w:jc w:val="left"/>
            </w:pPr>
            <w:r>
              <w:rPr>
                <w:sz w:val="15"/>
              </w:rPr>
              <w:t>Participation increased productivity and welfare in instrumental-variable estimates.</w:t>
            </w:r>
          </w:p>
        </w:tc>
        <w:tc>
          <w:tcPr>
            <w:tcW w:w="1944" w:type="dxa"/>
            <w:tcMar>
              <w:top w:w="55" w:type="dxa"/>
              <w:left w:w="55" w:type="dxa"/>
              <w:bottom w:w="55" w:type="dxa"/>
              <w:right w:w="55" w:type="dxa"/>
            </w:tcMar>
          </w:tcPr>
          <w:p w14:paraId="0EA9628A" w14:textId="77777777" w:rsidR="00963F80" w:rsidRDefault="00AA250C">
            <w:pPr>
              <w:spacing w:after="0" w:line="240" w:lineRule="auto"/>
              <w:jc w:val="left"/>
            </w:pPr>
            <w:r>
              <w:rPr>
                <w:sz w:val="15"/>
              </w:rPr>
              <w:t>Programme effects concern input access; downstream market conditions were not the sole treatment mechanism.</w:t>
            </w:r>
          </w:p>
        </w:tc>
        <w:tc>
          <w:tcPr>
            <w:tcW w:w="1584" w:type="dxa"/>
            <w:tcMar>
              <w:top w:w="55" w:type="dxa"/>
              <w:left w:w="55" w:type="dxa"/>
              <w:bottom w:w="55" w:type="dxa"/>
              <w:right w:w="55" w:type="dxa"/>
            </w:tcMar>
          </w:tcPr>
          <w:p w14:paraId="1335FD56" w14:textId="77777777" w:rsidR="00963F80" w:rsidRDefault="00AA250C">
            <w:pPr>
              <w:spacing w:after="0" w:line="240" w:lineRule="auto"/>
              <w:jc w:val="left"/>
            </w:pPr>
            <w:r>
              <w:rPr>
                <w:sz w:val="15"/>
              </w:rPr>
              <w:t>Wossen et al. (2017)</w:t>
            </w:r>
          </w:p>
        </w:tc>
      </w:tr>
      <w:tr w:rsidR="00963F80" w14:paraId="21B7DA41" w14:textId="77777777">
        <w:trPr>
          <w:cantSplit/>
          <w:jc w:val="center"/>
        </w:trPr>
        <w:tc>
          <w:tcPr>
            <w:tcW w:w="1512" w:type="dxa"/>
            <w:tcMar>
              <w:top w:w="55" w:type="dxa"/>
              <w:left w:w="55" w:type="dxa"/>
              <w:bottom w:w="55" w:type="dxa"/>
              <w:right w:w="55" w:type="dxa"/>
            </w:tcMar>
          </w:tcPr>
          <w:p w14:paraId="73B0C9D7" w14:textId="77777777" w:rsidR="00963F80" w:rsidRDefault="00AA250C">
            <w:pPr>
              <w:spacing w:after="0" w:line="240" w:lineRule="auto"/>
              <w:jc w:val="left"/>
            </w:pPr>
            <w:r>
              <w:rPr>
                <w:sz w:val="15"/>
              </w:rPr>
              <w:t>Rice, Nigeria</w:t>
            </w:r>
          </w:p>
        </w:tc>
        <w:tc>
          <w:tcPr>
            <w:tcW w:w="2088" w:type="dxa"/>
            <w:tcMar>
              <w:top w:w="55" w:type="dxa"/>
              <w:left w:w="55" w:type="dxa"/>
              <w:bottom w:w="55" w:type="dxa"/>
              <w:right w:w="55" w:type="dxa"/>
            </w:tcMar>
          </w:tcPr>
          <w:p w14:paraId="603C3A4F" w14:textId="77777777" w:rsidR="00963F80" w:rsidRDefault="00AA250C">
            <w:pPr>
              <w:spacing w:after="0" w:line="240" w:lineRule="auto"/>
              <w:jc w:val="left"/>
            </w:pPr>
            <w:r>
              <w:rPr>
                <w:sz w:val="15"/>
              </w:rPr>
              <w:t>Mechanised harvesting and threshing</w:t>
            </w:r>
          </w:p>
        </w:tc>
        <w:tc>
          <w:tcPr>
            <w:tcW w:w="2232" w:type="dxa"/>
            <w:tcMar>
              <w:top w:w="55" w:type="dxa"/>
              <w:left w:w="55" w:type="dxa"/>
              <w:bottom w:w="55" w:type="dxa"/>
              <w:right w:w="55" w:type="dxa"/>
            </w:tcMar>
          </w:tcPr>
          <w:p w14:paraId="0195D6A0" w14:textId="77777777" w:rsidR="00963F80" w:rsidRDefault="00AA250C">
            <w:pPr>
              <w:spacing w:after="0" w:line="240" w:lineRule="auto"/>
              <w:jc w:val="left"/>
            </w:pPr>
            <w:r>
              <w:rPr>
                <w:sz w:val="15"/>
              </w:rPr>
              <w:t>Controlled comparison found substantially lower harvest/threshing losses and a positive farm business case in the study setting.</w:t>
            </w:r>
          </w:p>
        </w:tc>
        <w:tc>
          <w:tcPr>
            <w:tcW w:w="1944" w:type="dxa"/>
            <w:tcMar>
              <w:top w:w="55" w:type="dxa"/>
              <w:left w:w="55" w:type="dxa"/>
              <w:bottom w:w="55" w:type="dxa"/>
              <w:right w:w="55" w:type="dxa"/>
            </w:tcMar>
          </w:tcPr>
          <w:p w14:paraId="6C575725" w14:textId="77777777" w:rsidR="00963F80" w:rsidRDefault="00AA250C">
            <w:pPr>
              <w:spacing w:after="0" w:line="240" w:lineRule="auto"/>
              <w:jc w:val="left"/>
            </w:pPr>
            <w:r>
              <w:rPr>
                <w:sz w:val="15"/>
              </w:rPr>
              <w:t>Scalability depends on machinery service markets, maintenance, utilisation and local prices.</w:t>
            </w:r>
          </w:p>
        </w:tc>
        <w:tc>
          <w:tcPr>
            <w:tcW w:w="1584" w:type="dxa"/>
            <w:tcMar>
              <w:top w:w="55" w:type="dxa"/>
              <w:left w:w="55" w:type="dxa"/>
              <w:bottom w:w="55" w:type="dxa"/>
              <w:right w:w="55" w:type="dxa"/>
            </w:tcMar>
          </w:tcPr>
          <w:p w14:paraId="6DB707EC" w14:textId="77777777" w:rsidR="00963F80" w:rsidRDefault="00AA250C">
            <w:pPr>
              <w:spacing w:after="0" w:line="240" w:lineRule="auto"/>
              <w:jc w:val="left"/>
            </w:pPr>
            <w:r>
              <w:rPr>
                <w:sz w:val="15"/>
              </w:rPr>
              <w:t>Castelein et al. (2022)</w:t>
            </w:r>
          </w:p>
        </w:tc>
      </w:tr>
      <w:tr w:rsidR="00963F80" w14:paraId="353EEC51" w14:textId="77777777">
        <w:trPr>
          <w:cantSplit/>
          <w:jc w:val="center"/>
        </w:trPr>
        <w:tc>
          <w:tcPr>
            <w:tcW w:w="1512" w:type="dxa"/>
            <w:tcMar>
              <w:top w:w="55" w:type="dxa"/>
              <w:left w:w="55" w:type="dxa"/>
              <w:bottom w:w="55" w:type="dxa"/>
              <w:right w:w="55" w:type="dxa"/>
            </w:tcMar>
          </w:tcPr>
          <w:p w14:paraId="253CAA49" w14:textId="77777777" w:rsidR="00963F80" w:rsidRDefault="00AA250C">
            <w:pPr>
              <w:spacing w:after="0" w:line="240" w:lineRule="auto"/>
              <w:jc w:val="left"/>
            </w:pPr>
            <w:r>
              <w:rPr>
                <w:sz w:val="15"/>
              </w:rPr>
              <w:t>Maize, Nigeria</w:t>
            </w:r>
          </w:p>
        </w:tc>
        <w:tc>
          <w:tcPr>
            <w:tcW w:w="2088" w:type="dxa"/>
            <w:tcMar>
              <w:top w:w="55" w:type="dxa"/>
              <w:left w:w="55" w:type="dxa"/>
              <w:bottom w:w="55" w:type="dxa"/>
              <w:right w:w="55" w:type="dxa"/>
            </w:tcMar>
          </w:tcPr>
          <w:p w14:paraId="235D6E9D" w14:textId="77777777" w:rsidR="00963F80" w:rsidRDefault="00AA250C">
            <w:pPr>
              <w:spacing w:after="0" w:line="240" w:lineRule="auto"/>
              <w:jc w:val="left"/>
            </w:pPr>
            <w:r>
              <w:rPr>
                <w:sz w:val="15"/>
              </w:rPr>
              <w:t>Post-harvest handling and storage</w:t>
            </w:r>
          </w:p>
        </w:tc>
        <w:tc>
          <w:tcPr>
            <w:tcW w:w="2232" w:type="dxa"/>
            <w:tcMar>
              <w:top w:w="55" w:type="dxa"/>
              <w:left w:w="55" w:type="dxa"/>
              <w:bottom w:w="55" w:type="dxa"/>
              <w:right w:w="55" w:type="dxa"/>
            </w:tcMar>
          </w:tcPr>
          <w:p w14:paraId="52694A6F" w14:textId="77777777" w:rsidR="00963F80" w:rsidRDefault="00AA250C">
            <w:pPr>
              <w:spacing w:after="0" w:line="240" w:lineRule="auto"/>
              <w:jc w:val="left"/>
            </w:pPr>
            <w:r>
              <w:rPr>
                <w:sz w:val="15"/>
              </w:rPr>
              <w:t>Losses across the chain reduce saleable quantity and point to drying, handling and storage as market-access constraints.</w:t>
            </w:r>
          </w:p>
        </w:tc>
        <w:tc>
          <w:tcPr>
            <w:tcW w:w="1944" w:type="dxa"/>
            <w:tcMar>
              <w:top w:w="55" w:type="dxa"/>
              <w:left w:w="55" w:type="dxa"/>
              <w:bottom w:w="55" w:type="dxa"/>
              <w:right w:w="55" w:type="dxa"/>
            </w:tcMar>
          </w:tcPr>
          <w:p w14:paraId="2C597684" w14:textId="77777777" w:rsidR="00963F80" w:rsidRDefault="00AA250C">
            <w:pPr>
              <w:spacing w:after="0" w:line="240" w:lineRule="auto"/>
              <w:jc w:val="left"/>
            </w:pPr>
            <w:r>
              <w:rPr>
                <w:sz w:val="15"/>
              </w:rPr>
              <w:t>Loss assessment identifies technical opportunities but is not a causal evaluation of a nationwide intervention.</w:t>
            </w:r>
          </w:p>
        </w:tc>
        <w:tc>
          <w:tcPr>
            <w:tcW w:w="1584" w:type="dxa"/>
            <w:tcMar>
              <w:top w:w="55" w:type="dxa"/>
              <w:left w:w="55" w:type="dxa"/>
              <w:bottom w:w="55" w:type="dxa"/>
              <w:right w:w="55" w:type="dxa"/>
            </w:tcMar>
          </w:tcPr>
          <w:p w14:paraId="7F2478E5" w14:textId="77777777" w:rsidR="00963F80" w:rsidRDefault="00AA250C">
            <w:pPr>
              <w:spacing w:after="0" w:line="240" w:lineRule="auto"/>
              <w:jc w:val="left"/>
            </w:pPr>
            <w:r>
              <w:rPr>
                <w:sz w:val="15"/>
              </w:rPr>
              <w:t>Kitinoja et al. (2019)</w:t>
            </w:r>
          </w:p>
        </w:tc>
      </w:tr>
      <w:tr w:rsidR="00963F80" w14:paraId="7951F8B4" w14:textId="77777777">
        <w:trPr>
          <w:cantSplit/>
          <w:jc w:val="center"/>
        </w:trPr>
        <w:tc>
          <w:tcPr>
            <w:tcW w:w="1512" w:type="dxa"/>
            <w:tcMar>
              <w:top w:w="55" w:type="dxa"/>
              <w:left w:w="55" w:type="dxa"/>
              <w:bottom w:w="55" w:type="dxa"/>
              <w:right w:w="55" w:type="dxa"/>
            </w:tcMar>
          </w:tcPr>
          <w:p w14:paraId="49FCB478" w14:textId="77777777" w:rsidR="00963F80" w:rsidRDefault="00AA250C">
            <w:pPr>
              <w:spacing w:after="0" w:line="240" w:lineRule="auto"/>
              <w:jc w:val="left"/>
            </w:pPr>
            <w:r>
              <w:rPr>
                <w:sz w:val="15"/>
              </w:rPr>
              <w:lastRenderedPageBreak/>
              <w:t>Cassava, south-western Nigeria</w:t>
            </w:r>
          </w:p>
        </w:tc>
        <w:tc>
          <w:tcPr>
            <w:tcW w:w="2088" w:type="dxa"/>
            <w:tcMar>
              <w:top w:w="55" w:type="dxa"/>
              <w:left w:w="55" w:type="dxa"/>
              <w:bottom w:w="55" w:type="dxa"/>
              <w:right w:w="55" w:type="dxa"/>
            </w:tcMar>
          </w:tcPr>
          <w:p w14:paraId="7EA43FA6" w14:textId="77777777" w:rsidR="00963F80" w:rsidRDefault="00AA250C">
            <w:pPr>
              <w:spacing w:after="0" w:line="240" w:lineRule="auto"/>
              <w:jc w:val="left"/>
            </w:pPr>
            <w:r>
              <w:rPr>
                <w:sz w:val="15"/>
              </w:rPr>
              <w:t>Improved varieties</w:t>
            </w:r>
          </w:p>
        </w:tc>
        <w:tc>
          <w:tcPr>
            <w:tcW w:w="2232" w:type="dxa"/>
            <w:tcMar>
              <w:top w:w="55" w:type="dxa"/>
              <w:left w:w="55" w:type="dxa"/>
              <w:bottom w:w="55" w:type="dxa"/>
              <w:right w:w="55" w:type="dxa"/>
            </w:tcMar>
          </w:tcPr>
          <w:p w14:paraId="7E2ABE42" w14:textId="77777777" w:rsidR="00963F80" w:rsidRDefault="00AA250C">
            <w:pPr>
              <w:spacing w:after="0" w:line="240" w:lineRule="auto"/>
              <w:jc w:val="left"/>
            </w:pPr>
            <w:r>
              <w:rPr>
                <w:sz w:val="15"/>
              </w:rPr>
              <w:t>Adoption was associated with welfare gains; later DNA-based work found poverty effects but highlighted adoption misclassification.</w:t>
            </w:r>
          </w:p>
        </w:tc>
        <w:tc>
          <w:tcPr>
            <w:tcW w:w="1944" w:type="dxa"/>
            <w:tcMar>
              <w:top w:w="55" w:type="dxa"/>
              <w:left w:w="55" w:type="dxa"/>
              <w:bottom w:w="55" w:type="dxa"/>
              <w:right w:w="55" w:type="dxa"/>
            </w:tcMar>
          </w:tcPr>
          <w:p w14:paraId="48D1ED07" w14:textId="77777777" w:rsidR="00963F80" w:rsidRDefault="00AA250C">
            <w:pPr>
              <w:spacing w:after="0" w:line="240" w:lineRule="auto"/>
              <w:jc w:val="left"/>
            </w:pPr>
            <w:r>
              <w:rPr>
                <w:sz w:val="15"/>
              </w:rPr>
              <w:t>Findings are sensitive to how technology adoption is measured and to local processing/market conditions.</w:t>
            </w:r>
          </w:p>
        </w:tc>
        <w:tc>
          <w:tcPr>
            <w:tcW w:w="1584" w:type="dxa"/>
            <w:tcMar>
              <w:top w:w="55" w:type="dxa"/>
              <w:left w:w="55" w:type="dxa"/>
              <w:bottom w:w="55" w:type="dxa"/>
              <w:right w:w="55" w:type="dxa"/>
            </w:tcMar>
          </w:tcPr>
          <w:p w14:paraId="387EF38B" w14:textId="77777777" w:rsidR="00963F80" w:rsidRDefault="00AA250C">
            <w:pPr>
              <w:spacing w:after="0" w:line="240" w:lineRule="auto"/>
              <w:jc w:val="left"/>
            </w:pPr>
            <w:r>
              <w:rPr>
                <w:sz w:val="15"/>
              </w:rPr>
              <w:t>Afolami et al. (2015); Wossen et al. (2019)</w:t>
            </w:r>
          </w:p>
        </w:tc>
      </w:tr>
      <w:tr w:rsidR="00963F80" w14:paraId="431E7BF7" w14:textId="77777777">
        <w:trPr>
          <w:cantSplit/>
          <w:jc w:val="center"/>
        </w:trPr>
        <w:tc>
          <w:tcPr>
            <w:tcW w:w="1512" w:type="dxa"/>
            <w:tcMar>
              <w:top w:w="55" w:type="dxa"/>
              <w:left w:w="55" w:type="dxa"/>
              <w:bottom w:w="55" w:type="dxa"/>
              <w:right w:w="55" w:type="dxa"/>
            </w:tcMar>
          </w:tcPr>
          <w:p w14:paraId="58BF1018" w14:textId="77777777" w:rsidR="00963F80" w:rsidRDefault="00AA250C">
            <w:pPr>
              <w:spacing w:after="0" w:line="240" w:lineRule="auto"/>
              <w:jc w:val="left"/>
            </w:pPr>
            <w:r>
              <w:rPr>
                <w:sz w:val="15"/>
              </w:rPr>
              <w:t>Cassava, Oyo State</w:t>
            </w:r>
          </w:p>
        </w:tc>
        <w:tc>
          <w:tcPr>
            <w:tcW w:w="2088" w:type="dxa"/>
            <w:tcMar>
              <w:top w:w="55" w:type="dxa"/>
              <w:left w:w="55" w:type="dxa"/>
              <w:bottom w:w="55" w:type="dxa"/>
              <w:right w:w="55" w:type="dxa"/>
            </w:tcMar>
          </w:tcPr>
          <w:p w14:paraId="34D9488E" w14:textId="77777777" w:rsidR="00963F80" w:rsidRDefault="00AA250C">
            <w:pPr>
              <w:spacing w:after="0" w:line="240" w:lineRule="auto"/>
              <w:jc w:val="left"/>
            </w:pPr>
            <w:r>
              <w:rPr>
                <w:sz w:val="15"/>
              </w:rPr>
              <w:t>Participation in processing/value addition</w:t>
            </w:r>
          </w:p>
        </w:tc>
        <w:tc>
          <w:tcPr>
            <w:tcW w:w="2232" w:type="dxa"/>
            <w:tcMar>
              <w:top w:w="55" w:type="dxa"/>
              <w:left w:w="55" w:type="dxa"/>
              <w:bottom w:w="55" w:type="dxa"/>
              <w:right w:w="55" w:type="dxa"/>
            </w:tcMar>
          </w:tcPr>
          <w:p w14:paraId="0EC12F47" w14:textId="77777777" w:rsidR="00963F80" w:rsidRDefault="00AA250C">
            <w:pPr>
              <w:spacing w:after="0" w:line="240" w:lineRule="auto"/>
              <w:jc w:val="left"/>
            </w:pPr>
            <w:r>
              <w:rPr>
                <w:sz w:val="15"/>
              </w:rPr>
              <w:t>Farmer organisation, extension, credit and record-keeping were associated with participation in value addition.</w:t>
            </w:r>
          </w:p>
        </w:tc>
        <w:tc>
          <w:tcPr>
            <w:tcW w:w="1944" w:type="dxa"/>
            <w:tcMar>
              <w:top w:w="55" w:type="dxa"/>
              <w:left w:w="55" w:type="dxa"/>
              <w:bottom w:w="55" w:type="dxa"/>
              <w:right w:w="55" w:type="dxa"/>
            </w:tcMar>
          </w:tcPr>
          <w:p w14:paraId="243F7968" w14:textId="77777777" w:rsidR="00963F80" w:rsidRDefault="00AA250C">
            <w:pPr>
              <w:spacing w:after="0" w:line="240" w:lineRule="auto"/>
              <w:jc w:val="left"/>
            </w:pPr>
            <w:r>
              <w:rPr>
                <w:sz w:val="15"/>
              </w:rPr>
              <w:t>Cross-sectional local evidence; profitability and causality cannot be generalised nationally.</w:t>
            </w:r>
          </w:p>
        </w:tc>
        <w:tc>
          <w:tcPr>
            <w:tcW w:w="1584" w:type="dxa"/>
            <w:tcMar>
              <w:top w:w="55" w:type="dxa"/>
              <w:left w:w="55" w:type="dxa"/>
              <w:bottom w:w="55" w:type="dxa"/>
              <w:right w:w="55" w:type="dxa"/>
            </w:tcMar>
          </w:tcPr>
          <w:p w14:paraId="3221509E" w14:textId="77777777" w:rsidR="00963F80" w:rsidRDefault="00AA250C">
            <w:pPr>
              <w:spacing w:after="0" w:line="240" w:lineRule="auto"/>
              <w:jc w:val="left"/>
            </w:pPr>
            <w:r>
              <w:rPr>
                <w:sz w:val="15"/>
              </w:rPr>
              <w:t>Donkor et al. (2018)</w:t>
            </w:r>
          </w:p>
        </w:tc>
      </w:tr>
      <w:tr w:rsidR="00963F80" w14:paraId="41E124FB" w14:textId="77777777">
        <w:trPr>
          <w:cantSplit/>
          <w:jc w:val="center"/>
        </w:trPr>
        <w:tc>
          <w:tcPr>
            <w:tcW w:w="1512" w:type="dxa"/>
            <w:tcMar>
              <w:top w:w="55" w:type="dxa"/>
              <w:left w:w="55" w:type="dxa"/>
              <w:bottom w:w="55" w:type="dxa"/>
              <w:right w:w="55" w:type="dxa"/>
            </w:tcMar>
          </w:tcPr>
          <w:p w14:paraId="03867FE9" w14:textId="77777777" w:rsidR="00963F80" w:rsidRDefault="00AA250C">
            <w:pPr>
              <w:spacing w:after="0" w:line="240" w:lineRule="auto"/>
              <w:jc w:val="left"/>
            </w:pPr>
            <w:r>
              <w:rPr>
                <w:sz w:val="15"/>
              </w:rPr>
              <w:t>Cowpea, northern Nigeria</w:t>
            </w:r>
          </w:p>
        </w:tc>
        <w:tc>
          <w:tcPr>
            <w:tcW w:w="2088" w:type="dxa"/>
            <w:tcMar>
              <w:top w:w="55" w:type="dxa"/>
              <w:left w:w="55" w:type="dxa"/>
              <w:bottom w:w="55" w:type="dxa"/>
              <w:right w:w="55" w:type="dxa"/>
            </w:tcMar>
          </w:tcPr>
          <w:p w14:paraId="59E5C491" w14:textId="77777777" w:rsidR="00963F80" w:rsidRDefault="00AA250C">
            <w:pPr>
              <w:spacing w:after="0" w:line="240" w:lineRule="auto"/>
              <w:jc w:val="left"/>
            </w:pPr>
            <w:r>
              <w:rPr>
                <w:sz w:val="15"/>
              </w:rPr>
              <w:t>Intensity of market participation and trader channels</w:t>
            </w:r>
          </w:p>
        </w:tc>
        <w:tc>
          <w:tcPr>
            <w:tcW w:w="2232" w:type="dxa"/>
            <w:tcMar>
              <w:top w:w="55" w:type="dxa"/>
              <w:left w:w="55" w:type="dxa"/>
              <w:bottom w:w="55" w:type="dxa"/>
              <w:right w:w="55" w:type="dxa"/>
            </w:tcMar>
          </w:tcPr>
          <w:p w14:paraId="5EB2CDFC" w14:textId="77777777" w:rsidR="00963F80" w:rsidRDefault="00AA250C">
            <w:pPr>
              <w:spacing w:after="0" w:line="240" w:lineRule="auto"/>
              <w:jc w:val="left"/>
            </w:pPr>
            <w:r>
              <w:rPr>
                <w:sz w:val="15"/>
              </w:rPr>
              <w:t>Greater market participation was estimated to improve income and food-security indicators; trader channels were not uniformly disadvantageous.</w:t>
            </w:r>
          </w:p>
        </w:tc>
        <w:tc>
          <w:tcPr>
            <w:tcW w:w="1944" w:type="dxa"/>
            <w:tcMar>
              <w:top w:w="55" w:type="dxa"/>
              <w:left w:w="55" w:type="dxa"/>
              <w:bottom w:w="55" w:type="dxa"/>
              <w:right w:w="55" w:type="dxa"/>
            </w:tcMar>
          </w:tcPr>
          <w:p w14:paraId="0C951830" w14:textId="77777777" w:rsidR="00963F80" w:rsidRDefault="00AA250C">
            <w:pPr>
              <w:spacing w:after="0" w:line="240" w:lineRule="auto"/>
              <w:jc w:val="left"/>
            </w:pPr>
            <w:r>
              <w:rPr>
                <w:sz w:val="15"/>
              </w:rPr>
              <w:t>Instrumental-variable and dose–response methods strengthen inference, but results are crop- and region-specific.</w:t>
            </w:r>
          </w:p>
        </w:tc>
        <w:tc>
          <w:tcPr>
            <w:tcW w:w="1584" w:type="dxa"/>
            <w:tcMar>
              <w:top w:w="55" w:type="dxa"/>
              <w:left w:w="55" w:type="dxa"/>
              <w:bottom w:w="55" w:type="dxa"/>
              <w:right w:w="55" w:type="dxa"/>
            </w:tcMar>
          </w:tcPr>
          <w:p w14:paraId="4ECDA288" w14:textId="77777777" w:rsidR="00963F80" w:rsidRDefault="00AA250C">
            <w:pPr>
              <w:spacing w:after="0" w:line="240" w:lineRule="auto"/>
              <w:jc w:val="left"/>
            </w:pPr>
            <w:r>
              <w:rPr>
                <w:sz w:val="15"/>
              </w:rPr>
              <w:t>Manda et al. (2020)</w:t>
            </w:r>
          </w:p>
        </w:tc>
      </w:tr>
      <w:tr w:rsidR="00963F80" w14:paraId="341E3C0A" w14:textId="77777777">
        <w:trPr>
          <w:cantSplit/>
          <w:jc w:val="center"/>
        </w:trPr>
        <w:tc>
          <w:tcPr>
            <w:tcW w:w="1512" w:type="dxa"/>
            <w:tcMar>
              <w:top w:w="55" w:type="dxa"/>
              <w:left w:w="55" w:type="dxa"/>
              <w:bottom w:w="55" w:type="dxa"/>
              <w:right w:w="55" w:type="dxa"/>
            </w:tcMar>
          </w:tcPr>
          <w:p w14:paraId="75548866" w14:textId="77777777" w:rsidR="00963F80" w:rsidRDefault="00AA250C">
            <w:pPr>
              <w:spacing w:after="0" w:line="240" w:lineRule="auto"/>
              <w:jc w:val="left"/>
            </w:pPr>
            <w:r>
              <w:rPr>
                <w:sz w:val="15"/>
              </w:rPr>
              <w:t>Tomato, Nigeria (transferable comparator)</w:t>
            </w:r>
          </w:p>
        </w:tc>
        <w:tc>
          <w:tcPr>
            <w:tcW w:w="2088" w:type="dxa"/>
            <w:tcMar>
              <w:top w:w="55" w:type="dxa"/>
              <w:left w:w="55" w:type="dxa"/>
              <w:bottom w:w="55" w:type="dxa"/>
              <w:right w:w="55" w:type="dxa"/>
            </w:tcMar>
          </w:tcPr>
          <w:p w14:paraId="47019B61" w14:textId="77777777" w:rsidR="00963F80" w:rsidRDefault="00AA250C">
            <w:pPr>
              <w:spacing w:after="0" w:line="240" w:lineRule="auto"/>
              <w:jc w:val="left"/>
            </w:pPr>
            <w:r>
              <w:rPr>
                <w:sz w:val="15"/>
              </w:rPr>
              <w:t>Market channel and production/handling practice</w:t>
            </w:r>
          </w:p>
        </w:tc>
        <w:tc>
          <w:tcPr>
            <w:tcW w:w="2232" w:type="dxa"/>
            <w:tcMar>
              <w:top w:w="55" w:type="dxa"/>
              <w:left w:w="55" w:type="dxa"/>
              <w:bottom w:w="55" w:type="dxa"/>
              <w:right w:w="55" w:type="dxa"/>
            </w:tcMar>
          </w:tcPr>
          <w:p w14:paraId="23B2A87D" w14:textId="77777777" w:rsidR="00963F80" w:rsidRDefault="00AA250C">
            <w:pPr>
              <w:spacing w:after="0" w:line="240" w:lineRule="auto"/>
              <w:jc w:val="left"/>
            </w:pPr>
            <w:r>
              <w:rPr>
                <w:sz w:val="15"/>
              </w:rPr>
              <w:t>Informal sales to midstream actors were associated with farm and handling practices.</w:t>
            </w:r>
          </w:p>
        </w:tc>
        <w:tc>
          <w:tcPr>
            <w:tcW w:w="1944" w:type="dxa"/>
            <w:tcMar>
              <w:top w:w="55" w:type="dxa"/>
              <w:left w:w="55" w:type="dxa"/>
              <w:bottom w:w="55" w:type="dxa"/>
              <w:right w:w="55" w:type="dxa"/>
            </w:tcMar>
          </w:tcPr>
          <w:p w14:paraId="17F68B7E" w14:textId="77777777" w:rsidR="00963F80" w:rsidRDefault="00AA250C">
            <w:pPr>
              <w:spacing w:after="0" w:line="240" w:lineRule="auto"/>
              <w:jc w:val="left"/>
            </w:pPr>
            <w:r>
              <w:rPr>
                <w:sz w:val="15"/>
              </w:rPr>
              <w:t>Perishability differs from staples, so the mechanism is more transferable than effect size.</w:t>
            </w:r>
          </w:p>
        </w:tc>
        <w:tc>
          <w:tcPr>
            <w:tcW w:w="1584" w:type="dxa"/>
            <w:tcMar>
              <w:top w:w="55" w:type="dxa"/>
              <w:left w:w="55" w:type="dxa"/>
              <w:bottom w:w="55" w:type="dxa"/>
              <w:right w:w="55" w:type="dxa"/>
            </w:tcMar>
          </w:tcPr>
          <w:p w14:paraId="68523092" w14:textId="77777777" w:rsidR="00963F80" w:rsidRDefault="00AA250C">
            <w:pPr>
              <w:spacing w:after="0" w:line="240" w:lineRule="auto"/>
              <w:jc w:val="left"/>
            </w:pPr>
            <w:r>
              <w:rPr>
                <w:sz w:val="15"/>
              </w:rPr>
              <w:t>Yami et al. (2026)</w:t>
            </w:r>
          </w:p>
        </w:tc>
      </w:tr>
    </w:tbl>
    <w:p w14:paraId="06F20DCC" w14:textId="77777777" w:rsidR="00963F80" w:rsidRDefault="00AA250C">
      <w:pPr>
        <w:pStyle w:val="TableNote"/>
      </w:pPr>
      <w:r>
        <w:t>Note. The table is illustrative rather than exhaustive. The crop examples were selected because they illuminate distinct links among production, post-harvest capability, market channel and welfare.</w:t>
      </w:r>
    </w:p>
    <w:p w14:paraId="0F080D80" w14:textId="77777777" w:rsidR="00963F80" w:rsidRDefault="00AA250C">
      <w:pPr>
        <w:pStyle w:val="Heading1"/>
      </w:pPr>
      <w:r>
        <w:t>8. Digitalisation, Market Information and Financial Services</w:t>
      </w:r>
    </w:p>
    <w:p w14:paraId="42FA986E" w14:textId="77777777" w:rsidR="00963F80" w:rsidRDefault="00AA250C">
      <w:r>
        <w:t>Digital agriculture is often presented as a low-cost way to overcome distance and information asymmetry. In principle, mobile phones and smartphone applications can support price discovery, weather information, agronomic advice, digital payments, input ordering, farmer identification and coordination with buyers. In practice, each function depends on connectivity, digital literacy, trust, relevance of content and the existence of a feasible action once information is received. Digitalisation therefore changes the cost of coordination; it does not remove the physical and institutional requirements of exchange.</w:t>
      </w:r>
    </w:p>
    <w:p w14:paraId="22B67EE4" w14:textId="77777777" w:rsidR="00963F80" w:rsidRDefault="00AA250C">
      <w:r>
        <w:t>Nigerian evidence supports this more cautious interpretation. Anadozie et al. (2022) found that rural farmers’ use of mobile phones for farming is shaped by practical constraints and by how services fit existing information needs. Kolapo and Didunyemi (2024) show that exposure is important for adoption of agricultural smartphone applications among smallholders in south-western Nigeria and link application use with farm-level efficiency. These studies are useful but do not yet establish that digital tools, by themselves, increase net market returns across diverse Nigerian farming systems. Users may be systematically better educated, wealthier, younger or more commercially oriented, and local application ecosystems change rapidly.</w:t>
      </w:r>
    </w:p>
    <w:p w14:paraId="4E2EBCE1" w14:textId="77777777" w:rsidR="00963F80" w:rsidRDefault="00AA250C">
      <w:r>
        <w:t>The most promising digital functions are those attached to a concrete transaction. A digital collection schedule can reduce waiting; an electronic receipt can document delivery; a mobile payment can reduce cash-handling risk; a digitally recorded quality grade can improve dispute resolution; and a price bulletin can strengthen negotiation when farmers actually have alternative buyers. The electronic voucher programme evaluated by Wossen et al. (2017) illustrates the broader potential of mobile-enabled delivery systems to reduce frictions in input distribution, although its welfare effects cannot be attributed to digital technology alone.</w:t>
      </w:r>
    </w:p>
    <w:p w14:paraId="7210EB96" w14:textId="77777777" w:rsidR="00963F80" w:rsidRDefault="00AA250C">
      <w:r>
        <w:t xml:space="preserve">Digital platforms can also increase exclusion. Smartphone ownership, data affordability, reliable network coverage, literacy and confidence in digital finance are uneven. Women may face additional barriers because financial inclusion, phone control and formal identification can interact. Adegbite and Machethe (2020) document a gender gap in financial inclusion within Nigerian smallholder agriculture. If digital market platforms require banked accounts or individual device access without an assisted alternative, efficiency </w:t>
      </w:r>
      <w:r>
        <w:lastRenderedPageBreak/>
        <w:t>gains for connected farmers could widen market disparities. Inclusive design therefore requires agent-assisted services, interoperable payments, transparent fees and non-digital fallback channels.</w:t>
      </w:r>
    </w:p>
    <w:p w14:paraId="0E2AD042" w14:textId="77777777" w:rsidR="00963F80" w:rsidRDefault="00AA250C">
      <w:r>
        <w:t>Finance is similarly inseparable from market design. Balana and Oyeyemi (2022) show that credit constraints arise on both the supply and demand sides. Farmers may be denied loans because of collateral and information problems, but they may also avoid borrowing because revenue is uncertain or loan conditions are poorly matched to crop cycles. Market linkage can reduce this uncertainty by making expected sales more credible. Buyer-linked finance, warehouse-backed lending, savings groups or group guarantees can therefore be more relevant than generic seasonal loans, provided that they do not lock farmers into unfavourable buyer relationships.</w:t>
      </w:r>
    </w:p>
    <w:p w14:paraId="1B8423B5" w14:textId="77777777" w:rsidR="00963F80" w:rsidRDefault="00AA250C">
      <w:r>
        <w:t>The sequencing of finance matters. Credit offered before a reliable outlet is established can increase downside risk; a reliable outlet without working capital may leave farmers unable to meet quantity or quality requirements. The strongest value-chain proposition is consequently a coordinated bundle in which finance is sized to a realistic production plan, procurement terms are known, quality requirements are attainable, and repayment timing follows actual sale. Such arrangements also require safeguards against over-indebtedness, opaque deductions and tied transactions that suppress competition.</w:t>
      </w:r>
    </w:p>
    <w:p w14:paraId="375AA548" w14:textId="77777777" w:rsidR="00963F80" w:rsidRDefault="00AA250C">
      <w:r>
        <w:t>From an evaluation perspective, digital and financial interventions should be judged on transaction outcomes rather than registration numbers. Relevant measures include verified use, reduction in search or payment time, effective price comparisons, repayment performance, changes in distress selling, sales to new buyers, net margins and continued use after project subsidies end. These indicators would distinguish technology adoption from commercially meaningful market access.</w:t>
      </w:r>
    </w:p>
    <w:p w14:paraId="2B837C6C" w14:textId="77777777" w:rsidR="00963F80" w:rsidRDefault="00AA250C">
      <w:pPr>
        <w:pStyle w:val="Heading1"/>
      </w:pPr>
      <w:r>
        <w:t>9. Inclusion, Gender and Distribution of Value</w:t>
      </w:r>
    </w:p>
    <w:p w14:paraId="6E48F6BA" w14:textId="77777777" w:rsidR="00963F80" w:rsidRDefault="00AA250C">
      <w:r>
        <w:t>Value-chain development can increase aggregate efficiency while distributing gains unevenly. The most commercially ready farmers are often easiest to serve: they have larger surpluses, better roads, more education, stronger records and greater liquidity. If programme success is measured primarily by procurement volume or repayment, service providers have incentives to select these farmers. Small-scale producers with the greatest market constraints may therefore be formally targeted but practically under-represented.</w:t>
      </w:r>
    </w:p>
    <w:p w14:paraId="002E1FF5" w14:textId="77777777" w:rsidR="00963F80" w:rsidRDefault="00AA250C">
      <w:r>
        <w:t>Gender is a central distributional dimension. Adegbite and Machethe (2020) show that financial exclusion in Nigerian smallholder agriculture has a gendered structure rather than reflecting a single missing financial product. Lower asset ownership, legal and institutional barriers and socioeconomic constraints can reduce access to formal finance. These differences matter throughout the chain because liquidity determines whether a farmer can buy inputs, hire labour, pay transport, store produce and delay sale. A road or aggregation centre can be gender-neutral in design but yield unequal benefits if women have less control over output or cash proceeds.</w:t>
      </w:r>
    </w:p>
    <w:p w14:paraId="048C9A27" w14:textId="77777777" w:rsidR="00963F80" w:rsidRDefault="00AA250C">
      <w:r>
        <w:t>Digitalisation may replicate these inequalities. Mobile services can reduce the need to travel and can create more traceable payments, which may benefit women in some contexts. Yet benefits depend on access to devices, accounts and decision-making authority. Programme monitoring should therefore disaggregate not only participation but also sales value, payment receipt, control of proceeds, leadership roles and continued platform use. Counting women as registered members is insufficient if they remain peripheral to commercial decisions.</w:t>
      </w:r>
    </w:p>
    <w:p w14:paraId="21027ABA" w14:textId="77777777" w:rsidR="00963F80" w:rsidRDefault="00AA250C">
      <w:r>
        <w:lastRenderedPageBreak/>
        <w:t>Farm size creates another inclusion problem. The fixed costs of certification, traceability, bulk transport and group participation can be proportionally higher for the smallest farmers. Liverpool-Tasie et al. (2023) provide encouraging evidence that interaction with medium-scale farms can support very small farms through services and knowledge. The study nevertheless does not imply that market-led structural change is automatically inclusive. Where larger suppliers can meet processor demand more cheaply, procurement systems may rationally concentrate unless explicit aggregation mechanisms preserve a role for small producers.</w:t>
      </w:r>
    </w:p>
    <w:p w14:paraId="772AE807" w14:textId="77777777" w:rsidR="00963F80" w:rsidRDefault="00AA250C">
      <w:r>
        <w:t>Standards and quality systems can also exclude. Moisture, cleanliness, varietal purity and traceability can raise efficiency and consumer value, but compliance requires knowledge, equipment and working capital. A defensible inclusion strategy does not lower standards indefinitely; it lowers the cost of meeting them. Shared drying floors, moisture meters, cleaning services, extension, group certification and transparent grading can enable small farms to participate without concealing quality differences. Where buyers impose a new standard, programmes should examine whether the premium is sufficient to cover compliance costs.</w:t>
      </w:r>
    </w:p>
    <w:p w14:paraId="44143FE1" w14:textId="77777777" w:rsidR="00963F80" w:rsidRDefault="00AA250C">
      <w:r>
        <w:t>Youth inclusion raises a different issue. Small landholdings can limit the attractiveness of primary production, but value chains create employment in mechanisation services, transport, storage, aggregation, digital services and processing. Castelein et al. (2022) observed opportunities for youth around mechanised rice operations in their Nigerian study context. Such service-market employment may be more scalable than allocating every young participant an independent farm. Value-chain programmes should therefore distinguish farm ownership goals from broader rural enterprise and employment outcomes.</w:t>
      </w:r>
    </w:p>
    <w:p w14:paraId="57E36930" w14:textId="77777777" w:rsidR="00963F80" w:rsidRDefault="00AA250C">
      <w:r>
        <w:t>Distribution also depends on who captures efficiency gains. Lower transport or processing costs may increase farm-gate prices, reduce consumer prices, expand trader margins, or be divided among actors. The allocation depends on competition and bargaining. Evaluation should measure margins and prices at several chain stages before and after intervention rather than assume that infrastructure or processing investment passes benefits automatically to farmers. This is particularly important for publicly supported agro-processing hubs and off-take programmes, where public subsidy may raise private profitability without commensurate producer gains.</w:t>
      </w:r>
    </w:p>
    <w:p w14:paraId="4A473718" w14:textId="77777777" w:rsidR="00963F80" w:rsidRDefault="00AA250C">
      <w:r>
        <w:t>The strongest inclusion principle is therefore capability equalisation: identify the specific fixed costs and risks that prevent disadvantaged producers from entering a viable channel, then lower those costs without eliminating commercial discipline. This may involve transport aggregation for remote villages, assisted digital services, smaller minimum delivery lots, flexible collateral, women-controlled accounts, quality-support services and transparent grievance processes. Universal subsidies are less likely to target the actual barriers.</w:t>
      </w:r>
    </w:p>
    <w:p w14:paraId="291979B3" w14:textId="77777777" w:rsidR="00963F80" w:rsidRDefault="00AA250C">
      <w:pPr>
        <w:pStyle w:val="Heading1"/>
      </w:pPr>
      <w:r>
        <w:t>10. Climate, Conflict and Value-Chain Resilience</w:t>
      </w:r>
    </w:p>
    <w:p w14:paraId="515E83AB" w14:textId="77777777" w:rsidR="00963F80" w:rsidRDefault="00AA250C">
      <w:r>
        <w:t>Market access is not static. A farmer who can reach a buyer in a normal season may lose that access when heat reduces output, flooding damages a road, insecurity restricts travel or traders withdraw because risk premiums rise. Resilience therefore concerns continuity of exchange under shocks, not only resilience of farm production. This distinction has become increasingly important in Nigeria because agricultural value chains span long distances between producing and consuming regions and are exposed to climate and security risks.</w:t>
      </w:r>
    </w:p>
    <w:p w14:paraId="31EE2771" w14:textId="77777777" w:rsidR="00963F80" w:rsidRDefault="00AA250C">
      <w:r>
        <w:t xml:space="preserve">Recent evidence directly connects extreme heat with smallholder commercialisation. Tabe-Ojong and Lokossou (2026) combine panel data with temperature measures and report that extreme heat reduces </w:t>
      </w:r>
      <w:r>
        <w:lastRenderedPageBreak/>
        <w:t>production and, through that production loss, lowers market participation, sales quantities, the share of output sold and sales revenue. The study is important because it demonstrates a joint production–market mechanism: a climate shock can reduce market access even when roads and buyers are unchanged simply by shrinking the marketable surplus. Adaptation policy must therefore protect both yields and the farmer’s capacity to remain commercially engaged.</w:t>
      </w:r>
    </w:p>
    <w:p w14:paraId="186BD83E" w14:textId="77777777" w:rsidR="00963F80" w:rsidRDefault="00AA250C">
      <w:r>
        <w:t>The midstream is also exposed. Liverpool-Tasie and Parkhi (2021) show that Nigerian maize traders make technology decisions in response to climate risk, drawing attention to adaptation beyond the farm. Traders and wholesalers hold inventory, finance transactions and move commodities across regions; shocks can raise storage loss, transport uncertainty and working-capital needs. If these actors contract their operations, farmers may face fewer buyers and consumers may face less reliable supply. Agricultural resilience policy that stops at farm production misses this transmission channel.</w:t>
      </w:r>
    </w:p>
    <w:p w14:paraId="7C539338" w14:textId="77777777" w:rsidR="00963F80" w:rsidRDefault="00AA250C">
      <w:r>
        <w:t>Conflict and insecurity add route-specific risks. Kwon et al. (2026), using a best–worst scaling experiment among 300 Nigerian maize wholesalers, found strong preferences for road security in response to conflict shocks and flood-proofing infrastructure in response to weather shocks, with heterogeneity across actor characteristics and locations. The value of the study lies less in ranking a universal policy menu than in showing that chain actors distinguish between different shock mechanisms. Security, resilient infrastructure, finance and information are not interchangeable; they address different failure points.</w:t>
      </w:r>
    </w:p>
    <w:p w14:paraId="2D43BD3C" w14:textId="77777777" w:rsidR="00963F80" w:rsidRDefault="00AA250C">
      <w:r>
        <w:t>Resilient market access therefore requires redundancy. A farmer tied to one road, one buyer, one aggregator or one payment channel is vulnerable even if that arrangement is efficient in normal times. Multiple market channels, alternative collection points, distributed storage and communication networks can increase robustness. Redundancy has a cost, so the appropriate degree depends on the frequency and severity of disruption. High-risk corridors may justify investments that appear underutilised in average conditions because they preserve exchange during shocks.</w:t>
      </w:r>
    </w:p>
    <w:p w14:paraId="1ABF843C" w14:textId="77777777" w:rsidR="00963F80" w:rsidRDefault="00AA250C">
      <w:r>
        <w:t>Storage is one form of temporal redundancy. Improved grain storage can allow households and traders to carry inventory through short disruptions and avoid forced sales, provided that liquidity needs are met. Finance is the counterpart: without working capital or emergency liquidity, physical storage capacity may not prevent distress selling. The need to combine storage with finance illustrates the review’s recurring theme that single components rarely deliver resilience alone.</w:t>
      </w:r>
    </w:p>
    <w:p w14:paraId="4040B8AE" w14:textId="77777777" w:rsidR="00963F80" w:rsidRDefault="00AA250C">
      <w:r>
        <w:t>Insurance can play a role, but basis risk, affordability and trust can limit smallholder products. More immediate value may come from shock-responsive credit restructuring, savings, reliable weather information, road maintenance and security coordination. Kwon et al. (2026) found that preferences for insurance and loans varied by wholesaler characteristics, reinforcing the need for segmented rather than universal products. For farmers, risk instruments should be assessed by whether they preserve productive investment and market participation after a shock, not only enrolment.</w:t>
      </w:r>
    </w:p>
    <w:p w14:paraId="0DF9BE9C" w14:textId="77777777" w:rsidR="00963F80" w:rsidRDefault="00AA250C">
      <w:r>
        <w:t>Programme infrastructure also needs climate screening. Roads, storage facilities and processing hubs can become stranded or intermittently inaccessible if drainage, siting and power systems do not reflect future hazards. The current Rural Access Agricultural Marketing Project–Scale Up (RAAMP-SU) emphasis on climate-resilient roads and institutionalised maintenance is therefore conceptually aligned with value-chain resilience (World Bank, 2024). Similarly, agro-industrial zones should be evaluated as networks of feeder routes, energy, water, input and output flows rather than isolated facilities.</w:t>
      </w:r>
    </w:p>
    <w:p w14:paraId="41122084" w14:textId="77777777" w:rsidR="00963F80" w:rsidRDefault="00AA250C">
      <w:r>
        <w:lastRenderedPageBreak/>
        <w:t>Table 4 maps the principal shocks and their transmission mechanisms. It indicates that resilience should be designed across the chain and monitored using continuity indicators such as days of route closure, trader entry, procurement volumes, storage losses, payment delays and recovery time.</w:t>
      </w:r>
    </w:p>
    <w:p w14:paraId="6F764A7B" w14:textId="77777777" w:rsidR="00963F80" w:rsidRDefault="00AA250C">
      <w:pPr>
        <w:keepNext/>
        <w:spacing w:before="100" w:after="80"/>
      </w:pPr>
      <w:r>
        <w:rPr>
          <w:b/>
          <w:sz w:val="19"/>
        </w:rPr>
        <w:t>Table 4. Value-chain shocks, transmission pathways and resilience responses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68F425B9" w14:textId="77777777">
        <w:trPr>
          <w:cantSplit/>
          <w:tblHeader/>
          <w:jc w:val="center"/>
        </w:trPr>
        <w:tc>
          <w:tcPr>
            <w:tcW w:w="1512" w:type="dxa"/>
            <w:shd w:val="clear" w:color="auto" w:fill="D9E2F3"/>
            <w:tcMar>
              <w:top w:w="55" w:type="dxa"/>
              <w:left w:w="55" w:type="dxa"/>
              <w:bottom w:w="55" w:type="dxa"/>
              <w:right w:w="55" w:type="dxa"/>
            </w:tcMar>
            <w:vAlign w:val="center"/>
          </w:tcPr>
          <w:p w14:paraId="28144B6B" w14:textId="77777777" w:rsidR="00963F80" w:rsidRDefault="00AA250C">
            <w:pPr>
              <w:spacing w:after="0"/>
              <w:jc w:val="left"/>
            </w:pPr>
            <w:r>
              <w:rPr>
                <w:b/>
                <w:sz w:val="16"/>
              </w:rPr>
              <w:t>Shock</w:t>
            </w:r>
          </w:p>
        </w:tc>
        <w:tc>
          <w:tcPr>
            <w:tcW w:w="2088" w:type="dxa"/>
            <w:shd w:val="clear" w:color="auto" w:fill="D9E2F3"/>
            <w:tcMar>
              <w:top w:w="55" w:type="dxa"/>
              <w:left w:w="55" w:type="dxa"/>
              <w:bottom w:w="55" w:type="dxa"/>
              <w:right w:w="55" w:type="dxa"/>
            </w:tcMar>
            <w:vAlign w:val="center"/>
          </w:tcPr>
          <w:p w14:paraId="2D9E0FBB" w14:textId="77777777" w:rsidR="00963F80" w:rsidRDefault="00AA250C">
            <w:pPr>
              <w:spacing w:after="0"/>
              <w:jc w:val="left"/>
            </w:pPr>
            <w:r>
              <w:rPr>
                <w:b/>
                <w:sz w:val="16"/>
              </w:rPr>
              <w:t>Transmission to small-scale farmer market access</w:t>
            </w:r>
          </w:p>
        </w:tc>
        <w:tc>
          <w:tcPr>
            <w:tcW w:w="2232" w:type="dxa"/>
            <w:shd w:val="clear" w:color="auto" w:fill="D9E2F3"/>
            <w:tcMar>
              <w:top w:w="55" w:type="dxa"/>
              <w:left w:w="55" w:type="dxa"/>
              <w:bottom w:w="55" w:type="dxa"/>
              <w:right w:w="55" w:type="dxa"/>
            </w:tcMar>
            <w:vAlign w:val="center"/>
          </w:tcPr>
          <w:p w14:paraId="23CE33D4" w14:textId="77777777" w:rsidR="00963F80" w:rsidRDefault="00AA250C">
            <w:pPr>
              <w:spacing w:after="0"/>
              <w:jc w:val="left"/>
            </w:pPr>
            <w:r>
              <w:rPr>
                <w:b/>
                <w:sz w:val="16"/>
              </w:rPr>
              <w:t>Resilience response</w:t>
            </w:r>
          </w:p>
        </w:tc>
        <w:tc>
          <w:tcPr>
            <w:tcW w:w="1944" w:type="dxa"/>
            <w:shd w:val="clear" w:color="auto" w:fill="D9E2F3"/>
            <w:tcMar>
              <w:top w:w="55" w:type="dxa"/>
              <w:left w:w="55" w:type="dxa"/>
              <w:bottom w:w="55" w:type="dxa"/>
              <w:right w:w="55" w:type="dxa"/>
            </w:tcMar>
            <w:vAlign w:val="center"/>
          </w:tcPr>
          <w:p w14:paraId="38A71D04" w14:textId="77777777" w:rsidR="00963F80" w:rsidRDefault="00AA250C">
            <w:pPr>
              <w:spacing w:after="0"/>
              <w:jc w:val="left"/>
            </w:pPr>
            <w:r>
              <w:rPr>
                <w:b/>
                <w:sz w:val="16"/>
              </w:rPr>
              <w:t>Evidence status</w:t>
            </w:r>
          </w:p>
        </w:tc>
        <w:tc>
          <w:tcPr>
            <w:tcW w:w="1584" w:type="dxa"/>
            <w:shd w:val="clear" w:color="auto" w:fill="D9E2F3"/>
            <w:tcMar>
              <w:top w:w="55" w:type="dxa"/>
              <w:left w:w="55" w:type="dxa"/>
              <w:bottom w:w="55" w:type="dxa"/>
              <w:right w:w="55" w:type="dxa"/>
            </w:tcMar>
            <w:vAlign w:val="center"/>
          </w:tcPr>
          <w:p w14:paraId="7E10E37D" w14:textId="77777777" w:rsidR="00963F80" w:rsidRDefault="00AA250C">
            <w:pPr>
              <w:spacing w:after="0"/>
              <w:jc w:val="left"/>
            </w:pPr>
            <w:r>
              <w:rPr>
                <w:b/>
                <w:sz w:val="16"/>
              </w:rPr>
              <w:t>Supporting references</w:t>
            </w:r>
          </w:p>
        </w:tc>
      </w:tr>
      <w:tr w:rsidR="00963F80" w14:paraId="59701223" w14:textId="77777777">
        <w:trPr>
          <w:cantSplit/>
          <w:jc w:val="center"/>
        </w:trPr>
        <w:tc>
          <w:tcPr>
            <w:tcW w:w="1512" w:type="dxa"/>
            <w:tcMar>
              <w:top w:w="55" w:type="dxa"/>
              <w:left w:w="55" w:type="dxa"/>
              <w:bottom w:w="55" w:type="dxa"/>
              <w:right w:w="55" w:type="dxa"/>
            </w:tcMar>
          </w:tcPr>
          <w:p w14:paraId="79581906" w14:textId="77777777" w:rsidR="00963F80" w:rsidRDefault="00AA250C">
            <w:pPr>
              <w:spacing w:after="0" w:line="240" w:lineRule="auto"/>
              <w:jc w:val="left"/>
            </w:pPr>
            <w:r>
              <w:rPr>
                <w:sz w:val="15"/>
              </w:rPr>
              <w:t>Extreme heat</w:t>
            </w:r>
          </w:p>
        </w:tc>
        <w:tc>
          <w:tcPr>
            <w:tcW w:w="2088" w:type="dxa"/>
            <w:tcMar>
              <w:top w:w="55" w:type="dxa"/>
              <w:left w:w="55" w:type="dxa"/>
              <w:bottom w:w="55" w:type="dxa"/>
              <w:right w:w="55" w:type="dxa"/>
            </w:tcMar>
          </w:tcPr>
          <w:p w14:paraId="43C4EDD2" w14:textId="77777777" w:rsidR="00963F80" w:rsidRDefault="00AA250C">
            <w:pPr>
              <w:spacing w:after="0" w:line="240" w:lineRule="auto"/>
              <w:jc w:val="left"/>
            </w:pPr>
            <w:r>
              <w:rPr>
                <w:sz w:val="15"/>
              </w:rPr>
              <w:t>Reduces production and marketable surplus; lowers participation, sales intensity and revenue.</w:t>
            </w:r>
          </w:p>
        </w:tc>
        <w:tc>
          <w:tcPr>
            <w:tcW w:w="2232" w:type="dxa"/>
            <w:tcMar>
              <w:top w:w="55" w:type="dxa"/>
              <w:left w:w="55" w:type="dxa"/>
              <w:bottom w:w="55" w:type="dxa"/>
              <w:right w:w="55" w:type="dxa"/>
            </w:tcMar>
          </w:tcPr>
          <w:p w14:paraId="74E467D4" w14:textId="77777777" w:rsidR="00963F80" w:rsidRDefault="00AA250C">
            <w:pPr>
              <w:spacing w:after="0" w:line="240" w:lineRule="auto"/>
              <w:jc w:val="left"/>
            </w:pPr>
            <w:r>
              <w:rPr>
                <w:sz w:val="15"/>
              </w:rPr>
              <w:t>Heat-adapted agronomy and varieties, water management, risk finance and preservation of market relationships after poor harvests.</w:t>
            </w:r>
          </w:p>
        </w:tc>
        <w:tc>
          <w:tcPr>
            <w:tcW w:w="1944" w:type="dxa"/>
            <w:tcMar>
              <w:top w:w="55" w:type="dxa"/>
              <w:left w:w="55" w:type="dxa"/>
              <w:bottom w:w="55" w:type="dxa"/>
              <w:right w:w="55" w:type="dxa"/>
            </w:tcMar>
          </w:tcPr>
          <w:p w14:paraId="79702859" w14:textId="77777777" w:rsidR="00963F80" w:rsidRDefault="00AA250C">
            <w:pPr>
              <w:spacing w:after="0" w:line="240" w:lineRule="auto"/>
              <w:jc w:val="left"/>
            </w:pPr>
            <w:r>
              <w:rPr>
                <w:sz w:val="15"/>
              </w:rPr>
              <w:t>Recent Nigeria panel evidence directly supports the production-to-commercialisation pathway.</w:t>
            </w:r>
          </w:p>
        </w:tc>
        <w:tc>
          <w:tcPr>
            <w:tcW w:w="1584" w:type="dxa"/>
            <w:tcMar>
              <w:top w:w="55" w:type="dxa"/>
              <w:left w:w="55" w:type="dxa"/>
              <w:bottom w:w="55" w:type="dxa"/>
              <w:right w:w="55" w:type="dxa"/>
            </w:tcMar>
          </w:tcPr>
          <w:p w14:paraId="5EC8D3BE" w14:textId="77777777" w:rsidR="00963F80" w:rsidRDefault="00AA250C">
            <w:pPr>
              <w:spacing w:after="0" w:line="240" w:lineRule="auto"/>
              <w:jc w:val="left"/>
            </w:pPr>
            <w:r>
              <w:rPr>
                <w:sz w:val="15"/>
              </w:rPr>
              <w:t>Tabe-Ojong &amp; Lokossou (2026)</w:t>
            </w:r>
          </w:p>
        </w:tc>
      </w:tr>
      <w:tr w:rsidR="00963F80" w14:paraId="14DA3106" w14:textId="77777777">
        <w:trPr>
          <w:cantSplit/>
          <w:jc w:val="center"/>
        </w:trPr>
        <w:tc>
          <w:tcPr>
            <w:tcW w:w="1512" w:type="dxa"/>
            <w:tcMar>
              <w:top w:w="55" w:type="dxa"/>
              <w:left w:w="55" w:type="dxa"/>
              <w:bottom w:w="55" w:type="dxa"/>
              <w:right w:w="55" w:type="dxa"/>
            </w:tcMar>
          </w:tcPr>
          <w:p w14:paraId="3B74BB0E" w14:textId="77777777" w:rsidR="00963F80" w:rsidRDefault="00AA250C">
            <w:pPr>
              <w:spacing w:after="0" w:line="240" w:lineRule="auto"/>
              <w:jc w:val="left"/>
            </w:pPr>
            <w:r>
              <w:rPr>
                <w:sz w:val="15"/>
              </w:rPr>
              <w:t>Flooding and intense rainfall</w:t>
            </w:r>
          </w:p>
        </w:tc>
        <w:tc>
          <w:tcPr>
            <w:tcW w:w="2088" w:type="dxa"/>
            <w:tcMar>
              <w:top w:w="55" w:type="dxa"/>
              <w:left w:w="55" w:type="dxa"/>
              <w:bottom w:w="55" w:type="dxa"/>
              <w:right w:w="55" w:type="dxa"/>
            </w:tcMar>
          </w:tcPr>
          <w:p w14:paraId="0838E8F9" w14:textId="77777777" w:rsidR="00963F80" w:rsidRDefault="00AA250C">
            <w:pPr>
              <w:spacing w:after="0" w:line="240" w:lineRule="auto"/>
              <w:jc w:val="left"/>
            </w:pPr>
            <w:r>
              <w:rPr>
                <w:sz w:val="15"/>
              </w:rPr>
              <w:t>Damages roads and storage, delays transport and raises spoilage and vehicle costs.</w:t>
            </w:r>
          </w:p>
        </w:tc>
        <w:tc>
          <w:tcPr>
            <w:tcW w:w="2232" w:type="dxa"/>
            <w:tcMar>
              <w:top w:w="55" w:type="dxa"/>
              <w:left w:w="55" w:type="dxa"/>
              <w:bottom w:w="55" w:type="dxa"/>
              <w:right w:w="55" w:type="dxa"/>
            </w:tcMar>
          </w:tcPr>
          <w:p w14:paraId="0A4E469E" w14:textId="77777777" w:rsidR="00963F80" w:rsidRDefault="00AA250C">
            <w:pPr>
              <w:spacing w:after="0" w:line="240" w:lineRule="auto"/>
              <w:jc w:val="left"/>
            </w:pPr>
            <w:r>
              <w:rPr>
                <w:sz w:val="15"/>
              </w:rPr>
              <w:t>Flood-proofed rural roads, drainage, elevated/secure storage, maintenance funds and alternative routes.</w:t>
            </w:r>
          </w:p>
        </w:tc>
        <w:tc>
          <w:tcPr>
            <w:tcW w:w="1944" w:type="dxa"/>
            <w:tcMar>
              <w:top w:w="55" w:type="dxa"/>
              <w:left w:w="55" w:type="dxa"/>
              <w:bottom w:w="55" w:type="dxa"/>
              <w:right w:w="55" w:type="dxa"/>
            </w:tcMar>
          </w:tcPr>
          <w:p w14:paraId="77F7CAAD" w14:textId="77777777" w:rsidR="00963F80" w:rsidRDefault="00AA250C">
            <w:pPr>
              <w:spacing w:after="0" w:line="240" w:lineRule="auto"/>
              <w:jc w:val="left"/>
            </w:pPr>
            <w:r>
              <w:rPr>
                <w:sz w:val="15"/>
              </w:rPr>
              <w:t>Strong infrastructure mechanism; wholesaler preferences and programme design support relevance.</w:t>
            </w:r>
          </w:p>
        </w:tc>
        <w:tc>
          <w:tcPr>
            <w:tcW w:w="1584" w:type="dxa"/>
            <w:tcMar>
              <w:top w:w="55" w:type="dxa"/>
              <w:left w:w="55" w:type="dxa"/>
              <w:bottom w:w="55" w:type="dxa"/>
              <w:right w:w="55" w:type="dxa"/>
            </w:tcMar>
          </w:tcPr>
          <w:p w14:paraId="78274049" w14:textId="77777777" w:rsidR="00963F80" w:rsidRDefault="00AA250C">
            <w:pPr>
              <w:spacing w:after="0" w:line="240" w:lineRule="auto"/>
              <w:jc w:val="left"/>
            </w:pPr>
            <w:r>
              <w:rPr>
                <w:sz w:val="15"/>
              </w:rPr>
              <w:t>Kwon et al. (2026); World Bank (2024)</w:t>
            </w:r>
          </w:p>
        </w:tc>
      </w:tr>
      <w:tr w:rsidR="00963F80" w14:paraId="5BD4C7BA" w14:textId="77777777">
        <w:trPr>
          <w:cantSplit/>
          <w:jc w:val="center"/>
        </w:trPr>
        <w:tc>
          <w:tcPr>
            <w:tcW w:w="1512" w:type="dxa"/>
            <w:tcMar>
              <w:top w:w="55" w:type="dxa"/>
              <w:left w:w="55" w:type="dxa"/>
              <w:bottom w:w="55" w:type="dxa"/>
              <w:right w:w="55" w:type="dxa"/>
            </w:tcMar>
          </w:tcPr>
          <w:p w14:paraId="11977A71" w14:textId="77777777" w:rsidR="00963F80" w:rsidRDefault="00AA250C">
            <w:pPr>
              <w:spacing w:after="0" w:line="240" w:lineRule="auto"/>
              <w:jc w:val="left"/>
            </w:pPr>
            <w:r>
              <w:rPr>
                <w:sz w:val="15"/>
              </w:rPr>
              <w:t>Conflict, banditry and route insecurity</w:t>
            </w:r>
          </w:p>
        </w:tc>
        <w:tc>
          <w:tcPr>
            <w:tcW w:w="2088" w:type="dxa"/>
            <w:tcMar>
              <w:top w:w="55" w:type="dxa"/>
              <w:left w:w="55" w:type="dxa"/>
              <w:bottom w:w="55" w:type="dxa"/>
              <w:right w:w="55" w:type="dxa"/>
            </w:tcMar>
          </w:tcPr>
          <w:p w14:paraId="7B40EA8F" w14:textId="77777777" w:rsidR="00963F80" w:rsidRDefault="00AA250C">
            <w:pPr>
              <w:spacing w:after="0" w:line="240" w:lineRule="auto"/>
              <w:jc w:val="left"/>
            </w:pPr>
            <w:r>
              <w:rPr>
                <w:sz w:val="15"/>
              </w:rPr>
              <w:t>Raises transport risk and costs, limits trader movement and can fragment producing and consuming markets.</w:t>
            </w:r>
          </w:p>
        </w:tc>
        <w:tc>
          <w:tcPr>
            <w:tcW w:w="2232" w:type="dxa"/>
            <w:tcMar>
              <w:top w:w="55" w:type="dxa"/>
              <w:left w:w="55" w:type="dxa"/>
              <w:bottom w:w="55" w:type="dxa"/>
              <w:right w:w="55" w:type="dxa"/>
            </w:tcMar>
          </w:tcPr>
          <w:p w14:paraId="047361EB" w14:textId="77777777" w:rsidR="00963F80" w:rsidRDefault="00AA250C">
            <w:pPr>
              <w:spacing w:after="0" w:line="240" w:lineRule="auto"/>
              <w:jc w:val="left"/>
            </w:pPr>
            <w:r>
              <w:rPr>
                <w:sz w:val="15"/>
              </w:rPr>
              <w:t>Route security, market intelligence, safer collection systems and diversified sourcing/marketing corridors.</w:t>
            </w:r>
          </w:p>
        </w:tc>
        <w:tc>
          <w:tcPr>
            <w:tcW w:w="1944" w:type="dxa"/>
            <w:tcMar>
              <w:top w:w="55" w:type="dxa"/>
              <w:left w:w="55" w:type="dxa"/>
              <w:bottom w:w="55" w:type="dxa"/>
              <w:right w:w="55" w:type="dxa"/>
            </w:tcMar>
          </w:tcPr>
          <w:p w14:paraId="5980327C" w14:textId="77777777" w:rsidR="00963F80" w:rsidRDefault="00AA250C">
            <w:pPr>
              <w:spacing w:after="0" w:line="240" w:lineRule="auto"/>
              <w:jc w:val="left"/>
            </w:pPr>
            <w:r>
              <w:rPr>
                <w:sz w:val="15"/>
              </w:rPr>
              <w:t>Direct Nigerian wholesaler evidence shows high salience of road security.</w:t>
            </w:r>
          </w:p>
        </w:tc>
        <w:tc>
          <w:tcPr>
            <w:tcW w:w="1584" w:type="dxa"/>
            <w:tcMar>
              <w:top w:w="55" w:type="dxa"/>
              <w:left w:w="55" w:type="dxa"/>
              <w:bottom w:w="55" w:type="dxa"/>
              <w:right w:w="55" w:type="dxa"/>
            </w:tcMar>
          </w:tcPr>
          <w:p w14:paraId="261DAF24" w14:textId="77777777" w:rsidR="00963F80" w:rsidRDefault="00AA250C">
            <w:pPr>
              <w:spacing w:after="0" w:line="240" w:lineRule="auto"/>
              <w:jc w:val="left"/>
            </w:pPr>
            <w:r>
              <w:rPr>
                <w:sz w:val="15"/>
              </w:rPr>
              <w:t>Kwon et al. (2026)</w:t>
            </w:r>
          </w:p>
        </w:tc>
      </w:tr>
      <w:tr w:rsidR="00963F80" w14:paraId="7E3B6356" w14:textId="77777777">
        <w:trPr>
          <w:cantSplit/>
          <w:jc w:val="center"/>
        </w:trPr>
        <w:tc>
          <w:tcPr>
            <w:tcW w:w="1512" w:type="dxa"/>
            <w:tcMar>
              <w:top w:w="55" w:type="dxa"/>
              <w:left w:w="55" w:type="dxa"/>
              <w:bottom w:w="55" w:type="dxa"/>
              <w:right w:w="55" w:type="dxa"/>
            </w:tcMar>
          </w:tcPr>
          <w:p w14:paraId="0CFF07A2" w14:textId="77777777" w:rsidR="00963F80" w:rsidRDefault="00AA250C">
            <w:pPr>
              <w:spacing w:after="0" w:line="240" w:lineRule="auto"/>
              <w:jc w:val="left"/>
            </w:pPr>
            <w:r>
              <w:rPr>
                <w:sz w:val="15"/>
              </w:rPr>
              <w:t>Price and demand volatility</w:t>
            </w:r>
          </w:p>
        </w:tc>
        <w:tc>
          <w:tcPr>
            <w:tcW w:w="2088" w:type="dxa"/>
            <w:tcMar>
              <w:top w:w="55" w:type="dxa"/>
              <w:left w:w="55" w:type="dxa"/>
              <w:bottom w:w="55" w:type="dxa"/>
              <w:right w:w="55" w:type="dxa"/>
            </w:tcMar>
          </w:tcPr>
          <w:p w14:paraId="2ED49C42" w14:textId="77777777" w:rsidR="00963F80" w:rsidRDefault="00AA250C">
            <w:pPr>
              <w:spacing w:after="0" w:line="240" w:lineRule="auto"/>
              <w:jc w:val="left"/>
            </w:pPr>
            <w:r>
              <w:rPr>
                <w:sz w:val="15"/>
              </w:rPr>
              <w:t>Reduces expected returns and may induce rapid sale or withdrawal from commercial production.</w:t>
            </w:r>
          </w:p>
        </w:tc>
        <w:tc>
          <w:tcPr>
            <w:tcW w:w="2232" w:type="dxa"/>
            <w:tcMar>
              <w:top w:w="55" w:type="dxa"/>
              <w:left w:w="55" w:type="dxa"/>
              <w:bottom w:w="55" w:type="dxa"/>
              <w:right w:w="55" w:type="dxa"/>
            </w:tcMar>
          </w:tcPr>
          <w:p w14:paraId="2D7B519D" w14:textId="77777777" w:rsidR="00963F80" w:rsidRDefault="00AA250C">
            <w:pPr>
              <w:spacing w:after="0" w:line="240" w:lineRule="auto"/>
              <w:jc w:val="left"/>
            </w:pPr>
            <w:r>
              <w:rPr>
                <w:sz w:val="15"/>
              </w:rPr>
              <w:t>Storage, buyer diversification, transparent price information and flexible contracting.</w:t>
            </w:r>
          </w:p>
        </w:tc>
        <w:tc>
          <w:tcPr>
            <w:tcW w:w="1944" w:type="dxa"/>
            <w:tcMar>
              <w:top w:w="55" w:type="dxa"/>
              <w:left w:w="55" w:type="dxa"/>
              <w:bottom w:w="55" w:type="dxa"/>
              <w:right w:w="55" w:type="dxa"/>
            </w:tcMar>
          </w:tcPr>
          <w:p w14:paraId="6EF6D25E" w14:textId="77777777" w:rsidR="00963F80" w:rsidRDefault="00AA250C">
            <w:pPr>
              <w:spacing w:after="0" w:line="240" w:lineRule="auto"/>
              <w:jc w:val="left"/>
            </w:pPr>
            <w:r>
              <w:rPr>
                <w:sz w:val="15"/>
              </w:rPr>
              <w:t>General smallholder evidence supports importance of output-market uncertainty; Nigeria-specific causal evidence is thinner.</w:t>
            </w:r>
          </w:p>
        </w:tc>
        <w:tc>
          <w:tcPr>
            <w:tcW w:w="1584" w:type="dxa"/>
            <w:tcMar>
              <w:top w:w="55" w:type="dxa"/>
              <w:left w:w="55" w:type="dxa"/>
              <w:bottom w:w="55" w:type="dxa"/>
              <w:right w:w="55" w:type="dxa"/>
            </w:tcMar>
          </w:tcPr>
          <w:p w14:paraId="0DF1544A" w14:textId="77777777" w:rsidR="00963F80" w:rsidRDefault="00AA250C">
            <w:pPr>
              <w:spacing w:after="0" w:line="240" w:lineRule="auto"/>
              <w:jc w:val="left"/>
            </w:pPr>
            <w:r>
              <w:rPr>
                <w:sz w:val="15"/>
              </w:rPr>
              <w:t>Barrett (2008); Ola &amp; Menapace (2020)</w:t>
            </w:r>
          </w:p>
        </w:tc>
      </w:tr>
      <w:tr w:rsidR="00963F80" w14:paraId="61084937" w14:textId="77777777">
        <w:trPr>
          <w:cantSplit/>
          <w:jc w:val="center"/>
        </w:trPr>
        <w:tc>
          <w:tcPr>
            <w:tcW w:w="1512" w:type="dxa"/>
            <w:tcMar>
              <w:top w:w="55" w:type="dxa"/>
              <w:left w:w="55" w:type="dxa"/>
              <w:bottom w:w="55" w:type="dxa"/>
              <w:right w:w="55" w:type="dxa"/>
            </w:tcMar>
          </w:tcPr>
          <w:p w14:paraId="475ECCE2" w14:textId="77777777" w:rsidR="00963F80" w:rsidRDefault="00AA250C">
            <w:pPr>
              <w:spacing w:after="0" w:line="240" w:lineRule="auto"/>
              <w:jc w:val="left"/>
            </w:pPr>
            <w:r>
              <w:rPr>
                <w:sz w:val="15"/>
              </w:rPr>
              <w:t>Post-harvest and quality shocks</w:t>
            </w:r>
          </w:p>
        </w:tc>
        <w:tc>
          <w:tcPr>
            <w:tcW w:w="2088" w:type="dxa"/>
            <w:tcMar>
              <w:top w:w="55" w:type="dxa"/>
              <w:left w:w="55" w:type="dxa"/>
              <w:bottom w:w="55" w:type="dxa"/>
              <w:right w:w="55" w:type="dxa"/>
            </w:tcMar>
          </w:tcPr>
          <w:p w14:paraId="1AE6D0A5" w14:textId="77777777" w:rsidR="00963F80" w:rsidRDefault="00AA250C">
            <w:pPr>
              <w:spacing w:after="0" w:line="240" w:lineRule="auto"/>
              <w:jc w:val="left"/>
            </w:pPr>
            <w:r>
              <w:rPr>
                <w:sz w:val="15"/>
              </w:rPr>
              <w:t>Physical or quality deterioration reduces saleable volume and may trigger rejection or discounts.</w:t>
            </w:r>
          </w:p>
        </w:tc>
        <w:tc>
          <w:tcPr>
            <w:tcW w:w="2232" w:type="dxa"/>
            <w:tcMar>
              <w:top w:w="55" w:type="dxa"/>
              <w:left w:w="55" w:type="dxa"/>
              <w:bottom w:w="55" w:type="dxa"/>
              <w:right w:w="55" w:type="dxa"/>
            </w:tcMar>
          </w:tcPr>
          <w:p w14:paraId="23DF1BEA" w14:textId="77777777" w:rsidR="00963F80" w:rsidRDefault="00AA250C">
            <w:pPr>
              <w:spacing w:after="0" w:line="240" w:lineRule="auto"/>
              <w:jc w:val="left"/>
            </w:pPr>
            <w:r>
              <w:rPr>
                <w:sz w:val="15"/>
              </w:rPr>
              <w:t>Mechanised harvesting where viable, drying, moisture measurement, storage and quality protocols.</w:t>
            </w:r>
          </w:p>
        </w:tc>
        <w:tc>
          <w:tcPr>
            <w:tcW w:w="1944" w:type="dxa"/>
            <w:tcMar>
              <w:top w:w="55" w:type="dxa"/>
              <w:left w:w="55" w:type="dxa"/>
              <w:bottom w:w="55" w:type="dxa"/>
              <w:right w:w="55" w:type="dxa"/>
            </w:tcMar>
          </w:tcPr>
          <w:p w14:paraId="413EAEE8" w14:textId="77777777" w:rsidR="00963F80" w:rsidRDefault="00AA250C">
            <w:pPr>
              <w:spacing w:after="0" w:line="240" w:lineRule="auto"/>
              <w:jc w:val="left"/>
            </w:pPr>
            <w:r>
              <w:rPr>
                <w:sz w:val="15"/>
              </w:rPr>
              <w:t>Nigeria-specific controlled and loss-assessment evidence supports technical mechanisms.</w:t>
            </w:r>
          </w:p>
        </w:tc>
        <w:tc>
          <w:tcPr>
            <w:tcW w:w="1584" w:type="dxa"/>
            <w:tcMar>
              <w:top w:w="55" w:type="dxa"/>
              <w:left w:w="55" w:type="dxa"/>
              <w:bottom w:w="55" w:type="dxa"/>
              <w:right w:w="55" w:type="dxa"/>
            </w:tcMar>
          </w:tcPr>
          <w:p w14:paraId="1CC8DE63" w14:textId="77777777" w:rsidR="00963F80" w:rsidRDefault="00AA250C">
            <w:pPr>
              <w:spacing w:after="0" w:line="240" w:lineRule="auto"/>
              <w:jc w:val="left"/>
            </w:pPr>
            <w:r>
              <w:rPr>
                <w:sz w:val="15"/>
              </w:rPr>
              <w:t>Castelein et al. (2022); Kitinoja et al. (2019)</w:t>
            </w:r>
          </w:p>
        </w:tc>
      </w:tr>
      <w:tr w:rsidR="00963F80" w14:paraId="61C58F48" w14:textId="77777777">
        <w:trPr>
          <w:cantSplit/>
          <w:jc w:val="center"/>
        </w:trPr>
        <w:tc>
          <w:tcPr>
            <w:tcW w:w="1512" w:type="dxa"/>
            <w:tcMar>
              <w:top w:w="55" w:type="dxa"/>
              <w:left w:w="55" w:type="dxa"/>
              <w:bottom w:w="55" w:type="dxa"/>
              <w:right w:w="55" w:type="dxa"/>
            </w:tcMar>
          </w:tcPr>
          <w:p w14:paraId="15EDA73D" w14:textId="77777777" w:rsidR="00963F80" w:rsidRDefault="00AA250C">
            <w:pPr>
              <w:spacing w:after="0" w:line="240" w:lineRule="auto"/>
              <w:jc w:val="left"/>
            </w:pPr>
            <w:r>
              <w:rPr>
                <w:sz w:val="15"/>
              </w:rPr>
              <w:t>Liquidity shock</w:t>
            </w:r>
          </w:p>
        </w:tc>
        <w:tc>
          <w:tcPr>
            <w:tcW w:w="2088" w:type="dxa"/>
            <w:tcMar>
              <w:top w:w="55" w:type="dxa"/>
              <w:left w:w="55" w:type="dxa"/>
              <w:bottom w:w="55" w:type="dxa"/>
              <w:right w:w="55" w:type="dxa"/>
            </w:tcMar>
          </w:tcPr>
          <w:p w14:paraId="593583FC" w14:textId="77777777" w:rsidR="00963F80" w:rsidRDefault="00AA250C">
            <w:pPr>
              <w:spacing w:after="0" w:line="240" w:lineRule="auto"/>
              <w:jc w:val="left"/>
            </w:pPr>
            <w:r>
              <w:rPr>
                <w:sz w:val="15"/>
              </w:rPr>
              <w:t>Forces distress sales, reduces input purchase and weakens capacity to recover after disruption.</w:t>
            </w:r>
          </w:p>
        </w:tc>
        <w:tc>
          <w:tcPr>
            <w:tcW w:w="2232" w:type="dxa"/>
            <w:tcMar>
              <w:top w:w="55" w:type="dxa"/>
              <w:left w:w="55" w:type="dxa"/>
              <w:bottom w:w="55" w:type="dxa"/>
              <w:right w:w="55" w:type="dxa"/>
            </w:tcMar>
          </w:tcPr>
          <w:p w14:paraId="7515368E" w14:textId="77777777" w:rsidR="00963F80" w:rsidRDefault="00AA250C">
            <w:pPr>
              <w:spacing w:after="0" w:line="240" w:lineRule="auto"/>
              <w:jc w:val="left"/>
            </w:pPr>
            <w:r>
              <w:rPr>
                <w:sz w:val="15"/>
              </w:rPr>
              <w:t>Savings, appropriately structured credit, emergency liquidity and buyer-linked finance with safeguards.</w:t>
            </w:r>
          </w:p>
        </w:tc>
        <w:tc>
          <w:tcPr>
            <w:tcW w:w="1944" w:type="dxa"/>
            <w:tcMar>
              <w:top w:w="55" w:type="dxa"/>
              <w:left w:w="55" w:type="dxa"/>
              <w:bottom w:w="55" w:type="dxa"/>
              <w:right w:w="55" w:type="dxa"/>
            </w:tcMar>
          </w:tcPr>
          <w:p w14:paraId="49DAE7E3" w14:textId="77777777" w:rsidR="00963F80" w:rsidRDefault="00AA250C">
            <w:pPr>
              <w:spacing w:after="0" w:line="240" w:lineRule="auto"/>
              <w:jc w:val="left"/>
            </w:pPr>
            <w:r>
              <w:rPr>
                <w:sz w:val="15"/>
              </w:rPr>
              <w:t>National evidence confirms complex supply- and demand-side credit constraints.</w:t>
            </w:r>
          </w:p>
        </w:tc>
        <w:tc>
          <w:tcPr>
            <w:tcW w:w="1584" w:type="dxa"/>
            <w:tcMar>
              <w:top w:w="55" w:type="dxa"/>
              <w:left w:w="55" w:type="dxa"/>
              <w:bottom w:w="55" w:type="dxa"/>
              <w:right w:w="55" w:type="dxa"/>
            </w:tcMar>
          </w:tcPr>
          <w:p w14:paraId="6DFEC482" w14:textId="77777777" w:rsidR="00963F80" w:rsidRDefault="00AA250C">
            <w:pPr>
              <w:spacing w:after="0" w:line="240" w:lineRule="auto"/>
              <w:jc w:val="left"/>
            </w:pPr>
            <w:r>
              <w:rPr>
                <w:sz w:val="15"/>
              </w:rPr>
              <w:t>Balana &amp; Oyeyemi (2022)</w:t>
            </w:r>
          </w:p>
        </w:tc>
      </w:tr>
    </w:tbl>
    <w:p w14:paraId="7316B843" w14:textId="77777777" w:rsidR="00963F80" w:rsidRDefault="00AA250C">
      <w:pPr>
        <w:pStyle w:val="TableNote"/>
      </w:pPr>
      <w:r>
        <w:t>Note. Resilience responses are complements; the appropriate bundle depends on whether the dominant shock affects production, logistics, market demand, finance or several stages simultaneously.</w:t>
      </w:r>
    </w:p>
    <w:p w14:paraId="49A7CCE3" w14:textId="77777777" w:rsidR="00963F80" w:rsidRDefault="00AA250C">
      <w:pPr>
        <w:pStyle w:val="Heading1"/>
      </w:pPr>
      <w:r>
        <w:t>11. Policy and Programme Architecture: From Projects to Coordinated Market Systems</w:t>
      </w:r>
    </w:p>
    <w:p w14:paraId="456C05B1" w14:textId="77777777" w:rsidR="00963F80" w:rsidRDefault="00AA250C">
      <w:r>
        <w:t>Nigeria’s recent programme architecture increasingly recognises that agricultural transformation requires linked investments. This is a constructive shift from interventions that distribute inputs, construct facilities or form groups without specifying how those components generate sustained market transactions. The critical issue is now implementation: whether programmes create complementary capabilities, viable private incentives and accountable institutions rather than parallel project assets.</w:t>
      </w:r>
    </w:p>
    <w:p w14:paraId="5C234059" w14:textId="77777777" w:rsidR="00963F80" w:rsidRDefault="00AA250C">
      <w:r>
        <w:t>IFAD’s Value Chain Development Programme (VCDP) offers one established model. It focuses on cassava and rice and explicitly targets constraints along the chain, including market access for smallholder farmers and agro-processors (IFAD, n.d.). Its value-chain orientation is conceptually sound because it links producers, processors, traders and public or private service providers. The key evaluation question, though, is additionality and persistence: whether supported market relationships, groups and services continue when project facilitation or subsidies decline. Programme reporting should therefore distinguish temporarily brokered transactions from self-sustaining repeated exchange.</w:t>
      </w:r>
    </w:p>
    <w:p w14:paraId="4F68897F" w14:textId="77777777" w:rsidR="00963F80" w:rsidRDefault="00AA250C">
      <w:r>
        <w:t xml:space="preserve">The Special Agro-Industrial Processing Zones (SAPZ) model places greater emphasis on spatial clustering and infrastructure. Phase II was approved in December 2025 for ten states, with an objective of climate-smart and gender-responsive agro-industrial infrastructure and production systems (AfDB, 2025). Agglomeration </w:t>
      </w:r>
      <w:r>
        <w:lastRenderedPageBreak/>
        <w:t>can reduce logistics and coordination costs for processors and suppliers, but hubs can fail to benefit remote smallholders if feeder networks, aggregation and procurement rules are weak. Processing capacity also creates demand only when plants operate at commercially viable utilisation rates. Monitoring should track smallholder procurement shares, effective farm-gate prices, rejection rates, processor utilisation, distance of suppliers and the competitiveness of procurement.</w:t>
      </w:r>
    </w:p>
    <w:p w14:paraId="786FADF1" w14:textId="77777777" w:rsidR="00963F80" w:rsidRDefault="00AA250C">
      <w:r>
        <w:t>Rural roads address a more foundational constraint. The World Bank’s RAAMP-SU combines rehabilitation, upgrading and maintenance of 6,500 km of rural roads with state-level road institutions (World Bank, 2024). This design recognises that maintenance is a governance problem as much as an engineering problem. For agricultural outcomes, road investment should be paired with market indicators: trader visits, transport charges, travel time during wet seasons, crop loss, sales volumes and buyer diversity. Without these measures, infrastructure success may be recorded even if commercial access changes little.</w:t>
      </w:r>
    </w:p>
    <w:p w14:paraId="6F70EA76" w14:textId="77777777" w:rsidR="00963F80" w:rsidRDefault="00AA250C">
      <w:r>
        <w:t>AGROW, approved in March 2026, represents an especially explicit attempt to integrate smallholders into competitive value chains. The project combines productivity support with producer aggregation, agribusiness off-take, post-harvest handling, processing and improved market access, with priority value chains that include rice, maize, cassava and soybean (World Bank, 2026a, 2026b). Its architecture closely matches the complementarity argument developed in this review. Yet results will depend on selection and governance. Results-based grants to agribusinesses can crowd in investment, but they require transparent criteria, verification that sourcing commitments are fulfilled, safeguards against related-party procurement and evidence that public subsidy generates additional rather than displaced purchasing.</w:t>
      </w:r>
    </w:p>
    <w:p w14:paraId="59DFB111" w14:textId="77777777" w:rsidR="00963F80" w:rsidRDefault="00AA250C">
      <w:r>
        <w:t>Across these programmes, five implementation principles emerge. First, productive capacity and demand linkage should be planned jointly. The relevant unit is a commercially plausible production–aggregation–buyer system, not a list of beneficiaries. Second, public infrastructure should target genuine network bottlenecks and include maintenance. Third, midstream firms should be treated as development actors whose competition and capability matter. Fourth, inclusion should be measured through realised transactions and value capture, not registration. Fifth, resilience to climate and security shocks should be built into route, storage, finance and procurement design.</w:t>
      </w:r>
    </w:p>
    <w:p w14:paraId="7598D148" w14:textId="77777777" w:rsidR="00963F80" w:rsidRDefault="00AA250C">
      <w:r>
        <w:t>A major policy risk is duplication. Several programmes may support roads, aggregation, farmer groups, processing or digital systems in the same state while using different registries, standards and monitoring systems. Coordination costs can then move from the farmer to the public sector. Interoperable farmer and enterprise records, shared infrastructure maps and clear division of roles could reduce duplication, but data governance and privacy need attention. At the local level, planning should start from the existing chain rather than assume that a project must create new organisations.</w:t>
      </w:r>
    </w:p>
    <w:p w14:paraId="02A1BDE2" w14:textId="77777777" w:rsidR="00963F80" w:rsidRDefault="00AA250C">
      <w:r>
        <w:t>A second risk is asset bias. Visible infrastructure—processing plants, warehouses, centres and machinery—is easier to procure and report than institutional capability, buyer competition or maintenance. Yet “soft” functions often determine whether assets are used. A warehouse without quality protocols and working capital is a building; a collection centre without reliable buyers is a meeting point; a digital platform without actionable transactions is a database. Capital investment should therefore be conditional on a service and revenue model.</w:t>
      </w:r>
    </w:p>
    <w:p w14:paraId="11FE2AFF" w14:textId="77777777" w:rsidR="00963F80" w:rsidRDefault="00AA250C">
      <w:r>
        <w:t xml:space="preserve">A third risk concerns metrics. Market access is often reported through farmers trained, groups formed, kilometres constructed or grants disbursed. These are implementation outputs. More informative outcomes include probability of sale, volume sold, net farm-gate price after marketing costs, number of credible buyers, payment delay, share meeting quality grade, post-harvest loss, repeat transactions, market </w:t>
      </w:r>
      <w:r>
        <w:lastRenderedPageBreak/>
        <w:t>participation among women and very small farms, and recovery after shocks. Welfare outcomes should include income, food security and asset accumulation, with careful attention to attribution.</w:t>
      </w:r>
    </w:p>
    <w:p w14:paraId="5EC42C57" w14:textId="77777777" w:rsidR="00963F80" w:rsidRDefault="00AA250C">
      <w:r>
        <w:t>Table 5 sets out a coordinated intervention portfolio and the evidence-informed conditions for effectiveness. No single row constitutes a complete strategy; the policy task is to identify which combination resolves the binding constraints in a defined crop–place–market system.</w:t>
      </w:r>
    </w:p>
    <w:p w14:paraId="26E5DCD3" w14:textId="77777777" w:rsidR="00963F80" w:rsidRDefault="00AA250C">
      <w:pPr>
        <w:keepNext/>
        <w:spacing w:before="100" w:after="80"/>
      </w:pPr>
      <w:r>
        <w:rPr>
          <w:b/>
          <w:sz w:val="19"/>
        </w:rPr>
        <w:t>Table 5. Evidence-informed portfolio for Nigerian smallholder value-chain and market-access policy</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467C9EDD" w14:textId="77777777">
        <w:trPr>
          <w:cantSplit/>
          <w:tblHeader/>
          <w:jc w:val="center"/>
        </w:trPr>
        <w:tc>
          <w:tcPr>
            <w:tcW w:w="1512" w:type="dxa"/>
            <w:shd w:val="clear" w:color="auto" w:fill="D9E2F3"/>
            <w:tcMar>
              <w:top w:w="55" w:type="dxa"/>
              <w:left w:w="55" w:type="dxa"/>
              <w:bottom w:w="55" w:type="dxa"/>
              <w:right w:w="55" w:type="dxa"/>
            </w:tcMar>
            <w:vAlign w:val="center"/>
          </w:tcPr>
          <w:p w14:paraId="5B554E9C" w14:textId="77777777" w:rsidR="00963F80" w:rsidRDefault="00AA250C">
            <w:pPr>
              <w:spacing w:after="0"/>
              <w:jc w:val="left"/>
            </w:pPr>
            <w:r>
              <w:rPr>
                <w:b/>
                <w:sz w:val="16"/>
              </w:rPr>
              <w:t>Intervention domain</w:t>
            </w:r>
          </w:p>
        </w:tc>
        <w:tc>
          <w:tcPr>
            <w:tcW w:w="2088" w:type="dxa"/>
            <w:shd w:val="clear" w:color="auto" w:fill="D9E2F3"/>
            <w:tcMar>
              <w:top w:w="55" w:type="dxa"/>
              <w:left w:w="55" w:type="dxa"/>
              <w:bottom w:w="55" w:type="dxa"/>
              <w:right w:w="55" w:type="dxa"/>
            </w:tcMar>
            <w:vAlign w:val="center"/>
          </w:tcPr>
          <w:p w14:paraId="72B5AD35" w14:textId="77777777" w:rsidR="00963F80" w:rsidRDefault="00AA250C">
            <w:pPr>
              <w:spacing w:after="0"/>
              <w:jc w:val="left"/>
            </w:pPr>
            <w:r>
              <w:rPr>
                <w:b/>
                <w:sz w:val="16"/>
              </w:rPr>
              <w:t>Primary mechanism</w:t>
            </w:r>
          </w:p>
        </w:tc>
        <w:tc>
          <w:tcPr>
            <w:tcW w:w="2232" w:type="dxa"/>
            <w:shd w:val="clear" w:color="auto" w:fill="D9E2F3"/>
            <w:tcMar>
              <w:top w:w="55" w:type="dxa"/>
              <w:left w:w="55" w:type="dxa"/>
              <w:bottom w:w="55" w:type="dxa"/>
              <w:right w:w="55" w:type="dxa"/>
            </w:tcMar>
            <w:vAlign w:val="center"/>
          </w:tcPr>
          <w:p w14:paraId="3EC2B1BB" w14:textId="77777777" w:rsidR="00963F80" w:rsidRDefault="00AA250C">
            <w:pPr>
              <w:spacing w:after="0"/>
              <w:jc w:val="left"/>
            </w:pPr>
            <w:r>
              <w:rPr>
                <w:b/>
                <w:sz w:val="16"/>
              </w:rPr>
              <w:t>Conditions for effectiveness</w:t>
            </w:r>
          </w:p>
        </w:tc>
        <w:tc>
          <w:tcPr>
            <w:tcW w:w="1944" w:type="dxa"/>
            <w:shd w:val="clear" w:color="auto" w:fill="D9E2F3"/>
            <w:tcMar>
              <w:top w:w="55" w:type="dxa"/>
              <w:left w:w="55" w:type="dxa"/>
              <w:bottom w:w="55" w:type="dxa"/>
              <w:right w:w="55" w:type="dxa"/>
            </w:tcMar>
            <w:vAlign w:val="center"/>
          </w:tcPr>
          <w:p w14:paraId="4E2926ED" w14:textId="77777777" w:rsidR="00963F80" w:rsidRDefault="00AA250C">
            <w:pPr>
              <w:spacing w:after="0"/>
              <w:jc w:val="left"/>
            </w:pPr>
            <w:r>
              <w:rPr>
                <w:b/>
                <w:sz w:val="16"/>
              </w:rPr>
              <w:t>Key implementation risk</w:t>
            </w:r>
          </w:p>
        </w:tc>
        <w:tc>
          <w:tcPr>
            <w:tcW w:w="1584" w:type="dxa"/>
            <w:shd w:val="clear" w:color="auto" w:fill="D9E2F3"/>
            <w:tcMar>
              <w:top w:w="55" w:type="dxa"/>
              <w:left w:w="55" w:type="dxa"/>
              <w:bottom w:w="55" w:type="dxa"/>
              <w:right w:w="55" w:type="dxa"/>
            </w:tcMar>
            <w:vAlign w:val="center"/>
          </w:tcPr>
          <w:p w14:paraId="1BC743B1" w14:textId="77777777" w:rsidR="00963F80" w:rsidRDefault="00AA250C">
            <w:pPr>
              <w:spacing w:after="0"/>
              <w:jc w:val="left"/>
            </w:pPr>
            <w:r>
              <w:rPr>
                <w:b/>
                <w:sz w:val="16"/>
              </w:rPr>
              <w:t>Supporting references</w:t>
            </w:r>
          </w:p>
        </w:tc>
      </w:tr>
      <w:tr w:rsidR="00963F80" w14:paraId="723EF8B7" w14:textId="77777777">
        <w:trPr>
          <w:cantSplit/>
          <w:jc w:val="center"/>
        </w:trPr>
        <w:tc>
          <w:tcPr>
            <w:tcW w:w="1512" w:type="dxa"/>
            <w:tcMar>
              <w:top w:w="55" w:type="dxa"/>
              <w:left w:w="55" w:type="dxa"/>
              <w:bottom w:w="55" w:type="dxa"/>
              <w:right w:w="55" w:type="dxa"/>
            </w:tcMar>
          </w:tcPr>
          <w:p w14:paraId="35E75BA7" w14:textId="77777777" w:rsidR="00963F80" w:rsidRDefault="00AA250C">
            <w:pPr>
              <w:spacing w:after="0" w:line="240" w:lineRule="auto"/>
              <w:jc w:val="left"/>
            </w:pPr>
            <w:r>
              <w:rPr>
                <w:sz w:val="15"/>
              </w:rPr>
              <w:t>Productivity and input systems</w:t>
            </w:r>
          </w:p>
        </w:tc>
        <w:tc>
          <w:tcPr>
            <w:tcW w:w="2088" w:type="dxa"/>
            <w:tcMar>
              <w:top w:w="55" w:type="dxa"/>
              <w:left w:w="55" w:type="dxa"/>
              <w:bottom w:w="55" w:type="dxa"/>
              <w:right w:w="55" w:type="dxa"/>
            </w:tcMar>
          </w:tcPr>
          <w:p w14:paraId="07B3E791" w14:textId="77777777" w:rsidR="00963F80" w:rsidRDefault="00AA250C">
            <w:pPr>
              <w:spacing w:after="0" w:line="240" w:lineRule="auto"/>
              <w:jc w:val="left"/>
            </w:pPr>
            <w:r>
              <w:rPr>
                <w:sz w:val="15"/>
              </w:rPr>
              <w:t>Increase stable marketable surplus and reduce unit production costs.</w:t>
            </w:r>
          </w:p>
        </w:tc>
        <w:tc>
          <w:tcPr>
            <w:tcW w:w="2232" w:type="dxa"/>
            <w:tcMar>
              <w:top w:w="55" w:type="dxa"/>
              <w:left w:w="55" w:type="dxa"/>
              <w:bottom w:w="55" w:type="dxa"/>
              <w:right w:w="55" w:type="dxa"/>
            </w:tcMar>
          </w:tcPr>
          <w:p w14:paraId="1BC76D9C" w14:textId="77777777" w:rsidR="00963F80" w:rsidRDefault="00AA250C">
            <w:pPr>
              <w:spacing w:after="0" w:line="240" w:lineRule="auto"/>
              <w:jc w:val="left"/>
            </w:pPr>
            <w:r>
              <w:rPr>
                <w:sz w:val="15"/>
              </w:rPr>
              <w:t>Demand linkage, genuine input quality, appropriate agronomy and farmer capacity.</w:t>
            </w:r>
          </w:p>
        </w:tc>
        <w:tc>
          <w:tcPr>
            <w:tcW w:w="1944" w:type="dxa"/>
            <w:tcMar>
              <w:top w:w="55" w:type="dxa"/>
              <w:left w:w="55" w:type="dxa"/>
              <w:bottom w:w="55" w:type="dxa"/>
              <w:right w:w="55" w:type="dxa"/>
            </w:tcMar>
          </w:tcPr>
          <w:p w14:paraId="4CC4BB89" w14:textId="77777777" w:rsidR="00963F80" w:rsidRDefault="00AA250C">
            <w:pPr>
              <w:spacing w:after="0" w:line="240" w:lineRule="auto"/>
              <w:jc w:val="left"/>
            </w:pPr>
            <w:r>
              <w:rPr>
                <w:sz w:val="15"/>
              </w:rPr>
              <w:t>Surplus without profitable outlet; subsidy dependence.</w:t>
            </w:r>
          </w:p>
        </w:tc>
        <w:tc>
          <w:tcPr>
            <w:tcW w:w="1584" w:type="dxa"/>
            <w:tcMar>
              <w:top w:w="55" w:type="dxa"/>
              <w:left w:w="55" w:type="dxa"/>
              <w:bottom w:w="55" w:type="dxa"/>
              <w:right w:w="55" w:type="dxa"/>
            </w:tcMar>
          </w:tcPr>
          <w:p w14:paraId="325B43A6" w14:textId="77777777" w:rsidR="00963F80" w:rsidRDefault="00AA250C">
            <w:pPr>
              <w:spacing w:after="0" w:line="240" w:lineRule="auto"/>
              <w:jc w:val="left"/>
            </w:pPr>
            <w:r>
              <w:rPr>
                <w:sz w:val="15"/>
              </w:rPr>
              <w:t>Awotide et al. (2016); Wossen et al. (2017, 2019)</w:t>
            </w:r>
          </w:p>
        </w:tc>
      </w:tr>
      <w:tr w:rsidR="00963F80" w14:paraId="3D026E35" w14:textId="77777777">
        <w:trPr>
          <w:cantSplit/>
          <w:jc w:val="center"/>
        </w:trPr>
        <w:tc>
          <w:tcPr>
            <w:tcW w:w="1512" w:type="dxa"/>
            <w:tcMar>
              <w:top w:w="55" w:type="dxa"/>
              <w:left w:w="55" w:type="dxa"/>
              <w:bottom w:w="55" w:type="dxa"/>
              <w:right w:w="55" w:type="dxa"/>
            </w:tcMar>
          </w:tcPr>
          <w:p w14:paraId="74D87445" w14:textId="77777777" w:rsidR="00963F80" w:rsidRDefault="00AA250C">
            <w:pPr>
              <w:spacing w:after="0" w:line="240" w:lineRule="auto"/>
              <w:jc w:val="left"/>
            </w:pPr>
            <w:r>
              <w:rPr>
                <w:sz w:val="15"/>
              </w:rPr>
              <w:t>Rural roads and logistics</w:t>
            </w:r>
          </w:p>
        </w:tc>
        <w:tc>
          <w:tcPr>
            <w:tcW w:w="2088" w:type="dxa"/>
            <w:tcMar>
              <w:top w:w="55" w:type="dxa"/>
              <w:left w:w="55" w:type="dxa"/>
              <w:bottom w:w="55" w:type="dxa"/>
              <w:right w:w="55" w:type="dxa"/>
            </w:tcMar>
          </w:tcPr>
          <w:p w14:paraId="2EF17B92" w14:textId="77777777" w:rsidR="00963F80" w:rsidRDefault="00AA250C">
            <w:pPr>
              <w:spacing w:after="0" w:line="240" w:lineRule="auto"/>
              <w:jc w:val="left"/>
            </w:pPr>
            <w:r>
              <w:rPr>
                <w:sz w:val="15"/>
              </w:rPr>
              <w:t>Reduce spatial transaction costs and increase trader/buyer reach.</w:t>
            </w:r>
          </w:p>
        </w:tc>
        <w:tc>
          <w:tcPr>
            <w:tcW w:w="2232" w:type="dxa"/>
            <w:tcMar>
              <w:top w:w="55" w:type="dxa"/>
              <w:left w:w="55" w:type="dxa"/>
              <w:bottom w:w="55" w:type="dxa"/>
              <w:right w:w="55" w:type="dxa"/>
            </w:tcMar>
          </w:tcPr>
          <w:p w14:paraId="011E574D" w14:textId="77777777" w:rsidR="00963F80" w:rsidRDefault="00AA250C">
            <w:pPr>
              <w:spacing w:after="0" w:line="240" w:lineRule="auto"/>
              <w:jc w:val="left"/>
            </w:pPr>
            <w:r>
              <w:rPr>
                <w:sz w:val="15"/>
              </w:rPr>
              <w:t>Maintenance, drainage, route security, complementary transport services and sufficient surplus.</w:t>
            </w:r>
          </w:p>
        </w:tc>
        <w:tc>
          <w:tcPr>
            <w:tcW w:w="1944" w:type="dxa"/>
            <w:tcMar>
              <w:top w:w="55" w:type="dxa"/>
              <w:left w:w="55" w:type="dxa"/>
              <w:bottom w:w="55" w:type="dxa"/>
              <w:right w:w="55" w:type="dxa"/>
            </w:tcMar>
          </w:tcPr>
          <w:p w14:paraId="0407CE7D" w14:textId="77777777" w:rsidR="00963F80" w:rsidRDefault="00AA250C">
            <w:pPr>
              <w:spacing w:after="0" w:line="240" w:lineRule="auto"/>
              <w:jc w:val="left"/>
            </w:pPr>
            <w:r>
              <w:rPr>
                <w:sz w:val="15"/>
              </w:rPr>
              <w:t>Deterioration, elite route selection or weak pass-through to farm-gate prices.</w:t>
            </w:r>
          </w:p>
        </w:tc>
        <w:tc>
          <w:tcPr>
            <w:tcW w:w="1584" w:type="dxa"/>
            <w:tcMar>
              <w:top w:w="55" w:type="dxa"/>
              <w:left w:w="55" w:type="dxa"/>
              <w:bottom w:w="55" w:type="dxa"/>
              <w:right w:w="55" w:type="dxa"/>
            </w:tcMar>
          </w:tcPr>
          <w:p w14:paraId="3A8936A7" w14:textId="77777777" w:rsidR="00963F80" w:rsidRDefault="00AA250C">
            <w:pPr>
              <w:spacing w:after="0" w:line="240" w:lineRule="auto"/>
              <w:jc w:val="left"/>
            </w:pPr>
            <w:r>
              <w:rPr>
                <w:sz w:val="15"/>
              </w:rPr>
              <w:t>Barrett (2008); World Bank (2024)</w:t>
            </w:r>
          </w:p>
        </w:tc>
      </w:tr>
      <w:tr w:rsidR="00963F80" w14:paraId="66326A3E" w14:textId="77777777">
        <w:trPr>
          <w:cantSplit/>
          <w:jc w:val="center"/>
        </w:trPr>
        <w:tc>
          <w:tcPr>
            <w:tcW w:w="1512" w:type="dxa"/>
            <w:tcMar>
              <w:top w:w="55" w:type="dxa"/>
              <w:left w:w="55" w:type="dxa"/>
              <w:bottom w:w="55" w:type="dxa"/>
              <w:right w:w="55" w:type="dxa"/>
            </w:tcMar>
          </w:tcPr>
          <w:p w14:paraId="214AB10F" w14:textId="77777777" w:rsidR="00963F80" w:rsidRDefault="00AA250C">
            <w:pPr>
              <w:spacing w:after="0" w:line="240" w:lineRule="auto"/>
              <w:jc w:val="left"/>
            </w:pPr>
            <w:r>
              <w:rPr>
                <w:sz w:val="15"/>
              </w:rPr>
              <w:t>Aggregation and farmer organisation</w:t>
            </w:r>
          </w:p>
        </w:tc>
        <w:tc>
          <w:tcPr>
            <w:tcW w:w="2088" w:type="dxa"/>
            <w:tcMar>
              <w:top w:w="55" w:type="dxa"/>
              <w:left w:w="55" w:type="dxa"/>
              <w:bottom w:w="55" w:type="dxa"/>
              <w:right w:w="55" w:type="dxa"/>
            </w:tcMar>
          </w:tcPr>
          <w:p w14:paraId="49776311" w14:textId="77777777" w:rsidR="00963F80" w:rsidRDefault="00AA250C">
            <w:pPr>
              <w:spacing w:after="0" w:line="240" w:lineRule="auto"/>
              <w:jc w:val="left"/>
            </w:pPr>
            <w:r>
              <w:rPr>
                <w:sz w:val="15"/>
              </w:rPr>
              <w:t>Pool volume and services and reduce fixed marketing costs.</w:t>
            </w:r>
          </w:p>
        </w:tc>
        <w:tc>
          <w:tcPr>
            <w:tcW w:w="2232" w:type="dxa"/>
            <w:tcMar>
              <w:top w:w="55" w:type="dxa"/>
              <w:left w:w="55" w:type="dxa"/>
              <w:bottom w:w="55" w:type="dxa"/>
              <w:right w:w="55" w:type="dxa"/>
            </w:tcMar>
          </w:tcPr>
          <w:p w14:paraId="04205C1F" w14:textId="77777777" w:rsidR="00963F80" w:rsidRDefault="00AA250C">
            <w:pPr>
              <w:spacing w:after="0" w:line="240" w:lineRule="auto"/>
              <w:jc w:val="left"/>
            </w:pPr>
            <w:r>
              <w:rPr>
                <w:sz w:val="15"/>
              </w:rPr>
              <w:t>Accountable governance, credible buyer, transparent weighing/pricing and appropriate scale.</w:t>
            </w:r>
          </w:p>
        </w:tc>
        <w:tc>
          <w:tcPr>
            <w:tcW w:w="1944" w:type="dxa"/>
            <w:tcMar>
              <w:top w:w="55" w:type="dxa"/>
              <w:left w:w="55" w:type="dxa"/>
              <w:bottom w:w="55" w:type="dxa"/>
              <w:right w:w="55" w:type="dxa"/>
            </w:tcMar>
          </w:tcPr>
          <w:p w14:paraId="687AB5AD" w14:textId="77777777" w:rsidR="00963F80" w:rsidRDefault="00AA250C">
            <w:pPr>
              <w:spacing w:after="0" w:line="240" w:lineRule="auto"/>
              <w:jc w:val="left"/>
            </w:pPr>
            <w:r>
              <w:rPr>
                <w:sz w:val="15"/>
              </w:rPr>
              <w:t>Elite capture, side-selling, high administration cost or exclusion of smallest farms.</w:t>
            </w:r>
          </w:p>
        </w:tc>
        <w:tc>
          <w:tcPr>
            <w:tcW w:w="1584" w:type="dxa"/>
            <w:tcMar>
              <w:top w:w="55" w:type="dxa"/>
              <w:left w:w="55" w:type="dxa"/>
              <w:bottom w:w="55" w:type="dxa"/>
              <w:right w:w="55" w:type="dxa"/>
            </w:tcMar>
          </w:tcPr>
          <w:p w14:paraId="46989254" w14:textId="77777777" w:rsidR="00963F80" w:rsidRDefault="00AA250C">
            <w:pPr>
              <w:spacing w:after="0" w:line="240" w:lineRule="auto"/>
              <w:jc w:val="left"/>
            </w:pPr>
            <w:r>
              <w:rPr>
                <w:sz w:val="15"/>
              </w:rPr>
              <w:t>Markelova et al. (2009); Markelova &amp; Mwangi (2010); IFAD (n.d.)</w:t>
            </w:r>
          </w:p>
        </w:tc>
      </w:tr>
      <w:tr w:rsidR="00963F80" w14:paraId="610489EC" w14:textId="77777777">
        <w:trPr>
          <w:cantSplit/>
          <w:jc w:val="center"/>
        </w:trPr>
        <w:tc>
          <w:tcPr>
            <w:tcW w:w="1512" w:type="dxa"/>
            <w:tcMar>
              <w:top w:w="55" w:type="dxa"/>
              <w:left w:w="55" w:type="dxa"/>
              <w:bottom w:w="55" w:type="dxa"/>
              <w:right w:w="55" w:type="dxa"/>
            </w:tcMar>
          </w:tcPr>
          <w:p w14:paraId="3722C289" w14:textId="77777777" w:rsidR="00963F80" w:rsidRDefault="00AA250C">
            <w:pPr>
              <w:spacing w:after="0" w:line="240" w:lineRule="auto"/>
              <w:jc w:val="left"/>
            </w:pPr>
            <w:r>
              <w:rPr>
                <w:sz w:val="15"/>
              </w:rPr>
              <w:t>Midstream and processing investment</w:t>
            </w:r>
          </w:p>
        </w:tc>
        <w:tc>
          <w:tcPr>
            <w:tcW w:w="2088" w:type="dxa"/>
            <w:tcMar>
              <w:top w:w="55" w:type="dxa"/>
              <w:left w:w="55" w:type="dxa"/>
              <w:bottom w:w="55" w:type="dxa"/>
              <w:right w:w="55" w:type="dxa"/>
            </w:tcMar>
          </w:tcPr>
          <w:p w14:paraId="4B8DDED5" w14:textId="77777777" w:rsidR="00963F80" w:rsidRDefault="00AA250C">
            <w:pPr>
              <w:spacing w:after="0" w:line="240" w:lineRule="auto"/>
              <w:jc w:val="left"/>
            </w:pPr>
            <w:r>
              <w:rPr>
                <w:sz w:val="15"/>
              </w:rPr>
              <w:t>Create demand, storage, logistics and quality coordination.</w:t>
            </w:r>
          </w:p>
        </w:tc>
        <w:tc>
          <w:tcPr>
            <w:tcW w:w="2232" w:type="dxa"/>
            <w:tcMar>
              <w:top w:w="55" w:type="dxa"/>
              <w:left w:w="55" w:type="dxa"/>
              <w:bottom w:w="55" w:type="dxa"/>
              <w:right w:w="55" w:type="dxa"/>
            </w:tcMar>
          </w:tcPr>
          <w:p w14:paraId="1CAA5BC9" w14:textId="77777777" w:rsidR="00963F80" w:rsidRDefault="00AA250C">
            <w:pPr>
              <w:spacing w:after="0" w:line="240" w:lineRule="auto"/>
              <w:jc w:val="left"/>
            </w:pPr>
            <w:r>
              <w:rPr>
                <w:sz w:val="15"/>
              </w:rPr>
              <w:t>Commercial utilisation, working capital, competitive procurement and reliable energy/infrastructure.</w:t>
            </w:r>
          </w:p>
        </w:tc>
        <w:tc>
          <w:tcPr>
            <w:tcW w:w="1944" w:type="dxa"/>
            <w:tcMar>
              <w:top w:w="55" w:type="dxa"/>
              <w:left w:w="55" w:type="dxa"/>
              <w:bottom w:w="55" w:type="dxa"/>
              <w:right w:w="55" w:type="dxa"/>
            </w:tcMar>
          </w:tcPr>
          <w:p w14:paraId="4E8FEFA8" w14:textId="77777777" w:rsidR="00963F80" w:rsidRDefault="00AA250C">
            <w:pPr>
              <w:spacing w:after="0" w:line="240" w:lineRule="auto"/>
              <w:jc w:val="left"/>
            </w:pPr>
            <w:r>
              <w:rPr>
                <w:sz w:val="15"/>
              </w:rPr>
              <w:t>Idle capacity, buyer concentration or public subsidy without producer gains.</w:t>
            </w:r>
          </w:p>
        </w:tc>
        <w:tc>
          <w:tcPr>
            <w:tcW w:w="1584" w:type="dxa"/>
            <w:tcMar>
              <w:top w:w="55" w:type="dxa"/>
              <w:left w:w="55" w:type="dxa"/>
              <w:bottom w:w="55" w:type="dxa"/>
              <w:right w:w="55" w:type="dxa"/>
            </w:tcMar>
          </w:tcPr>
          <w:p w14:paraId="02E9DE5F" w14:textId="77777777" w:rsidR="00963F80" w:rsidRDefault="00AA250C">
            <w:pPr>
              <w:spacing w:after="0" w:line="240" w:lineRule="auto"/>
              <w:jc w:val="left"/>
            </w:pPr>
            <w:r>
              <w:rPr>
                <w:sz w:val="15"/>
              </w:rPr>
              <w:t>Donkor et al. (2018); Reardon et al. (2021); AfDB (2025)</w:t>
            </w:r>
          </w:p>
        </w:tc>
      </w:tr>
      <w:tr w:rsidR="00963F80" w14:paraId="7269AB5D" w14:textId="77777777">
        <w:trPr>
          <w:cantSplit/>
          <w:jc w:val="center"/>
        </w:trPr>
        <w:tc>
          <w:tcPr>
            <w:tcW w:w="1512" w:type="dxa"/>
            <w:tcMar>
              <w:top w:w="55" w:type="dxa"/>
              <w:left w:w="55" w:type="dxa"/>
              <w:bottom w:w="55" w:type="dxa"/>
              <w:right w:w="55" w:type="dxa"/>
            </w:tcMar>
          </w:tcPr>
          <w:p w14:paraId="062C1169" w14:textId="77777777" w:rsidR="00963F80" w:rsidRDefault="00AA250C">
            <w:pPr>
              <w:spacing w:after="0" w:line="240" w:lineRule="auto"/>
              <w:jc w:val="left"/>
            </w:pPr>
            <w:r>
              <w:rPr>
                <w:sz w:val="15"/>
              </w:rPr>
              <w:t>Post-harvest and quality systems</w:t>
            </w:r>
          </w:p>
        </w:tc>
        <w:tc>
          <w:tcPr>
            <w:tcW w:w="2088" w:type="dxa"/>
            <w:tcMar>
              <w:top w:w="55" w:type="dxa"/>
              <w:left w:w="55" w:type="dxa"/>
              <w:bottom w:w="55" w:type="dxa"/>
              <w:right w:w="55" w:type="dxa"/>
            </w:tcMar>
          </w:tcPr>
          <w:p w14:paraId="63A4981F" w14:textId="77777777" w:rsidR="00963F80" w:rsidRDefault="00AA250C">
            <w:pPr>
              <w:spacing w:after="0" w:line="240" w:lineRule="auto"/>
              <w:jc w:val="left"/>
            </w:pPr>
            <w:r>
              <w:rPr>
                <w:sz w:val="15"/>
              </w:rPr>
              <w:t>Preserve quantity, extend marketing window and reward quality.</w:t>
            </w:r>
          </w:p>
        </w:tc>
        <w:tc>
          <w:tcPr>
            <w:tcW w:w="2232" w:type="dxa"/>
            <w:tcMar>
              <w:top w:w="55" w:type="dxa"/>
              <w:left w:w="55" w:type="dxa"/>
              <w:bottom w:w="55" w:type="dxa"/>
              <w:right w:w="55" w:type="dxa"/>
            </w:tcMar>
          </w:tcPr>
          <w:p w14:paraId="3C6CD932" w14:textId="77777777" w:rsidR="00963F80" w:rsidRDefault="00AA250C">
            <w:pPr>
              <w:spacing w:after="0" w:line="240" w:lineRule="auto"/>
              <w:jc w:val="left"/>
            </w:pPr>
            <w:r>
              <w:rPr>
                <w:sz w:val="15"/>
              </w:rPr>
              <w:t>Service-market viability, credible grades, storage management and buyer premiums.</w:t>
            </w:r>
          </w:p>
        </w:tc>
        <w:tc>
          <w:tcPr>
            <w:tcW w:w="1944" w:type="dxa"/>
            <w:tcMar>
              <w:top w:w="55" w:type="dxa"/>
              <w:left w:w="55" w:type="dxa"/>
              <w:bottom w:w="55" w:type="dxa"/>
              <w:right w:w="55" w:type="dxa"/>
            </w:tcMar>
          </w:tcPr>
          <w:p w14:paraId="36D51746" w14:textId="77777777" w:rsidR="00963F80" w:rsidRDefault="00AA250C">
            <w:pPr>
              <w:spacing w:after="0" w:line="240" w:lineRule="auto"/>
              <w:jc w:val="left"/>
            </w:pPr>
            <w:r>
              <w:rPr>
                <w:sz w:val="15"/>
              </w:rPr>
              <w:t>Equipment underutilisation or quality costs exceeding premiums.</w:t>
            </w:r>
          </w:p>
        </w:tc>
        <w:tc>
          <w:tcPr>
            <w:tcW w:w="1584" w:type="dxa"/>
            <w:tcMar>
              <w:top w:w="55" w:type="dxa"/>
              <w:left w:w="55" w:type="dxa"/>
              <w:bottom w:w="55" w:type="dxa"/>
              <w:right w:w="55" w:type="dxa"/>
            </w:tcMar>
          </w:tcPr>
          <w:p w14:paraId="27EAB68B" w14:textId="77777777" w:rsidR="00963F80" w:rsidRDefault="00AA250C">
            <w:pPr>
              <w:spacing w:after="0" w:line="240" w:lineRule="auto"/>
              <w:jc w:val="left"/>
            </w:pPr>
            <w:r>
              <w:rPr>
                <w:sz w:val="15"/>
              </w:rPr>
              <w:t>Castelein et al. (2022); Kitinoja et al. (2019)</w:t>
            </w:r>
          </w:p>
        </w:tc>
      </w:tr>
      <w:tr w:rsidR="00963F80" w14:paraId="007352E4" w14:textId="77777777">
        <w:trPr>
          <w:cantSplit/>
          <w:jc w:val="center"/>
        </w:trPr>
        <w:tc>
          <w:tcPr>
            <w:tcW w:w="1512" w:type="dxa"/>
            <w:tcMar>
              <w:top w:w="55" w:type="dxa"/>
              <w:left w:w="55" w:type="dxa"/>
              <w:bottom w:w="55" w:type="dxa"/>
              <w:right w:w="55" w:type="dxa"/>
            </w:tcMar>
          </w:tcPr>
          <w:p w14:paraId="5AE009D1" w14:textId="77777777" w:rsidR="00963F80" w:rsidRDefault="00AA250C">
            <w:pPr>
              <w:spacing w:after="0" w:line="240" w:lineRule="auto"/>
              <w:jc w:val="left"/>
            </w:pPr>
            <w:r>
              <w:rPr>
                <w:sz w:val="15"/>
              </w:rPr>
              <w:t>Digital market services</w:t>
            </w:r>
          </w:p>
        </w:tc>
        <w:tc>
          <w:tcPr>
            <w:tcW w:w="2088" w:type="dxa"/>
            <w:tcMar>
              <w:top w:w="55" w:type="dxa"/>
              <w:left w:w="55" w:type="dxa"/>
              <w:bottom w:w="55" w:type="dxa"/>
              <w:right w:w="55" w:type="dxa"/>
            </w:tcMar>
          </w:tcPr>
          <w:p w14:paraId="5FE57AA7" w14:textId="77777777" w:rsidR="00963F80" w:rsidRDefault="00AA250C">
            <w:pPr>
              <w:spacing w:after="0" w:line="240" w:lineRule="auto"/>
              <w:jc w:val="left"/>
            </w:pPr>
            <w:r>
              <w:rPr>
                <w:sz w:val="15"/>
              </w:rPr>
              <w:t>Lower information, coordination and payment costs.</w:t>
            </w:r>
          </w:p>
        </w:tc>
        <w:tc>
          <w:tcPr>
            <w:tcW w:w="2232" w:type="dxa"/>
            <w:tcMar>
              <w:top w:w="55" w:type="dxa"/>
              <w:left w:w="55" w:type="dxa"/>
              <w:bottom w:w="55" w:type="dxa"/>
              <w:right w:w="55" w:type="dxa"/>
            </w:tcMar>
          </w:tcPr>
          <w:p w14:paraId="019F4FCF" w14:textId="77777777" w:rsidR="00963F80" w:rsidRDefault="00AA250C">
            <w:pPr>
              <w:spacing w:after="0" w:line="240" w:lineRule="auto"/>
              <w:jc w:val="left"/>
            </w:pPr>
            <w:r>
              <w:rPr>
                <w:sz w:val="15"/>
              </w:rPr>
              <w:t>Connectivity, digital capability, actionable market options and assisted access.</w:t>
            </w:r>
          </w:p>
        </w:tc>
        <w:tc>
          <w:tcPr>
            <w:tcW w:w="1944" w:type="dxa"/>
            <w:tcMar>
              <w:top w:w="55" w:type="dxa"/>
              <w:left w:w="55" w:type="dxa"/>
              <w:bottom w:w="55" w:type="dxa"/>
              <w:right w:w="55" w:type="dxa"/>
            </w:tcMar>
          </w:tcPr>
          <w:p w14:paraId="57C56455" w14:textId="77777777" w:rsidR="00963F80" w:rsidRDefault="00AA250C">
            <w:pPr>
              <w:spacing w:after="0" w:line="240" w:lineRule="auto"/>
              <w:jc w:val="left"/>
            </w:pPr>
            <w:r>
              <w:rPr>
                <w:sz w:val="15"/>
              </w:rPr>
              <w:t>Digital exclusion, low sustained use, platform lock-in or opaque fees.</w:t>
            </w:r>
          </w:p>
        </w:tc>
        <w:tc>
          <w:tcPr>
            <w:tcW w:w="1584" w:type="dxa"/>
            <w:tcMar>
              <w:top w:w="55" w:type="dxa"/>
              <w:left w:w="55" w:type="dxa"/>
              <w:bottom w:w="55" w:type="dxa"/>
              <w:right w:w="55" w:type="dxa"/>
            </w:tcMar>
          </w:tcPr>
          <w:p w14:paraId="4AA6EA32" w14:textId="77777777" w:rsidR="00963F80" w:rsidRDefault="00AA250C">
            <w:pPr>
              <w:spacing w:after="0" w:line="240" w:lineRule="auto"/>
              <w:jc w:val="left"/>
            </w:pPr>
            <w:r>
              <w:rPr>
                <w:sz w:val="15"/>
              </w:rPr>
              <w:t>Anadozie et al. (2022); Kolapo &amp; Didunyemi (2024)</w:t>
            </w:r>
          </w:p>
        </w:tc>
      </w:tr>
      <w:tr w:rsidR="00963F80" w14:paraId="4AA82290" w14:textId="77777777">
        <w:trPr>
          <w:cantSplit/>
          <w:jc w:val="center"/>
        </w:trPr>
        <w:tc>
          <w:tcPr>
            <w:tcW w:w="1512" w:type="dxa"/>
            <w:tcMar>
              <w:top w:w="55" w:type="dxa"/>
              <w:left w:w="55" w:type="dxa"/>
              <w:bottom w:w="55" w:type="dxa"/>
              <w:right w:w="55" w:type="dxa"/>
            </w:tcMar>
          </w:tcPr>
          <w:p w14:paraId="633F9652" w14:textId="77777777" w:rsidR="00963F80" w:rsidRDefault="00AA250C">
            <w:pPr>
              <w:spacing w:after="0" w:line="240" w:lineRule="auto"/>
              <w:jc w:val="left"/>
            </w:pPr>
            <w:r>
              <w:rPr>
                <w:sz w:val="15"/>
              </w:rPr>
              <w:t>Inclusive finance</w:t>
            </w:r>
          </w:p>
        </w:tc>
        <w:tc>
          <w:tcPr>
            <w:tcW w:w="2088" w:type="dxa"/>
            <w:tcMar>
              <w:top w:w="55" w:type="dxa"/>
              <w:left w:w="55" w:type="dxa"/>
              <w:bottom w:w="55" w:type="dxa"/>
              <w:right w:w="55" w:type="dxa"/>
            </w:tcMar>
          </w:tcPr>
          <w:p w14:paraId="1976A90D" w14:textId="77777777" w:rsidR="00963F80" w:rsidRDefault="00AA250C">
            <w:pPr>
              <w:spacing w:after="0" w:line="240" w:lineRule="auto"/>
              <w:jc w:val="left"/>
            </w:pPr>
            <w:r>
              <w:rPr>
                <w:sz w:val="15"/>
              </w:rPr>
              <w:t>Enable input purchase, storage and marketing while smoothing liquidity.</w:t>
            </w:r>
          </w:p>
        </w:tc>
        <w:tc>
          <w:tcPr>
            <w:tcW w:w="2232" w:type="dxa"/>
            <w:tcMar>
              <w:top w:w="55" w:type="dxa"/>
              <w:left w:w="55" w:type="dxa"/>
              <w:bottom w:w="55" w:type="dxa"/>
              <w:right w:w="55" w:type="dxa"/>
            </w:tcMar>
          </w:tcPr>
          <w:p w14:paraId="78400DD1" w14:textId="77777777" w:rsidR="00963F80" w:rsidRDefault="00AA250C">
            <w:pPr>
              <w:spacing w:after="0" w:line="240" w:lineRule="auto"/>
              <w:jc w:val="left"/>
            </w:pPr>
            <w:r>
              <w:rPr>
                <w:sz w:val="15"/>
              </w:rPr>
              <w:t>Products aligned to crop cycle and realistic revenue; risk sharing and transparent deductions.</w:t>
            </w:r>
          </w:p>
        </w:tc>
        <w:tc>
          <w:tcPr>
            <w:tcW w:w="1944" w:type="dxa"/>
            <w:tcMar>
              <w:top w:w="55" w:type="dxa"/>
              <w:left w:w="55" w:type="dxa"/>
              <w:bottom w:w="55" w:type="dxa"/>
              <w:right w:w="55" w:type="dxa"/>
            </w:tcMar>
          </w:tcPr>
          <w:p w14:paraId="4C5F10AC" w14:textId="77777777" w:rsidR="00963F80" w:rsidRDefault="00AA250C">
            <w:pPr>
              <w:spacing w:after="0" w:line="240" w:lineRule="auto"/>
              <w:jc w:val="left"/>
            </w:pPr>
            <w:r>
              <w:rPr>
                <w:sz w:val="15"/>
              </w:rPr>
              <w:t>Over-indebtedness, adverse selection or exclusion through collateral/documentation.</w:t>
            </w:r>
          </w:p>
        </w:tc>
        <w:tc>
          <w:tcPr>
            <w:tcW w:w="1584" w:type="dxa"/>
            <w:tcMar>
              <w:top w:w="55" w:type="dxa"/>
              <w:left w:w="55" w:type="dxa"/>
              <w:bottom w:w="55" w:type="dxa"/>
              <w:right w:w="55" w:type="dxa"/>
            </w:tcMar>
          </w:tcPr>
          <w:p w14:paraId="760F7929" w14:textId="77777777" w:rsidR="00963F80" w:rsidRDefault="00AA250C">
            <w:pPr>
              <w:spacing w:after="0" w:line="240" w:lineRule="auto"/>
              <w:jc w:val="left"/>
            </w:pPr>
            <w:r>
              <w:rPr>
                <w:sz w:val="15"/>
              </w:rPr>
              <w:t>Adegbite &amp; Machethe (2020); Balana &amp; Oyeyemi (2022)</w:t>
            </w:r>
          </w:p>
        </w:tc>
      </w:tr>
      <w:tr w:rsidR="00963F80" w14:paraId="5A97B624" w14:textId="77777777">
        <w:trPr>
          <w:cantSplit/>
          <w:jc w:val="center"/>
        </w:trPr>
        <w:tc>
          <w:tcPr>
            <w:tcW w:w="1512" w:type="dxa"/>
            <w:tcMar>
              <w:top w:w="55" w:type="dxa"/>
              <w:left w:w="55" w:type="dxa"/>
              <w:bottom w:w="55" w:type="dxa"/>
              <w:right w:w="55" w:type="dxa"/>
            </w:tcMar>
          </w:tcPr>
          <w:p w14:paraId="2F42D424" w14:textId="77777777" w:rsidR="00963F80" w:rsidRDefault="00AA250C">
            <w:pPr>
              <w:spacing w:after="0" w:line="240" w:lineRule="auto"/>
              <w:jc w:val="left"/>
            </w:pPr>
            <w:r>
              <w:rPr>
                <w:sz w:val="15"/>
              </w:rPr>
              <w:t>Resilience and security</w:t>
            </w:r>
          </w:p>
        </w:tc>
        <w:tc>
          <w:tcPr>
            <w:tcW w:w="2088" w:type="dxa"/>
            <w:tcMar>
              <w:top w:w="55" w:type="dxa"/>
              <w:left w:w="55" w:type="dxa"/>
              <w:bottom w:w="55" w:type="dxa"/>
              <w:right w:w="55" w:type="dxa"/>
            </w:tcMar>
          </w:tcPr>
          <w:p w14:paraId="31D13D26" w14:textId="77777777" w:rsidR="00963F80" w:rsidRDefault="00AA250C">
            <w:pPr>
              <w:spacing w:after="0" w:line="240" w:lineRule="auto"/>
              <w:jc w:val="left"/>
            </w:pPr>
            <w:r>
              <w:rPr>
                <w:sz w:val="15"/>
              </w:rPr>
              <w:t>Maintain production and exchange through climate and conflict shocks.</w:t>
            </w:r>
          </w:p>
        </w:tc>
        <w:tc>
          <w:tcPr>
            <w:tcW w:w="2232" w:type="dxa"/>
            <w:tcMar>
              <w:top w:w="55" w:type="dxa"/>
              <w:left w:w="55" w:type="dxa"/>
              <w:bottom w:w="55" w:type="dxa"/>
              <w:right w:w="55" w:type="dxa"/>
            </w:tcMar>
          </w:tcPr>
          <w:p w14:paraId="4323AD00" w14:textId="77777777" w:rsidR="00963F80" w:rsidRDefault="00AA250C">
            <w:pPr>
              <w:spacing w:after="0" w:line="240" w:lineRule="auto"/>
              <w:jc w:val="left"/>
            </w:pPr>
            <w:r>
              <w:rPr>
                <w:sz w:val="15"/>
              </w:rPr>
              <w:t>Shock-specific design, redundant routes/channels and adaptive finance.</w:t>
            </w:r>
          </w:p>
        </w:tc>
        <w:tc>
          <w:tcPr>
            <w:tcW w:w="1944" w:type="dxa"/>
            <w:tcMar>
              <w:top w:w="55" w:type="dxa"/>
              <w:left w:w="55" w:type="dxa"/>
              <w:bottom w:w="55" w:type="dxa"/>
              <w:right w:w="55" w:type="dxa"/>
            </w:tcMar>
          </w:tcPr>
          <w:p w14:paraId="4AB0BCCE" w14:textId="77777777" w:rsidR="00963F80" w:rsidRDefault="00AA250C">
            <w:pPr>
              <w:spacing w:after="0" w:line="240" w:lineRule="auto"/>
              <w:jc w:val="left"/>
            </w:pPr>
            <w:r>
              <w:rPr>
                <w:sz w:val="15"/>
              </w:rPr>
              <w:t>Infrastructure that is resilient in design but disconnected from actual chain risk.</w:t>
            </w:r>
          </w:p>
        </w:tc>
        <w:tc>
          <w:tcPr>
            <w:tcW w:w="1584" w:type="dxa"/>
            <w:tcMar>
              <w:top w:w="55" w:type="dxa"/>
              <w:left w:w="55" w:type="dxa"/>
              <w:bottom w:w="55" w:type="dxa"/>
              <w:right w:w="55" w:type="dxa"/>
            </w:tcMar>
          </w:tcPr>
          <w:p w14:paraId="79480293" w14:textId="77777777" w:rsidR="00963F80" w:rsidRDefault="00AA250C">
            <w:pPr>
              <w:spacing w:after="0" w:line="240" w:lineRule="auto"/>
              <w:jc w:val="left"/>
            </w:pPr>
            <w:r>
              <w:rPr>
                <w:sz w:val="15"/>
              </w:rPr>
              <w:t>Kwon et al. (2026); Tabe-Ojong &amp; Lokossou (2026)</w:t>
            </w:r>
          </w:p>
        </w:tc>
      </w:tr>
      <w:tr w:rsidR="00963F80" w14:paraId="6CDF8E90" w14:textId="77777777">
        <w:trPr>
          <w:cantSplit/>
          <w:jc w:val="center"/>
        </w:trPr>
        <w:tc>
          <w:tcPr>
            <w:tcW w:w="1512" w:type="dxa"/>
            <w:tcMar>
              <w:top w:w="55" w:type="dxa"/>
              <w:left w:w="55" w:type="dxa"/>
              <w:bottom w:w="55" w:type="dxa"/>
              <w:right w:w="55" w:type="dxa"/>
            </w:tcMar>
          </w:tcPr>
          <w:p w14:paraId="09335CEC" w14:textId="77777777" w:rsidR="00963F80" w:rsidRDefault="00AA250C">
            <w:pPr>
              <w:spacing w:after="0" w:line="240" w:lineRule="auto"/>
              <w:jc w:val="left"/>
            </w:pPr>
            <w:r>
              <w:rPr>
                <w:sz w:val="15"/>
              </w:rPr>
              <w:t>Integrated value-chain programmes</w:t>
            </w:r>
          </w:p>
        </w:tc>
        <w:tc>
          <w:tcPr>
            <w:tcW w:w="2088" w:type="dxa"/>
            <w:tcMar>
              <w:top w:w="55" w:type="dxa"/>
              <w:left w:w="55" w:type="dxa"/>
              <w:bottom w:w="55" w:type="dxa"/>
              <w:right w:w="55" w:type="dxa"/>
            </w:tcMar>
          </w:tcPr>
          <w:p w14:paraId="1280750C" w14:textId="77777777" w:rsidR="00963F80" w:rsidRDefault="00AA250C">
            <w:pPr>
              <w:spacing w:after="0" w:line="240" w:lineRule="auto"/>
              <w:jc w:val="left"/>
            </w:pPr>
            <w:r>
              <w:rPr>
                <w:sz w:val="15"/>
              </w:rPr>
              <w:t>Coordinate productivity, aggregation, off-take and post-harvest investment.</w:t>
            </w:r>
          </w:p>
        </w:tc>
        <w:tc>
          <w:tcPr>
            <w:tcW w:w="2232" w:type="dxa"/>
            <w:tcMar>
              <w:top w:w="55" w:type="dxa"/>
              <w:left w:w="55" w:type="dxa"/>
              <w:bottom w:w="55" w:type="dxa"/>
              <w:right w:w="55" w:type="dxa"/>
            </w:tcMar>
          </w:tcPr>
          <w:p w14:paraId="65170062" w14:textId="77777777" w:rsidR="00963F80" w:rsidRDefault="00AA250C">
            <w:pPr>
              <w:spacing w:after="0" w:line="240" w:lineRule="auto"/>
              <w:jc w:val="left"/>
            </w:pPr>
            <w:r>
              <w:rPr>
                <w:sz w:val="15"/>
              </w:rPr>
              <w:t>Transparent targeting, additionality, competition, outcome verification and cross-programme coordination.</w:t>
            </w:r>
          </w:p>
        </w:tc>
        <w:tc>
          <w:tcPr>
            <w:tcW w:w="1944" w:type="dxa"/>
            <w:tcMar>
              <w:top w:w="55" w:type="dxa"/>
              <w:left w:w="55" w:type="dxa"/>
              <w:bottom w:w="55" w:type="dxa"/>
              <w:right w:w="55" w:type="dxa"/>
            </w:tcMar>
          </w:tcPr>
          <w:p w14:paraId="3E76A431" w14:textId="77777777" w:rsidR="00963F80" w:rsidRDefault="00AA250C">
            <w:pPr>
              <w:spacing w:after="0" w:line="240" w:lineRule="auto"/>
              <w:jc w:val="left"/>
            </w:pPr>
            <w:r>
              <w:rPr>
                <w:sz w:val="15"/>
              </w:rPr>
              <w:t>Complex governance, duplication and success measured by inputs rather than durable transactions.</w:t>
            </w:r>
          </w:p>
        </w:tc>
        <w:tc>
          <w:tcPr>
            <w:tcW w:w="1584" w:type="dxa"/>
            <w:tcMar>
              <w:top w:w="55" w:type="dxa"/>
              <w:left w:w="55" w:type="dxa"/>
              <w:bottom w:w="55" w:type="dxa"/>
              <w:right w:w="55" w:type="dxa"/>
            </w:tcMar>
          </w:tcPr>
          <w:p w14:paraId="6885B78D" w14:textId="77777777" w:rsidR="00963F80" w:rsidRDefault="00AA250C">
            <w:pPr>
              <w:spacing w:after="0" w:line="240" w:lineRule="auto"/>
              <w:jc w:val="left"/>
            </w:pPr>
            <w:r>
              <w:rPr>
                <w:sz w:val="15"/>
              </w:rPr>
              <w:t>IFAD (n.d.); World Bank (2026a, 2026b)</w:t>
            </w:r>
          </w:p>
        </w:tc>
      </w:tr>
    </w:tbl>
    <w:p w14:paraId="576D0B32" w14:textId="77777777" w:rsidR="00963F80" w:rsidRDefault="00AA250C">
      <w:pPr>
        <w:pStyle w:val="TableNote"/>
      </w:pPr>
      <w:r>
        <w:t>Note. The portfolio is intended for diagnosis and sequencing. Intervention choice should follow identification of the binding constraints within a specific crop, geography and buyer system.</w:t>
      </w:r>
    </w:p>
    <w:p w14:paraId="0D5351C3" w14:textId="77777777" w:rsidR="00963F80" w:rsidRDefault="00AA250C">
      <w:pPr>
        <w:pStyle w:val="Heading1"/>
      </w:pPr>
      <w:r>
        <w:t>12. Future Directions</w:t>
      </w:r>
    </w:p>
    <w:p w14:paraId="50745C16" w14:textId="77777777" w:rsidR="00963F80" w:rsidRDefault="00AA250C">
      <w:r>
        <w:t>Future research should move from repeatedly estimating whether a farmer “participates in markets” towards identifying which combinations of services create durable and inclusive commercial relationships. The immediate priority is longitudinal, transaction-level evidence. Much Nigerian research remains cross-sectional and local, making it difficult to distinguish selection into commercialisation from effects of commercialisation. Panel studies should record quantities, prices, quality, marketing costs, buyer identity, payment delays, storage, digital use and shocks across seasons. Linking such data to geospatial measures of road quality, travel time, rainfall, temperature and insecurity would permit stronger identification of the mechanisms through which access changes.</w:t>
      </w:r>
    </w:p>
    <w:p w14:paraId="1AFDA551" w14:textId="77777777" w:rsidR="00963F80" w:rsidRDefault="00AA250C">
      <w:r>
        <w:t xml:space="preserve">A second priority is rigorous evaluation of bundled value-chain programmes. AGROW, RAAMP-SU, VCDP and SAPZ-type investments create opportunities for phased or quasi-experimental evaluation if baseline data and comparison areas are established before implementation. Evaluations should be designed around causal </w:t>
      </w:r>
      <w:r>
        <w:lastRenderedPageBreak/>
        <w:t>pathways rather than only programme-wide average effects. For example, road improvements could be tested for effects on trader entry and transport charges; aggregation grants for effects on buyer diversity and price net of service fees; and processing investments for utilisation, procurement radius and smallholder price transmission. Where randomisation is impractical, credible difference-in-differences, regression discontinuity, matched panel or instrumental-variable strategies should be specified prospectively.</w:t>
      </w:r>
    </w:p>
    <w:p w14:paraId="0FBBC86E" w14:textId="77777777" w:rsidR="00963F80" w:rsidRDefault="00AA250C">
      <w:r>
        <w:t>Third, research needs to measure complementarity. The core hypothesis of this review is that roads, productive technology, aggregation, finance, storage and buyers interact. Factorial or sequential intervention designs could test whether the effect of one component depends on another. A road may have larger effects where aggregation exists; storage may have value only when liquidity permits delayed sale; digital prices may matter only when farmers have buyer choice. Estimating these interaction effects would improve allocation of scarce public funds and reduce the tendency to scale components that work only within a bundle.</w:t>
      </w:r>
    </w:p>
    <w:p w14:paraId="3204D9B0" w14:textId="77777777" w:rsidR="00963F80" w:rsidRDefault="00AA250C">
      <w:r>
        <w:t>Fourth, the economics and governance of aggregation require closer study. Research should compare farmer-owned cooperatives, private aggregators, lead-farmer systems, processor-led collection and medium-scale-farm service networks under similar crop and market conditions. Outcomes should include total marketing cost, farm-gate net price, payment speed, side-selling, member retention, governance participation and exclusion. Particular attention should be given to the smallest farms, women and remote communities, because an arrangement that maximises aggregate procurement may not maximise inclusive gains.</w:t>
      </w:r>
    </w:p>
    <w:p w14:paraId="7F1FF17A" w14:textId="77777777" w:rsidR="00963F80" w:rsidRDefault="00AA250C">
      <w:r>
        <w:t>Fifth, midstream enterprises warrant a dedicated evidence programme. Nigerian research on traders and wholesalers has begun to show how these actors adapt to climate and security risks and how their channels can support farmer welfare (Kwon et al., 2026; Liverpool-Tasie &amp; Parkhi, 2021; Manda et al., 2020). Future studies should collect enterprise panels covering working capital, storage, transport assets, sourcing networks, losses, credit, employment and technology. Policy experiments could test whether logistics finance, warehouse investment, market infrastructure or information systems increase competition and pass benefits upstream to farmers and downstream to consumers.</w:t>
      </w:r>
    </w:p>
    <w:p w14:paraId="077FCC89" w14:textId="77777777" w:rsidR="00963F80" w:rsidRDefault="00AA250C">
      <w:r>
        <w:t>Sixth, value distribution should be measured explicitly. Future studies should trace margins at multiple stages and distinguish gross price changes from net returns after transport, quality costs, fees and finance. Incidence analysis is essential for publicly subsidised processing zones and matching grants. It should ask how much of the benefit accrues to smallholders, workers, midstream firms, processors and consumers and whether these shares change over time. Gender-disaggregated control over proceeds and enterprise ownership should be included rather than inferred from household-head sex.</w:t>
      </w:r>
    </w:p>
    <w:p w14:paraId="4CD656F2" w14:textId="77777777" w:rsidR="00963F80" w:rsidRDefault="00AA250C">
      <w:r>
        <w:t>Seventh, quality and post-harvest research should move beyond technical loss percentages to business-model performance. Controlled evidence on rice mechanisation is promising (Castelein et al., 2022), but scale-up requires information on machinery utilisation, downtime, maintenance, operator supply, service pricing and willingness to pay. Similarly, storage and drying research should measure quality premiums, inventory finance, seasonal price movements and net returns. The relevant outcome is whether a technology creates a viable service and increases saleable value, not simply whether it reduces physical loss.</w:t>
      </w:r>
    </w:p>
    <w:p w14:paraId="55D25E13" w14:textId="77777777" w:rsidR="00963F80" w:rsidRDefault="00AA250C">
      <w:r>
        <w:t xml:space="preserve">Eighth, digital agriculture requires longer-term, independently measured adoption and market outcomes. Studies should distinguish exposure, registration, active use and transaction completion. Designs should test assisted versus self-service models and examine whether digital systems change price dispersion, buyer search, payment speed, input authenticity or credit access. Distributional effects are a priority because digital services may advantage already connected farmers. Interoperability and portability of farmer records should </w:t>
      </w:r>
      <w:r>
        <w:lastRenderedPageBreak/>
        <w:t>also be studied as governance questions, particularly where several public programmes use overlapping registries.</w:t>
      </w:r>
    </w:p>
    <w:p w14:paraId="026FE8C8" w14:textId="77777777" w:rsidR="00963F80" w:rsidRDefault="00AA250C">
      <w:r>
        <w:t>Ninth, resilience studies should integrate farm and market shocks. Tabe-Ojong and Lokossou (2026) show how extreme heat reduces commercialisation through production loss, while Kwon et al. (2026) demonstrate that wholesalers prioritise different measures for conflict and weather shocks. Future work should estimate network effects: when one route or producing zone is disrupted, how do flows, prices and buyer activity adjust elsewhere? High-frequency market and transport data could identify recovery time and the value of redundant routes, distributed storage and diversified sourcing.</w:t>
      </w:r>
    </w:p>
    <w:p w14:paraId="1A41E706" w14:textId="77777777" w:rsidR="00963F80" w:rsidRDefault="00AA250C">
      <w:r>
        <w:t>Finally, future synthesis should address external validity across Nigeria’s agroecological and market zones. South-western case studies cannot automatically represent northern grain corridors, and northern cowpea evidence may not transfer to cassava systems. Multi-state designs should therefore be purposively structured around differences in crop perishability, irrigation, road access, insecurity, market concentration and farm size. The practical objective is not a single national effect size, but a decision rule that identifies which portfolio is most likely to work under which conditions.</w:t>
      </w:r>
    </w:p>
    <w:p w14:paraId="6D4884A8" w14:textId="77777777" w:rsidR="00963F80" w:rsidRDefault="00AA250C">
      <w:pPr>
        <w:pStyle w:val="Heading1"/>
      </w:pPr>
      <w:r>
        <w:t>13. Conclusions</w:t>
      </w:r>
    </w:p>
    <w:p w14:paraId="121609B6" w14:textId="77777777" w:rsidR="00963F80" w:rsidRDefault="00AA250C">
      <w:r>
        <w:t>Agricultural value chain development can improve market access for Nigeria’s small-scale arable crop farmers, but the evidence does not support a single-intervention model. Market access emerges from the interaction of marketable surplus, logistics, aggregation, post-harvest capability, finance, information, buyer competition, governance and resilience. The most defensible conclusion is therefore that value-chain development works through complementarity: removing one constraint is valuable only to the extent that another stage does not become binding.</w:t>
      </w:r>
    </w:p>
    <w:p w14:paraId="727F3526" w14:textId="77777777" w:rsidR="00963F80" w:rsidRDefault="00AA250C">
      <w:r>
        <w:t>Evidence is strongest for several mechanisms. Productive technologies and improved input access can raise welfare and support commercialisation when farmers have viable outlets. Trader, wholesaler, processor and medium-scale-farm relationships can provide services and coordination rather than functioning solely as extractive intermediation. Post-harvest technologies can preserve saleable quantity and quality, while roads and logistics reduce spatial costs. Recent Nigerian evidence also makes clear that climate and security shocks can damage market participation directly or through production and route disruption.</w:t>
      </w:r>
    </w:p>
    <w:p w14:paraId="1526EF30" w14:textId="77777777" w:rsidR="00963F80" w:rsidRDefault="00AA250C">
      <w:r>
        <w:t>Confidence is lower regarding the general effectiveness of digital platforms, farmer organisations, processing hubs or formal off-take arrangements as stand-alone solutions. These instruments can be valuable, but their effects depend on governance, commercial viability, competition, inclusion and the capabilities of participating farmers. Formalisation and quality upgrading may increase efficiency while excluding producers who cannot meet fixed costs or documentary requirements.</w:t>
      </w:r>
    </w:p>
    <w:p w14:paraId="11B2CBFF" w14:textId="77777777" w:rsidR="00963F80" w:rsidRDefault="00AA250C">
      <w:r>
        <w:t>Nigeria’s emerging policy architecture increasingly reflects a systems perspective by combining roads, productivity, aggregation, processing and market linkage. The development challenge is consequently shifting from recognising complementarity to implementing it. Programmes should diagnose binding constraints at crop-and-place level, invest in competitive coordination, make maintenance and resilience integral to infrastructure, and measure realised transactions and net producer value rather than inputs delivered. For small-scale arable farmers, durable market access is achieved not when a market, road or platform exists, but when they can repeatedly sell adequate-quality output on terms that cover costs, manage risk and support household welfare.</w:t>
      </w:r>
    </w:p>
    <w:p w14:paraId="1348BB06" w14:textId="77777777" w:rsidR="00963F80" w:rsidRDefault="00AA250C">
      <w:pPr>
        <w:pStyle w:val="Heading1"/>
      </w:pPr>
      <w:r>
        <w:lastRenderedPageBreak/>
        <w:t>14. Limitations</w:t>
      </w:r>
    </w:p>
    <w:p w14:paraId="683B904C" w14:textId="77777777" w:rsidR="00963F80" w:rsidRDefault="00AA250C">
      <w:r>
        <w:t>As a narrative review, this synthesis is intrinsically exposed to selection and interpretive bias despite the use of an explicit search period, multiple scholarly sources, transparent eligibility principles and critical appraisal. It was not designed as a systematic review or meta-analysis, and no exhaustive screening count or formal risk-of-bias score was generated. The literature is heterogeneous in crop, location, outcome definition and econometric method, which limits direct comparison and precludes a defensible pooled effect estimate.</w:t>
      </w:r>
    </w:p>
    <w:p w14:paraId="501B9983" w14:textId="77777777" w:rsidR="00963F80" w:rsidRDefault="00AA250C">
      <w:r>
        <w:t>The Nigerian evidence base is uneven geographically and methodologically. Many studies rely on cross-sectional data from particular states, while stronger panel and quasi-experimental studies cover only selected mechanisms. Evidence on the long-term performance of aggregation models, digital market services, processing hubs and current large-scale value-chain programmes is still limited. Some institutional initiatives reviewed here were recently approved, so their inclusion informs programme architecture rather than demonstrated impact. English-language and openly verifiable sources were predominant, which may have excluded relevant work not readily accessible through the searched sources. Rapid changes in climate risk, insecurity, digital services, infrastructure and agricultural policy may also reduce the durability of specific programme observations. These limitations warrant caution in transferring findings across crops and regions and reinforce the need for prospective, multi-state and transaction-level evaluation.</w:t>
      </w:r>
    </w:p>
    <w:p w14:paraId="4DDD11A1" w14:textId="77777777" w:rsidR="006B4932" w:rsidRDefault="006B4932"/>
    <w:p w14:paraId="34FA1B91" w14:textId="77777777" w:rsidR="006B4932" w:rsidRDefault="006B4932" w:rsidP="006B4932">
      <w:pPr>
        <w:spacing w:after="120"/>
        <w:jc w:val="center"/>
      </w:pPr>
      <w:bookmarkStart w:id="1" w:name="_Hlk239063811"/>
    </w:p>
    <w:p w14:paraId="7A00477D" w14:textId="77777777" w:rsidR="006B4932" w:rsidRDefault="006B4932" w:rsidP="006B4932">
      <w:pPr>
        <w:shd w:val="clear" w:color="auto" w:fill="FFFFFF"/>
        <w:spacing w:after="0" w:line="240" w:lineRule="auto"/>
        <w:rPr>
          <w:rFonts w:ascii="Arial" w:hAnsi="Arial" w:cs="Arial"/>
          <w:color w:val="222222"/>
          <w:sz w:val="24"/>
          <w:szCs w:val="24"/>
          <w:lang w:val="en-IN" w:eastAsia="en-IN"/>
        </w:rPr>
      </w:pPr>
      <w:bookmarkStart w:id="2" w:name="_Hlk232854992"/>
      <w:bookmarkStart w:id="3" w:name="_Hlk238909442"/>
      <w:bookmarkStart w:id="4" w:name="_Hlk237857116"/>
    </w:p>
    <w:p w14:paraId="77C380FD" w14:textId="77777777" w:rsidR="006B4932" w:rsidRPr="002D08AC" w:rsidRDefault="006B4932" w:rsidP="006B4932">
      <w:pPr>
        <w:spacing w:after="0" w:line="240" w:lineRule="auto"/>
        <w:rPr>
          <w:rFonts w:ascii="Arial" w:hAnsi="Arial" w:cs="Arial"/>
          <w:b/>
          <w:sz w:val="20"/>
          <w:szCs w:val="20"/>
        </w:rPr>
      </w:pPr>
      <w:bookmarkStart w:id="5" w:name="_Hlk238550938"/>
      <w:bookmarkStart w:id="6" w:name="_Hlk237856463"/>
      <w:bookmarkEnd w:id="2"/>
      <w:r w:rsidRPr="002D08AC">
        <w:rPr>
          <w:rFonts w:ascii="Arial" w:hAnsi="Arial" w:cs="Arial"/>
          <w:b/>
          <w:sz w:val="20"/>
          <w:szCs w:val="20"/>
        </w:rPr>
        <w:t>Declaration of AI Use</w:t>
      </w:r>
    </w:p>
    <w:p w14:paraId="22387069" w14:textId="77777777" w:rsidR="006B4932" w:rsidRPr="002D08AC" w:rsidRDefault="006B4932" w:rsidP="006B4932">
      <w:pPr>
        <w:spacing w:after="0" w:line="240" w:lineRule="auto"/>
        <w:rPr>
          <w:rFonts w:ascii="Arial" w:hAnsi="Arial" w:cs="Arial"/>
          <w:sz w:val="20"/>
          <w:szCs w:val="20"/>
        </w:rPr>
      </w:pPr>
      <w:bookmarkStart w:id="7" w:name="_Hlk239068730"/>
    </w:p>
    <w:p w14:paraId="6A3D216B" w14:textId="77777777" w:rsidR="006B4932" w:rsidRPr="002D08AC" w:rsidRDefault="006B4932" w:rsidP="006B4932">
      <w:pPr>
        <w:spacing w:after="0" w:line="240" w:lineRule="auto"/>
        <w:rPr>
          <w:rFonts w:ascii="Arial" w:hAnsi="Arial" w:cs="Arial"/>
          <w:sz w:val="20"/>
          <w:szCs w:val="20"/>
        </w:rPr>
      </w:pPr>
      <w:bookmarkStart w:id="8"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2D08AC">
        <w:rPr>
          <w:rFonts w:ascii="Arial" w:hAnsi="Arial" w:cs="Arial"/>
          <w:sz w:val="20"/>
          <w:szCs w:val="20"/>
        </w:rPr>
        <w:t>.</w:t>
      </w:r>
    </w:p>
    <w:bookmarkEnd w:id="1"/>
    <w:bookmarkEnd w:id="4"/>
    <w:bookmarkEnd w:id="6"/>
    <w:bookmarkEnd w:id="7"/>
    <w:bookmarkEnd w:id="8"/>
    <w:p w14:paraId="4637E554" w14:textId="77777777" w:rsidR="006B4932" w:rsidRDefault="006B4932"/>
    <w:p w14:paraId="6965B116" w14:textId="77777777" w:rsidR="00963F80" w:rsidRDefault="00963F80"/>
    <w:p w14:paraId="7D479692" w14:textId="77777777" w:rsidR="00963F80" w:rsidRDefault="00AA250C">
      <w:pPr>
        <w:pStyle w:val="Heading1"/>
      </w:pPr>
      <w:r>
        <w:t>References</w:t>
      </w:r>
    </w:p>
    <w:p w14:paraId="3E68495D" w14:textId="77777777" w:rsidR="00963F80" w:rsidRDefault="00AA250C">
      <w:pPr>
        <w:pStyle w:val="Reference"/>
      </w:pPr>
      <w:r>
        <w:t xml:space="preserve">50x2030 Initiative. (2026). Survey brief – Agricultural season 2022/23: Nigeria. </w:t>
      </w:r>
      <w:hyperlink r:id="rId8">
        <w:r>
          <w:rPr>
            <w:color w:val="0563C1"/>
            <w:u w:val="single"/>
          </w:rPr>
          <w:t>https://www.50x2030.org/sites/default/files/resources/documents/2026-01/Nigeria%20survey%20brief%2022-23.pdf</w:t>
        </w:r>
      </w:hyperlink>
    </w:p>
    <w:p w14:paraId="41D34509" w14:textId="77777777" w:rsidR="00963F80" w:rsidRDefault="00AA250C">
      <w:pPr>
        <w:pStyle w:val="Reference"/>
      </w:pPr>
      <w:r>
        <w:t xml:space="preserve">Adegbite, O. O., &amp; Machethe, C. L. (2020). Bridging the financial inclusion gender gap in smallholder agriculture in Nigeria: An untapped potential for sustainable development. </w:t>
      </w:r>
      <w:r>
        <w:rPr>
          <w:i/>
        </w:rPr>
        <w:t>World Development, 127</w:t>
      </w:r>
      <w:r>
        <w:t xml:space="preserve">, 104755. </w:t>
      </w:r>
      <w:hyperlink r:id="rId9">
        <w:r>
          <w:rPr>
            <w:color w:val="0563C1"/>
            <w:u w:val="single"/>
          </w:rPr>
          <w:t>https://doi.org/10.1016/j.worlddev.2019.104755</w:t>
        </w:r>
      </w:hyperlink>
    </w:p>
    <w:p w14:paraId="610C3259" w14:textId="77777777" w:rsidR="00963F80" w:rsidRDefault="00AA250C">
      <w:pPr>
        <w:pStyle w:val="Reference"/>
      </w:pPr>
      <w:r>
        <w:t xml:space="preserve">African Development Bank Group. (2025). Nigeria – Special Agro-Industrial Processing Zones Phase II (SAPZS II). MapAfrica. </w:t>
      </w:r>
      <w:hyperlink r:id="rId10">
        <w:r>
          <w:rPr>
            <w:color w:val="0563C1"/>
            <w:u w:val="single"/>
          </w:rPr>
          <w:t>https://mapafrica.afdb.org/en/projects/46002-P-NG-AAG-011</w:t>
        </w:r>
      </w:hyperlink>
    </w:p>
    <w:p w14:paraId="2BF4767F" w14:textId="77777777" w:rsidR="00963F80" w:rsidRDefault="00AA250C">
      <w:pPr>
        <w:pStyle w:val="Reference"/>
      </w:pPr>
      <w:r>
        <w:t xml:space="preserve">Afolami, C. A., Obayelu, A. E., &amp; Vaughan, I. I. (2015). Welfare impact of adoption of improved cassava varieties by rural households in South Western Nigeria. </w:t>
      </w:r>
      <w:r>
        <w:rPr>
          <w:i/>
        </w:rPr>
        <w:t>Agricultural and Food Economics, 3</w:t>
      </w:r>
      <w:r>
        <w:t xml:space="preserve">, 18. </w:t>
      </w:r>
      <w:hyperlink r:id="rId11">
        <w:r>
          <w:rPr>
            <w:color w:val="0563C1"/>
            <w:u w:val="single"/>
          </w:rPr>
          <w:t>https://doi.org/10.1186/s40100-015-0037-2</w:t>
        </w:r>
      </w:hyperlink>
    </w:p>
    <w:p w14:paraId="5C72AAC5" w14:textId="77777777" w:rsidR="00963F80" w:rsidRDefault="00AA250C">
      <w:pPr>
        <w:pStyle w:val="Reference"/>
      </w:pPr>
      <w:r>
        <w:t xml:space="preserve">Anadozie, C., Fonkam, M., &amp; Cleron, J.-P. (2022). Assessing mobile phone use in farming: The case of Nigerian rural farmers. African Journal of Science, Technology, Innovation and Development, 14(2), 418–427. </w:t>
      </w:r>
      <w:hyperlink r:id="rId12">
        <w:r>
          <w:rPr>
            <w:color w:val="0563C1"/>
            <w:u w:val="single"/>
          </w:rPr>
          <w:t>https://doi.org/10.1080/20421338.2020.1840052</w:t>
        </w:r>
      </w:hyperlink>
    </w:p>
    <w:p w14:paraId="360E3018" w14:textId="77777777" w:rsidR="00963F80" w:rsidRDefault="00AA250C">
      <w:pPr>
        <w:pStyle w:val="Reference"/>
      </w:pPr>
      <w:r>
        <w:lastRenderedPageBreak/>
        <w:t xml:space="preserve">Awotide, B. A., Karimov, A. A., &amp; Diagne, A. (2016). Agricultural technology adoption, commercialization and smallholder rice farmers’ welfare in rural Nigeria. </w:t>
      </w:r>
      <w:r>
        <w:rPr>
          <w:i/>
        </w:rPr>
        <w:t>Agricultural and Food Economics, 4</w:t>
      </w:r>
      <w:r>
        <w:t xml:space="preserve">, 3. </w:t>
      </w:r>
      <w:hyperlink r:id="rId13">
        <w:r>
          <w:rPr>
            <w:color w:val="0563C1"/>
            <w:u w:val="single"/>
          </w:rPr>
          <w:t>https://doi.org/10.1186/s40100-016-0047-8</w:t>
        </w:r>
      </w:hyperlink>
    </w:p>
    <w:p w14:paraId="5957CB1B" w14:textId="77777777" w:rsidR="00963F80" w:rsidRDefault="00AA250C">
      <w:pPr>
        <w:pStyle w:val="Reference"/>
      </w:pPr>
      <w:r>
        <w:t xml:space="preserve">Baethge, C., Goldbeck-Wood, S., &amp; Mertens, S. (2019). SANRA—a scale for the quality assessment of narrative review articles. </w:t>
      </w:r>
      <w:r>
        <w:rPr>
          <w:i/>
        </w:rPr>
        <w:t>Research Integrity and Peer Review, 4</w:t>
      </w:r>
      <w:r>
        <w:t xml:space="preserve">, 5. </w:t>
      </w:r>
      <w:hyperlink r:id="rId14">
        <w:r>
          <w:rPr>
            <w:color w:val="0563C1"/>
            <w:u w:val="single"/>
          </w:rPr>
          <w:t>https://doi.org/10.1186/s41073-019-0064-8</w:t>
        </w:r>
      </w:hyperlink>
    </w:p>
    <w:p w14:paraId="1817A21A" w14:textId="77777777" w:rsidR="00963F80" w:rsidRDefault="00AA250C">
      <w:pPr>
        <w:pStyle w:val="Reference"/>
      </w:pPr>
      <w:r>
        <w:t xml:space="preserve">Balana, B. B., &amp; Oyeyemi, M. A. (2022). Agricultural credit constraints in smallholder farming in developing countries: Evidence from Nigeria. </w:t>
      </w:r>
      <w:r>
        <w:rPr>
          <w:i/>
        </w:rPr>
        <w:t>World Development Sustainability, 1</w:t>
      </w:r>
      <w:r>
        <w:t xml:space="preserve">, 100012. </w:t>
      </w:r>
      <w:hyperlink r:id="rId15">
        <w:r>
          <w:rPr>
            <w:color w:val="0563C1"/>
            <w:u w:val="single"/>
          </w:rPr>
          <w:t>https://doi.org/10.1016/j.wds.2022.100012</w:t>
        </w:r>
      </w:hyperlink>
    </w:p>
    <w:p w14:paraId="5DB28A5F" w14:textId="77777777" w:rsidR="00963F80" w:rsidRDefault="00AA250C">
      <w:pPr>
        <w:pStyle w:val="Reference"/>
      </w:pPr>
      <w:r>
        <w:t xml:space="preserve">Barrett, C. B. (2008). Smallholder market participation: Concepts and evidence from eastern and southern Africa. </w:t>
      </w:r>
      <w:r>
        <w:rPr>
          <w:i/>
        </w:rPr>
        <w:t>Food Policy, 33</w:t>
      </w:r>
      <w:r>
        <w:t xml:space="preserve">(4), 299–317. </w:t>
      </w:r>
      <w:hyperlink r:id="rId16">
        <w:r>
          <w:rPr>
            <w:color w:val="0563C1"/>
            <w:u w:val="single"/>
          </w:rPr>
          <w:t>https://doi.org/10.1016/j.foodpol.2007.10.005</w:t>
        </w:r>
      </w:hyperlink>
    </w:p>
    <w:p w14:paraId="257350EE" w14:textId="77777777" w:rsidR="00963F80" w:rsidRDefault="00AA250C">
      <w:pPr>
        <w:pStyle w:val="Reference"/>
      </w:pPr>
      <w:r>
        <w:t xml:space="preserve">Baumeister, R. F., &amp; Leary, M. R. (1997). Writing narrative literature reviews. </w:t>
      </w:r>
      <w:r>
        <w:rPr>
          <w:i/>
        </w:rPr>
        <w:t>Review of General Psychology, 1</w:t>
      </w:r>
      <w:r>
        <w:t xml:space="preserve">(3), 311–320. </w:t>
      </w:r>
      <w:hyperlink r:id="rId17">
        <w:r>
          <w:rPr>
            <w:color w:val="0563C1"/>
            <w:u w:val="single"/>
          </w:rPr>
          <w:t>https://doi.org/10.1037/1089-2680.1.3.311</w:t>
        </w:r>
      </w:hyperlink>
    </w:p>
    <w:p w14:paraId="53F47BF3" w14:textId="77777777" w:rsidR="00963F80" w:rsidRDefault="00AA250C">
      <w:pPr>
        <w:pStyle w:val="Reference"/>
      </w:pPr>
      <w:r>
        <w:t xml:space="preserve">Bellemare, M. F., &amp; Barrett, C. B. (2006). An ordered Tobit model of market participation: Evidence from Kenya and Ethiopia. </w:t>
      </w:r>
      <w:r>
        <w:rPr>
          <w:i/>
        </w:rPr>
        <w:t>American Journal of Agricultural Economics, 88</w:t>
      </w:r>
      <w:r>
        <w:t xml:space="preserve">(2), 324–337. </w:t>
      </w:r>
      <w:hyperlink r:id="rId18">
        <w:r>
          <w:rPr>
            <w:color w:val="0563C1"/>
            <w:u w:val="single"/>
          </w:rPr>
          <w:t>https://doi.org/10.1111/j.1467-8276.2006.00861.x</w:t>
        </w:r>
      </w:hyperlink>
    </w:p>
    <w:p w14:paraId="6543E9AC" w14:textId="77777777" w:rsidR="00963F80" w:rsidRDefault="00AA250C">
      <w:pPr>
        <w:pStyle w:val="Reference"/>
      </w:pPr>
      <w:r>
        <w:t xml:space="preserve">Castelein, R. B., Broeze, J., Kok, M. G., Axmann, H. B., Guo, X., &amp; Soethoudt, J. M. (2022). Mechanization in rice farming reduces greenhouse gas emissions, food losses, and constitutes a positive business case for smallholder farmers – Results from a controlled experiment in Nigeria. </w:t>
      </w:r>
      <w:r>
        <w:rPr>
          <w:i/>
        </w:rPr>
        <w:t>Cleaner Engineering and Technology, 8</w:t>
      </w:r>
      <w:r>
        <w:t xml:space="preserve">, 100487. </w:t>
      </w:r>
      <w:hyperlink r:id="rId19">
        <w:r>
          <w:rPr>
            <w:color w:val="0563C1"/>
            <w:u w:val="single"/>
          </w:rPr>
          <w:t>https://doi.org/10.1016/j.clet.2022.100487</w:t>
        </w:r>
      </w:hyperlink>
    </w:p>
    <w:p w14:paraId="796867DD" w14:textId="77777777" w:rsidR="00963F80" w:rsidRDefault="00AA250C">
      <w:pPr>
        <w:pStyle w:val="Reference"/>
      </w:pPr>
      <w:r>
        <w:t xml:space="preserve">Donkor, E., Onakuse, S., Bogue, J., &amp; de Los Rios, I. (2018). Promoting value addition among farmers in the cassava food value chain in Nigeria. </w:t>
      </w:r>
      <w:r>
        <w:rPr>
          <w:i/>
        </w:rPr>
        <w:t>British Food Journal, 120</w:t>
      </w:r>
      <w:r>
        <w:t xml:space="preserve">(9), 2047–2065. </w:t>
      </w:r>
      <w:hyperlink r:id="rId20">
        <w:r>
          <w:rPr>
            <w:color w:val="0563C1"/>
            <w:u w:val="single"/>
          </w:rPr>
          <w:t>https://doi.org/10.1108/BFJ-01-2018-0030</w:t>
        </w:r>
      </w:hyperlink>
    </w:p>
    <w:p w14:paraId="35657735" w14:textId="77777777" w:rsidR="00963F80" w:rsidRDefault="00AA250C">
      <w:pPr>
        <w:pStyle w:val="Reference"/>
      </w:pPr>
      <w:r>
        <w:t xml:space="preserve">International Fund for Agricultural Development. (n.d.). Value Chain Development Programme. </w:t>
      </w:r>
      <w:hyperlink r:id="rId21">
        <w:r>
          <w:rPr>
            <w:color w:val="0563C1"/>
            <w:u w:val="single"/>
          </w:rPr>
          <w:t>https://www.ifad.org/en/w/projects/1100001594</w:t>
        </w:r>
      </w:hyperlink>
    </w:p>
    <w:p w14:paraId="109AF1B7" w14:textId="77777777" w:rsidR="00963F80" w:rsidRDefault="00AA250C">
      <w:pPr>
        <w:pStyle w:val="Reference"/>
      </w:pPr>
      <w:r>
        <w:t xml:space="preserve">Kitinoja, L., Dandago, M. A., &amp; Abdullahi, N. (2019). Postharvest loss assessment of maize (Zea mays) along its value chain in Nigeria. </w:t>
      </w:r>
      <w:r>
        <w:rPr>
          <w:i/>
        </w:rPr>
        <w:t>Journal of Stored Products and Postharvest Research, 10</w:t>
      </w:r>
      <w:r>
        <w:t xml:space="preserve">(1), 13–19. </w:t>
      </w:r>
      <w:hyperlink r:id="rId22">
        <w:r>
          <w:rPr>
            <w:color w:val="0563C1"/>
            <w:u w:val="single"/>
          </w:rPr>
          <w:t>https://doi.org/10.5897/JSPPR2018.0275</w:t>
        </w:r>
      </w:hyperlink>
    </w:p>
    <w:p w14:paraId="2337BB92" w14:textId="77777777" w:rsidR="00963F80" w:rsidRDefault="00AA250C">
      <w:pPr>
        <w:pStyle w:val="Reference"/>
      </w:pPr>
      <w:r>
        <w:t xml:space="preserve">Kolapo, A., &amp; Didunyemi, A. J. (2024). Effects of exposure on adoption of agricultural smartphone apps among smallholder farmers in Southwest, Nigeria: Implications on farm-level-efficiency. </w:t>
      </w:r>
      <w:r>
        <w:rPr>
          <w:i/>
        </w:rPr>
        <w:t>Agriculture &amp; Food Security, 13</w:t>
      </w:r>
      <w:r>
        <w:t xml:space="preserve">, 31. </w:t>
      </w:r>
      <w:hyperlink r:id="rId23">
        <w:r>
          <w:rPr>
            <w:color w:val="0563C1"/>
            <w:u w:val="single"/>
          </w:rPr>
          <w:t>https://doi.org/10.1186/s40066-024-00485-1</w:t>
        </w:r>
      </w:hyperlink>
    </w:p>
    <w:p w14:paraId="2C238B75" w14:textId="77777777" w:rsidR="00963F80" w:rsidRDefault="00AA250C">
      <w:pPr>
        <w:pStyle w:val="Reference"/>
      </w:pPr>
      <w:r>
        <w:t xml:space="preserve">Kwon, D., Liverpool-Tasie, L. S. O., Reardon, T., Mason, N. M., &amp; Tasie, O. (2026). Addressing conflict and weather shocks in agrifood value chains: Policy preferences of Nigerian maize wholesalers. </w:t>
      </w:r>
      <w:r>
        <w:rPr>
          <w:i/>
        </w:rPr>
        <w:t>Food Policy, 139</w:t>
      </w:r>
      <w:r>
        <w:t xml:space="preserve">, 103046. </w:t>
      </w:r>
      <w:hyperlink r:id="rId24">
        <w:r>
          <w:rPr>
            <w:color w:val="0563C1"/>
            <w:u w:val="single"/>
          </w:rPr>
          <w:t>https://doi.org/10.1016/j.foodpol.2026.103046</w:t>
        </w:r>
      </w:hyperlink>
    </w:p>
    <w:p w14:paraId="6AA9E2EA" w14:textId="77777777" w:rsidR="00963F80" w:rsidRDefault="00AA250C">
      <w:pPr>
        <w:pStyle w:val="Reference"/>
      </w:pPr>
      <w:r>
        <w:t xml:space="preserve">Liverpool-Tasie, L. S. O., &amp; Parkhi, C. M. (2021). Climate risk and technology adoption in the midstream of crop value chains: Evidence from Nigerian maize traders. </w:t>
      </w:r>
      <w:r>
        <w:rPr>
          <w:i/>
        </w:rPr>
        <w:t>Journal of Agricultural Economics, 72</w:t>
      </w:r>
      <w:r>
        <w:t xml:space="preserve">(1), 158–179. </w:t>
      </w:r>
      <w:hyperlink r:id="rId25">
        <w:r>
          <w:rPr>
            <w:color w:val="0563C1"/>
            <w:u w:val="single"/>
          </w:rPr>
          <w:t>https://doi.org/10.1111/1477-9552.12394</w:t>
        </w:r>
      </w:hyperlink>
    </w:p>
    <w:p w14:paraId="12731BEE" w14:textId="77777777" w:rsidR="00963F80" w:rsidRDefault="00AA250C">
      <w:pPr>
        <w:pStyle w:val="Reference"/>
      </w:pPr>
      <w:r>
        <w:t xml:space="preserve">Liverpool-Tasie, L. S. O., Salim Nuhu, A., Awokuse, T., Jayne, T., Muyanga, M., Aromolaran, A., &amp; Adelaja, A. (2023). Can medium-scale farms support smallholder commercialisation and improve welfare? Evidence from Nigeria. </w:t>
      </w:r>
      <w:r>
        <w:rPr>
          <w:i/>
        </w:rPr>
        <w:t>Journal of Agricultural Economics, 74</w:t>
      </w:r>
      <w:r>
        <w:t xml:space="preserve">(1), 48–74. </w:t>
      </w:r>
      <w:hyperlink r:id="rId26">
        <w:r>
          <w:rPr>
            <w:color w:val="0563C1"/>
            <w:u w:val="single"/>
          </w:rPr>
          <w:t>https://doi.org/10.1111/1477-9552.12487</w:t>
        </w:r>
      </w:hyperlink>
    </w:p>
    <w:p w14:paraId="650322AB" w14:textId="77777777" w:rsidR="00963F80" w:rsidRDefault="00AA250C">
      <w:pPr>
        <w:pStyle w:val="Reference"/>
      </w:pPr>
      <w:r>
        <w:t xml:space="preserve">Manda, J., Alene, A. D., Tufa, A. H., Feleke, S., Abdoulaye, T., Omoigui, L. O., &amp; Manyong, V. (2020). Market participation, household food security, and income: The case of cowpea producers in northern Nigeria. </w:t>
      </w:r>
      <w:r>
        <w:rPr>
          <w:i/>
        </w:rPr>
        <w:t>Food and Energy Security, 9</w:t>
      </w:r>
      <w:r>
        <w:t xml:space="preserve">(3), e211. </w:t>
      </w:r>
      <w:hyperlink r:id="rId27">
        <w:r>
          <w:rPr>
            <w:color w:val="0563C1"/>
            <w:u w:val="single"/>
          </w:rPr>
          <w:t>https://doi.org/10.1002/fes3.211</w:t>
        </w:r>
      </w:hyperlink>
    </w:p>
    <w:p w14:paraId="4455F694" w14:textId="77777777" w:rsidR="00963F80" w:rsidRDefault="00AA250C">
      <w:pPr>
        <w:pStyle w:val="Reference"/>
      </w:pPr>
      <w:r>
        <w:t xml:space="preserve">Markelova, H., Meinzen-Dick, R., Hellin, J., &amp; Dohrn, S. (2009). Collective action for smallholder market access. </w:t>
      </w:r>
      <w:r>
        <w:rPr>
          <w:i/>
        </w:rPr>
        <w:t>Food Policy, 34</w:t>
      </w:r>
      <w:r>
        <w:t xml:space="preserve">(1), 1–7. </w:t>
      </w:r>
      <w:hyperlink r:id="rId28">
        <w:r>
          <w:rPr>
            <w:color w:val="0563C1"/>
            <w:u w:val="single"/>
          </w:rPr>
          <w:t>https://doi.org/10.1016/j.foodpol.2008.10.001</w:t>
        </w:r>
      </w:hyperlink>
    </w:p>
    <w:p w14:paraId="30E15A4B" w14:textId="77777777" w:rsidR="00963F80" w:rsidRDefault="00AA250C">
      <w:pPr>
        <w:pStyle w:val="Reference"/>
      </w:pPr>
      <w:r>
        <w:t xml:space="preserve">Markelova, H., &amp; Mwangi, E. (2010). Collective action for smallholder market access: Evidence and implications for Africa. </w:t>
      </w:r>
      <w:r>
        <w:rPr>
          <w:i/>
        </w:rPr>
        <w:t>Review of Policy Research, 27</w:t>
      </w:r>
      <w:r>
        <w:t xml:space="preserve">(5), 621–640. </w:t>
      </w:r>
      <w:hyperlink r:id="rId29">
        <w:r>
          <w:rPr>
            <w:color w:val="0563C1"/>
            <w:u w:val="single"/>
          </w:rPr>
          <w:t>https://doi.org/10.1111/j.1541-1338.2010.00462.x</w:t>
        </w:r>
      </w:hyperlink>
    </w:p>
    <w:p w14:paraId="5051B082" w14:textId="77777777" w:rsidR="00963F80" w:rsidRDefault="00AA250C">
      <w:pPr>
        <w:pStyle w:val="Reference"/>
      </w:pPr>
      <w:r>
        <w:t xml:space="preserve">Ogutu, S. O., &amp; Qaim, M. (2019). Commercialization of the small farm sector and multidimensional poverty. </w:t>
      </w:r>
      <w:r>
        <w:rPr>
          <w:i/>
        </w:rPr>
        <w:t>World Development, 114</w:t>
      </w:r>
      <w:r>
        <w:t xml:space="preserve">, 281–293. </w:t>
      </w:r>
      <w:hyperlink r:id="rId30">
        <w:r>
          <w:rPr>
            <w:color w:val="0563C1"/>
            <w:u w:val="single"/>
          </w:rPr>
          <w:t>https://doi.org/10.1016/j.worlddev.2018.10.012</w:t>
        </w:r>
      </w:hyperlink>
    </w:p>
    <w:p w14:paraId="68ED4D15" w14:textId="77777777" w:rsidR="00963F80" w:rsidRDefault="00AA250C">
      <w:pPr>
        <w:pStyle w:val="Reference"/>
      </w:pPr>
      <w:r>
        <w:t xml:space="preserve">Ola, O., &amp; Menapace, L. (2020). Smallholders’ perceptions and preferences for market attributes promoting sustained participation in modern agricultural value chains. </w:t>
      </w:r>
      <w:r>
        <w:rPr>
          <w:i/>
        </w:rPr>
        <w:t>Food Policy, 97</w:t>
      </w:r>
      <w:r>
        <w:t xml:space="preserve">, 101962. </w:t>
      </w:r>
      <w:hyperlink r:id="rId31">
        <w:r>
          <w:rPr>
            <w:color w:val="0563C1"/>
            <w:u w:val="single"/>
          </w:rPr>
          <w:t>https://doi.org/10.1016/j.foodpol.2020.101962</w:t>
        </w:r>
      </w:hyperlink>
    </w:p>
    <w:p w14:paraId="72B30102" w14:textId="77777777" w:rsidR="00963F80" w:rsidRDefault="00AA250C">
      <w:pPr>
        <w:pStyle w:val="Reference"/>
      </w:pPr>
      <w:r>
        <w:lastRenderedPageBreak/>
        <w:t xml:space="preserve">Omotilewa, O. J., Jayne, T. S., Muyanga, M., Aromolaran, A. B., Liverpool-Tasie, L. S. O., &amp; Awokuse, T. (2021). A revisit of farm size and productivity: Empirical evidence from a wide range of farm sizes in Nigeria. </w:t>
      </w:r>
      <w:r>
        <w:rPr>
          <w:i/>
        </w:rPr>
        <w:t>World Development, 146</w:t>
      </w:r>
      <w:r>
        <w:t xml:space="preserve">, 105592. </w:t>
      </w:r>
      <w:hyperlink r:id="rId32">
        <w:r>
          <w:rPr>
            <w:color w:val="0563C1"/>
            <w:u w:val="single"/>
          </w:rPr>
          <w:t>https://doi.org/10.1016/j.worlddev.2021.105592</w:t>
        </w:r>
      </w:hyperlink>
    </w:p>
    <w:p w14:paraId="583A9685" w14:textId="77777777" w:rsidR="00963F80" w:rsidRDefault="00AA250C">
      <w:pPr>
        <w:pStyle w:val="Reference"/>
      </w:pPr>
      <w:r>
        <w:t xml:space="preserve">Otekunrin, O. A. (2022). Investigating food insecurity, health and environment-related factors, and agricultural commercialization in Southwestern Nigeria: Evidence from smallholder farming households. </w:t>
      </w:r>
      <w:r>
        <w:rPr>
          <w:i/>
        </w:rPr>
        <w:t>Environmental Science and Pollution Research, 29</w:t>
      </w:r>
      <w:r>
        <w:t xml:space="preserve">(34), 51469–51488. </w:t>
      </w:r>
      <w:hyperlink r:id="rId33">
        <w:r>
          <w:rPr>
            <w:color w:val="0563C1"/>
            <w:u w:val="single"/>
          </w:rPr>
          <w:t>https://doi.org/10.1007/s11356-022-19544-w</w:t>
        </w:r>
      </w:hyperlink>
    </w:p>
    <w:p w14:paraId="5AAD62A0" w14:textId="77777777" w:rsidR="00963F80" w:rsidRDefault="00AA250C">
      <w:pPr>
        <w:pStyle w:val="Reference"/>
      </w:pPr>
      <w:r>
        <w:t xml:space="preserve">Owusu, O., &amp; İşcan, T. B. (2021). Drivers of farm commercialization in Nigeria and Tanzania. </w:t>
      </w:r>
      <w:r>
        <w:rPr>
          <w:i/>
        </w:rPr>
        <w:t>Agricultural Economics, 52</w:t>
      </w:r>
      <w:r>
        <w:t xml:space="preserve">(2), 265–299. </w:t>
      </w:r>
      <w:hyperlink r:id="rId34">
        <w:r>
          <w:rPr>
            <w:color w:val="0563C1"/>
            <w:u w:val="single"/>
          </w:rPr>
          <w:t>https://doi.org/10.1111/agec.12618</w:t>
        </w:r>
      </w:hyperlink>
    </w:p>
    <w:p w14:paraId="48AD8D0F" w14:textId="77777777" w:rsidR="00963F80" w:rsidRDefault="00AA250C">
      <w:pPr>
        <w:pStyle w:val="Reference"/>
      </w:pPr>
      <w:r>
        <w:t xml:space="preserve">Reardon, T., Liverpool-Tasie, L. S. O., &amp; Minten, B. (2021). Quiet revolution by SMEs in the midstream of value chains in developing regions: Wholesale markets, wholesalers, logistics, and processing. </w:t>
      </w:r>
      <w:r>
        <w:rPr>
          <w:i/>
        </w:rPr>
        <w:t>Food Security, 13</w:t>
      </w:r>
      <w:r>
        <w:t xml:space="preserve">, 1577–1594. </w:t>
      </w:r>
      <w:hyperlink r:id="rId35">
        <w:r>
          <w:rPr>
            <w:color w:val="0563C1"/>
            <w:u w:val="single"/>
          </w:rPr>
          <w:t>https://doi.org/10.1007/s12571-021-01224-1</w:t>
        </w:r>
      </w:hyperlink>
    </w:p>
    <w:p w14:paraId="450958BB" w14:textId="77777777" w:rsidR="00963F80" w:rsidRDefault="00AA250C">
      <w:pPr>
        <w:pStyle w:val="Reference"/>
      </w:pPr>
      <w:r>
        <w:t xml:space="preserve">Tabe-Ojong, M. P. J., &amp; Lokossou, J. C. (2026). Extreme heat and markets: Theoretical and empirical evidence from Nigeria. </w:t>
      </w:r>
      <w:r>
        <w:rPr>
          <w:i/>
        </w:rPr>
        <w:t>Food Policy, 141</w:t>
      </w:r>
      <w:r>
        <w:t xml:space="preserve">, 103100. </w:t>
      </w:r>
      <w:hyperlink r:id="rId36">
        <w:r>
          <w:rPr>
            <w:color w:val="0563C1"/>
            <w:u w:val="single"/>
          </w:rPr>
          <w:t>https://doi.org/10.1016/j.foodpol.2026.103100</w:t>
        </w:r>
      </w:hyperlink>
    </w:p>
    <w:p w14:paraId="129DE770" w14:textId="77777777" w:rsidR="00963F80" w:rsidRDefault="00AA250C">
      <w:pPr>
        <w:pStyle w:val="Reference"/>
      </w:pPr>
      <w:r>
        <w:t xml:space="preserve">Ukwuaba, I., Okpukpara, B., Mukaila, R., Ejiofor, E., Ukwuaba, S., Igweh, A., Ukwuaba, I., &amp; Okpukpara, V. (2026). Bridging the commercialization gap: An analysis of barriers to market orientation and participation among smallholder rice farmers in Nigeria. </w:t>
      </w:r>
      <w:r>
        <w:rPr>
          <w:i/>
        </w:rPr>
        <w:t>Journal of Tekirdag Agricultural Faculty, 23</w:t>
      </w:r>
      <w:r>
        <w:t xml:space="preserve">(2), 469–485. </w:t>
      </w:r>
      <w:hyperlink r:id="rId37">
        <w:r>
          <w:rPr>
            <w:color w:val="0563C1"/>
            <w:u w:val="single"/>
          </w:rPr>
          <w:t>https://doi.org/10.33462/jotaf.1619234</w:t>
        </w:r>
      </w:hyperlink>
    </w:p>
    <w:p w14:paraId="4EC45D92" w14:textId="77777777" w:rsidR="00963F80" w:rsidRDefault="00AA250C">
      <w:pPr>
        <w:pStyle w:val="Reference"/>
      </w:pPr>
      <w:r>
        <w:t xml:space="preserve">World Bank. (2024, December 13). Nigeria to enhance road infrastructure to benefit four million in rural communities. </w:t>
      </w:r>
      <w:hyperlink r:id="rId38">
        <w:r>
          <w:rPr>
            <w:color w:val="0563C1"/>
            <w:u w:val="single"/>
          </w:rPr>
          <w:t>https://www.worldbank.org/en/news/press-release/2024/12/13/nigeria-to-enhance-road-infrastructure-to-benefit-four-million-in-rural-communities</w:t>
        </w:r>
      </w:hyperlink>
    </w:p>
    <w:p w14:paraId="5E46987B" w14:textId="77777777" w:rsidR="00963F80" w:rsidRDefault="00AA250C">
      <w:pPr>
        <w:pStyle w:val="Reference"/>
      </w:pPr>
      <w:r>
        <w:t xml:space="preserve">World Bank. (2026a, March 9). Nigeria – Sustainable Agricultural Value-Chains for Growth (AGROW) Project (Project Appraisal Document, Report No. PADHI01253). </w:t>
      </w:r>
      <w:hyperlink r:id="rId39">
        <w:r>
          <w:rPr>
            <w:color w:val="0563C1"/>
            <w:u w:val="single"/>
          </w:rPr>
          <w:t>https://documents.worldbank.org/en/publication/documents-reports/documentdetail/099031126161013298</w:t>
        </w:r>
      </w:hyperlink>
    </w:p>
    <w:p w14:paraId="55549CD8" w14:textId="77777777" w:rsidR="00963F80" w:rsidRDefault="00AA250C">
      <w:pPr>
        <w:pStyle w:val="Reference"/>
      </w:pPr>
      <w:r>
        <w:t xml:space="preserve">World Bank. (2026b, March 31). Nigeria: World Bank approves project to expand agricultural value chains and jobs. </w:t>
      </w:r>
      <w:hyperlink r:id="rId40">
        <w:r>
          <w:rPr>
            <w:color w:val="0563C1"/>
            <w:u w:val="single"/>
          </w:rPr>
          <w:t>https://www.worldbank.org/en/news/press-release/2026/03/31/nigeria-world-bank-approves-project-to-expand-agricultural-value-chains-and-jobs</w:t>
        </w:r>
      </w:hyperlink>
    </w:p>
    <w:p w14:paraId="2A11F578" w14:textId="77777777" w:rsidR="00963F80" w:rsidRDefault="00AA250C">
      <w:pPr>
        <w:pStyle w:val="Reference"/>
      </w:pPr>
      <w:r>
        <w:t xml:space="preserve">Wossen, T., Abdoulaye, T., Alene, A., Feleke, S., Ricker-Gilbert, J., Manyong, V., &amp; Awotide, B. A. (2017). Productivity and welfare effects of Nigeria’s e-voucher-based input subsidy program. </w:t>
      </w:r>
      <w:r>
        <w:rPr>
          <w:i/>
        </w:rPr>
        <w:t>World Development, 97</w:t>
      </w:r>
      <w:r>
        <w:t xml:space="preserve">, 251–265. </w:t>
      </w:r>
      <w:hyperlink r:id="rId41">
        <w:r>
          <w:rPr>
            <w:color w:val="0563C1"/>
            <w:u w:val="single"/>
          </w:rPr>
          <w:t>https://doi.org/10.1016/j.worlddev.2017.04.021</w:t>
        </w:r>
      </w:hyperlink>
    </w:p>
    <w:p w14:paraId="0E02BEC2" w14:textId="77777777" w:rsidR="00963F80" w:rsidRDefault="00AA250C">
      <w:pPr>
        <w:pStyle w:val="Reference"/>
      </w:pPr>
      <w:r>
        <w:t xml:space="preserve">Wossen, T., Alene, A., Abdoulaye, T., Feleke, S., Rabbi, I. Y., &amp; Manyong, V. (2019). Poverty reduction effects of agricultural technology adoption: The case of improved cassava varieties in Nigeria. </w:t>
      </w:r>
      <w:r>
        <w:rPr>
          <w:i/>
        </w:rPr>
        <w:t>Journal of Agricultural Economics, 70</w:t>
      </w:r>
      <w:r>
        <w:t xml:space="preserve">(2), 392–407. </w:t>
      </w:r>
      <w:hyperlink r:id="rId42">
        <w:r>
          <w:rPr>
            <w:color w:val="0563C1"/>
            <w:u w:val="single"/>
          </w:rPr>
          <w:t>https://doi.org/10.1111/1477-9552.12296</w:t>
        </w:r>
      </w:hyperlink>
    </w:p>
    <w:p w14:paraId="1A5CDADE" w14:textId="77777777" w:rsidR="00963F80" w:rsidRDefault="00AA250C">
      <w:pPr>
        <w:pStyle w:val="Reference"/>
      </w:pPr>
      <w:r>
        <w:t xml:space="preserve">Yami, M., Liverpool-Tasie, L. S. O., Olayinka, O., Wossen, T., Yamauchi, F., Feleke, S., &amp; Abdoulaye, T. (2026). Market channel and other drivers of tomato farmer production and handling practices in Nigeria. </w:t>
      </w:r>
      <w:r>
        <w:rPr>
          <w:i/>
        </w:rPr>
        <w:t>Food Security, 18</w:t>
      </w:r>
      <w:r>
        <w:t xml:space="preserve">, 541–558. </w:t>
      </w:r>
      <w:hyperlink r:id="rId43">
        <w:r>
          <w:rPr>
            <w:color w:val="0563C1"/>
            <w:u w:val="single"/>
          </w:rPr>
          <w:t>https://doi.org/10.1007/s12571-026-01646-9</w:t>
        </w:r>
      </w:hyperlink>
    </w:p>
    <w:sectPr w:rsidR="00963F80" w:rsidSect="00034616">
      <w:headerReference w:type="even" r:id="rId44"/>
      <w:headerReference w:type="default" r:id="rId45"/>
      <w:footerReference w:type="even" r:id="rId46"/>
      <w:footerReference w:type="default" r:id="rId47"/>
      <w:headerReference w:type="first" r:id="rId48"/>
      <w:footerReference w:type="first" r:id="rId49"/>
      <w:pgSz w:w="12240" w:h="15840"/>
      <w:pgMar w:top="1224" w:right="1296" w:bottom="1224"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F883" w14:textId="77777777" w:rsidR="007B47EB" w:rsidRDefault="007B47EB">
      <w:pPr>
        <w:spacing w:after="0" w:line="240" w:lineRule="auto"/>
      </w:pPr>
      <w:r>
        <w:separator/>
      </w:r>
    </w:p>
  </w:endnote>
  <w:endnote w:type="continuationSeparator" w:id="0">
    <w:p w14:paraId="32A242CF" w14:textId="77777777" w:rsidR="007B47EB" w:rsidRDefault="007B4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3EBC" w14:textId="77777777" w:rsidR="000C102E" w:rsidRDefault="000C10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1B51" w14:textId="77777777" w:rsidR="00963F80" w:rsidRDefault="00AA250C">
    <w:pPr>
      <w:pStyle w:val="Footer"/>
      <w:jc w:val="center"/>
    </w:pPr>
    <w:r>
      <w:rPr>
        <w:sz w:val="18"/>
      </w:rPr>
      <w:fldChar w:fldCharType="begin"/>
    </w:r>
    <w:r>
      <w:rPr>
        <w:sz w:val="18"/>
      </w:rPr>
      <w:instrText xml:space="preserve"> PAGE </w:instrText>
    </w:r>
    <w:r>
      <w:rPr>
        <w:sz w:val="18"/>
      </w:rPr>
      <w:fldChar w:fldCharType="separate"/>
    </w:r>
    <w:r w:rsidR="00F30072">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D64A" w14:textId="77777777" w:rsidR="000C102E" w:rsidRDefault="000C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6A31" w14:textId="77777777" w:rsidR="007B47EB" w:rsidRDefault="007B47EB">
      <w:pPr>
        <w:spacing w:after="0" w:line="240" w:lineRule="auto"/>
      </w:pPr>
      <w:r>
        <w:separator/>
      </w:r>
    </w:p>
  </w:footnote>
  <w:footnote w:type="continuationSeparator" w:id="0">
    <w:p w14:paraId="2F6799D5" w14:textId="77777777" w:rsidR="007B47EB" w:rsidRDefault="007B4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76A2" w14:textId="3F00FEC2" w:rsidR="000C102E" w:rsidRDefault="000C102E">
    <w:pPr>
      <w:pStyle w:val="Header"/>
    </w:pPr>
    <w:r>
      <w:rPr>
        <w:noProof/>
      </w:rPr>
      <w:pict w14:anchorId="3281F7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3563"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3005" w14:textId="1B37A2E0" w:rsidR="000C102E" w:rsidRDefault="000C102E">
    <w:pPr>
      <w:pStyle w:val="Header"/>
    </w:pPr>
    <w:r>
      <w:rPr>
        <w:noProof/>
      </w:rPr>
      <w:pict w14:anchorId="0A8E96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3564"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69DC" w14:textId="3580CF36" w:rsidR="000C102E" w:rsidRDefault="000C102E">
    <w:pPr>
      <w:pStyle w:val="Header"/>
    </w:pPr>
    <w:r>
      <w:rPr>
        <w:noProof/>
      </w:rPr>
      <w:pict w14:anchorId="70923E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3562"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3303570">
    <w:abstractNumId w:val="8"/>
  </w:num>
  <w:num w:numId="2" w16cid:durableId="452213442">
    <w:abstractNumId w:val="6"/>
  </w:num>
  <w:num w:numId="3" w16cid:durableId="1977027270">
    <w:abstractNumId w:val="5"/>
  </w:num>
  <w:num w:numId="4" w16cid:durableId="139033295">
    <w:abstractNumId w:val="4"/>
  </w:num>
  <w:num w:numId="5" w16cid:durableId="615913000">
    <w:abstractNumId w:val="7"/>
  </w:num>
  <w:num w:numId="6" w16cid:durableId="1079445187">
    <w:abstractNumId w:val="3"/>
  </w:num>
  <w:num w:numId="7" w16cid:durableId="1352099460">
    <w:abstractNumId w:val="2"/>
  </w:num>
  <w:num w:numId="8" w16cid:durableId="339815615">
    <w:abstractNumId w:val="1"/>
  </w:num>
  <w:num w:numId="9" w16cid:durableId="1885211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102E"/>
    <w:rsid w:val="0015074B"/>
    <w:rsid w:val="0029639D"/>
    <w:rsid w:val="00326F90"/>
    <w:rsid w:val="006B4932"/>
    <w:rsid w:val="007B47EB"/>
    <w:rsid w:val="008219C0"/>
    <w:rsid w:val="00963F80"/>
    <w:rsid w:val="00AA1D8D"/>
    <w:rsid w:val="00AA250C"/>
    <w:rsid w:val="00B47730"/>
    <w:rsid w:val="00CB0664"/>
    <w:rsid w:val="00CE5921"/>
    <w:rsid w:val="00DF34A7"/>
    <w:rsid w:val="00F300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7B309B"/>
  <w14:defaultImageDpi w14:val="300"/>
  <w15:docId w15:val="{E4EB5C92-7FA1-4DDF-BC3C-8B916FA9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F1F1F"/>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1F1F"/>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1F1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contextualSpacing/>
    </w:pPr>
    <w:rPr>
      <w:rFonts w:asciiTheme="majorHAnsi" w:eastAsiaTheme="majorEastAsia" w:hAnsiTheme="majorHAnsi" w:cstheme="majorBidi"/>
      <w:b/>
      <w:color w:val="1F1F1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 Body"/>
    <w:pPr>
      <w:spacing w:after="120" w:line="259" w:lineRule="auto"/>
      <w:jc w:val="both"/>
    </w:pPr>
    <w:rPr>
      <w:rFonts w:ascii="Times New Roman" w:eastAsia="Times New Roman" w:hAnsi="Times New Roman"/>
      <w:sz w:val="21"/>
    </w:rPr>
  </w:style>
  <w:style w:type="paragraph" w:customStyle="1" w:styleId="Reference">
    <w:name w:val="Reference"/>
    <w:pPr>
      <w:spacing w:after="80" w:line="240" w:lineRule="auto"/>
      <w:ind w:left="648" w:hanging="648"/>
    </w:pPr>
    <w:rPr>
      <w:rFonts w:ascii="Times New Roman" w:eastAsia="Times New Roman" w:hAnsi="Times New Roman"/>
      <w:sz w:val="20"/>
    </w:rPr>
  </w:style>
  <w:style w:type="paragraph" w:customStyle="1" w:styleId="TableNote">
    <w:name w:val="Table Note"/>
    <w:pPr>
      <w:spacing w:after="120" w:line="240" w:lineRule="auto"/>
    </w:pPr>
    <w:rPr>
      <w:rFonts w:ascii="Times New Roman" w:eastAsia="Times New Roman" w:hAnsi="Times New Roman"/>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40100-016-0047-8" TargetMode="External"/><Relationship Id="rId18" Type="http://schemas.openxmlformats.org/officeDocument/2006/relationships/hyperlink" Target="https://doi.org/10.1111/j.1467-8276.2006.00861.x" TargetMode="External"/><Relationship Id="rId26" Type="http://schemas.openxmlformats.org/officeDocument/2006/relationships/hyperlink" Target="https://doi.org/10.1111/1477-9552.12487" TargetMode="External"/><Relationship Id="rId39" Type="http://schemas.openxmlformats.org/officeDocument/2006/relationships/hyperlink" Target="https://documents.worldbank.org/en/publication/documents-reports/documentdetail/099031126161013298" TargetMode="External"/><Relationship Id="rId21" Type="http://schemas.openxmlformats.org/officeDocument/2006/relationships/hyperlink" Target="https://www.ifad.org/en/w/projects/1100001594" TargetMode="External"/><Relationship Id="rId34" Type="http://schemas.openxmlformats.org/officeDocument/2006/relationships/hyperlink" Target="https://doi.org/10.1111/agec.12618" TargetMode="External"/><Relationship Id="rId42" Type="http://schemas.openxmlformats.org/officeDocument/2006/relationships/hyperlink" Target="https://doi.org/10.1111/1477-9552.12296"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foodpol.2007.10.005" TargetMode="External"/><Relationship Id="rId29" Type="http://schemas.openxmlformats.org/officeDocument/2006/relationships/hyperlink" Target="https://doi.org/10.1111/j.1541-1338.2010.00462.x" TargetMode="External"/><Relationship Id="rId11" Type="http://schemas.openxmlformats.org/officeDocument/2006/relationships/hyperlink" Target="https://doi.org/10.1186/s40100-015-0037-2" TargetMode="External"/><Relationship Id="rId24" Type="http://schemas.openxmlformats.org/officeDocument/2006/relationships/hyperlink" Target="https://doi.org/10.1016/j.foodpol.2026.103046" TargetMode="External"/><Relationship Id="rId32" Type="http://schemas.openxmlformats.org/officeDocument/2006/relationships/hyperlink" Target="https://doi.org/10.1016/j.worlddev.2021.105592" TargetMode="External"/><Relationship Id="rId37" Type="http://schemas.openxmlformats.org/officeDocument/2006/relationships/hyperlink" Target="https://doi.org/10.33462/jotaf.1619234" TargetMode="External"/><Relationship Id="rId40" Type="http://schemas.openxmlformats.org/officeDocument/2006/relationships/hyperlink" Target="https://www.worldbank.org/en/news/press-release/2026/03/31/nigeria-world-bank-approves-project-to-expand-agricultural-value-chains-and-jobs"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16/j.wds.2022.100012" TargetMode="External"/><Relationship Id="rId23" Type="http://schemas.openxmlformats.org/officeDocument/2006/relationships/hyperlink" Target="https://doi.org/10.1186/s40066-024-00485-1" TargetMode="External"/><Relationship Id="rId28" Type="http://schemas.openxmlformats.org/officeDocument/2006/relationships/hyperlink" Target="https://doi.org/10.1016/j.foodpol.2008.10.001" TargetMode="External"/><Relationship Id="rId36" Type="http://schemas.openxmlformats.org/officeDocument/2006/relationships/hyperlink" Target="https://doi.org/10.1016/j.foodpol.2026.103100" TargetMode="External"/><Relationship Id="rId49" Type="http://schemas.openxmlformats.org/officeDocument/2006/relationships/footer" Target="footer3.xml"/><Relationship Id="rId10" Type="http://schemas.openxmlformats.org/officeDocument/2006/relationships/hyperlink" Target="https://mapafrica.afdb.org/en/projects/46002-P-NG-AAG-011" TargetMode="External"/><Relationship Id="rId19" Type="http://schemas.openxmlformats.org/officeDocument/2006/relationships/hyperlink" Target="https://doi.org/10.1016/j.clet.2022.100487" TargetMode="External"/><Relationship Id="rId31" Type="http://schemas.openxmlformats.org/officeDocument/2006/relationships/hyperlink" Target="https://doi.org/10.1016/j.foodpol.2020.101962"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16/j.worlddev.2019.104755" TargetMode="External"/><Relationship Id="rId14" Type="http://schemas.openxmlformats.org/officeDocument/2006/relationships/hyperlink" Target="https://doi.org/10.1186/s41073-019-0064-8" TargetMode="External"/><Relationship Id="rId22" Type="http://schemas.openxmlformats.org/officeDocument/2006/relationships/hyperlink" Target="https://doi.org/10.5897/JSPPR2018.0275" TargetMode="External"/><Relationship Id="rId27" Type="http://schemas.openxmlformats.org/officeDocument/2006/relationships/hyperlink" Target="https://doi.org/10.1002/fes3.211" TargetMode="External"/><Relationship Id="rId30" Type="http://schemas.openxmlformats.org/officeDocument/2006/relationships/hyperlink" Target="https://doi.org/10.1016/j.worlddev.2018.10.012" TargetMode="External"/><Relationship Id="rId35" Type="http://schemas.openxmlformats.org/officeDocument/2006/relationships/hyperlink" Target="https://doi.org/10.1007/s12571-021-01224-1" TargetMode="External"/><Relationship Id="rId43" Type="http://schemas.openxmlformats.org/officeDocument/2006/relationships/hyperlink" Target="https://doi.org/10.1007/s12571-026-01646-9" TargetMode="External"/><Relationship Id="rId48" Type="http://schemas.openxmlformats.org/officeDocument/2006/relationships/header" Target="header3.xml"/><Relationship Id="rId8" Type="http://schemas.openxmlformats.org/officeDocument/2006/relationships/hyperlink" Target="https://www.50x2030.org/sites/default/files/resources/documents/2026-01/Nigeria%20survey%20brief%2022-23.pdf"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080/20421338.2020.1840052" TargetMode="External"/><Relationship Id="rId17" Type="http://schemas.openxmlformats.org/officeDocument/2006/relationships/hyperlink" Target="https://doi.org/10.1037/1089-2680.1.3.311" TargetMode="External"/><Relationship Id="rId25" Type="http://schemas.openxmlformats.org/officeDocument/2006/relationships/hyperlink" Target="https://doi.org/10.1111/1477-9552.12394" TargetMode="External"/><Relationship Id="rId33" Type="http://schemas.openxmlformats.org/officeDocument/2006/relationships/hyperlink" Target="https://doi.org/10.1007/s11356-022-19544-w" TargetMode="External"/><Relationship Id="rId38" Type="http://schemas.openxmlformats.org/officeDocument/2006/relationships/hyperlink" Target="https://www.worldbank.org/en/news/press-release/2024/12/13/nigeria-to-enhance-road-infrastructure-to-benefit-four-million-in-rural-communities" TargetMode="External"/><Relationship Id="rId46" Type="http://schemas.openxmlformats.org/officeDocument/2006/relationships/footer" Target="footer1.xml"/><Relationship Id="rId20" Type="http://schemas.openxmlformats.org/officeDocument/2006/relationships/hyperlink" Target="https://doi.org/10.1108/BFJ-01-2018-0030" TargetMode="External"/><Relationship Id="rId41" Type="http://schemas.openxmlformats.org/officeDocument/2006/relationships/hyperlink" Target="https://doi.org/10.1016/j.worlddev.2017.04.021"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F7258-1AD1-4A64-93D0-5F5D37351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15410</Words>
  <Characters>87839</Characters>
  <Application>Microsoft Office Word</Application>
  <DocSecurity>0</DocSecurity>
  <Lines>731</Lines>
  <Paragraphs>206</Paragraphs>
  <ScaleCrop>false</ScaleCrop>
  <HeadingPairs>
    <vt:vector size="2" baseType="variant">
      <vt:variant>
        <vt:lpstr>Title</vt:lpstr>
      </vt:variant>
      <vt:variant>
        <vt:i4>1</vt:i4>
      </vt:variant>
    </vt:vector>
  </HeadingPairs>
  <TitlesOfParts>
    <vt:vector size="1" baseType="lpstr">
      <vt:lpstr>Agricultural Value Chain Development and Market Access for Small-Scale Arable Crop Farmers in Nigeria: A Critical Narrative Review</vt:lpstr>
    </vt:vector>
  </TitlesOfParts>
  <Manager/>
  <Company/>
  <LinksUpToDate>false</LinksUpToDate>
  <CharactersWithSpaces>103043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Value Chain Development and Market Access for Small-Scale Arable Crop Farmers in Nigeria: A Critical Narrative Review</dc:title>
  <dc:subject>Critical narrative review of agricultural value chain development and market access for small-scale arable crop farmers in Nigeria</dc:subject>
  <dc:creator>python-docx</dc:creator>
  <cp:keywords>smallholder commercialisation; agricultural value chains; market participation; rural infrastructure; post-harvest systems; agrifood markets; Nigeria</cp:keywords>
  <dc:description>generated by python-docx</dc:description>
  <cp:lastModifiedBy>SDI 1166</cp:lastModifiedBy>
  <cp:revision>6</cp:revision>
  <dcterms:created xsi:type="dcterms:W3CDTF">2013-12-23T23:15:00Z</dcterms:created>
  <dcterms:modified xsi:type="dcterms:W3CDTF">2026-09-05T12:29:00Z</dcterms:modified>
  <cp:category/>
  <dc:language>en-GB</dc:language>
</cp:coreProperties>
</file>