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D916" w14:textId="4AF2DDF6" w:rsidR="00754C9A" w:rsidRPr="00A81E0C" w:rsidRDefault="006F01C1" w:rsidP="00441B6F">
      <w:pPr>
        <w:pStyle w:val="Title"/>
        <w:spacing w:after="0"/>
        <w:jc w:val="both"/>
        <w:rPr>
          <w:rFonts w:ascii="Arial" w:hAnsi="Arial" w:cs="Arial"/>
        </w:rPr>
      </w:pPr>
      <w:r w:rsidRPr="00A81E0C">
        <w:rPr>
          <w:rFonts w:ascii="Arial" w:hAnsi="Arial" w:cs="Arial"/>
        </w:rPr>
        <w:t>Original Research Article</w:t>
      </w:r>
    </w:p>
    <w:p w14:paraId="649CF4A4" w14:textId="77777777" w:rsidR="006F01C1" w:rsidRPr="00A81E0C" w:rsidRDefault="006F01C1" w:rsidP="00441B6F">
      <w:pPr>
        <w:pStyle w:val="Title"/>
        <w:spacing w:after="0"/>
        <w:jc w:val="both"/>
        <w:rPr>
          <w:rFonts w:ascii="Arial" w:hAnsi="Arial" w:cs="Arial"/>
        </w:rPr>
      </w:pPr>
    </w:p>
    <w:p w14:paraId="021C65CA" w14:textId="77777777" w:rsidR="006F01C1" w:rsidRPr="00A81E0C" w:rsidRDefault="006F01C1" w:rsidP="00441B6F">
      <w:pPr>
        <w:pStyle w:val="Title"/>
        <w:spacing w:after="0"/>
        <w:jc w:val="both"/>
        <w:rPr>
          <w:rFonts w:ascii="Arial" w:hAnsi="Arial" w:cs="Arial"/>
        </w:rPr>
      </w:pPr>
    </w:p>
    <w:p w14:paraId="62AF0758" w14:textId="77777777" w:rsidR="00163BC4" w:rsidRPr="00A81E0C" w:rsidRDefault="00401927" w:rsidP="00441B6F">
      <w:pPr>
        <w:pStyle w:val="Author"/>
        <w:spacing w:line="240" w:lineRule="auto"/>
        <w:rPr>
          <w:rFonts w:ascii="Arial" w:hAnsi="Arial" w:cs="Arial"/>
          <w:bCs/>
          <w:iCs/>
          <w:kern w:val="28"/>
          <w:sz w:val="36"/>
        </w:rPr>
      </w:pPr>
      <w:r w:rsidRPr="00A81E0C">
        <w:rPr>
          <w:rFonts w:ascii="Arial" w:hAnsi="Arial" w:cs="Arial"/>
          <w:bCs/>
          <w:iCs/>
          <w:kern w:val="28"/>
          <w:sz w:val="36"/>
        </w:rPr>
        <w:t>Relevance of the Specialization in Intelligent Logistics Systems at the Instituto Tecnológico de Colima, Mexico: Institutional Capacities, Regional Geoeconomic Context and Strategic Foresight</w:t>
      </w:r>
    </w:p>
    <w:p w14:paraId="6FB99973" w14:textId="77777777" w:rsidR="00A258C3" w:rsidRPr="00A81E0C" w:rsidRDefault="00A258C3" w:rsidP="00441B6F">
      <w:pPr>
        <w:pStyle w:val="Author"/>
        <w:spacing w:line="240" w:lineRule="auto"/>
        <w:jc w:val="both"/>
        <w:rPr>
          <w:rFonts w:ascii="Arial" w:hAnsi="Arial" w:cs="Arial"/>
          <w:sz w:val="36"/>
        </w:rPr>
      </w:pPr>
    </w:p>
    <w:p w14:paraId="51E8F0D7" w14:textId="77777777" w:rsidR="00633614" w:rsidRPr="00A81E0C" w:rsidRDefault="00633614" w:rsidP="00441B6F">
      <w:pPr>
        <w:pStyle w:val="Affiliation"/>
        <w:spacing w:after="0" w:line="240" w:lineRule="auto"/>
        <w:rPr>
          <w:rFonts w:ascii="Arial" w:hAnsi="Arial" w:cs="Arial"/>
          <w:i/>
        </w:rPr>
      </w:pPr>
    </w:p>
    <w:p w14:paraId="706C4A09" w14:textId="77777777" w:rsidR="00790ADA" w:rsidRPr="00A81E0C" w:rsidRDefault="00790ADA" w:rsidP="00441B6F">
      <w:pPr>
        <w:pStyle w:val="Affiliation"/>
        <w:spacing w:after="0" w:line="240" w:lineRule="auto"/>
        <w:jc w:val="both"/>
        <w:rPr>
          <w:rFonts w:ascii="Arial" w:hAnsi="Arial" w:cs="Arial"/>
        </w:rPr>
      </w:pPr>
    </w:p>
    <w:p w14:paraId="0561249F" w14:textId="77777777" w:rsidR="002C57D2" w:rsidRPr="00A81E0C" w:rsidRDefault="002C57D2" w:rsidP="00441B6F">
      <w:pPr>
        <w:pStyle w:val="Affiliation"/>
        <w:spacing w:after="0" w:line="240" w:lineRule="auto"/>
        <w:jc w:val="both"/>
        <w:rPr>
          <w:rFonts w:ascii="Arial" w:hAnsi="Arial" w:cs="Arial"/>
        </w:rPr>
      </w:pPr>
    </w:p>
    <w:p w14:paraId="7AC6AA38" w14:textId="77777777" w:rsidR="00B01FCD" w:rsidRPr="00A81E0C" w:rsidRDefault="00000000" w:rsidP="00441B6F">
      <w:pPr>
        <w:pStyle w:val="Copyright"/>
        <w:spacing w:after="0" w:line="240" w:lineRule="auto"/>
        <w:jc w:val="both"/>
        <w:rPr>
          <w:rFonts w:ascii="Arial" w:hAnsi="Arial" w:cs="Arial"/>
        </w:rPr>
        <w:sectPr w:rsidR="00B01FCD" w:rsidRPr="00A81E0C" w:rsidSect="00E152E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735FAC6">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A81E0C">
        <w:rPr>
          <w:rFonts w:ascii="Arial" w:hAnsi="Arial" w:cs="Arial"/>
        </w:rPr>
        <w:t>.</w:t>
      </w:r>
    </w:p>
    <w:p w14:paraId="327D2AF8" w14:textId="77777777" w:rsidR="000403B8" w:rsidRPr="00A81E0C" w:rsidRDefault="00AC7B1E">
      <w:pPr>
        <w:pStyle w:val="AbstHead"/>
        <w:spacing w:after="120"/>
      </w:pPr>
      <w:r w:rsidRPr="00A81E0C">
        <w:rPr>
          <w:rFonts w:ascii="Arial" w:eastAsia="Arial" w:hAnsi="Arial" w:cs="Arial"/>
        </w:rPr>
        <w:t>ABSTRACT</w:t>
      </w:r>
    </w:p>
    <w:p w14:paraId="06E6330E" w14:textId="77777777" w:rsidR="000403B8" w:rsidRPr="00A81E0C" w:rsidRDefault="00AC7B1E">
      <w:pPr>
        <w:pStyle w:val="Body"/>
        <w:spacing w:after="40"/>
      </w:pPr>
      <w:r w:rsidRPr="00A81E0C">
        <w:rPr>
          <w:rFonts w:ascii="Arial" w:eastAsia="Arial" w:hAnsi="Arial" w:cs="Arial"/>
          <w:b/>
        </w:rPr>
        <w:t>Aims:</w:t>
      </w:r>
      <w:r w:rsidRPr="00A81E0C">
        <w:rPr>
          <w:rFonts w:ascii="Arial" w:eastAsia="Arial" w:hAnsi="Arial" w:cs="Arial"/>
        </w:rPr>
        <w:t xml:space="preserve"> To assess the relevance of the Specialization in Intelligent Logistics Systems offered within the Industrial Engineering program of the Instituto Tecnológico de Colima (ITC), Mexico, by relating the program's institutional capacities to the labor demand generated by the Manzanillo port-logistics cluster.</w:t>
      </w:r>
    </w:p>
    <w:p w14:paraId="48415416" w14:textId="77777777" w:rsidR="000403B8" w:rsidRPr="00A81E0C" w:rsidRDefault="00AC7B1E">
      <w:pPr>
        <w:pStyle w:val="Body"/>
        <w:spacing w:after="40"/>
      </w:pPr>
      <w:r w:rsidRPr="00A81E0C">
        <w:rPr>
          <w:rFonts w:ascii="Arial" w:eastAsia="Arial" w:hAnsi="Arial" w:cs="Arial"/>
          <w:b/>
        </w:rPr>
        <w:t>Study Design:</w:t>
      </w:r>
      <w:r w:rsidRPr="00A81E0C">
        <w:rPr>
          <w:rFonts w:ascii="Arial" w:eastAsia="Arial" w:hAnsi="Arial" w:cs="Arial"/>
        </w:rPr>
        <w:t xml:space="preserve"> Convergent mixed-methods case study.</w:t>
      </w:r>
    </w:p>
    <w:p w14:paraId="0D43AC15" w14:textId="77777777" w:rsidR="000403B8" w:rsidRPr="00A81E0C" w:rsidRDefault="00AC7B1E">
      <w:pPr>
        <w:pStyle w:val="Body"/>
        <w:spacing w:after="40"/>
      </w:pPr>
      <w:r w:rsidRPr="00A81E0C">
        <w:rPr>
          <w:rFonts w:ascii="Arial" w:eastAsia="Arial" w:hAnsi="Arial" w:cs="Arial"/>
          <w:b/>
        </w:rPr>
        <w:t>Place and Duration of Study:</w:t>
      </w:r>
      <w:r w:rsidRPr="00A81E0C">
        <w:rPr>
          <w:rFonts w:ascii="Arial" w:eastAsia="Arial" w:hAnsi="Arial" w:cs="Arial"/>
        </w:rPr>
        <w:t xml:space="preserve"> Department of Industrial Engineering, ITC, Villa de Álvarez, Colima, Mexico, between January and June 2026.</w:t>
      </w:r>
    </w:p>
    <w:p w14:paraId="782D5E2B" w14:textId="77777777" w:rsidR="000403B8" w:rsidRPr="00A81E0C" w:rsidRDefault="00AC7B1E">
      <w:pPr>
        <w:pStyle w:val="Body"/>
        <w:spacing w:after="40"/>
      </w:pPr>
      <w:r w:rsidRPr="00A81E0C">
        <w:rPr>
          <w:rFonts w:ascii="Arial" w:eastAsia="Arial" w:hAnsi="Arial" w:cs="Arial"/>
          <w:b/>
        </w:rPr>
        <w:t>Methodology:</w:t>
      </w:r>
      <w:r w:rsidRPr="00A81E0C">
        <w:rPr>
          <w:rFonts w:ascii="Arial" w:eastAsia="Arial" w:hAnsi="Arial" w:cs="Arial"/>
        </w:rPr>
        <w:t xml:space="preserve"> Four sources were triangulated: an institutional capacity study covering four student cohorts (2017–2026), the faculty profile and the physical infrastructure; a ten-item survey answered by 438 of the 460 active students (95.2% coverage) in March 2026; port and regional economic statistics for 2020–2024; and a review of literature published between 2021 and 2026. Indicators were analyzed with descriptive statistics.</w:t>
      </w:r>
    </w:p>
    <w:p w14:paraId="7F828ED4" w14:textId="77777777" w:rsidR="000403B8" w:rsidRPr="00A81E0C" w:rsidRDefault="00AC7B1E">
      <w:pPr>
        <w:pStyle w:val="Body"/>
        <w:spacing w:after="40"/>
      </w:pPr>
      <w:r w:rsidRPr="00A81E0C">
        <w:rPr>
          <w:rFonts w:ascii="Arial" w:eastAsia="Arial" w:hAnsi="Arial" w:cs="Arial"/>
          <w:b/>
        </w:rPr>
        <w:t>Results:</w:t>
      </w:r>
      <w:r w:rsidRPr="00A81E0C">
        <w:rPr>
          <w:rFonts w:ascii="Arial" w:eastAsia="Arial" w:hAnsi="Arial" w:cs="Arial"/>
        </w:rPr>
        <w:t xml:space="preserve"> Container traffic at the Port of Manzanillo rose from 2.86 to 3.72 million twenty-foot equivalent units between 2020 and 2024. Across the four cohorts, the mean course failure rate was 13.7%, dropout fell from 18.5% to 12.0% and the graduation rate rose from 52% to 62%. Logistics was the students' first choice of specialization (27.4%), ahead of quality (24.7%) and manufacturing (21.3%), and 78.1% reported high employment expectations. Of the 17 core faculty members, 88.2% had worked in industry before teaching. The main gap is the absence of Logistics 4.0 tools, such as warehouse management systems and supply chain analytics software.</w:t>
      </w:r>
    </w:p>
    <w:p w14:paraId="4EAE5AEB" w14:textId="77777777" w:rsidR="000403B8" w:rsidRPr="00A81E0C" w:rsidRDefault="00AC7B1E">
      <w:pPr>
        <w:pStyle w:val="Body"/>
        <w:spacing w:after="40"/>
      </w:pPr>
      <w:r w:rsidRPr="00A81E0C">
        <w:rPr>
          <w:rFonts w:ascii="Arial" w:eastAsia="Arial" w:hAnsi="Arial" w:cs="Arial"/>
          <w:b/>
        </w:rPr>
        <w:t>Conclusion:</w:t>
      </w:r>
      <w:r w:rsidRPr="00A81E0C">
        <w:rPr>
          <w:rFonts w:ascii="Arial" w:eastAsia="Arial" w:hAnsi="Arial" w:cs="Arial"/>
        </w:rPr>
        <w:t xml:space="preserve"> The specialization is consistent with regional labor demand and with student interest. A 2026–2029 action plan with five measures and performance indicators is proposed to close the technological gap.</w:t>
      </w:r>
    </w:p>
    <w:p w14:paraId="11E2C59C" w14:textId="77777777" w:rsidR="000403B8" w:rsidRPr="00A81E0C" w:rsidRDefault="000403B8">
      <w:pPr>
        <w:pStyle w:val="Body"/>
        <w:spacing w:after="0"/>
      </w:pPr>
    </w:p>
    <w:p w14:paraId="43C3BC27" w14:textId="77777777" w:rsidR="000403B8" w:rsidRPr="00A81E0C" w:rsidRDefault="00AC7B1E">
      <w:pPr>
        <w:pStyle w:val="Body"/>
        <w:spacing w:after="120"/>
      </w:pPr>
      <w:r w:rsidRPr="00A81E0C">
        <w:rPr>
          <w:rFonts w:ascii="Arial" w:eastAsia="Arial" w:hAnsi="Arial" w:cs="Arial"/>
          <w:i/>
        </w:rPr>
        <w:t>Keywords: Logistics engineering; industrial engineering; curricular relevance; technological higher education; port cluster; regional competitiveness; intelligent logistics.</w:t>
      </w:r>
    </w:p>
    <w:p w14:paraId="2F294225" w14:textId="77777777" w:rsidR="000403B8" w:rsidRPr="00A81E0C" w:rsidRDefault="000403B8">
      <w:pPr>
        <w:pStyle w:val="Body"/>
        <w:spacing w:after="0"/>
      </w:pPr>
    </w:p>
    <w:p w14:paraId="5CDB5397" w14:textId="77777777" w:rsidR="000403B8" w:rsidRPr="00A81E0C" w:rsidRDefault="00AC7B1E">
      <w:pPr>
        <w:pStyle w:val="AbstHead"/>
        <w:spacing w:after="120"/>
      </w:pPr>
      <w:r w:rsidRPr="00A81E0C">
        <w:rPr>
          <w:rFonts w:ascii="Arial" w:eastAsia="Arial" w:hAnsi="Arial" w:cs="Arial"/>
        </w:rPr>
        <w:lastRenderedPageBreak/>
        <w:t>1. INTRODUCTION</w:t>
      </w:r>
    </w:p>
    <w:p w14:paraId="6522B300" w14:textId="77777777" w:rsidR="000403B8" w:rsidRPr="00A81E0C" w:rsidRDefault="00AC7B1E">
      <w:pPr>
        <w:pStyle w:val="Body"/>
        <w:spacing w:after="160"/>
      </w:pPr>
      <w:r w:rsidRPr="00A81E0C">
        <w:rPr>
          <w:rFonts w:ascii="Arial" w:eastAsia="Arial" w:hAnsi="Arial" w:cs="Arial"/>
        </w:rPr>
        <w:t>Whether a degree program responds to the needs of the territory that hosts it has become a central question for higher education policy in Latin America. Silva Medina et al. (2026) argue that bringing engineering curricula into line with an increasingly digital industry is now the most pressing task facing higher education institutions (HEIs) in the region. The roadmap discussed at UNESCO's 2022 World Higher Education Conference points in the same direction, asking institutions to become more flexible and to respond faster to social and labor-market change, including the digital transition (United Nations Educational, Scientific and Cultural Organization [UNESCO], 2022). Logistics shows the pressure clearly. Since 2020, successive disruptions have forced firms to rethink supply chains that had been built around efficiency and lean inventories (Ivanov &amp; Dolgui, 2022).</w:t>
      </w:r>
    </w:p>
    <w:p w14:paraId="7F39FD75" w14:textId="77777777" w:rsidR="000403B8" w:rsidRPr="00A81E0C" w:rsidRDefault="00AC7B1E">
      <w:pPr>
        <w:pStyle w:val="Body"/>
        <w:spacing w:after="160"/>
      </w:pPr>
      <w:r w:rsidRPr="00A81E0C">
        <w:rPr>
          <w:rFonts w:ascii="Arial" w:eastAsia="Arial" w:hAnsi="Arial" w:cs="Arial"/>
        </w:rPr>
        <w:t>In Mexico, the Tecnológico Nacional de México (</w:t>
      </w:r>
      <w:proofErr w:type="spellStart"/>
      <w:r w:rsidRPr="00A81E0C">
        <w:rPr>
          <w:rFonts w:ascii="Arial" w:eastAsia="Arial" w:hAnsi="Arial" w:cs="Arial"/>
        </w:rPr>
        <w:t>TecNM</w:t>
      </w:r>
      <w:proofErr w:type="spellEnd"/>
      <w:r w:rsidRPr="00A81E0C">
        <w:rPr>
          <w:rFonts w:ascii="Arial" w:eastAsia="Arial" w:hAnsi="Arial" w:cs="Arial"/>
        </w:rPr>
        <w:t>) has turned this concern into a formal requirement. Chapter 19 of its Academic-Administrative Guidelines states that every specialization offered by its programs must rest on an up-to-date regional diagnosis, valid for no less than one year and no more than three (</w:t>
      </w:r>
      <w:proofErr w:type="spellStart"/>
      <w:r w:rsidRPr="00A81E0C">
        <w:rPr>
          <w:rFonts w:ascii="Arial" w:eastAsia="Arial" w:hAnsi="Arial" w:cs="Arial"/>
        </w:rPr>
        <w:t>TecNM</w:t>
      </w:r>
      <w:proofErr w:type="spellEnd"/>
      <w:r w:rsidRPr="00A81E0C">
        <w:rPr>
          <w:rFonts w:ascii="Arial" w:eastAsia="Arial" w:hAnsi="Arial" w:cs="Arial"/>
        </w:rPr>
        <w:t>, 2015). Specializations are thus subject to periodic review, and their continuation has to be justified with evidence.</w:t>
      </w:r>
    </w:p>
    <w:p w14:paraId="6EBD785F" w14:textId="77777777" w:rsidR="000403B8" w:rsidRPr="00A81E0C" w:rsidRDefault="00AC7B1E">
      <w:pPr>
        <w:pStyle w:val="Body"/>
        <w:spacing w:after="160"/>
      </w:pPr>
      <w:r w:rsidRPr="00A81E0C">
        <w:rPr>
          <w:rFonts w:ascii="Arial" w:eastAsia="Arial" w:hAnsi="Arial" w:cs="Arial"/>
        </w:rPr>
        <w:t>The Instituto Tecnológico de Colima (ITC-</w:t>
      </w:r>
      <w:proofErr w:type="spellStart"/>
      <w:r w:rsidRPr="00A81E0C">
        <w:rPr>
          <w:rFonts w:ascii="Arial" w:eastAsia="Arial" w:hAnsi="Arial" w:cs="Arial"/>
        </w:rPr>
        <w:t>TecNM</w:t>
      </w:r>
      <w:proofErr w:type="spellEnd"/>
      <w:r w:rsidRPr="00A81E0C">
        <w:rPr>
          <w:rFonts w:ascii="Arial" w:eastAsia="Arial" w:hAnsi="Arial" w:cs="Arial"/>
        </w:rPr>
        <w:t xml:space="preserve">) offers a bachelor's degree in Industrial Engineering. Colima is one of the smallest states in Mexico by area, yet it hosts the Port of Manzanillo, the country's busiest container port (Administración del Sistema </w:t>
      </w:r>
      <w:proofErr w:type="spellStart"/>
      <w:r w:rsidRPr="00A81E0C">
        <w:rPr>
          <w:rFonts w:ascii="Arial" w:eastAsia="Arial" w:hAnsi="Arial" w:cs="Arial"/>
        </w:rPr>
        <w:t>Portuario</w:t>
      </w:r>
      <w:proofErr w:type="spellEnd"/>
      <w:r w:rsidRPr="00A81E0C">
        <w:rPr>
          <w:rFonts w:ascii="Arial" w:eastAsia="Arial" w:hAnsi="Arial" w:cs="Arial"/>
        </w:rPr>
        <w:t xml:space="preserve"> Nacional Manzanillo [ASIPONA Manzanillo], 2024). This gives the state a weight in the national logistics system out of proportion to its size and sustains a steady demand for professionals trained in logistics, supply chain management and foreign trade.</w:t>
      </w:r>
    </w:p>
    <w:p w14:paraId="75BFD2EA" w14:textId="77777777" w:rsidR="000403B8" w:rsidRPr="00A81E0C" w:rsidRDefault="00AC7B1E">
      <w:pPr>
        <w:pStyle w:val="Body"/>
        <w:spacing w:after="160"/>
      </w:pPr>
      <w:r w:rsidRPr="00A81E0C">
        <w:rPr>
          <w:rFonts w:ascii="Arial" w:eastAsia="Arial" w:hAnsi="Arial" w:cs="Arial"/>
        </w:rPr>
        <w:t>The digitalization of logistics and the adoption of Industry 4.0 technologies are changing the competences the sector requires (Sheffi, 2023; World Economic Forum, 2023). Studies on Logistics 4.0 show that performance gains come from combining advanced technologies with redesigned processes, not from technology on its own (</w:t>
      </w:r>
      <w:proofErr w:type="spellStart"/>
      <w:r w:rsidRPr="00A81E0C">
        <w:rPr>
          <w:rFonts w:ascii="Arial" w:eastAsia="Arial" w:hAnsi="Arial" w:cs="Arial"/>
        </w:rPr>
        <w:t>Hrouga</w:t>
      </w:r>
      <w:proofErr w:type="spellEnd"/>
      <w:r w:rsidRPr="00A81E0C">
        <w:rPr>
          <w:rFonts w:ascii="Arial" w:eastAsia="Arial" w:hAnsi="Arial" w:cs="Arial"/>
        </w:rPr>
        <w:t xml:space="preserve"> &amp; </w:t>
      </w:r>
      <w:proofErr w:type="spellStart"/>
      <w:r w:rsidRPr="00A81E0C">
        <w:rPr>
          <w:rFonts w:ascii="Arial" w:eastAsia="Arial" w:hAnsi="Arial" w:cs="Arial"/>
        </w:rPr>
        <w:t>Sbihi</w:t>
      </w:r>
      <w:proofErr w:type="spellEnd"/>
      <w:r w:rsidRPr="00A81E0C">
        <w:rPr>
          <w:rFonts w:ascii="Arial" w:eastAsia="Arial" w:hAnsi="Arial" w:cs="Arial"/>
        </w:rPr>
        <w:t xml:space="preserve">, 2023; </w:t>
      </w:r>
      <w:proofErr w:type="spellStart"/>
      <w:r w:rsidRPr="00A81E0C">
        <w:rPr>
          <w:rFonts w:ascii="Arial" w:eastAsia="Arial" w:hAnsi="Arial" w:cs="Arial"/>
        </w:rPr>
        <w:t>Monferdini</w:t>
      </w:r>
      <w:proofErr w:type="spellEnd"/>
      <w:r w:rsidRPr="00A81E0C">
        <w:rPr>
          <w:rFonts w:ascii="Arial" w:eastAsia="Arial" w:hAnsi="Arial" w:cs="Arial"/>
        </w:rPr>
        <w:t xml:space="preserve"> et al., 2025). University programs are expected to anticipate these shifts and to give graduates the analytical, digital and managerial tools that complex logistics settings demand. The Specialization in Intelligent Logistics Systems (code INDE-SLI-2026-02) of ITC-</w:t>
      </w:r>
      <w:proofErr w:type="spellStart"/>
      <w:r w:rsidRPr="00A81E0C">
        <w:rPr>
          <w:rFonts w:ascii="Arial" w:eastAsia="Arial" w:hAnsi="Arial" w:cs="Arial"/>
        </w:rPr>
        <w:t>TecNM</w:t>
      </w:r>
      <w:proofErr w:type="spellEnd"/>
      <w:r w:rsidRPr="00A81E0C">
        <w:rPr>
          <w:rFonts w:ascii="Arial" w:eastAsia="Arial" w:hAnsi="Arial" w:cs="Arial"/>
        </w:rPr>
        <w:t xml:space="preserve"> was designed with that purpose.</w:t>
      </w:r>
    </w:p>
    <w:p w14:paraId="5B0B4554" w14:textId="77777777" w:rsidR="000403B8" w:rsidRPr="00A81E0C" w:rsidRDefault="00AC7B1E">
      <w:pPr>
        <w:pStyle w:val="Body"/>
        <w:spacing w:after="160"/>
      </w:pPr>
      <w:r w:rsidRPr="00A81E0C">
        <w:rPr>
          <w:rFonts w:ascii="Arial" w:eastAsia="Arial" w:hAnsi="Arial" w:cs="Arial"/>
        </w:rPr>
        <w:t>This study assesses the relevance of that specialization by examining the institutional capacities of the Industrial Engineering program together with the regional geoeconomic context. The analysis is organized around four axes: (1) the geoeconomic role of Colima as a logistics node; (2) the academic and institutional indicators of the program; (3) the available faculty and infrastructure; and (4) an operational plan to strengthen the specialization, with monitoring indicators. The empirical evidence comes from a student survey conducted in March 2026 and from a capacity study prepared by the program's Academy of Industrial Engineering.</w:t>
      </w:r>
    </w:p>
    <w:p w14:paraId="5A6F9E20" w14:textId="77777777" w:rsidR="000403B8" w:rsidRPr="00A81E0C" w:rsidRDefault="00AC7B1E">
      <w:pPr>
        <w:pStyle w:val="Body"/>
        <w:keepNext/>
        <w:spacing w:before="80" w:after="80"/>
        <w:jc w:val="left"/>
      </w:pPr>
      <w:r w:rsidRPr="00A81E0C">
        <w:rPr>
          <w:rFonts w:ascii="Arial" w:eastAsia="Arial" w:hAnsi="Arial" w:cs="Arial"/>
          <w:b/>
          <w:sz w:val="22"/>
        </w:rPr>
        <w:t>1.1 Curricular Relevance in Technological Higher Education</w:t>
      </w:r>
    </w:p>
    <w:p w14:paraId="07122013" w14:textId="77777777" w:rsidR="000403B8" w:rsidRPr="00A81E0C" w:rsidRDefault="00AC7B1E">
      <w:pPr>
        <w:pStyle w:val="Body"/>
        <w:spacing w:after="160"/>
      </w:pPr>
      <w:r w:rsidRPr="00A81E0C">
        <w:rPr>
          <w:rFonts w:ascii="Arial" w:eastAsia="Arial" w:hAnsi="Arial" w:cs="Arial"/>
        </w:rPr>
        <w:t>In the framework promoted by UNESCO (2022), relevance refers to the capacity of higher education programs to meet individual, social and labor-market needs with equity and quality. In technological education, it is usually judged by the fit between three elements: the graduate profile, the competences required by industry and the content of the curriculum. A program can lose relevance when any of them falls out of step, even if its internal indicators remain sound.</w:t>
      </w:r>
    </w:p>
    <w:p w14:paraId="5D652256" w14:textId="77777777" w:rsidR="000403B8" w:rsidRPr="00A81E0C" w:rsidRDefault="00AC7B1E">
      <w:pPr>
        <w:pStyle w:val="Body"/>
        <w:spacing w:after="160"/>
      </w:pPr>
      <w:r w:rsidRPr="00A81E0C">
        <w:rPr>
          <w:rFonts w:ascii="Arial" w:eastAsia="Arial" w:hAnsi="Arial" w:cs="Arial"/>
        </w:rPr>
        <w:t xml:space="preserve">From the perspective of regional innovation systems, technological institutes have a specific function: to supply specialized human capital to local productive clusters. In port and logistics regions, international experience, including the cases of Rotterdam, Singapore and </w:t>
      </w:r>
      <w:r w:rsidRPr="00A81E0C">
        <w:rPr>
          <w:rFonts w:ascii="Arial" w:eastAsia="Arial" w:hAnsi="Arial" w:cs="Arial"/>
        </w:rPr>
        <w:lastRenderedPageBreak/>
        <w:t>Valparaíso, indicates that a supply of engineers trained in logistics is necessary for port competitiveness, though not sufficient on its own (</w:t>
      </w:r>
      <w:proofErr w:type="spellStart"/>
      <w:r w:rsidRPr="00A81E0C">
        <w:rPr>
          <w:rFonts w:ascii="Arial" w:eastAsia="Arial" w:hAnsi="Arial" w:cs="Arial"/>
        </w:rPr>
        <w:t>Notteboom</w:t>
      </w:r>
      <w:proofErr w:type="spellEnd"/>
      <w:r w:rsidRPr="00A81E0C">
        <w:rPr>
          <w:rFonts w:ascii="Arial" w:eastAsia="Arial" w:hAnsi="Arial" w:cs="Arial"/>
        </w:rPr>
        <w:t xml:space="preserve"> et al., 2022).</w:t>
      </w:r>
    </w:p>
    <w:p w14:paraId="0BE3283E" w14:textId="77777777" w:rsidR="000403B8" w:rsidRPr="00A81E0C" w:rsidRDefault="00AC7B1E">
      <w:pPr>
        <w:pStyle w:val="Body"/>
        <w:spacing w:after="160"/>
      </w:pPr>
      <w:r w:rsidRPr="00A81E0C">
        <w:rPr>
          <w:rFonts w:ascii="Arial" w:eastAsia="Arial" w:hAnsi="Arial" w:cs="Arial"/>
        </w:rPr>
        <w:t xml:space="preserve">The literature on Logistics 4.0 describes a profile that joins classical technical skills, such as route optimization, inventory management and network design, with newer digital competences: data analytics based on machine learning, digital twins for warehouse operations, robotic automation and supply chain cybersecurity (Ivanov &amp; Dolgui, 2022; </w:t>
      </w:r>
      <w:proofErr w:type="spellStart"/>
      <w:r w:rsidRPr="00A81E0C">
        <w:rPr>
          <w:rFonts w:ascii="Arial" w:eastAsia="Arial" w:hAnsi="Arial" w:cs="Arial"/>
        </w:rPr>
        <w:t>Sheffi</w:t>
      </w:r>
      <w:proofErr w:type="spellEnd"/>
      <w:r w:rsidRPr="00A81E0C">
        <w:rPr>
          <w:rFonts w:ascii="Arial" w:eastAsia="Arial" w:hAnsi="Arial" w:cs="Arial"/>
        </w:rPr>
        <w:t xml:space="preserve">, 2023). In warehousing, systematic reviews document the operational benefits of these technologies alongside the barriers to adopting them, among which cost and the shortage of qualified staff recur (Perotti et al., 2022; </w:t>
      </w:r>
      <w:proofErr w:type="spellStart"/>
      <w:r w:rsidRPr="00A81E0C">
        <w:rPr>
          <w:rFonts w:ascii="Arial" w:eastAsia="Arial" w:hAnsi="Arial" w:cs="Arial"/>
        </w:rPr>
        <w:t>Tikwayo</w:t>
      </w:r>
      <w:proofErr w:type="spellEnd"/>
      <w:r w:rsidRPr="00A81E0C">
        <w:rPr>
          <w:rFonts w:ascii="Arial" w:eastAsia="Arial" w:hAnsi="Arial" w:cs="Arial"/>
        </w:rPr>
        <w:t xml:space="preserve"> &amp; Mathaba, 2023). Mohsen (2023) traces the same technologies across supply chain management more broadly. For universities, the implication is that teaching resources and software need continuous updating, which is the rationale for the modernization measures proposed later in this article.</w:t>
      </w:r>
    </w:p>
    <w:p w14:paraId="248B94B0" w14:textId="47F6031D" w:rsidR="000403B8" w:rsidRPr="00A81E0C" w:rsidRDefault="00AC7B1E">
      <w:pPr>
        <w:pStyle w:val="Body"/>
        <w:spacing w:after="160"/>
      </w:pPr>
      <w:r w:rsidRPr="00A81E0C">
        <w:rPr>
          <w:rFonts w:ascii="Arial" w:eastAsia="Arial" w:hAnsi="Arial" w:cs="Arial"/>
        </w:rPr>
        <w:t xml:space="preserve">In </w:t>
      </w:r>
      <w:r w:rsidR="00257238" w:rsidRPr="00A81E0C">
        <w:rPr>
          <w:rFonts w:ascii="Arial" w:eastAsia="Arial" w:hAnsi="Arial" w:cs="Arial"/>
        </w:rPr>
        <w:t xml:space="preserve">Mexico, Guadarrama </w:t>
      </w:r>
      <w:proofErr w:type="spellStart"/>
      <w:r w:rsidR="00257238" w:rsidRPr="00A81E0C">
        <w:rPr>
          <w:rFonts w:ascii="Arial" w:eastAsia="Arial" w:hAnsi="Arial" w:cs="Arial"/>
        </w:rPr>
        <w:t>Atrizco</w:t>
      </w:r>
      <w:proofErr w:type="spellEnd"/>
      <w:r w:rsidR="00257238" w:rsidRPr="00A81E0C">
        <w:rPr>
          <w:rFonts w:ascii="Arial" w:eastAsia="Arial" w:hAnsi="Arial" w:cs="Arial"/>
        </w:rPr>
        <w:t xml:space="preserve"> and Pedraza Amador (2025) identify a gap between the training of the logistics workforce and the sector’s requirements, using the U.S. Department of Labor’s industry competency model as a benchmark. These findings support ITC</w:t>
      </w:r>
      <w:r w:rsidR="00257238" w:rsidRPr="00A81E0C">
        <w:rPr>
          <w:rFonts w:ascii="Cambria Math" w:eastAsia="Arial" w:hAnsi="Cambria Math" w:cs="Cambria Math"/>
        </w:rPr>
        <w:t>‑</w:t>
      </w:r>
      <w:proofErr w:type="spellStart"/>
      <w:r w:rsidR="00257238" w:rsidRPr="00A81E0C">
        <w:rPr>
          <w:rFonts w:ascii="Arial" w:eastAsia="Arial" w:hAnsi="Arial" w:cs="Arial"/>
        </w:rPr>
        <w:t>TecNM’s</w:t>
      </w:r>
      <w:proofErr w:type="spellEnd"/>
      <w:r w:rsidR="00257238" w:rsidRPr="00A81E0C">
        <w:rPr>
          <w:rFonts w:ascii="Arial" w:eastAsia="Arial" w:hAnsi="Arial" w:cs="Arial"/>
        </w:rPr>
        <w:t xml:space="preserve"> decision to maintain specializations aligned with the region’s productive profile.</w:t>
      </w:r>
    </w:p>
    <w:p w14:paraId="19D3E654" w14:textId="77777777" w:rsidR="000403B8" w:rsidRPr="00A81E0C" w:rsidRDefault="000403B8">
      <w:pPr>
        <w:pStyle w:val="Body"/>
        <w:spacing w:after="0"/>
      </w:pPr>
    </w:p>
    <w:p w14:paraId="7137D571" w14:textId="77777777" w:rsidR="000403B8" w:rsidRPr="00A81E0C" w:rsidRDefault="00AC7B1E">
      <w:pPr>
        <w:pStyle w:val="AbstHead"/>
        <w:spacing w:after="120"/>
      </w:pPr>
      <w:r w:rsidRPr="00A81E0C">
        <w:rPr>
          <w:rFonts w:ascii="Arial" w:eastAsia="Arial" w:hAnsi="Arial" w:cs="Arial"/>
        </w:rPr>
        <w:t>2. METHODOLOGY</w:t>
      </w:r>
    </w:p>
    <w:p w14:paraId="06044159" w14:textId="77777777" w:rsidR="000403B8" w:rsidRPr="00A81E0C" w:rsidRDefault="00AC7B1E">
      <w:pPr>
        <w:pStyle w:val="Body"/>
        <w:keepNext/>
        <w:spacing w:before="80" w:after="80"/>
        <w:jc w:val="left"/>
      </w:pPr>
      <w:r w:rsidRPr="00A81E0C">
        <w:rPr>
          <w:rFonts w:ascii="Arial" w:eastAsia="Arial" w:hAnsi="Arial" w:cs="Arial"/>
          <w:b/>
          <w:sz w:val="22"/>
        </w:rPr>
        <w:t>2.1 Study Design</w:t>
      </w:r>
    </w:p>
    <w:p w14:paraId="6C4B9905" w14:textId="77777777" w:rsidR="000403B8" w:rsidRPr="00A81E0C" w:rsidRDefault="00AC7B1E">
      <w:pPr>
        <w:pStyle w:val="Body"/>
        <w:spacing w:after="160"/>
      </w:pPr>
      <w:r w:rsidRPr="00A81E0C">
        <w:rPr>
          <w:rFonts w:ascii="Arial" w:eastAsia="Arial" w:hAnsi="Arial" w:cs="Arial"/>
        </w:rPr>
        <w:t>The study followed a convergent mixed-methods design (Creswell &amp; Creswell, 2023). Quantitative analysis of institutional indicators was combined with qualitative documentary analysis of the regional socioeconomic context. Each strand was analyzed separately, and the results were integrated at the interpretation stage.</w:t>
      </w:r>
    </w:p>
    <w:p w14:paraId="2B3A3CAB" w14:textId="77777777" w:rsidR="000403B8" w:rsidRPr="00A81E0C" w:rsidRDefault="00AC7B1E">
      <w:pPr>
        <w:pStyle w:val="Body"/>
        <w:keepNext/>
        <w:spacing w:before="80" w:after="80"/>
        <w:jc w:val="left"/>
      </w:pPr>
      <w:r w:rsidRPr="00A81E0C">
        <w:rPr>
          <w:rFonts w:ascii="Arial" w:eastAsia="Arial" w:hAnsi="Arial" w:cs="Arial"/>
          <w:b/>
          <w:sz w:val="22"/>
        </w:rPr>
        <w:t>2.2 Data Sources</w:t>
      </w:r>
    </w:p>
    <w:p w14:paraId="74363CAB" w14:textId="77777777" w:rsidR="000403B8" w:rsidRPr="00A81E0C" w:rsidRDefault="00AC7B1E">
      <w:pPr>
        <w:pStyle w:val="Body"/>
        <w:spacing w:after="160"/>
      </w:pPr>
      <w:r w:rsidRPr="00A81E0C">
        <w:rPr>
          <w:rFonts w:ascii="Arial" w:eastAsia="Arial" w:hAnsi="Arial" w:cs="Arial"/>
        </w:rPr>
        <w:t>Data were drawn from four sources.</w:t>
      </w:r>
    </w:p>
    <w:p w14:paraId="5FC25013" w14:textId="77777777" w:rsidR="000403B8" w:rsidRPr="00A81E0C" w:rsidRDefault="00AC7B1E">
      <w:pPr>
        <w:pStyle w:val="Body"/>
        <w:spacing w:after="160"/>
      </w:pPr>
      <w:r w:rsidRPr="00A81E0C">
        <w:rPr>
          <w:rFonts w:ascii="Arial" w:eastAsia="Arial" w:hAnsi="Arial" w:cs="Arial"/>
          <w:i/>
        </w:rPr>
        <w:t>Institutional capacity study.</w:t>
      </w:r>
      <w:r w:rsidRPr="00A81E0C">
        <w:rPr>
          <w:rFonts w:ascii="Arial" w:eastAsia="Arial" w:hAnsi="Arial" w:cs="Arial"/>
        </w:rPr>
        <w:t xml:space="preserve"> The Academy of Industrial Engineering of ITC-</w:t>
      </w:r>
      <w:proofErr w:type="spellStart"/>
      <w:r w:rsidRPr="00A81E0C">
        <w:rPr>
          <w:rFonts w:ascii="Arial" w:eastAsia="Arial" w:hAnsi="Arial" w:cs="Arial"/>
        </w:rPr>
        <w:t>TecNM</w:t>
      </w:r>
      <w:proofErr w:type="spellEnd"/>
      <w:r w:rsidRPr="00A81E0C">
        <w:rPr>
          <w:rFonts w:ascii="Arial" w:eastAsia="Arial" w:hAnsi="Arial" w:cs="Arial"/>
        </w:rPr>
        <w:t xml:space="preserve"> prepared this study during the first half of 2026 (unpublished institutional report). It is based on records from the Academic, Planning and Administrative Deputy Directorates, the Department of School Services and the Annual Results Reports for 2023, 2024 and 2025. It covers academic indicators for the four cohorts with consolidated data (2017–2026), the inventory of physical and technical infrastructure and the profile of the teaching staff.</w:t>
      </w:r>
    </w:p>
    <w:p w14:paraId="3C86CEBB" w14:textId="77777777" w:rsidR="000403B8" w:rsidRPr="00A81E0C" w:rsidRDefault="00AC7B1E">
      <w:pPr>
        <w:pStyle w:val="Body"/>
        <w:spacing w:after="160"/>
      </w:pPr>
      <w:r w:rsidRPr="00A81E0C">
        <w:rPr>
          <w:rFonts w:ascii="Arial" w:eastAsia="Arial" w:hAnsi="Arial" w:cs="Arial"/>
          <w:i/>
        </w:rPr>
        <w:t>Student survey.</w:t>
      </w:r>
      <w:r w:rsidRPr="00A81E0C">
        <w:rPr>
          <w:rFonts w:ascii="Arial" w:eastAsia="Arial" w:hAnsi="Arial" w:cs="Arial"/>
        </w:rPr>
        <w:t xml:space="preserve"> A ten-item questionnaire was administered in March 2026 and answered by 438 of the 460 active students in the program (95.2%). The items covered place of origin, socioeconomic status, source of funding for studies, preferred area of specialization, satisfaction with the program (rated on a 1–10 scale), employment expectations and perceived attainment of the graduate profile. Since coverage was nearly complete, the results describe the active student population as a census rather than estimate it from a sample. Participation was anonymous and voluntary.</w:t>
      </w:r>
    </w:p>
    <w:p w14:paraId="1AB5B001" w14:textId="77777777" w:rsidR="000403B8" w:rsidRPr="00A81E0C" w:rsidRDefault="00AC7B1E">
      <w:pPr>
        <w:pStyle w:val="Body"/>
        <w:spacing w:after="160"/>
      </w:pPr>
      <w:r w:rsidRPr="00A81E0C">
        <w:rPr>
          <w:rFonts w:ascii="Arial" w:eastAsia="Arial" w:hAnsi="Arial" w:cs="Arial"/>
          <w:i/>
        </w:rPr>
        <w:t>Port and regional economic data.</w:t>
      </w:r>
      <w:r w:rsidRPr="00A81E0C">
        <w:rPr>
          <w:rFonts w:ascii="Arial" w:eastAsia="Arial" w:hAnsi="Arial" w:cs="Arial"/>
        </w:rPr>
        <w:t xml:space="preserve"> Annual container statistics were obtained from the port authority of Manzanillo (ASIPONA Manzanillo, formerly the Administración </w:t>
      </w:r>
      <w:proofErr w:type="spellStart"/>
      <w:r w:rsidRPr="00A81E0C">
        <w:rPr>
          <w:rFonts w:ascii="Arial" w:eastAsia="Arial" w:hAnsi="Arial" w:cs="Arial"/>
        </w:rPr>
        <w:t>Portuaria</w:t>
      </w:r>
      <w:proofErr w:type="spellEnd"/>
      <w:r w:rsidRPr="00A81E0C">
        <w:rPr>
          <w:rFonts w:ascii="Arial" w:eastAsia="Arial" w:hAnsi="Arial" w:cs="Arial"/>
        </w:rPr>
        <w:t xml:space="preserve"> Integral de Manzanillo) and from the statistical yearbooks of the National Port System (ASIPONA Manzanillo, 2024; </w:t>
      </w:r>
      <w:proofErr w:type="spellStart"/>
      <w:r w:rsidRPr="00A81E0C">
        <w:rPr>
          <w:rFonts w:ascii="Arial" w:eastAsia="Arial" w:hAnsi="Arial" w:cs="Arial"/>
        </w:rPr>
        <w:t>Secretaría</w:t>
      </w:r>
      <w:proofErr w:type="spellEnd"/>
      <w:r w:rsidRPr="00A81E0C">
        <w:rPr>
          <w:rFonts w:ascii="Arial" w:eastAsia="Arial" w:hAnsi="Arial" w:cs="Arial"/>
        </w:rPr>
        <w:t xml:space="preserve"> de Marina [SEMAR], 2024). The Colima State Development Plan 2021–2027 (</w:t>
      </w:r>
      <w:proofErr w:type="spellStart"/>
      <w:r w:rsidRPr="00A81E0C">
        <w:rPr>
          <w:rFonts w:ascii="Arial" w:eastAsia="Arial" w:hAnsi="Arial" w:cs="Arial"/>
        </w:rPr>
        <w:t>Gobierno</w:t>
      </w:r>
      <w:proofErr w:type="spellEnd"/>
      <w:r w:rsidRPr="00A81E0C">
        <w:rPr>
          <w:rFonts w:ascii="Arial" w:eastAsia="Arial" w:hAnsi="Arial" w:cs="Arial"/>
        </w:rPr>
        <w:t xml:space="preserve"> del Estado de Colima, 2021) and the transport statistics of the federal Ministry of Infrastructure, Communications and Transport (</w:t>
      </w:r>
      <w:proofErr w:type="spellStart"/>
      <w:r w:rsidRPr="00A81E0C">
        <w:rPr>
          <w:rFonts w:ascii="Arial" w:eastAsia="Arial" w:hAnsi="Arial" w:cs="Arial"/>
        </w:rPr>
        <w:t>Secretaría</w:t>
      </w:r>
      <w:proofErr w:type="spellEnd"/>
      <w:r w:rsidRPr="00A81E0C">
        <w:rPr>
          <w:rFonts w:ascii="Arial" w:eastAsia="Arial" w:hAnsi="Arial" w:cs="Arial"/>
        </w:rPr>
        <w:t xml:space="preserve"> de </w:t>
      </w:r>
      <w:proofErr w:type="spellStart"/>
      <w:r w:rsidRPr="00A81E0C">
        <w:rPr>
          <w:rFonts w:ascii="Arial" w:eastAsia="Arial" w:hAnsi="Arial" w:cs="Arial"/>
        </w:rPr>
        <w:t>Infraestructura</w:t>
      </w:r>
      <w:proofErr w:type="spellEnd"/>
      <w:r w:rsidRPr="00A81E0C">
        <w:rPr>
          <w:rFonts w:ascii="Arial" w:eastAsia="Arial" w:hAnsi="Arial" w:cs="Arial"/>
        </w:rPr>
        <w:t xml:space="preserve">, Comunicaciones y </w:t>
      </w:r>
      <w:proofErr w:type="spellStart"/>
      <w:r w:rsidRPr="00A81E0C">
        <w:rPr>
          <w:rFonts w:ascii="Arial" w:eastAsia="Arial" w:hAnsi="Arial" w:cs="Arial"/>
        </w:rPr>
        <w:t>Transportes</w:t>
      </w:r>
      <w:proofErr w:type="spellEnd"/>
      <w:r w:rsidRPr="00A81E0C">
        <w:rPr>
          <w:rFonts w:ascii="Arial" w:eastAsia="Arial" w:hAnsi="Arial" w:cs="Arial"/>
        </w:rPr>
        <w:t xml:space="preserve"> [SICT], 2024) were also reviewed.</w:t>
      </w:r>
    </w:p>
    <w:p w14:paraId="472DE88F" w14:textId="77777777" w:rsidR="000403B8" w:rsidRPr="00A81E0C" w:rsidRDefault="00AC7B1E">
      <w:pPr>
        <w:pStyle w:val="Body"/>
        <w:spacing w:after="160"/>
      </w:pPr>
      <w:r w:rsidRPr="00A81E0C">
        <w:rPr>
          <w:rFonts w:ascii="Arial" w:eastAsia="Arial" w:hAnsi="Arial" w:cs="Arial"/>
          <w:i/>
        </w:rPr>
        <w:lastRenderedPageBreak/>
        <w:t>Literature review.</w:t>
      </w:r>
      <w:r w:rsidRPr="00A81E0C">
        <w:rPr>
          <w:rFonts w:ascii="Arial" w:eastAsia="Arial" w:hAnsi="Arial" w:cs="Arial"/>
        </w:rPr>
        <w:t xml:space="preserve"> Academic sources and reports by international organizations published between 2021 and 2026 were searched in Scopus, </w:t>
      </w:r>
      <w:proofErr w:type="spellStart"/>
      <w:r w:rsidRPr="00A81E0C">
        <w:rPr>
          <w:rFonts w:ascii="Arial" w:eastAsia="Arial" w:hAnsi="Arial" w:cs="Arial"/>
        </w:rPr>
        <w:t>Redalyc</w:t>
      </w:r>
      <w:proofErr w:type="spellEnd"/>
      <w:r w:rsidRPr="00A81E0C">
        <w:rPr>
          <w:rFonts w:ascii="Arial" w:eastAsia="Arial" w:hAnsi="Arial" w:cs="Arial"/>
        </w:rPr>
        <w:t xml:space="preserve">, </w:t>
      </w:r>
      <w:proofErr w:type="spellStart"/>
      <w:r w:rsidRPr="00A81E0C">
        <w:rPr>
          <w:rFonts w:ascii="Arial" w:eastAsia="Arial" w:hAnsi="Arial" w:cs="Arial"/>
        </w:rPr>
        <w:t>SciELO</w:t>
      </w:r>
      <w:proofErr w:type="spellEnd"/>
      <w:r w:rsidRPr="00A81E0C">
        <w:rPr>
          <w:rFonts w:ascii="Arial" w:eastAsia="Arial" w:hAnsi="Arial" w:cs="Arial"/>
        </w:rPr>
        <w:t xml:space="preserve"> and Google Scholar. Priority was given to work on curricular relevance in technological higher education, Logistics 4.0 competences and labor demand in the Latin American port-logistics sector.</w:t>
      </w:r>
    </w:p>
    <w:p w14:paraId="473F99C1" w14:textId="77777777" w:rsidR="000403B8" w:rsidRPr="00A81E0C" w:rsidRDefault="00AC7B1E">
      <w:pPr>
        <w:pStyle w:val="Body"/>
        <w:keepNext/>
        <w:spacing w:before="80" w:after="80"/>
        <w:jc w:val="left"/>
      </w:pPr>
      <w:r w:rsidRPr="00A81E0C">
        <w:rPr>
          <w:rFonts w:ascii="Arial" w:eastAsia="Arial" w:hAnsi="Arial" w:cs="Arial"/>
          <w:b/>
          <w:sz w:val="22"/>
        </w:rPr>
        <w:t>2.3 Data Analysis</w:t>
      </w:r>
    </w:p>
    <w:p w14:paraId="6DFA58DA" w14:textId="77777777" w:rsidR="000403B8" w:rsidRPr="00A81E0C" w:rsidRDefault="00AC7B1E">
      <w:pPr>
        <w:pStyle w:val="Body"/>
        <w:spacing w:after="160"/>
      </w:pPr>
      <w:r w:rsidRPr="00A81E0C">
        <w:rPr>
          <w:rFonts w:ascii="Arial" w:eastAsia="Arial" w:hAnsi="Arial" w:cs="Arial"/>
        </w:rPr>
        <w:t>Academic indicators were analyzed with descriptive statistics, namely means and trends across cohorts. No inferential tests were applied, because the survey covered almost the whole population and the cohort series is short. The link between institutional capacities and regional demand was established by triangulating the four sources. Triangulation of methods, data and sources strengthened internal validity, since each finding could be checked from more than one angle. This matters in studies of curricular relevance, where the assessment of a program has to bring together evidence from students and faculty, from the institution's own capacities and from the socioeconomic environment. The limitations of the study are discussed in Section 3.7.</w:t>
      </w:r>
    </w:p>
    <w:p w14:paraId="382F97EF" w14:textId="77777777" w:rsidR="000403B8" w:rsidRPr="00A81E0C" w:rsidRDefault="000403B8">
      <w:pPr>
        <w:pStyle w:val="Body"/>
        <w:spacing w:after="0"/>
      </w:pPr>
    </w:p>
    <w:p w14:paraId="14E485AB" w14:textId="77777777" w:rsidR="000403B8" w:rsidRPr="00A81E0C" w:rsidRDefault="00AC7B1E">
      <w:pPr>
        <w:pStyle w:val="AbstHead"/>
        <w:spacing w:after="120"/>
      </w:pPr>
      <w:r w:rsidRPr="00A81E0C">
        <w:rPr>
          <w:rFonts w:ascii="Arial" w:eastAsia="Arial" w:hAnsi="Arial" w:cs="Arial"/>
        </w:rPr>
        <w:t>3. RESULTS AND DISCUSSION</w:t>
      </w:r>
    </w:p>
    <w:p w14:paraId="1DE89C6F" w14:textId="77777777" w:rsidR="000403B8" w:rsidRPr="00A81E0C" w:rsidRDefault="00AC7B1E">
      <w:pPr>
        <w:pStyle w:val="Body"/>
        <w:keepNext/>
        <w:spacing w:before="80" w:after="80"/>
        <w:jc w:val="left"/>
      </w:pPr>
      <w:r w:rsidRPr="00A81E0C">
        <w:rPr>
          <w:rFonts w:ascii="Arial" w:eastAsia="Arial" w:hAnsi="Arial" w:cs="Arial"/>
          <w:b/>
          <w:sz w:val="22"/>
        </w:rPr>
        <w:t>3.1 Colima as a Strategic Logistics Node</w:t>
      </w:r>
    </w:p>
    <w:p w14:paraId="7FC60159" w14:textId="77777777" w:rsidR="000403B8" w:rsidRPr="00A81E0C" w:rsidRDefault="00AC7B1E">
      <w:pPr>
        <w:pStyle w:val="Body"/>
        <w:spacing w:after="160"/>
      </w:pPr>
      <w:r w:rsidRPr="00A81E0C">
        <w:rPr>
          <w:rFonts w:ascii="Arial" w:eastAsia="Arial" w:hAnsi="Arial" w:cs="Arial"/>
        </w:rPr>
        <w:t>Colima holds a distinctive place in Mexico's logistics system. With an area of only 5,627 km², the state hosts the Port of Manzanillo, which, according to port authority data, handled between 55% and 60% of the country's container traffic over the period analyzed. Table 1 summarizes the evolution of port traffic from 2020 to 2024.</w:t>
      </w:r>
    </w:p>
    <w:p w14:paraId="6A2EA7EB" w14:textId="77777777" w:rsidR="000403B8" w:rsidRPr="00A81E0C" w:rsidRDefault="00AC7B1E">
      <w:pPr>
        <w:pStyle w:val="Body"/>
        <w:keepNext/>
        <w:spacing w:before="120" w:after="80"/>
        <w:jc w:val="left"/>
      </w:pPr>
      <w:r w:rsidRPr="00A81E0C">
        <w:rPr>
          <w:rFonts w:ascii="Arial" w:eastAsia="Arial" w:hAnsi="Arial" w:cs="Arial"/>
          <w:b/>
        </w:rPr>
        <w:t>Table 1. Container traffic at the Port of Manzanillo, 2020–2024</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1100"/>
        <w:gridCol w:w="1700"/>
        <w:gridCol w:w="1900"/>
        <w:gridCol w:w="1500"/>
        <w:gridCol w:w="2008"/>
      </w:tblGrid>
      <w:tr w:rsidR="000403B8" w:rsidRPr="00A81E0C" w14:paraId="68DE88AE" w14:textId="77777777">
        <w:trPr>
          <w:cantSplit/>
          <w:tblHeader/>
          <w:jc w:val="center"/>
        </w:trPr>
        <w:tc>
          <w:tcPr>
            <w:tcW w:w="1100" w:type="dxa"/>
            <w:tcBorders>
              <w:bottom w:val="single" w:sz="6" w:space="0" w:color="000000"/>
            </w:tcBorders>
          </w:tcPr>
          <w:p w14:paraId="1AECD47D" w14:textId="77777777" w:rsidR="000403B8" w:rsidRPr="00A81E0C" w:rsidRDefault="00AC7B1E">
            <w:pPr>
              <w:jc w:val="center"/>
            </w:pPr>
            <w:r w:rsidRPr="00A81E0C">
              <w:rPr>
                <w:rFonts w:ascii="Arial" w:eastAsia="Arial" w:hAnsi="Arial" w:cs="Arial"/>
                <w:b/>
                <w:sz w:val="18"/>
              </w:rPr>
              <w:t>Year</w:t>
            </w:r>
          </w:p>
        </w:tc>
        <w:tc>
          <w:tcPr>
            <w:tcW w:w="1700" w:type="dxa"/>
            <w:tcBorders>
              <w:bottom w:val="single" w:sz="6" w:space="0" w:color="000000"/>
            </w:tcBorders>
          </w:tcPr>
          <w:p w14:paraId="0AA08B64" w14:textId="77777777" w:rsidR="000403B8" w:rsidRPr="00A81E0C" w:rsidRDefault="00AC7B1E">
            <w:pPr>
              <w:jc w:val="center"/>
            </w:pPr>
            <w:r w:rsidRPr="00A81E0C">
              <w:rPr>
                <w:rFonts w:ascii="Arial" w:eastAsia="Arial" w:hAnsi="Arial" w:cs="Arial"/>
                <w:b/>
                <w:sz w:val="18"/>
              </w:rPr>
              <w:t>TEU handled</w:t>
            </w:r>
          </w:p>
        </w:tc>
        <w:tc>
          <w:tcPr>
            <w:tcW w:w="1900" w:type="dxa"/>
            <w:tcBorders>
              <w:bottom w:val="single" w:sz="6" w:space="0" w:color="000000"/>
            </w:tcBorders>
          </w:tcPr>
          <w:p w14:paraId="4C1035D9" w14:textId="77777777" w:rsidR="000403B8" w:rsidRPr="00A81E0C" w:rsidRDefault="00AC7B1E">
            <w:pPr>
              <w:jc w:val="center"/>
            </w:pPr>
            <w:r w:rsidRPr="00A81E0C">
              <w:rPr>
                <w:rFonts w:ascii="Arial" w:eastAsia="Arial" w:hAnsi="Arial" w:cs="Arial"/>
                <w:b/>
                <w:sz w:val="18"/>
              </w:rPr>
              <w:t>Share of national container traffic (%)</w:t>
            </w:r>
          </w:p>
        </w:tc>
        <w:tc>
          <w:tcPr>
            <w:tcW w:w="1500" w:type="dxa"/>
            <w:tcBorders>
              <w:bottom w:val="single" w:sz="6" w:space="0" w:color="000000"/>
            </w:tcBorders>
          </w:tcPr>
          <w:p w14:paraId="24EE9A5A" w14:textId="77777777" w:rsidR="000403B8" w:rsidRPr="00A81E0C" w:rsidRDefault="00AC7B1E">
            <w:pPr>
              <w:jc w:val="center"/>
            </w:pPr>
            <w:r w:rsidRPr="00A81E0C">
              <w:rPr>
                <w:rFonts w:ascii="Arial" w:eastAsia="Arial" w:hAnsi="Arial" w:cs="Arial"/>
                <w:b/>
                <w:sz w:val="18"/>
              </w:rPr>
              <w:t>Annual change (%)</w:t>
            </w:r>
          </w:p>
        </w:tc>
        <w:tc>
          <w:tcPr>
            <w:tcW w:w="2008" w:type="dxa"/>
            <w:tcBorders>
              <w:bottom w:val="single" w:sz="6" w:space="0" w:color="000000"/>
            </w:tcBorders>
          </w:tcPr>
          <w:p w14:paraId="70A44456" w14:textId="77777777" w:rsidR="000403B8" w:rsidRPr="00A81E0C" w:rsidRDefault="00AC7B1E">
            <w:pPr>
              <w:jc w:val="center"/>
            </w:pPr>
            <w:r w:rsidRPr="00A81E0C">
              <w:rPr>
                <w:rFonts w:ascii="Arial" w:eastAsia="Arial" w:hAnsi="Arial" w:cs="Arial"/>
                <w:b/>
                <w:sz w:val="18"/>
              </w:rPr>
              <w:t>Rank among Latin American Pacific ports</w:t>
            </w:r>
          </w:p>
        </w:tc>
      </w:tr>
      <w:tr w:rsidR="000403B8" w:rsidRPr="00A81E0C" w14:paraId="24AB19C4" w14:textId="77777777">
        <w:trPr>
          <w:cantSplit/>
          <w:jc w:val="center"/>
        </w:trPr>
        <w:tc>
          <w:tcPr>
            <w:tcW w:w="1100" w:type="dxa"/>
          </w:tcPr>
          <w:p w14:paraId="3C2E7BB7" w14:textId="77777777" w:rsidR="000403B8" w:rsidRPr="00A81E0C" w:rsidRDefault="00AC7B1E">
            <w:pPr>
              <w:jc w:val="center"/>
            </w:pPr>
            <w:r w:rsidRPr="00A81E0C">
              <w:rPr>
                <w:rFonts w:ascii="Arial" w:eastAsia="Arial" w:hAnsi="Arial" w:cs="Arial"/>
                <w:sz w:val="18"/>
              </w:rPr>
              <w:t>2020</w:t>
            </w:r>
          </w:p>
        </w:tc>
        <w:tc>
          <w:tcPr>
            <w:tcW w:w="1700" w:type="dxa"/>
          </w:tcPr>
          <w:p w14:paraId="5E4CE2A9" w14:textId="77777777" w:rsidR="000403B8" w:rsidRPr="00A81E0C" w:rsidRDefault="00AC7B1E">
            <w:pPr>
              <w:jc w:val="right"/>
            </w:pPr>
            <w:r w:rsidRPr="00A81E0C">
              <w:rPr>
                <w:rFonts w:ascii="Arial" w:eastAsia="Arial" w:hAnsi="Arial" w:cs="Arial"/>
                <w:sz w:val="18"/>
              </w:rPr>
              <w:t>2,861,000</w:t>
            </w:r>
          </w:p>
        </w:tc>
        <w:tc>
          <w:tcPr>
            <w:tcW w:w="1900" w:type="dxa"/>
          </w:tcPr>
          <w:p w14:paraId="46A05CAA" w14:textId="77777777" w:rsidR="000403B8" w:rsidRPr="00A81E0C" w:rsidRDefault="00AC7B1E">
            <w:pPr>
              <w:jc w:val="center"/>
            </w:pPr>
            <w:r w:rsidRPr="00A81E0C">
              <w:rPr>
                <w:rFonts w:ascii="Arial" w:eastAsia="Arial" w:hAnsi="Arial" w:cs="Arial"/>
                <w:sz w:val="18"/>
              </w:rPr>
              <w:t>55</w:t>
            </w:r>
          </w:p>
        </w:tc>
        <w:tc>
          <w:tcPr>
            <w:tcW w:w="1500" w:type="dxa"/>
          </w:tcPr>
          <w:p w14:paraId="110FB57C" w14:textId="77777777" w:rsidR="000403B8" w:rsidRPr="00A81E0C" w:rsidRDefault="00AC7B1E">
            <w:pPr>
              <w:jc w:val="center"/>
            </w:pPr>
            <w:r w:rsidRPr="00A81E0C">
              <w:rPr>
                <w:rFonts w:ascii="Arial" w:eastAsia="Arial" w:hAnsi="Arial" w:cs="Arial"/>
                <w:sz w:val="18"/>
              </w:rPr>
              <w:t>−4.1</w:t>
            </w:r>
          </w:p>
        </w:tc>
        <w:tc>
          <w:tcPr>
            <w:tcW w:w="2008" w:type="dxa"/>
          </w:tcPr>
          <w:p w14:paraId="22B213B7" w14:textId="77777777" w:rsidR="000403B8" w:rsidRPr="00A81E0C" w:rsidRDefault="00AC7B1E">
            <w:pPr>
              <w:jc w:val="center"/>
            </w:pPr>
            <w:r w:rsidRPr="00A81E0C">
              <w:rPr>
                <w:rFonts w:ascii="Arial" w:eastAsia="Arial" w:hAnsi="Arial" w:cs="Arial"/>
                <w:sz w:val="18"/>
              </w:rPr>
              <w:t>2</w:t>
            </w:r>
          </w:p>
        </w:tc>
      </w:tr>
      <w:tr w:rsidR="000403B8" w:rsidRPr="00A81E0C" w14:paraId="2B1596D5" w14:textId="77777777">
        <w:trPr>
          <w:cantSplit/>
          <w:jc w:val="center"/>
        </w:trPr>
        <w:tc>
          <w:tcPr>
            <w:tcW w:w="1100" w:type="dxa"/>
          </w:tcPr>
          <w:p w14:paraId="53083637" w14:textId="77777777" w:rsidR="000403B8" w:rsidRPr="00A81E0C" w:rsidRDefault="00AC7B1E">
            <w:pPr>
              <w:jc w:val="center"/>
            </w:pPr>
            <w:r w:rsidRPr="00A81E0C">
              <w:rPr>
                <w:rFonts w:ascii="Arial" w:eastAsia="Arial" w:hAnsi="Arial" w:cs="Arial"/>
                <w:sz w:val="18"/>
              </w:rPr>
              <w:t>2021</w:t>
            </w:r>
          </w:p>
        </w:tc>
        <w:tc>
          <w:tcPr>
            <w:tcW w:w="1700" w:type="dxa"/>
          </w:tcPr>
          <w:p w14:paraId="7D14B6CA" w14:textId="77777777" w:rsidR="000403B8" w:rsidRPr="00A81E0C" w:rsidRDefault="00AC7B1E">
            <w:pPr>
              <w:jc w:val="right"/>
            </w:pPr>
            <w:r w:rsidRPr="00A81E0C">
              <w:rPr>
                <w:rFonts w:ascii="Arial" w:eastAsia="Arial" w:hAnsi="Arial" w:cs="Arial"/>
                <w:sz w:val="18"/>
              </w:rPr>
              <w:t>3,228,000</w:t>
            </w:r>
          </w:p>
        </w:tc>
        <w:tc>
          <w:tcPr>
            <w:tcW w:w="1900" w:type="dxa"/>
          </w:tcPr>
          <w:p w14:paraId="1EB56948" w14:textId="77777777" w:rsidR="000403B8" w:rsidRPr="00A81E0C" w:rsidRDefault="00AC7B1E">
            <w:pPr>
              <w:jc w:val="center"/>
            </w:pPr>
            <w:r w:rsidRPr="00A81E0C">
              <w:rPr>
                <w:rFonts w:ascii="Arial" w:eastAsia="Arial" w:hAnsi="Arial" w:cs="Arial"/>
                <w:sz w:val="18"/>
              </w:rPr>
              <w:t>57</w:t>
            </w:r>
          </w:p>
        </w:tc>
        <w:tc>
          <w:tcPr>
            <w:tcW w:w="1500" w:type="dxa"/>
          </w:tcPr>
          <w:p w14:paraId="3094B969" w14:textId="77777777" w:rsidR="000403B8" w:rsidRPr="00A81E0C" w:rsidRDefault="00AC7B1E">
            <w:pPr>
              <w:jc w:val="center"/>
            </w:pPr>
            <w:r w:rsidRPr="00A81E0C">
              <w:rPr>
                <w:rFonts w:ascii="Arial" w:eastAsia="Arial" w:hAnsi="Arial" w:cs="Arial"/>
                <w:sz w:val="18"/>
              </w:rPr>
              <w:t>+12.8</w:t>
            </w:r>
          </w:p>
        </w:tc>
        <w:tc>
          <w:tcPr>
            <w:tcW w:w="2008" w:type="dxa"/>
          </w:tcPr>
          <w:p w14:paraId="5499CB35" w14:textId="77777777" w:rsidR="000403B8" w:rsidRPr="00A81E0C" w:rsidRDefault="00AC7B1E">
            <w:pPr>
              <w:jc w:val="center"/>
            </w:pPr>
            <w:r w:rsidRPr="00A81E0C">
              <w:rPr>
                <w:rFonts w:ascii="Arial" w:eastAsia="Arial" w:hAnsi="Arial" w:cs="Arial"/>
                <w:sz w:val="18"/>
              </w:rPr>
              <w:t>2</w:t>
            </w:r>
          </w:p>
        </w:tc>
      </w:tr>
      <w:tr w:rsidR="000403B8" w:rsidRPr="00A81E0C" w14:paraId="7EACEF1F" w14:textId="77777777">
        <w:trPr>
          <w:cantSplit/>
          <w:jc w:val="center"/>
        </w:trPr>
        <w:tc>
          <w:tcPr>
            <w:tcW w:w="1100" w:type="dxa"/>
          </w:tcPr>
          <w:p w14:paraId="76483667" w14:textId="77777777" w:rsidR="000403B8" w:rsidRPr="00A81E0C" w:rsidRDefault="00AC7B1E">
            <w:pPr>
              <w:jc w:val="center"/>
            </w:pPr>
            <w:r w:rsidRPr="00A81E0C">
              <w:rPr>
                <w:rFonts w:ascii="Arial" w:eastAsia="Arial" w:hAnsi="Arial" w:cs="Arial"/>
                <w:sz w:val="18"/>
              </w:rPr>
              <w:t>2022</w:t>
            </w:r>
          </w:p>
        </w:tc>
        <w:tc>
          <w:tcPr>
            <w:tcW w:w="1700" w:type="dxa"/>
          </w:tcPr>
          <w:p w14:paraId="4B5C0321" w14:textId="77777777" w:rsidR="000403B8" w:rsidRPr="00A81E0C" w:rsidRDefault="00AC7B1E">
            <w:pPr>
              <w:jc w:val="right"/>
            </w:pPr>
            <w:r w:rsidRPr="00A81E0C">
              <w:rPr>
                <w:rFonts w:ascii="Arial" w:eastAsia="Arial" w:hAnsi="Arial" w:cs="Arial"/>
                <w:sz w:val="18"/>
              </w:rPr>
              <w:t>3,450,000</w:t>
            </w:r>
          </w:p>
        </w:tc>
        <w:tc>
          <w:tcPr>
            <w:tcW w:w="1900" w:type="dxa"/>
          </w:tcPr>
          <w:p w14:paraId="23F0F09E" w14:textId="77777777" w:rsidR="000403B8" w:rsidRPr="00A81E0C" w:rsidRDefault="00AC7B1E">
            <w:pPr>
              <w:jc w:val="center"/>
            </w:pPr>
            <w:r w:rsidRPr="00A81E0C">
              <w:rPr>
                <w:rFonts w:ascii="Arial" w:eastAsia="Arial" w:hAnsi="Arial" w:cs="Arial"/>
                <w:sz w:val="18"/>
              </w:rPr>
              <w:t>58</w:t>
            </w:r>
          </w:p>
        </w:tc>
        <w:tc>
          <w:tcPr>
            <w:tcW w:w="1500" w:type="dxa"/>
          </w:tcPr>
          <w:p w14:paraId="6D4B98E4" w14:textId="77777777" w:rsidR="000403B8" w:rsidRPr="00A81E0C" w:rsidRDefault="00AC7B1E">
            <w:pPr>
              <w:jc w:val="center"/>
            </w:pPr>
            <w:r w:rsidRPr="00A81E0C">
              <w:rPr>
                <w:rFonts w:ascii="Arial" w:eastAsia="Arial" w:hAnsi="Arial" w:cs="Arial"/>
                <w:sz w:val="18"/>
              </w:rPr>
              <w:t>+6.9</w:t>
            </w:r>
          </w:p>
        </w:tc>
        <w:tc>
          <w:tcPr>
            <w:tcW w:w="2008" w:type="dxa"/>
          </w:tcPr>
          <w:p w14:paraId="08354536" w14:textId="77777777" w:rsidR="000403B8" w:rsidRPr="00A81E0C" w:rsidRDefault="00AC7B1E">
            <w:pPr>
              <w:jc w:val="center"/>
            </w:pPr>
            <w:r w:rsidRPr="00A81E0C">
              <w:rPr>
                <w:rFonts w:ascii="Arial" w:eastAsia="Arial" w:hAnsi="Arial" w:cs="Arial"/>
                <w:sz w:val="18"/>
              </w:rPr>
              <w:t>2</w:t>
            </w:r>
          </w:p>
        </w:tc>
      </w:tr>
      <w:tr w:rsidR="000403B8" w:rsidRPr="00A81E0C" w14:paraId="18092632" w14:textId="77777777">
        <w:trPr>
          <w:cantSplit/>
          <w:jc w:val="center"/>
        </w:trPr>
        <w:tc>
          <w:tcPr>
            <w:tcW w:w="1100" w:type="dxa"/>
          </w:tcPr>
          <w:p w14:paraId="4B5E758B" w14:textId="77777777" w:rsidR="000403B8" w:rsidRPr="00A81E0C" w:rsidRDefault="00AC7B1E">
            <w:pPr>
              <w:jc w:val="center"/>
            </w:pPr>
            <w:r w:rsidRPr="00A81E0C">
              <w:rPr>
                <w:rFonts w:ascii="Arial" w:eastAsia="Arial" w:hAnsi="Arial" w:cs="Arial"/>
                <w:sz w:val="18"/>
              </w:rPr>
              <w:t>2023</w:t>
            </w:r>
          </w:p>
        </w:tc>
        <w:tc>
          <w:tcPr>
            <w:tcW w:w="1700" w:type="dxa"/>
          </w:tcPr>
          <w:p w14:paraId="01D023F3" w14:textId="77777777" w:rsidR="000403B8" w:rsidRPr="00A81E0C" w:rsidRDefault="00AC7B1E">
            <w:pPr>
              <w:jc w:val="right"/>
            </w:pPr>
            <w:r w:rsidRPr="00A81E0C">
              <w:rPr>
                <w:rFonts w:ascii="Arial" w:eastAsia="Arial" w:hAnsi="Arial" w:cs="Arial"/>
                <w:sz w:val="18"/>
              </w:rPr>
              <w:t>3,612,000</w:t>
            </w:r>
          </w:p>
        </w:tc>
        <w:tc>
          <w:tcPr>
            <w:tcW w:w="1900" w:type="dxa"/>
          </w:tcPr>
          <w:p w14:paraId="28FFDB93" w14:textId="77777777" w:rsidR="000403B8" w:rsidRPr="00A81E0C" w:rsidRDefault="00AC7B1E">
            <w:pPr>
              <w:jc w:val="center"/>
            </w:pPr>
            <w:r w:rsidRPr="00A81E0C">
              <w:rPr>
                <w:rFonts w:ascii="Arial" w:eastAsia="Arial" w:hAnsi="Arial" w:cs="Arial"/>
                <w:sz w:val="18"/>
              </w:rPr>
              <w:t>60</w:t>
            </w:r>
          </w:p>
        </w:tc>
        <w:tc>
          <w:tcPr>
            <w:tcW w:w="1500" w:type="dxa"/>
          </w:tcPr>
          <w:p w14:paraId="7A975604" w14:textId="77777777" w:rsidR="000403B8" w:rsidRPr="00A81E0C" w:rsidRDefault="00AC7B1E">
            <w:pPr>
              <w:jc w:val="center"/>
            </w:pPr>
            <w:r w:rsidRPr="00A81E0C">
              <w:rPr>
                <w:rFonts w:ascii="Arial" w:eastAsia="Arial" w:hAnsi="Arial" w:cs="Arial"/>
                <w:sz w:val="18"/>
              </w:rPr>
              <w:t>+4.7</w:t>
            </w:r>
          </w:p>
        </w:tc>
        <w:tc>
          <w:tcPr>
            <w:tcW w:w="2008" w:type="dxa"/>
          </w:tcPr>
          <w:p w14:paraId="1ACBD077" w14:textId="77777777" w:rsidR="000403B8" w:rsidRPr="00A81E0C" w:rsidRDefault="00AC7B1E">
            <w:pPr>
              <w:jc w:val="center"/>
            </w:pPr>
            <w:r w:rsidRPr="00A81E0C">
              <w:rPr>
                <w:rFonts w:ascii="Arial" w:eastAsia="Arial" w:hAnsi="Arial" w:cs="Arial"/>
                <w:sz w:val="18"/>
              </w:rPr>
              <w:t>1–2</w:t>
            </w:r>
          </w:p>
        </w:tc>
      </w:tr>
      <w:tr w:rsidR="000403B8" w:rsidRPr="00A81E0C" w14:paraId="05699DE1" w14:textId="77777777">
        <w:trPr>
          <w:cantSplit/>
          <w:jc w:val="center"/>
        </w:trPr>
        <w:tc>
          <w:tcPr>
            <w:tcW w:w="1100" w:type="dxa"/>
          </w:tcPr>
          <w:p w14:paraId="320B1226" w14:textId="77777777" w:rsidR="000403B8" w:rsidRPr="00A81E0C" w:rsidRDefault="00AC7B1E">
            <w:pPr>
              <w:jc w:val="center"/>
            </w:pPr>
            <w:r w:rsidRPr="00A81E0C">
              <w:rPr>
                <w:rFonts w:ascii="Arial" w:eastAsia="Arial" w:hAnsi="Arial" w:cs="Arial"/>
                <w:sz w:val="18"/>
              </w:rPr>
              <w:t>2024</w:t>
            </w:r>
          </w:p>
        </w:tc>
        <w:tc>
          <w:tcPr>
            <w:tcW w:w="1700" w:type="dxa"/>
          </w:tcPr>
          <w:p w14:paraId="6DC4084E" w14:textId="77777777" w:rsidR="000403B8" w:rsidRPr="00A81E0C" w:rsidRDefault="00AC7B1E">
            <w:pPr>
              <w:jc w:val="right"/>
            </w:pPr>
            <w:r w:rsidRPr="00A81E0C">
              <w:rPr>
                <w:rFonts w:ascii="Arial" w:eastAsia="Arial" w:hAnsi="Arial" w:cs="Arial"/>
                <w:sz w:val="18"/>
              </w:rPr>
              <w:t>3,720,000</w:t>
            </w:r>
          </w:p>
        </w:tc>
        <w:tc>
          <w:tcPr>
            <w:tcW w:w="1900" w:type="dxa"/>
          </w:tcPr>
          <w:p w14:paraId="147F83A3" w14:textId="77777777" w:rsidR="000403B8" w:rsidRPr="00A81E0C" w:rsidRDefault="00AC7B1E">
            <w:pPr>
              <w:jc w:val="center"/>
            </w:pPr>
            <w:r w:rsidRPr="00A81E0C">
              <w:rPr>
                <w:rFonts w:ascii="Arial" w:eastAsia="Arial" w:hAnsi="Arial" w:cs="Arial"/>
                <w:sz w:val="18"/>
              </w:rPr>
              <w:t>60</w:t>
            </w:r>
          </w:p>
        </w:tc>
        <w:tc>
          <w:tcPr>
            <w:tcW w:w="1500" w:type="dxa"/>
          </w:tcPr>
          <w:p w14:paraId="7AE9BBE2" w14:textId="77777777" w:rsidR="000403B8" w:rsidRPr="00A81E0C" w:rsidRDefault="00AC7B1E">
            <w:pPr>
              <w:jc w:val="center"/>
            </w:pPr>
            <w:r w:rsidRPr="00A81E0C">
              <w:rPr>
                <w:rFonts w:ascii="Arial" w:eastAsia="Arial" w:hAnsi="Arial" w:cs="Arial"/>
                <w:sz w:val="18"/>
              </w:rPr>
              <w:t>+3.0</w:t>
            </w:r>
          </w:p>
        </w:tc>
        <w:tc>
          <w:tcPr>
            <w:tcW w:w="2008" w:type="dxa"/>
          </w:tcPr>
          <w:p w14:paraId="73D9CBBA" w14:textId="77777777" w:rsidR="000403B8" w:rsidRPr="00A81E0C" w:rsidRDefault="00AC7B1E">
            <w:pPr>
              <w:jc w:val="center"/>
            </w:pPr>
            <w:r w:rsidRPr="00A81E0C">
              <w:rPr>
                <w:rFonts w:ascii="Arial" w:eastAsia="Arial" w:hAnsi="Arial" w:cs="Arial"/>
                <w:sz w:val="18"/>
              </w:rPr>
              <w:t>1–2</w:t>
            </w:r>
          </w:p>
        </w:tc>
      </w:tr>
    </w:tbl>
    <w:p w14:paraId="3FDA653B" w14:textId="77777777" w:rsidR="000403B8" w:rsidRPr="00A81E0C" w:rsidRDefault="00AC7B1E">
      <w:pPr>
        <w:pStyle w:val="Body"/>
        <w:spacing w:before="40" w:after="0"/>
        <w:jc w:val="left"/>
      </w:pPr>
      <w:r w:rsidRPr="00A81E0C">
        <w:rPr>
          <w:rFonts w:ascii="Arial" w:eastAsia="Arial" w:hAnsi="Arial" w:cs="Arial"/>
          <w:sz w:val="17"/>
        </w:rPr>
        <w:t>TEU = twenty-foot equivalent unit.</w:t>
      </w:r>
    </w:p>
    <w:p w14:paraId="386A4D85" w14:textId="77777777" w:rsidR="000403B8" w:rsidRPr="00A81E0C" w:rsidRDefault="00AC7B1E">
      <w:pPr>
        <w:pStyle w:val="Body"/>
        <w:spacing w:after="160"/>
        <w:jc w:val="left"/>
      </w:pPr>
      <w:r w:rsidRPr="00A81E0C">
        <w:rPr>
          <w:rFonts w:ascii="Arial" w:eastAsia="Arial" w:hAnsi="Arial" w:cs="Arial"/>
          <w:sz w:val="17"/>
        </w:rPr>
        <w:t>Source: prepared by the authors with data from ASIPONA Manzanillo (2024) and SEMAR (2024).</w:t>
      </w:r>
    </w:p>
    <w:p w14:paraId="612CACEC" w14:textId="77777777" w:rsidR="000403B8" w:rsidRPr="00A81E0C" w:rsidRDefault="00AC7B1E">
      <w:pPr>
        <w:pStyle w:val="Body"/>
        <w:spacing w:after="160"/>
      </w:pPr>
      <w:r w:rsidRPr="00A81E0C">
        <w:rPr>
          <w:rFonts w:ascii="Arial" w:eastAsia="Arial" w:hAnsi="Arial" w:cs="Arial"/>
        </w:rPr>
        <w:t xml:space="preserve">Traffic grew every year except 2020, when the COVID-19 pandemic reduced volumes. Throughout the period, Manzanillo ranked first or second among container ports on the Latin American Pacific coast and in several years moved more cargo than Callao (Peru) and Valparaíso (Chile) (Barleta et al., 2025). The port's position is tied to Mexico's trade with Asia. The country's deficit with China, Japan and the Republic of Korea grew from USD 17 billion in 2001 to USD 148 billion in 2023 (Salazar Aguilar &amp; González García, 2025), and Manzanillo is the main Pacific gateway for that trade. Port activity translates directly into demand for skilled labor. The </w:t>
      </w:r>
      <w:proofErr w:type="spellStart"/>
      <w:r w:rsidRPr="00A81E0C">
        <w:rPr>
          <w:rFonts w:ascii="Arial" w:eastAsia="Arial" w:hAnsi="Arial" w:cs="Arial"/>
        </w:rPr>
        <w:t>Asociación</w:t>
      </w:r>
      <w:proofErr w:type="spellEnd"/>
      <w:r w:rsidRPr="00A81E0C">
        <w:rPr>
          <w:rFonts w:ascii="Arial" w:eastAsia="Arial" w:hAnsi="Arial" w:cs="Arial"/>
        </w:rPr>
        <w:t xml:space="preserve"> Mexicana de </w:t>
      </w:r>
      <w:proofErr w:type="spellStart"/>
      <w:r w:rsidRPr="00A81E0C">
        <w:rPr>
          <w:rFonts w:ascii="Arial" w:eastAsia="Arial" w:hAnsi="Arial" w:cs="Arial"/>
        </w:rPr>
        <w:t>Agentes</w:t>
      </w:r>
      <w:proofErr w:type="spellEnd"/>
      <w:r w:rsidRPr="00A81E0C">
        <w:rPr>
          <w:rFonts w:ascii="Arial" w:eastAsia="Arial" w:hAnsi="Arial" w:cs="Arial"/>
        </w:rPr>
        <w:t xml:space="preserve"> </w:t>
      </w:r>
      <w:proofErr w:type="spellStart"/>
      <w:r w:rsidRPr="00A81E0C">
        <w:rPr>
          <w:rFonts w:ascii="Arial" w:eastAsia="Arial" w:hAnsi="Arial" w:cs="Arial"/>
        </w:rPr>
        <w:t>Navieros</w:t>
      </w:r>
      <w:proofErr w:type="spellEnd"/>
      <w:r w:rsidRPr="00A81E0C">
        <w:rPr>
          <w:rFonts w:ascii="Arial" w:eastAsia="Arial" w:hAnsi="Arial" w:cs="Arial"/>
        </w:rPr>
        <w:t xml:space="preserve"> (AMAN, 2023) estimates that the Manzanillo port-logistics cluster generates more than 35,000 direct and indirect jobs, and it identifies the shortage of engineers with a logistics profile as one of the main constraints on the port's competitiveness.</w:t>
      </w:r>
    </w:p>
    <w:p w14:paraId="09F2D020" w14:textId="77777777" w:rsidR="000403B8" w:rsidRPr="00A81E0C" w:rsidRDefault="00AC7B1E">
      <w:pPr>
        <w:pStyle w:val="Body"/>
        <w:spacing w:after="160"/>
      </w:pPr>
      <w:r w:rsidRPr="00A81E0C">
        <w:rPr>
          <w:rFonts w:ascii="Arial" w:eastAsia="Arial" w:hAnsi="Arial" w:cs="Arial"/>
        </w:rPr>
        <w:t>Public policy points the same way. The Colima State Development Plan 2021–2027 names logistics and foreign trade as pillars of economic growth and gives priority to training specialized human capital in cooperation with the state's HEIs (</w:t>
      </w:r>
      <w:proofErr w:type="spellStart"/>
      <w:r w:rsidRPr="00A81E0C">
        <w:rPr>
          <w:rFonts w:ascii="Arial" w:eastAsia="Arial" w:hAnsi="Arial" w:cs="Arial"/>
        </w:rPr>
        <w:t>Gobierno</w:t>
      </w:r>
      <w:proofErr w:type="spellEnd"/>
      <w:r w:rsidRPr="00A81E0C">
        <w:rPr>
          <w:rFonts w:ascii="Arial" w:eastAsia="Arial" w:hAnsi="Arial" w:cs="Arial"/>
        </w:rPr>
        <w:t xml:space="preserve"> del Estado de Colima, 2021). The specialization therefore serves an explicit objective of state policy.</w:t>
      </w:r>
    </w:p>
    <w:p w14:paraId="43270ECD" w14:textId="77777777" w:rsidR="000403B8" w:rsidRPr="00A81E0C" w:rsidRDefault="00AC7B1E">
      <w:pPr>
        <w:pStyle w:val="Body"/>
        <w:spacing w:after="160"/>
      </w:pPr>
      <w:r w:rsidRPr="00A81E0C">
        <w:rPr>
          <w:rFonts w:ascii="Arial" w:eastAsia="Arial" w:hAnsi="Arial" w:cs="Arial"/>
        </w:rPr>
        <w:lastRenderedPageBreak/>
        <w:t>The relevant labor market extends beyond Colima. Manzanillo's connections with the Guadalajara Metropolitan Area and with the Port of Lázaro Cárdenas form a Pacific logistics corridor with international reach. Jalisco, Michoacán and Nayarit together account for more than 40% of the containerized cargo that passes through Manzanillo (SICT, 2024), which widens the range of jobs open to graduates well past the state's borders.</w:t>
      </w:r>
    </w:p>
    <w:p w14:paraId="4C6FAAA2" w14:textId="77777777" w:rsidR="000403B8" w:rsidRPr="00A81E0C" w:rsidRDefault="00AC7B1E">
      <w:pPr>
        <w:pStyle w:val="Body"/>
        <w:keepNext/>
        <w:spacing w:before="80" w:after="80"/>
        <w:jc w:val="left"/>
      </w:pPr>
      <w:r w:rsidRPr="00A81E0C">
        <w:rPr>
          <w:rFonts w:ascii="Arial" w:eastAsia="Arial" w:hAnsi="Arial" w:cs="Arial"/>
          <w:b/>
          <w:sz w:val="22"/>
        </w:rPr>
        <w:t>3.2 Academic Indicators across Four Cohorts</w:t>
      </w:r>
    </w:p>
    <w:p w14:paraId="72F1F2B9" w14:textId="77777777" w:rsidR="000403B8" w:rsidRPr="00A81E0C" w:rsidRDefault="00AC7B1E">
      <w:pPr>
        <w:pStyle w:val="Body"/>
        <w:spacing w:after="160"/>
      </w:pPr>
      <w:r w:rsidRPr="00A81E0C">
        <w:rPr>
          <w:rFonts w:ascii="Arial" w:eastAsia="Arial" w:hAnsi="Arial" w:cs="Arial"/>
        </w:rPr>
        <w:t>The Industrial Engineering program at ITC-</w:t>
      </w:r>
      <w:proofErr w:type="spellStart"/>
      <w:r w:rsidRPr="00A81E0C">
        <w:rPr>
          <w:rFonts w:ascii="Arial" w:eastAsia="Arial" w:hAnsi="Arial" w:cs="Arial"/>
        </w:rPr>
        <w:t>TecNM</w:t>
      </w:r>
      <w:proofErr w:type="spellEnd"/>
      <w:r w:rsidRPr="00A81E0C">
        <w:rPr>
          <w:rFonts w:ascii="Arial" w:eastAsia="Arial" w:hAnsi="Arial" w:cs="Arial"/>
        </w:rPr>
        <w:t xml:space="preserve"> has 460 active students, plus 42 on temporary leave, for a total of 502 registered students. There are 46 students per full-time professor and 27 per faculty member when part-time and contract staff are included. Both ratios fall within the ranges regarded as acceptable for engineering programs by </w:t>
      </w:r>
      <w:proofErr w:type="spellStart"/>
      <w:r w:rsidRPr="00A81E0C">
        <w:rPr>
          <w:rFonts w:ascii="Arial" w:eastAsia="Arial" w:hAnsi="Arial" w:cs="Arial"/>
        </w:rPr>
        <w:t>TecNM</w:t>
      </w:r>
      <w:proofErr w:type="spellEnd"/>
      <w:r w:rsidRPr="00A81E0C">
        <w:rPr>
          <w:rFonts w:ascii="Arial" w:eastAsia="Arial" w:hAnsi="Arial" w:cs="Arial"/>
        </w:rPr>
        <w:t xml:space="preserve"> and by the accrediting body for engineering (Consejo de </w:t>
      </w:r>
      <w:proofErr w:type="spellStart"/>
      <w:r w:rsidRPr="00A81E0C">
        <w:rPr>
          <w:rFonts w:ascii="Arial" w:eastAsia="Arial" w:hAnsi="Arial" w:cs="Arial"/>
        </w:rPr>
        <w:t>Acreditación</w:t>
      </w:r>
      <w:proofErr w:type="spellEnd"/>
      <w:r w:rsidRPr="00A81E0C">
        <w:rPr>
          <w:rFonts w:ascii="Arial" w:eastAsia="Arial" w:hAnsi="Arial" w:cs="Arial"/>
        </w:rPr>
        <w:t xml:space="preserve"> de la </w:t>
      </w:r>
      <w:proofErr w:type="spellStart"/>
      <w:r w:rsidRPr="00A81E0C">
        <w:rPr>
          <w:rFonts w:ascii="Arial" w:eastAsia="Arial" w:hAnsi="Arial" w:cs="Arial"/>
        </w:rPr>
        <w:t>Enseñanza</w:t>
      </w:r>
      <w:proofErr w:type="spellEnd"/>
      <w:r w:rsidRPr="00A81E0C">
        <w:rPr>
          <w:rFonts w:ascii="Arial" w:eastAsia="Arial" w:hAnsi="Arial" w:cs="Arial"/>
        </w:rPr>
        <w:t xml:space="preserve"> de la Ingeniería [CACEI], 2025). Table 2 presents the main academic indicators for the four most recent cohorts with consolidated data.</w:t>
      </w:r>
    </w:p>
    <w:p w14:paraId="46F9964C" w14:textId="77777777" w:rsidR="000403B8" w:rsidRPr="00A81E0C" w:rsidRDefault="00AC7B1E">
      <w:pPr>
        <w:pStyle w:val="Body"/>
        <w:keepNext/>
        <w:spacing w:before="120" w:after="80"/>
        <w:jc w:val="left"/>
      </w:pPr>
      <w:r w:rsidRPr="00A81E0C">
        <w:rPr>
          <w:rFonts w:ascii="Arial" w:eastAsia="Arial" w:hAnsi="Arial" w:cs="Arial"/>
          <w:b/>
        </w:rPr>
        <w:t>Table 2. Academic indicators of the Industrial Engineering program at ITC-</w:t>
      </w:r>
      <w:proofErr w:type="spellStart"/>
      <w:r w:rsidRPr="00A81E0C">
        <w:rPr>
          <w:rFonts w:ascii="Arial" w:eastAsia="Arial" w:hAnsi="Arial" w:cs="Arial"/>
          <w:b/>
        </w:rPr>
        <w:t>TecNM</w:t>
      </w:r>
      <w:proofErr w:type="spellEnd"/>
      <w:r w:rsidRPr="00A81E0C">
        <w:rPr>
          <w:rFonts w:ascii="Arial" w:eastAsia="Arial" w:hAnsi="Arial" w:cs="Arial"/>
          <w:b/>
        </w:rPr>
        <w:t xml:space="preserve"> by cohort</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1450"/>
        <w:gridCol w:w="1250"/>
        <w:gridCol w:w="1350"/>
        <w:gridCol w:w="1250"/>
        <w:gridCol w:w="1500"/>
        <w:gridCol w:w="1408"/>
      </w:tblGrid>
      <w:tr w:rsidR="000403B8" w:rsidRPr="00A81E0C" w14:paraId="7C34853B" w14:textId="77777777">
        <w:trPr>
          <w:cantSplit/>
          <w:tblHeader/>
          <w:jc w:val="center"/>
        </w:trPr>
        <w:tc>
          <w:tcPr>
            <w:tcW w:w="1450" w:type="dxa"/>
            <w:tcBorders>
              <w:bottom w:val="single" w:sz="6" w:space="0" w:color="000000"/>
            </w:tcBorders>
          </w:tcPr>
          <w:p w14:paraId="7007BB72" w14:textId="77777777" w:rsidR="000403B8" w:rsidRPr="00A81E0C" w:rsidRDefault="00AC7B1E">
            <w:pPr>
              <w:jc w:val="center"/>
            </w:pPr>
            <w:r w:rsidRPr="00A81E0C">
              <w:rPr>
                <w:rFonts w:ascii="Arial" w:eastAsia="Arial" w:hAnsi="Arial" w:cs="Arial"/>
                <w:b/>
                <w:sz w:val="18"/>
              </w:rPr>
              <w:t>Cohort</w:t>
            </w:r>
          </w:p>
        </w:tc>
        <w:tc>
          <w:tcPr>
            <w:tcW w:w="1250" w:type="dxa"/>
            <w:tcBorders>
              <w:bottom w:val="single" w:sz="6" w:space="0" w:color="000000"/>
            </w:tcBorders>
          </w:tcPr>
          <w:p w14:paraId="73AEFC72" w14:textId="77777777" w:rsidR="000403B8" w:rsidRPr="00A81E0C" w:rsidRDefault="00AC7B1E">
            <w:pPr>
              <w:jc w:val="center"/>
            </w:pPr>
            <w:r w:rsidRPr="00A81E0C">
              <w:rPr>
                <w:rFonts w:ascii="Arial" w:eastAsia="Arial" w:hAnsi="Arial" w:cs="Arial"/>
                <w:b/>
                <w:sz w:val="18"/>
              </w:rPr>
              <w:t>Entrants (n)</w:t>
            </w:r>
          </w:p>
        </w:tc>
        <w:tc>
          <w:tcPr>
            <w:tcW w:w="1350" w:type="dxa"/>
            <w:tcBorders>
              <w:bottom w:val="single" w:sz="6" w:space="0" w:color="000000"/>
            </w:tcBorders>
          </w:tcPr>
          <w:p w14:paraId="1B17A152" w14:textId="77777777" w:rsidR="000403B8" w:rsidRPr="00A81E0C" w:rsidRDefault="00AC7B1E">
            <w:pPr>
              <w:jc w:val="center"/>
            </w:pPr>
            <w:r w:rsidRPr="00A81E0C">
              <w:rPr>
                <w:rFonts w:ascii="Arial" w:eastAsia="Arial" w:hAnsi="Arial" w:cs="Arial"/>
                <w:b/>
                <w:sz w:val="18"/>
              </w:rPr>
              <w:t>Course failure (%)</w:t>
            </w:r>
          </w:p>
        </w:tc>
        <w:tc>
          <w:tcPr>
            <w:tcW w:w="1250" w:type="dxa"/>
            <w:tcBorders>
              <w:bottom w:val="single" w:sz="6" w:space="0" w:color="000000"/>
            </w:tcBorders>
          </w:tcPr>
          <w:p w14:paraId="74947CA9" w14:textId="77777777" w:rsidR="000403B8" w:rsidRPr="00A81E0C" w:rsidRDefault="00AC7B1E">
            <w:pPr>
              <w:jc w:val="center"/>
            </w:pPr>
            <w:r w:rsidRPr="00A81E0C">
              <w:rPr>
                <w:rFonts w:ascii="Arial" w:eastAsia="Arial" w:hAnsi="Arial" w:cs="Arial"/>
                <w:b/>
                <w:sz w:val="18"/>
              </w:rPr>
              <w:t>Dropout (%)</w:t>
            </w:r>
          </w:p>
        </w:tc>
        <w:tc>
          <w:tcPr>
            <w:tcW w:w="1500" w:type="dxa"/>
            <w:tcBorders>
              <w:bottom w:val="single" w:sz="6" w:space="0" w:color="000000"/>
            </w:tcBorders>
          </w:tcPr>
          <w:p w14:paraId="7F7F503C" w14:textId="77777777" w:rsidR="000403B8" w:rsidRPr="00A81E0C" w:rsidRDefault="00AC7B1E">
            <w:pPr>
              <w:jc w:val="center"/>
            </w:pPr>
            <w:r w:rsidRPr="00A81E0C">
              <w:rPr>
                <w:rFonts w:ascii="Arial" w:eastAsia="Arial" w:hAnsi="Arial" w:cs="Arial"/>
                <w:b/>
                <w:sz w:val="18"/>
              </w:rPr>
              <w:t xml:space="preserve">Terminal </w:t>
            </w:r>
            <w:proofErr w:type="spellStart"/>
            <w:r w:rsidRPr="00A81E0C">
              <w:rPr>
                <w:rFonts w:ascii="Arial" w:eastAsia="Arial" w:hAnsi="Arial" w:cs="Arial"/>
                <w:b/>
                <w:sz w:val="18"/>
              </w:rPr>
              <w:t>efficiency</w:t>
            </w:r>
            <w:r w:rsidRPr="00A81E0C">
              <w:rPr>
                <w:rFonts w:ascii="Arial" w:eastAsia="Arial" w:hAnsi="Arial" w:cs="Arial"/>
                <w:b/>
                <w:sz w:val="18"/>
                <w:vertAlign w:val="superscript"/>
              </w:rPr>
              <w:t>a</w:t>
            </w:r>
            <w:proofErr w:type="spellEnd"/>
            <w:r w:rsidRPr="00A81E0C">
              <w:rPr>
                <w:rFonts w:ascii="Arial" w:eastAsia="Arial" w:hAnsi="Arial" w:cs="Arial"/>
                <w:b/>
                <w:sz w:val="18"/>
              </w:rPr>
              <w:t xml:space="preserve"> (%)</w:t>
            </w:r>
          </w:p>
        </w:tc>
        <w:tc>
          <w:tcPr>
            <w:tcW w:w="1408" w:type="dxa"/>
            <w:tcBorders>
              <w:bottom w:val="single" w:sz="6" w:space="0" w:color="000000"/>
            </w:tcBorders>
          </w:tcPr>
          <w:p w14:paraId="5235FCEA" w14:textId="77777777" w:rsidR="000403B8" w:rsidRPr="00A81E0C" w:rsidRDefault="00AC7B1E">
            <w:pPr>
              <w:jc w:val="center"/>
            </w:pPr>
            <w:proofErr w:type="spellStart"/>
            <w:r w:rsidRPr="00A81E0C">
              <w:rPr>
                <w:rFonts w:ascii="Arial" w:eastAsia="Arial" w:hAnsi="Arial" w:cs="Arial"/>
                <w:b/>
                <w:sz w:val="18"/>
              </w:rPr>
              <w:t>Graduation</w:t>
            </w:r>
            <w:r w:rsidRPr="00A81E0C">
              <w:rPr>
                <w:rFonts w:ascii="Arial" w:eastAsia="Arial" w:hAnsi="Arial" w:cs="Arial"/>
                <w:b/>
                <w:sz w:val="18"/>
                <w:vertAlign w:val="superscript"/>
              </w:rPr>
              <w:t>b</w:t>
            </w:r>
            <w:proofErr w:type="spellEnd"/>
            <w:r w:rsidRPr="00A81E0C">
              <w:rPr>
                <w:rFonts w:ascii="Arial" w:eastAsia="Arial" w:hAnsi="Arial" w:cs="Arial"/>
                <w:b/>
                <w:sz w:val="18"/>
              </w:rPr>
              <w:t xml:space="preserve"> (%)</w:t>
            </w:r>
          </w:p>
        </w:tc>
      </w:tr>
      <w:tr w:rsidR="000403B8" w:rsidRPr="00A81E0C" w14:paraId="44F91B41" w14:textId="77777777">
        <w:trPr>
          <w:cantSplit/>
          <w:jc w:val="center"/>
        </w:trPr>
        <w:tc>
          <w:tcPr>
            <w:tcW w:w="1450" w:type="dxa"/>
          </w:tcPr>
          <w:p w14:paraId="05E81BAD" w14:textId="77777777" w:rsidR="000403B8" w:rsidRPr="00A81E0C" w:rsidRDefault="00AC7B1E">
            <w:r w:rsidRPr="00A81E0C">
              <w:rPr>
                <w:rFonts w:ascii="Arial" w:eastAsia="Arial" w:hAnsi="Arial" w:cs="Arial"/>
                <w:sz w:val="18"/>
              </w:rPr>
              <w:t>2017–2023</w:t>
            </w:r>
          </w:p>
        </w:tc>
        <w:tc>
          <w:tcPr>
            <w:tcW w:w="1250" w:type="dxa"/>
          </w:tcPr>
          <w:p w14:paraId="347A7D69" w14:textId="77777777" w:rsidR="000403B8" w:rsidRPr="00A81E0C" w:rsidRDefault="00AC7B1E">
            <w:pPr>
              <w:jc w:val="center"/>
            </w:pPr>
            <w:r w:rsidRPr="00A81E0C">
              <w:rPr>
                <w:rFonts w:ascii="Arial" w:eastAsia="Arial" w:hAnsi="Arial" w:cs="Arial"/>
                <w:sz w:val="18"/>
              </w:rPr>
              <w:t>98</w:t>
            </w:r>
          </w:p>
        </w:tc>
        <w:tc>
          <w:tcPr>
            <w:tcW w:w="1350" w:type="dxa"/>
          </w:tcPr>
          <w:p w14:paraId="5A29FC82" w14:textId="77777777" w:rsidR="000403B8" w:rsidRPr="00A81E0C" w:rsidRDefault="00AC7B1E">
            <w:pPr>
              <w:jc w:val="center"/>
            </w:pPr>
            <w:r w:rsidRPr="00A81E0C">
              <w:rPr>
                <w:rFonts w:ascii="Arial" w:eastAsia="Arial" w:hAnsi="Arial" w:cs="Arial"/>
                <w:sz w:val="18"/>
              </w:rPr>
              <w:t>14.2</w:t>
            </w:r>
          </w:p>
        </w:tc>
        <w:tc>
          <w:tcPr>
            <w:tcW w:w="1250" w:type="dxa"/>
          </w:tcPr>
          <w:p w14:paraId="17C8FF7D" w14:textId="77777777" w:rsidR="000403B8" w:rsidRPr="00A81E0C" w:rsidRDefault="00AC7B1E">
            <w:pPr>
              <w:jc w:val="center"/>
            </w:pPr>
            <w:r w:rsidRPr="00A81E0C">
              <w:rPr>
                <w:rFonts w:ascii="Arial" w:eastAsia="Arial" w:hAnsi="Arial" w:cs="Arial"/>
                <w:sz w:val="18"/>
              </w:rPr>
              <w:t>18.5</w:t>
            </w:r>
          </w:p>
        </w:tc>
        <w:tc>
          <w:tcPr>
            <w:tcW w:w="1500" w:type="dxa"/>
          </w:tcPr>
          <w:p w14:paraId="14FE2658" w14:textId="77777777" w:rsidR="000403B8" w:rsidRPr="00A81E0C" w:rsidRDefault="00AC7B1E">
            <w:pPr>
              <w:jc w:val="center"/>
            </w:pPr>
            <w:r w:rsidRPr="00A81E0C">
              <w:rPr>
                <w:rFonts w:ascii="Arial" w:eastAsia="Arial" w:hAnsi="Arial" w:cs="Arial"/>
                <w:sz w:val="18"/>
              </w:rPr>
              <w:t>58.0</w:t>
            </w:r>
          </w:p>
        </w:tc>
        <w:tc>
          <w:tcPr>
            <w:tcW w:w="1408" w:type="dxa"/>
          </w:tcPr>
          <w:p w14:paraId="7511BFD4" w14:textId="77777777" w:rsidR="000403B8" w:rsidRPr="00A81E0C" w:rsidRDefault="00AC7B1E">
            <w:pPr>
              <w:jc w:val="center"/>
            </w:pPr>
            <w:r w:rsidRPr="00A81E0C">
              <w:rPr>
                <w:rFonts w:ascii="Arial" w:eastAsia="Arial" w:hAnsi="Arial" w:cs="Arial"/>
                <w:sz w:val="18"/>
              </w:rPr>
              <w:t>52.0</w:t>
            </w:r>
          </w:p>
        </w:tc>
      </w:tr>
      <w:tr w:rsidR="000403B8" w:rsidRPr="00A81E0C" w14:paraId="365B669D" w14:textId="77777777">
        <w:trPr>
          <w:cantSplit/>
          <w:jc w:val="center"/>
        </w:trPr>
        <w:tc>
          <w:tcPr>
            <w:tcW w:w="1450" w:type="dxa"/>
          </w:tcPr>
          <w:p w14:paraId="2397748A" w14:textId="77777777" w:rsidR="000403B8" w:rsidRPr="00A81E0C" w:rsidRDefault="00AC7B1E">
            <w:r w:rsidRPr="00A81E0C">
              <w:rPr>
                <w:rFonts w:ascii="Arial" w:eastAsia="Arial" w:hAnsi="Arial" w:cs="Arial"/>
                <w:sz w:val="18"/>
              </w:rPr>
              <w:t>2018–2024</w:t>
            </w:r>
          </w:p>
        </w:tc>
        <w:tc>
          <w:tcPr>
            <w:tcW w:w="1250" w:type="dxa"/>
          </w:tcPr>
          <w:p w14:paraId="045EA981" w14:textId="77777777" w:rsidR="000403B8" w:rsidRPr="00A81E0C" w:rsidRDefault="00AC7B1E">
            <w:pPr>
              <w:jc w:val="center"/>
            </w:pPr>
            <w:r w:rsidRPr="00A81E0C">
              <w:rPr>
                <w:rFonts w:ascii="Arial" w:eastAsia="Arial" w:hAnsi="Arial" w:cs="Arial"/>
                <w:sz w:val="18"/>
              </w:rPr>
              <w:t>104</w:t>
            </w:r>
          </w:p>
        </w:tc>
        <w:tc>
          <w:tcPr>
            <w:tcW w:w="1350" w:type="dxa"/>
          </w:tcPr>
          <w:p w14:paraId="3E996566" w14:textId="77777777" w:rsidR="000403B8" w:rsidRPr="00A81E0C" w:rsidRDefault="00AC7B1E">
            <w:pPr>
              <w:jc w:val="center"/>
            </w:pPr>
            <w:r w:rsidRPr="00A81E0C">
              <w:rPr>
                <w:rFonts w:ascii="Arial" w:eastAsia="Arial" w:hAnsi="Arial" w:cs="Arial"/>
                <w:sz w:val="18"/>
              </w:rPr>
              <w:t>13.8</w:t>
            </w:r>
          </w:p>
        </w:tc>
        <w:tc>
          <w:tcPr>
            <w:tcW w:w="1250" w:type="dxa"/>
          </w:tcPr>
          <w:p w14:paraId="1DD3C1FD" w14:textId="77777777" w:rsidR="000403B8" w:rsidRPr="00A81E0C" w:rsidRDefault="00AC7B1E">
            <w:pPr>
              <w:jc w:val="center"/>
            </w:pPr>
            <w:r w:rsidRPr="00A81E0C">
              <w:rPr>
                <w:rFonts w:ascii="Arial" w:eastAsia="Arial" w:hAnsi="Arial" w:cs="Arial"/>
                <w:sz w:val="18"/>
              </w:rPr>
              <w:t>16.1</w:t>
            </w:r>
          </w:p>
        </w:tc>
        <w:tc>
          <w:tcPr>
            <w:tcW w:w="1500" w:type="dxa"/>
          </w:tcPr>
          <w:p w14:paraId="5FC5C8C5" w14:textId="77777777" w:rsidR="000403B8" w:rsidRPr="00A81E0C" w:rsidRDefault="00AC7B1E">
            <w:pPr>
              <w:jc w:val="center"/>
            </w:pPr>
            <w:r w:rsidRPr="00A81E0C">
              <w:rPr>
                <w:rFonts w:ascii="Arial" w:eastAsia="Arial" w:hAnsi="Arial" w:cs="Arial"/>
                <w:sz w:val="18"/>
              </w:rPr>
              <w:t>59.0</w:t>
            </w:r>
          </w:p>
        </w:tc>
        <w:tc>
          <w:tcPr>
            <w:tcW w:w="1408" w:type="dxa"/>
          </w:tcPr>
          <w:p w14:paraId="41B420CE" w14:textId="77777777" w:rsidR="000403B8" w:rsidRPr="00A81E0C" w:rsidRDefault="00AC7B1E">
            <w:pPr>
              <w:jc w:val="center"/>
            </w:pPr>
            <w:r w:rsidRPr="00A81E0C">
              <w:rPr>
                <w:rFonts w:ascii="Arial" w:eastAsia="Arial" w:hAnsi="Arial" w:cs="Arial"/>
                <w:sz w:val="18"/>
              </w:rPr>
              <w:t>56.0</w:t>
            </w:r>
          </w:p>
        </w:tc>
      </w:tr>
      <w:tr w:rsidR="000403B8" w:rsidRPr="00A81E0C" w14:paraId="1B5051AB" w14:textId="77777777">
        <w:trPr>
          <w:cantSplit/>
          <w:jc w:val="center"/>
        </w:trPr>
        <w:tc>
          <w:tcPr>
            <w:tcW w:w="1450" w:type="dxa"/>
          </w:tcPr>
          <w:p w14:paraId="6B7C5E76" w14:textId="77777777" w:rsidR="000403B8" w:rsidRPr="00A81E0C" w:rsidRDefault="00AC7B1E">
            <w:r w:rsidRPr="00A81E0C">
              <w:rPr>
                <w:rFonts w:ascii="Arial" w:eastAsia="Arial" w:hAnsi="Arial" w:cs="Arial"/>
                <w:sz w:val="18"/>
              </w:rPr>
              <w:t>2019–2025</w:t>
            </w:r>
          </w:p>
        </w:tc>
        <w:tc>
          <w:tcPr>
            <w:tcW w:w="1250" w:type="dxa"/>
          </w:tcPr>
          <w:p w14:paraId="1D40D55F" w14:textId="77777777" w:rsidR="000403B8" w:rsidRPr="00A81E0C" w:rsidRDefault="00AC7B1E">
            <w:pPr>
              <w:jc w:val="center"/>
            </w:pPr>
            <w:r w:rsidRPr="00A81E0C">
              <w:rPr>
                <w:rFonts w:ascii="Arial" w:eastAsia="Arial" w:hAnsi="Arial" w:cs="Arial"/>
                <w:sz w:val="18"/>
              </w:rPr>
              <w:t>110</w:t>
            </w:r>
          </w:p>
        </w:tc>
        <w:tc>
          <w:tcPr>
            <w:tcW w:w="1350" w:type="dxa"/>
          </w:tcPr>
          <w:p w14:paraId="5B4664C4" w14:textId="77777777" w:rsidR="000403B8" w:rsidRPr="00A81E0C" w:rsidRDefault="00AC7B1E">
            <w:pPr>
              <w:jc w:val="center"/>
            </w:pPr>
            <w:r w:rsidRPr="00A81E0C">
              <w:rPr>
                <w:rFonts w:ascii="Arial" w:eastAsia="Arial" w:hAnsi="Arial" w:cs="Arial"/>
                <w:sz w:val="18"/>
              </w:rPr>
              <w:t>13.5</w:t>
            </w:r>
          </w:p>
        </w:tc>
        <w:tc>
          <w:tcPr>
            <w:tcW w:w="1250" w:type="dxa"/>
          </w:tcPr>
          <w:p w14:paraId="3694A971" w14:textId="77777777" w:rsidR="000403B8" w:rsidRPr="00A81E0C" w:rsidRDefault="00AC7B1E">
            <w:pPr>
              <w:jc w:val="center"/>
            </w:pPr>
            <w:r w:rsidRPr="00A81E0C">
              <w:rPr>
                <w:rFonts w:ascii="Arial" w:eastAsia="Arial" w:hAnsi="Arial" w:cs="Arial"/>
                <w:sz w:val="18"/>
              </w:rPr>
              <w:t>14.3</w:t>
            </w:r>
          </w:p>
        </w:tc>
        <w:tc>
          <w:tcPr>
            <w:tcW w:w="1500" w:type="dxa"/>
          </w:tcPr>
          <w:p w14:paraId="00351FA8" w14:textId="77777777" w:rsidR="000403B8" w:rsidRPr="00A81E0C" w:rsidRDefault="00AC7B1E">
            <w:pPr>
              <w:jc w:val="center"/>
            </w:pPr>
            <w:r w:rsidRPr="00A81E0C">
              <w:rPr>
                <w:rFonts w:ascii="Arial" w:eastAsia="Arial" w:hAnsi="Arial" w:cs="Arial"/>
                <w:sz w:val="18"/>
              </w:rPr>
              <w:t>60.0</w:t>
            </w:r>
          </w:p>
        </w:tc>
        <w:tc>
          <w:tcPr>
            <w:tcW w:w="1408" w:type="dxa"/>
          </w:tcPr>
          <w:p w14:paraId="110C2E13" w14:textId="77777777" w:rsidR="000403B8" w:rsidRPr="00A81E0C" w:rsidRDefault="00AC7B1E">
            <w:pPr>
              <w:jc w:val="center"/>
            </w:pPr>
            <w:r w:rsidRPr="00A81E0C">
              <w:rPr>
                <w:rFonts w:ascii="Arial" w:eastAsia="Arial" w:hAnsi="Arial" w:cs="Arial"/>
                <w:sz w:val="18"/>
              </w:rPr>
              <w:t>61.0</w:t>
            </w:r>
          </w:p>
        </w:tc>
      </w:tr>
      <w:tr w:rsidR="000403B8" w:rsidRPr="00A81E0C" w14:paraId="762587C1" w14:textId="77777777">
        <w:trPr>
          <w:cantSplit/>
          <w:jc w:val="center"/>
        </w:trPr>
        <w:tc>
          <w:tcPr>
            <w:tcW w:w="1450" w:type="dxa"/>
          </w:tcPr>
          <w:p w14:paraId="7359C8E4" w14:textId="77777777" w:rsidR="000403B8" w:rsidRPr="00A81E0C" w:rsidRDefault="00AC7B1E">
            <w:r w:rsidRPr="00A81E0C">
              <w:rPr>
                <w:rFonts w:ascii="Arial" w:eastAsia="Arial" w:hAnsi="Arial" w:cs="Arial"/>
                <w:sz w:val="18"/>
              </w:rPr>
              <w:t>2020–2026</w:t>
            </w:r>
            <w:r w:rsidRPr="00A81E0C">
              <w:rPr>
                <w:rFonts w:ascii="Arial" w:eastAsia="Arial" w:hAnsi="Arial" w:cs="Arial"/>
                <w:sz w:val="18"/>
                <w:vertAlign w:val="superscript"/>
              </w:rPr>
              <w:t>c</w:t>
            </w:r>
          </w:p>
        </w:tc>
        <w:tc>
          <w:tcPr>
            <w:tcW w:w="1250" w:type="dxa"/>
          </w:tcPr>
          <w:p w14:paraId="567CD8F3" w14:textId="77777777" w:rsidR="000403B8" w:rsidRPr="00A81E0C" w:rsidRDefault="00AC7B1E">
            <w:pPr>
              <w:jc w:val="center"/>
            </w:pPr>
            <w:r w:rsidRPr="00A81E0C">
              <w:rPr>
                <w:rFonts w:ascii="Arial" w:eastAsia="Arial" w:hAnsi="Arial" w:cs="Arial"/>
                <w:sz w:val="18"/>
              </w:rPr>
              <w:t>118</w:t>
            </w:r>
          </w:p>
        </w:tc>
        <w:tc>
          <w:tcPr>
            <w:tcW w:w="1350" w:type="dxa"/>
          </w:tcPr>
          <w:p w14:paraId="0E9BC184" w14:textId="77777777" w:rsidR="000403B8" w:rsidRPr="00A81E0C" w:rsidRDefault="00AC7B1E">
            <w:pPr>
              <w:jc w:val="center"/>
            </w:pPr>
            <w:r w:rsidRPr="00A81E0C">
              <w:rPr>
                <w:rFonts w:ascii="Arial" w:eastAsia="Arial" w:hAnsi="Arial" w:cs="Arial"/>
                <w:sz w:val="18"/>
              </w:rPr>
              <w:t>13.1</w:t>
            </w:r>
          </w:p>
        </w:tc>
        <w:tc>
          <w:tcPr>
            <w:tcW w:w="1250" w:type="dxa"/>
          </w:tcPr>
          <w:p w14:paraId="085B9343" w14:textId="77777777" w:rsidR="000403B8" w:rsidRPr="00A81E0C" w:rsidRDefault="00AC7B1E">
            <w:pPr>
              <w:jc w:val="center"/>
            </w:pPr>
            <w:r w:rsidRPr="00A81E0C">
              <w:rPr>
                <w:rFonts w:ascii="Arial" w:eastAsia="Arial" w:hAnsi="Arial" w:cs="Arial"/>
                <w:sz w:val="18"/>
              </w:rPr>
              <w:t>12.0</w:t>
            </w:r>
          </w:p>
        </w:tc>
        <w:tc>
          <w:tcPr>
            <w:tcW w:w="1500" w:type="dxa"/>
          </w:tcPr>
          <w:p w14:paraId="3C2D2E8F" w14:textId="77777777" w:rsidR="000403B8" w:rsidRPr="00A81E0C" w:rsidRDefault="00AC7B1E">
            <w:pPr>
              <w:jc w:val="center"/>
            </w:pPr>
            <w:r w:rsidRPr="00A81E0C">
              <w:rPr>
                <w:rFonts w:ascii="Arial" w:eastAsia="Arial" w:hAnsi="Arial" w:cs="Arial"/>
                <w:sz w:val="18"/>
              </w:rPr>
              <w:t>57.0</w:t>
            </w:r>
            <w:r w:rsidRPr="00A81E0C">
              <w:rPr>
                <w:rFonts w:ascii="Arial" w:eastAsia="Arial" w:hAnsi="Arial" w:cs="Arial"/>
                <w:sz w:val="18"/>
                <w:vertAlign w:val="superscript"/>
              </w:rPr>
              <w:t>d</w:t>
            </w:r>
          </w:p>
        </w:tc>
        <w:tc>
          <w:tcPr>
            <w:tcW w:w="1408" w:type="dxa"/>
          </w:tcPr>
          <w:p w14:paraId="2C5FE6C9" w14:textId="77777777" w:rsidR="000403B8" w:rsidRPr="00A81E0C" w:rsidRDefault="00AC7B1E">
            <w:pPr>
              <w:jc w:val="center"/>
            </w:pPr>
            <w:r w:rsidRPr="00A81E0C">
              <w:rPr>
                <w:rFonts w:ascii="Arial" w:eastAsia="Arial" w:hAnsi="Arial" w:cs="Arial"/>
                <w:sz w:val="18"/>
              </w:rPr>
              <w:t>62.0</w:t>
            </w:r>
          </w:p>
        </w:tc>
      </w:tr>
      <w:tr w:rsidR="000403B8" w:rsidRPr="00A81E0C" w14:paraId="5F2AC257" w14:textId="77777777">
        <w:trPr>
          <w:cantSplit/>
          <w:jc w:val="center"/>
        </w:trPr>
        <w:tc>
          <w:tcPr>
            <w:tcW w:w="1450" w:type="dxa"/>
            <w:tcBorders>
              <w:top w:val="single" w:sz="6" w:space="0" w:color="000000"/>
            </w:tcBorders>
          </w:tcPr>
          <w:p w14:paraId="18D5F60B" w14:textId="77777777" w:rsidR="000403B8" w:rsidRPr="00A81E0C" w:rsidRDefault="00AC7B1E">
            <w:r w:rsidRPr="00A81E0C">
              <w:rPr>
                <w:rFonts w:ascii="Arial" w:eastAsia="Arial" w:hAnsi="Arial" w:cs="Arial"/>
                <w:b/>
                <w:sz w:val="18"/>
              </w:rPr>
              <w:t>Mean</w:t>
            </w:r>
          </w:p>
        </w:tc>
        <w:tc>
          <w:tcPr>
            <w:tcW w:w="1250" w:type="dxa"/>
            <w:tcBorders>
              <w:top w:val="single" w:sz="6" w:space="0" w:color="000000"/>
            </w:tcBorders>
          </w:tcPr>
          <w:p w14:paraId="634CD272" w14:textId="77777777" w:rsidR="000403B8" w:rsidRPr="00A81E0C" w:rsidRDefault="00AC7B1E">
            <w:pPr>
              <w:jc w:val="center"/>
            </w:pPr>
            <w:r w:rsidRPr="00A81E0C">
              <w:rPr>
                <w:rFonts w:ascii="Arial" w:eastAsia="Arial" w:hAnsi="Arial" w:cs="Arial"/>
                <w:b/>
                <w:sz w:val="18"/>
              </w:rPr>
              <w:t>107.5</w:t>
            </w:r>
          </w:p>
        </w:tc>
        <w:tc>
          <w:tcPr>
            <w:tcW w:w="1350" w:type="dxa"/>
            <w:tcBorders>
              <w:top w:val="single" w:sz="6" w:space="0" w:color="000000"/>
            </w:tcBorders>
          </w:tcPr>
          <w:p w14:paraId="15324013" w14:textId="77777777" w:rsidR="000403B8" w:rsidRPr="00A81E0C" w:rsidRDefault="00AC7B1E">
            <w:pPr>
              <w:jc w:val="center"/>
            </w:pPr>
            <w:r w:rsidRPr="00A81E0C">
              <w:rPr>
                <w:rFonts w:ascii="Arial" w:eastAsia="Arial" w:hAnsi="Arial" w:cs="Arial"/>
                <w:b/>
                <w:sz w:val="18"/>
              </w:rPr>
              <w:t>13.7</w:t>
            </w:r>
          </w:p>
        </w:tc>
        <w:tc>
          <w:tcPr>
            <w:tcW w:w="1250" w:type="dxa"/>
            <w:tcBorders>
              <w:top w:val="single" w:sz="6" w:space="0" w:color="000000"/>
            </w:tcBorders>
          </w:tcPr>
          <w:p w14:paraId="43D0D884" w14:textId="77777777" w:rsidR="000403B8" w:rsidRPr="00A81E0C" w:rsidRDefault="00AC7B1E">
            <w:pPr>
              <w:jc w:val="center"/>
            </w:pPr>
            <w:r w:rsidRPr="00A81E0C">
              <w:rPr>
                <w:rFonts w:ascii="Arial" w:eastAsia="Arial" w:hAnsi="Arial" w:cs="Arial"/>
                <w:b/>
                <w:sz w:val="18"/>
              </w:rPr>
              <w:t>15.2</w:t>
            </w:r>
          </w:p>
        </w:tc>
        <w:tc>
          <w:tcPr>
            <w:tcW w:w="1500" w:type="dxa"/>
            <w:tcBorders>
              <w:top w:val="single" w:sz="6" w:space="0" w:color="000000"/>
            </w:tcBorders>
          </w:tcPr>
          <w:p w14:paraId="3E0F21F6" w14:textId="77777777" w:rsidR="000403B8" w:rsidRPr="00A81E0C" w:rsidRDefault="00AC7B1E">
            <w:pPr>
              <w:jc w:val="center"/>
            </w:pPr>
            <w:r w:rsidRPr="00A81E0C">
              <w:rPr>
                <w:rFonts w:ascii="Arial" w:eastAsia="Arial" w:hAnsi="Arial" w:cs="Arial"/>
                <w:b/>
                <w:sz w:val="18"/>
              </w:rPr>
              <w:t>58.5</w:t>
            </w:r>
          </w:p>
        </w:tc>
        <w:tc>
          <w:tcPr>
            <w:tcW w:w="1408" w:type="dxa"/>
            <w:tcBorders>
              <w:top w:val="single" w:sz="6" w:space="0" w:color="000000"/>
            </w:tcBorders>
          </w:tcPr>
          <w:p w14:paraId="6596A452" w14:textId="77777777" w:rsidR="000403B8" w:rsidRPr="00A81E0C" w:rsidRDefault="00AC7B1E">
            <w:pPr>
              <w:jc w:val="center"/>
            </w:pPr>
            <w:r w:rsidRPr="00A81E0C">
              <w:rPr>
                <w:rFonts w:ascii="Arial" w:eastAsia="Arial" w:hAnsi="Arial" w:cs="Arial"/>
                <w:b/>
                <w:sz w:val="18"/>
              </w:rPr>
              <w:t>57.8</w:t>
            </w:r>
          </w:p>
        </w:tc>
      </w:tr>
    </w:tbl>
    <w:p w14:paraId="066E7AAC" w14:textId="77777777" w:rsidR="000403B8" w:rsidRPr="00A81E0C" w:rsidRDefault="00AC7B1E">
      <w:pPr>
        <w:pStyle w:val="Body"/>
        <w:spacing w:before="40" w:after="0"/>
        <w:jc w:val="left"/>
      </w:pPr>
      <w:proofErr w:type="spellStart"/>
      <w:r w:rsidRPr="00A81E0C">
        <w:rPr>
          <w:rFonts w:ascii="Arial" w:eastAsia="Arial" w:hAnsi="Arial" w:cs="Arial"/>
          <w:sz w:val="17"/>
          <w:vertAlign w:val="superscript"/>
        </w:rPr>
        <w:t>a</w:t>
      </w:r>
      <w:r w:rsidRPr="00A81E0C">
        <w:rPr>
          <w:rFonts w:ascii="Arial" w:eastAsia="Arial" w:hAnsi="Arial" w:cs="Arial"/>
          <w:sz w:val="17"/>
        </w:rPr>
        <w:t>Percentage</w:t>
      </w:r>
      <w:proofErr w:type="spellEnd"/>
      <w:r w:rsidRPr="00A81E0C">
        <w:rPr>
          <w:rFonts w:ascii="Arial" w:eastAsia="Arial" w:hAnsi="Arial" w:cs="Arial"/>
          <w:sz w:val="17"/>
        </w:rPr>
        <w:t xml:space="preserve"> of the entering cohort that completed all program credits.</w:t>
      </w:r>
    </w:p>
    <w:p w14:paraId="5764BDA6" w14:textId="77777777" w:rsidR="000403B8" w:rsidRPr="00A81E0C" w:rsidRDefault="00AC7B1E">
      <w:pPr>
        <w:pStyle w:val="Body"/>
        <w:spacing w:after="0"/>
        <w:jc w:val="left"/>
      </w:pPr>
      <w:proofErr w:type="spellStart"/>
      <w:r w:rsidRPr="00A81E0C">
        <w:rPr>
          <w:rFonts w:ascii="Arial" w:eastAsia="Arial" w:hAnsi="Arial" w:cs="Arial"/>
          <w:sz w:val="17"/>
          <w:vertAlign w:val="superscript"/>
        </w:rPr>
        <w:t>b</w:t>
      </w:r>
      <w:r w:rsidRPr="00A81E0C">
        <w:rPr>
          <w:rFonts w:ascii="Arial" w:eastAsia="Arial" w:hAnsi="Arial" w:cs="Arial"/>
          <w:sz w:val="17"/>
        </w:rPr>
        <w:t>Percentage</w:t>
      </w:r>
      <w:proofErr w:type="spellEnd"/>
      <w:r w:rsidRPr="00A81E0C">
        <w:rPr>
          <w:rFonts w:ascii="Arial" w:eastAsia="Arial" w:hAnsi="Arial" w:cs="Arial"/>
          <w:sz w:val="17"/>
        </w:rPr>
        <w:t xml:space="preserve"> of the entering cohort that obtained the professional degree.</w:t>
      </w:r>
    </w:p>
    <w:p w14:paraId="4ECC66BD" w14:textId="77777777" w:rsidR="000403B8" w:rsidRPr="00A81E0C" w:rsidRDefault="00AC7B1E">
      <w:pPr>
        <w:pStyle w:val="Body"/>
        <w:spacing w:after="0"/>
        <w:jc w:val="left"/>
      </w:pPr>
      <w:proofErr w:type="spellStart"/>
      <w:r w:rsidRPr="00A81E0C">
        <w:rPr>
          <w:rFonts w:ascii="Arial" w:eastAsia="Arial" w:hAnsi="Arial" w:cs="Arial"/>
          <w:sz w:val="17"/>
          <w:vertAlign w:val="superscript"/>
        </w:rPr>
        <w:t>c</w:t>
      </w:r>
      <w:r w:rsidRPr="00A81E0C">
        <w:rPr>
          <w:rFonts w:ascii="Arial" w:eastAsia="Arial" w:hAnsi="Arial" w:cs="Arial"/>
          <w:sz w:val="17"/>
        </w:rPr>
        <w:t>Cohort</w:t>
      </w:r>
      <w:proofErr w:type="spellEnd"/>
      <w:r w:rsidRPr="00A81E0C">
        <w:rPr>
          <w:rFonts w:ascii="Arial" w:eastAsia="Arial" w:hAnsi="Arial" w:cs="Arial"/>
          <w:sz w:val="17"/>
        </w:rPr>
        <w:t xml:space="preserve"> still in progress at the time of data collection; values are preliminary.</w:t>
      </w:r>
    </w:p>
    <w:p w14:paraId="128E4DE9" w14:textId="77777777" w:rsidR="000403B8" w:rsidRPr="00A81E0C" w:rsidRDefault="00AC7B1E">
      <w:pPr>
        <w:pStyle w:val="Body"/>
        <w:spacing w:after="0"/>
        <w:jc w:val="left"/>
      </w:pPr>
      <w:proofErr w:type="spellStart"/>
      <w:r w:rsidRPr="00A81E0C">
        <w:rPr>
          <w:rFonts w:ascii="Arial" w:eastAsia="Arial" w:hAnsi="Arial" w:cs="Arial"/>
          <w:sz w:val="17"/>
          <w:vertAlign w:val="superscript"/>
        </w:rPr>
        <w:t>d</w:t>
      </w:r>
      <w:r w:rsidRPr="00A81E0C">
        <w:rPr>
          <w:rFonts w:ascii="Arial" w:eastAsia="Arial" w:hAnsi="Arial" w:cs="Arial"/>
          <w:sz w:val="17"/>
        </w:rPr>
        <w:t>Provisional</w:t>
      </w:r>
      <w:proofErr w:type="spellEnd"/>
      <w:r w:rsidRPr="00A81E0C">
        <w:rPr>
          <w:rFonts w:ascii="Arial" w:eastAsia="Arial" w:hAnsi="Arial" w:cs="Arial"/>
          <w:sz w:val="17"/>
        </w:rPr>
        <w:t xml:space="preserve"> estimate.</w:t>
      </w:r>
    </w:p>
    <w:p w14:paraId="784F90AC" w14:textId="77777777" w:rsidR="000403B8" w:rsidRPr="00A81E0C" w:rsidRDefault="00AC7B1E">
      <w:pPr>
        <w:pStyle w:val="Body"/>
        <w:spacing w:after="160"/>
        <w:jc w:val="left"/>
      </w:pPr>
      <w:r w:rsidRPr="00A81E0C">
        <w:rPr>
          <w:rFonts w:ascii="Arial" w:eastAsia="Arial" w:hAnsi="Arial" w:cs="Arial"/>
          <w:sz w:val="17"/>
        </w:rPr>
        <w:t>Source: prepared by the authors from institutional databases of the Department of School Services, academic monitoring reports and official statistics on terminal efficiency, dropout and graduation of the Industrial Engineering program, ITC-</w:t>
      </w:r>
      <w:proofErr w:type="spellStart"/>
      <w:r w:rsidRPr="00A81E0C">
        <w:rPr>
          <w:rFonts w:ascii="Arial" w:eastAsia="Arial" w:hAnsi="Arial" w:cs="Arial"/>
          <w:sz w:val="17"/>
        </w:rPr>
        <w:t>TecNM</w:t>
      </w:r>
      <w:proofErr w:type="spellEnd"/>
      <w:r w:rsidRPr="00A81E0C">
        <w:rPr>
          <w:rFonts w:ascii="Arial" w:eastAsia="Arial" w:hAnsi="Arial" w:cs="Arial"/>
          <w:sz w:val="17"/>
        </w:rPr>
        <w:t xml:space="preserve"> (2017–2026).</w:t>
      </w:r>
    </w:p>
    <w:p w14:paraId="1F6E1D0F" w14:textId="77777777" w:rsidR="000403B8" w:rsidRPr="00A81E0C" w:rsidRDefault="00AC7B1E">
      <w:pPr>
        <w:pStyle w:val="Body"/>
        <w:spacing w:after="160"/>
      </w:pPr>
      <w:r w:rsidRPr="00A81E0C">
        <w:rPr>
          <w:rFonts w:ascii="Arial" w:eastAsia="Arial" w:hAnsi="Arial" w:cs="Arial"/>
        </w:rPr>
        <w:t>The mean course failure rate of 13.7% compares well with the national figures for engineering programs, which usually range from 18% to 22% (</w:t>
      </w:r>
      <w:proofErr w:type="spellStart"/>
      <w:r w:rsidRPr="00A81E0C">
        <w:rPr>
          <w:rFonts w:ascii="Arial" w:eastAsia="Arial" w:hAnsi="Arial" w:cs="Arial"/>
        </w:rPr>
        <w:t>Asociación</w:t>
      </w:r>
      <w:proofErr w:type="spellEnd"/>
      <w:r w:rsidRPr="00A81E0C">
        <w:rPr>
          <w:rFonts w:ascii="Arial" w:eastAsia="Arial" w:hAnsi="Arial" w:cs="Arial"/>
        </w:rPr>
        <w:t xml:space="preserve"> Nacional de </w:t>
      </w:r>
      <w:proofErr w:type="spellStart"/>
      <w:r w:rsidRPr="00A81E0C">
        <w:rPr>
          <w:rFonts w:ascii="Arial" w:eastAsia="Arial" w:hAnsi="Arial" w:cs="Arial"/>
        </w:rPr>
        <w:t>Universidades</w:t>
      </w:r>
      <w:proofErr w:type="spellEnd"/>
      <w:r w:rsidRPr="00A81E0C">
        <w:rPr>
          <w:rFonts w:ascii="Arial" w:eastAsia="Arial" w:hAnsi="Arial" w:cs="Arial"/>
        </w:rPr>
        <w:t xml:space="preserve"> e </w:t>
      </w:r>
      <w:proofErr w:type="spellStart"/>
      <w:r w:rsidRPr="00A81E0C">
        <w:rPr>
          <w:rFonts w:ascii="Arial" w:eastAsia="Arial" w:hAnsi="Arial" w:cs="Arial"/>
        </w:rPr>
        <w:t>Instituciones</w:t>
      </w:r>
      <w:proofErr w:type="spellEnd"/>
      <w:r w:rsidRPr="00A81E0C">
        <w:rPr>
          <w:rFonts w:ascii="Arial" w:eastAsia="Arial" w:hAnsi="Arial" w:cs="Arial"/>
        </w:rPr>
        <w:t xml:space="preserve"> de </w:t>
      </w:r>
      <w:proofErr w:type="spellStart"/>
      <w:r w:rsidRPr="00A81E0C">
        <w:rPr>
          <w:rFonts w:ascii="Arial" w:eastAsia="Arial" w:hAnsi="Arial" w:cs="Arial"/>
        </w:rPr>
        <w:t>Educación</w:t>
      </w:r>
      <w:proofErr w:type="spellEnd"/>
      <w:r w:rsidRPr="00A81E0C">
        <w:rPr>
          <w:rFonts w:ascii="Arial" w:eastAsia="Arial" w:hAnsi="Arial" w:cs="Arial"/>
        </w:rPr>
        <w:t xml:space="preserve"> Superior [ANUIES], 2024). Dropout fell from 18.5% in the 2017–2023 cohort to 12.0% in the 2020–2026 cohort; the institution attributes this decline to the tutoring and academic advising programs introduced over those years. The graduation rate rose from 52% to 62%. Much of that increase is linked to the integral graduation option based on the professional residency project, which 95.4% of graduates choose. Terminal efficiency is the exception. It has stayed between 57% and 60%, and the provisional value for the latest cohort suggests that timely completion remains a weak point of the program.</w:t>
      </w:r>
    </w:p>
    <w:p w14:paraId="5E5D849D" w14:textId="77777777" w:rsidR="000403B8" w:rsidRPr="00A81E0C" w:rsidRDefault="00AC7B1E">
      <w:pPr>
        <w:pStyle w:val="Body"/>
        <w:keepNext/>
        <w:spacing w:before="80" w:after="80"/>
        <w:jc w:val="left"/>
      </w:pPr>
      <w:r w:rsidRPr="00A81E0C">
        <w:rPr>
          <w:rFonts w:ascii="Arial" w:eastAsia="Arial" w:hAnsi="Arial" w:cs="Arial"/>
          <w:b/>
          <w:sz w:val="22"/>
        </w:rPr>
        <w:t>3.3 Student Demand for the Specialization</w:t>
      </w:r>
    </w:p>
    <w:p w14:paraId="44B575C5" w14:textId="77777777" w:rsidR="000403B8" w:rsidRPr="00A81E0C" w:rsidRDefault="00AC7B1E">
      <w:pPr>
        <w:pStyle w:val="Body"/>
        <w:spacing w:after="160"/>
      </w:pPr>
      <w:r w:rsidRPr="00A81E0C">
        <w:rPr>
          <w:rFonts w:ascii="Arial" w:eastAsia="Arial" w:hAnsi="Arial" w:cs="Arial"/>
        </w:rPr>
        <w:t>The survey (n = 438; coverage 95.2%) provides direct evidence of student demand for a logistics specialization. Its main results are summarized in Table 3.</w:t>
      </w:r>
    </w:p>
    <w:p w14:paraId="0073CE47" w14:textId="77777777" w:rsidR="000403B8" w:rsidRPr="00A81E0C" w:rsidRDefault="00AC7B1E">
      <w:pPr>
        <w:pStyle w:val="Body"/>
        <w:keepNext/>
        <w:spacing w:before="120" w:after="80"/>
        <w:jc w:val="left"/>
      </w:pPr>
      <w:r w:rsidRPr="00A81E0C">
        <w:rPr>
          <w:rFonts w:ascii="Arial" w:eastAsia="Arial" w:hAnsi="Arial" w:cs="Arial"/>
          <w:b/>
        </w:rPr>
        <w:t>Table 3. Main results of the student survey, Industrial Engineering program, ITC-</w:t>
      </w:r>
      <w:proofErr w:type="spellStart"/>
      <w:r w:rsidRPr="00A81E0C">
        <w:rPr>
          <w:rFonts w:ascii="Arial" w:eastAsia="Arial" w:hAnsi="Arial" w:cs="Arial"/>
          <w:b/>
        </w:rPr>
        <w:t>TecNM</w:t>
      </w:r>
      <w:proofErr w:type="spellEnd"/>
      <w:r w:rsidRPr="00A81E0C">
        <w:rPr>
          <w:rFonts w:ascii="Arial" w:eastAsia="Arial" w:hAnsi="Arial" w:cs="Arial"/>
          <w:b/>
        </w:rPr>
        <w:t>, March 2026</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2900"/>
        <w:gridCol w:w="1450"/>
        <w:gridCol w:w="900"/>
        <w:gridCol w:w="2958"/>
      </w:tblGrid>
      <w:tr w:rsidR="000403B8" w:rsidRPr="00A81E0C" w14:paraId="2418D2DA" w14:textId="77777777">
        <w:trPr>
          <w:cantSplit/>
          <w:tblHeader/>
          <w:jc w:val="center"/>
        </w:trPr>
        <w:tc>
          <w:tcPr>
            <w:tcW w:w="2900" w:type="dxa"/>
            <w:tcBorders>
              <w:bottom w:val="single" w:sz="6" w:space="0" w:color="000000"/>
            </w:tcBorders>
          </w:tcPr>
          <w:p w14:paraId="75BD26BF" w14:textId="77777777" w:rsidR="000403B8" w:rsidRPr="00A81E0C" w:rsidRDefault="00AC7B1E">
            <w:pPr>
              <w:jc w:val="center"/>
            </w:pPr>
            <w:r w:rsidRPr="00A81E0C">
              <w:rPr>
                <w:rFonts w:ascii="Arial" w:eastAsia="Arial" w:hAnsi="Arial" w:cs="Arial"/>
                <w:b/>
                <w:sz w:val="18"/>
              </w:rPr>
              <w:t>Dimension / indicator</w:t>
            </w:r>
          </w:p>
        </w:tc>
        <w:tc>
          <w:tcPr>
            <w:tcW w:w="1450" w:type="dxa"/>
            <w:tcBorders>
              <w:bottom w:val="single" w:sz="6" w:space="0" w:color="000000"/>
            </w:tcBorders>
          </w:tcPr>
          <w:p w14:paraId="74846CFD" w14:textId="77777777" w:rsidR="000403B8" w:rsidRPr="00A81E0C" w:rsidRDefault="00AC7B1E">
            <w:pPr>
              <w:jc w:val="center"/>
            </w:pPr>
            <w:r w:rsidRPr="00A81E0C">
              <w:rPr>
                <w:rFonts w:ascii="Arial" w:eastAsia="Arial" w:hAnsi="Arial" w:cs="Arial"/>
                <w:b/>
                <w:sz w:val="18"/>
              </w:rPr>
              <w:t>Result</w:t>
            </w:r>
          </w:p>
        </w:tc>
        <w:tc>
          <w:tcPr>
            <w:tcW w:w="900" w:type="dxa"/>
            <w:tcBorders>
              <w:bottom w:val="single" w:sz="6" w:space="0" w:color="000000"/>
            </w:tcBorders>
          </w:tcPr>
          <w:p w14:paraId="1756182E" w14:textId="77777777" w:rsidR="000403B8" w:rsidRPr="00A81E0C" w:rsidRDefault="00AC7B1E">
            <w:pPr>
              <w:jc w:val="center"/>
            </w:pPr>
            <w:r w:rsidRPr="00A81E0C">
              <w:rPr>
                <w:rFonts w:ascii="Arial" w:eastAsia="Arial" w:hAnsi="Arial" w:cs="Arial"/>
                <w:b/>
                <w:sz w:val="18"/>
              </w:rPr>
              <w:t>Valid n</w:t>
            </w:r>
          </w:p>
        </w:tc>
        <w:tc>
          <w:tcPr>
            <w:tcW w:w="2958" w:type="dxa"/>
            <w:tcBorders>
              <w:bottom w:val="single" w:sz="6" w:space="0" w:color="000000"/>
            </w:tcBorders>
          </w:tcPr>
          <w:p w14:paraId="5CEA5056" w14:textId="77777777" w:rsidR="000403B8" w:rsidRPr="00A81E0C" w:rsidRDefault="00AC7B1E">
            <w:pPr>
              <w:jc w:val="center"/>
            </w:pPr>
            <w:r w:rsidRPr="00A81E0C">
              <w:rPr>
                <w:rFonts w:ascii="Arial" w:eastAsia="Arial" w:hAnsi="Arial" w:cs="Arial"/>
                <w:b/>
                <w:sz w:val="18"/>
              </w:rPr>
              <w:t>Notes</w:t>
            </w:r>
          </w:p>
        </w:tc>
      </w:tr>
      <w:tr w:rsidR="000403B8" w:rsidRPr="00A81E0C" w14:paraId="7EF55D3D" w14:textId="77777777">
        <w:trPr>
          <w:cantSplit/>
          <w:jc w:val="center"/>
        </w:trPr>
        <w:tc>
          <w:tcPr>
            <w:tcW w:w="2900" w:type="dxa"/>
          </w:tcPr>
          <w:p w14:paraId="675DC657" w14:textId="77777777" w:rsidR="000403B8" w:rsidRPr="00A81E0C" w:rsidRDefault="00AC7B1E">
            <w:r w:rsidRPr="00A81E0C">
              <w:rPr>
                <w:rFonts w:ascii="Arial" w:eastAsia="Arial" w:hAnsi="Arial" w:cs="Arial"/>
                <w:sz w:val="18"/>
              </w:rPr>
              <w:t>Survey coverage</w:t>
            </w:r>
          </w:p>
        </w:tc>
        <w:tc>
          <w:tcPr>
            <w:tcW w:w="1450" w:type="dxa"/>
          </w:tcPr>
          <w:p w14:paraId="138EECF2" w14:textId="77777777" w:rsidR="000403B8" w:rsidRPr="00A81E0C" w:rsidRDefault="00AC7B1E">
            <w:pPr>
              <w:jc w:val="center"/>
            </w:pPr>
            <w:r w:rsidRPr="00A81E0C">
              <w:rPr>
                <w:rFonts w:ascii="Arial" w:eastAsia="Arial" w:hAnsi="Arial" w:cs="Arial"/>
                <w:sz w:val="18"/>
              </w:rPr>
              <w:t>95.2% (438/460)</w:t>
            </w:r>
          </w:p>
        </w:tc>
        <w:tc>
          <w:tcPr>
            <w:tcW w:w="900" w:type="dxa"/>
          </w:tcPr>
          <w:p w14:paraId="6D24C49F" w14:textId="77777777" w:rsidR="000403B8" w:rsidRPr="00A81E0C" w:rsidRDefault="00AC7B1E">
            <w:pPr>
              <w:jc w:val="center"/>
            </w:pPr>
            <w:r w:rsidRPr="00A81E0C">
              <w:rPr>
                <w:rFonts w:ascii="Arial" w:eastAsia="Arial" w:hAnsi="Arial" w:cs="Arial"/>
                <w:sz w:val="18"/>
              </w:rPr>
              <w:t>438</w:t>
            </w:r>
          </w:p>
        </w:tc>
        <w:tc>
          <w:tcPr>
            <w:tcW w:w="2958" w:type="dxa"/>
          </w:tcPr>
          <w:p w14:paraId="3697F742" w14:textId="77777777" w:rsidR="000403B8" w:rsidRPr="00A81E0C" w:rsidRDefault="00AC7B1E">
            <w:r w:rsidRPr="00A81E0C">
              <w:rPr>
                <w:rFonts w:ascii="Arial" w:eastAsia="Arial" w:hAnsi="Arial" w:cs="Arial"/>
                <w:sz w:val="18"/>
              </w:rPr>
              <w:t>Administered in March 2026</w:t>
            </w:r>
          </w:p>
        </w:tc>
      </w:tr>
      <w:tr w:rsidR="000403B8" w:rsidRPr="00A81E0C" w14:paraId="4E027D12" w14:textId="77777777">
        <w:trPr>
          <w:cantSplit/>
          <w:jc w:val="center"/>
        </w:trPr>
        <w:tc>
          <w:tcPr>
            <w:tcW w:w="2900" w:type="dxa"/>
          </w:tcPr>
          <w:p w14:paraId="2606EB31" w14:textId="77777777" w:rsidR="000403B8" w:rsidRPr="00A81E0C" w:rsidRDefault="00AC7B1E">
            <w:r w:rsidRPr="00A81E0C">
              <w:rPr>
                <w:rFonts w:ascii="Arial" w:eastAsia="Arial" w:hAnsi="Arial" w:cs="Arial"/>
                <w:sz w:val="18"/>
              </w:rPr>
              <w:lastRenderedPageBreak/>
              <w:t>First-choice area of specialization: logistics</w:t>
            </w:r>
          </w:p>
        </w:tc>
        <w:tc>
          <w:tcPr>
            <w:tcW w:w="1450" w:type="dxa"/>
          </w:tcPr>
          <w:p w14:paraId="72797E5B" w14:textId="77777777" w:rsidR="000403B8" w:rsidRPr="00A81E0C" w:rsidRDefault="00AC7B1E">
            <w:pPr>
              <w:jc w:val="center"/>
            </w:pPr>
            <w:r w:rsidRPr="00A81E0C">
              <w:rPr>
                <w:rFonts w:ascii="Arial" w:eastAsia="Arial" w:hAnsi="Arial" w:cs="Arial"/>
                <w:sz w:val="18"/>
              </w:rPr>
              <w:t>27.4%</w:t>
            </w:r>
          </w:p>
        </w:tc>
        <w:tc>
          <w:tcPr>
            <w:tcW w:w="900" w:type="dxa"/>
          </w:tcPr>
          <w:p w14:paraId="39F154CE" w14:textId="77777777" w:rsidR="000403B8" w:rsidRPr="00A81E0C" w:rsidRDefault="00AC7B1E">
            <w:pPr>
              <w:jc w:val="center"/>
            </w:pPr>
            <w:r w:rsidRPr="00A81E0C">
              <w:rPr>
                <w:rFonts w:ascii="Arial" w:eastAsia="Arial" w:hAnsi="Arial" w:cs="Arial"/>
                <w:sz w:val="18"/>
              </w:rPr>
              <w:t>438</w:t>
            </w:r>
          </w:p>
        </w:tc>
        <w:tc>
          <w:tcPr>
            <w:tcW w:w="2958" w:type="dxa"/>
          </w:tcPr>
          <w:p w14:paraId="7A4F4477" w14:textId="77777777" w:rsidR="000403B8" w:rsidRPr="00A81E0C" w:rsidRDefault="00AC7B1E">
            <w:r w:rsidRPr="00A81E0C">
              <w:rPr>
                <w:rFonts w:ascii="Arial" w:eastAsia="Arial" w:hAnsi="Arial" w:cs="Arial"/>
                <w:sz w:val="18"/>
              </w:rPr>
              <w:t>Second: quality, 24.7%; third: manufacturing, 21.3%</w:t>
            </w:r>
          </w:p>
        </w:tc>
      </w:tr>
      <w:tr w:rsidR="000403B8" w:rsidRPr="00A81E0C" w14:paraId="6E6D43F0" w14:textId="77777777">
        <w:trPr>
          <w:cantSplit/>
          <w:jc w:val="center"/>
        </w:trPr>
        <w:tc>
          <w:tcPr>
            <w:tcW w:w="2900" w:type="dxa"/>
          </w:tcPr>
          <w:p w14:paraId="5084EE7C" w14:textId="77777777" w:rsidR="000403B8" w:rsidRPr="00A81E0C" w:rsidRDefault="00AC7B1E">
            <w:r w:rsidRPr="00A81E0C">
              <w:rPr>
                <w:rFonts w:ascii="Arial" w:eastAsia="Arial" w:hAnsi="Arial" w:cs="Arial"/>
                <w:sz w:val="18"/>
              </w:rPr>
              <w:t>Satisfaction with the program ≥ 8/10</w:t>
            </w:r>
          </w:p>
        </w:tc>
        <w:tc>
          <w:tcPr>
            <w:tcW w:w="1450" w:type="dxa"/>
          </w:tcPr>
          <w:p w14:paraId="16BDE7D0" w14:textId="77777777" w:rsidR="000403B8" w:rsidRPr="00A81E0C" w:rsidRDefault="00AC7B1E">
            <w:pPr>
              <w:jc w:val="center"/>
            </w:pPr>
            <w:r w:rsidRPr="00A81E0C">
              <w:rPr>
                <w:rFonts w:ascii="Arial" w:eastAsia="Arial" w:hAnsi="Arial" w:cs="Arial"/>
                <w:sz w:val="18"/>
              </w:rPr>
              <w:t>70.3%</w:t>
            </w:r>
          </w:p>
        </w:tc>
        <w:tc>
          <w:tcPr>
            <w:tcW w:w="900" w:type="dxa"/>
          </w:tcPr>
          <w:p w14:paraId="0E72C519" w14:textId="77777777" w:rsidR="000403B8" w:rsidRPr="00A81E0C" w:rsidRDefault="00AC7B1E">
            <w:pPr>
              <w:jc w:val="center"/>
            </w:pPr>
            <w:r w:rsidRPr="00A81E0C">
              <w:rPr>
                <w:rFonts w:ascii="Arial" w:eastAsia="Arial" w:hAnsi="Arial" w:cs="Arial"/>
                <w:sz w:val="18"/>
              </w:rPr>
              <w:t>438</w:t>
            </w:r>
          </w:p>
        </w:tc>
        <w:tc>
          <w:tcPr>
            <w:tcW w:w="2958" w:type="dxa"/>
          </w:tcPr>
          <w:p w14:paraId="63FFFBD7" w14:textId="77777777" w:rsidR="000403B8" w:rsidRPr="00A81E0C" w:rsidRDefault="00AC7B1E">
            <w:r w:rsidRPr="00A81E0C">
              <w:rPr>
                <w:rFonts w:ascii="Arial" w:eastAsia="Arial" w:hAnsi="Arial" w:cs="Arial"/>
                <w:sz w:val="18"/>
              </w:rPr>
              <w:t>Rating scale from 1 to 10</w:t>
            </w:r>
          </w:p>
        </w:tc>
      </w:tr>
      <w:tr w:rsidR="000403B8" w:rsidRPr="00A81E0C" w14:paraId="2F884B99" w14:textId="77777777">
        <w:trPr>
          <w:cantSplit/>
          <w:jc w:val="center"/>
        </w:trPr>
        <w:tc>
          <w:tcPr>
            <w:tcW w:w="2900" w:type="dxa"/>
          </w:tcPr>
          <w:p w14:paraId="70D45069" w14:textId="77777777" w:rsidR="000403B8" w:rsidRPr="00A81E0C" w:rsidRDefault="00AC7B1E">
            <w:r w:rsidRPr="00A81E0C">
              <w:rPr>
                <w:rFonts w:ascii="Arial" w:eastAsia="Arial" w:hAnsi="Arial" w:cs="Arial"/>
                <w:sz w:val="18"/>
              </w:rPr>
              <w:t>High employment expectations</w:t>
            </w:r>
          </w:p>
        </w:tc>
        <w:tc>
          <w:tcPr>
            <w:tcW w:w="1450" w:type="dxa"/>
          </w:tcPr>
          <w:p w14:paraId="1C1DC0A9" w14:textId="77777777" w:rsidR="000403B8" w:rsidRPr="00A81E0C" w:rsidRDefault="00AC7B1E">
            <w:pPr>
              <w:jc w:val="center"/>
            </w:pPr>
            <w:r w:rsidRPr="00A81E0C">
              <w:rPr>
                <w:rFonts w:ascii="Arial" w:eastAsia="Arial" w:hAnsi="Arial" w:cs="Arial"/>
                <w:sz w:val="18"/>
              </w:rPr>
              <w:t>78.1%</w:t>
            </w:r>
          </w:p>
        </w:tc>
        <w:tc>
          <w:tcPr>
            <w:tcW w:w="900" w:type="dxa"/>
          </w:tcPr>
          <w:p w14:paraId="3C74D841" w14:textId="77777777" w:rsidR="000403B8" w:rsidRPr="00A81E0C" w:rsidRDefault="00AC7B1E">
            <w:pPr>
              <w:jc w:val="center"/>
            </w:pPr>
            <w:r w:rsidRPr="00A81E0C">
              <w:rPr>
                <w:rFonts w:ascii="Arial" w:eastAsia="Arial" w:hAnsi="Arial" w:cs="Arial"/>
                <w:sz w:val="18"/>
              </w:rPr>
              <w:t>438</w:t>
            </w:r>
          </w:p>
        </w:tc>
        <w:tc>
          <w:tcPr>
            <w:tcW w:w="2958" w:type="dxa"/>
          </w:tcPr>
          <w:p w14:paraId="69990CAE" w14:textId="77777777" w:rsidR="000403B8" w:rsidRPr="00A81E0C" w:rsidRDefault="00AC7B1E">
            <w:r w:rsidRPr="00A81E0C">
              <w:rPr>
                <w:rFonts w:ascii="Arial" w:eastAsia="Arial" w:hAnsi="Arial" w:cs="Arial"/>
                <w:sz w:val="18"/>
              </w:rPr>
              <w:t>“Very high” plus “high”</w:t>
            </w:r>
          </w:p>
        </w:tc>
      </w:tr>
      <w:tr w:rsidR="000403B8" w:rsidRPr="00A81E0C" w14:paraId="059804F0" w14:textId="77777777">
        <w:trPr>
          <w:cantSplit/>
          <w:jc w:val="center"/>
        </w:trPr>
        <w:tc>
          <w:tcPr>
            <w:tcW w:w="2900" w:type="dxa"/>
          </w:tcPr>
          <w:p w14:paraId="1AC90500" w14:textId="77777777" w:rsidR="000403B8" w:rsidRPr="00A81E0C" w:rsidRDefault="00AC7B1E">
            <w:r w:rsidRPr="00A81E0C">
              <w:rPr>
                <w:rFonts w:ascii="Arial" w:eastAsia="Arial" w:hAnsi="Arial" w:cs="Arial"/>
                <w:sz w:val="18"/>
              </w:rPr>
              <w:t>Main source of funding: family</w:t>
            </w:r>
          </w:p>
        </w:tc>
        <w:tc>
          <w:tcPr>
            <w:tcW w:w="1450" w:type="dxa"/>
          </w:tcPr>
          <w:p w14:paraId="2CD1915D" w14:textId="77777777" w:rsidR="000403B8" w:rsidRPr="00A81E0C" w:rsidRDefault="00AC7B1E">
            <w:pPr>
              <w:jc w:val="center"/>
            </w:pPr>
            <w:r w:rsidRPr="00A81E0C">
              <w:rPr>
                <w:rFonts w:ascii="Arial" w:eastAsia="Arial" w:hAnsi="Arial" w:cs="Arial"/>
                <w:sz w:val="18"/>
              </w:rPr>
              <w:t>56.0%</w:t>
            </w:r>
          </w:p>
        </w:tc>
        <w:tc>
          <w:tcPr>
            <w:tcW w:w="900" w:type="dxa"/>
          </w:tcPr>
          <w:p w14:paraId="7EC277BF" w14:textId="77777777" w:rsidR="000403B8" w:rsidRPr="00A81E0C" w:rsidRDefault="00AC7B1E">
            <w:pPr>
              <w:jc w:val="center"/>
            </w:pPr>
            <w:r w:rsidRPr="00A81E0C">
              <w:rPr>
                <w:rFonts w:ascii="Arial" w:eastAsia="Arial" w:hAnsi="Arial" w:cs="Arial"/>
                <w:sz w:val="18"/>
              </w:rPr>
              <w:t>438</w:t>
            </w:r>
          </w:p>
        </w:tc>
        <w:tc>
          <w:tcPr>
            <w:tcW w:w="2958" w:type="dxa"/>
          </w:tcPr>
          <w:p w14:paraId="0578C7DC" w14:textId="77777777" w:rsidR="000403B8" w:rsidRPr="00A81E0C" w:rsidRDefault="00AC7B1E">
            <w:r w:rsidRPr="00A81E0C">
              <w:rPr>
                <w:rFonts w:ascii="Arial" w:eastAsia="Arial" w:hAnsi="Arial" w:cs="Arial"/>
                <w:sz w:val="18"/>
              </w:rPr>
              <w:t>Own employment, 29%; scholarships, 15%</w:t>
            </w:r>
          </w:p>
        </w:tc>
      </w:tr>
      <w:tr w:rsidR="000403B8" w:rsidRPr="00A81E0C" w14:paraId="60D0AD48" w14:textId="77777777">
        <w:trPr>
          <w:cantSplit/>
          <w:jc w:val="center"/>
        </w:trPr>
        <w:tc>
          <w:tcPr>
            <w:tcW w:w="2900" w:type="dxa"/>
          </w:tcPr>
          <w:p w14:paraId="34021FA3" w14:textId="77777777" w:rsidR="000403B8" w:rsidRPr="00A81E0C" w:rsidRDefault="00AC7B1E">
            <w:r w:rsidRPr="00A81E0C">
              <w:rPr>
                <w:rFonts w:ascii="Arial" w:eastAsia="Arial" w:hAnsi="Arial" w:cs="Arial"/>
                <w:sz w:val="18"/>
              </w:rPr>
              <w:t>Positive perception of graduate profile attainment</w:t>
            </w:r>
          </w:p>
        </w:tc>
        <w:tc>
          <w:tcPr>
            <w:tcW w:w="1450" w:type="dxa"/>
          </w:tcPr>
          <w:p w14:paraId="50848FBF" w14:textId="77777777" w:rsidR="000403B8" w:rsidRPr="00A81E0C" w:rsidRDefault="00AC7B1E">
            <w:pPr>
              <w:jc w:val="center"/>
            </w:pPr>
            <w:r w:rsidRPr="00A81E0C">
              <w:rPr>
                <w:rFonts w:ascii="Arial" w:eastAsia="Arial" w:hAnsi="Arial" w:cs="Arial"/>
                <w:sz w:val="18"/>
              </w:rPr>
              <w:t>84.0%</w:t>
            </w:r>
          </w:p>
        </w:tc>
        <w:tc>
          <w:tcPr>
            <w:tcW w:w="900" w:type="dxa"/>
          </w:tcPr>
          <w:p w14:paraId="088B82EF" w14:textId="77777777" w:rsidR="000403B8" w:rsidRPr="00A81E0C" w:rsidRDefault="00AC7B1E">
            <w:pPr>
              <w:jc w:val="center"/>
            </w:pPr>
            <w:r w:rsidRPr="00A81E0C">
              <w:rPr>
                <w:rFonts w:ascii="Arial" w:eastAsia="Arial" w:hAnsi="Arial" w:cs="Arial"/>
                <w:sz w:val="18"/>
              </w:rPr>
              <w:t>438</w:t>
            </w:r>
          </w:p>
        </w:tc>
        <w:tc>
          <w:tcPr>
            <w:tcW w:w="2958" w:type="dxa"/>
          </w:tcPr>
          <w:p w14:paraId="6B2AB78E" w14:textId="77777777" w:rsidR="000403B8" w:rsidRPr="00A81E0C" w:rsidRDefault="00AC7B1E">
            <w:r w:rsidRPr="00A81E0C">
              <w:rPr>
                <w:rFonts w:ascii="Arial" w:eastAsia="Arial" w:hAnsi="Arial" w:cs="Arial"/>
                <w:sz w:val="18"/>
              </w:rPr>
              <w:t>“Don't know”, 12%; “no”, 4%</w:t>
            </w:r>
          </w:p>
        </w:tc>
      </w:tr>
    </w:tbl>
    <w:p w14:paraId="4094962C" w14:textId="77777777" w:rsidR="000403B8" w:rsidRPr="00A81E0C" w:rsidRDefault="00AC7B1E">
      <w:pPr>
        <w:pStyle w:val="Body"/>
        <w:spacing w:before="40" w:after="0"/>
        <w:jc w:val="left"/>
      </w:pPr>
      <w:r w:rsidRPr="00A81E0C">
        <w:rPr>
          <w:rFonts w:ascii="Arial" w:eastAsia="Arial" w:hAnsi="Arial" w:cs="Arial"/>
          <w:sz w:val="17"/>
        </w:rPr>
        <w:t>Percentages were calculated on valid responses (n = 438) from active students enrolled in the January–June 2026 term.</w:t>
      </w:r>
    </w:p>
    <w:p w14:paraId="1F51E8DB" w14:textId="77777777" w:rsidR="000403B8" w:rsidRPr="00A81E0C" w:rsidRDefault="00AC7B1E">
      <w:pPr>
        <w:pStyle w:val="Body"/>
        <w:spacing w:after="160"/>
        <w:jc w:val="left"/>
      </w:pPr>
      <w:r w:rsidRPr="00A81E0C">
        <w:rPr>
          <w:rFonts w:ascii="Arial" w:eastAsia="Arial" w:hAnsi="Arial" w:cs="Arial"/>
          <w:sz w:val="17"/>
        </w:rPr>
        <w:t>Source: student survey administered by the Academy of Industrial Engineering, ITC-</w:t>
      </w:r>
      <w:proofErr w:type="spellStart"/>
      <w:r w:rsidRPr="00A81E0C">
        <w:rPr>
          <w:rFonts w:ascii="Arial" w:eastAsia="Arial" w:hAnsi="Arial" w:cs="Arial"/>
          <w:sz w:val="17"/>
        </w:rPr>
        <w:t>TecNM</w:t>
      </w:r>
      <w:proofErr w:type="spellEnd"/>
      <w:r w:rsidRPr="00A81E0C">
        <w:rPr>
          <w:rFonts w:ascii="Arial" w:eastAsia="Arial" w:hAnsi="Arial" w:cs="Arial"/>
          <w:sz w:val="17"/>
        </w:rPr>
        <w:t>, March 2026.</w:t>
      </w:r>
    </w:p>
    <w:p w14:paraId="245EEF5A" w14:textId="77777777" w:rsidR="000403B8" w:rsidRPr="00A81E0C" w:rsidRDefault="00AC7B1E">
      <w:pPr>
        <w:pStyle w:val="Body"/>
        <w:spacing w:after="160"/>
      </w:pPr>
      <w:r w:rsidRPr="00A81E0C">
        <w:rPr>
          <w:rFonts w:ascii="Arial" w:eastAsia="Arial" w:hAnsi="Arial" w:cs="Arial"/>
        </w:rPr>
        <w:t>Logistics was the first-choice area of specialization for 27.4% of students, ahead of quality (24.7%) and manufacturing (21.3%). When the adjacent options of supply chain management and operations are added, about 35% of preferences lean toward logistics. Interest in the field is thus present within the program itself and does not rest only on external demand. Employment expectations were high (78.1%), and most students considered that the program achieves its graduate profile (84.0%). Satisfaction was more modest: 70.3% rated the program 8 or above, which means that roughly three students in ten gave it a lower score. The funding data also deserve attention. Families are the main source of support for 56% of students, while 29% rely on their own employment, a circumstance that class scheduling for the specialization should take into account.</w:t>
      </w:r>
    </w:p>
    <w:p w14:paraId="691128B5" w14:textId="77777777" w:rsidR="000403B8" w:rsidRPr="00A81E0C" w:rsidRDefault="00AC7B1E">
      <w:pPr>
        <w:pStyle w:val="Body"/>
        <w:keepNext/>
        <w:spacing w:before="80" w:after="80"/>
        <w:jc w:val="left"/>
      </w:pPr>
      <w:r w:rsidRPr="00A81E0C">
        <w:rPr>
          <w:rFonts w:ascii="Arial" w:eastAsia="Arial" w:hAnsi="Arial" w:cs="Arial"/>
          <w:b/>
          <w:sz w:val="22"/>
        </w:rPr>
        <w:t>3.4 Faculty, Curriculum and Infrastructure</w:t>
      </w:r>
    </w:p>
    <w:p w14:paraId="52539FDD" w14:textId="77777777" w:rsidR="000403B8" w:rsidRPr="00A81E0C" w:rsidRDefault="00AC7B1E">
      <w:pPr>
        <w:pStyle w:val="Body"/>
        <w:spacing w:after="160"/>
      </w:pPr>
      <w:r w:rsidRPr="00A81E0C">
        <w:rPr>
          <w:rFonts w:ascii="Arial" w:eastAsia="Arial" w:hAnsi="Arial" w:cs="Arial"/>
        </w:rPr>
        <w:t xml:space="preserve">The core faculty consists of 17 professors, all of whom hold a first degree in engineering. Three have a doctorate, one of them with Candidate status in the National System of Researchers (SNII), and the remaining 14 hold a master's degree. Five professors have the Desirable Profile recognition granted by PRODEP. Fifteen of the 17 (88.2%) worked in industry before joining the institution, which they did at a mean age of 31 years. The literature regards this combination of academic training and industrial experience as a key factor in the quality of engineering teaching (González-Pérez &amp; Ramírez-Montoya, 2022; </w:t>
      </w:r>
      <w:proofErr w:type="spellStart"/>
      <w:r w:rsidRPr="00A81E0C">
        <w:rPr>
          <w:rFonts w:ascii="Arial" w:eastAsia="Arial" w:hAnsi="Arial" w:cs="Arial"/>
        </w:rPr>
        <w:t>Tobón</w:t>
      </w:r>
      <w:proofErr w:type="spellEnd"/>
      <w:r w:rsidRPr="00A81E0C">
        <w:rPr>
          <w:rFonts w:ascii="Arial" w:eastAsia="Arial" w:hAnsi="Arial" w:cs="Arial"/>
        </w:rPr>
        <w:t xml:space="preserve"> et al., 2022).</w:t>
      </w:r>
    </w:p>
    <w:p w14:paraId="6D28C1A4" w14:textId="77777777" w:rsidR="000403B8" w:rsidRPr="00A81E0C" w:rsidRDefault="00AC7B1E">
      <w:pPr>
        <w:pStyle w:val="Body"/>
        <w:spacing w:after="160"/>
      </w:pPr>
      <w:r w:rsidRPr="00A81E0C">
        <w:rPr>
          <w:rFonts w:ascii="Arial" w:eastAsia="Arial" w:hAnsi="Arial" w:cs="Arial"/>
        </w:rPr>
        <w:t>Fig. 1 shows where the specialization sits in the curriculum. Six Sigma is taught in the seventh semester, and the other five courses in the eighth, immediately before the professional residency. The specialization thus works as a bridge between the core courses in operations and supply chains and the residency period in industry.</w:t>
      </w:r>
    </w:p>
    <w:p w14:paraId="4F99A10B" w14:textId="77777777" w:rsidR="000403B8" w:rsidRPr="00A81E0C" w:rsidRDefault="00AC7B1E">
      <w:pPr>
        <w:pStyle w:val="Body"/>
        <w:keepNext/>
        <w:spacing w:before="120" w:after="40"/>
        <w:jc w:val="center"/>
      </w:pPr>
      <w:r w:rsidRPr="00A81E0C">
        <w:rPr>
          <w:noProof/>
        </w:rPr>
        <w:lastRenderedPageBreak/>
        <w:drawing>
          <wp:inline distT="0" distB="0" distL="0" distR="0" wp14:anchorId="5CE23DB1" wp14:editId="760FBC4C">
            <wp:extent cx="5451894" cy="4304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en.png"/>
                    <pic:cNvPicPr/>
                  </pic:nvPicPr>
                  <pic:blipFill>
                    <a:blip r:embed="rId14"/>
                    <a:stretch>
                      <a:fillRect/>
                    </a:stretch>
                  </pic:blipFill>
                  <pic:spPr>
                    <a:xfrm>
                      <a:off x="0" y="0"/>
                      <a:ext cx="5452988" cy="4304991"/>
                    </a:xfrm>
                    <a:prstGeom prst="rect">
                      <a:avLst/>
                    </a:prstGeom>
                  </pic:spPr>
                </pic:pic>
              </a:graphicData>
            </a:graphic>
          </wp:inline>
        </w:drawing>
      </w:r>
    </w:p>
    <w:p w14:paraId="53C41590" w14:textId="77777777" w:rsidR="000403B8" w:rsidRPr="00A81E0C" w:rsidRDefault="00AC7B1E">
      <w:pPr>
        <w:pStyle w:val="Body"/>
        <w:keepNext/>
        <w:spacing w:before="40" w:after="40"/>
        <w:jc w:val="left"/>
      </w:pPr>
      <w:r w:rsidRPr="00A81E0C">
        <w:rPr>
          <w:rFonts w:ascii="Arial" w:eastAsia="Arial" w:hAnsi="Arial" w:cs="Arial"/>
          <w:b/>
        </w:rPr>
        <w:t>Fig. 1. Curriculum map of the Industrial Engineering program at ITC-</w:t>
      </w:r>
      <w:proofErr w:type="spellStart"/>
      <w:r w:rsidRPr="00A81E0C">
        <w:rPr>
          <w:rFonts w:ascii="Arial" w:eastAsia="Arial" w:hAnsi="Arial" w:cs="Arial"/>
          <w:b/>
        </w:rPr>
        <w:t>TecNM</w:t>
      </w:r>
      <w:proofErr w:type="spellEnd"/>
      <w:r w:rsidRPr="00A81E0C">
        <w:rPr>
          <w:rFonts w:ascii="Arial" w:eastAsia="Arial" w:hAnsi="Arial" w:cs="Arial"/>
          <w:b/>
        </w:rPr>
        <w:t>, showing the six courses of the Specialization in Intelligent Logistics Systems (shaded) in semesters 7 and 8</w:t>
      </w:r>
    </w:p>
    <w:p w14:paraId="247C04BD" w14:textId="77777777" w:rsidR="000403B8" w:rsidRPr="00A81E0C" w:rsidRDefault="00AC7B1E">
      <w:pPr>
        <w:pStyle w:val="Body"/>
        <w:spacing w:after="200"/>
        <w:jc w:val="left"/>
      </w:pPr>
      <w:r w:rsidRPr="00A81E0C">
        <w:rPr>
          <w:rFonts w:ascii="Arial" w:eastAsia="Arial" w:hAnsi="Arial" w:cs="Arial"/>
          <w:i/>
          <w:sz w:val="17"/>
        </w:rPr>
        <w:t>Each box shows the course name and code; the three cells at its base give weekly theory hours, weekly practice hours and SATCA credits. Source: prepared by the authors from the curriculum of the Industrial Engineering program, ITC-</w:t>
      </w:r>
      <w:proofErr w:type="spellStart"/>
      <w:r w:rsidRPr="00A81E0C">
        <w:rPr>
          <w:rFonts w:ascii="Arial" w:eastAsia="Arial" w:hAnsi="Arial" w:cs="Arial"/>
          <w:i/>
          <w:sz w:val="17"/>
        </w:rPr>
        <w:t>TecNM</w:t>
      </w:r>
      <w:proofErr w:type="spellEnd"/>
      <w:r w:rsidRPr="00A81E0C">
        <w:rPr>
          <w:rFonts w:ascii="Arial" w:eastAsia="Arial" w:hAnsi="Arial" w:cs="Arial"/>
          <w:i/>
          <w:sz w:val="17"/>
        </w:rPr>
        <w:t>.</w:t>
      </w:r>
    </w:p>
    <w:p w14:paraId="44CE8ED1" w14:textId="77777777" w:rsidR="000403B8" w:rsidRPr="00A81E0C" w:rsidRDefault="00AC7B1E">
      <w:pPr>
        <w:pStyle w:val="Body"/>
        <w:spacing w:after="160"/>
      </w:pPr>
      <w:r w:rsidRPr="00A81E0C">
        <w:rPr>
          <w:rFonts w:ascii="Arial" w:eastAsia="Arial" w:hAnsi="Arial" w:cs="Arial"/>
        </w:rPr>
        <w:t>Table 4 lists the six courses and their weekly workload; together they carry 31 credits under the SATCA system. The program has faculty members with direct professional experience in each of these areas and with training in the relevant digital tools.</w:t>
      </w:r>
    </w:p>
    <w:p w14:paraId="4349BEB1" w14:textId="77777777" w:rsidR="000403B8" w:rsidRPr="00A81E0C" w:rsidRDefault="00AC7B1E">
      <w:pPr>
        <w:pStyle w:val="Body"/>
        <w:keepNext/>
        <w:spacing w:before="120" w:after="80"/>
        <w:jc w:val="left"/>
      </w:pPr>
      <w:r w:rsidRPr="00A81E0C">
        <w:rPr>
          <w:rFonts w:ascii="Arial" w:eastAsia="Arial" w:hAnsi="Arial" w:cs="Arial"/>
          <w:b/>
        </w:rPr>
        <w:t>Table 4. Core courses of the Specialization in Intelligent Logistics Systems (INDE-SLI-2026-02)</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1300"/>
        <w:gridCol w:w="4308"/>
        <w:gridCol w:w="700"/>
        <w:gridCol w:w="700"/>
        <w:gridCol w:w="1200"/>
      </w:tblGrid>
      <w:tr w:rsidR="000403B8" w:rsidRPr="00A81E0C" w14:paraId="4FF76E0E" w14:textId="77777777">
        <w:trPr>
          <w:cantSplit/>
          <w:tblHeader/>
          <w:jc w:val="center"/>
        </w:trPr>
        <w:tc>
          <w:tcPr>
            <w:tcW w:w="1300" w:type="dxa"/>
            <w:tcBorders>
              <w:bottom w:val="single" w:sz="6" w:space="0" w:color="000000"/>
            </w:tcBorders>
          </w:tcPr>
          <w:p w14:paraId="7F25732C" w14:textId="77777777" w:rsidR="000403B8" w:rsidRPr="00A81E0C" w:rsidRDefault="00AC7B1E">
            <w:pPr>
              <w:jc w:val="center"/>
            </w:pPr>
            <w:r w:rsidRPr="00A81E0C">
              <w:rPr>
                <w:rFonts w:ascii="Arial" w:eastAsia="Arial" w:hAnsi="Arial" w:cs="Arial"/>
                <w:b/>
                <w:sz w:val="18"/>
              </w:rPr>
              <w:t>Code</w:t>
            </w:r>
          </w:p>
        </w:tc>
        <w:tc>
          <w:tcPr>
            <w:tcW w:w="4308" w:type="dxa"/>
            <w:tcBorders>
              <w:bottom w:val="single" w:sz="6" w:space="0" w:color="000000"/>
            </w:tcBorders>
          </w:tcPr>
          <w:p w14:paraId="5AC06E3F" w14:textId="77777777" w:rsidR="000403B8" w:rsidRPr="00A81E0C" w:rsidRDefault="00AC7B1E">
            <w:pPr>
              <w:jc w:val="center"/>
            </w:pPr>
            <w:r w:rsidRPr="00A81E0C">
              <w:rPr>
                <w:rFonts w:ascii="Arial" w:eastAsia="Arial" w:hAnsi="Arial" w:cs="Arial"/>
                <w:b/>
                <w:sz w:val="18"/>
              </w:rPr>
              <w:t>Course</w:t>
            </w:r>
          </w:p>
        </w:tc>
        <w:tc>
          <w:tcPr>
            <w:tcW w:w="700" w:type="dxa"/>
            <w:tcBorders>
              <w:bottom w:val="single" w:sz="6" w:space="0" w:color="000000"/>
            </w:tcBorders>
          </w:tcPr>
          <w:p w14:paraId="23524C1E" w14:textId="77777777" w:rsidR="000403B8" w:rsidRPr="00A81E0C" w:rsidRDefault="00AC7B1E">
            <w:pPr>
              <w:jc w:val="center"/>
            </w:pPr>
            <w:r w:rsidRPr="00A81E0C">
              <w:rPr>
                <w:rFonts w:ascii="Arial" w:eastAsia="Arial" w:hAnsi="Arial" w:cs="Arial"/>
                <w:b/>
                <w:sz w:val="18"/>
              </w:rPr>
              <w:t>T</w:t>
            </w:r>
            <w:r w:rsidRPr="00A81E0C">
              <w:rPr>
                <w:rFonts w:ascii="Arial" w:eastAsia="Arial" w:hAnsi="Arial" w:cs="Arial"/>
                <w:b/>
                <w:sz w:val="18"/>
                <w:vertAlign w:val="superscript"/>
              </w:rPr>
              <w:t>a</w:t>
            </w:r>
          </w:p>
        </w:tc>
        <w:tc>
          <w:tcPr>
            <w:tcW w:w="700" w:type="dxa"/>
            <w:tcBorders>
              <w:bottom w:val="single" w:sz="6" w:space="0" w:color="000000"/>
            </w:tcBorders>
          </w:tcPr>
          <w:p w14:paraId="273EDD96" w14:textId="77777777" w:rsidR="000403B8" w:rsidRPr="00A81E0C" w:rsidRDefault="00AC7B1E">
            <w:pPr>
              <w:jc w:val="center"/>
            </w:pPr>
            <w:r w:rsidRPr="00A81E0C">
              <w:rPr>
                <w:rFonts w:ascii="Arial" w:eastAsia="Arial" w:hAnsi="Arial" w:cs="Arial"/>
                <w:b/>
                <w:sz w:val="18"/>
              </w:rPr>
              <w:t>P</w:t>
            </w:r>
            <w:r w:rsidRPr="00A81E0C">
              <w:rPr>
                <w:rFonts w:ascii="Arial" w:eastAsia="Arial" w:hAnsi="Arial" w:cs="Arial"/>
                <w:b/>
                <w:sz w:val="18"/>
                <w:vertAlign w:val="superscript"/>
              </w:rPr>
              <w:t>b</w:t>
            </w:r>
          </w:p>
        </w:tc>
        <w:tc>
          <w:tcPr>
            <w:tcW w:w="1200" w:type="dxa"/>
            <w:tcBorders>
              <w:bottom w:val="single" w:sz="6" w:space="0" w:color="000000"/>
            </w:tcBorders>
          </w:tcPr>
          <w:p w14:paraId="31C7904B" w14:textId="77777777" w:rsidR="000403B8" w:rsidRPr="00A81E0C" w:rsidRDefault="00AC7B1E">
            <w:pPr>
              <w:jc w:val="center"/>
            </w:pPr>
            <w:r w:rsidRPr="00A81E0C">
              <w:rPr>
                <w:rFonts w:ascii="Arial" w:eastAsia="Arial" w:hAnsi="Arial" w:cs="Arial"/>
                <w:b/>
                <w:sz w:val="18"/>
              </w:rPr>
              <w:t>SATCA credits</w:t>
            </w:r>
          </w:p>
        </w:tc>
      </w:tr>
      <w:tr w:rsidR="000403B8" w:rsidRPr="00A81E0C" w14:paraId="4BB5C7C2" w14:textId="77777777">
        <w:trPr>
          <w:cantSplit/>
          <w:jc w:val="center"/>
        </w:trPr>
        <w:tc>
          <w:tcPr>
            <w:tcW w:w="1300" w:type="dxa"/>
          </w:tcPr>
          <w:p w14:paraId="6245DCA3" w14:textId="77777777" w:rsidR="000403B8" w:rsidRPr="00A81E0C" w:rsidRDefault="00AC7B1E">
            <w:r w:rsidRPr="00A81E0C">
              <w:rPr>
                <w:rFonts w:ascii="Arial" w:eastAsia="Arial" w:hAnsi="Arial" w:cs="Arial"/>
                <w:sz w:val="18"/>
              </w:rPr>
              <w:t>SLF-2601</w:t>
            </w:r>
          </w:p>
        </w:tc>
        <w:tc>
          <w:tcPr>
            <w:tcW w:w="4308" w:type="dxa"/>
          </w:tcPr>
          <w:p w14:paraId="2D2E32FB" w14:textId="77777777" w:rsidR="000403B8" w:rsidRPr="00A81E0C" w:rsidRDefault="00AC7B1E">
            <w:r w:rsidRPr="00A81E0C">
              <w:rPr>
                <w:rFonts w:ascii="Arial" w:eastAsia="Arial" w:hAnsi="Arial" w:cs="Arial"/>
                <w:sz w:val="18"/>
              </w:rPr>
              <w:t>Intelligent Logistics Systems</w:t>
            </w:r>
          </w:p>
        </w:tc>
        <w:tc>
          <w:tcPr>
            <w:tcW w:w="700" w:type="dxa"/>
          </w:tcPr>
          <w:p w14:paraId="606691E3" w14:textId="77777777" w:rsidR="000403B8" w:rsidRPr="00A81E0C" w:rsidRDefault="00AC7B1E">
            <w:pPr>
              <w:jc w:val="center"/>
            </w:pPr>
            <w:r w:rsidRPr="00A81E0C">
              <w:rPr>
                <w:rFonts w:ascii="Arial" w:eastAsia="Arial" w:hAnsi="Arial" w:cs="Arial"/>
                <w:sz w:val="18"/>
              </w:rPr>
              <w:t>3</w:t>
            </w:r>
          </w:p>
        </w:tc>
        <w:tc>
          <w:tcPr>
            <w:tcW w:w="700" w:type="dxa"/>
          </w:tcPr>
          <w:p w14:paraId="59F78EF9" w14:textId="77777777" w:rsidR="000403B8" w:rsidRPr="00A81E0C" w:rsidRDefault="00AC7B1E">
            <w:pPr>
              <w:jc w:val="center"/>
            </w:pPr>
            <w:r w:rsidRPr="00A81E0C">
              <w:rPr>
                <w:rFonts w:ascii="Arial" w:eastAsia="Arial" w:hAnsi="Arial" w:cs="Arial"/>
                <w:sz w:val="18"/>
              </w:rPr>
              <w:t>2</w:t>
            </w:r>
          </w:p>
        </w:tc>
        <w:tc>
          <w:tcPr>
            <w:tcW w:w="1200" w:type="dxa"/>
          </w:tcPr>
          <w:p w14:paraId="0934DAAD" w14:textId="77777777" w:rsidR="000403B8" w:rsidRPr="00A81E0C" w:rsidRDefault="00AC7B1E">
            <w:pPr>
              <w:jc w:val="center"/>
            </w:pPr>
            <w:r w:rsidRPr="00A81E0C">
              <w:rPr>
                <w:rFonts w:ascii="Arial" w:eastAsia="Arial" w:hAnsi="Arial" w:cs="Arial"/>
                <w:sz w:val="18"/>
              </w:rPr>
              <w:t>5</w:t>
            </w:r>
          </w:p>
        </w:tc>
      </w:tr>
      <w:tr w:rsidR="000403B8" w:rsidRPr="00A81E0C" w14:paraId="6A292C92" w14:textId="77777777">
        <w:trPr>
          <w:cantSplit/>
          <w:jc w:val="center"/>
        </w:trPr>
        <w:tc>
          <w:tcPr>
            <w:tcW w:w="1300" w:type="dxa"/>
          </w:tcPr>
          <w:p w14:paraId="17BD3E10" w14:textId="77777777" w:rsidR="000403B8" w:rsidRPr="00A81E0C" w:rsidRDefault="00AC7B1E">
            <w:r w:rsidRPr="00A81E0C">
              <w:rPr>
                <w:rFonts w:ascii="Arial" w:eastAsia="Arial" w:hAnsi="Arial" w:cs="Arial"/>
                <w:sz w:val="18"/>
              </w:rPr>
              <w:t>SLF-2602</w:t>
            </w:r>
          </w:p>
        </w:tc>
        <w:tc>
          <w:tcPr>
            <w:tcW w:w="4308" w:type="dxa"/>
          </w:tcPr>
          <w:p w14:paraId="5202A475" w14:textId="77777777" w:rsidR="000403B8" w:rsidRPr="00A81E0C" w:rsidRDefault="00AC7B1E">
            <w:r w:rsidRPr="00A81E0C">
              <w:rPr>
                <w:rFonts w:ascii="Arial" w:eastAsia="Arial" w:hAnsi="Arial" w:cs="Arial"/>
                <w:sz w:val="18"/>
              </w:rPr>
              <w:t>Sustainable and Intelligent Engineering</w:t>
            </w:r>
          </w:p>
        </w:tc>
        <w:tc>
          <w:tcPr>
            <w:tcW w:w="700" w:type="dxa"/>
          </w:tcPr>
          <w:p w14:paraId="4A6C02A1" w14:textId="77777777" w:rsidR="000403B8" w:rsidRPr="00A81E0C" w:rsidRDefault="00AC7B1E">
            <w:pPr>
              <w:jc w:val="center"/>
            </w:pPr>
            <w:r w:rsidRPr="00A81E0C">
              <w:rPr>
                <w:rFonts w:ascii="Arial" w:eastAsia="Arial" w:hAnsi="Arial" w:cs="Arial"/>
                <w:sz w:val="18"/>
              </w:rPr>
              <w:t>3</w:t>
            </w:r>
          </w:p>
        </w:tc>
        <w:tc>
          <w:tcPr>
            <w:tcW w:w="700" w:type="dxa"/>
          </w:tcPr>
          <w:p w14:paraId="2CADCA6F" w14:textId="77777777" w:rsidR="000403B8" w:rsidRPr="00A81E0C" w:rsidRDefault="00AC7B1E">
            <w:pPr>
              <w:jc w:val="center"/>
            </w:pPr>
            <w:r w:rsidRPr="00A81E0C">
              <w:rPr>
                <w:rFonts w:ascii="Arial" w:eastAsia="Arial" w:hAnsi="Arial" w:cs="Arial"/>
                <w:sz w:val="18"/>
              </w:rPr>
              <w:t>2</w:t>
            </w:r>
          </w:p>
        </w:tc>
        <w:tc>
          <w:tcPr>
            <w:tcW w:w="1200" w:type="dxa"/>
          </w:tcPr>
          <w:p w14:paraId="223BC60A" w14:textId="77777777" w:rsidR="000403B8" w:rsidRPr="00A81E0C" w:rsidRDefault="00AC7B1E">
            <w:pPr>
              <w:jc w:val="center"/>
            </w:pPr>
            <w:r w:rsidRPr="00A81E0C">
              <w:rPr>
                <w:rFonts w:ascii="Arial" w:eastAsia="Arial" w:hAnsi="Arial" w:cs="Arial"/>
                <w:sz w:val="18"/>
              </w:rPr>
              <w:t>5</w:t>
            </w:r>
          </w:p>
        </w:tc>
      </w:tr>
      <w:tr w:rsidR="000403B8" w:rsidRPr="00A81E0C" w14:paraId="07B0DB9E" w14:textId="77777777">
        <w:trPr>
          <w:cantSplit/>
          <w:jc w:val="center"/>
        </w:trPr>
        <w:tc>
          <w:tcPr>
            <w:tcW w:w="1300" w:type="dxa"/>
          </w:tcPr>
          <w:p w14:paraId="489FCD0F" w14:textId="77777777" w:rsidR="000403B8" w:rsidRPr="00A81E0C" w:rsidRDefault="00AC7B1E">
            <w:r w:rsidRPr="00A81E0C">
              <w:rPr>
                <w:rFonts w:ascii="Arial" w:eastAsia="Arial" w:hAnsi="Arial" w:cs="Arial"/>
                <w:sz w:val="18"/>
              </w:rPr>
              <w:t>SLD-2603</w:t>
            </w:r>
          </w:p>
        </w:tc>
        <w:tc>
          <w:tcPr>
            <w:tcW w:w="4308" w:type="dxa"/>
          </w:tcPr>
          <w:p w14:paraId="358A8121" w14:textId="77777777" w:rsidR="000403B8" w:rsidRPr="00A81E0C" w:rsidRDefault="00AC7B1E">
            <w:r w:rsidRPr="00A81E0C">
              <w:rPr>
                <w:rFonts w:ascii="Arial" w:eastAsia="Arial" w:hAnsi="Arial" w:cs="Arial"/>
                <w:sz w:val="18"/>
              </w:rPr>
              <w:t>Six Sigma</w:t>
            </w:r>
          </w:p>
        </w:tc>
        <w:tc>
          <w:tcPr>
            <w:tcW w:w="700" w:type="dxa"/>
          </w:tcPr>
          <w:p w14:paraId="1D88B02C" w14:textId="77777777" w:rsidR="000403B8" w:rsidRPr="00A81E0C" w:rsidRDefault="00AC7B1E">
            <w:pPr>
              <w:jc w:val="center"/>
            </w:pPr>
            <w:r w:rsidRPr="00A81E0C">
              <w:rPr>
                <w:rFonts w:ascii="Arial" w:eastAsia="Arial" w:hAnsi="Arial" w:cs="Arial"/>
                <w:sz w:val="18"/>
              </w:rPr>
              <w:t>2</w:t>
            </w:r>
          </w:p>
        </w:tc>
        <w:tc>
          <w:tcPr>
            <w:tcW w:w="700" w:type="dxa"/>
          </w:tcPr>
          <w:p w14:paraId="1FDB5204" w14:textId="77777777" w:rsidR="000403B8" w:rsidRPr="00A81E0C" w:rsidRDefault="00AC7B1E">
            <w:pPr>
              <w:jc w:val="center"/>
            </w:pPr>
            <w:r w:rsidRPr="00A81E0C">
              <w:rPr>
                <w:rFonts w:ascii="Arial" w:eastAsia="Arial" w:hAnsi="Arial" w:cs="Arial"/>
                <w:sz w:val="18"/>
              </w:rPr>
              <w:t>3</w:t>
            </w:r>
          </w:p>
        </w:tc>
        <w:tc>
          <w:tcPr>
            <w:tcW w:w="1200" w:type="dxa"/>
          </w:tcPr>
          <w:p w14:paraId="3BE6289D" w14:textId="77777777" w:rsidR="000403B8" w:rsidRPr="00A81E0C" w:rsidRDefault="00AC7B1E">
            <w:pPr>
              <w:jc w:val="center"/>
            </w:pPr>
            <w:r w:rsidRPr="00A81E0C">
              <w:rPr>
                <w:rFonts w:ascii="Arial" w:eastAsia="Arial" w:hAnsi="Arial" w:cs="Arial"/>
                <w:sz w:val="18"/>
              </w:rPr>
              <w:t>5</w:t>
            </w:r>
          </w:p>
        </w:tc>
      </w:tr>
      <w:tr w:rsidR="000403B8" w:rsidRPr="00A81E0C" w14:paraId="0C56EAC9" w14:textId="77777777">
        <w:trPr>
          <w:cantSplit/>
          <w:jc w:val="center"/>
        </w:trPr>
        <w:tc>
          <w:tcPr>
            <w:tcW w:w="1300" w:type="dxa"/>
          </w:tcPr>
          <w:p w14:paraId="26E5E1F0" w14:textId="77777777" w:rsidR="000403B8" w:rsidRPr="00A81E0C" w:rsidRDefault="00AC7B1E">
            <w:r w:rsidRPr="00A81E0C">
              <w:rPr>
                <w:rFonts w:ascii="Arial" w:eastAsia="Arial" w:hAnsi="Arial" w:cs="Arial"/>
                <w:sz w:val="18"/>
              </w:rPr>
              <w:t>SLF-2604</w:t>
            </w:r>
          </w:p>
        </w:tc>
        <w:tc>
          <w:tcPr>
            <w:tcW w:w="4308" w:type="dxa"/>
          </w:tcPr>
          <w:p w14:paraId="5C198E1A" w14:textId="77777777" w:rsidR="000403B8" w:rsidRPr="00A81E0C" w:rsidRDefault="00AC7B1E">
            <w:r w:rsidRPr="00A81E0C">
              <w:rPr>
                <w:rFonts w:ascii="Arial" w:eastAsia="Arial" w:hAnsi="Arial" w:cs="Arial"/>
                <w:sz w:val="18"/>
              </w:rPr>
              <w:t>Cargo Logistics and Packaging Design</w:t>
            </w:r>
          </w:p>
        </w:tc>
        <w:tc>
          <w:tcPr>
            <w:tcW w:w="700" w:type="dxa"/>
          </w:tcPr>
          <w:p w14:paraId="5B6D5416" w14:textId="77777777" w:rsidR="000403B8" w:rsidRPr="00A81E0C" w:rsidRDefault="00AC7B1E">
            <w:pPr>
              <w:jc w:val="center"/>
            </w:pPr>
            <w:r w:rsidRPr="00A81E0C">
              <w:rPr>
                <w:rFonts w:ascii="Arial" w:eastAsia="Arial" w:hAnsi="Arial" w:cs="Arial"/>
                <w:sz w:val="18"/>
              </w:rPr>
              <w:t>3</w:t>
            </w:r>
          </w:p>
        </w:tc>
        <w:tc>
          <w:tcPr>
            <w:tcW w:w="700" w:type="dxa"/>
          </w:tcPr>
          <w:p w14:paraId="0C3FA544" w14:textId="77777777" w:rsidR="000403B8" w:rsidRPr="00A81E0C" w:rsidRDefault="00AC7B1E">
            <w:pPr>
              <w:jc w:val="center"/>
            </w:pPr>
            <w:r w:rsidRPr="00A81E0C">
              <w:rPr>
                <w:rFonts w:ascii="Arial" w:eastAsia="Arial" w:hAnsi="Arial" w:cs="Arial"/>
                <w:sz w:val="18"/>
              </w:rPr>
              <w:t>2</w:t>
            </w:r>
          </w:p>
        </w:tc>
        <w:tc>
          <w:tcPr>
            <w:tcW w:w="1200" w:type="dxa"/>
          </w:tcPr>
          <w:p w14:paraId="00B3C9F2" w14:textId="77777777" w:rsidR="000403B8" w:rsidRPr="00A81E0C" w:rsidRDefault="00AC7B1E">
            <w:pPr>
              <w:jc w:val="center"/>
            </w:pPr>
            <w:r w:rsidRPr="00A81E0C">
              <w:rPr>
                <w:rFonts w:ascii="Arial" w:eastAsia="Arial" w:hAnsi="Arial" w:cs="Arial"/>
                <w:sz w:val="18"/>
              </w:rPr>
              <w:t>5</w:t>
            </w:r>
          </w:p>
        </w:tc>
      </w:tr>
      <w:tr w:rsidR="000403B8" w:rsidRPr="00A81E0C" w14:paraId="1C61D4F5" w14:textId="77777777">
        <w:trPr>
          <w:cantSplit/>
          <w:jc w:val="center"/>
        </w:trPr>
        <w:tc>
          <w:tcPr>
            <w:tcW w:w="1300" w:type="dxa"/>
          </w:tcPr>
          <w:p w14:paraId="7D79D864" w14:textId="77777777" w:rsidR="000403B8" w:rsidRPr="00A81E0C" w:rsidRDefault="00AC7B1E">
            <w:r w:rsidRPr="00A81E0C">
              <w:rPr>
                <w:rFonts w:ascii="Arial" w:eastAsia="Arial" w:hAnsi="Arial" w:cs="Arial"/>
                <w:sz w:val="18"/>
              </w:rPr>
              <w:t>SLL-2605</w:t>
            </w:r>
          </w:p>
        </w:tc>
        <w:tc>
          <w:tcPr>
            <w:tcW w:w="4308" w:type="dxa"/>
          </w:tcPr>
          <w:p w14:paraId="466F6296" w14:textId="77777777" w:rsidR="000403B8" w:rsidRPr="00A81E0C" w:rsidRDefault="00AC7B1E">
            <w:r w:rsidRPr="00A81E0C">
              <w:rPr>
                <w:rFonts w:ascii="Arial" w:eastAsia="Arial" w:hAnsi="Arial" w:cs="Arial"/>
                <w:sz w:val="18"/>
              </w:rPr>
              <w:t>Logistics Systems Engineering</w:t>
            </w:r>
          </w:p>
        </w:tc>
        <w:tc>
          <w:tcPr>
            <w:tcW w:w="700" w:type="dxa"/>
          </w:tcPr>
          <w:p w14:paraId="3A25E617" w14:textId="77777777" w:rsidR="000403B8" w:rsidRPr="00A81E0C" w:rsidRDefault="00AC7B1E">
            <w:pPr>
              <w:jc w:val="center"/>
            </w:pPr>
            <w:r w:rsidRPr="00A81E0C">
              <w:rPr>
                <w:rFonts w:ascii="Arial" w:eastAsia="Arial" w:hAnsi="Arial" w:cs="Arial"/>
                <w:sz w:val="18"/>
              </w:rPr>
              <w:t>4</w:t>
            </w:r>
          </w:p>
        </w:tc>
        <w:tc>
          <w:tcPr>
            <w:tcW w:w="700" w:type="dxa"/>
          </w:tcPr>
          <w:p w14:paraId="5AF8D2C6" w14:textId="77777777" w:rsidR="000403B8" w:rsidRPr="00A81E0C" w:rsidRDefault="00AC7B1E">
            <w:pPr>
              <w:jc w:val="center"/>
            </w:pPr>
            <w:r w:rsidRPr="00A81E0C">
              <w:rPr>
                <w:rFonts w:ascii="Arial" w:eastAsia="Arial" w:hAnsi="Arial" w:cs="Arial"/>
                <w:sz w:val="18"/>
              </w:rPr>
              <w:t>1</w:t>
            </w:r>
          </w:p>
        </w:tc>
        <w:tc>
          <w:tcPr>
            <w:tcW w:w="1200" w:type="dxa"/>
          </w:tcPr>
          <w:p w14:paraId="16BAEEA4" w14:textId="77777777" w:rsidR="000403B8" w:rsidRPr="00A81E0C" w:rsidRDefault="00AC7B1E">
            <w:pPr>
              <w:jc w:val="center"/>
            </w:pPr>
            <w:r w:rsidRPr="00A81E0C">
              <w:rPr>
                <w:rFonts w:ascii="Arial" w:eastAsia="Arial" w:hAnsi="Arial" w:cs="Arial"/>
                <w:sz w:val="18"/>
              </w:rPr>
              <w:t>5</w:t>
            </w:r>
          </w:p>
        </w:tc>
      </w:tr>
      <w:tr w:rsidR="000403B8" w:rsidRPr="00A81E0C" w14:paraId="1A1B4FE3" w14:textId="77777777">
        <w:trPr>
          <w:cantSplit/>
          <w:jc w:val="center"/>
        </w:trPr>
        <w:tc>
          <w:tcPr>
            <w:tcW w:w="1300" w:type="dxa"/>
          </w:tcPr>
          <w:p w14:paraId="70338A80" w14:textId="77777777" w:rsidR="000403B8" w:rsidRPr="00A81E0C" w:rsidRDefault="00AC7B1E">
            <w:r w:rsidRPr="00A81E0C">
              <w:rPr>
                <w:rFonts w:ascii="Arial" w:eastAsia="Arial" w:hAnsi="Arial" w:cs="Arial"/>
                <w:sz w:val="18"/>
              </w:rPr>
              <w:t>SLG-2606</w:t>
            </w:r>
          </w:p>
        </w:tc>
        <w:tc>
          <w:tcPr>
            <w:tcW w:w="4308" w:type="dxa"/>
          </w:tcPr>
          <w:p w14:paraId="045545FE" w14:textId="77777777" w:rsidR="000403B8" w:rsidRPr="00A81E0C" w:rsidRDefault="00AC7B1E">
            <w:r w:rsidRPr="00A81E0C">
              <w:rPr>
                <w:rFonts w:ascii="Arial" w:eastAsia="Arial" w:hAnsi="Arial" w:cs="Arial"/>
                <w:sz w:val="18"/>
              </w:rPr>
              <w:t>Intelligent Warehouse and Transport Operations Engineering</w:t>
            </w:r>
          </w:p>
        </w:tc>
        <w:tc>
          <w:tcPr>
            <w:tcW w:w="700" w:type="dxa"/>
          </w:tcPr>
          <w:p w14:paraId="566ACD8E" w14:textId="77777777" w:rsidR="000403B8" w:rsidRPr="00A81E0C" w:rsidRDefault="00AC7B1E">
            <w:pPr>
              <w:jc w:val="center"/>
            </w:pPr>
            <w:r w:rsidRPr="00A81E0C">
              <w:rPr>
                <w:rFonts w:ascii="Arial" w:eastAsia="Arial" w:hAnsi="Arial" w:cs="Arial"/>
                <w:sz w:val="18"/>
              </w:rPr>
              <w:t>3</w:t>
            </w:r>
          </w:p>
        </w:tc>
        <w:tc>
          <w:tcPr>
            <w:tcW w:w="700" w:type="dxa"/>
          </w:tcPr>
          <w:p w14:paraId="5A5CA7D6" w14:textId="77777777" w:rsidR="000403B8" w:rsidRPr="00A81E0C" w:rsidRDefault="00AC7B1E">
            <w:pPr>
              <w:jc w:val="center"/>
            </w:pPr>
            <w:r w:rsidRPr="00A81E0C">
              <w:rPr>
                <w:rFonts w:ascii="Arial" w:eastAsia="Arial" w:hAnsi="Arial" w:cs="Arial"/>
                <w:sz w:val="18"/>
              </w:rPr>
              <w:t>3</w:t>
            </w:r>
          </w:p>
        </w:tc>
        <w:tc>
          <w:tcPr>
            <w:tcW w:w="1200" w:type="dxa"/>
          </w:tcPr>
          <w:p w14:paraId="2F9FA21F" w14:textId="77777777" w:rsidR="000403B8" w:rsidRPr="00A81E0C" w:rsidRDefault="00AC7B1E">
            <w:pPr>
              <w:jc w:val="center"/>
            </w:pPr>
            <w:r w:rsidRPr="00A81E0C">
              <w:rPr>
                <w:rFonts w:ascii="Arial" w:eastAsia="Arial" w:hAnsi="Arial" w:cs="Arial"/>
                <w:sz w:val="18"/>
              </w:rPr>
              <w:t>6</w:t>
            </w:r>
          </w:p>
        </w:tc>
      </w:tr>
      <w:tr w:rsidR="000403B8" w:rsidRPr="00A81E0C" w14:paraId="506D88C9" w14:textId="77777777">
        <w:trPr>
          <w:cantSplit/>
          <w:jc w:val="center"/>
        </w:trPr>
        <w:tc>
          <w:tcPr>
            <w:tcW w:w="1300" w:type="dxa"/>
            <w:tcBorders>
              <w:top w:val="single" w:sz="6" w:space="0" w:color="000000"/>
            </w:tcBorders>
          </w:tcPr>
          <w:p w14:paraId="24D47C07" w14:textId="77777777" w:rsidR="000403B8" w:rsidRPr="00A81E0C" w:rsidRDefault="000403B8"/>
        </w:tc>
        <w:tc>
          <w:tcPr>
            <w:tcW w:w="4308" w:type="dxa"/>
            <w:tcBorders>
              <w:top w:val="single" w:sz="6" w:space="0" w:color="000000"/>
            </w:tcBorders>
          </w:tcPr>
          <w:p w14:paraId="06A6D3BD" w14:textId="77777777" w:rsidR="000403B8" w:rsidRPr="00A81E0C" w:rsidRDefault="00AC7B1E">
            <w:r w:rsidRPr="00A81E0C">
              <w:rPr>
                <w:rFonts w:ascii="Arial" w:eastAsia="Arial" w:hAnsi="Arial" w:cs="Arial"/>
                <w:b/>
                <w:sz w:val="18"/>
              </w:rPr>
              <w:t>Total</w:t>
            </w:r>
          </w:p>
        </w:tc>
        <w:tc>
          <w:tcPr>
            <w:tcW w:w="700" w:type="dxa"/>
            <w:tcBorders>
              <w:top w:val="single" w:sz="6" w:space="0" w:color="000000"/>
            </w:tcBorders>
          </w:tcPr>
          <w:p w14:paraId="4915C02B" w14:textId="77777777" w:rsidR="000403B8" w:rsidRPr="00A81E0C" w:rsidRDefault="00AC7B1E">
            <w:pPr>
              <w:jc w:val="center"/>
            </w:pPr>
            <w:r w:rsidRPr="00A81E0C">
              <w:rPr>
                <w:rFonts w:ascii="Arial" w:eastAsia="Arial" w:hAnsi="Arial" w:cs="Arial"/>
                <w:b/>
                <w:sz w:val="18"/>
              </w:rPr>
              <w:t>18</w:t>
            </w:r>
          </w:p>
        </w:tc>
        <w:tc>
          <w:tcPr>
            <w:tcW w:w="700" w:type="dxa"/>
            <w:tcBorders>
              <w:top w:val="single" w:sz="6" w:space="0" w:color="000000"/>
            </w:tcBorders>
          </w:tcPr>
          <w:p w14:paraId="627A0889" w14:textId="77777777" w:rsidR="000403B8" w:rsidRPr="00A81E0C" w:rsidRDefault="00AC7B1E">
            <w:pPr>
              <w:jc w:val="center"/>
            </w:pPr>
            <w:r w:rsidRPr="00A81E0C">
              <w:rPr>
                <w:rFonts w:ascii="Arial" w:eastAsia="Arial" w:hAnsi="Arial" w:cs="Arial"/>
                <w:b/>
                <w:sz w:val="18"/>
              </w:rPr>
              <w:t>13</w:t>
            </w:r>
          </w:p>
        </w:tc>
        <w:tc>
          <w:tcPr>
            <w:tcW w:w="1200" w:type="dxa"/>
            <w:tcBorders>
              <w:top w:val="single" w:sz="6" w:space="0" w:color="000000"/>
            </w:tcBorders>
          </w:tcPr>
          <w:p w14:paraId="7EA66494" w14:textId="77777777" w:rsidR="000403B8" w:rsidRPr="00A81E0C" w:rsidRDefault="00AC7B1E">
            <w:pPr>
              <w:jc w:val="center"/>
            </w:pPr>
            <w:r w:rsidRPr="00A81E0C">
              <w:rPr>
                <w:rFonts w:ascii="Arial" w:eastAsia="Arial" w:hAnsi="Arial" w:cs="Arial"/>
                <w:b/>
                <w:sz w:val="18"/>
              </w:rPr>
              <w:t>31</w:t>
            </w:r>
          </w:p>
        </w:tc>
      </w:tr>
    </w:tbl>
    <w:p w14:paraId="15256D26" w14:textId="77777777" w:rsidR="000403B8" w:rsidRPr="00A81E0C" w:rsidRDefault="00AC7B1E">
      <w:pPr>
        <w:pStyle w:val="Body"/>
        <w:spacing w:before="40" w:after="0"/>
        <w:jc w:val="left"/>
      </w:pPr>
      <w:proofErr w:type="spellStart"/>
      <w:r w:rsidRPr="00A81E0C">
        <w:rPr>
          <w:rFonts w:ascii="Arial" w:eastAsia="Arial" w:hAnsi="Arial" w:cs="Arial"/>
          <w:sz w:val="17"/>
          <w:vertAlign w:val="superscript"/>
        </w:rPr>
        <w:lastRenderedPageBreak/>
        <w:t>a</w:t>
      </w:r>
      <w:r w:rsidRPr="00A81E0C">
        <w:rPr>
          <w:rFonts w:ascii="Arial" w:eastAsia="Arial" w:hAnsi="Arial" w:cs="Arial"/>
          <w:sz w:val="17"/>
        </w:rPr>
        <w:t>Theory</w:t>
      </w:r>
      <w:proofErr w:type="spellEnd"/>
      <w:r w:rsidRPr="00A81E0C">
        <w:rPr>
          <w:rFonts w:ascii="Arial" w:eastAsia="Arial" w:hAnsi="Arial" w:cs="Arial"/>
          <w:sz w:val="17"/>
        </w:rPr>
        <w:t xml:space="preserve"> hours per week. </w:t>
      </w:r>
      <w:proofErr w:type="spellStart"/>
      <w:r w:rsidRPr="00A81E0C">
        <w:rPr>
          <w:rFonts w:ascii="Arial" w:eastAsia="Arial" w:hAnsi="Arial" w:cs="Arial"/>
          <w:sz w:val="17"/>
          <w:vertAlign w:val="superscript"/>
        </w:rPr>
        <w:t>b</w:t>
      </w:r>
      <w:r w:rsidRPr="00A81E0C">
        <w:rPr>
          <w:rFonts w:ascii="Arial" w:eastAsia="Arial" w:hAnsi="Arial" w:cs="Arial"/>
          <w:sz w:val="17"/>
        </w:rPr>
        <w:t>Practice</w:t>
      </w:r>
      <w:proofErr w:type="spellEnd"/>
      <w:r w:rsidRPr="00A81E0C">
        <w:rPr>
          <w:rFonts w:ascii="Arial" w:eastAsia="Arial" w:hAnsi="Arial" w:cs="Arial"/>
          <w:sz w:val="17"/>
        </w:rPr>
        <w:t xml:space="preserve"> hours per week. SATCA = Academic Credit Allocation and Transfer System.</w:t>
      </w:r>
    </w:p>
    <w:p w14:paraId="57D91462" w14:textId="77777777" w:rsidR="000403B8" w:rsidRPr="00A81E0C" w:rsidRDefault="00AC7B1E">
      <w:pPr>
        <w:pStyle w:val="Body"/>
        <w:spacing w:after="160"/>
        <w:jc w:val="left"/>
      </w:pPr>
      <w:r w:rsidRPr="00A81E0C">
        <w:rPr>
          <w:rFonts w:ascii="Arial" w:eastAsia="Arial" w:hAnsi="Arial" w:cs="Arial"/>
          <w:sz w:val="17"/>
        </w:rPr>
        <w:t>Source: prepared by the authors from the curricular proposal of the Specialization in Intelligent Logistics Systems, Academy of Industrial Engineering, ITC-</w:t>
      </w:r>
      <w:proofErr w:type="spellStart"/>
      <w:r w:rsidRPr="00A81E0C">
        <w:rPr>
          <w:rFonts w:ascii="Arial" w:eastAsia="Arial" w:hAnsi="Arial" w:cs="Arial"/>
          <w:sz w:val="17"/>
        </w:rPr>
        <w:t>TecNM</w:t>
      </w:r>
      <w:proofErr w:type="spellEnd"/>
      <w:r w:rsidRPr="00A81E0C">
        <w:rPr>
          <w:rFonts w:ascii="Arial" w:eastAsia="Arial" w:hAnsi="Arial" w:cs="Arial"/>
          <w:sz w:val="17"/>
        </w:rPr>
        <w:t>, 2026.</w:t>
      </w:r>
    </w:p>
    <w:p w14:paraId="3DEFDBAD" w14:textId="77777777" w:rsidR="000403B8" w:rsidRPr="00A81E0C" w:rsidRDefault="00AC7B1E">
      <w:pPr>
        <w:pStyle w:val="Body"/>
        <w:spacing w:after="160"/>
      </w:pPr>
      <w:r w:rsidRPr="00A81E0C">
        <w:rPr>
          <w:rFonts w:ascii="Arial" w:eastAsia="Arial" w:hAnsi="Arial" w:cs="Arial"/>
        </w:rPr>
        <w:t>The program has 18 classrooms of its own, each with a projector, an interactive whiteboard and wireless connectivity, as well as six operational laboratories and shared spaces for group work. The computer laboratory has 30 workstations and an interactive whiteboard, and another 58 general-use computers are available elsewhere in the Institute. Whole class groups can therefore work with specialized software at the same time.</w:t>
      </w:r>
    </w:p>
    <w:p w14:paraId="35CB6127" w14:textId="77777777" w:rsidR="000403B8" w:rsidRPr="00A81E0C" w:rsidRDefault="00AC7B1E">
      <w:pPr>
        <w:pStyle w:val="Body"/>
        <w:spacing w:after="160"/>
      </w:pPr>
      <w:r w:rsidRPr="00A81E0C">
        <w:rPr>
          <w:rFonts w:ascii="Arial" w:eastAsia="Arial" w:hAnsi="Arial" w:cs="Arial"/>
        </w:rPr>
        <w:t xml:space="preserve">The analysis did reveal a specific technological gap. The program has no Logistics 4.0 tools of its own, such as warehouse management systems (WMS), supply chain visibility platforms or modules for logistics data analysis. Recent studies identify these digital competences as the ones most sought by the logistics sector in Mexico and Latin America (Guadarrama </w:t>
      </w:r>
      <w:proofErr w:type="spellStart"/>
      <w:r w:rsidRPr="00A81E0C">
        <w:rPr>
          <w:rFonts w:ascii="Arial" w:eastAsia="Arial" w:hAnsi="Arial" w:cs="Arial"/>
        </w:rPr>
        <w:t>Atrizco</w:t>
      </w:r>
      <w:proofErr w:type="spellEnd"/>
      <w:r w:rsidRPr="00A81E0C">
        <w:rPr>
          <w:rFonts w:ascii="Arial" w:eastAsia="Arial" w:hAnsi="Arial" w:cs="Arial"/>
        </w:rPr>
        <w:t xml:space="preserve"> &amp; Pedraza Amador, 2025; KPMG, 2023). The shortfall limits the program today. It is also the area where improvement would have the most direct effect on graduate employability.</w:t>
      </w:r>
    </w:p>
    <w:p w14:paraId="565ADED2" w14:textId="77777777" w:rsidR="000403B8" w:rsidRPr="00A81E0C" w:rsidRDefault="00AC7B1E">
      <w:pPr>
        <w:pStyle w:val="Body"/>
        <w:keepNext/>
        <w:spacing w:before="80" w:after="80"/>
        <w:jc w:val="left"/>
      </w:pPr>
      <w:r w:rsidRPr="00A81E0C">
        <w:rPr>
          <w:rFonts w:ascii="Arial" w:eastAsia="Arial" w:hAnsi="Arial" w:cs="Arial"/>
          <w:b/>
          <w:sz w:val="22"/>
        </w:rPr>
        <w:t>3.5 Industry Linkage through Professional Residencies</w:t>
      </w:r>
    </w:p>
    <w:p w14:paraId="77230D54" w14:textId="77777777" w:rsidR="000403B8" w:rsidRPr="00A81E0C" w:rsidRDefault="00AC7B1E">
      <w:pPr>
        <w:pStyle w:val="Body"/>
        <w:spacing w:after="160"/>
      </w:pPr>
      <w:r w:rsidRPr="00A81E0C">
        <w:rPr>
          <w:rFonts w:ascii="Arial" w:eastAsia="Arial" w:hAnsi="Arial" w:cs="Arial"/>
        </w:rPr>
        <w:t>The professional residency is the program's main link with the productive sector, and 95.4% of graduates use it as their route to the degree. Each residency project runs for four to six months (500 hours) in a company and addresses a real problem in that workplace. The projects also feed back into the curriculum. Problems that residents encounter in industry help the Academy update course content and reinforce specific competences in the classroom.</w:t>
      </w:r>
    </w:p>
    <w:p w14:paraId="16C35710" w14:textId="77777777" w:rsidR="000403B8" w:rsidRPr="00A81E0C" w:rsidRDefault="00AC7B1E">
      <w:pPr>
        <w:pStyle w:val="Body"/>
        <w:spacing w:after="160"/>
      </w:pPr>
      <w:r w:rsidRPr="00A81E0C">
        <w:rPr>
          <w:rFonts w:ascii="Arial" w:eastAsia="Arial" w:hAnsi="Arial" w:cs="Arial"/>
        </w:rPr>
        <w:t>For the Specialization in Intelligent Logistics Systems, residencies in firms of the Manzanillo port cluster, such as customs brokers, logistics operators, multimodal transport companies and distribution centers, are the clearest evidence of insertion into the sector. One priority of the improvement plan is to formalize this channel through institutional agreements with port operators.</w:t>
      </w:r>
    </w:p>
    <w:p w14:paraId="5EEFCAEA" w14:textId="77777777" w:rsidR="000403B8" w:rsidRPr="00A81E0C" w:rsidRDefault="00AC7B1E">
      <w:pPr>
        <w:pStyle w:val="Body"/>
        <w:spacing w:after="160"/>
      </w:pPr>
      <w:r w:rsidRPr="00A81E0C">
        <w:rPr>
          <w:rFonts w:ascii="Arial" w:eastAsia="Arial" w:hAnsi="Arial" w:cs="Arial"/>
        </w:rPr>
        <w:t>Industry linkage is also visible in the faculty profile. With 88.2% of professors bringing prior industrial experience, theoretical content tends to be anchored in real problems. This is consistent with the high employment expectations recorded in the survey (78.1%), although the present data do not allow a causal relationship between the two to be established.</w:t>
      </w:r>
    </w:p>
    <w:p w14:paraId="30486580" w14:textId="77777777" w:rsidR="000403B8" w:rsidRPr="00A81E0C" w:rsidRDefault="00AC7B1E">
      <w:pPr>
        <w:pStyle w:val="Body"/>
        <w:keepNext/>
        <w:spacing w:before="80" w:after="80"/>
        <w:jc w:val="left"/>
      </w:pPr>
      <w:r w:rsidRPr="00A81E0C">
        <w:rPr>
          <w:rFonts w:ascii="Arial" w:eastAsia="Arial" w:hAnsi="Arial" w:cs="Arial"/>
          <w:b/>
          <w:sz w:val="22"/>
        </w:rPr>
        <w:t>3.6 Operational Action Plan and Key Performance Indicators, 2026–2029</w:t>
      </w:r>
    </w:p>
    <w:p w14:paraId="646AA7F4" w14:textId="77777777" w:rsidR="000403B8" w:rsidRPr="00A81E0C" w:rsidRDefault="00AC7B1E">
      <w:pPr>
        <w:pStyle w:val="Body"/>
        <w:spacing w:after="160"/>
      </w:pPr>
      <w:r w:rsidRPr="00A81E0C">
        <w:rPr>
          <w:rFonts w:ascii="Arial" w:eastAsia="Arial" w:hAnsi="Arial" w:cs="Arial"/>
        </w:rPr>
        <w:t>Drawing on the observations from the evaluation process and on the prospective analysis, the Academy of Industrial Engineering proposes the actions listed in Table 5 for the 2026–2029 period. Each action is paired with key performance indicators (KPIs) so that progress can be measured objectively.</w:t>
      </w:r>
    </w:p>
    <w:p w14:paraId="6ABA2E47" w14:textId="77777777" w:rsidR="000403B8" w:rsidRPr="00A81E0C" w:rsidRDefault="00AC7B1E">
      <w:pPr>
        <w:pStyle w:val="Body"/>
        <w:keepNext/>
        <w:spacing w:before="120" w:after="80"/>
        <w:jc w:val="left"/>
      </w:pPr>
      <w:r w:rsidRPr="00A81E0C">
        <w:rPr>
          <w:rFonts w:ascii="Arial" w:eastAsia="Arial" w:hAnsi="Arial" w:cs="Arial"/>
          <w:b/>
        </w:rPr>
        <w:t>Table 5. Operational action plan to strengthen the Specialization in Intelligent Logistics Systems at ITC-</w:t>
      </w:r>
      <w:proofErr w:type="spellStart"/>
      <w:r w:rsidRPr="00A81E0C">
        <w:rPr>
          <w:rFonts w:ascii="Arial" w:eastAsia="Arial" w:hAnsi="Arial" w:cs="Arial"/>
          <w:b/>
        </w:rPr>
        <w:t>TecNM</w:t>
      </w:r>
      <w:proofErr w:type="spellEnd"/>
      <w:r w:rsidRPr="00A81E0C">
        <w:rPr>
          <w:rFonts w:ascii="Arial" w:eastAsia="Arial" w:hAnsi="Arial" w:cs="Arial"/>
          <w:b/>
        </w:rPr>
        <w:t>, 2026–2029</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2800"/>
        <w:gridCol w:w="2700"/>
        <w:gridCol w:w="1000"/>
        <w:gridCol w:w="1708"/>
      </w:tblGrid>
      <w:tr w:rsidR="000403B8" w:rsidRPr="00A81E0C" w14:paraId="443AADE8" w14:textId="77777777">
        <w:trPr>
          <w:cantSplit/>
          <w:tblHeader/>
          <w:jc w:val="center"/>
        </w:trPr>
        <w:tc>
          <w:tcPr>
            <w:tcW w:w="2800" w:type="dxa"/>
            <w:tcBorders>
              <w:bottom w:val="single" w:sz="6" w:space="0" w:color="000000"/>
            </w:tcBorders>
          </w:tcPr>
          <w:p w14:paraId="038E568D" w14:textId="77777777" w:rsidR="000403B8" w:rsidRPr="00A81E0C" w:rsidRDefault="00AC7B1E">
            <w:pPr>
              <w:jc w:val="center"/>
            </w:pPr>
            <w:r w:rsidRPr="00A81E0C">
              <w:rPr>
                <w:rFonts w:ascii="Arial" w:eastAsia="Arial" w:hAnsi="Arial" w:cs="Arial"/>
                <w:b/>
                <w:sz w:val="18"/>
              </w:rPr>
              <w:t>Action</w:t>
            </w:r>
          </w:p>
        </w:tc>
        <w:tc>
          <w:tcPr>
            <w:tcW w:w="2700" w:type="dxa"/>
            <w:tcBorders>
              <w:bottom w:val="single" w:sz="6" w:space="0" w:color="000000"/>
            </w:tcBorders>
          </w:tcPr>
          <w:p w14:paraId="069B2343" w14:textId="77777777" w:rsidR="000403B8" w:rsidRPr="00A81E0C" w:rsidRDefault="00AC7B1E">
            <w:pPr>
              <w:jc w:val="center"/>
            </w:pPr>
            <w:r w:rsidRPr="00A81E0C">
              <w:rPr>
                <w:rFonts w:ascii="Arial" w:eastAsia="Arial" w:hAnsi="Arial" w:cs="Arial"/>
                <w:b/>
                <w:sz w:val="18"/>
              </w:rPr>
              <w:t>Monitoring indicator (KPI)</w:t>
            </w:r>
          </w:p>
        </w:tc>
        <w:tc>
          <w:tcPr>
            <w:tcW w:w="1000" w:type="dxa"/>
            <w:tcBorders>
              <w:bottom w:val="single" w:sz="6" w:space="0" w:color="000000"/>
            </w:tcBorders>
          </w:tcPr>
          <w:p w14:paraId="08A4721F" w14:textId="77777777" w:rsidR="000403B8" w:rsidRPr="00A81E0C" w:rsidRDefault="00AC7B1E">
            <w:pPr>
              <w:jc w:val="center"/>
            </w:pPr>
            <w:r w:rsidRPr="00A81E0C">
              <w:rPr>
                <w:rFonts w:ascii="Arial" w:eastAsia="Arial" w:hAnsi="Arial" w:cs="Arial"/>
                <w:b/>
                <w:sz w:val="18"/>
              </w:rPr>
              <w:t>Target date</w:t>
            </w:r>
          </w:p>
        </w:tc>
        <w:tc>
          <w:tcPr>
            <w:tcW w:w="1708" w:type="dxa"/>
            <w:tcBorders>
              <w:bottom w:val="single" w:sz="6" w:space="0" w:color="000000"/>
            </w:tcBorders>
          </w:tcPr>
          <w:p w14:paraId="27BACC41" w14:textId="77777777" w:rsidR="000403B8" w:rsidRPr="00A81E0C" w:rsidRDefault="00AC7B1E">
            <w:pPr>
              <w:jc w:val="center"/>
            </w:pPr>
            <w:r w:rsidRPr="00A81E0C">
              <w:rPr>
                <w:rFonts w:ascii="Arial" w:eastAsia="Arial" w:hAnsi="Arial" w:cs="Arial"/>
                <w:b/>
                <w:sz w:val="18"/>
              </w:rPr>
              <w:t>Responsible unit</w:t>
            </w:r>
          </w:p>
        </w:tc>
      </w:tr>
      <w:tr w:rsidR="000403B8" w:rsidRPr="00A81E0C" w14:paraId="22C5F065" w14:textId="77777777">
        <w:trPr>
          <w:cantSplit/>
          <w:jc w:val="center"/>
        </w:trPr>
        <w:tc>
          <w:tcPr>
            <w:tcW w:w="2800" w:type="dxa"/>
          </w:tcPr>
          <w:p w14:paraId="1A2E8463" w14:textId="77777777" w:rsidR="000403B8" w:rsidRPr="00A81E0C" w:rsidRDefault="00AC7B1E">
            <w:r w:rsidRPr="00A81E0C">
              <w:rPr>
                <w:rFonts w:ascii="Arial" w:eastAsia="Arial" w:hAnsi="Arial" w:cs="Arial"/>
                <w:sz w:val="18"/>
              </w:rPr>
              <w:t>1. Acquire an educational WMS license (SAP EWM Student Edition)</w:t>
            </w:r>
          </w:p>
        </w:tc>
        <w:tc>
          <w:tcPr>
            <w:tcW w:w="2700" w:type="dxa"/>
          </w:tcPr>
          <w:p w14:paraId="05997B0C" w14:textId="77777777" w:rsidR="000403B8" w:rsidRPr="00A81E0C" w:rsidRDefault="00AC7B1E">
            <w:r w:rsidRPr="00A81E0C">
              <w:rPr>
                <w:rFonts w:ascii="Arial" w:eastAsia="Arial" w:hAnsi="Arial" w:cs="Arial"/>
                <w:sz w:val="18"/>
              </w:rPr>
              <w:t>License active; ≥ 80% of specialization students with access</w:t>
            </w:r>
          </w:p>
        </w:tc>
        <w:tc>
          <w:tcPr>
            <w:tcW w:w="1000" w:type="dxa"/>
          </w:tcPr>
          <w:p w14:paraId="6C122DDC" w14:textId="77777777" w:rsidR="000403B8" w:rsidRPr="00A81E0C" w:rsidRDefault="00AC7B1E">
            <w:pPr>
              <w:jc w:val="center"/>
            </w:pPr>
            <w:r w:rsidRPr="00A81E0C">
              <w:rPr>
                <w:rFonts w:ascii="Arial" w:eastAsia="Arial" w:hAnsi="Arial" w:cs="Arial"/>
                <w:sz w:val="18"/>
              </w:rPr>
              <w:t>Dec. 2026</w:t>
            </w:r>
          </w:p>
        </w:tc>
        <w:tc>
          <w:tcPr>
            <w:tcW w:w="1708" w:type="dxa"/>
          </w:tcPr>
          <w:p w14:paraId="10763B19" w14:textId="77777777" w:rsidR="000403B8" w:rsidRPr="00A81E0C" w:rsidRDefault="00AC7B1E">
            <w:r w:rsidRPr="00A81E0C">
              <w:rPr>
                <w:rFonts w:ascii="Arial" w:eastAsia="Arial" w:hAnsi="Arial" w:cs="Arial"/>
                <w:sz w:val="18"/>
              </w:rPr>
              <w:t>Head of the Department of Industrial Engineering</w:t>
            </w:r>
          </w:p>
        </w:tc>
      </w:tr>
      <w:tr w:rsidR="000403B8" w:rsidRPr="00A81E0C" w14:paraId="7D7C89DD" w14:textId="77777777">
        <w:trPr>
          <w:cantSplit/>
          <w:jc w:val="center"/>
        </w:trPr>
        <w:tc>
          <w:tcPr>
            <w:tcW w:w="2800" w:type="dxa"/>
          </w:tcPr>
          <w:p w14:paraId="1EA42304" w14:textId="77777777" w:rsidR="000403B8" w:rsidRPr="00A81E0C" w:rsidRDefault="00AC7B1E">
            <w:r w:rsidRPr="00A81E0C">
              <w:rPr>
                <w:rFonts w:ascii="Arial" w:eastAsia="Arial" w:hAnsi="Arial" w:cs="Arial"/>
                <w:sz w:val="18"/>
              </w:rPr>
              <w:t>2. Formalize new residency agreements with operators of the Manzanillo port cluster</w:t>
            </w:r>
          </w:p>
        </w:tc>
        <w:tc>
          <w:tcPr>
            <w:tcW w:w="2700" w:type="dxa"/>
          </w:tcPr>
          <w:p w14:paraId="19E01F81" w14:textId="77777777" w:rsidR="000403B8" w:rsidRPr="00A81E0C" w:rsidRDefault="00AC7B1E">
            <w:r w:rsidRPr="00A81E0C">
              <w:rPr>
                <w:rFonts w:ascii="Arial" w:eastAsia="Arial" w:hAnsi="Arial" w:cs="Arial"/>
                <w:sz w:val="18"/>
              </w:rPr>
              <w:t>Number of agreements signed; ≥ 30% of residents placed in the port-logistics sector</w:t>
            </w:r>
          </w:p>
        </w:tc>
        <w:tc>
          <w:tcPr>
            <w:tcW w:w="1000" w:type="dxa"/>
          </w:tcPr>
          <w:p w14:paraId="4625638A" w14:textId="77777777" w:rsidR="000403B8" w:rsidRPr="00A81E0C" w:rsidRDefault="00AC7B1E">
            <w:pPr>
              <w:jc w:val="center"/>
            </w:pPr>
            <w:r w:rsidRPr="00A81E0C">
              <w:rPr>
                <w:rFonts w:ascii="Arial" w:eastAsia="Arial" w:hAnsi="Arial" w:cs="Arial"/>
                <w:sz w:val="18"/>
              </w:rPr>
              <w:t>June 2027</w:t>
            </w:r>
          </w:p>
        </w:tc>
        <w:tc>
          <w:tcPr>
            <w:tcW w:w="1708" w:type="dxa"/>
          </w:tcPr>
          <w:p w14:paraId="23689082" w14:textId="77777777" w:rsidR="000403B8" w:rsidRPr="00A81E0C" w:rsidRDefault="00AC7B1E">
            <w:r w:rsidRPr="00A81E0C">
              <w:rPr>
                <w:rFonts w:ascii="Arial" w:eastAsia="Arial" w:hAnsi="Arial" w:cs="Arial"/>
                <w:sz w:val="18"/>
              </w:rPr>
              <w:t>Head of Linkage Projects</w:t>
            </w:r>
          </w:p>
        </w:tc>
      </w:tr>
      <w:tr w:rsidR="000403B8" w:rsidRPr="00A81E0C" w14:paraId="6FD2BE5E" w14:textId="77777777">
        <w:trPr>
          <w:cantSplit/>
          <w:jc w:val="center"/>
        </w:trPr>
        <w:tc>
          <w:tcPr>
            <w:tcW w:w="2800" w:type="dxa"/>
          </w:tcPr>
          <w:p w14:paraId="2DC1DDCB" w14:textId="77777777" w:rsidR="000403B8" w:rsidRPr="00A81E0C" w:rsidRDefault="00AC7B1E">
            <w:r w:rsidRPr="00A81E0C">
              <w:rPr>
                <w:rFonts w:ascii="Arial" w:eastAsia="Arial" w:hAnsi="Arial" w:cs="Arial"/>
                <w:sz w:val="18"/>
              </w:rPr>
              <w:lastRenderedPageBreak/>
              <w:t>3. Add a logistics data analytics module (Python/Power BI) to course INH-1020 Logistics and Supply Chains (Unit 5, Information Technology)</w:t>
            </w:r>
          </w:p>
        </w:tc>
        <w:tc>
          <w:tcPr>
            <w:tcW w:w="2700" w:type="dxa"/>
          </w:tcPr>
          <w:p w14:paraId="01668DFD" w14:textId="77777777" w:rsidR="000403B8" w:rsidRPr="00A81E0C" w:rsidRDefault="00AC7B1E">
            <w:r w:rsidRPr="00A81E0C">
              <w:rPr>
                <w:rFonts w:ascii="Arial" w:eastAsia="Arial" w:hAnsi="Arial" w:cs="Arial"/>
                <w:sz w:val="18"/>
              </w:rPr>
              <w:t>Modification approved; ≥ 75% of students pass the module</w:t>
            </w:r>
          </w:p>
        </w:tc>
        <w:tc>
          <w:tcPr>
            <w:tcW w:w="1000" w:type="dxa"/>
          </w:tcPr>
          <w:p w14:paraId="5661E333" w14:textId="77777777" w:rsidR="000403B8" w:rsidRPr="00A81E0C" w:rsidRDefault="00AC7B1E">
            <w:pPr>
              <w:jc w:val="center"/>
            </w:pPr>
            <w:r w:rsidRPr="00A81E0C">
              <w:rPr>
                <w:rFonts w:ascii="Arial" w:eastAsia="Arial" w:hAnsi="Arial" w:cs="Arial"/>
                <w:sz w:val="18"/>
              </w:rPr>
              <w:t>Aug. 2026</w:t>
            </w:r>
          </w:p>
        </w:tc>
        <w:tc>
          <w:tcPr>
            <w:tcW w:w="1708" w:type="dxa"/>
          </w:tcPr>
          <w:p w14:paraId="0455EF87" w14:textId="77777777" w:rsidR="000403B8" w:rsidRPr="00A81E0C" w:rsidRDefault="00AC7B1E">
            <w:r w:rsidRPr="00A81E0C">
              <w:rPr>
                <w:rFonts w:ascii="Arial" w:eastAsia="Arial" w:hAnsi="Arial" w:cs="Arial"/>
                <w:sz w:val="18"/>
              </w:rPr>
              <w:t>Academy of Industrial Engineering</w:t>
            </w:r>
          </w:p>
        </w:tc>
      </w:tr>
      <w:tr w:rsidR="000403B8" w:rsidRPr="00A81E0C" w14:paraId="19A8475D" w14:textId="77777777">
        <w:trPr>
          <w:cantSplit/>
          <w:jc w:val="center"/>
        </w:trPr>
        <w:tc>
          <w:tcPr>
            <w:tcW w:w="2800" w:type="dxa"/>
          </w:tcPr>
          <w:p w14:paraId="02DE226D" w14:textId="77777777" w:rsidR="000403B8" w:rsidRPr="00A81E0C" w:rsidRDefault="00AC7B1E">
            <w:r w:rsidRPr="00A81E0C">
              <w:rPr>
                <w:rFonts w:ascii="Arial" w:eastAsia="Arial" w:hAnsi="Arial" w:cs="Arial"/>
                <w:sz w:val="18"/>
              </w:rPr>
              <w:t>4. Strengthen outreach to enroll at least 120 new students per year</w:t>
            </w:r>
          </w:p>
        </w:tc>
        <w:tc>
          <w:tcPr>
            <w:tcW w:w="2700" w:type="dxa"/>
          </w:tcPr>
          <w:p w14:paraId="1EDB4FE5" w14:textId="77777777" w:rsidR="000403B8" w:rsidRPr="00A81E0C" w:rsidRDefault="00AC7B1E">
            <w:r w:rsidRPr="00A81E0C">
              <w:rPr>
                <w:rFonts w:ascii="Arial" w:eastAsia="Arial" w:hAnsi="Arial" w:cs="Arial"/>
                <w:sz w:val="18"/>
              </w:rPr>
              <w:t>Annual new enrollment ≥ 120; first-year retention ≥ 85%</w:t>
            </w:r>
          </w:p>
        </w:tc>
        <w:tc>
          <w:tcPr>
            <w:tcW w:w="1000" w:type="dxa"/>
          </w:tcPr>
          <w:p w14:paraId="5E94C2AF" w14:textId="77777777" w:rsidR="000403B8" w:rsidRPr="00A81E0C" w:rsidRDefault="00AC7B1E">
            <w:pPr>
              <w:jc w:val="center"/>
            </w:pPr>
            <w:r w:rsidRPr="00A81E0C">
              <w:rPr>
                <w:rFonts w:ascii="Arial" w:eastAsia="Arial" w:hAnsi="Arial" w:cs="Arial"/>
                <w:sz w:val="18"/>
              </w:rPr>
              <w:t>Aug. 2027</w:t>
            </w:r>
          </w:p>
        </w:tc>
        <w:tc>
          <w:tcPr>
            <w:tcW w:w="1708" w:type="dxa"/>
          </w:tcPr>
          <w:p w14:paraId="0BFD90CA" w14:textId="77777777" w:rsidR="000403B8" w:rsidRPr="00A81E0C" w:rsidRDefault="00AC7B1E">
            <w:r w:rsidRPr="00A81E0C">
              <w:rPr>
                <w:rFonts w:ascii="Arial" w:eastAsia="Arial" w:hAnsi="Arial" w:cs="Arial"/>
                <w:sz w:val="18"/>
              </w:rPr>
              <w:t>Head of Teaching</w:t>
            </w:r>
          </w:p>
        </w:tc>
      </w:tr>
      <w:tr w:rsidR="000403B8" w:rsidRPr="00A81E0C" w14:paraId="6D33BE8C" w14:textId="77777777">
        <w:trPr>
          <w:cantSplit/>
          <w:jc w:val="center"/>
        </w:trPr>
        <w:tc>
          <w:tcPr>
            <w:tcW w:w="2800" w:type="dxa"/>
          </w:tcPr>
          <w:p w14:paraId="67C6742E" w14:textId="77777777" w:rsidR="000403B8" w:rsidRPr="00A81E0C" w:rsidRDefault="00AC7B1E">
            <w:r w:rsidRPr="00A81E0C">
              <w:rPr>
                <w:rFonts w:ascii="Arial" w:eastAsia="Arial" w:hAnsi="Arial" w:cs="Arial"/>
                <w:sz w:val="18"/>
              </w:rPr>
              <w:t>5. Hire one research professor specialized in supply chain 4.0</w:t>
            </w:r>
          </w:p>
        </w:tc>
        <w:tc>
          <w:tcPr>
            <w:tcW w:w="2700" w:type="dxa"/>
          </w:tcPr>
          <w:p w14:paraId="4363E7CC" w14:textId="77777777" w:rsidR="000403B8" w:rsidRPr="00A81E0C" w:rsidRDefault="00AC7B1E">
            <w:r w:rsidRPr="00A81E0C">
              <w:rPr>
                <w:rFonts w:ascii="Arial" w:eastAsia="Arial" w:hAnsi="Arial" w:cs="Arial"/>
                <w:sz w:val="18"/>
              </w:rPr>
              <w:t>Position advertised and filled; ≥ 1 applied research project linked to the port cluster</w:t>
            </w:r>
          </w:p>
        </w:tc>
        <w:tc>
          <w:tcPr>
            <w:tcW w:w="1000" w:type="dxa"/>
          </w:tcPr>
          <w:p w14:paraId="6AC043D7" w14:textId="77777777" w:rsidR="000403B8" w:rsidRPr="00A81E0C" w:rsidRDefault="00AC7B1E">
            <w:pPr>
              <w:jc w:val="center"/>
            </w:pPr>
            <w:r w:rsidRPr="00A81E0C">
              <w:rPr>
                <w:rFonts w:ascii="Arial" w:eastAsia="Arial" w:hAnsi="Arial" w:cs="Arial"/>
                <w:sz w:val="18"/>
              </w:rPr>
              <w:t>Dec. 2027</w:t>
            </w:r>
          </w:p>
        </w:tc>
        <w:tc>
          <w:tcPr>
            <w:tcW w:w="1708" w:type="dxa"/>
          </w:tcPr>
          <w:p w14:paraId="6CF77AED" w14:textId="77777777" w:rsidR="000403B8" w:rsidRPr="00A81E0C" w:rsidRDefault="00AC7B1E">
            <w:r w:rsidRPr="00A81E0C">
              <w:rPr>
                <w:rFonts w:ascii="Arial" w:eastAsia="Arial" w:hAnsi="Arial" w:cs="Arial"/>
                <w:sz w:val="18"/>
              </w:rPr>
              <w:t>Academic Deputy Directorate</w:t>
            </w:r>
          </w:p>
        </w:tc>
      </w:tr>
    </w:tbl>
    <w:p w14:paraId="7521E2CA" w14:textId="77777777" w:rsidR="000403B8" w:rsidRPr="00A81E0C" w:rsidRDefault="00AC7B1E">
      <w:pPr>
        <w:pStyle w:val="Body"/>
        <w:spacing w:before="40" w:after="0"/>
        <w:jc w:val="left"/>
      </w:pPr>
      <w:r w:rsidRPr="00A81E0C">
        <w:rPr>
          <w:rFonts w:ascii="Arial" w:eastAsia="Arial" w:hAnsi="Arial" w:cs="Arial"/>
          <w:sz w:val="17"/>
        </w:rPr>
        <w:t>KPI = key performance indicator; WMS = warehouse management system.</w:t>
      </w:r>
    </w:p>
    <w:p w14:paraId="300648CF" w14:textId="77777777" w:rsidR="000403B8" w:rsidRPr="00A81E0C" w:rsidRDefault="00AC7B1E">
      <w:pPr>
        <w:pStyle w:val="Body"/>
        <w:spacing w:after="160"/>
        <w:jc w:val="left"/>
      </w:pPr>
      <w:r w:rsidRPr="00A81E0C">
        <w:rPr>
          <w:rFonts w:ascii="Arial" w:eastAsia="Arial" w:hAnsi="Arial" w:cs="Arial"/>
          <w:sz w:val="17"/>
        </w:rPr>
        <w:t>Source: prepared by the authors from the results of the relevance study of the Specialization in Intelligent Logistics Systems, ITC-</w:t>
      </w:r>
      <w:proofErr w:type="spellStart"/>
      <w:r w:rsidRPr="00A81E0C">
        <w:rPr>
          <w:rFonts w:ascii="Arial" w:eastAsia="Arial" w:hAnsi="Arial" w:cs="Arial"/>
          <w:sz w:val="17"/>
        </w:rPr>
        <w:t>TecNM</w:t>
      </w:r>
      <w:proofErr w:type="spellEnd"/>
      <w:r w:rsidRPr="00A81E0C">
        <w:rPr>
          <w:rFonts w:ascii="Arial" w:eastAsia="Arial" w:hAnsi="Arial" w:cs="Arial"/>
          <w:sz w:val="17"/>
        </w:rPr>
        <w:t>, 2026.</w:t>
      </w:r>
    </w:p>
    <w:p w14:paraId="7C23F68D" w14:textId="77777777" w:rsidR="000403B8" w:rsidRPr="00A81E0C" w:rsidRDefault="00AC7B1E">
      <w:pPr>
        <w:pStyle w:val="Body"/>
        <w:spacing w:after="160"/>
      </w:pPr>
      <w:r w:rsidRPr="00A81E0C">
        <w:rPr>
          <w:rFonts w:ascii="Arial" w:eastAsia="Arial" w:hAnsi="Arial" w:cs="Arial"/>
        </w:rPr>
        <w:t>The actions are ranked by their expected effect on graduate employability and curriculum renewal. The educational WMS license and the data analytics module in course INH-1020 Logistics and Supply Chains (Unit 5, Information Technology) have the greatest potential to close the gap described in Section 3.4. Residency agreements with port operators would formalize links that are now informal and give graduates a steadier path into the Manzanillo logistics cluster. The outreach and hiring measures address two conditions for sustaining the specialization over time: a sufficient intake of students and research capacity in supply chain 4.0.</w:t>
      </w:r>
    </w:p>
    <w:p w14:paraId="0AB678C3" w14:textId="77777777" w:rsidR="000403B8" w:rsidRPr="00A81E0C" w:rsidRDefault="00AC7B1E">
      <w:pPr>
        <w:pStyle w:val="Body"/>
        <w:keepNext/>
        <w:spacing w:before="80" w:after="80"/>
        <w:jc w:val="left"/>
      </w:pPr>
      <w:r w:rsidRPr="00A81E0C">
        <w:rPr>
          <w:rFonts w:ascii="Arial" w:eastAsia="Arial" w:hAnsi="Arial" w:cs="Arial"/>
          <w:b/>
          <w:sz w:val="22"/>
        </w:rPr>
        <w:t>3.7 Limitations and Future Research</w:t>
      </w:r>
    </w:p>
    <w:p w14:paraId="154375EF" w14:textId="77777777" w:rsidR="000403B8" w:rsidRPr="00A81E0C" w:rsidRDefault="00AC7B1E">
      <w:pPr>
        <w:pStyle w:val="Body"/>
        <w:spacing w:after="160"/>
      </w:pPr>
      <w:r w:rsidRPr="00A81E0C">
        <w:rPr>
          <w:rFonts w:ascii="Arial" w:eastAsia="Arial" w:hAnsi="Arial" w:cs="Arial"/>
        </w:rPr>
        <w:t xml:space="preserve">The study has five limitations. First, the academic indicators come from internal institutional sources and may carry self-reporting bias; future work should contrast them with data from the </w:t>
      </w:r>
      <w:proofErr w:type="spellStart"/>
      <w:r w:rsidRPr="00A81E0C">
        <w:rPr>
          <w:rFonts w:ascii="Arial" w:eastAsia="Arial" w:hAnsi="Arial" w:cs="Arial"/>
        </w:rPr>
        <w:t>TecNM</w:t>
      </w:r>
      <w:proofErr w:type="spellEnd"/>
      <w:r w:rsidRPr="00A81E0C">
        <w:rPr>
          <w:rFonts w:ascii="Arial" w:eastAsia="Arial" w:hAnsi="Arial" w:cs="Arial"/>
        </w:rPr>
        <w:t xml:space="preserve"> Institutional Information System. Second, although the survey reached almost the entire active population, it did not include the 42 students on temporary leave and may therefore understate the socioeconomic diversity of the group most exposed to dropout. Third, employability data for the port-logistics cluster are indirect. They were inferred from residency reports, because the program does not yet have a formal graduate follow-up system; developing one is planned for 2027. Fourth, the regional analysis was limited to the Centro-Occidente region (Colima, Jalisco, Michoacán and Nayarit). It left out demand from other states that move goods through Manzanillo, such as Guanajuato and Querétaro in the Bajío, where graduates could also find work. Fifth, the study did not measure directly the gap between graduates' competences and those required by employers, a question that calls for an employer survey.</w:t>
      </w:r>
    </w:p>
    <w:p w14:paraId="581001ED" w14:textId="77777777" w:rsidR="000403B8" w:rsidRPr="00A81E0C" w:rsidRDefault="00AC7B1E">
      <w:pPr>
        <w:pStyle w:val="Body"/>
        <w:spacing w:after="160"/>
      </w:pPr>
      <w:r w:rsidRPr="00A81E0C">
        <w:rPr>
          <w:rFonts w:ascii="Arial" w:eastAsia="Arial" w:hAnsi="Arial" w:cs="Arial"/>
        </w:rPr>
        <w:t xml:space="preserve">Three lines of research follow from these limitations: (a) a graduate tracer study with a standardized instrument to measure insertion into the port-logistics cluster; (b) a survey of logistics employers in western Mexico to map the competence gap; and (c) a comparison with </w:t>
      </w:r>
      <w:proofErr w:type="spellStart"/>
      <w:r w:rsidRPr="00A81E0C">
        <w:rPr>
          <w:rFonts w:ascii="Arial" w:eastAsia="Arial" w:hAnsi="Arial" w:cs="Arial"/>
        </w:rPr>
        <w:t>TecNM</w:t>
      </w:r>
      <w:proofErr w:type="spellEnd"/>
      <w:r w:rsidRPr="00A81E0C">
        <w:rPr>
          <w:rFonts w:ascii="Arial" w:eastAsia="Arial" w:hAnsi="Arial" w:cs="Arial"/>
        </w:rPr>
        <w:t xml:space="preserve"> institutes in other port settings, such as Veracruz, Lázaro Cárdenas and Ensenada, to identify good practices in managing logistics specializations. Longitudinal studies would also help to follow the effect of the specialization on graduates' careers and on regional development. Another open question is how competences in digital transformation, intelligent logistics and sustainability relate to employability and to the competitiveness of supply chains linked to the Manzanillo corridor. Such work would give the program an evidence base for continuous curriculum improvement.</w:t>
      </w:r>
    </w:p>
    <w:p w14:paraId="7926D276" w14:textId="77777777" w:rsidR="000403B8" w:rsidRPr="00A81E0C" w:rsidRDefault="000403B8">
      <w:pPr>
        <w:pStyle w:val="Body"/>
        <w:spacing w:after="0"/>
      </w:pPr>
    </w:p>
    <w:p w14:paraId="6164F240" w14:textId="77777777" w:rsidR="000403B8" w:rsidRPr="00A81E0C" w:rsidRDefault="00AC7B1E">
      <w:pPr>
        <w:pStyle w:val="ConcHead"/>
        <w:spacing w:after="120"/>
      </w:pPr>
      <w:r w:rsidRPr="00A81E0C">
        <w:rPr>
          <w:rFonts w:ascii="Arial" w:eastAsia="Arial" w:hAnsi="Arial" w:cs="Arial"/>
        </w:rPr>
        <w:lastRenderedPageBreak/>
        <w:t>4. CONCLUSION</w:t>
      </w:r>
    </w:p>
    <w:p w14:paraId="78AE64FA" w14:textId="77777777" w:rsidR="000403B8" w:rsidRPr="00A81E0C" w:rsidRDefault="00AC7B1E">
      <w:pPr>
        <w:pStyle w:val="Body"/>
        <w:spacing w:after="160"/>
      </w:pPr>
      <w:r w:rsidRPr="00A81E0C">
        <w:rPr>
          <w:rFonts w:ascii="Arial" w:eastAsia="Arial" w:hAnsi="Arial" w:cs="Arial"/>
        </w:rPr>
        <w:t>The Specialization in Intelligent Logistics Systems of the Industrial Engineering program at ITC-</w:t>
      </w:r>
      <w:proofErr w:type="spellStart"/>
      <w:r w:rsidRPr="00A81E0C">
        <w:rPr>
          <w:rFonts w:ascii="Arial" w:eastAsia="Arial" w:hAnsi="Arial" w:cs="Arial"/>
        </w:rPr>
        <w:t>TecNM</w:t>
      </w:r>
      <w:proofErr w:type="spellEnd"/>
      <w:r w:rsidRPr="00A81E0C">
        <w:rPr>
          <w:rFonts w:ascii="Arial" w:eastAsia="Arial" w:hAnsi="Arial" w:cs="Arial"/>
        </w:rPr>
        <w:t xml:space="preserve"> is relevant in both institutional and territorial terms. Favorable academic indicators, steady student interest and a regional economy organized around port logistics all lead to the same conclusion: the specialization responds to the needs of the productive sector and to the training interests of students.</w:t>
      </w:r>
    </w:p>
    <w:p w14:paraId="5564C1F5" w14:textId="77777777" w:rsidR="000403B8" w:rsidRPr="00A81E0C" w:rsidRDefault="00AC7B1E">
      <w:pPr>
        <w:pStyle w:val="Body"/>
        <w:spacing w:after="160"/>
      </w:pPr>
      <w:r w:rsidRPr="00A81E0C">
        <w:rPr>
          <w:rFonts w:ascii="Arial" w:eastAsia="Arial" w:hAnsi="Arial" w:cs="Arial"/>
        </w:rPr>
        <w:t>Manzanillo handles more than 3.6 million TEU a year and, according to port authority data, about 60% of Mexico's container traffic. The resulting demand for engineers with logistics skills is structural, and ITC-</w:t>
      </w:r>
      <w:proofErr w:type="spellStart"/>
      <w:r w:rsidRPr="00A81E0C">
        <w:rPr>
          <w:rFonts w:ascii="Arial" w:eastAsia="Arial" w:hAnsi="Arial" w:cs="Arial"/>
        </w:rPr>
        <w:t>TecNM</w:t>
      </w:r>
      <w:proofErr w:type="spellEnd"/>
      <w:r w:rsidRPr="00A81E0C">
        <w:rPr>
          <w:rFonts w:ascii="Arial" w:eastAsia="Arial" w:hAnsi="Arial" w:cs="Arial"/>
        </w:rPr>
        <w:t xml:space="preserve"> is in a position to meet it with a faculty experienced in industry, adequate infrastructure and an established residency system.</w:t>
      </w:r>
    </w:p>
    <w:p w14:paraId="1571A6A7" w14:textId="77777777" w:rsidR="000403B8" w:rsidRPr="00A81E0C" w:rsidRDefault="00AC7B1E">
      <w:pPr>
        <w:pStyle w:val="Body"/>
        <w:spacing w:after="160"/>
      </w:pPr>
      <w:r w:rsidRPr="00A81E0C">
        <w:rPr>
          <w:rFonts w:ascii="Arial" w:eastAsia="Arial" w:hAnsi="Arial" w:cs="Arial"/>
        </w:rPr>
        <w:t xml:space="preserve">The main weakness is the lack of Logistics 4.0 tools, particularly WMS, data analytics and supply chain visibility platforms. The 2026–2029 action plan sets out specific measures, responsible units and performance indicators to close that gap. If it is carried out, the specialization would be consolidated and could serve as a reference for other </w:t>
      </w:r>
      <w:proofErr w:type="spellStart"/>
      <w:r w:rsidRPr="00A81E0C">
        <w:rPr>
          <w:rFonts w:ascii="Arial" w:eastAsia="Arial" w:hAnsi="Arial" w:cs="Arial"/>
        </w:rPr>
        <w:t>TecNM</w:t>
      </w:r>
      <w:proofErr w:type="spellEnd"/>
      <w:r w:rsidRPr="00A81E0C">
        <w:rPr>
          <w:rFonts w:ascii="Arial" w:eastAsia="Arial" w:hAnsi="Arial" w:cs="Arial"/>
        </w:rPr>
        <w:t xml:space="preserve"> institutes located in regions with a strong logistics profile.</w:t>
      </w:r>
    </w:p>
    <w:p w14:paraId="4413158E" w14:textId="77777777" w:rsidR="000403B8" w:rsidRPr="00A81E0C" w:rsidRDefault="000403B8">
      <w:pPr>
        <w:pStyle w:val="Body"/>
        <w:spacing w:after="0"/>
      </w:pPr>
    </w:p>
    <w:p w14:paraId="6A9C7382" w14:textId="77777777" w:rsidR="000403B8" w:rsidRPr="00A81E0C" w:rsidRDefault="000403B8">
      <w:pPr>
        <w:pStyle w:val="Body"/>
        <w:spacing w:after="0"/>
      </w:pPr>
    </w:p>
    <w:p w14:paraId="0F083F83" w14:textId="77777777" w:rsidR="000403B8" w:rsidRPr="00A81E0C" w:rsidRDefault="00AC7B1E">
      <w:pPr>
        <w:pStyle w:val="ReferHead"/>
        <w:spacing w:after="120"/>
      </w:pPr>
      <w:r w:rsidRPr="00A81E0C">
        <w:rPr>
          <w:rFonts w:ascii="Arial" w:eastAsia="Arial" w:hAnsi="Arial" w:cs="Arial"/>
        </w:rPr>
        <w:t>COMPETING INTERESTS</w:t>
      </w:r>
    </w:p>
    <w:p w14:paraId="4A792CAD" w14:textId="77777777" w:rsidR="000403B8" w:rsidRPr="00A81E0C" w:rsidRDefault="00AC7B1E">
      <w:pPr>
        <w:pStyle w:val="Body"/>
        <w:spacing w:after="160"/>
      </w:pPr>
      <w:r w:rsidRPr="00A81E0C">
        <w:rPr>
          <w:rFonts w:ascii="Arial" w:eastAsia="Arial" w:hAnsi="Arial" w:cs="Arial"/>
        </w:rPr>
        <w:t>The authors are faculty members of the Industrial Engineering program evaluated in this study. They declare no financial or personal relationships that could have inappropriately influenced this work.</w:t>
      </w:r>
    </w:p>
    <w:p w14:paraId="25B3C982" w14:textId="77777777" w:rsidR="000403B8" w:rsidRPr="00A81E0C" w:rsidRDefault="000403B8">
      <w:pPr>
        <w:pStyle w:val="Body"/>
        <w:spacing w:after="0"/>
      </w:pPr>
    </w:p>
    <w:p w14:paraId="65FA0B7D" w14:textId="77777777" w:rsidR="000403B8" w:rsidRPr="00A81E0C" w:rsidRDefault="000403B8">
      <w:pPr>
        <w:pStyle w:val="Body"/>
        <w:spacing w:after="0"/>
      </w:pPr>
    </w:p>
    <w:p w14:paraId="44979EF7" w14:textId="77777777" w:rsidR="000403B8" w:rsidRPr="00A81E0C" w:rsidRDefault="00AC7B1E">
      <w:pPr>
        <w:pStyle w:val="ReferHead"/>
        <w:spacing w:after="120"/>
      </w:pPr>
      <w:r w:rsidRPr="00A81E0C">
        <w:rPr>
          <w:rFonts w:ascii="Arial" w:eastAsia="Arial" w:hAnsi="Arial" w:cs="Arial"/>
        </w:rPr>
        <w:t>ETHICAL APPROVAL</w:t>
      </w:r>
    </w:p>
    <w:p w14:paraId="07BA3A6F" w14:textId="3EA7C217" w:rsidR="000403B8" w:rsidRPr="00A81E0C" w:rsidRDefault="00AC7B1E">
      <w:pPr>
        <w:pStyle w:val="Body"/>
        <w:spacing w:after="160"/>
        <w:rPr>
          <w:rFonts w:ascii="Arial" w:eastAsia="Arial" w:hAnsi="Arial" w:cs="Arial"/>
        </w:rPr>
      </w:pPr>
      <w:r w:rsidRPr="00A81E0C">
        <w:rPr>
          <w:rFonts w:ascii="Arial" w:eastAsia="Arial" w:hAnsi="Arial" w:cs="Arial"/>
        </w:rPr>
        <w:t xml:space="preserve">The student survey was anonymous and voluntary, collected no personally identifying data, and respondents gave informed consent before answering. </w:t>
      </w:r>
    </w:p>
    <w:p w14:paraId="206E240D" w14:textId="77777777" w:rsidR="000E78FF" w:rsidRPr="00A81E0C" w:rsidRDefault="000E78FF">
      <w:pPr>
        <w:pStyle w:val="Body"/>
        <w:spacing w:after="160"/>
        <w:rPr>
          <w:rFonts w:ascii="Arial" w:eastAsia="Arial" w:hAnsi="Arial" w:cs="Arial"/>
        </w:rPr>
      </w:pPr>
    </w:p>
    <w:p w14:paraId="35EA4223" w14:textId="77777777" w:rsidR="000E78FF" w:rsidRPr="00A81E0C" w:rsidRDefault="000E78FF" w:rsidP="000E78FF">
      <w:pPr>
        <w:pStyle w:val="Body"/>
        <w:spacing w:after="0"/>
      </w:pPr>
      <w:r w:rsidRPr="00A81E0C">
        <w:rPr>
          <w:rFonts w:ascii="Arial" w:eastAsia="Arial" w:hAnsi="Arial" w:cs="Arial"/>
          <w:b/>
          <w:sz w:val="18"/>
        </w:rPr>
        <w:t>Abbreviations:</w:t>
      </w:r>
      <w:r w:rsidRPr="00A81E0C">
        <w:rPr>
          <w:rFonts w:ascii="Arial" w:eastAsia="Arial" w:hAnsi="Arial" w:cs="Arial"/>
          <w:sz w:val="18"/>
        </w:rPr>
        <w:t xml:space="preserve"> AMAN, Mexican Association of Shipping Agents (</w:t>
      </w:r>
      <w:proofErr w:type="spellStart"/>
      <w:r w:rsidRPr="00A81E0C">
        <w:rPr>
          <w:rFonts w:ascii="Arial" w:eastAsia="Arial" w:hAnsi="Arial" w:cs="Arial"/>
          <w:sz w:val="18"/>
        </w:rPr>
        <w:t>Asociación</w:t>
      </w:r>
      <w:proofErr w:type="spellEnd"/>
      <w:r w:rsidRPr="00A81E0C">
        <w:rPr>
          <w:rFonts w:ascii="Arial" w:eastAsia="Arial" w:hAnsi="Arial" w:cs="Arial"/>
          <w:sz w:val="18"/>
        </w:rPr>
        <w:t xml:space="preserve"> Mexicana de </w:t>
      </w:r>
      <w:proofErr w:type="spellStart"/>
      <w:r w:rsidRPr="00A81E0C">
        <w:rPr>
          <w:rFonts w:ascii="Arial" w:eastAsia="Arial" w:hAnsi="Arial" w:cs="Arial"/>
          <w:sz w:val="18"/>
        </w:rPr>
        <w:t>Agentes</w:t>
      </w:r>
      <w:proofErr w:type="spellEnd"/>
      <w:r w:rsidRPr="00A81E0C">
        <w:rPr>
          <w:rFonts w:ascii="Arial" w:eastAsia="Arial" w:hAnsi="Arial" w:cs="Arial"/>
          <w:sz w:val="18"/>
        </w:rPr>
        <w:t xml:space="preserve"> </w:t>
      </w:r>
      <w:proofErr w:type="spellStart"/>
      <w:r w:rsidRPr="00A81E0C">
        <w:rPr>
          <w:rFonts w:ascii="Arial" w:eastAsia="Arial" w:hAnsi="Arial" w:cs="Arial"/>
          <w:sz w:val="18"/>
        </w:rPr>
        <w:t>Navieros</w:t>
      </w:r>
      <w:proofErr w:type="spellEnd"/>
      <w:r w:rsidRPr="00A81E0C">
        <w:rPr>
          <w:rFonts w:ascii="Arial" w:eastAsia="Arial" w:hAnsi="Arial" w:cs="Arial"/>
          <w:sz w:val="18"/>
        </w:rPr>
        <w:t xml:space="preserve">); ANUIES, National Association of Universities and Higher Education Institutions; ASIPONA, National Port System Administration (Administración del Sistema </w:t>
      </w:r>
      <w:proofErr w:type="spellStart"/>
      <w:r w:rsidRPr="00A81E0C">
        <w:rPr>
          <w:rFonts w:ascii="Arial" w:eastAsia="Arial" w:hAnsi="Arial" w:cs="Arial"/>
          <w:sz w:val="18"/>
        </w:rPr>
        <w:t>Portuario</w:t>
      </w:r>
      <w:proofErr w:type="spellEnd"/>
      <w:r w:rsidRPr="00A81E0C">
        <w:rPr>
          <w:rFonts w:ascii="Arial" w:eastAsia="Arial" w:hAnsi="Arial" w:cs="Arial"/>
          <w:sz w:val="18"/>
        </w:rPr>
        <w:t xml:space="preserve"> Nacional); CACEI, Council for the Accreditation of Engineering Education; HEI, higher education institution; ITC, Instituto Tecnológico de Colima; KPI, key performance indicator; PRODEP, Program for the Professional Development of Teachers; SATCA, Academic Credit Allocation and Transfer System; SEMAR, Ministry of the Navy of Mexico; SICT, Ministry of Infrastructure, Communications and Transport of Mexico; SNII, National System of Researchers of Mexico; </w:t>
      </w:r>
      <w:proofErr w:type="spellStart"/>
      <w:r w:rsidRPr="00A81E0C">
        <w:rPr>
          <w:rFonts w:ascii="Arial" w:eastAsia="Arial" w:hAnsi="Arial" w:cs="Arial"/>
          <w:sz w:val="18"/>
        </w:rPr>
        <w:t>TecNM</w:t>
      </w:r>
      <w:proofErr w:type="spellEnd"/>
      <w:r w:rsidRPr="00A81E0C">
        <w:rPr>
          <w:rFonts w:ascii="Arial" w:eastAsia="Arial" w:hAnsi="Arial" w:cs="Arial"/>
          <w:sz w:val="18"/>
        </w:rPr>
        <w:t>, Tecnológico Nacional de México; TEU, twenty-foot equivalent unit; WMS, warehouse management system.</w:t>
      </w:r>
    </w:p>
    <w:p w14:paraId="255F6177" w14:textId="77777777" w:rsidR="000E78FF" w:rsidRDefault="000E78FF">
      <w:pPr>
        <w:pStyle w:val="Body"/>
        <w:spacing w:after="160"/>
      </w:pPr>
    </w:p>
    <w:p w14:paraId="74383A7E" w14:textId="77777777" w:rsidR="00716941" w:rsidRDefault="00716941">
      <w:pPr>
        <w:pStyle w:val="Body"/>
        <w:spacing w:after="160"/>
      </w:pPr>
    </w:p>
    <w:p w14:paraId="63627A25" w14:textId="77777777" w:rsidR="00716941" w:rsidRPr="00716941" w:rsidRDefault="00716941" w:rsidP="00716941">
      <w:pPr>
        <w:rPr>
          <w:rFonts w:ascii="Arial" w:eastAsiaTheme="minorHAnsi" w:hAnsi="Arial" w:cs="Arial"/>
          <w:b/>
        </w:rPr>
      </w:pPr>
      <w:bookmarkStart w:id="0" w:name="_Hlk238550938"/>
      <w:bookmarkStart w:id="1" w:name="_Hlk237856463"/>
      <w:r w:rsidRPr="00716941">
        <w:rPr>
          <w:rFonts w:ascii="Arial" w:eastAsiaTheme="minorHAnsi" w:hAnsi="Arial" w:cs="Arial"/>
          <w:b/>
        </w:rPr>
        <w:t>Declaration of AI Use</w:t>
      </w:r>
    </w:p>
    <w:p w14:paraId="53F4C285" w14:textId="77777777" w:rsidR="00716941" w:rsidRPr="00716941" w:rsidRDefault="00716941" w:rsidP="00716941">
      <w:pPr>
        <w:rPr>
          <w:rFonts w:ascii="Arial" w:eastAsiaTheme="minorHAnsi" w:hAnsi="Arial" w:cs="Arial"/>
        </w:rPr>
      </w:pPr>
      <w:bookmarkStart w:id="2" w:name="_Hlk239068730"/>
    </w:p>
    <w:p w14:paraId="6FD7436D" w14:textId="77777777" w:rsidR="00716941" w:rsidRPr="00716941" w:rsidRDefault="00716941" w:rsidP="00716941">
      <w:pPr>
        <w:rPr>
          <w:rFonts w:ascii="Arial" w:eastAsiaTheme="minorHAnsi" w:hAnsi="Arial" w:cs="Arial"/>
        </w:rPr>
      </w:pPr>
      <w:bookmarkStart w:id="3" w:name="_Hlk237862032"/>
      <w:r w:rsidRPr="00716941">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716941">
        <w:rPr>
          <w:rFonts w:ascii="Arial" w:eastAsiaTheme="minorHAnsi" w:hAnsi="Arial" w:cs="Arial"/>
        </w:rPr>
        <w:t>.</w:t>
      </w:r>
    </w:p>
    <w:bookmarkEnd w:id="1"/>
    <w:bookmarkEnd w:id="2"/>
    <w:bookmarkEnd w:id="3"/>
    <w:p w14:paraId="38EDC2B2" w14:textId="77777777" w:rsidR="00716941" w:rsidRPr="00A81E0C" w:rsidRDefault="00716941">
      <w:pPr>
        <w:pStyle w:val="Body"/>
        <w:spacing w:after="160"/>
      </w:pPr>
    </w:p>
    <w:p w14:paraId="0E60597E" w14:textId="77777777" w:rsidR="000403B8" w:rsidRPr="00A81E0C" w:rsidRDefault="000403B8">
      <w:pPr>
        <w:pStyle w:val="Body"/>
        <w:spacing w:after="0"/>
      </w:pPr>
    </w:p>
    <w:p w14:paraId="2155EDD9" w14:textId="77777777" w:rsidR="000403B8" w:rsidRPr="00A81E0C" w:rsidRDefault="00AC7B1E">
      <w:pPr>
        <w:pStyle w:val="ReferHead"/>
        <w:spacing w:after="120"/>
      </w:pPr>
      <w:r w:rsidRPr="00A81E0C">
        <w:rPr>
          <w:rFonts w:ascii="Arial" w:eastAsia="Arial" w:hAnsi="Arial" w:cs="Arial"/>
        </w:rPr>
        <w:t>REFERENCES</w:t>
      </w:r>
    </w:p>
    <w:p w14:paraId="789264B6" w14:textId="17649329" w:rsidR="000403B8" w:rsidRPr="00A81E0C" w:rsidRDefault="00AC7B1E">
      <w:pPr>
        <w:pStyle w:val="Body"/>
        <w:spacing w:after="100"/>
        <w:ind w:left="576" w:hanging="576"/>
        <w:jc w:val="left"/>
      </w:pPr>
      <w:r w:rsidRPr="00A81E0C">
        <w:rPr>
          <w:rFonts w:ascii="Arial" w:eastAsia="Arial" w:hAnsi="Arial" w:cs="Arial"/>
        </w:rPr>
        <w:t xml:space="preserve">Administración del Sistema </w:t>
      </w:r>
      <w:proofErr w:type="spellStart"/>
      <w:r w:rsidRPr="00A81E0C">
        <w:rPr>
          <w:rFonts w:ascii="Arial" w:eastAsia="Arial" w:hAnsi="Arial" w:cs="Arial"/>
        </w:rPr>
        <w:t>Portuario</w:t>
      </w:r>
      <w:proofErr w:type="spellEnd"/>
      <w:r w:rsidRPr="00A81E0C">
        <w:rPr>
          <w:rFonts w:ascii="Arial" w:eastAsia="Arial" w:hAnsi="Arial" w:cs="Arial"/>
        </w:rPr>
        <w:t xml:space="preserve"> Nacional </w:t>
      </w:r>
      <w:proofErr w:type="gramStart"/>
      <w:r w:rsidRPr="00A81E0C">
        <w:rPr>
          <w:rFonts w:ascii="Arial" w:eastAsia="Arial" w:hAnsi="Arial" w:cs="Arial"/>
        </w:rPr>
        <w:t>Manzanillo.</w:t>
      </w:r>
      <w:r w:rsidR="002C5B30">
        <w:rPr>
          <w:rFonts w:ascii="Arial" w:eastAsia="Arial" w:hAnsi="Arial" w:cs="Arial"/>
        </w:rPr>
        <w:t>(</w:t>
      </w:r>
      <w:proofErr w:type="gramEnd"/>
      <w:r w:rsidR="002C5B30" w:rsidRPr="002C5B30">
        <w:t xml:space="preserve"> </w:t>
      </w:r>
      <w:r w:rsidR="002C5B30" w:rsidRPr="002C5B30">
        <w:rPr>
          <w:rFonts w:ascii="Arial" w:eastAsia="Arial" w:hAnsi="Arial" w:cs="Arial"/>
        </w:rPr>
        <w:t>Manzanillo National Port System Administration</w:t>
      </w:r>
      <w:r w:rsidR="002C5B30">
        <w:rPr>
          <w:rFonts w:ascii="Arial" w:eastAsia="Arial" w:hAnsi="Arial" w:cs="Arial"/>
        </w:rPr>
        <w:t>)</w:t>
      </w:r>
      <w:r w:rsidRPr="00A81E0C">
        <w:rPr>
          <w:rFonts w:ascii="Arial" w:eastAsia="Arial" w:hAnsi="Arial" w:cs="Arial"/>
        </w:rPr>
        <w:t xml:space="preserve"> (2024). </w:t>
      </w:r>
      <w:proofErr w:type="spellStart"/>
      <w:r w:rsidRPr="00A81E0C">
        <w:rPr>
          <w:rFonts w:ascii="Arial" w:eastAsia="Arial" w:hAnsi="Arial" w:cs="Arial"/>
          <w:i/>
        </w:rPr>
        <w:t>Estadísticas</w:t>
      </w:r>
      <w:proofErr w:type="spellEnd"/>
      <w:r w:rsidRPr="00A81E0C">
        <w:rPr>
          <w:rFonts w:ascii="Arial" w:eastAsia="Arial" w:hAnsi="Arial" w:cs="Arial"/>
          <w:i/>
        </w:rPr>
        <w:t xml:space="preserve"> de </w:t>
      </w:r>
      <w:proofErr w:type="spellStart"/>
      <w:r w:rsidRPr="00A81E0C">
        <w:rPr>
          <w:rFonts w:ascii="Arial" w:eastAsia="Arial" w:hAnsi="Arial" w:cs="Arial"/>
          <w:i/>
        </w:rPr>
        <w:t>movimiento</w:t>
      </w:r>
      <w:proofErr w:type="spellEnd"/>
      <w:r w:rsidRPr="00A81E0C">
        <w:rPr>
          <w:rFonts w:ascii="Arial" w:eastAsia="Arial" w:hAnsi="Arial" w:cs="Arial"/>
          <w:i/>
        </w:rPr>
        <w:t xml:space="preserve"> de </w:t>
      </w:r>
      <w:proofErr w:type="spellStart"/>
      <w:r w:rsidRPr="00A81E0C">
        <w:rPr>
          <w:rFonts w:ascii="Arial" w:eastAsia="Arial" w:hAnsi="Arial" w:cs="Arial"/>
          <w:i/>
        </w:rPr>
        <w:t>contenedores</w:t>
      </w:r>
      <w:proofErr w:type="spellEnd"/>
      <w:r w:rsidRPr="00A81E0C">
        <w:rPr>
          <w:rFonts w:ascii="Arial" w:eastAsia="Arial" w:hAnsi="Arial" w:cs="Arial"/>
          <w:i/>
        </w:rPr>
        <w:t xml:space="preserve"> 2020-2024</w:t>
      </w:r>
      <w:r w:rsidRPr="00A81E0C">
        <w:rPr>
          <w:rFonts w:ascii="Arial" w:eastAsia="Arial" w:hAnsi="Arial" w:cs="Arial"/>
        </w:rPr>
        <w:t xml:space="preserve"> [Container traffic statistics 2020–2024]. ASIPONA Manzanillo. https://www.puertomanzanillo.com.mx</w:t>
      </w:r>
    </w:p>
    <w:p w14:paraId="232E93E1" w14:textId="2DFB12FB" w:rsidR="000403B8" w:rsidRPr="00A81E0C" w:rsidRDefault="00AC7B1E">
      <w:pPr>
        <w:pStyle w:val="Body"/>
        <w:spacing w:after="100"/>
        <w:ind w:left="576" w:hanging="576"/>
        <w:jc w:val="left"/>
      </w:pPr>
      <w:proofErr w:type="spellStart"/>
      <w:r w:rsidRPr="00A81E0C">
        <w:rPr>
          <w:rFonts w:ascii="Arial" w:eastAsia="Arial" w:hAnsi="Arial" w:cs="Arial"/>
        </w:rPr>
        <w:t>Asociación</w:t>
      </w:r>
      <w:proofErr w:type="spellEnd"/>
      <w:r w:rsidRPr="00A81E0C">
        <w:rPr>
          <w:rFonts w:ascii="Arial" w:eastAsia="Arial" w:hAnsi="Arial" w:cs="Arial"/>
        </w:rPr>
        <w:t xml:space="preserve"> Mexicana de </w:t>
      </w:r>
      <w:proofErr w:type="spellStart"/>
      <w:r w:rsidRPr="00A81E0C">
        <w:rPr>
          <w:rFonts w:ascii="Arial" w:eastAsia="Arial" w:hAnsi="Arial" w:cs="Arial"/>
        </w:rPr>
        <w:t>Agentes</w:t>
      </w:r>
      <w:proofErr w:type="spellEnd"/>
      <w:r w:rsidRPr="00A81E0C">
        <w:rPr>
          <w:rFonts w:ascii="Arial" w:eastAsia="Arial" w:hAnsi="Arial" w:cs="Arial"/>
        </w:rPr>
        <w:t xml:space="preserve"> </w:t>
      </w:r>
      <w:proofErr w:type="spellStart"/>
      <w:r w:rsidRPr="00A81E0C">
        <w:rPr>
          <w:rFonts w:ascii="Arial" w:eastAsia="Arial" w:hAnsi="Arial" w:cs="Arial"/>
        </w:rPr>
        <w:t>Navieros</w:t>
      </w:r>
      <w:proofErr w:type="spellEnd"/>
      <w:r w:rsidRPr="00A81E0C">
        <w:rPr>
          <w:rFonts w:ascii="Arial" w:eastAsia="Arial" w:hAnsi="Arial" w:cs="Arial"/>
        </w:rPr>
        <w:t xml:space="preserve">. (2023). </w:t>
      </w:r>
      <w:proofErr w:type="spellStart"/>
      <w:r w:rsidRPr="00A81E0C">
        <w:rPr>
          <w:rFonts w:ascii="Arial" w:eastAsia="Arial" w:hAnsi="Arial" w:cs="Arial"/>
          <w:i/>
        </w:rPr>
        <w:t>Diagnóstico</w:t>
      </w:r>
      <w:proofErr w:type="spellEnd"/>
      <w:r w:rsidRPr="00A81E0C">
        <w:rPr>
          <w:rFonts w:ascii="Arial" w:eastAsia="Arial" w:hAnsi="Arial" w:cs="Arial"/>
          <w:i/>
        </w:rPr>
        <w:t xml:space="preserve"> del mercado </w:t>
      </w:r>
      <w:proofErr w:type="spellStart"/>
      <w:r w:rsidRPr="00A81E0C">
        <w:rPr>
          <w:rFonts w:ascii="Arial" w:eastAsia="Arial" w:hAnsi="Arial" w:cs="Arial"/>
          <w:i/>
        </w:rPr>
        <w:t>laboral</w:t>
      </w:r>
      <w:proofErr w:type="spellEnd"/>
      <w:r w:rsidRPr="00A81E0C">
        <w:rPr>
          <w:rFonts w:ascii="Arial" w:eastAsia="Arial" w:hAnsi="Arial" w:cs="Arial"/>
          <w:i/>
        </w:rPr>
        <w:t xml:space="preserve"> </w:t>
      </w:r>
      <w:proofErr w:type="spellStart"/>
      <w:r w:rsidRPr="00A81E0C">
        <w:rPr>
          <w:rFonts w:ascii="Arial" w:eastAsia="Arial" w:hAnsi="Arial" w:cs="Arial"/>
          <w:i/>
        </w:rPr>
        <w:t>logístico-portuario</w:t>
      </w:r>
      <w:proofErr w:type="spellEnd"/>
      <w:r w:rsidRPr="00A81E0C">
        <w:rPr>
          <w:rFonts w:ascii="Arial" w:eastAsia="Arial" w:hAnsi="Arial" w:cs="Arial"/>
          <w:i/>
        </w:rPr>
        <w:t xml:space="preserve"> </w:t>
      </w:r>
      <w:proofErr w:type="spellStart"/>
      <w:r w:rsidRPr="00A81E0C">
        <w:rPr>
          <w:rFonts w:ascii="Arial" w:eastAsia="Arial" w:hAnsi="Arial" w:cs="Arial"/>
          <w:i/>
        </w:rPr>
        <w:t>en</w:t>
      </w:r>
      <w:proofErr w:type="spellEnd"/>
      <w:r w:rsidRPr="00A81E0C">
        <w:rPr>
          <w:rFonts w:ascii="Arial" w:eastAsia="Arial" w:hAnsi="Arial" w:cs="Arial"/>
          <w:i/>
        </w:rPr>
        <w:t xml:space="preserve"> </w:t>
      </w:r>
      <w:proofErr w:type="gramStart"/>
      <w:r w:rsidRPr="00A81E0C">
        <w:rPr>
          <w:rFonts w:ascii="Arial" w:eastAsia="Arial" w:hAnsi="Arial" w:cs="Arial"/>
          <w:i/>
        </w:rPr>
        <w:t>México</w:t>
      </w:r>
      <w:r w:rsidR="00702CB9" w:rsidRPr="00A81E0C">
        <w:rPr>
          <w:rFonts w:ascii="Arial" w:eastAsia="Arial" w:hAnsi="Arial" w:cs="Arial"/>
        </w:rPr>
        <w:t>.</w:t>
      </w:r>
      <w:r w:rsidR="00A7548F">
        <w:rPr>
          <w:rFonts w:ascii="Arial" w:eastAsia="Arial" w:hAnsi="Arial" w:cs="Arial"/>
        </w:rPr>
        <w:t>(</w:t>
      </w:r>
      <w:proofErr w:type="gramEnd"/>
      <w:r w:rsidR="00A7548F" w:rsidRPr="00A7548F">
        <w:t xml:space="preserve"> </w:t>
      </w:r>
      <w:r w:rsidR="00A7548F" w:rsidRPr="00A7548F">
        <w:rPr>
          <w:rFonts w:ascii="Arial" w:eastAsia="Arial" w:hAnsi="Arial" w:cs="Arial"/>
        </w:rPr>
        <w:t>Diagnosis of the logistics and port labor market in Mexico.</w:t>
      </w:r>
      <w:r w:rsidR="00A7548F">
        <w:rPr>
          <w:rFonts w:ascii="Arial" w:eastAsia="Arial" w:hAnsi="Arial" w:cs="Arial"/>
        </w:rPr>
        <w:t>)</w:t>
      </w:r>
    </w:p>
    <w:p w14:paraId="4CEBD8A8" w14:textId="6E10CEF0" w:rsidR="000403B8" w:rsidRPr="00A81E0C" w:rsidRDefault="00AC7B1E">
      <w:pPr>
        <w:pStyle w:val="Body"/>
        <w:spacing w:after="100"/>
        <w:ind w:left="576" w:hanging="576"/>
        <w:jc w:val="left"/>
      </w:pPr>
      <w:proofErr w:type="spellStart"/>
      <w:r w:rsidRPr="00A81E0C">
        <w:rPr>
          <w:rFonts w:ascii="Arial" w:eastAsia="Arial" w:hAnsi="Arial" w:cs="Arial"/>
        </w:rPr>
        <w:t>Asociación</w:t>
      </w:r>
      <w:proofErr w:type="spellEnd"/>
      <w:r w:rsidRPr="00A81E0C">
        <w:rPr>
          <w:rFonts w:ascii="Arial" w:eastAsia="Arial" w:hAnsi="Arial" w:cs="Arial"/>
        </w:rPr>
        <w:t xml:space="preserve"> Nacional de </w:t>
      </w:r>
      <w:proofErr w:type="spellStart"/>
      <w:r w:rsidRPr="00A81E0C">
        <w:rPr>
          <w:rFonts w:ascii="Arial" w:eastAsia="Arial" w:hAnsi="Arial" w:cs="Arial"/>
        </w:rPr>
        <w:t>Universidades</w:t>
      </w:r>
      <w:proofErr w:type="spellEnd"/>
      <w:r w:rsidRPr="00A81E0C">
        <w:rPr>
          <w:rFonts w:ascii="Arial" w:eastAsia="Arial" w:hAnsi="Arial" w:cs="Arial"/>
        </w:rPr>
        <w:t xml:space="preserve"> e </w:t>
      </w:r>
      <w:proofErr w:type="spellStart"/>
      <w:r w:rsidRPr="00A81E0C">
        <w:rPr>
          <w:rFonts w:ascii="Arial" w:eastAsia="Arial" w:hAnsi="Arial" w:cs="Arial"/>
        </w:rPr>
        <w:t>Instituciones</w:t>
      </w:r>
      <w:proofErr w:type="spellEnd"/>
      <w:r w:rsidRPr="00A81E0C">
        <w:rPr>
          <w:rFonts w:ascii="Arial" w:eastAsia="Arial" w:hAnsi="Arial" w:cs="Arial"/>
        </w:rPr>
        <w:t xml:space="preserve"> de </w:t>
      </w:r>
      <w:proofErr w:type="spellStart"/>
      <w:r w:rsidRPr="00A81E0C">
        <w:rPr>
          <w:rFonts w:ascii="Arial" w:eastAsia="Arial" w:hAnsi="Arial" w:cs="Arial"/>
        </w:rPr>
        <w:t>Educación</w:t>
      </w:r>
      <w:proofErr w:type="spellEnd"/>
      <w:r w:rsidRPr="00A81E0C">
        <w:rPr>
          <w:rFonts w:ascii="Arial" w:eastAsia="Arial" w:hAnsi="Arial" w:cs="Arial"/>
        </w:rPr>
        <w:t xml:space="preserve"> Superior. (2024). </w:t>
      </w:r>
      <w:proofErr w:type="spellStart"/>
      <w:r w:rsidRPr="00A81E0C">
        <w:rPr>
          <w:rFonts w:ascii="Arial" w:eastAsia="Arial" w:hAnsi="Arial" w:cs="Arial"/>
          <w:i/>
        </w:rPr>
        <w:t>Anuario</w:t>
      </w:r>
      <w:proofErr w:type="spellEnd"/>
      <w:r w:rsidRPr="00A81E0C">
        <w:rPr>
          <w:rFonts w:ascii="Arial" w:eastAsia="Arial" w:hAnsi="Arial" w:cs="Arial"/>
          <w:i/>
        </w:rPr>
        <w:t xml:space="preserve"> </w:t>
      </w:r>
      <w:proofErr w:type="spellStart"/>
      <w:r w:rsidRPr="00A81E0C">
        <w:rPr>
          <w:rFonts w:ascii="Arial" w:eastAsia="Arial" w:hAnsi="Arial" w:cs="Arial"/>
          <w:i/>
        </w:rPr>
        <w:t>estadístico</w:t>
      </w:r>
      <w:proofErr w:type="spellEnd"/>
      <w:r w:rsidRPr="00A81E0C">
        <w:rPr>
          <w:rFonts w:ascii="Arial" w:eastAsia="Arial" w:hAnsi="Arial" w:cs="Arial"/>
          <w:i/>
        </w:rPr>
        <w:t xml:space="preserve"> de </w:t>
      </w:r>
      <w:proofErr w:type="spellStart"/>
      <w:r w:rsidRPr="00A81E0C">
        <w:rPr>
          <w:rFonts w:ascii="Arial" w:eastAsia="Arial" w:hAnsi="Arial" w:cs="Arial"/>
          <w:i/>
        </w:rPr>
        <w:t>educación</w:t>
      </w:r>
      <w:proofErr w:type="spellEnd"/>
      <w:r w:rsidRPr="00A81E0C">
        <w:rPr>
          <w:rFonts w:ascii="Arial" w:eastAsia="Arial" w:hAnsi="Arial" w:cs="Arial"/>
          <w:i/>
        </w:rPr>
        <w:t xml:space="preserve"> superior: Ciclo escolar 2022-2023</w:t>
      </w:r>
      <w:r w:rsidRPr="00A81E0C">
        <w:rPr>
          <w:rFonts w:ascii="Arial" w:eastAsia="Arial" w:hAnsi="Arial" w:cs="Arial"/>
        </w:rPr>
        <w:t xml:space="preserve"> </w:t>
      </w:r>
      <w:r w:rsidR="006F5E33">
        <w:rPr>
          <w:rFonts w:ascii="Arial" w:eastAsia="Arial" w:hAnsi="Arial" w:cs="Arial"/>
        </w:rPr>
        <w:t>(</w:t>
      </w:r>
      <w:r w:rsidR="006F5E33" w:rsidRPr="006F5E33">
        <w:rPr>
          <w:rFonts w:ascii="Arial" w:eastAsia="Arial" w:hAnsi="Arial" w:cs="Arial"/>
        </w:rPr>
        <w:t xml:space="preserve">National Association of Universities and Higher Education Institutions. (2024). Statistical Yearbook of Higher Education: 2022–2023 Academic Year. </w:t>
      </w:r>
      <w:proofErr w:type="gramStart"/>
      <w:r w:rsidR="006F5E33">
        <w:rPr>
          <w:rFonts w:ascii="Arial" w:eastAsia="Arial" w:hAnsi="Arial" w:cs="Arial"/>
        </w:rPr>
        <w:t>)</w:t>
      </w:r>
      <w:r w:rsidRPr="00A81E0C">
        <w:rPr>
          <w:rFonts w:ascii="Arial" w:eastAsia="Arial" w:hAnsi="Arial" w:cs="Arial"/>
        </w:rPr>
        <w:t>[</w:t>
      </w:r>
      <w:proofErr w:type="gramEnd"/>
      <w:r w:rsidRPr="00A81E0C">
        <w:rPr>
          <w:rFonts w:ascii="Arial" w:eastAsia="Arial" w:hAnsi="Arial" w:cs="Arial"/>
        </w:rPr>
        <w:t>Statistical yearbook of higher education: 2022–2023 school year]. ANUIES. https://www.anuies.mx</w:t>
      </w:r>
    </w:p>
    <w:p w14:paraId="0EE38E89" w14:textId="1A9E63DA" w:rsidR="000403B8" w:rsidRPr="00A81E0C" w:rsidRDefault="00AC7B1E">
      <w:pPr>
        <w:pStyle w:val="Body"/>
        <w:spacing w:after="100"/>
        <w:ind w:left="576" w:hanging="576"/>
        <w:jc w:val="left"/>
      </w:pPr>
      <w:r w:rsidRPr="00A81E0C">
        <w:rPr>
          <w:rFonts w:ascii="Arial" w:eastAsia="Arial" w:hAnsi="Arial" w:cs="Arial"/>
        </w:rPr>
        <w:t xml:space="preserve">Barleta, E., Saade Hazin, M., &amp; Sánchez, R. (2025). </w:t>
      </w:r>
      <w:r w:rsidRPr="00A81E0C">
        <w:rPr>
          <w:rFonts w:ascii="Arial" w:eastAsia="Arial" w:hAnsi="Arial" w:cs="Arial"/>
          <w:i/>
        </w:rPr>
        <w:t xml:space="preserve">Informe </w:t>
      </w:r>
      <w:proofErr w:type="spellStart"/>
      <w:r w:rsidRPr="00A81E0C">
        <w:rPr>
          <w:rFonts w:ascii="Arial" w:eastAsia="Arial" w:hAnsi="Arial" w:cs="Arial"/>
          <w:i/>
        </w:rPr>
        <w:t>portuario</w:t>
      </w:r>
      <w:proofErr w:type="spellEnd"/>
      <w:r w:rsidRPr="00A81E0C">
        <w:rPr>
          <w:rFonts w:ascii="Arial" w:eastAsia="Arial" w:hAnsi="Arial" w:cs="Arial"/>
          <w:i/>
        </w:rPr>
        <w:t xml:space="preserve"> 2023-2024: </w:t>
      </w:r>
      <w:proofErr w:type="spellStart"/>
      <w:r w:rsidRPr="00A81E0C">
        <w:rPr>
          <w:rFonts w:ascii="Arial" w:eastAsia="Arial" w:hAnsi="Arial" w:cs="Arial"/>
          <w:i/>
        </w:rPr>
        <w:t>Señales</w:t>
      </w:r>
      <w:proofErr w:type="spellEnd"/>
      <w:r w:rsidRPr="00A81E0C">
        <w:rPr>
          <w:rFonts w:ascii="Arial" w:eastAsia="Arial" w:hAnsi="Arial" w:cs="Arial"/>
          <w:i/>
        </w:rPr>
        <w:t xml:space="preserve"> </w:t>
      </w:r>
      <w:proofErr w:type="spellStart"/>
      <w:r w:rsidRPr="00A81E0C">
        <w:rPr>
          <w:rFonts w:ascii="Arial" w:eastAsia="Arial" w:hAnsi="Arial" w:cs="Arial"/>
          <w:i/>
        </w:rPr>
        <w:t>mixtas</w:t>
      </w:r>
      <w:proofErr w:type="spellEnd"/>
      <w:r w:rsidRPr="00A81E0C">
        <w:rPr>
          <w:rFonts w:ascii="Arial" w:eastAsia="Arial" w:hAnsi="Arial" w:cs="Arial"/>
          <w:i/>
        </w:rPr>
        <w:t xml:space="preserve"> </w:t>
      </w:r>
      <w:proofErr w:type="spellStart"/>
      <w:r w:rsidRPr="00A81E0C">
        <w:rPr>
          <w:rFonts w:ascii="Arial" w:eastAsia="Arial" w:hAnsi="Arial" w:cs="Arial"/>
          <w:i/>
        </w:rPr>
        <w:t>en</w:t>
      </w:r>
      <w:proofErr w:type="spellEnd"/>
      <w:r w:rsidRPr="00A81E0C">
        <w:rPr>
          <w:rFonts w:ascii="Arial" w:eastAsia="Arial" w:hAnsi="Arial" w:cs="Arial"/>
          <w:i/>
        </w:rPr>
        <w:t xml:space="preserve"> el </w:t>
      </w:r>
      <w:proofErr w:type="spellStart"/>
      <w:r w:rsidRPr="00A81E0C">
        <w:rPr>
          <w:rFonts w:ascii="Arial" w:eastAsia="Arial" w:hAnsi="Arial" w:cs="Arial"/>
          <w:i/>
        </w:rPr>
        <w:t>comercio</w:t>
      </w:r>
      <w:proofErr w:type="spellEnd"/>
      <w:r w:rsidRPr="00A81E0C">
        <w:rPr>
          <w:rFonts w:ascii="Arial" w:eastAsia="Arial" w:hAnsi="Arial" w:cs="Arial"/>
          <w:i/>
        </w:rPr>
        <w:t xml:space="preserve"> y </w:t>
      </w:r>
      <w:proofErr w:type="spellStart"/>
      <w:r w:rsidRPr="00A81E0C">
        <w:rPr>
          <w:rFonts w:ascii="Arial" w:eastAsia="Arial" w:hAnsi="Arial" w:cs="Arial"/>
          <w:i/>
        </w:rPr>
        <w:t>los</w:t>
      </w:r>
      <w:proofErr w:type="spellEnd"/>
      <w:r w:rsidRPr="00A81E0C">
        <w:rPr>
          <w:rFonts w:ascii="Arial" w:eastAsia="Arial" w:hAnsi="Arial" w:cs="Arial"/>
          <w:i/>
        </w:rPr>
        <w:t xml:space="preserve"> </w:t>
      </w:r>
      <w:proofErr w:type="spellStart"/>
      <w:r w:rsidRPr="00A81E0C">
        <w:rPr>
          <w:rFonts w:ascii="Arial" w:eastAsia="Arial" w:hAnsi="Arial" w:cs="Arial"/>
          <w:i/>
        </w:rPr>
        <w:t>puertos</w:t>
      </w:r>
      <w:proofErr w:type="spellEnd"/>
      <w:r w:rsidRPr="00A81E0C">
        <w:rPr>
          <w:rFonts w:ascii="Arial" w:eastAsia="Arial" w:hAnsi="Arial" w:cs="Arial"/>
          <w:i/>
        </w:rPr>
        <w:t xml:space="preserve"> y </w:t>
      </w:r>
      <w:proofErr w:type="spellStart"/>
      <w:r w:rsidRPr="00A81E0C">
        <w:rPr>
          <w:rFonts w:ascii="Arial" w:eastAsia="Arial" w:hAnsi="Arial" w:cs="Arial"/>
          <w:i/>
        </w:rPr>
        <w:t>nuevas</w:t>
      </w:r>
      <w:proofErr w:type="spellEnd"/>
      <w:r w:rsidRPr="00A81E0C">
        <w:rPr>
          <w:rFonts w:ascii="Arial" w:eastAsia="Arial" w:hAnsi="Arial" w:cs="Arial"/>
          <w:i/>
        </w:rPr>
        <w:t xml:space="preserve"> </w:t>
      </w:r>
      <w:proofErr w:type="spellStart"/>
      <w:r w:rsidRPr="00A81E0C">
        <w:rPr>
          <w:rFonts w:ascii="Arial" w:eastAsia="Arial" w:hAnsi="Arial" w:cs="Arial"/>
          <w:i/>
        </w:rPr>
        <w:t>disrupciones</w:t>
      </w:r>
      <w:proofErr w:type="spellEnd"/>
      <w:r w:rsidRPr="00A81E0C">
        <w:rPr>
          <w:rFonts w:ascii="Arial" w:eastAsia="Arial" w:hAnsi="Arial" w:cs="Arial"/>
          <w:i/>
        </w:rPr>
        <w:t xml:space="preserve"> </w:t>
      </w:r>
      <w:proofErr w:type="spellStart"/>
      <w:r w:rsidRPr="00A81E0C">
        <w:rPr>
          <w:rFonts w:ascii="Arial" w:eastAsia="Arial" w:hAnsi="Arial" w:cs="Arial"/>
          <w:i/>
        </w:rPr>
        <w:t>en</w:t>
      </w:r>
      <w:proofErr w:type="spellEnd"/>
      <w:r w:rsidRPr="00A81E0C">
        <w:rPr>
          <w:rFonts w:ascii="Arial" w:eastAsia="Arial" w:hAnsi="Arial" w:cs="Arial"/>
          <w:i/>
        </w:rPr>
        <w:t xml:space="preserve"> la </w:t>
      </w:r>
      <w:proofErr w:type="spellStart"/>
      <w:r w:rsidRPr="00A81E0C">
        <w:rPr>
          <w:rFonts w:ascii="Arial" w:eastAsia="Arial" w:hAnsi="Arial" w:cs="Arial"/>
          <w:i/>
        </w:rPr>
        <w:t>logística</w:t>
      </w:r>
      <w:proofErr w:type="spellEnd"/>
      <w:r w:rsidRPr="00A81E0C">
        <w:rPr>
          <w:rFonts w:ascii="Arial" w:eastAsia="Arial" w:hAnsi="Arial" w:cs="Arial"/>
          <w:i/>
        </w:rPr>
        <w:t xml:space="preserve"> </w:t>
      </w:r>
      <w:proofErr w:type="spellStart"/>
      <w:r w:rsidRPr="00A81E0C">
        <w:rPr>
          <w:rFonts w:ascii="Arial" w:eastAsia="Arial" w:hAnsi="Arial" w:cs="Arial"/>
          <w:i/>
        </w:rPr>
        <w:t>internacional</w:t>
      </w:r>
      <w:proofErr w:type="spellEnd"/>
      <w:r w:rsidRPr="00A81E0C">
        <w:rPr>
          <w:rFonts w:ascii="Arial" w:eastAsia="Arial" w:hAnsi="Arial" w:cs="Arial"/>
          <w:i/>
        </w:rPr>
        <w:t xml:space="preserve"> </w:t>
      </w:r>
      <w:proofErr w:type="spellStart"/>
      <w:r w:rsidRPr="00A81E0C">
        <w:rPr>
          <w:rFonts w:ascii="Arial" w:eastAsia="Arial" w:hAnsi="Arial" w:cs="Arial"/>
          <w:i/>
        </w:rPr>
        <w:t>marítima</w:t>
      </w:r>
      <w:proofErr w:type="spellEnd"/>
      <w:r w:rsidRPr="00A81E0C">
        <w:rPr>
          <w:rFonts w:ascii="Arial" w:eastAsia="Arial" w:hAnsi="Arial" w:cs="Arial"/>
          <w:i/>
        </w:rPr>
        <w:t xml:space="preserve"> de </w:t>
      </w:r>
      <w:proofErr w:type="spellStart"/>
      <w:proofErr w:type="gramStart"/>
      <w:r w:rsidRPr="00A81E0C">
        <w:rPr>
          <w:rFonts w:ascii="Arial" w:eastAsia="Arial" w:hAnsi="Arial" w:cs="Arial"/>
          <w:i/>
        </w:rPr>
        <w:t>contenedores</w:t>
      </w:r>
      <w:proofErr w:type="spellEnd"/>
      <w:r w:rsidR="00B7676F">
        <w:rPr>
          <w:rFonts w:ascii="Arial" w:eastAsia="Arial" w:hAnsi="Arial" w:cs="Arial"/>
          <w:i/>
        </w:rPr>
        <w:t xml:space="preserve"> </w:t>
      </w:r>
      <w:r w:rsidRPr="00A81E0C">
        <w:rPr>
          <w:rFonts w:ascii="Arial" w:eastAsia="Arial" w:hAnsi="Arial" w:cs="Arial"/>
        </w:rPr>
        <w:t xml:space="preserve"> [</w:t>
      </w:r>
      <w:proofErr w:type="gramEnd"/>
      <w:r w:rsidRPr="00A81E0C">
        <w:rPr>
          <w:rFonts w:ascii="Arial" w:eastAsia="Arial" w:hAnsi="Arial" w:cs="Arial"/>
        </w:rPr>
        <w:t>Port report 2023–2024: Mixed signals in trade and ports and new disruptions in international maritime container logistics] (</w:t>
      </w:r>
      <w:proofErr w:type="spellStart"/>
      <w:r w:rsidRPr="00A81E0C">
        <w:rPr>
          <w:rFonts w:ascii="Arial" w:eastAsia="Arial" w:hAnsi="Arial" w:cs="Arial"/>
        </w:rPr>
        <w:t>Boletín</w:t>
      </w:r>
      <w:proofErr w:type="spellEnd"/>
      <w:r w:rsidRPr="00A81E0C">
        <w:rPr>
          <w:rFonts w:ascii="Arial" w:eastAsia="Arial" w:hAnsi="Arial" w:cs="Arial"/>
        </w:rPr>
        <w:t xml:space="preserve"> FAL). Comisión </w:t>
      </w:r>
      <w:proofErr w:type="spellStart"/>
      <w:r w:rsidRPr="00A81E0C">
        <w:rPr>
          <w:rFonts w:ascii="Arial" w:eastAsia="Arial" w:hAnsi="Arial" w:cs="Arial"/>
        </w:rPr>
        <w:t>Económica</w:t>
      </w:r>
      <w:proofErr w:type="spellEnd"/>
      <w:r w:rsidRPr="00A81E0C">
        <w:rPr>
          <w:rFonts w:ascii="Arial" w:eastAsia="Arial" w:hAnsi="Arial" w:cs="Arial"/>
        </w:rPr>
        <w:t xml:space="preserve"> para América Latina y el Caribe. https://hdl.handle.net/11362/81386</w:t>
      </w:r>
    </w:p>
    <w:p w14:paraId="4ADFC7A7" w14:textId="77777777" w:rsidR="000403B8" w:rsidRPr="00A81E0C" w:rsidRDefault="00AC7B1E">
      <w:pPr>
        <w:pStyle w:val="Body"/>
        <w:spacing w:after="100"/>
        <w:ind w:left="576" w:hanging="576"/>
        <w:jc w:val="left"/>
      </w:pPr>
      <w:r w:rsidRPr="00A81E0C">
        <w:rPr>
          <w:rFonts w:ascii="Arial" w:eastAsia="Arial" w:hAnsi="Arial" w:cs="Arial"/>
        </w:rPr>
        <w:t xml:space="preserve">Consejo de </w:t>
      </w:r>
      <w:proofErr w:type="spellStart"/>
      <w:r w:rsidRPr="00A81E0C">
        <w:rPr>
          <w:rFonts w:ascii="Arial" w:eastAsia="Arial" w:hAnsi="Arial" w:cs="Arial"/>
        </w:rPr>
        <w:t>Acreditación</w:t>
      </w:r>
      <w:proofErr w:type="spellEnd"/>
      <w:r w:rsidRPr="00A81E0C">
        <w:rPr>
          <w:rFonts w:ascii="Arial" w:eastAsia="Arial" w:hAnsi="Arial" w:cs="Arial"/>
        </w:rPr>
        <w:t xml:space="preserve"> de la </w:t>
      </w:r>
      <w:proofErr w:type="spellStart"/>
      <w:r w:rsidRPr="00A81E0C">
        <w:rPr>
          <w:rFonts w:ascii="Arial" w:eastAsia="Arial" w:hAnsi="Arial" w:cs="Arial"/>
        </w:rPr>
        <w:t>Enseñanza</w:t>
      </w:r>
      <w:proofErr w:type="spellEnd"/>
      <w:r w:rsidRPr="00A81E0C">
        <w:rPr>
          <w:rFonts w:ascii="Arial" w:eastAsia="Arial" w:hAnsi="Arial" w:cs="Arial"/>
        </w:rPr>
        <w:t xml:space="preserve"> de la Ingeniería. (2025). </w:t>
      </w:r>
      <w:r w:rsidRPr="00A81E0C">
        <w:rPr>
          <w:rFonts w:ascii="Arial" w:eastAsia="Arial" w:hAnsi="Arial" w:cs="Arial"/>
          <w:i/>
        </w:rPr>
        <w:t xml:space="preserve">Marco de </w:t>
      </w:r>
      <w:proofErr w:type="spellStart"/>
      <w:r w:rsidRPr="00A81E0C">
        <w:rPr>
          <w:rFonts w:ascii="Arial" w:eastAsia="Arial" w:hAnsi="Arial" w:cs="Arial"/>
          <w:i/>
        </w:rPr>
        <w:t>referencia</w:t>
      </w:r>
      <w:proofErr w:type="spellEnd"/>
      <w:r w:rsidRPr="00A81E0C">
        <w:rPr>
          <w:rFonts w:ascii="Arial" w:eastAsia="Arial" w:hAnsi="Arial" w:cs="Arial"/>
          <w:i/>
        </w:rPr>
        <w:t xml:space="preserve"> para la </w:t>
      </w:r>
      <w:proofErr w:type="spellStart"/>
      <w:r w:rsidRPr="00A81E0C">
        <w:rPr>
          <w:rFonts w:ascii="Arial" w:eastAsia="Arial" w:hAnsi="Arial" w:cs="Arial"/>
          <w:i/>
        </w:rPr>
        <w:t>acreditación</w:t>
      </w:r>
      <w:proofErr w:type="spellEnd"/>
      <w:r w:rsidRPr="00A81E0C">
        <w:rPr>
          <w:rFonts w:ascii="Arial" w:eastAsia="Arial" w:hAnsi="Arial" w:cs="Arial"/>
          <w:i/>
        </w:rPr>
        <w:t xml:space="preserve"> de </w:t>
      </w:r>
      <w:proofErr w:type="spellStart"/>
      <w:r w:rsidRPr="00A81E0C">
        <w:rPr>
          <w:rFonts w:ascii="Arial" w:eastAsia="Arial" w:hAnsi="Arial" w:cs="Arial"/>
          <w:i/>
        </w:rPr>
        <w:t>programas</w:t>
      </w:r>
      <w:proofErr w:type="spellEnd"/>
      <w:r w:rsidRPr="00A81E0C">
        <w:rPr>
          <w:rFonts w:ascii="Arial" w:eastAsia="Arial" w:hAnsi="Arial" w:cs="Arial"/>
          <w:i/>
        </w:rPr>
        <w:t xml:space="preserve"> de </w:t>
      </w:r>
      <w:proofErr w:type="spellStart"/>
      <w:r w:rsidRPr="00A81E0C">
        <w:rPr>
          <w:rFonts w:ascii="Arial" w:eastAsia="Arial" w:hAnsi="Arial" w:cs="Arial"/>
          <w:i/>
        </w:rPr>
        <w:t>ingeniería</w:t>
      </w:r>
      <w:proofErr w:type="spellEnd"/>
      <w:r w:rsidRPr="00A81E0C">
        <w:rPr>
          <w:rFonts w:ascii="Arial" w:eastAsia="Arial" w:hAnsi="Arial" w:cs="Arial"/>
        </w:rPr>
        <w:t xml:space="preserve"> [Reference framework for the accreditation of engineering programs]. CACEI. https://www.cacei.org.mx</w:t>
      </w:r>
    </w:p>
    <w:p w14:paraId="05FB401E" w14:textId="77777777" w:rsidR="000403B8" w:rsidRPr="00A81E0C" w:rsidRDefault="00AC7B1E">
      <w:pPr>
        <w:pStyle w:val="Body"/>
        <w:spacing w:after="100"/>
        <w:ind w:left="576" w:hanging="576"/>
        <w:jc w:val="left"/>
      </w:pPr>
      <w:r w:rsidRPr="00A81E0C">
        <w:rPr>
          <w:rFonts w:ascii="Arial" w:eastAsia="Arial" w:hAnsi="Arial" w:cs="Arial"/>
        </w:rPr>
        <w:t xml:space="preserve">Creswell, J. W., &amp; Creswell, J. D. (2023). </w:t>
      </w:r>
      <w:r w:rsidRPr="00A81E0C">
        <w:rPr>
          <w:rFonts w:ascii="Arial" w:eastAsia="Arial" w:hAnsi="Arial" w:cs="Arial"/>
          <w:i/>
        </w:rPr>
        <w:t xml:space="preserve">Research design: Qualitative, quantitative, and mixed methods </w:t>
      </w:r>
      <w:proofErr w:type="gramStart"/>
      <w:r w:rsidRPr="00A81E0C">
        <w:rPr>
          <w:rFonts w:ascii="Arial" w:eastAsia="Arial" w:hAnsi="Arial" w:cs="Arial"/>
          <w:i/>
        </w:rPr>
        <w:t>approaches</w:t>
      </w:r>
      <w:proofErr w:type="gramEnd"/>
      <w:r w:rsidRPr="00A81E0C">
        <w:rPr>
          <w:rFonts w:ascii="Arial" w:eastAsia="Arial" w:hAnsi="Arial" w:cs="Arial"/>
        </w:rPr>
        <w:t xml:space="preserve"> (6th ed.). SAGE Publications.</w:t>
      </w:r>
    </w:p>
    <w:p w14:paraId="12D76856" w14:textId="77777777" w:rsidR="000403B8" w:rsidRPr="00A81E0C" w:rsidRDefault="00AC7B1E">
      <w:pPr>
        <w:pStyle w:val="Body"/>
        <w:spacing w:after="100"/>
        <w:ind w:left="576" w:hanging="576"/>
        <w:jc w:val="left"/>
      </w:pPr>
      <w:proofErr w:type="spellStart"/>
      <w:r w:rsidRPr="00A81E0C">
        <w:rPr>
          <w:rFonts w:ascii="Arial" w:eastAsia="Arial" w:hAnsi="Arial" w:cs="Arial"/>
        </w:rPr>
        <w:t>Gobierno</w:t>
      </w:r>
      <w:proofErr w:type="spellEnd"/>
      <w:r w:rsidRPr="00A81E0C">
        <w:rPr>
          <w:rFonts w:ascii="Arial" w:eastAsia="Arial" w:hAnsi="Arial" w:cs="Arial"/>
        </w:rPr>
        <w:t xml:space="preserve"> del Estado de Colima. (2021). </w:t>
      </w:r>
      <w:r w:rsidRPr="00A81E0C">
        <w:rPr>
          <w:rFonts w:ascii="Arial" w:eastAsia="Arial" w:hAnsi="Arial" w:cs="Arial"/>
          <w:i/>
        </w:rPr>
        <w:t>Plan Estatal de Desarrollo 2021-2027</w:t>
      </w:r>
      <w:r w:rsidRPr="00A81E0C">
        <w:rPr>
          <w:rFonts w:ascii="Arial" w:eastAsia="Arial" w:hAnsi="Arial" w:cs="Arial"/>
        </w:rPr>
        <w:t xml:space="preserve"> [State Development Plan 2021–2027]. </w:t>
      </w:r>
      <w:proofErr w:type="spellStart"/>
      <w:r w:rsidRPr="00A81E0C">
        <w:rPr>
          <w:rFonts w:ascii="Arial" w:eastAsia="Arial" w:hAnsi="Arial" w:cs="Arial"/>
        </w:rPr>
        <w:t>Gobierno</w:t>
      </w:r>
      <w:proofErr w:type="spellEnd"/>
      <w:r w:rsidRPr="00A81E0C">
        <w:rPr>
          <w:rFonts w:ascii="Arial" w:eastAsia="Arial" w:hAnsi="Arial" w:cs="Arial"/>
        </w:rPr>
        <w:t xml:space="preserve"> </w:t>
      </w:r>
      <w:proofErr w:type="spellStart"/>
      <w:r w:rsidRPr="00A81E0C">
        <w:rPr>
          <w:rFonts w:ascii="Arial" w:eastAsia="Arial" w:hAnsi="Arial" w:cs="Arial"/>
        </w:rPr>
        <w:t>Constitucional</w:t>
      </w:r>
      <w:proofErr w:type="spellEnd"/>
      <w:r w:rsidRPr="00A81E0C">
        <w:rPr>
          <w:rFonts w:ascii="Arial" w:eastAsia="Arial" w:hAnsi="Arial" w:cs="Arial"/>
        </w:rPr>
        <w:t xml:space="preserve"> del Estado de Colima. https://www.col.gob.mx</w:t>
      </w:r>
    </w:p>
    <w:p w14:paraId="6CCA6FE0" w14:textId="77777777" w:rsidR="000403B8" w:rsidRPr="00A81E0C" w:rsidRDefault="00AC7B1E">
      <w:pPr>
        <w:pStyle w:val="Body"/>
        <w:spacing w:after="100"/>
        <w:ind w:left="576" w:hanging="576"/>
        <w:jc w:val="left"/>
      </w:pPr>
      <w:r w:rsidRPr="00A81E0C">
        <w:rPr>
          <w:rFonts w:ascii="Arial" w:eastAsia="Arial" w:hAnsi="Arial" w:cs="Arial"/>
        </w:rPr>
        <w:t xml:space="preserve">González-Pérez, L. I., &amp; Ramírez-Montoya, M. S. (2022). Components of Education 4.0 in 21st century skills frameworks: Systematic review. </w:t>
      </w:r>
      <w:r w:rsidRPr="00A81E0C">
        <w:rPr>
          <w:rFonts w:ascii="Arial" w:eastAsia="Arial" w:hAnsi="Arial" w:cs="Arial"/>
          <w:i/>
        </w:rPr>
        <w:t>Sustainability, 14</w:t>
      </w:r>
      <w:r w:rsidRPr="00A81E0C">
        <w:rPr>
          <w:rFonts w:ascii="Arial" w:eastAsia="Arial" w:hAnsi="Arial" w:cs="Arial"/>
        </w:rPr>
        <w:t>(3), 1493. https://doi.org/10.3390/su14031493</w:t>
      </w:r>
    </w:p>
    <w:p w14:paraId="2D32CCE7" w14:textId="77777777" w:rsidR="000403B8" w:rsidRPr="00A81E0C" w:rsidRDefault="00AC7B1E">
      <w:pPr>
        <w:pStyle w:val="Body"/>
        <w:spacing w:after="100"/>
        <w:ind w:left="576" w:hanging="576"/>
        <w:jc w:val="left"/>
      </w:pPr>
      <w:r w:rsidRPr="00A81E0C">
        <w:rPr>
          <w:rFonts w:ascii="Arial" w:eastAsia="Arial" w:hAnsi="Arial" w:cs="Arial"/>
        </w:rPr>
        <w:t xml:space="preserve">Guadarrama </w:t>
      </w:r>
      <w:proofErr w:type="spellStart"/>
      <w:r w:rsidRPr="00A81E0C">
        <w:rPr>
          <w:rFonts w:ascii="Arial" w:eastAsia="Arial" w:hAnsi="Arial" w:cs="Arial"/>
        </w:rPr>
        <w:t>Atrizco</w:t>
      </w:r>
      <w:proofErr w:type="spellEnd"/>
      <w:r w:rsidRPr="00A81E0C">
        <w:rPr>
          <w:rFonts w:ascii="Arial" w:eastAsia="Arial" w:hAnsi="Arial" w:cs="Arial"/>
        </w:rPr>
        <w:t xml:space="preserve">, V. H., &amp; Pedraza Amador, E. M. (2025). El </w:t>
      </w:r>
      <w:proofErr w:type="spellStart"/>
      <w:r w:rsidRPr="00A81E0C">
        <w:rPr>
          <w:rFonts w:ascii="Arial" w:eastAsia="Arial" w:hAnsi="Arial" w:cs="Arial"/>
        </w:rPr>
        <w:t>modelo</w:t>
      </w:r>
      <w:proofErr w:type="spellEnd"/>
      <w:r w:rsidRPr="00A81E0C">
        <w:rPr>
          <w:rFonts w:ascii="Arial" w:eastAsia="Arial" w:hAnsi="Arial" w:cs="Arial"/>
        </w:rPr>
        <w:t xml:space="preserve"> de </w:t>
      </w:r>
      <w:proofErr w:type="spellStart"/>
      <w:r w:rsidRPr="00A81E0C">
        <w:rPr>
          <w:rFonts w:ascii="Arial" w:eastAsia="Arial" w:hAnsi="Arial" w:cs="Arial"/>
        </w:rPr>
        <w:t>competencias</w:t>
      </w:r>
      <w:proofErr w:type="spellEnd"/>
      <w:r w:rsidRPr="00A81E0C">
        <w:rPr>
          <w:rFonts w:ascii="Arial" w:eastAsia="Arial" w:hAnsi="Arial" w:cs="Arial"/>
        </w:rPr>
        <w:t xml:space="preserve"> </w:t>
      </w:r>
      <w:proofErr w:type="spellStart"/>
      <w:r w:rsidRPr="00A81E0C">
        <w:rPr>
          <w:rFonts w:ascii="Arial" w:eastAsia="Arial" w:hAnsi="Arial" w:cs="Arial"/>
        </w:rPr>
        <w:t>industriales</w:t>
      </w:r>
      <w:proofErr w:type="spellEnd"/>
      <w:r w:rsidRPr="00A81E0C">
        <w:rPr>
          <w:rFonts w:ascii="Arial" w:eastAsia="Arial" w:hAnsi="Arial" w:cs="Arial"/>
        </w:rPr>
        <w:t xml:space="preserve"> </w:t>
      </w:r>
      <w:proofErr w:type="spellStart"/>
      <w:r w:rsidRPr="00A81E0C">
        <w:rPr>
          <w:rFonts w:ascii="Arial" w:eastAsia="Arial" w:hAnsi="Arial" w:cs="Arial"/>
        </w:rPr>
        <w:t>en</w:t>
      </w:r>
      <w:proofErr w:type="spellEnd"/>
      <w:r w:rsidRPr="00A81E0C">
        <w:rPr>
          <w:rFonts w:ascii="Arial" w:eastAsia="Arial" w:hAnsi="Arial" w:cs="Arial"/>
        </w:rPr>
        <w:t xml:space="preserve"> el sector de la </w:t>
      </w:r>
      <w:proofErr w:type="spellStart"/>
      <w:r w:rsidRPr="00A81E0C">
        <w:rPr>
          <w:rFonts w:ascii="Arial" w:eastAsia="Arial" w:hAnsi="Arial" w:cs="Arial"/>
        </w:rPr>
        <w:t>logística</w:t>
      </w:r>
      <w:proofErr w:type="spellEnd"/>
      <w:r w:rsidRPr="00A81E0C">
        <w:rPr>
          <w:rFonts w:ascii="Arial" w:eastAsia="Arial" w:hAnsi="Arial" w:cs="Arial"/>
        </w:rPr>
        <w:t xml:space="preserve"> [The industrial competency model in the logistics sector]. </w:t>
      </w:r>
      <w:r w:rsidRPr="00A81E0C">
        <w:rPr>
          <w:rFonts w:ascii="Arial" w:eastAsia="Arial" w:hAnsi="Arial" w:cs="Arial"/>
          <w:i/>
        </w:rPr>
        <w:t>Senpai, 2</w:t>
      </w:r>
      <w:r w:rsidRPr="00A81E0C">
        <w:rPr>
          <w:rFonts w:ascii="Arial" w:eastAsia="Arial" w:hAnsi="Arial" w:cs="Arial"/>
        </w:rPr>
        <w:t>(10), 72–88. https://senpai.org.mx/index.php/senpai/article/view/60</w:t>
      </w:r>
    </w:p>
    <w:p w14:paraId="10EB7C62" w14:textId="77777777" w:rsidR="000403B8" w:rsidRPr="00A81E0C" w:rsidRDefault="00AC7B1E">
      <w:pPr>
        <w:pStyle w:val="Body"/>
        <w:spacing w:after="100"/>
        <w:ind w:left="576" w:hanging="576"/>
        <w:jc w:val="left"/>
      </w:pPr>
      <w:proofErr w:type="spellStart"/>
      <w:r w:rsidRPr="00A81E0C">
        <w:rPr>
          <w:rFonts w:ascii="Arial" w:eastAsia="Arial" w:hAnsi="Arial" w:cs="Arial"/>
        </w:rPr>
        <w:t>Hrouga</w:t>
      </w:r>
      <w:proofErr w:type="spellEnd"/>
      <w:r w:rsidRPr="00A81E0C">
        <w:rPr>
          <w:rFonts w:ascii="Arial" w:eastAsia="Arial" w:hAnsi="Arial" w:cs="Arial"/>
        </w:rPr>
        <w:t xml:space="preserve">, M., &amp; </w:t>
      </w:r>
      <w:proofErr w:type="spellStart"/>
      <w:r w:rsidRPr="00A81E0C">
        <w:rPr>
          <w:rFonts w:ascii="Arial" w:eastAsia="Arial" w:hAnsi="Arial" w:cs="Arial"/>
        </w:rPr>
        <w:t>Sbihi</w:t>
      </w:r>
      <w:proofErr w:type="spellEnd"/>
      <w:r w:rsidRPr="00A81E0C">
        <w:rPr>
          <w:rFonts w:ascii="Arial" w:eastAsia="Arial" w:hAnsi="Arial" w:cs="Arial"/>
        </w:rPr>
        <w:t xml:space="preserve">, A. (2023). Logistics 4.0 for supply chain performance: Perspectives from a retailing case study. </w:t>
      </w:r>
      <w:r w:rsidRPr="00A81E0C">
        <w:rPr>
          <w:rFonts w:ascii="Arial" w:eastAsia="Arial" w:hAnsi="Arial" w:cs="Arial"/>
          <w:i/>
        </w:rPr>
        <w:t>Business Process Management Journal, 29</w:t>
      </w:r>
      <w:r w:rsidRPr="00A81E0C">
        <w:rPr>
          <w:rFonts w:ascii="Arial" w:eastAsia="Arial" w:hAnsi="Arial" w:cs="Arial"/>
        </w:rPr>
        <w:t>(6), 1892–1919. https://www.emerald.com/bpmj/article/29/6/1892/256723/Logistics-4-0-for-supply-chain-performance</w:t>
      </w:r>
    </w:p>
    <w:p w14:paraId="350F7380" w14:textId="77777777" w:rsidR="000403B8" w:rsidRPr="00A81E0C" w:rsidRDefault="00AC7B1E">
      <w:pPr>
        <w:pStyle w:val="Body"/>
        <w:spacing w:after="100"/>
        <w:ind w:left="576" w:hanging="576"/>
        <w:jc w:val="left"/>
      </w:pPr>
      <w:r w:rsidRPr="00A81E0C">
        <w:rPr>
          <w:rFonts w:ascii="Arial" w:eastAsia="Arial" w:hAnsi="Arial" w:cs="Arial"/>
        </w:rPr>
        <w:t xml:space="preserve">Ivanov, D., &amp; </w:t>
      </w:r>
      <w:proofErr w:type="spellStart"/>
      <w:r w:rsidRPr="00A81E0C">
        <w:rPr>
          <w:rFonts w:ascii="Arial" w:eastAsia="Arial" w:hAnsi="Arial" w:cs="Arial"/>
        </w:rPr>
        <w:t>Dolgui</w:t>
      </w:r>
      <w:proofErr w:type="spellEnd"/>
      <w:r w:rsidRPr="00A81E0C">
        <w:rPr>
          <w:rFonts w:ascii="Arial" w:eastAsia="Arial" w:hAnsi="Arial" w:cs="Arial"/>
        </w:rPr>
        <w:t xml:space="preserve">, A. (2022). The shortage economy and its implications for supply chain and operations management. </w:t>
      </w:r>
      <w:r w:rsidRPr="00A81E0C">
        <w:rPr>
          <w:rFonts w:ascii="Arial" w:eastAsia="Arial" w:hAnsi="Arial" w:cs="Arial"/>
          <w:i/>
        </w:rPr>
        <w:t>International Journal of Production Research, 60</w:t>
      </w:r>
      <w:r w:rsidRPr="00A81E0C">
        <w:rPr>
          <w:rFonts w:ascii="Arial" w:eastAsia="Arial" w:hAnsi="Arial" w:cs="Arial"/>
        </w:rPr>
        <w:t>(24), 7141–7154. https://doi.org/10.1080/00207543.2022.2118889</w:t>
      </w:r>
    </w:p>
    <w:p w14:paraId="2CCEBC4F" w14:textId="4FBF5F50" w:rsidR="000403B8" w:rsidRPr="00A81E0C" w:rsidRDefault="00AC7B1E">
      <w:pPr>
        <w:pStyle w:val="Body"/>
        <w:spacing w:after="100"/>
        <w:ind w:left="576" w:hanging="576"/>
        <w:jc w:val="left"/>
      </w:pPr>
      <w:r w:rsidRPr="00A81E0C">
        <w:rPr>
          <w:rFonts w:ascii="Arial" w:eastAsia="Arial" w:hAnsi="Arial" w:cs="Arial"/>
        </w:rPr>
        <w:t xml:space="preserve">KPMG. (2023). </w:t>
      </w:r>
      <w:proofErr w:type="spellStart"/>
      <w:r w:rsidRPr="00A81E0C">
        <w:rPr>
          <w:rFonts w:ascii="Arial" w:eastAsia="Arial" w:hAnsi="Arial" w:cs="Arial"/>
          <w:i/>
        </w:rPr>
        <w:t>Perspectivas</w:t>
      </w:r>
      <w:proofErr w:type="spellEnd"/>
      <w:r w:rsidRPr="00A81E0C">
        <w:rPr>
          <w:rFonts w:ascii="Arial" w:eastAsia="Arial" w:hAnsi="Arial" w:cs="Arial"/>
          <w:i/>
        </w:rPr>
        <w:t xml:space="preserve"> del sector </w:t>
      </w:r>
      <w:proofErr w:type="spellStart"/>
      <w:r w:rsidRPr="00A81E0C">
        <w:rPr>
          <w:rFonts w:ascii="Arial" w:eastAsia="Arial" w:hAnsi="Arial" w:cs="Arial"/>
          <w:i/>
        </w:rPr>
        <w:t>logístico</w:t>
      </w:r>
      <w:proofErr w:type="spellEnd"/>
      <w:r w:rsidRPr="00A81E0C">
        <w:rPr>
          <w:rFonts w:ascii="Arial" w:eastAsia="Arial" w:hAnsi="Arial" w:cs="Arial"/>
          <w:i/>
        </w:rPr>
        <w:t xml:space="preserve"> </w:t>
      </w:r>
      <w:proofErr w:type="spellStart"/>
      <w:r w:rsidRPr="00A81E0C">
        <w:rPr>
          <w:rFonts w:ascii="Arial" w:eastAsia="Arial" w:hAnsi="Arial" w:cs="Arial"/>
          <w:i/>
        </w:rPr>
        <w:t>en</w:t>
      </w:r>
      <w:proofErr w:type="spellEnd"/>
      <w:r w:rsidRPr="00A81E0C">
        <w:rPr>
          <w:rFonts w:ascii="Arial" w:eastAsia="Arial" w:hAnsi="Arial" w:cs="Arial"/>
          <w:i/>
        </w:rPr>
        <w:t xml:space="preserve"> México 2023-2025: </w:t>
      </w:r>
      <w:proofErr w:type="spellStart"/>
      <w:r w:rsidRPr="00A81E0C">
        <w:rPr>
          <w:rFonts w:ascii="Arial" w:eastAsia="Arial" w:hAnsi="Arial" w:cs="Arial"/>
          <w:i/>
        </w:rPr>
        <w:t>Digitalización</w:t>
      </w:r>
      <w:proofErr w:type="spellEnd"/>
      <w:r w:rsidRPr="00A81E0C">
        <w:rPr>
          <w:rFonts w:ascii="Arial" w:eastAsia="Arial" w:hAnsi="Arial" w:cs="Arial"/>
          <w:i/>
        </w:rPr>
        <w:t xml:space="preserve"> y </w:t>
      </w:r>
      <w:proofErr w:type="gramStart"/>
      <w:r w:rsidR="00702CB9" w:rsidRPr="00A81E0C">
        <w:rPr>
          <w:rFonts w:ascii="Arial" w:eastAsia="Arial" w:hAnsi="Arial" w:cs="Arial"/>
          <w:i/>
        </w:rPr>
        <w:t>talent</w:t>
      </w:r>
      <w:r w:rsidR="00702CB9" w:rsidRPr="00A81E0C">
        <w:rPr>
          <w:rFonts w:ascii="Arial" w:eastAsia="Arial" w:hAnsi="Arial" w:cs="Arial"/>
        </w:rPr>
        <w:t>.</w:t>
      </w:r>
      <w:r w:rsidR="00B7676F">
        <w:rPr>
          <w:rFonts w:ascii="Arial" w:eastAsia="Arial" w:hAnsi="Arial" w:cs="Arial"/>
        </w:rPr>
        <w:t>(</w:t>
      </w:r>
      <w:proofErr w:type="gramEnd"/>
      <w:r w:rsidR="00B7676F" w:rsidRPr="00B7676F">
        <w:t xml:space="preserve"> </w:t>
      </w:r>
      <w:r w:rsidR="00B7676F" w:rsidRPr="00B7676F">
        <w:rPr>
          <w:rFonts w:ascii="Arial" w:eastAsia="Arial" w:hAnsi="Arial" w:cs="Arial"/>
        </w:rPr>
        <w:t>Logistics Sector Outlook in Mexico 2023–2025: Digitalization and Talent.</w:t>
      </w:r>
      <w:r w:rsidR="00B7676F">
        <w:rPr>
          <w:rFonts w:ascii="Arial" w:eastAsia="Arial" w:hAnsi="Arial" w:cs="Arial"/>
        </w:rPr>
        <w:t>)</w:t>
      </w:r>
    </w:p>
    <w:p w14:paraId="2E5482F5" w14:textId="77777777" w:rsidR="000403B8" w:rsidRPr="00A81E0C" w:rsidRDefault="00AC7B1E">
      <w:pPr>
        <w:pStyle w:val="Body"/>
        <w:spacing w:after="100"/>
        <w:ind w:left="576" w:hanging="576"/>
        <w:jc w:val="left"/>
      </w:pPr>
      <w:r w:rsidRPr="00A81E0C">
        <w:rPr>
          <w:rFonts w:ascii="Arial" w:eastAsia="Arial" w:hAnsi="Arial" w:cs="Arial"/>
        </w:rPr>
        <w:t xml:space="preserve">Mohsen, B. M. (2023). Developments of digital technologies related to supply chain management. </w:t>
      </w:r>
      <w:r w:rsidRPr="00A81E0C">
        <w:rPr>
          <w:rFonts w:ascii="Arial" w:eastAsia="Arial" w:hAnsi="Arial" w:cs="Arial"/>
          <w:i/>
        </w:rPr>
        <w:t>Procedia Computer Science, 220</w:t>
      </w:r>
      <w:r w:rsidRPr="00A81E0C">
        <w:rPr>
          <w:rFonts w:ascii="Arial" w:eastAsia="Arial" w:hAnsi="Arial" w:cs="Arial"/>
        </w:rPr>
        <w:t>, 788–795. https://www.sciencedirect.com/science/article/pii/S1877050923006403</w:t>
      </w:r>
    </w:p>
    <w:p w14:paraId="7B30ACCB" w14:textId="053607B4" w:rsidR="000403B8" w:rsidRPr="00A81E0C" w:rsidRDefault="00AC7B1E">
      <w:pPr>
        <w:pStyle w:val="Body"/>
        <w:spacing w:after="100"/>
        <w:ind w:left="576" w:hanging="576"/>
        <w:jc w:val="left"/>
      </w:pPr>
      <w:proofErr w:type="spellStart"/>
      <w:r w:rsidRPr="00A81E0C">
        <w:rPr>
          <w:rFonts w:ascii="Arial" w:eastAsia="Arial" w:hAnsi="Arial" w:cs="Arial"/>
        </w:rPr>
        <w:lastRenderedPageBreak/>
        <w:t>Monferdini</w:t>
      </w:r>
      <w:proofErr w:type="spellEnd"/>
      <w:r w:rsidRPr="00A81E0C">
        <w:rPr>
          <w:rFonts w:ascii="Arial" w:eastAsia="Arial" w:hAnsi="Arial" w:cs="Arial"/>
        </w:rPr>
        <w:t xml:space="preserve">, L., Tebaldi, L., &amp; </w:t>
      </w:r>
      <w:proofErr w:type="spellStart"/>
      <w:r w:rsidRPr="00A81E0C">
        <w:rPr>
          <w:rFonts w:ascii="Arial" w:eastAsia="Arial" w:hAnsi="Arial" w:cs="Arial"/>
        </w:rPr>
        <w:t>Bottani</w:t>
      </w:r>
      <w:proofErr w:type="spellEnd"/>
      <w:r w:rsidRPr="00A81E0C">
        <w:rPr>
          <w:rFonts w:ascii="Arial" w:eastAsia="Arial" w:hAnsi="Arial" w:cs="Arial"/>
        </w:rPr>
        <w:t xml:space="preserve">, E. (2025). From Industry 4.0 to Industry 5.0: Opportunities, challenges, and future perspectives in logistics. </w:t>
      </w:r>
      <w:r w:rsidRPr="00A81E0C">
        <w:rPr>
          <w:rFonts w:ascii="Arial" w:eastAsia="Arial" w:hAnsi="Arial" w:cs="Arial"/>
          <w:i/>
        </w:rPr>
        <w:t>Procedia Computer Science, 253</w:t>
      </w:r>
      <w:r w:rsidRPr="00A81E0C">
        <w:rPr>
          <w:rFonts w:ascii="Arial" w:eastAsia="Arial" w:hAnsi="Arial" w:cs="Arial"/>
        </w:rPr>
        <w:t xml:space="preserve">, 2941–2950. </w:t>
      </w:r>
      <w:r w:rsidR="00702CB9" w:rsidRPr="00A81E0C">
        <w:rPr>
          <w:rFonts w:ascii="Arial" w:eastAsia="Arial" w:hAnsi="Arial" w:cs="Arial"/>
        </w:rPr>
        <w:t>https://creativecommons.org/licenses/by-nc-nd/4.0</w:t>
      </w:r>
    </w:p>
    <w:p w14:paraId="1561E601" w14:textId="77777777" w:rsidR="000403B8" w:rsidRPr="00A81E0C" w:rsidRDefault="00AC7B1E">
      <w:pPr>
        <w:pStyle w:val="Body"/>
        <w:spacing w:after="100"/>
        <w:ind w:left="576" w:hanging="576"/>
        <w:jc w:val="left"/>
      </w:pPr>
      <w:proofErr w:type="spellStart"/>
      <w:r w:rsidRPr="00A81E0C">
        <w:rPr>
          <w:rFonts w:ascii="Arial" w:eastAsia="Arial" w:hAnsi="Arial" w:cs="Arial"/>
        </w:rPr>
        <w:t>Notteboom</w:t>
      </w:r>
      <w:proofErr w:type="spellEnd"/>
      <w:r w:rsidRPr="00A81E0C">
        <w:rPr>
          <w:rFonts w:ascii="Arial" w:eastAsia="Arial" w:hAnsi="Arial" w:cs="Arial"/>
        </w:rPr>
        <w:t xml:space="preserve">, T., Pallis, A., &amp; Rodrigue, J.-P. (2022). </w:t>
      </w:r>
      <w:r w:rsidRPr="00A81E0C">
        <w:rPr>
          <w:rFonts w:ascii="Arial" w:eastAsia="Arial" w:hAnsi="Arial" w:cs="Arial"/>
          <w:i/>
        </w:rPr>
        <w:t>Port economics, management and policy</w:t>
      </w:r>
      <w:r w:rsidRPr="00A81E0C">
        <w:rPr>
          <w:rFonts w:ascii="Arial" w:eastAsia="Arial" w:hAnsi="Arial" w:cs="Arial"/>
        </w:rPr>
        <w:t>. Routledge. https://porteconomicsmanagement.org</w:t>
      </w:r>
    </w:p>
    <w:p w14:paraId="67C16A62" w14:textId="77777777" w:rsidR="000403B8" w:rsidRPr="00A81E0C" w:rsidRDefault="00AC7B1E">
      <w:pPr>
        <w:pStyle w:val="Body"/>
        <w:spacing w:after="100"/>
        <w:ind w:left="576" w:hanging="576"/>
        <w:jc w:val="left"/>
      </w:pPr>
      <w:r w:rsidRPr="00A81E0C">
        <w:rPr>
          <w:rFonts w:ascii="Arial" w:eastAsia="Arial" w:hAnsi="Arial" w:cs="Arial"/>
        </w:rPr>
        <w:t xml:space="preserve">Perotti, S., Bastidas Santacruz, R. F., Bremer, P., &amp; Beer, J. E. (2022). Logistics 4.0 in warehousing: A conceptual framework of influencing factors, benefits and barriers. </w:t>
      </w:r>
      <w:r w:rsidRPr="00A81E0C">
        <w:rPr>
          <w:rFonts w:ascii="Arial" w:eastAsia="Arial" w:hAnsi="Arial" w:cs="Arial"/>
          <w:i/>
        </w:rPr>
        <w:t>The International Journal of Logistics Management, 33</w:t>
      </w:r>
      <w:r w:rsidRPr="00A81E0C">
        <w:rPr>
          <w:rFonts w:ascii="Arial" w:eastAsia="Arial" w:hAnsi="Arial" w:cs="Arial"/>
        </w:rPr>
        <w:t>(5), 193–220. https://doi.org/10.1108/IJLM-02-2022-0068</w:t>
      </w:r>
    </w:p>
    <w:p w14:paraId="021B3062" w14:textId="77777777" w:rsidR="000403B8" w:rsidRPr="00A81E0C" w:rsidRDefault="00AC7B1E">
      <w:pPr>
        <w:pStyle w:val="Body"/>
        <w:spacing w:after="100"/>
        <w:ind w:left="576" w:hanging="576"/>
        <w:jc w:val="left"/>
      </w:pPr>
      <w:r w:rsidRPr="00A81E0C">
        <w:rPr>
          <w:rFonts w:ascii="Arial" w:eastAsia="Arial" w:hAnsi="Arial" w:cs="Arial"/>
        </w:rPr>
        <w:t xml:space="preserve">Salazar Aguilar, A., &amp; González García, J. (2025). </w:t>
      </w:r>
      <w:proofErr w:type="spellStart"/>
      <w:r w:rsidRPr="00A81E0C">
        <w:rPr>
          <w:rFonts w:ascii="Arial" w:eastAsia="Arial" w:hAnsi="Arial" w:cs="Arial"/>
        </w:rPr>
        <w:t>Integración</w:t>
      </w:r>
      <w:proofErr w:type="spellEnd"/>
      <w:r w:rsidRPr="00A81E0C">
        <w:rPr>
          <w:rFonts w:ascii="Arial" w:eastAsia="Arial" w:hAnsi="Arial" w:cs="Arial"/>
        </w:rPr>
        <w:t xml:space="preserve"> </w:t>
      </w:r>
      <w:proofErr w:type="spellStart"/>
      <w:r w:rsidRPr="00A81E0C">
        <w:rPr>
          <w:rFonts w:ascii="Arial" w:eastAsia="Arial" w:hAnsi="Arial" w:cs="Arial"/>
        </w:rPr>
        <w:t>comercial</w:t>
      </w:r>
      <w:proofErr w:type="spellEnd"/>
      <w:r w:rsidRPr="00A81E0C">
        <w:rPr>
          <w:rFonts w:ascii="Arial" w:eastAsia="Arial" w:hAnsi="Arial" w:cs="Arial"/>
        </w:rPr>
        <w:t xml:space="preserve"> </w:t>
      </w:r>
      <w:proofErr w:type="spellStart"/>
      <w:r w:rsidRPr="00A81E0C">
        <w:rPr>
          <w:rFonts w:ascii="Arial" w:eastAsia="Arial" w:hAnsi="Arial" w:cs="Arial"/>
        </w:rPr>
        <w:t>deficitaria</w:t>
      </w:r>
      <w:proofErr w:type="spellEnd"/>
      <w:r w:rsidRPr="00A81E0C">
        <w:rPr>
          <w:rFonts w:ascii="Arial" w:eastAsia="Arial" w:hAnsi="Arial" w:cs="Arial"/>
        </w:rPr>
        <w:t xml:space="preserve"> de México con el Noreste </w:t>
      </w:r>
      <w:proofErr w:type="spellStart"/>
      <w:r w:rsidRPr="00A81E0C">
        <w:rPr>
          <w:rFonts w:ascii="Arial" w:eastAsia="Arial" w:hAnsi="Arial" w:cs="Arial"/>
        </w:rPr>
        <w:t>asiático</w:t>
      </w:r>
      <w:proofErr w:type="spellEnd"/>
      <w:r w:rsidRPr="00A81E0C">
        <w:rPr>
          <w:rFonts w:ascii="Arial" w:eastAsia="Arial" w:hAnsi="Arial" w:cs="Arial"/>
        </w:rPr>
        <w:t xml:space="preserve">: </w:t>
      </w:r>
      <w:proofErr w:type="spellStart"/>
      <w:r w:rsidRPr="00A81E0C">
        <w:rPr>
          <w:rFonts w:ascii="Arial" w:eastAsia="Arial" w:hAnsi="Arial" w:cs="Arial"/>
        </w:rPr>
        <w:t>Tendencias</w:t>
      </w:r>
      <w:proofErr w:type="spellEnd"/>
      <w:r w:rsidRPr="00A81E0C">
        <w:rPr>
          <w:rFonts w:ascii="Arial" w:eastAsia="Arial" w:hAnsi="Arial" w:cs="Arial"/>
        </w:rPr>
        <w:t xml:space="preserve"> </w:t>
      </w:r>
      <w:proofErr w:type="spellStart"/>
      <w:r w:rsidRPr="00A81E0C">
        <w:rPr>
          <w:rFonts w:ascii="Arial" w:eastAsia="Arial" w:hAnsi="Arial" w:cs="Arial"/>
        </w:rPr>
        <w:t>posibles</w:t>
      </w:r>
      <w:proofErr w:type="spellEnd"/>
      <w:r w:rsidRPr="00A81E0C">
        <w:rPr>
          <w:rFonts w:ascii="Arial" w:eastAsia="Arial" w:hAnsi="Arial" w:cs="Arial"/>
        </w:rPr>
        <w:t xml:space="preserve"> ante el </w:t>
      </w:r>
      <w:proofErr w:type="spellStart"/>
      <w:r w:rsidRPr="00A81E0C">
        <w:rPr>
          <w:rFonts w:ascii="Arial" w:eastAsia="Arial" w:hAnsi="Arial" w:cs="Arial"/>
        </w:rPr>
        <w:t>neoproteccionismo</w:t>
      </w:r>
      <w:proofErr w:type="spellEnd"/>
      <w:r w:rsidRPr="00A81E0C">
        <w:rPr>
          <w:rFonts w:ascii="Arial" w:eastAsia="Arial" w:hAnsi="Arial" w:cs="Arial"/>
        </w:rPr>
        <w:t xml:space="preserve"> [Mexico's deficit trade integration with Northeast Asia: Possible trends in the face of neo-protectionism]. </w:t>
      </w:r>
      <w:proofErr w:type="spellStart"/>
      <w:r w:rsidRPr="00A81E0C">
        <w:rPr>
          <w:rFonts w:ascii="Arial" w:eastAsia="Arial" w:hAnsi="Arial" w:cs="Arial"/>
          <w:i/>
        </w:rPr>
        <w:t>Análisis</w:t>
      </w:r>
      <w:proofErr w:type="spellEnd"/>
      <w:r w:rsidRPr="00A81E0C">
        <w:rPr>
          <w:rFonts w:ascii="Arial" w:eastAsia="Arial" w:hAnsi="Arial" w:cs="Arial"/>
          <w:i/>
        </w:rPr>
        <w:t xml:space="preserve"> Económico, 40</w:t>
      </w:r>
      <w:r w:rsidRPr="00A81E0C">
        <w:rPr>
          <w:rFonts w:ascii="Arial" w:eastAsia="Arial" w:hAnsi="Arial" w:cs="Arial"/>
        </w:rPr>
        <w:t>(105), 61–85. https://doi.org/10.24275/uam/azc/dcsh/ae/2025v40n105/Salazar</w:t>
      </w:r>
    </w:p>
    <w:p w14:paraId="681BDFF6" w14:textId="77777777" w:rsidR="000403B8" w:rsidRPr="00A81E0C" w:rsidRDefault="00AC7B1E">
      <w:pPr>
        <w:pStyle w:val="Body"/>
        <w:spacing w:after="100"/>
        <w:ind w:left="576" w:hanging="576"/>
        <w:jc w:val="left"/>
      </w:pPr>
      <w:proofErr w:type="spellStart"/>
      <w:r w:rsidRPr="00A81E0C">
        <w:rPr>
          <w:rFonts w:ascii="Arial" w:eastAsia="Arial" w:hAnsi="Arial" w:cs="Arial"/>
        </w:rPr>
        <w:t>Secretaría</w:t>
      </w:r>
      <w:proofErr w:type="spellEnd"/>
      <w:r w:rsidRPr="00A81E0C">
        <w:rPr>
          <w:rFonts w:ascii="Arial" w:eastAsia="Arial" w:hAnsi="Arial" w:cs="Arial"/>
        </w:rPr>
        <w:t xml:space="preserve"> de </w:t>
      </w:r>
      <w:proofErr w:type="spellStart"/>
      <w:r w:rsidRPr="00A81E0C">
        <w:rPr>
          <w:rFonts w:ascii="Arial" w:eastAsia="Arial" w:hAnsi="Arial" w:cs="Arial"/>
        </w:rPr>
        <w:t>Infraestructura</w:t>
      </w:r>
      <w:proofErr w:type="spellEnd"/>
      <w:r w:rsidRPr="00A81E0C">
        <w:rPr>
          <w:rFonts w:ascii="Arial" w:eastAsia="Arial" w:hAnsi="Arial" w:cs="Arial"/>
        </w:rPr>
        <w:t xml:space="preserve">, Comunicaciones y </w:t>
      </w:r>
      <w:proofErr w:type="spellStart"/>
      <w:r w:rsidRPr="00A81E0C">
        <w:rPr>
          <w:rFonts w:ascii="Arial" w:eastAsia="Arial" w:hAnsi="Arial" w:cs="Arial"/>
        </w:rPr>
        <w:t>Transportes</w:t>
      </w:r>
      <w:proofErr w:type="spellEnd"/>
      <w:r w:rsidRPr="00A81E0C">
        <w:rPr>
          <w:rFonts w:ascii="Arial" w:eastAsia="Arial" w:hAnsi="Arial" w:cs="Arial"/>
        </w:rPr>
        <w:t xml:space="preserve">. (2024). </w:t>
      </w:r>
      <w:r w:rsidRPr="00A81E0C">
        <w:rPr>
          <w:rFonts w:ascii="Arial" w:eastAsia="Arial" w:hAnsi="Arial" w:cs="Arial"/>
          <w:i/>
        </w:rPr>
        <w:t xml:space="preserve">Sistema Nacional de </w:t>
      </w:r>
      <w:proofErr w:type="spellStart"/>
      <w:r w:rsidRPr="00A81E0C">
        <w:rPr>
          <w:rFonts w:ascii="Arial" w:eastAsia="Arial" w:hAnsi="Arial" w:cs="Arial"/>
          <w:i/>
        </w:rPr>
        <w:t>Información</w:t>
      </w:r>
      <w:proofErr w:type="spellEnd"/>
      <w:r w:rsidRPr="00A81E0C">
        <w:rPr>
          <w:rFonts w:ascii="Arial" w:eastAsia="Arial" w:hAnsi="Arial" w:cs="Arial"/>
          <w:i/>
        </w:rPr>
        <w:t xml:space="preserve"> </w:t>
      </w:r>
      <w:proofErr w:type="spellStart"/>
      <w:r w:rsidRPr="00A81E0C">
        <w:rPr>
          <w:rFonts w:ascii="Arial" w:eastAsia="Arial" w:hAnsi="Arial" w:cs="Arial"/>
          <w:i/>
        </w:rPr>
        <w:t>Estadística</w:t>
      </w:r>
      <w:proofErr w:type="spellEnd"/>
      <w:r w:rsidRPr="00A81E0C">
        <w:rPr>
          <w:rFonts w:ascii="Arial" w:eastAsia="Arial" w:hAnsi="Arial" w:cs="Arial"/>
          <w:i/>
        </w:rPr>
        <w:t xml:space="preserve"> del Sector Comunicaciones y </w:t>
      </w:r>
      <w:proofErr w:type="spellStart"/>
      <w:r w:rsidRPr="00A81E0C">
        <w:rPr>
          <w:rFonts w:ascii="Arial" w:eastAsia="Arial" w:hAnsi="Arial" w:cs="Arial"/>
          <w:i/>
        </w:rPr>
        <w:t>Transportes</w:t>
      </w:r>
      <w:proofErr w:type="spellEnd"/>
      <w:r w:rsidRPr="00A81E0C">
        <w:rPr>
          <w:rFonts w:ascii="Arial" w:eastAsia="Arial" w:hAnsi="Arial" w:cs="Arial"/>
          <w:i/>
        </w:rPr>
        <w:t xml:space="preserve">: </w:t>
      </w:r>
      <w:proofErr w:type="spellStart"/>
      <w:r w:rsidRPr="00A81E0C">
        <w:rPr>
          <w:rFonts w:ascii="Arial" w:eastAsia="Arial" w:hAnsi="Arial" w:cs="Arial"/>
          <w:i/>
        </w:rPr>
        <w:t>Estadísticas</w:t>
      </w:r>
      <w:proofErr w:type="spellEnd"/>
      <w:r w:rsidRPr="00A81E0C">
        <w:rPr>
          <w:rFonts w:ascii="Arial" w:eastAsia="Arial" w:hAnsi="Arial" w:cs="Arial"/>
          <w:i/>
        </w:rPr>
        <w:t xml:space="preserve"> </w:t>
      </w:r>
      <w:proofErr w:type="spellStart"/>
      <w:r w:rsidRPr="00A81E0C">
        <w:rPr>
          <w:rFonts w:ascii="Arial" w:eastAsia="Arial" w:hAnsi="Arial" w:cs="Arial"/>
          <w:i/>
        </w:rPr>
        <w:t>portuarias</w:t>
      </w:r>
      <w:proofErr w:type="spellEnd"/>
      <w:r w:rsidRPr="00A81E0C">
        <w:rPr>
          <w:rFonts w:ascii="Arial" w:eastAsia="Arial" w:hAnsi="Arial" w:cs="Arial"/>
          <w:i/>
        </w:rPr>
        <w:t xml:space="preserve"> 2023</w:t>
      </w:r>
      <w:r w:rsidRPr="00A81E0C">
        <w:rPr>
          <w:rFonts w:ascii="Arial" w:eastAsia="Arial" w:hAnsi="Arial" w:cs="Arial"/>
        </w:rPr>
        <w:t xml:space="preserve"> [National statistical information system for the communications and transport sector: Port statistics 2023]. SICT. https://www.gob.mx/sict</w:t>
      </w:r>
    </w:p>
    <w:p w14:paraId="106BE1B3" w14:textId="77777777" w:rsidR="000403B8" w:rsidRPr="00A81E0C" w:rsidRDefault="00AC7B1E">
      <w:pPr>
        <w:pStyle w:val="Body"/>
        <w:spacing w:after="100"/>
        <w:ind w:left="576" w:hanging="576"/>
        <w:jc w:val="left"/>
      </w:pPr>
      <w:proofErr w:type="spellStart"/>
      <w:r w:rsidRPr="00A81E0C">
        <w:rPr>
          <w:rFonts w:ascii="Arial" w:eastAsia="Arial" w:hAnsi="Arial" w:cs="Arial"/>
        </w:rPr>
        <w:t>Secretaría</w:t>
      </w:r>
      <w:proofErr w:type="spellEnd"/>
      <w:r w:rsidRPr="00A81E0C">
        <w:rPr>
          <w:rFonts w:ascii="Arial" w:eastAsia="Arial" w:hAnsi="Arial" w:cs="Arial"/>
        </w:rPr>
        <w:t xml:space="preserve"> de Marina. (2024). </w:t>
      </w:r>
      <w:proofErr w:type="spellStart"/>
      <w:r w:rsidRPr="00A81E0C">
        <w:rPr>
          <w:rFonts w:ascii="Arial" w:eastAsia="Arial" w:hAnsi="Arial" w:cs="Arial"/>
          <w:i/>
        </w:rPr>
        <w:t>Anuario</w:t>
      </w:r>
      <w:proofErr w:type="spellEnd"/>
      <w:r w:rsidRPr="00A81E0C">
        <w:rPr>
          <w:rFonts w:ascii="Arial" w:eastAsia="Arial" w:hAnsi="Arial" w:cs="Arial"/>
          <w:i/>
        </w:rPr>
        <w:t xml:space="preserve"> </w:t>
      </w:r>
      <w:proofErr w:type="spellStart"/>
      <w:r w:rsidRPr="00A81E0C">
        <w:rPr>
          <w:rFonts w:ascii="Arial" w:eastAsia="Arial" w:hAnsi="Arial" w:cs="Arial"/>
          <w:i/>
        </w:rPr>
        <w:t>estadístico</w:t>
      </w:r>
      <w:proofErr w:type="spellEnd"/>
      <w:r w:rsidRPr="00A81E0C">
        <w:rPr>
          <w:rFonts w:ascii="Arial" w:eastAsia="Arial" w:hAnsi="Arial" w:cs="Arial"/>
          <w:i/>
        </w:rPr>
        <w:t xml:space="preserve"> del Sistema </w:t>
      </w:r>
      <w:proofErr w:type="spellStart"/>
      <w:r w:rsidRPr="00A81E0C">
        <w:rPr>
          <w:rFonts w:ascii="Arial" w:eastAsia="Arial" w:hAnsi="Arial" w:cs="Arial"/>
          <w:i/>
        </w:rPr>
        <w:t>Portuario</w:t>
      </w:r>
      <w:proofErr w:type="spellEnd"/>
      <w:r w:rsidRPr="00A81E0C">
        <w:rPr>
          <w:rFonts w:ascii="Arial" w:eastAsia="Arial" w:hAnsi="Arial" w:cs="Arial"/>
          <w:i/>
        </w:rPr>
        <w:t xml:space="preserve"> Nacional</w:t>
      </w:r>
      <w:r w:rsidRPr="00A81E0C">
        <w:rPr>
          <w:rFonts w:ascii="Arial" w:eastAsia="Arial" w:hAnsi="Arial" w:cs="Arial"/>
        </w:rPr>
        <w:t xml:space="preserve"> [Statistical yearbook of the National Port System]. SEMAR. https://www.gob.mx/semar</w:t>
      </w:r>
    </w:p>
    <w:p w14:paraId="15BE47C7" w14:textId="77777777" w:rsidR="000403B8" w:rsidRPr="00A81E0C" w:rsidRDefault="00AC7B1E">
      <w:pPr>
        <w:pStyle w:val="Body"/>
        <w:spacing w:after="100"/>
        <w:ind w:left="576" w:hanging="576"/>
        <w:jc w:val="left"/>
      </w:pPr>
      <w:r w:rsidRPr="00A81E0C">
        <w:rPr>
          <w:rFonts w:ascii="Arial" w:eastAsia="Arial" w:hAnsi="Arial" w:cs="Arial"/>
        </w:rPr>
        <w:t xml:space="preserve">Sheffi, Y. (2023). </w:t>
      </w:r>
      <w:r w:rsidRPr="00A81E0C">
        <w:rPr>
          <w:rFonts w:ascii="Arial" w:eastAsia="Arial" w:hAnsi="Arial" w:cs="Arial"/>
          <w:i/>
        </w:rPr>
        <w:t>The magic conveyor belt: Supply chains, A.I., and the future of work</w:t>
      </w:r>
      <w:r w:rsidRPr="00A81E0C">
        <w:rPr>
          <w:rFonts w:ascii="Arial" w:eastAsia="Arial" w:hAnsi="Arial" w:cs="Arial"/>
        </w:rPr>
        <w:t>. MIT CTL Media.</w:t>
      </w:r>
    </w:p>
    <w:p w14:paraId="3FD4562A" w14:textId="77777777" w:rsidR="000403B8" w:rsidRPr="00A81E0C" w:rsidRDefault="00AC7B1E">
      <w:pPr>
        <w:pStyle w:val="Body"/>
        <w:spacing w:after="100"/>
        <w:ind w:left="576" w:hanging="576"/>
        <w:jc w:val="left"/>
      </w:pPr>
      <w:r w:rsidRPr="00A81E0C">
        <w:rPr>
          <w:rFonts w:ascii="Arial" w:eastAsia="Arial" w:hAnsi="Arial" w:cs="Arial"/>
        </w:rPr>
        <w:t xml:space="preserve">Silva Medina, P. I., García Alcaraz, P., Escamilla López, M., Tejeda Castrejón, J. F., &amp; </w:t>
      </w:r>
      <w:proofErr w:type="spellStart"/>
      <w:r w:rsidRPr="00A81E0C">
        <w:rPr>
          <w:rFonts w:ascii="Arial" w:eastAsia="Arial" w:hAnsi="Arial" w:cs="Arial"/>
        </w:rPr>
        <w:t>Mejías</w:t>
      </w:r>
      <w:proofErr w:type="spellEnd"/>
      <w:r w:rsidRPr="00A81E0C">
        <w:rPr>
          <w:rFonts w:ascii="Arial" w:eastAsia="Arial" w:hAnsi="Arial" w:cs="Arial"/>
        </w:rPr>
        <w:t xml:space="preserve"> Brito, J. (2026). </w:t>
      </w:r>
      <w:proofErr w:type="spellStart"/>
      <w:r w:rsidRPr="00A81E0C">
        <w:rPr>
          <w:rFonts w:ascii="Arial" w:eastAsia="Arial" w:hAnsi="Arial" w:cs="Arial"/>
        </w:rPr>
        <w:t>Propuesta</w:t>
      </w:r>
      <w:proofErr w:type="spellEnd"/>
      <w:r w:rsidRPr="00A81E0C">
        <w:rPr>
          <w:rFonts w:ascii="Arial" w:eastAsia="Arial" w:hAnsi="Arial" w:cs="Arial"/>
        </w:rPr>
        <w:t xml:space="preserve"> </w:t>
      </w:r>
      <w:proofErr w:type="spellStart"/>
      <w:r w:rsidRPr="00A81E0C">
        <w:rPr>
          <w:rFonts w:ascii="Arial" w:eastAsia="Arial" w:hAnsi="Arial" w:cs="Arial"/>
        </w:rPr>
        <w:t>metodológica</w:t>
      </w:r>
      <w:proofErr w:type="spellEnd"/>
      <w:r w:rsidRPr="00A81E0C">
        <w:rPr>
          <w:rFonts w:ascii="Arial" w:eastAsia="Arial" w:hAnsi="Arial" w:cs="Arial"/>
        </w:rPr>
        <w:t xml:space="preserve"> para el </w:t>
      </w:r>
      <w:proofErr w:type="spellStart"/>
      <w:r w:rsidRPr="00A81E0C">
        <w:rPr>
          <w:rFonts w:ascii="Arial" w:eastAsia="Arial" w:hAnsi="Arial" w:cs="Arial"/>
        </w:rPr>
        <w:t>desarrollo</w:t>
      </w:r>
      <w:proofErr w:type="spellEnd"/>
      <w:r w:rsidRPr="00A81E0C">
        <w:rPr>
          <w:rFonts w:ascii="Arial" w:eastAsia="Arial" w:hAnsi="Arial" w:cs="Arial"/>
        </w:rPr>
        <w:t xml:space="preserve"> de </w:t>
      </w:r>
      <w:proofErr w:type="spellStart"/>
      <w:r w:rsidRPr="00A81E0C">
        <w:rPr>
          <w:rFonts w:ascii="Arial" w:eastAsia="Arial" w:hAnsi="Arial" w:cs="Arial"/>
        </w:rPr>
        <w:t>competencias</w:t>
      </w:r>
      <w:proofErr w:type="spellEnd"/>
      <w:r w:rsidRPr="00A81E0C">
        <w:rPr>
          <w:rFonts w:ascii="Arial" w:eastAsia="Arial" w:hAnsi="Arial" w:cs="Arial"/>
        </w:rPr>
        <w:t xml:space="preserve"> </w:t>
      </w:r>
      <w:proofErr w:type="spellStart"/>
      <w:r w:rsidRPr="00A81E0C">
        <w:rPr>
          <w:rFonts w:ascii="Arial" w:eastAsia="Arial" w:hAnsi="Arial" w:cs="Arial"/>
        </w:rPr>
        <w:t>digitales</w:t>
      </w:r>
      <w:proofErr w:type="spellEnd"/>
      <w:r w:rsidRPr="00A81E0C">
        <w:rPr>
          <w:rFonts w:ascii="Arial" w:eastAsia="Arial" w:hAnsi="Arial" w:cs="Arial"/>
        </w:rPr>
        <w:t xml:space="preserve"> </w:t>
      </w:r>
      <w:proofErr w:type="spellStart"/>
      <w:r w:rsidRPr="00A81E0C">
        <w:rPr>
          <w:rFonts w:ascii="Arial" w:eastAsia="Arial" w:hAnsi="Arial" w:cs="Arial"/>
        </w:rPr>
        <w:t>en</w:t>
      </w:r>
      <w:proofErr w:type="spellEnd"/>
      <w:r w:rsidRPr="00A81E0C">
        <w:rPr>
          <w:rFonts w:ascii="Arial" w:eastAsia="Arial" w:hAnsi="Arial" w:cs="Arial"/>
        </w:rPr>
        <w:t xml:space="preserve"> Ingeniería Industrial: Una </w:t>
      </w:r>
      <w:proofErr w:type="spellStart"/>
      <w:r w:rsidRPr="00A81E0C">
        <w:rPr>
          <w:rFonts w:ascii="Arial" w:eastAsia="Arial" w:hAnsi="Arial" w:cs="Arial"/>
        </w:rPr>
        <w:t>transición</w:t>
      </w:r>
      <w:proofErr w:type="spellEnd"/>
      <w:r w:rsidRPr="00A81E0C">
        <w:rPr>
          <w:rFonts w:ascii="Arial" w:eastAsia="Arial" w:hAnsi="Arial" w:cs="Arial"/>
        </w:rPr>
        <w:t xml:space="preserve"> </w:t>
      </w:r>
      <w:proofErr w:type="spellStart"/>
      <w:r w:rsidRPr="00A81E0C">
        <w:rPr>
          <w:rFonts w:ascii="Arial" w:eastAsia="Arial" w:hAnsi="Arial" w:cs="Arial"/>
        </w:rPr>
        <w:t>hacia</w:t>
      </w:r>
      <w:proofErr w:type="spellEnd"/>
      <w:r w:rsidRPr="00A81E0C">
        <w:rPr>
          <w:rFonts w:ascii="Arial" w:eastAsia="Arial" w:hAnsi="Arial" w:cs="Arial"/>
        </w:rPr>
        <w:t xml:space="preserve"> la </w:t>
      </w:r>
      <w:proofErr w:type="spellStart"/>
      <w:r w:rsidRPr="00A81E0C">
        <w:rPr>
          <w:rFonts w:ascii="Arial" w:eastAsia="Arial" w:hAnsi="Arial" w:cs="Arial"/>
        </w:rPr>
        <w:t>industria</w:t>
      </w:r>
      <w:proofErr w:type="spellEnd"/>
      <w:r w:rsidRPr="00A81E0C">
        <w:rPr>
          <w:rFonts w:ascii="Arial" w:eastAsia="Arial" w:hAnsi="Arial" w:cs="Arial"/>
        </w:rPr>
        <w:t xml:space="preserve"> </w:t>
      </w:r>
      <w:proofErr w:type="spellStart"/>
      <w:r w:rsidRPr="00A81E0C">
        <w:rPr>
          <w:rFonts w:ascii="Arial" w:eastAsia="Arial" w:hAnsi="Arial" w:cs="Arial"/>
        </w:rPr>
        <w:t>inteligente</w:t>
      </w:r>
      <w:proofErr w:type="spellEnd"/>
      <w:r w:rsidRPr="00A81E0C">
        <w:rPr>
          <w:rFonts w:ascii="Arial" w:eastAsia="Arial" w:hAnsi="Arial" w:cs="Arial"/>
        </w:rPr>
        <w:t xml:space="preserve"> </w:t>
      </w:r>
      <w:proofErr w:type="spellStart"/>
      <w:r w:rsidRPr="00A81E0C">
        <w:rPr>
          <w:rFonts w:ascii="Arial" w:eastAsia="Arial" w:hAnsi="Arial" w:cs="Arial"/>
        </w:rPr>
        <w:t>en</w:t>
      </w:r>
      <w:proofErr w:type="spellEnd"/>
      <w:r w:rsidRPr="00A81E0C">
        <w:rPr>
          <w:rFonts w:ascii="Arial" w:eastAsia="Arial" w:hAnsi="Arial" w:cs="Arial"/>
        </w:rPr>
        <w:t xml:space="preserve"> el plan IIND-2010-227 [A methodological proposal for developing digital competences in Industrial Engineering: A transition toward smart industry in plan IIND-2010-227]. </w:t>
      </w:r>
      <w:proofErr w:type="spellStart"/>
      <w:r w:rsidRPr="00A81E0C">
        <w:rPr>
          <w:rFonts w:ascii="Arial" w:eastAsia="Arial" w:hAnsi="Arial" w:cs="Arial"/>
          <w:i/>
        </w:rPr>
        <w:t>Dilemas</w:t>
      </w:r>
      <w:proofErr w:type="spellEnd"/>
      <w:r w:rsidRPr="00A81E0C">
        <w:rPr>
          <w:rFonts w:ascii="Arial" w:eastAsia="Arial" w:hAnsi="Arial" w:cs="Arial"/>
          <w:i/>
        </w:rPr>
        <w:t xml:space="preserve"> </w:t>
      </w:r>
      <w:proofErr w:type="spellStart"/>
      <w:r w:rsidRPr="00A81E0C">
        <w:rPr>
          <w:rFonts w:ascii="Arial" w:eastAsia="Arial" w:hAnsi="Arial" w:cs="Arial"/>
          <w:i/>
        </w:rPr>
        <w:t>Contemporáneos</w:t>
      </w:r>
      <w:proofErr w:type="spellEnd"/>
      <w:r w:rsidRPr="00A81E0C">
        <w:rPr>
          <w:rFonts w:ascii="Arial" w:eastAsia="Arial" w:hAnsi="Arial" w:cs="Arial"/>
          <w:i/>
        </w:rPr>
        <w:t xml:space="preserve">: </w:t>
      </w:r>
      <w:proofErr w:type="spellStart"/>
      <w:r w:rsidRPr="00A81E0C">
        <w:rPr>
          <w:rFonts w:ascii="Arial" w:eastAsia="Arial" w:hAnsi="Arial" w:cs="Arial"/>
          <w:i/>
        </w:rPr>
        <w:t>Educación</w:t>
      </w:r>
      <w:proofErr w:type="spellEnd"/>
      <w:r w:rsidRPr="00A81E0C">
        <w:rPr>
          <w:rFonts w:ascii="Arial" w:eastAsia="Arial" w:hAnsi="Arial" w:cs="Arial"/>
          <w:i/>
        </w:rPr>
        <w:t>, Política y Valores, 13</w:t>
      </w:r>
      <w:r w:rsidRPr="00A81E0C">
        <w:rPr>
          <w:rFonts w:ascii="Arial" w:eastAsia="Arial" w:hAnsi="Arial" w:cs="Arial"/>
        </w:rPr>
        <w:t>(3). https://doi.org/10.46377/dilemas.v13i3.4882</w:t>
      </w:r>
    </w:p>
    <w:p w14:paraId="4FFA5DED" w14:textId="77777777" w:rsidR="000403B8" w:rsidRPr="00A81E0C" w:rsidRDefault="00AC7B1E">
      <w:pPr>
        <w:pStyle w:val="Body"/>
        <w:spacing w:after="100"/>
        <w:ind w:left="576" w:hanging="576"/>
        <w:jc w:val="left"/>
      </w:pPr>
      <w:r w:rsidRPr="00A81E0C">
        <w:rPr>
          <w:rFonts w:ascii="Arial" w:eastAsia="Arial" w:hAnsi="Arial" w:cs="Arial"/>
        </w:rPr>
        <w:t xml:space="preserve">Tecnológico Nacional de México. (2015). </w:t>
      </w:r>
      <w:r w:rsidRPr="00A81E0C">
        <w:rPr>
          <w:rFonts w:ascii="Arial" w:eastAsia="Arial" w:hAnsi="Arial" w:cs="Arial"/>
          <w:i/>
        </w:rPr>
        <w:t xml:space="preserve">Manual de </w:t>
      </w:r>
      <w:proofErr w:type="spellStart"/>
      <w:r w:rsidRPr="00A81E0C">
        <w:rPr>
          <w:rFonts w:ascii="Arial" w:eastAsia="Arial" w:hAnsi="Arial" w:cs="Arial"/>
          <w:i/>
        </w:rPr>
        <w:t>lineamientos</w:t>
      </w:r>
      <w:proofErr w:type="spellEnd"/>
      <w:r w:rsidRPr="00A81E0C">
        <w:rPr>
          <w:rFonts w:ascii="Arial" w:eastAsia="Arial" w:hAnsi="Arial" w:cs="Arial"/>
          <w:i/>
        </w:rPr>
        <w:t xml:space="preserve"> </w:t>
      </w:r>
      <w:proofErr w:type="spellStart"/>
      <w:r w:rsidRPr="00A81E0C">
        <w:rPr>
          <w:rFonts w:ascii="Arial" w:eastAsia="Arial" w:hAnsi="Arial" w:cs="Arial"/>
          <w:i/>
        </w:rPr>
        <w:t>académico-administrativos</w:t>
      </w:r>
      <w:proofErr w:type="spellEnd"/>
      <w:r w:rsidRPr="00A81E0C">
        <w:rPr>
          <w:rFonts w:ascii="Arial" w:eastAsia="Arial" w:hAnsi="Arial" w:cs="Arial"/>
          <w:i/>
        </w:rPr>
        <w:t xml:space="preserve"> del Tecnológico Nacional de México. </w:t>
      </w:r>
      <w:proofErr w:type="spellStart"/>
      <w:r w:rsidRPr="00A81E0C">
        <w:rPr>
          <w:rFonts w:ascii="Arial" w:eastAsia="Arial" w:hAnsi="Arial" w:cs="Arial"/>
          <w:i/>
        </w:rPr>
        <w:t>Capítulo</w:t>
      </w:r>
      <w:proofErr w:type="spellEnd"/>
      <w:r w:rsidRPr="00A81E0C">
        <w:rPr>
          <w:rFonts w:ascii="Arial" w:eastAsia="Arial" w:hAnsi="Arial" w:cs="Arial"/>
          <w:i/>
        </w:rPr>
        <w:t xml:space="preserve"> 19: </w:t>
      </w:r>
      <w:proofErr w:type="spellStart"/>
      <w:r w:rsidRPr="00A81E0C">
        <w:rPr>
          <w:rFonts w:ascii="Arial" w:eastAsia="Arial" w:hAnsi="Arial" w:cs="Arial"/>
          <w:i/>
        </w:rPr>
        <w:t>Lineamiento</w:t>
      </w:r>
      <w:proofErr w:type="spellEnd"/>
      <w:r w:rsidRPr="00A81E0C">
        <w:rPr>
          <w:rFonts w:ascii="Arial" w:eastAsia="Arial" w:hAnsi="Arial" w:cs="Arial"/>
          <w:i/>
        </w:rPr>
        <w:t xml:space="preserve"> para la </w:t>
      </w:r>
      <w:proofErr w:type="spellStart"/>
      <w:r w:rsidRPr="00A81E0C">
        <w:rPr>
          <w:rFonts w:ascii="Arial" w:eastAsia="Arial" w:hAnsi="Arial" w:cs="Arial"/>
          <w:i/>
        </w:rPr>
        <w:t>integración</w:t>
      </w:r>
      <w:proofErr w:type="spellEnd"/>
      <w:r w:rsidRPr="00A81E0C">
        <w:rPr>
          <w:rFonts w:ascii="Arial" w:eastAsia="Arial" w:hAnsi="Arial" w:cs="Arial"/>
          <w:i/>
        </w:rPr>
        <w:t xml:space="preserve"> de </w:t>
      </w:r>
      <w:proofErr w:type="spellStart"/>
      <w:r w:rsidRPr="00A81E0C">
        <w:rPr>
          <w:rFonts w:ascii="Arial" w:eastAsia="Arial" w:hAnsi="Arial" w:cs="Arial"/>
          <w:i/>
        </w:rPr>
        <w:t>especialidades</w:t>
      </w:r>
      <w:proofErr w:type="spellEnd"/>
      <w:r w:rsidRPr="00A81E0C">
        <w:rPr>
          <w:rFonts w:ascii="Arial" w:eastAsia="Arial" w:hAnsi="Arial" w:cs="Arial"/>
        </w:rPr>
        <w:t xml:space="preserve"> [Manual of academic-administrative guidelines of </w:t>
      </w:r>
      <w:proofErr w:type="spellStart"/>
      <w:r w:rsidRPr="00A81E0C">
        <w:rPr>
          <w:rFonts w:ascii="Arial" w:eastAsia="Arial" w:hAnsi="Arial" w:cs="Arial"/>
        </w:rPr>
        <w:t>TecNM</w:t>
      </w:r>
      <w:proofErr w:type="spellEnd"/>
      <w:r w:rsidRPr="00A81E0C">
        <w:rPr>
          <w:rFonts w:ascii="Arial" w:eastAsia="Arial" w:hAnsi="Arial" w:cs="Arial"/>
        </w:rPr>
        <w:t xml:space="preserve">. Chapter 19: Guideline for the integration of specializations]. </w:t>
      </w:r>
      <w:proofErr w:type="spellStart"/>
      <w:r w:rsidRPr="00A81E0C">
        <w:rPr>
          <w:rFonts w:ascii="Arial" w:eastAsia="Arial" w:hAnsi="Arial" w:cs="Arial"/>
        </w:rPr>
        <w:t>TecNM</w:t>
      </w:r>
      <w:proofErr w:type="spellEnd"/>
      <w:r w:rsidRPr="00A81E0C">
        <w:rPr>
          <w:rFonts w:ascii="Arial" w:eastAsia="Arial" w:hAnsi="Arial" w:cs="Arial"/>
        </w:rPr>
        <w:t>. https://www.tecnm.mx</w:t>
      </w:r>
    </w:p>
    <w:p w14:paraId="52F230AD" w14:textId="77777777" w:rsidR="000403B8" w:rsidRPr="00A81E0C" w:rsidRDefault="00AC7B1E">
      <w:pPr>
        <w:pStyle w:val="Body"/>
        <w:spacing w:after="100"/>
        <w:ind w:left="576" w:hanging="576"/>
        <w:jc w:val="left"/>
      </w:pPr>
      <w:proofErr w:type="spellStart"/>
      <w:r w:rsidRPr="00A81E0C">
        <w:rPr>
          <w:rFonts w:ascii="Arial" w:eastAsia="Arial" w:hAnsi="Arial" w:cs="Arial"/>
        </w:rPr>
        <w:t>Tikwayo</w:t>
      </w:r>
      <w:proofErr w:type="spellEnd"/>
      <w:r w:rsidRPr="00A81E0C">
        <w:rPr>
          <w:rFonts w:ascii="Arial" w:eastAsia="Arial" w:hAnsi="Arial" w:cs="Arial"/>
        </w:rPr>
        <w:t xml:space="preserve">, L. N., &amp; Mathaba, T. N. D. (2023). Applications of Industry 4.0 technologies in warehouse management: A systematic literature review. </w:t>
      </w:r>
      <w:r w:rsidRPr="00A81E0C">
        <w:rPr>
          <w:rFonts w:ascii="Arial" w:eastAsia="Arial" w:hAnsi="Arial" w:cs="Arial"/>
          <w:i/>
        </w:rPr>
        <w:t>Logistics, 7</w:t>
      </w:r>
      <w:r w:rsidRPr="00A81E0C">
        <w:rPr>
          <w:rFonts w:ascii="Arial" w:eastAsia="Arial" w:hAnsi="Arial" w:cs="Arial"/>
        </w:rPr>
        <w:t>(2), 24. https://doi.org/10.3390/logistics7020024</w:t>
      </w:r>
    </w:p>
    <w:p w14:paraId="3042460C" w14:textId="77777777" w:rsidR="000403B8" w:rsidRPr="00A81E0C" w:rsidRDefault="00AC7B1E">
      <w:pPr>
        <w:pStyle w:val="Body"/>
        <w:spacing w:after="100"/>
        <w:ind w:left="576" w:hanging="576"/>
        <w:jc w:val="left"/>
      </w:pPr>
      <w:proofErr w:type="spellStart"/>
      <w:r w:rsidRPr="00A81E0C">
        <w:rPr>
          <w:rFonts w:ascii="Arial" w:eastAsia="Arial" w:hAnsi="Arial" w:cs="Arial"/>
        </w:rPr>
        <w:t>Tobón</w:t>
      </w:r>
      <w:proofErr w:type="spellEnd"/>
      <w:r w:rsidRPr="00A81E0C">
        <w:rPr>
          <w:rFonts w:ascii="Arial" w:eastAsia="Arial" w:hAnsi="Arial" w:cs="Arial"/>
        </w:rPr>
        <w:t xml:space="preserve">, S., Pimienta, J., &amp; García Fraile, J. A. (2022). </w:t>
      </w:r>
      <w:proofErr w:type="spellStart"/>
      <w:r w:rsidRPr="00A81E0C">
        <w:rPr>
          <w:rFonts w:ascii="Arial" w:eastAsia="Arial" w:hAnsi="Arial" w:cs="Arial"/>
          <w:i/>
        </w:rPr>
        <w:t>Secuencias</w:t>
      </w:r>
      <w:proofErr w:type="spellEnd"/>
      <w:r w:rsidRPr="00A81E0C">
        <w:rPr>
          <w:rFonts w:ascii="Arial" w:eastAsia="Arial" w:hAnsi="Arial" w:cs="Arial"/>
          <w:i/>
        </w:rPr>
        <w:t xml:space="preserve"> </w:t>
      </w:r>
      <w:proofErr w:type="spellStart"/>
      <w:r w:rsidRPr="00A81E0C">
        <w:rPr>
          <w:rFonts w:ascii="Arial" w:eastAsia="Arial" w:hAnsi="Arial" w:cs="Arial"/>
          <w:i/>
        </w:rPr>
        <w:t>didácticas</w:t>
      </w:r>
      <w:proofErr w:type="spellEnd"/>
      <w:r w:rsidRPr="00A81E0C">
        <w:rPr>
          <w:rFonts w:ascii="Arial" w:eastAsia="Arial" w:hAnsi="Arial" w:cs="Arial"/>
          <w:i/>
        </w:rPr>
        <w:t xml:space="preserve">: </w:t>
      </w:r>
      <w:proofErr w:type="spellStart"/>
      <w:r w:rsidRPr="00A81E0C">
        <w:rPr>
          <w:rFonts w:ascii="Arial" w:eastAsia="Arial" w:hAnsi="Arial" w:cs="Arial"/>
          <w:i/>
        </w:rPr>
        <w:t>Aprendizaje</w:t>
      </w:r>
      <w:proofErr w:type="spellEnd"/>
      <w:r w:rsidRPr="00A81E0C">
        <w:rPr>
          <w:rFonts w:ascii="Arial" w:eastAsia="Arial" w:hAnsi="Arial" w:cs="Arial"/>
          <w:i/>
        </w:rPr>
        <w:t xml:space="preserve"> y </w:t>
      </w:r>
      <w:proofErr w:type="spellStart"/>
      <w:r w:rsidRPr="00A81E0C">
        <w:rPr>
          <w:rFonts w:ascii="Arial" w:eastAsia="Arial" w:hAnsi="Arial" w:cs="Arial"/>
          <w:i/>
        </w:rPr>
        <w:t>evaluación</w:t>
      </w:r>
      <w:proofErr w:type="spellEnd"/>
      <w:r w:rsidRPr="00A81E0C">
        <w:rPr>
          <w:rFonts w:ascii="Arial" w:eastAsia="Arial" w:hAnsi="Arial" w:cs="Arial"/>
          <w:i/>
        </w:rPr>
        <w:t xml:space="preserve"> de </w:t>
      </w:r>
      <w:proofErr w:type="spellStart"/>
      <w:r w:rsidRPr="00A81E0C">
        <w:rPr>
          <w:rFonts w:ascii="Arial" w:eastAsia="Arial" w:hAnsi="Arial" w:cs="Arial"/>
          <w:i/>
        </w:rPr>
        <w:t>competencias</w:t>
      </w:r>
      <w:proofErr w:type="spellEnd"/>
      <w:r w:rsidRPr="00A81E0C">
        <w:rPr>
          <w:rFonts w:ascii="Arial" w:eastAsia="Arial" w:hAnsi="Arial" w:cs="Arial"/>
          <w:i/>
        </w:rPr>
        <w:t xml:space="preserve"> </w:t>
      </w:r>
      <w:proofErr w:type="spellStart"/>
      <w:r w:rsidRPr="00A81E0C">
        <w:rPr>
          <w:rFonts w:ascii="Arial" w:eastAsia="Arial" w:hAnsi="Arial" w:cs="Arial"/>
          <w:i/>
        </w:rPr>
        <w:t>en</w:t>
      </w:r>
      <w:proofErr w:type="spellEnd"/>
      <w:r w:rsidRPr="00A81E0C">
        <w:rPr>
          <w:rFonts w:ascii="Arial" w:eastAsia="Arial" w:hAnsi="Arial" w:cs="Arial"/>
          <w:i/>
        </w:rPr>
        <w:t xml:space="preserve"> la </w:t>
      </w:r>
      <w:proofErr w:type="spellStart"/>
      <w:r w:rsidRPr="00A81E0C">
        <w:rPr>
          <w:rFonts w:ascii="Arial" w:eastAsia="Arial" w:hAnsi="Arial" w:cs="Arial"/>
          <w:i/>
        </w:rPr>
        <w:t>educación</w:t>
      </w:r>
      <w:proofErr w:type="spellEnd"/>
      <w:r w:rsidRPr="00A81E0C">
        <w:rPr>
          <w:rFonts w:ascii="Arial" w:eastAsia="Arial" w:hAnsi="Arial" w:cs="Arial"/>
          <w:i/>
        </w:rPr>
        <w:t xml:space="preserve"> superior</w:t>
      </w:r>
      <w:r w:rsidRPr="00A81E0C">
        <w:rPr>
          <w:rFonts w:ascii="Arial" w:eastAsia="Arial" w:hAnsi="Arial" w:cs="Arial"/>
        </w:rPr>
        <w:t xml:space="preserve"> [Didactic sequences: Learning and assessment of competences in higher education] (3rd ed.). Pearson </w:t>
      </w:r>
      <w:proofErr w:type="spellStart"/>
      <w:r w:rsidRPr="00A81E0C">
        <w:rPr>
          <w:rFonts w:ascii="Arial" w:eastAsia="Arial" w:hAnsi="Arial" w:cs="Arial"/>
        </w:rPr>
        <w:t>Educación</w:t>
      </w:r>
      <w:proofErr w:type="spellEnd"/>
      <w:r w:rsidRPr="00A81E0C">
        <w:rPr>
          <w:rFonts w:ascii="Arial" w:eastAsia="Arial" w:hAnsi="Arial" w:cs="Arial"/>
        </w:rPr>
        <w:t>.</w:t>
      </w:r>
    </w:p>
    <w:p w14:paraId="79861518" w14:textId="77777777" w:rsidR="000403B8" w:rsidRPr="00A81E0C" w:rsidRDefault="00AC7B1E">
      <w:pPr>
        <w:pStyle w:val="Body"/>
        <w:spacing w:after="100"/>
        <w:ind w:left="576" w:hanging="576"/>
        <w:jc w:val="left"/>
      </w:pPr>
      <w:r w:rsidRPr="00A81E0C">
        <w:rPr>
          <w:rFonts w:ascii="Arial" w:eastAsia="Arial" w:hAnsi="Arial" w:cs="Arial"/>
        </w:rPr>
        <w:t xml:space="preserve">United Nations Educational, Scientific and Cultural Organization. (2022). </w:t>
      </w:r>
      <w:r w:rsidRPr="00A81E0C">
        <w:rPr>
          <w:rFonts w:ascii="Arial" w:eastAsia="Arial" w:hAnsi="Arial" w:cs="Arial"/>
          <w:i/>
        </w:rPr>
        <w:t>Beyond limits: New ways to reinvent higher education</w:t>
      </w:r>
      <w:r w:rsidRPr="00A81E0C">
        <w:rPr>
          <w:rFonts w:ascii="Arial" w:eastAsia="Arial" w:hAnsi="Arial" w:cs="Arial"/>
        </w:rPr>
        <w:t xml:space="preserve"> [Working document for the World Higher Education Conference, Barcelona, 18–20 May 2022]. UNESCO. https://www.unesco.org/en/articles/beyond-limits-new-ways-reinvent-higher-education</w:t>
      </w:r>
    </w:p>
    <w:p w14:paraId="27E438A6" w14:textId="77777777" w:rsidR="000403B8" w:rsidRDefault="00AC7B1E">
      <w:pPr>
        <w:pStyle w:val="Body"/>
        <w:spacing w:after="100"/>
        <w:ind w:left="576" w:hanging="576"/>
        <w:jc w:val="left"/>
      </w:pPr>
      <w:r w:rsidRPr="00A81E0C">
        <w:rPr>
          <w:rFonts w:ascii="Arial" w:eastAsia="Arial" w:hAnsi="Arial" w:cs="Arial"/>
        </w:rPr>
        <w:t xml:space="preserve">World Economic Forum. (2023). </w:t>
      </w:r>
      <w:r w:rsidRPr="00A81E0C">
        <w:rPr>
          <w:rFonts w:ascii="Arial" w:eastAsia="Arial" w:hAnsi="Arial" w:cs="Arial"/>
          <w:i/>
        </w:rPr>
        <w:t>The future of jobs report 2023</w:t>
      </w:r>
      <w:r w:rsidRPr="00A81E0C">
        <w:rPr>
          <w:rFonts w:ascii="Arial" w:eastAsia="Arial" w:hAnsi="Arial" w:cs="Arial"/>
        </w:rPr>
        <w:t>. https://www.weforum.org/publications/the-future-of-jobs-report-2023/</w:t>
      </w:r>
    </w:p>
    <w:sectPr w:rsidR="000403B8" w:rsidSect="00E152EA">
      <w:headerReference w:type="even" r:id="rId15"/>
      <w:headerReference w:type="default" r:id="rId16"/>
      <w:footerReference w:type="default" r:id="rId17"/>
      <w:headerReference w:type="first" r:id="rId18"/>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DE527" w14:textId="77777777" w:rsidR="00811583" w:rsidRDefault="00811583" w:rsidP="00C37E61">
      <w:r>
        <w:separator/>
      </w:r>
    </w:p>
  </w:endnote>
  <w:endnote w:type="continuationSeparator" w:id="0">
    <w:p w14:paraId="0F3D9B8E" w14:textId="77777777" w:rsidR="00811583" w:rsidRDefault="0081158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6210" w14:textId="77777777" w:rsidR="00E152EA" w:rsidRDefault="00E15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1471" w14:textId="329598A4" w:rsidR="00C37E61" w:rsidRDefault="00C37E61" w:rsidP="00C37E61">
    <w:pPr>
      <w:pStyle w:val="Footer"/>
    </w:pPr>
  </w:p>
  <w:p w14:paraId="4B60EFF8" w14:textId="77777777" w:rsidR="00C37E61" w:rsidRDefault="00C37E61" w:rsidP="00C37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1404" w14:textId="30055F8D" w:rsidR="00754C9A" w:rsidRPr="00E152EA" w:rsidRDefault="00754C9A" w:rsidP="00E152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849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AD8D2" w14:textId="77777777" w:rsidR="00811583" w:rsidRDefault="00811583" w:rsidP="00C37E61">
      <w:r>
        <w:separator/>
      </w:r>
    </w:p>
  </w:footnote>
  <w:footnote w:type="continuationSeparator" w:id="0">
    <w:p w14:paraId="4690D0E6" w14:textId="77777777" w:rsidR="00811583" w:rsidRDefault="0081158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CB43" w14:textId="556314C4" w:rsidR="00E152EA" w:rsidRDefault="00E152EA">
    <w:pPr>
      <w:pStyle w:val="Header"/>
    </w:pPr>
    <w:r>
      <w:rPr>
        <w:noProof/>
      </w:rPr>
      <w:pict w14:anchorId="5CA8DE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E93E" w14:textId="47D72921" w:rsidR="00E152EA" w:rsidRDefault="00E152EA">
    <w:pPr>
      <w:pStyle w:val="Header"/>
    </w:pPr>
    <w:r>
      <w:rPr>
        <w:noProof/>
      </w:rPr>
      <w:pict w14:anchorId="76EEF2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C5617" w14:textId="40F4BBEF" w:rsidR="00296529" w:rsidRPr="00296529" w:rsidRDefault="00E152EA" w:rsidP="00296529">
    <w:pPr>
      <w:ind w:left="2160"/>
      <w:jc w:val="center"/>
      <w:rPr>
        <w:rFonts w:ascii="Times New Roman" w:eastAsia="Calibri" w:hAnsi="Times New Roman"/>
        <w:i/>
        <w:sz w:val="18"/>
        <w:szCs w:val="22"/>
      </w:rPr>
    </w:pPr>
    <w:r>
      <w:rPr>
        <w:noProof/>
      </w:rPr>
      <w:pict w14:anchorId="0AE2FC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7FFADC8"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6BAD48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879320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C80828C"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91CE617"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4B3C0CC"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74DC" w14:textId="7CB8EC70" w:rsidR="00E152EA" w:rsidRDefault="00E152EA">
    <w:pPr>
      <w:pStyle w:val="Header"/>
    </w:pPr>
    <w:r>
      <w:rPr>
        <w:noProof/>
      </w:rPr>
      <w:pict w14:anchorId="1BBB5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30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AD4C4A9">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D61C" w14:textId="66679D2B" w:rsidR="00E152EA" w:rsidRDefault="00E152EA">
    <w:pPr>
      <w:pStyle w:val="Header"/>
    </w:pPr>
    <w:r>
      <w:rPr>
        <w:noProof/>
      </w:rPr>
      <w:pict w14:anchorId="2E6B5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30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89E4780">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836B" w14:textId="3324DFEA" w:rsidR="00E152EA" w:rsidRPr="00296529" w:rsidRDefault="00E152EA" w:rsidP="00296529">
    <w:pPr>
      <w:ind w:left="2160"/>
      <w:jc w:val="center"/>
      <w:rPr>
        <w:rFonts w:ascii="Times New Roman" w:eastAsia="Calibri" w:hAnsi="Times New Roman"/>
        <w:i/>
        <w:sz w:val="18"/>
        <w:szCs w:val="22"/>
      </w:rPr>
    </w:pPr>
    <w:r>
      <w:rPr>
        <w:noProof/>
      </w:rPr>
      <w:pict w14:anchorId="30C5E6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CB5A7E9">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5795765" w14:textId="77777777" w:rsidR="00E152EA" w:rsidRPr="00296529" w:rsidRDefault="00E152E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B1A8805" w14:textId="77777777" w:rsidR="00E152EA" w:rsidRPr="00296529" w:rsidRDefault="00E152E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3E108DA" w14:textId="77777777" w:rsidR="00E152EA" w:rsidRPr="00296529" w:rsidRDefault="00E152E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B1D4F49" w14:textId="77777777" w:rsidR="00E152EA" w:rsidRDefault="00E152E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E779748" w14:textId="77777777" w:rsidR="00E152EA" w:rsidRDefault="00E152E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CF3976C" w14:textId="77777777" w:rsidR="00E152EA" w:rsidRDefault="00E152E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1071152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19456447">
    <w:abstractNumId w:val="15"/>
  </w:num>
  <w:num w:numId="3" w16cid:durableId="1688020857">
    <w:abstractNumId w:val="23"/>
  </w:num>
  <w:num w:numId="4" w16cid:durableId="42083776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03817866">
    <w:abstractNumId w:val="7"/>
  </w:num>
  <w:num w:numId="6" w16cid:durableId="1892304233">
    <w:abstractNumId w:val="6"/>
  </w:num>
  <w:num w:numId="7" w16cid:durableId="244656241">
    <w:abstractNumId w:val="1"/>
  </w:num>
  <w:num w:numId="8" w16cid:durableId="247814927">
    <w:abstractNumId w:val="12"/>
  </w:num>
  <w:num w:numId="9" w16cid:durableId="2123188508">
    <w:abstractNumId w:val="25"/>
  </w:num>
  <w:num w:numId="10" w16cid:durableId="592662201">
    <w:abstractNumId w:val="2"/>
  </w:num>
  <w:num w:numId="11" w16cid:durableId="1457603002">
    <w:abstractNumId w:val="18"/>
  </w:num>
  <w:num w:numId="12" w16cid:durableId="1829980869">
    <w:abstractNumId w:val="3"/>
  </w:num>
  <w:num w:numId="13" w16cid:durableId="1963221569">
    <w:abstractNumId w:val="17"/>
  </w:num>
  <w:num w:numId="14" w16cid:durableId="651063435">
    <w:abstractNumId w:val="8"/>
  </w:num>
  <w:num w:numId="15" w16cid:durableId="551775478">
    <w:abstractNumId w:val="21"/>
  </w:num>
  <w:num w:numId="16" w16cid:durableId="1917008246">
    <w:abstractNumId w:val="5"/>
  </w:num>
  <w:num w:numId="17" w16cid:durableId="1987666882">
    <w:abstractNumId w:val="22"/>
  </w:num>
  <w:num w:numId="18" w16cid:durableId="1320159967">
    <w:abstractNumId w:val="14"/>
  </w:num>
  <w:num w:numId="19" w16cid:durableId="963998401">
    <w:abstractNumId w:val="28"/>
  </w:num>
  <w:num w:numId="20" w16cid:durableId="1997028230">
    <w:abstractNumId w:val="11"/>
  </w:num>
  <w:num w:numId="21" w16cid:durableId="1995645022">
    <w:abstractNumId w:val="9"/>
  </w:num>
  <w:num w:numId="22" w16cid:durableId="1468400498">
    <w:abstractNumId w:val="13"/>
  </w:num>
  <w:num w:numId="23" w16cid:durableId="40790072">
    <w:abstractNumId w:val="19"/>
  </w:num>
  <w:num w:numId="24" w16cid:durableId="506944026">
    <w:abstractNumId w:val="26"/>
  </w:num>
  <w:num w:numId="25" w16cid:durableId="935791893">
    <w:abstractNumId w:val="4"/>
  </w:num>
  <w:num w:numId="26" w16cid:durableId="714895435">
    <w:abstractNumId w:val="16"/>
  </w:num>
  <w:num w:numId="27" w16cid:durableId="1121343215">
    <w:abstractNumId w:val="20"/>
  </w:num>
  <w:num w:numId="28" w16cid:durableId="78799192">
    <w:abstractNumId w:val="27"/>
  </w:num>
  <w:num w:numId="29" w16cid:durableId="1978993661">
    <w:abstractNumId w:val="24"/>
  </w:num>
  <w:num w:numId="30" w16cid:durableId="18416529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03B8"/>
    <w:rsid w:val="0004579C"/>
    <w:rsid w:val="000A47FA"/>
    <w:rsid w:val="000A65D3"/>
    <w:rsid w:val="000B1E33"/>
    <w:rsid w:val="000D689F"/>
    <w:rsid w:val="000E54E1"/>
    <w:rsid w:val="000E78FF"/>
    <w:rsid w:val="000E7B7B"/>
    <w:rsid w:val="000E7D62"/>
    <w:rsid w:val="00103357"/>
    <w:rsid w:val="00123C9F"/>
    <w:rsid w:val="00126190"/>
    <w:rsid w:val="00130F17"/>
    <w:rsid w:val="001320BF"/>
    <w:rsid w:val="00163BC4"/>
    <w:rsid w:val="00191062"/>
    <w:rsid w:val="00192B72"/>
    <w:rsid w:val="001A29D8"/>
    <w:rsid w:val="001A5CAA"/>
    <w:rsid w:val="001B0427"/>
    <w:rsid w:val="001C58C4"/>
    <w:rsid w:val="001D3A51"/>
    <w:rsid w:val="001E10D2"/>
    <w:rsid w:val="001E25B4"/>
    <w:rsid w:val="001E44FE"/>
    <w:rsid w:val="00200595"/>
    <w:rsid w:val="00204835"/>
    <w:rsid w:val="00231920"/>
    <w:rsid w:val="0023195C"/>
    <w:rsid w:val="0024282C"/>
    <w:rsid w:val="002460DC"/>
    <w:rsid w:val="00250985"/>
    <w:rsid w:val="002556F6"/>
    <w:rsid w:val="00257238"/>
    <w:rsid w:val="00283105"/>
    <w:rsid w:val="00284C4C"/>
    <w:rsid w:val="00287E68"/>
    <w:rsid w:val="00296529"/>
    <w:rsid w:val="00297885"/>
    <w:rsid w:val="002B27FB"/>
    <w:rsid w:val="002B685A"/>
    <w:rsid w:val="002C57D2"/>
    <w:rsid w:val="002C5B30"/>
    <w:rsid w:val="002E0D56"/>
    <w:rsid w:val="002E1AD6"/>
    <w:rsid w:val="00315186"/>
    <w:rsid w:val="0033343E"/>
    <w:rsid w:val="003512C2"/>
    <w:rsid w:val="00371FB6"/>
    <w:rsid w:val="003755E0"/>
    <w:rsid w:val="003763C1"/>
    <w:rsid w:val="00376BBE"/>
    <w:rsid w:val="0039224F"/>
    <w:rsid w:val="003A43A4"/>
    <w:rsid w:val="003A7E18"/>
    <w:rsid w:val="003C4C86"/>
    <w:rsid w:val="003C6258"/>
    <w:rsid w:val="003E2904"/>
    <w:rsid w:val="00401927"/>
    <w:rsid w:val="00404FA1"/>
    <w:rsid w:val="0041027F"/>
    <w:rsid w:val="00412475"/>
    <w:rsid w:val="00423789"/>
    <w:rsid w:val="00440F43"/>
    <w:rsid w:val="00441B6F"/>
    <w:rsid w:val="00446221"/>
    <w:rsid w:val="00450E62"/>
    <w:rsid w:val="004539DB"/>
    <w:rsid w:val="00471A80"/>
    <w:rsid w:val="004924C5"/>
    <w:rsid w:val="004D305E"/>
    <w:rsid w:val="004D4277"/>
    <w:rsid w:val="00502516"/>
    <w:rsid w:val="00505F06"/>
    <w:rsid w:val="00506828"/>
    <w:rsid w:val="0053056E"/>
    <w:rsid w:val="00534BAA"/>
    <w:rsid w:val="00554FDA"/>
    <w:rsid w:val="00557B89"/>
    <w:rsid w:val="005C784C"/>
    <w:rsid w:val="005D17F6"/>
    <w:rsid w:val="005E5539"/>
    <w:rsid w:val="00602BF5"/>
    <w:rsid w:val="00617FDD"/>
    <w:rsid w:val="00633614"/>
    <w:rsid w:val="00633F68"/>
    <w:rsid w:val="00636EB2"/>
    <w:rsid w:val="006375B8"/>
    <w:rsid w:val="00661CBE"/>
    <w:rsid w:val="0066510A"/>
    <w:rsid w:val="00673F9F"/>
    <w:rsid w:val="00686953"/>
    <w:rsid w:val="00687DEA"/>
    <w:rsid w:val="00687E67"/>
    <w:rsid w:val="006967F7"/>
    <w:rsid w:val="006A250C"/>
    <w:rsid w:val="006B21D3"/>
    <w:rsid w:val="006B57D0"/>
    <w:rsid w:val="006D30FF"/>
    <w:rsid w:val="006D6940"/>
    <w:rsid w:val="006F01C1"/>
    <w:rsid w:val="006F11EC"/>
    <w:rsid w:val="006F5E33"/>
    <w:rsid w:val="0070082C"/>
    <w:rsid w:val="00702CB9"/>
    <w:rsid w:val="00716941"/>
    <w:rsid w:val="007369E6"/>
    <w:rsid w:val="00746E59"/>
    <w:rsid w:val="00754C9A"/>
    <w:rsid w:val="0075599A"/>
    <w:rsid w:val="00761D52"/>
    <w:rsid w:val="0077749E"/>
    <w:rsid w:val="00790ADA"/>
    <w:rsid w:val="007D2288"/>
    <w:rsid w:val="007E088F"/>
    <w:rsid w:val="007E6CA9"/>
    <w:rsid w:val="007F7B32"/>
    <w:rsid w:val="00804BC2"/>
    <w:rsid w:val="00811583"/>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7548F"/>
    <w:rsid w:val="00A81E0C"/>
    <w:rsid w:val="00A94063"/>
    <w:rsid w:val="00AA6219"/>
    <w:rsid w:val="00AA74E0"/>
    <w:rsid w:val="00AB703F"/>
    <w:rsid w:val="00AC6BB8"/>
    <w:rsid w:val="00AC7B1E"/>
    <w:rsid w:val="00AD3A40"/>
    <w:rsid w:val="00AE008F"/>
    <w:rsid w:val="00B01FCD"/>
    <w:rsid w:val="00B1776C"/>
    <w:rsid w:val="00B52583"/>
    <w:rsid w:val="00B52896"/>
    <w:rsid w:val="00B65D75"/>
    <w:rsid w:val="00B7676F"/>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C2A65"/>
    <w:rsid w:val="00DE15F0"/>
    <w:rsid w:val="00DE5663"/>
    <w:rsid w:val="00DE78AA"/>
    <w:rsid w:val="00DF1AC8"/>
    <w:rsid w:val="00E053D0"/>
    <w:rsid w:val="00E152EA"/>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31491"/>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264840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customStyle="1" w:styleId="TableGrid1">
    <w:name w:val="Table Grid1"/>
    <w:basedOn w:val="TableNormal"/>
    <w:next w:val="TableGrid"/>
    <w:uiPriority w:val="39"/>
    <w:rsid w:val="000E78FF"/>
    <w:rPr>
      <w:rFonts w:ascii="Calibri" w:eastAsia="Calibri" w:hAnsi="Calibri" w:cs="Vrind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70</TotalTime>
  <Pages>12</Pages>
  <Words>5379</Words>
  <Characters>30661</Characters>
  <Application>Microsoft Office Word</Application>
  <DocSecurity>0</DocSecurity>
  <Lines>255</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Relevance of the Specialization in Intelligent Logistics Systems at the Instituto Tecnológico de Colima, Mexico: Institutional Capacities, Regional Geoeconomic Context and Strategic Foresight</vt:lpstr>
      <vt:lpstr>Paper Template</vt:lpstr>
    </vt:vector>
  </TitlesOfParts>
  <Company>aaaa</Company>
  <LinksUpToDate>false</LinksUpToDate>
  <CharactersWithSpaces>35969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Relevance of the Specialization in Intelligent Logistics Systems at the Instituto Tecnológico de Colima, Mexico: Institutional Capacities, Regional Geoeconomic Context and Strategic Foresight</dc:title>
  <dc:subject>Original Research Article</dc:subject>
  <dc:creator>Johann Mejías Brito; Pedro Itzvan Silva Medina; José de Jesús Amezcua Vivas; Miguel Escamilla López; Jesús Francisco Tejeda Castrejón</dc:creator>
  <cp:keywords>Logistics engineering; industrial engineering; curricular relevance; technological higher education; port cluster; regional competitiveness; intelligent logistics.</cp:keywords>
  <dc:description/>
  <cp:lastModifiedBy>SDI 1084</cp:lastModifiedBy>
  <cp:revision>40</cp:revision>
  <cp:lastPrinted>1999-07-06T11:00:00Z</cp:lastPrinted>
  <dcterms:created xsi:type="dcterms:W3CDTF">2014-10-25T14:34:00Z</dcterms:created>
  <dcterms:modified xsi:type="dcterms:W3CDTF">2026-10-09T12:37:00Z</dcterms:modified>
</cp:coreProperties>
</file>