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4AC1" w14:textId="5C703D59" w:rsidR="009B4F12" w:rsidRDefault="009B4F12"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r>
        <w:rPr>
          <w:rFonts w:ascii="Times New Roman" w:eastAsia="Times New Roman" w:hAnsi="Times New Roman" w:cs="Times New Roman"/>
          <w:b/>
          <w:bCs/>
          <w:kern w:val="0"/>
          <w:sz w:val="36"/>
          <w:szCs w:val="36"/>
          <w:lang w:eastAsia="en-IN"/>
          <w14:ligatures w14:val="none"/>
        </w:rPr>
        <w:t>I</w:t>
      </w:r>
      <w:r w:rsidRPr="009B4F12">
        <w:rPr>
          <w:rFonts w:ascii="Times New Roman" w:eastAsia="Times New Roman" w:hAnsi="Times New Roman" w:cs="Times New Roman"/>
          <w:b/>
          <w:bCs/>
          <w:kern w:val="0"/>
          <w:sz w:val="36"/>
          <w:szCs w:val="36"/>
          <w:lang w:eastAsia="en-IN"/>
          <w14:ligatures w14:val="none"/>
        </w:rPr>
        <w:t>dentification of Promising Moisture Stress-Tolerant Genotypes in Fenugreek (</w:t>
      </w:r>
      <w:r w:rsidRPr="009B4F12">
        <w:rPr>
          <w:rFonts w:ascii="Times New Roman" w:eastAsia="Times New Roman" w:hAnsi="Times New Roman" w:cs="Times New Roman"/>
          <w:b/>
          <w:bCs/>
          <w:i/>
          <w:iCs/>
          <w:kern w:val="0"/>
          <w:sz w:val="36"/>
          <w:szCs w:val="36"/>
          <w:lang w:eastAsia="en-IN"/>
          <w14:ligatures w14:val="none"/>
        </w:rPr>
        <w:t xml:space="preserve">Trigonella </w:t>
      </w:r>
      <w:proofErr w:type="spellStart"/>
      <w:r w:rsidRPr="009B4F12">
        <w:rPr>
          <w:rFonts w:ascii="Times New Roman" w:eastAsia="Times New Roman" w:hAnsi="Times New Roman" w:cs="Times New Roman"/>
          <w:b/>
          <w:bCs/>
          <w:i/>
          <w:iCs/>
          <w:kern w:val="0"/>
          <w:sz w:val="36"/>
          <w:szCs w:val="36"/>
          <w:lang w:eastAsia="en-IN"/>
          <w14:ligatures w14:val="none"/>
        </w:rPr>
        <w:t>foenum</w:t>
      </w:r>
      <w:proofErr w:type="spellEnd"/>
      <w:r w:rsidRPr="009B4F12">
        <w:rPr>
          <w:rFonts w:ascii="Times New Roman" w:eastAsia="Times New Roman" w:hAnsi="Times New Roman" w:cs="Times New Roman"/>
          <w:b/>
          <w:bCs/>
          <w:i/>
          <w:iCs/>
          <w:kern w:val="0"/>
          <w:sz w:val="36"/>
          <w:szCs w:val="36"/>
          <w:lang w:eastAsia="en-IN"/>
          <w14:ligatures w14:val="none"/>
        </w:rPr>
        <w:t>-graecum</w:t>
      </w:r>
      <w:r w:rsidRPr="009B4F12">
        <w:rPr>
          <w:rFonts w:ascii="Times New Roman" w:eastAsia="Times New Roman" w:hAnsi="Times New Roman" w:cs="Times New Roman"/>
          <w:b/>
          <w:bCs/>
          <w:kern w:val="0"/>
          <w:sz w:val="36"/>
          <w:szCs w:val="36"/>
          <w:lang w:eastAsia="en-IN"/>
          <w14:ligatures w14:val="none"/>
        </w:rPr>
        <w:t xml:space="preserve"> L.) Using Seed Yield and Stress Tolerance Indices</w:t>
      </w:r>
    </w:p>
    <w:p w14:paraId="1E1D14F3" w14:textId="77777777" w:rsidR="00783236" w:rsidRDefault="00783236"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p>
    <w:p w14:paraId="09A6BDE7" w14:textId="77777777" w:rsidR="00783236" w:rsidRDefault="00783236"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p>
    <w:p w14:paraId="19EECB3F" w14:textId="77777777" w:rsidR="009B4F12" w:rsidRPr="009B4F12" w:rsidRDefault="009B4F12" w:rsidP="009B4F12">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9B4F12">
        <w:rPr>
          <w:rFonts w:ascii="Times New Roman" w:eastAsia="Times New Roman" w:hAnsi="Times New Roman" w:cs="Times New Roman"/>
          <w:b/>
          <w:bCs/>
          <w:kern w:val="0"/>
          <w:sz w:val="27"/>
          <w:szCs w:val="27"/>
          <w:lang w:eastAsia="en-IN"/>
          <w14:ligatures w14:val="none"/>
        </w:rPr>
        <w:t>Abstract</w:t>
      </w:r>
    </w:p>
    <w:p w14:paraId="78F7F08C"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Moisture stress is one of the major abiotic constraints affecting crop productivity, and identification of genotypes capable of maintaining yield under limited moisture is an important objective of crop improvement programmes. The present investigation was undertaken to evaluate twelve fenugreek genotypes for seed yield performance under non-stress and moisture-stress conditions and to identify promising genotypes using different moisture stress tolerance indices. Seed yield per plant was recorded under both environments and the indices tolerance (TOL), mean productivity (MP), stress tolerance index (STI), stress susceptibility index (SSI) and geometric mean productivity (GMP) were estimated. Seed yield per plant ranged from 7.97 to 12.40 g under non-stress conditions and from 6.18 to 9.91 g under moisture-stress conditions. The mean seed yield decreased from 9.86 g under non-stress to 7.79 g under moisture stress, representing an average reduction of 21.09 per cent. AFG-4 recorded the highest seed yield under both non-stress (12.40 g) and moisture-stress (9.91 g) conditions. RMT-303 showed the lowest yield reduction (18.94%) and the lowest SSI (0.90). AFG-4 recorded the highest MP (11.16), STI (1.26) and GMP (11.09). Based on the combined performance of seed yield and stress tolerance indices, AFG-4 and RMT-303 were identified as comparatively promising genotypes, followed by Azad Metni, Hisar Mukta and HM-9. The results indicated substantial variability among the genotypes for response to moisture stress and demonstrated the usefulness of combining yield performance with multiple stress tolerance indices for genotype identification. The promising genotypes identified in the present study may be further evaluated across environments and moisture-stress levels for their potential utilization in fenugreek breeding programmes.</w:t>
      </w:r>
    </w:p>
    <w:p w14:paraId="5AD421B2"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Keywords:</w:t>
      </w:r>
      <w:r w:rsidRPr="009B4F12">
        <w:rPr>
          <w:rFonts w:ascii="Times New Roman" w:eastAsia="Times New Roman" w:hAnsi="Times New Roman" w:cs="Times New Roman"/>
          <w:kern w:val="0"/>
          <w:sz w:val="24"/>
          <w:szCs w:val="24"/>
          <w:lang w:eastAsia="en-IN"/>
          <w14:ligatures w14:val="none"/>
        </w:rPr>
        <w:t xml:space="preserve"> Fenugreek, moisture stress, drought tolerance, seed yield, TOL, MP, STI, SSI, GMP, genotype evaluation</w:t>
      </w:r>
    </w:p>
    <w:p w14:paraId="0918B7D5" w14:textId="77777777" w:rsidR="009B4F12" w:rsidRPr="009B4F12" w:rsidRDefault="009B4F12"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r w:rsidRPr="009B4F12">
        <w:rPr>
          <w:rFonts w:ascii="Times New Roman" w:eastAsia="Times New Roman" w:hAnsi="Times New Roman" w:cs="Times New Roman"/>
          <w:b/>
          <w:bCs/>
          <w:kern w:val="0"/>
          <w:sz w:val="36"/>
          <w:szCs w:val="36"/>
          <w:lang w:eastAsia="en-IN"/>
          <w14:ligatures w14:val="none"/>
        </w:rPr>
        <w:t>1. Introduction</w:t>
      </w:r>
    </w:p>
    <w:p w14:paraId="14512074"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Fenugreek (</w:t>
      </w:r>
      <w:r w:rsidRPr="009B4F12">
        <w:rPr>
          <w:rFonts w:ascii="Times New Roman" w:eastAsia="Times New Roman" w:hAnsi="Times New Roman" w:cs="Times New Roman"/>
          <w:i/>
          <w:iCs/>
          <w:kern w:val="0"/>
          <w:sz w:val="24"/>
          <w:szCs w:val="24"/>
          <w:lang w:eastAsia="en-IN"/>
          <w14:ligatures w14:val="none"/>
        </w:rPr>
        <w:t xml:space="preserve">Trigonella </w:t>
      </w:r>
      <w:proofErr w:type="spellStart"/>
      <w:r w:rsidRPr="009B4F12">
        <w:rPr>
          <w:rFonts w:ascii="Times New Roman" w:eastAsia="Times New Roman" w:hAnsi="Times New Roman" w:cs="Times New Roman"/>
          <w:i/>
          <w:iCs/>
          <w:kern w:val="0"/>
          <w:sz w:val="24"/>
          <w:szCs w:val="24"/>
          <w:lang w:eastAsia="en-IN"/>
          <w14:ligatures w14:val="none"/>
        </w:rPr>
        <w:t>foenum</w:t>
      </w:r>
      <w:proofErr w:type="spellEnd"/>
      <w:r w:rsidRPr="009B4F12">
        <w:rPr>
          <w:rFonts w:ascii="Times New Roman" w:eastAsia="Times New Roman" w:hAnsi="Times New Roman" w:cs="Times New Roman"/>
          <w:i/>
          <w:iCs/>
          <w:kern w:val="0"/>
          <w:sz w:val="24"/>
          <w:szCs w:val="24"/>
          <w:lang w:eastAsia="en-IN"/>
          <w14:ligatures w14:val="none"/>
        </w:rPr>
        <w:t>-graecum</w:t>
      </w:r>
      <w:r w:rsidRPr="009B4F12">
        <w:rPr>
          <w:rFonts w:ascii="Times New Roman" w:eastAsia="Times New Roman" w:hAnsi="Times New Roman" w:cs="Times New Roman"/>
          <w:kern w:val="0"/>
          <w:sz w:val="24"/>
          <w:szCs w:val="24"/>
          <w:lang w:eastAsia="en-IN"/>
          <w14:ligatures w14:val="none"/>
        </w:rPr>
        <w:t xml:space="preserve"> L.) is an important annual seed spice and medicinal crop belonging to the family Fabaceae. It is cultivated for its seeds and tender leaves and has considerable importance because of its culinary, nutritional and medicinal uses. Fenugreek is also characterized by relatively broad adaptability; however, inadequate moisture availability can adversely affect growth, reproductive development and final seed yield.</w:t>
      </w:r>
    </w:p>
    <w:p w14:paraId="0756ACDB"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 xml:space="preserve">Moisture stress is an important constraint to agricultural productivity, particularly in environments where irrigation facilities are limited or rainfall is insufficient and irregular. Genotypes differ considerably in their response to moisture stress, and the identification of </w:t>
      </w:r>
      <w:r w:rsidRPr="009B4F12">
        <w:rPr>
          <w:rFonts w:ascii="Times New Roman" w:eastAsia="Times New Roman" w:hAnsi="Times New Roman" w:cs="Times New Roman"/>
          <w:kern w:val="0"/>
          <w:sz w:val="24"/>
          <w:szCs w:val="24"/>
          <w:lang w:eastAsia="en-IN"/>
          <w14:ligatures w14:val="none"/>
        </w:rPr>
        <w:lastRenderedPageBreak/>
        <w:t>genotypes capable of maintaining higher productivity under stress is therefore an important component of breeding programmes.</w:t>
      </w:r>
    </w:p>
    <w:p w14:paraId="2331EF34"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 xml:space="preserve">Evaluation of genotypes under both stress and non-stress environments provides useful information regarding yield potential and stress response. Several quantitative indices have been developed for this purpose. Tolerance (TOL) measures the difference between yield under non-stress and stress conditions, while mean productivity (MP) represents average productivity across the two environments. Stress susceptibility index (SSI) provides an estimate of relative susceptibility, whereas stress tolerance index (STI) and geometric mean productivity (GMP) are useful for identifying genotypes with desirable productivity under both favourable and stressful conditions. These indices have been used successfully for screening moisture-stress tolerance in fenugreek. </w:t>
      </w:r>
    </w:p>
    <w:p w14:paraId="501B8FF6" w14:textId="04EECD5E" w:rsid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9B4F12">
        <w:rPr>
          <w:rFonts w:ascii="Times New Roman" w:eastAsia="Times New Roman" w:hAnsi="Times New Roman" w:cs="Times New Roman"/>
          <w:kern w:val="0"/>
          <w:sz w:val="24"/>
          <w:szCs w:val="24"/>
          <w:lang w:eastAsia="en-IN"/>
          <w14:ligatures w14:val="none"/>
        </w:rPr>
        <w:t>Ahari</w:t>
      </w:r>
      <w:proofErr w:type="spellEnd"/>
      <w:r w:rsidRPr="009B4F12">
        <w:rPr>
          <w:rFonts w:ascii="Times New Roman" w:eastAsia="Times New Roman" w:hAnsi="Times New Roman" w:cs="Times New Roman"/>
          <w:kern w:val="0"/>
          <w:sz w:val="24"/>
          <w:szCs w:val="24"/>
          <w:lang w:eastAsia="en-IN"/>
          <w14:ligatures w14:val="none"/>
        </w:rPr>
        <w:t xml:space="preserve"> et al. (2009) evaluated Iranian fenugreek landraces under moisture-stress and non-stress conditions and used TOL, MP, GMP, SSI and STI to assess drought tolerance. Their study demonstrated considerable differences among fenugreek landraces in grain yield and stress tolerance characteristics. More recently, Choudhary et al. (2022) evaluated 48 fenugreek genotypes under normal and staggered irrigation conditions and reported that MP, GMP and STI were effective for identifying high-yielding genotypes under both stress and non-stress conditions. </w:t>
      </w:r>
      <w:r>
        <w:rPr>
          <w:rFonts w:ascii="Times New Roman" w:eastAsia="Times New Roman" w:hAnsi="Times New Roman" w:cs="Times New Roman"/>
          <w:kern w:val="0"/>
          <w:sz w:val="24"/>
          <w:szCs w:val="24"/>
          <w:lang w:eastAsia="en-IN"/>
          <w14:ligatures w14:val="none"/>
        </w:rPr>
        <w:t xml:space="preserve"> </w:t>
      </w:r>
      <w:r w:rsidRPr="009B4F12">
        <w:rPr>
          <w:rFonts w:ascii="Times New Roman" w:eastAsia="Times New Roman" w:hAnsi="Times New Roman" w:cs="Times New Roman"/>
          <w:kern w:val="0"/>
          <w:sz w:val="24"/>
          <w:szCs w:val="24"/>
          <w:lang w:eastAsia="en-IN"/>
          <w14:ligatures w14:val="none"/>
        </w:rPr>
        <w:t>Therefore, the present study was undertaken with the objective of identifying promising moisture stress-tolerant genotypes of fenugreek based on seed yield under non-stress and moisture-stress conditions and different stress tolerance indices.</w:t>
      </w:r>
    </w:p>
    <w:p w14:paraId="68DB1C46"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 Materials and Methods</w:t>
      </w:r>
    </w:p>
    <w:p w14:paraId="38D8AB48"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2.1 Plant Material</w:t>
      </w:r>
    </w:p>
    <w:p w14:paraId="6B2FBAAD" w14:textId="6AF94CA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experimental material consisted of twelve fenugreek genotypes</w:t>
      </w:r>
      <w:r>
        <w:rPr>
          <w:rFonts w:ascii="Times New Roman" w:eastAsia="Times New Roman" w:hAnsi="Times New Roman" w:cs="Times New Roman"/>
          <w:kern w:val="0"/>
          <w:sz w:val="24"/>
          <w:szCs w:val="24"/>
          <w:lang w:eastAsia="en-IN"/>
          <w14:ligatures w14:val="none"/>
        </w:rPr>
        <w:t xml:space="preserve"> in Organic Research Farm Department of</w:t>
      </w:r>
      <w:r w:rsidR="00052C5A">
        <w:rPr>
          <w:rFonts w:ascii="Times New Roman" w:eastAsia="Times New Roman" w:hAnsi="Times New Roman" w:cs="Times New Roman"/>
          <w:kern w:val="0"/>
          <w:sz w:val="24"/>
          <w:szCs w:val="24"/>
          <w:lang w:eastAsia="en-IN"/>
          <w14:ligatures w14:val="none"/>
        </w:rPr>
        <w:t xml:space="preserve"> Genetics and Plant Breeding, Institute of Agricultural Sciences, Bundelkhand University, Jhansi (U.P.)</w:t>
      </w:r>
      <w:r w:rsidRPr="009B4F12">
        <w:rPr>
          <w:rFonts w:ascii="Times New Roman" w:eastAsia="Times New Roman" w:hAnsi="Times New Roman" w:cs="Times New Roman"/>
          <w:kern w:val="0"/>
          <w:sz w:val="24"/>
          <w:szCs w:val="24"/>
          <w:lang w:eastAsia="en-IN"/>
          <w14:ligatures w14:val="none"/>
        </w:rPr>
        <w:t xml:space="preserve">, namely HM-350, RMT-361, RMT-303, GM-1, NRCSS-AM-2, AFG-4, AFG-2, HM-9, Hisar Mukta, CO-1, Azad </w:t>
      </w:r>
      <w:proofErr w:type="spellStart"/>
      <w:r w:rsidRPr="009B4F12">
        <w:rPr>
          <w:rFonts w:ascii="Times New Roman" w:eastAsia="Times New Roman" w:hAnsi="Times New Roman" w:cs="Times New Roman"/>
          <w:kern w:val="0"/>
          <w:sz w:val="24"/>
          <w:szCs w:val="24"/>
          <w:lang w:eastAsia="en-IN"/>
          <w14:ligatures w14:val="none"/>
        </w:rPr>
        <w:t>Metni</w:t>
      </w:r>
      <w:proofErr w:type="spellEnd"/>
      <w:r w:rsidRPr="009B4F12">
        <w:rPr>
          <w:rFonts w:ascii="Times New Roman" w:eastAsia="Times New Roman" w:hAnsi="Times New Roman" w:cs="Times New Roman"/>
          <w:kern w:val="0"/>
          <w:sz w:val="24"/>
          <w:szCs w:val="24"/>
          <w:lang w:eastAsia="en-IN"/>
          <w14:ligatures w14:val="none"/>
        </w:rPr>
        <w:t xml:space="preserve"> and Hissa Sonali.</w:t>
      </w:r>
    </w:p>
    <w:p w14:paraId="211970AA"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2.2 Evaluation under Moisture Regimes</w:t>
      </w:r>
    </w:p>
    <w:p w14:paraId="6804004C"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 xml:space="preserve">The genotypes were evaluated under two moisture regimes, namely </w:t>
      </w:r>
      <w:r w:rsidRPr="009B4F12">
        <w:rPr>
          <w:rFonts w:ascii="Times New Roman" w:eastAsia="Times New Roman" w:hAnsi="Times New Roman" w:cs="Times New Roman"/>
          <w:b/>
          <w:bCs/>
          <w:kern w:val="0"/>
          <w:sz w:val="24"/>
          <w:szCs w:val="24"/>
          <w:lang w:eastAsia="en-IN"/>
          <w14:ligatures w14:val="none"/>
        </w:rPr>
        <w:t>non-stress and moisture-stress conditions</w:t>
      </w:r>
      <w:r w:rsidRPr="009B4F12">
        <w:rPr>
          <w:rFonts w:ascii="Times New Roman" w:eastAsia="Times New Roman" w:hAnsi="Times New Roman" w:cs="Times New Roman"/>
          <w:kern w:val="0"/>
          <w:sz w:val="24"/>
          <w:szCs w:val="24"/>
          <w:lang w:eastAsia="en-IN"/>
          <w14:ligatures w14:val="none"/>
        </w:rPr>
        <w:t xml:space="preserve">. Seed yield per plant was recorded under both conditions. The yield under non-stress conditions was designated as </w:t>
      </w:r>
      <w:proofErr w:type="spellStart"/>
      <w:r w:rsidRPr="009B4F12">
        <w:rPr>
          <w:rFonts w:ascii="Times New Roman" w:eastAsia="Times New Roman" w:hAnsi="Times New Roman" w:cs="Times New Roman"/>
          <w:b/>
          <w:bCs/>
          <w:kern w:val="0"/>
          <w:sz w:val="24"/>
          <w:szCs w:val="24"/>
          <w:lang w:eastAsia="en-IN"/>
          <w14:ligatures w14:val="none"/>
        </w:rPr>
        <w:t>Yp</w:t>
      </w:r>
      <w:proofErr w:type="spellEnd"/>
      <w:r w:rsidRPr="009B4F12">
        <w:rPr>
          <w:rFonts w:ascii="Times New Roman" w:eastAsia="Times New Roman" w:hAnsi="Times New Roman" w:cs="Times New Roman"/>
          <w:kern w:val="0"/>
          <w:sz w:val="24"/>
          <w:szCs w:val="24"/>
          <w:lang w:eastAsia="en-IN"/>
          <w14:ligatures w14:val="none"/>
        </w:rPr>
        <w:t xml:space="preserve">, whereas yield under moisture-stress conditions was designated as </w:t>
      </w:r>
      <w:r w:rsidRPr="009B4F12">
        <w:rPr>
          <w:rFonts w:ascii="Times New Roman" w:eastAsia="Times New Roman" w:hAnsi="Times New Roman" w:cs="Times New Roman"/>
          <w:b/>
          <w:bCs/>
          <w:kern w:val="0"/>
          <w:sz w:val="24"/>
          <w:szCs w:val="24"/>
          <w:lang w:eastAsia="en-IN"/>
          <w14:ligatures w14:val="none"/>
        </w:rPr>
        <w:t>Ys</w:t>
      </w:r>
      <w:r w:rsidRPr="009B4F12">
        <w:rPr>
          <w:rFonts w:ascii="Times New Roman" w:eastAsia="Times New Roman" w:hAnsi="Times New Roman" w:cs="Times New Roman"/>
          <w:kern w:val="0"/>
          <w:sz w:val="24"/>
          <w:szCs w:val="24"/>
          <w:lang w:eastAsia="en-IN"/>
          <w14:ligatures w14:val="none"/>
        </w:rPr>
        <w:t>.</w:t>
      </w:r>
    </w:p>
    <w:p w14:paraId="7C8C5BF1"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2.3 Estimation of Moisture Stress Response</w:t>
      </w:r>
    </w:p>
    <w:p w14:paraId="2FB021D1"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percentage reduction in seed yield under moisture stress was calculated to assess the relative reduction in productivity between the two environments.</w:t>
      </w:r>
    </w:p>
    <w:p w14:paraId="130E0CBF"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following stress tolerance indices were used for evaluation:</w:t>
      </w:r>
    </w:p>
    <w:p w14:paraId="300E9859"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Tolerance (TOL):</w:t>
      </w:r>
      <w:r>
        <w:rPr>
          <w:rFonts w:ascii="Times New Roman" w:eastAsia="Times New Roman" w:hAnsi="Times New Roman" w:cs="Times New Roman"/>
          <w:kern w:val="0"/>
          <w:sz w:val="24"/>
          <w:szCs w:val="24"/>
          <w:lang w:eastAsia="en-IN"/>
          <w14:ligatures w14:val="none"/>
        </w:rPr>
        <w:t xml:space="preserve">  </w:t>
      </w:r>
    </w:p>
    <w:p w14:paraId="305C8331"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TOL=</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−Ys</w:t>
      </w:r>
    </w:p>
    <w:p w14:paraId="06EBEF94"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lastRenderedPageBreak/>
        <w:t>Mean Productivity (MP):</w:t>
      </w:r>
    </w:p>
    <w:p w14:paraId="19A975EE"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MP=</w:t>
      </w:r>
      <w:proofErr w:type="spellStart"/>
      <w:r w:rsidRPr="00052C5A">
        <w:rPr>
          <w:rFonts w:ascii="Times New Roman" w:eastAsia="Times New Roman" w:hAnsi="Times New Roman" w:cs="Times New Roman"/>
          <w:kern w:val="0"/>
          <w:sz w:val="24"/>
          <w:szCs w:val="24"/>
          <w:lang w:eastAsia="en-IN"/>
          <w14:ligatures w14:val="none"/>
        </w:rPr>
        <w:t>Yp+Ys</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2</w:t>
      </w:r>
    </w:p>
    <w:p w14:paraId="7154ADB0"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31EBAECD"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Stress Tolerance Index (STI):</w:t>
      </w:r>
    </w:p>
    <w:p w14:paraId="0E205F34" w14:textId="1F052937" w:rsidR="009B4F12"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STI=</w:t>
      </w:r>
      <w:proofErr w:type="spellStart"/>
      <w:r w:rsidRPr="00052C5A">
        <w:rPr>
          <w:rFonts w:ascii="Times New Roman" w:eastAsia="Times New Roman" w:hAnsi="Times New Roman" w:cs="Times New Roman"/>
          <w:kern w:val="0"/>
          <w:sz w:val="24"/>
          <w:szCs w:val="24"/>
          <w:lang w:eastAsia="en-IN"/>
          <w14:ligatures w14:val="none"/>
        </w:rPr>
        <w:t>Yp×Ys</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 </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ˉ​</w:t>
      </w:r>
      <w:r>
        <w:rPr>
          <w:rFonts w:ascii="Times New Roman" w:eastAsia="Times New Roman" w:hAnsi="Times New Roman" w:cs="Times New Roman"/>
          <w:kern w:val="0"/>
          <w:sz w:val="24"/>
          <w:szCs w:val="24"/>
          <w:vertAlign w:val="superscript"/>
          <w:lang w:eastAsia="en-IN"/>
          <w14:ligatures w14:val="none"/>
        </w:rPr>
        <w:t xml:space="preserve">2 </w:t>
      </w:r>
    </w:p>
    <w:p w14:paraId="4FD4CC89" w14:textId="257229FD"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Stress Susceptibility Index (SSI):</w:t>
      </w:r>
    </w:p>
    <w:p w14:paraId="2FDE8D2C" w14:textId="7914BBF0"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SSI=</w:t>
      </w: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1−(Ys/</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 SI</w:t>
      </w:r>
    </w:p>
    <w:p w14:paraId="3F887A7D" w14:textId="77777777" w:rsidR="00052C5A" w:rsidRP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where SI represents the stress intensity.</w:t>
      </w:r>
    </w:p>
    <w:p w14:paraId="71CFE79F"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Geometric Mean Productivity (GMP):</w:t>
      </w:r>
    </w:p>
    <w:p w14:paraId="548EC7C9" w14:textId="41EEE8B3" w:rsidR="00052C5A" w:rsidRDefault="00052C5A" w:rsidP="00052C5A">
      <w:pPr>
        <w:tabs>
          <w:tab w:val="center" w:pos="4513"/>
        </w:tabs>
        <w:spacing w:before="100" w:beforeAutospacing="1" w:after="100" w:afterAutospacing="1" w:line="240" w:lineRule="auto"/>
        <w:rPr>
          <w:rStyle w:val="mrel"/>
          <w:rFonts w:eastAsiaTheme="minorEastAsia"/>
        </w:rPr>
      </w:pPr>
      <w:r>
        <w:rPr>
          <w:rFonts w:ascii="Times New Roman" w:eastAsia="Times New Roman" w:hAnsi="Times New Roman" w:cs="Times New Roman"/>
          <w:kern w:val="0"/>
          <w:sz w:val="24"/>
          <w:szCs w:val="24"/>
          <w:lang w:eastAsia="en-IN"/>
          <w14:ligatures w14:val="none"/>
        </w:rPr>
        <w:t xml:space="preserve">                                         </w:t>
      </w:r>
      <w:r>
        <w:rPr>
          <w:rStyle w:val="mord"/>
        </w:rPr>
        <w:t>GMP</w:t>
      </w:r>
      <w:r>
        <w:rPr>
          <w:rStyle w:val="mrel"/>
        </w:rPr>
        <w:t xml:space="preserve">= </w:t>
      </w:r>
      <m:oMath>
        <m:rad>
          <m:radPr>
            <m:degHide m:val="1"/>
            <m:ctrlPr>
              <w:rPr>
                <w:rStyle w:val="mrel"/>
                <w:rFonts w:ascii="Cambria Math" w:hAnsi="Cambria Math"/>
                <w:i/>
              </w:rPr>
            </m:ctrlPr>
          </m:radPr>
          <m:deg/>
          <m:e/>
        </m:rad>
        <m:r>
          <w:rPr>
            <w:rStyle w:val="mrel"/>
            <w:rFonts w:ascii="Cambria Math" w:hAnsi="Cambria Math"/>
          </w:rPr>
          <m:t>Yp X Ys</m:t>
        </m:r>
      </m:oMath>
    </w:p>
    <w:p w14:paraId="4A024DF0"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 Results</w:t>
      </w:r>
    </w:p>
    <w:p w14:paraId="5574C72E"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3.1 Seed Yield under Non-Stress and Moisture-Stress Conditions</w:t>
      </w:r>
    </w:p>
    <w:p w14:paraId="7C0A0520"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Considerable variation was observed among the twelve genotypes for seed yield per plant under both moisture regimes.</w:t>
      </w:r>
    </w:p>
    <w:p w14:paraId="27739F87"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Under non-stress conditions, seed yield ranged from </w:t>
      </w:r>
      <w:r w:rsidRPr="007F271F">
        <w:rPr>
          <w:rFonts w:ascii="Times New Roman" w:eastAsia="Times New Roman" w:hAnsi="Times New Roman" w:cs="Times New Roman"/>
          <w:b/>
          <w:bCs/>
          <w:kern w:val="0"/>
          <w:sz w:val="24"/>
          <w:szCs w:val="24"/>
          <w:lang w:eastAsia="en-IN"/>
          <w14:ligatures w14:val="none"/>
        </w:rPr>
        <w:t>7.97 to 12.40 g</w:t>
      </w:r>
      <w:r w:rsidRPr="007F271F">
        <w:rPr>
          <w:rFonts w:ascii="Times New Roman" w:eastAsia="Times New Roman" w:hAnsi="Times New Roman" w:cs="Times New Roman"/>
          <w:kern w:val="0"/>
          <w:sz w:val="24"/>
          <w:szCs w:val="24"/>
          <w:lang w:eastAsia="en-IN"/>
          <w14:ligatures w14:val="none"/>
        </w:rPr>
        <w:t xml:space="preserve">, with a mean of </w:t>
      </w:r>
      <w:r w:rsidRPr="007F271F">
        <w:rPr>
          <w:rFonts w:ascii="Times New Roman" w:eastAsia="Times New Roman" w:hAnsi="Times New Roman" w:cs="Times New Roman"/>
          <w:b/>
          <w:bCs/>
          <w:kern w:val="0"/>
          <w:sz w:val="24"/>
          <w:szCs w:val="24"/>
          <w:lang w:eastAsia="en-IN"/>
          <w14:ligatures w14:val="none"/>
        </w:rPr>
        <w:t>9.86 g</w:t>
      </w:r>
      <w:r w:rsidRPr="007F271F">
        <w:rPr>
          <w:rFonts w:ascii="Times New Roman" w:eastAsia="Times New Roman" w:hAnsi="Times New Roman" w:cs="Times New Roman"/>
          <w:kern w:val="0"/>
          <w:sz w:val="24"/>
          <w:szCs w:val="24"/>
          <w:lang w:eastAsia="en-IN"/>
          <w14:ligatures w14:val="none"/>
        </w:rPr>
        <w:t xml:space="preserve">. The highest seed yield was recorded in </w:t>
      </w:r>
      <w:r w:rsidRPr="007F271F">
        <w:rPr>
          <w:rFonts w:ascii="Times New Roman" w:eastAsia="Times New Roman" w:hAnsi="Times New Roman" w:cs="Times New Roman"/>
          <w:b/>
          <w:bCs/>
          <w:kern w:val="0"/>
          <w:sz w:val="24"/>
          <w:szCs w:val="24"/>
          <w:lang w:eastAsia="en-IN"/>
          <w14:ligatures w14:val="none"/>
        </w:rPr>
        <w:t>AFG-4 (12.40 g)</w:t>
      </w:r>
      <w:r w:rsidRPr="007F271F">
        <w:rPr>
          <w:rFonts w:ascii="Times New Roman" w:eastAsia="Times New Roman" w:hAnsi="Times New Roman" w:cs="Times New Roman"/>
          <w:kern w:val="0"/>
          <w:sz w:val="24"/>
          <w:szCs w:val="24"/>
          <w:lang w:eastAsia="en-IN"/>
          <w14:ligatures w14:val="none"/>
        </w:rPr>
        <w:t xml:space="preserve">, followed by RMT-303 (10.93 g), 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xml:space="preserve"> (10.75 g), Hisar Mukta (10.39 g) and HM-9 (10.13 g). The lowest seed yield was recorded in CO-1 (7.97 g), followed by NRCSS-AM-2 (8.06 g).</w:t>
      </w:r>
    </w:p>
    <w:p w14:paraId="19BBBE1C"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Under moisture-stress conditions, seed yield ranged from </w:t>
      </w:r>
      <w:r w:rsidRPr="007F271F">
        <w:rPr>
          <w:rFonts w:ascii="Times New Roman" w:eastAsia="Times New Roman" w:hAnsi="Times New Roman" w:cs="Times New Roman"/>
          <w:b/>
          <w:bCs/>
          <w:kern w:val="0"/>
          <w:sz w:val="24"/>
          <w:szCs w:val="24"/>
          <w:lang w:eastAsia="en-IN"/>
          <w14:ligatures w14:val="none"/>
        </w:rPr>
        <w:t>6.18 to 9.91 g</w:t>
      </w:r>
      <w:r w:rsidRPr="007F271F">
        <w:rPr>
          <w:rFonts w:ascii="Times New Roman" w:eastAsia="Times New Roman" w:hAnsi="Times New Roman" w:cs="Times New Roman"/>
          <w:kern w:val="0"/>
          <w:sz w:val="24"/>
          <w:szCs w:val="24"/>
          <w:lang w:eastAsia="en-IN"/>
          <w14:ligatures w14:val="none"/>
        </w:rPr>
        <w:t xml:space="preserve">, with a mean of </w:t>
      </w:r>
      <w:r w:rsidRPr="007F271F">
        <w:rPr>
          <w:rFonts w:ascii="Times New Roman" w:eastAsia="Times New Roman" w:hAnsi="Times New Roman" w:cs="Times New Roman"/>
          <w:b/>
          <w:bCs/>
          <w:kern w:val="0"/>
          <w:sz w:val="24"/>
          <w:szCs w:val="24"/>
          <w:lang w:eastAsia="en-IN"/>
          <w14:ligatures w14:val="none"/>
        </w:rPr>
        <w:t>7.79 g</w:t>
      </w:r>
      <w:r w:rsidRPr="007F271F">
        <w:rPr>
          <w:rFonts w:ascii="Times New Roman" w:eastAsia="Times New Roman" w:hAnsi="Times New Roman" w:cs="Times New Roman"/>
          <w:kern w:val="0"/>
          <w:sz w:val="24"/>
          <w:szCs w:val="24"/>
          <w:lang w:eastAsia="en-IN"/>
          <w14:ligatures w14:val="none"/>
        </w:rPr>
        <w:t xml:space="preserve">. AFG-4 recorded the highest seed yield (9.91 g), followed by RMT-303 (8.86 g), 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xml:space="preserve"> (8.35 g), Hisar Mukta (8.23 g) and HM-9 (8.17 g). The lowest seed yield was recorded in NRCSS-AM-2 (6.18 g).</w:t>
      </w:r>
    </w:p>
    <w:p w14:paraId="5278F743"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Thus, moisture stress resulted in a reduction in seed yield in all genotypes.</w:t>
      </w:r>
    </w:p>
    <w:p w14:paraId="05B29CEF"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3.2 Yield Reduction under Moisture Stress</w:t>
      </w:r>
    </w:p>
    <w:p w14:paraId="303B3D44"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percentage reduction in seed yield ranged from </w:t>
      </w:r>
      <w:r w:rsidRPr="007F271F">
        <w:rPr>
          <w:rFonts w:ascii="Times New Roman" w:eastAsia="Times New Roman" w:hAnsi="Times New Roman" w:cs="Times New Roman"/>
          <w:b/>
          <w:bCs/>
          <w:kern w:val="0"/>
          <w:sz w:val="24"/>
          <w:szCs w:val="24"/>
          <w:lang w:eastAsia="en-IN"/>
          <w14:ligatures w14:val="none"/>
        </w:rPr>
        <w:t>18.94 to 23.60 per cent</w:t>
      </w:r>
      <w:r w:rsidRPr="007F271F">
        <w:rPr>
          <w:rFonts w:ascii="Times New Roman" w:eastAsia="Times New Roman" w:hAnsi="Times New Roman" w:cs="Times New Roman"/>
          <w:kern w:val="0"/>
          <w:sz w:val="24"/>
          <w:szCs w:val="24"/>
          <w:lang w:eastAsia="en-IN"/>
          <w14:ligatures w14:val="none"/>
        </w:rPr>
        <w:t xml:space="preserve">, with a mean reduction of </w:t>
      </w:r>
      <w:r w:rsidRPr="007F271F">
        <w:rPr>
          <w:rFonts w:ascii="Times New Roman" w:eastAsia="Times New Roman" w:hAnsi="Times New Roman" w:cs="Times New Roman"/>
          <w:b/>
          <w:bCs/>
          <w:kern w:val="0"/>
          <w:sz w:val="24"/>
          <w:szCs w:val="24"/>
          <w:lang w:eastAsia="en-IN"/>
          <w14:ligatures w14:val="none"/>
        </w:rPr>
        <w:t>21.09 per cent</w:t>
      </w:r>
      <w:r w:rsidRPr="007F271F">
        <w:rPr>
          <w:rFonts w:ascii="Times New Roman" w:eastAsia="Times New Roman" w:hAnsi="Times New Roman" w:cs="Times New Roman"/>
          <w:kern w:val="0"/>
          <w:sz w:val="24"/>
          <w:szCs w:val="24"/>
          <w:lang w:eastAsia="en-IN"/>
          <w14:ligatures w14:val="none"/>
        </w:rPr>
        <w:t>.</w:t>
      </w:r>
    </w:p>
    <w:p w14:paraId="6BAA1545"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minimum reduction was recorded in </w:t>
      </w:r>
      <w:r w:rsidRPr="007F271F">
        <w:rPr>
          <w:rFonts w:ascii="Times New Roman" w:eastAsia="Times New Roman" w:hAnsi="Times New Roman" w:cs="Times New Roman"/>
          <w:b/>
          <w:bCs/>
          <w:kern w:val="0"/>
          <w:sz w:val="24"/>
          <w:szCs w:val="24"/>
          <w:lang w:eastAsia="en-IN"/>
          <w14:ligatures w14:val="none"/>
        </w:rPr>
        <w:t>RMT-303 (18.94%)</w:t>
      </w:r>
      <w:r w:rsidRPr="007F271F">
        <w:rPr>
          <w:rFonts w:ascii="Times New Roman" w:eastAsia="Times New Roman" w:hAnsi="Times New Roman" w:cs="Times New Roman"/>
          <w:kern w:val="0"/>
          <w:sz w:val="24"/>
          <w:szCs w:val="24"/>
          <w:lang w:eastAsia="en-IN"/>
          <w14:ligatures w14:val="none"/>
        </w:rPr>
        <w:t xml:space="preserve">, followed by HM-9 (19.35%), RMT-361 (19.79%) and AFG-4 (20.08%). The maximum reduction was recorded in </w:t>
      </w:r>
      <w:r w:rsidRPr="007F271F">
        <w:rPr>
          <w:rFonts w:ascii="Times New Roman" w:eastAsia="Times New Roman" w:hAnsi="Times New Roman" w:cs="Times New Roman"/>
          <w:b/>
          <w:bCs/>
          <w:kern w:val="0"/>
          <w:sz w:val="24"/>
          <w:szCs w:val="24"/>
          <w:lang w:eastAsia="en-IN"/>
          <w14:ligatures w14:val="none"/>
        </w:rPr>
        <w:t>Hissa Sonali (23.60%)</w:t>
      </w:r>
      <w:r w:rsidRPr="007F271F">
        <w:rPr>
          <w:rFonts w:ascii="Times New Roman" w:eastAsia="Times New Roman" w:hAnsi="Times New Roman" w:cs="Times New Roman"/>
          <w:kern w:val="0"/>
          <w:sz w:val="24"/>
          <w:szCs w:val="24"/>
          <w:lang w:eastAsia="en-IN"/>
          <w14:ligatures w14:val="none"/>
        </w:rPr>
        <w:t>, followed by NRCSS-AM-2 (23.33%) and HM-350 (22.72%).</w:t>
      </w:r>
    </w:p>
    <w:p w14:paraId="76FEE16A"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The relatively lower yield reduction in RMT-303 and AFG-4 indicated better maintenance of productivity under moisture-stress conditions.</w:t>
      </w:r>
    </w:p>
    <w:p w14:paraId="2B1A8856"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lastRenderedPageBreak/>
        <w:t>3.3 Moisture Stress Tolerance Indices</w:t>
      </w:r>
    </w:p>
    <w:p w14:paraId="33ED0337"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TOL values ranged from </w:t>
      </w:r>
      <w:r w:rsidRPr="007F271F">
        <w:rPr>
          <w:rFonts w:ascii="Times New Roman" w:eastAsia="Times New Roman" w:hAnsi="Times New Roman" w:cs="Times New Roman"/>
          <w:b/>
          <w:bCs/>
          <w:kern w:val="0"/>
          <w:sz w:val="24"/>
          <w:szCs w:val="24"/>
          <w:lang w:eastAsia="en-IN"/>
          <w14:ligatures w14:val="none"/>
        </w:rPr>
        <w:t>1.59 to 2.49</w:t>
      </w:r>
      <w:r w:rsidRPr="007F271F">
        <w:rPr>
          <w:rFonts w:ascii="Times New Roman" w:eastAsia="Times New Roman" w:hAnsi="Times New Roman" w:cs="Times New Roman"/>
          <w:kern w:val="0"/>
          <w:sz w:val="24"/>
          <w:szCs w:val="24"/>
          <w:lang w:eastAsia="en-IN"/>
          <w14:ligatures w14:val="none"/>
        </w:rPr>
        <w:t xml:space="preserve">, MP from </w:t>
      </w:r>
      <w:r w:rsidRPr="007F271F">
        <w:rPr>
          <w:rFonts w:ascii="Times New Roman" w:eastAsia="Times New Roman" w:hAnsi="Times New Roman" w:cs="Times New Roman"/>
          <w:b/>
          <w:bCs/>
          <w:kern w:val="0"/>
          <w:sz w:val="24"/>
          <w:szCs w:val="24"/>
          <w:lang w:eastAsia="en-IN"/>
          <w14:ligatures w14:val="none"/>
        </w:rPr>
        <w:t>7.12 to 11.16</w:t>
      </w:r>
      <w:r w:rsidRPr="007F271F">
        <w:rPr>
          <w:rFonts w:ascii="Times New Roman" w:eastAsia="Times New Roman" w:hAnsi="Times New Roman" w:cs="Times New Roman"/>
          <w:kern w:val="0"/>
          <w:sz w:val="24"/>
          <w:szCs w:val="24"/>
          <w:lang w:eastAsia="en-IN"/>
          <w14:ligatures w14:val="none"/>
        </w:rPr>
        <w:t xml:space="preserve">, STI from </w:t>
      </w:r>
      <w:r w:rsidRPr="007F271F">
        <w:rPr>
          <w:rFonts w:ascii="Times New Roman" w:eastAsia="Times New Roman" w:hAnsi="Times New Roman" w:cs="Times New Roman"/>
          <w:b/>
          <w:bCs/>
          <w:kern w:val="0"/>
          <w:sz w:val="24"/>
          <w:szCs w:val="24"/>
          <w:lang w:eastAsia="en-IN"/>
          <w14:ligatures w14:val="none"/>
        </w:rPr>
        <w:t>0.51 to 1.26</w:t>
      </w:r>
      <w:r w:rsidRPr="007F271F">
        <w:rPr>
          <w:rFonts w:ascii="Times New Roman" w:eastAsia="Times New Roman" w:hAnsi="Times New Roman" w:cs="Times New Roman"/>
          <w:kern w:val="0"/>
          <w:sz w:val="24"/>
          <w:szCs w:val="24"/>
          <w:lang w:eastAsia="en-IN"/>
          <w14:ligatures w14:val="none"/>
        </w:rPr>
        <w:t xml:space="preserve">, SSI from </w:t>
      </w:r>
      <w:r w:rsidRPr="007F271F">
        <w:rPr>
          <w:rFonts w:ascii="Times New Roman" w:eastAsia="Times New Roman" w:hAnsi="Times New Roman" w:cs="Times New Roman"/>
          <w:b/>
          <w:bCs/>
          <w:kern w:val="0"/>
          <w:sz w:val="24"/>
          <w:szCs w:val="24"/>
          <w:lang w:eastAsia="en-IN"/>
          <w14:ligatures w14:val="none"/>
        </w:rPr>
        <w:t>0.90 to 1.12</w:t>
      </w:r>
      <w:r w:rsidRPr="007F271F">
        <w:rPr>
          <w:rFonts w:ascii="Times New Roman" w:eastAsia="Times New Roman" w:hAnsi="Times New Roman" w:cs="Times New Roman"/>
          <w:kern w:val="0"/>
          <w:sz w:val="24"/>
          <w:szCs w:val="24"/>
          <w:lang w:eastAsia="en-IN"/>
          <w14:ligatures w14:val="none"/>
        </w:rPr>
        <w:t xml:space="preserve">, and GMP from </w:t>
      </w:r>
      <w:r w:rsidRPr="007F271F">
        <w:rPr>
          <w:rFonts w:ascii="Times New Roman" w:eastAsia="Times New Roman" w:hAnsi="Times New Roman" w:cs="Times New Roman"/>
          <w:b/>
          <w:bCs/>
          <w:kern w:val="0"/>
          <w:sz w:val="24"/>
          <w:szCs w:val="24"/>
          <w:lang w:eastAsia="en-IN"/>
          <w14:ligatures w14:val="none"/>
        </w:rPr>
        <w:t>7.06 to 11.09</w:t>
      </w:r>
      <w:r w:rsidRPr="007F271F">
        <w:rPr>
          <w:rFonts w:ascii="Times New Roman" w:eastAsia="Times New Roman" w:hAnsi="Times New Roman" w:cs="Times New Roman"/>
          <w:kern w:val="0"/>
          <w:sz w:val="24"/>
          <w:szCs w:val="24"/>
          <w:lang w:eastAsia="en-IN"/>
          <w14:ligatures w14:val="none"/>
        </w:rPr>
        <w:t>.</w:t>
      </w:r>
    </w:p>
    <w:p w14:paraId="26A122C2"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AFG-4 recorded the highest </w:t>
      </w:r>
      <w:r w:rsidRPr="007F271F">
        <w:rPr>
          <w:rFonts w:ascii="Times New Roman" w:eastAsia="Times New Roman" w:hAnsi="Times New Roman" w:cs="Times New Roman"/>
          <w:b/>
          <w:bCs/>
          <w:kern w:val="0"/>
          <w:sz w:val="24"/>
          <w:szCs w:val="24"/>
          <w:lang w:eastAsia="en-IN"/>
          <w14:ligatures w14:val="none"/>
        </w:rPr>
        <w:t>MP (11.16), STI (1.26) and GMP (11.09)</w:t>
      </w:r>
      <w:r w:rsidRPr="007F271F">
        <w:rPr>
          <w:rFonts w:ascii="Times New Roman" w:eastAsia="Times New Roman" w:hAnsi="Times New Roman" w:cs="Times New Roman"/>
          <w:kern w:val="0"/>
          <w:sz w:val="24"/>
          <w:szCs w:val="24"/>
          <w:lang w:eastAsia="en-IN"/>
          <w14:ligatures w14:val="none"/>
        </w:rPr>
        <w:t>. RMT-303 recorded high values of MP (9.90), STI (1.00) and GMP (9.84), along with the lowest SSI (0.90).</w:t>
      </w:r>
    </w:p>
    <w:p w14:paraId="0EBF34C9"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Hisar Mukta and HM-9 also recorded comparatively high MP, STI and GMP values. In contrast, NRCSS-AM-2 and CO-1 showed relatively low values for these indices.</w:t>
      </w:r>
    </w:p>
    <w:p w14:paraId="5858C15C"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3.4 Identification of Promising Genotypes</w:t>
      </w:r>
    </w:p>
    <w:p w14:paraId="5FFEC50E"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combined assessment of seed yield and stress tolerance indices identified </w:t>
      </w:r>
      <w:r w:rsidRPr="007F271F">
        <w:rPr>
          <w:rFonts w:ascii="Times New Roman" w:eastAsia="Times New Roman" w:hAnsi="Times New Roman" w:cs="Times New Roman"/>
          <w:b/>
          <w:bCs/>
          <w:kern w:val="0"/>
          <w:sz w:val="24"/>
          <w:szCs w:val="24"/>
          <w:lang w:eastAsia="en-IN"/>
          <w14:ligatures w14:val="none"/>
        </w:rPr>
        <w:t>AFG-4 and RMT-303</w:t>
      </w:r>
      <w:r w:rsidRPr="007F271F">
        <w:rPr>
          <w:rFonts w:ascii="Times New Roman" w:eastAsia="Times New Roman" w:hAnsi="Times New Roman" w:cs="Times New Roman"/>
          <w:kern w:val="0"/>
          <w:sz w:val="24"/>
          <w:szCs w:val="24"/>
          <w:lang w:eastAsia="en-IN"/>
          <w14:ligatures w14:val="none"/>
        </w:rPr>
        <w:t xml:space="preserve"> as comparatively promising genotypes. AFG-4 showed the highest yield under both environments and the highest MP, STI and GMP. RMT-303 showed the lowest percentage yield reduction and lowest SSI along with relatively high MP, STI and GMP.</w:t>
      </w:r>
    </w:p>
    <w:p w14:paraId="4BDA93BC" w14:textId="77777777" w:rsid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 xml:space="preserve">Azad </w:t>
      </w:r>
      <w:proofErr w:type="spellStart"/>
      <w:r w:rsidRPr="007F271F">
        <w:rPr>
          <w:rFonts w:ascii="Times New Roman" w:eastAsia="Times New Roman" w:hAnsi="Times New Roman" w:cs="Times New Roman"/>
          <w:b/>
          <w:bCs/>
          <w:kern w:val="0"/>
          <w:sz w:val="24"/>
          <w:szCs w:val="24"/>
          <w:lang w:eastAsia="en-IN"/>
          <w14:ligatures w14:val="none"/>
        </w:rPr>
        <w:t>Metni</w:t>
      </w:r>
      <w:proofErr w:type="spellEnd"/>
      <w:r w:rsidRPr="007F271F">
        <w:rPr>
          <w:rFonts w:ascii="Times New Roman" w:eastAsia="Times New Roman" w:hAnsi="Times New Roman" w:cs="Times New Roman"/>
          <w:b/>
          <w:bCs/>
          <w:kern w:val="0"/>
          <w:sz w:val="24"/>
          <w:szCs w:val="24"/>
          <w:lang w:eastAsia="en-IN"/>
          <w14:ligatures w14:val="none"/>
        </w:rPr>
        <w:t>, Hisar Mukta and HM-9</w:t>
      </w:r>
      <w:r w:rsidRPr="007F271F">
        <w:rPr>
          <w:rFonts w:ascii="Times New Roman" w:eastAsia="Times New Roman" w:hAnsi="Times New Roman" w:cs="Times New Roman"/>
          <w:kern w:val="0"/>
          <w:sz w:val="24"/>
          <w:szCs w:val="24"/>
          <w:lang w:eastAsia="en-IN"/>
          <w14:ligatures w14:val="none"/>
        </w:rPr>
        <w:t xml:space="preserve"> also showed comparatively desirable performance under moisture stress and were considered promising for further evaluation.</w:t>
      </w:r>
    </w:p>
    <w:p w14:paraId="16CF92C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1. Seed yield performance of fenugreek genotypes under non-stress and moisture-stress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
        <w:gridCol w:w="1270"/>
        <w:gridCol w:w="2636"/>
        <w:gridCol w:w="2922"/>
        <w:gridCol w:w="1622"/>
      </w:tblGrid>
      <w:tr w:rsidR="00707120" w:rsidRPr="00707120" w14:paraId="01668F1E" w14:textId="77777777" w:rsidTr="00707120">
        <w:trPr>
          <w:tblHeader/>
          <w:tblCellSpacing w:w="15" w:type="dxa"/>
        </w:trPr>
        <w:tc>
          <w:tcPr>
            <w:tcW w:w="0" w:type="auto"/>
            <w:tcBorders>
              <w:top w:val="single" w:sz="4" w:space="0" w:color="auto"/>
              <w:left w:val="single" w:sz="4" w:space="0" w:color="auto"/>
              <w:bottom w:val="single" w:sz="4" w:space="0" w:color="auto"/>
            </w:tcBorders>
            <w:vAlign w:val="center"/>
            <w:hideMark/>
          </w:tcPr>
          <w:p w14:paraId="343E89B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 No.</w:t>
            </w:r>
          </w:p>
        </w:tc>
        <w:tc>
          <w:tcPr>
            <w:tcW w:w="0" w:type="auto"/>
            <w:tcBorders>
              <w:top w:val="single" w:sz="4" w:space="0" w:color="auto"/>
              <w:bottom w:val="single" w:sz="4" w:space="0" w:color="auto"/>
            </w:tcBorders>
            <w:vAlign w:val="center"/>
            <w:hideMark/>
          </w:tcPr>
          <w:p w14:paraId="5E3574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B5E6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Seed yield under non-stress (</w:t>
            </w:r>
            <w:proofErr w:type="spellStart"/>
            <w:r w:rsidRPr="00707120">
              <w:rPr>
                <w:rFonts w:ascii="Times New Roman" w:eastAsia="Times New Roman" w:hAnsi="Times New Roman" w:cs="Times New Roman"/>
                <w:b/>
                <w:bCs/>
                <w:kern w:val="0"/>
                <w:sz w:val="24"/>
                <w:szCs w:val="24"/>
                <w:lang w:eastAsia="en-IN"/>
                <w14:ligatures w14:val="none"/>
              </w:rPr>
              <w:t>Yp</w:t>
            </w:r>
            <w:proofErr w:type="spellEnd"/>
            <w:r w:rsidRPr="00707120">
              <w:rPr>
                <w:rFonts w:ascii="Times New Roman" w:eastAsia="Times New Roman" w:hAnsi="Times New Roman" w:cs="Times New Roman"/>
                <w:b/>
                <w:bCs/>
                <w:kern w:val="0"/>
                <w:sz w:val="24"/>
                <w:szCs w:val="24"/>
                <w:lang w:eastAsia="en-IN"/>
                <w14:ligatures w14:val="none"/>
              </w:rPr>
              <w:t>, g plant⁻¹)</w:t>
            </w:r>
          </w:p>
        </w:tc>
        <w:tc>
          <w:tcPr>
            <w:tcW w:w="0" w:type="auto"/>
            <w:tcBorders>
              <w:top w:val="single" w:sz="4" w:space="0" w:color="auto"/>
              <w:bottom w:val="single" w:sz="4" w:space="0" w:color="auto"/>
            </w:tcBorders>
            <w:vAlign w:val="center"/>
            <w:hideMark/>
          </w:tcPr>
          <w:p w14:paraId="6BF192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Seed yield under moisture stress (Ys, g plant⁻¹)</w:t>
            </w:r>
          </w:p>
        </w:tc>
        <w:tc>
          <w:tcPr>
            <w:tcW w:w="0" w:type="auto"/>
            <w:tcBorders>
              <w:top w:val="single" w:sz="4" w:space="0" w:color="auto"/>
              <w:left w:val="single" w:sz="4" w:space="0" w:color="auto"/>
              <w:bottom w:val="single" w:sz="4" w:space="0" w:color="auto"/>
              <w:right w:val="single" w:sz="4" w:space="0" w:color="auto"/>
            </w:tcBorders>
            <w:vAlign w:val="center"/>
            <w:hideMark/>
          </w:tcPr>
          <w:p w14:paraId="2D7BCC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Yield reduction (%)</w:t>
            </w:r>
          </w:p>
        </w:tc>
      </w:tr>
      <w:tr w:rsidR="00707120" w:rsidRPr="00707120" w14:paraId="381FC859" w14:textId="77777777" w:rsidTr="00707120">
        <w:trPr>
          <w:tblCellSpacing w:w="15" w:type="dxa"/>
        </w:trPr>
        <w:tc>
          <w:tcPr>
            <w:tcW w:w="0" w:type="auto"/>
            <w:tcBorders>
              <w:left w:val="single" w:sz="4" w:space="0" w:color="auto"/>
            </w:tcBorders>
            <w:vAlign w:val="center"/>
            <w:hideMark/>
          </w:tcPr>
          <w:p w14:paraId="568D15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vAlign w:val="center"/>
            <w:hideMark/>
          </w:tcPr>
          <w:p w14:paraId="7D86E0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left w:val="single" w:sz="4" w:space="0" w:color="auto"/>
              <w:right w:val="single" w:sz="4" w:space="0" w:color="auto"/>
            </w:tcBorders>
            <w:vAlign w:val="center"/>
            <w:hideMark/>
          </w:tcPr>
          <w:p w14:paraId="3A625D9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vAlign w:val="center"/>
            <w:hideMark/>
          </w:tcPr>
          <w:p w14:paraId="6AAC486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left w:val="single" w:sz="4" w:space="0" w:color="auto"/>
              <w:right w:val="single" w:sz="4" w:space="0" w:color="auto"/>
            </w:tcBorders>
            <w:vAlign w:val="center"/>
            <w:hideMark/>
          </w:tcPr>
          <w:p w14:paraId="6E61C71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22.72</w:t>
            </w:r>
          </w:p>
        </w:tc>
      </w:tr>
      <w:tr w:rsidR="00707120" w:rsidRPr="00707120" w14:paraId="644E145B"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3655D61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bottom w:val="single" w:sz="4" w:space="0" w:color="auto"/>
            </w:tcBorders>
            <w:vAlign w:val="center"/>
            <w:hideMark/>
          </w:tcPr>
          <w:p w14:paraId="1602654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left w:val="single" w:sz="4" w:space="0" w:color="auto"/>
              <w:bottom w:val="single" w:sz="4" w:space="0" w:color="auto"/>
              <w:right w:val="single" w:sz="4" w:space="0" w:color="auto"/>
            </w:tcBorders>
            <w:vAlign w:val="center"/>
            <w:hideMark/>
          </w:tcPr>
          <w:p w14:paraId="74F42E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bottom w:val="single" w:sz="4" w:space="0" w:color="auto"/>
            </w:tcBorders>
            <w:vAlign w:val="center"/>
            <w:hideMark/>
          </w:tcPr>
          <w:p w14:paraId="56A80E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BF04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19.79</w:t>
            </w:r>
          </w:p>
        </w:tc>
      </w:tr>
      <w:tr w:rsidR="00707120" w:rsidRPr="00707120" w14:paraId="09C7B0E8" w14:textId="77777777" w:rsidTr="00707120">
        <w:trPr>
          <w:tblCellSpacing w:w="15" w:type="dxa"/>
        </w:trPr>
        <w:tc>
          <w:tcPr>
            <w:tcW w:w="0" w:type="auto"/>
            <w:tcBorders>
              <w:left w:val="single" w:sz="4" w:space="0" w:color="auto"/>
            </w:tcBorders>
            <w:vAlign w:val="center"/>
            <w:hideMark/>
          </w:tcPr>
          <w:p w14:paraId="226FE03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vAlign w:val="center"/>
            <w:hideMark/>
          </w:tcPr>
          <w:p w14:paraId="38F9932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left w:val="single" w:sz="4" w:space="0" w:color="auto"/>
              <w:right w:val="single" w:sz="4" w:space="0" w:color="auto"/>
            </w:tcBorders>
            <w:vAlign w:val="center"/>
            <w:hideMark/>
          </w:tcPr>
          <w:p w14:paraId="598FB5C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vAlign w:val="center"/>
            <w:hideMark/>
          </w:tcPr>
          <w:p w14:paraId="793CA4D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left w:val="single" w:sz="4" w:space="0" w:color="auto"/>
              <w:right w:val="single" w:sz="4" w:space="0" w:color="auto"/>
            </w:tcBorders>
            <w:vAlign w:val="center"/>
            <w:hideMark/>
          </w:tcPr>
          <w:p w14:paraId="268CFC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r>
      <w:tr w:rsidR="00707120" w:rsidRPr="00707120" w14:paraId="06394127" w14:textId="77777777" w:rsidTr="00707120">
        <w:trPr>
          <w:tblCellSpacing w:w="15" w:type="dxa"/>
        </w:trPr>
        <w:tc>
          <w:tcPr>
            <w:tcW w:w="0" w:type="auto"/>
            <w:tcBorders>
              <w:top w:val="single" w:sz="4" w:space="0" w:color="auto"/>
              <w:left w:val="single" w:sz="4" w:space="0" w:color="auto"/>
            </w:tcBorders>
            <w:vAlign w:val="center"/>
            <w:hideMark/>
          </w:tcPr>
          <w:p w14:paraId="4CDA5F2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top w:val="single" w:sz="4" w:space="0" w:color="auto"/>
            </w:tcBorders>
            <w:vAlign w:val="center"/>
            <w:hideMark/>
          </w:tcPr>
          <w:p w14:paraId="7080BE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top w:val="single" w:sz="4" w:space="0" w:color="auto"/>
              <w:left w:val="single" w:sz="4" w:space="0" w:color="auto"/>
              <w:right w:val="single" w:sz="4" w:space="0" w:color="auto"/>
            </w:tcBorders>
            <w:vAlign w:val="center"/>
            <w:hideMark/>
          </w:tcPr>
          <w:p w14:paraId="1606ACC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top w:val="single" w:sz="4" w:space="0" w:color="auto"/>
            </w:tcBorders>
            <w:vAlign w:val="center"/>
            <w:hideMark/>
          </w:tcPr>
          <w:p w14:paraId="191ECB3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tcBorders>
              <w:top w:val="single" w:sz="4" w:space="0" w:color="auto"/>
              <w:left w:val="single" w:sz="4" w:space="0" w:color="auto"/>
              <w:right w:val="single" w:sz="4" w:space="0" w:color="auto"/>
            </w:tcBorders>
            <w:vAlign w:val="center"/>
            <w:hideMark/>
          </w:tcPr>
          <w:p w14:paraId="4D6712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21.15</w:t>
            </w:r>
          </w:p>
        </w:tc>
      </w:tr>
      <w:tr w:rsidR="00707120" w:rsidRPr="00707120" w14:paraId="14589C81" w14:textId="77777777" w:rsidTr="00707120">
        <w:trPr>
          <w:tblCellSpacing w:w="15" w:type="dxa"/>
        </w:trPr>
        <w:tc>
          <w:tcPr>
            <w:tcW w:w="0" w:type="auto"/>
            <w:tcBorders>
              <w:top w:val="single" w:sz="4" w:space="0" w:color="auto"/>
              <w:left w:val="single" w:sz="4" w:space="0" w:color="auto"/>
            </w:tcBorders>
            <w:vAlign w:val="center"/>
            <w:hideMark/>
          </w:tcPr>
          <w:p w14:paraId="5D8518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tcBorders>
            <w:vAlign w:val="center"/>
            <w:hideMark/>
          </w:tcPr>
          <w:p w14:paraId="56168EE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left w:val="single" w:sz="4" w:space="0" w:color="auto"/>
              <w:right w:val="single" w:sz="4" w:space="0" w:color="auto"/>
            </w:tcBorders>
            <w:vAlign w:val="center"/>
            <w:hideMark/>
          </w:tcPr>
          <w:p w14:paraId="3A75007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tcBorders>
            <w:vAlign w:val="center"/>
            <w:hideMark/>
          </w:tcPr>
          <w:p w14:paraId="35A0D4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left w:val="single" w:sz="4" w:space="0" w:color="auto"/>
              <w:right w:val="single" w:sz="4" w:space="0" w:color="auto"/>
            </w:tcBorders>
            <w:vAlign w:val="center"/>
            <w:hideMark/>
          </w:tcPr>
          <w:p w14:paraId="75F35D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23.33</w:t>
            </w:r>
          </w:p>
        </w:tc>
      </w:tr>
      <w:tr w:rsidR="00707120" w:rsidRPr="00707120" w14:paraId="3FFB890D"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2678AFD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bottom w:val="single" w:sz="4" w:space="0" w:color="auto"/>
            </w:tcBorders>
            <w:vAlign w:val="center"/>
            <w:hideMark/>
          </w:tcPr>
          <w:p w14:paraId="7EFEC70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68E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bottom w:val="single" w:sz="4" w:space="0" w:color="auto"/>
            </w:tcBorders>
            <w:vAlign w:val="center"/>
            <w:hideMark/>
          </w:tcPr>
          <w:p w14:paraId="553EED3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left w:val="single" w:sz="4" w:space="0" w:color="auto"/>
              <w:bottom w:val="single" w:sz="4" w:space="0" w:color="auto"/>
              <w:right w:val="single" w:sz="4" w:space="0" w:color="auto"/>
            </w:tcBorders>
            <w:vAlign w:val="center"/>
            <w:hideMark/>
          </w:tcPr>
          <w:p w14:paraId="6A1EF0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20.08</w:t>
            </w:r>
          </w:p>
        </w:tc>
      </w:tr>
      <w:tr w:rsidR="00707120" w:rsidRPr="00707120" w14:paraId="5BF6BFAF" w14:textId="77777777" w:rsidTr="00707120">
        <w:trPr>
          <w:tblCellSpacing w:w="15" w:type="dxa"/>
        </w:trPr>
        <w:tc>
          <w:tcPr>
            <w:tcW w:w="0" w:type="auto"/>
            <w:tcBorders>
              <w:left w:val="single" w:sz="4" w:space="0" w:color="auto"/>
            </w:tcBorders>
            <w:vAlign w:val="center"/>
            <w:hideMark/>
          </w:tcPr>
          <w:p w14:paraId="2FC59B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vAlign w:val="center"/>
            <w:hideMark/>
          </w:tcPr>
          <w:p w14:paraId="4AF2218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left w:val="single" w:sz="4" w:space="0" w:color="auto"/>
              <w:right w:val="single" w:sz="4" w:space="0" w:color="auto"/>
            </w:tcBorders>
            <w:vAlign w:val="center"/>
            <w:hideMark/>
          </w:tcPr>
          <w:p w14:paraId="45FCFE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vAlign w:val="center"/>
            <w:hideMark/>
          </w:tcPr>
          <w:p w14:paraId="15AFDE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tcBorders>
              <w:left w:val="single" w:sz="4" w:space="0" w:color="auto"/>
              <w:right w:val="single" w:sz="4" w:space="0" w:color="auto"/>
            </w:tcBorders>
            <w:vAlign w:val="center"/>
            <w:hideMark/>
          </w:tcPr>
          <w:p w14:paraId="1702A8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21.08</w:t>
            </w:r>
          </w:p>
        </w:tc>
      </w:tr>
      <w:tr w:rsidR="00707120" w:rsidRPr="00707120" w14:paraId="46B52EFF"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2424942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bottom w:val="single" w:sz="4" w:space="0" w:color="auto"/>
            </w:tcBorders>
            <w:vAlign w:val="center"/>
            <w:hideMark/>
          </w:tcPr>
          <w:p w14:paraId="2A54BED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9FEB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bottom w:val="single" w:sz="4" w:space="0" w:color="auto"/>
            </w:tcBorders>
            <w:vAlign w:val="center"/>
            <w:hideMark/>
          </w:tcPr>
          <w:p w14:paraId="361CBC2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left w:val="single" w:sz="4" w:space="0" w:color="auto"/>
              <w:bottom w:val="single" w:sz="4" w:space="0" w:color="auto"/>
              <w:right w:val="single" w:sz="4" w:space="0" w:color="auto"/>
            </w:tcBorders>
            <w:vAlign w:val="center"/>
            <w:hideMark/>
          </w:tcPr>
          <w:p w14:paraId="076B9EB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19.35</w:t>
            </w:r>
          </w:p>
        </w:tc>
      </w:tr>
      <w:tr w:rsidR="00707120" w:rsidRPr="00707120" w14:paraId="3B7189A1" w14:textId="77777777" w:rsidTr="00707120">
        <w:trPr>
          <w:tblCellSpacing w:w="15" w:type="dxa"/>
        </w:trPr>
        <w:tc>
          <w:tcPr>
            <w:tcW w:w="0" w:type="auto"/>
            <w:tcBorders>
              <w:left w:val="single" w:sz="4" w:space="0" w:color="auto"/>
            </w:tcBorders>
            <w:vAlign w:val="center"/>
            <w:hideMark/>
          </w:tcPr>
          <w:p w14:paraId="2FD8B5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w:t>
            </w:r>
          </w:p>
        </w:tc>
        <w:tc>
          <w:tcPr>
            <w:tcW w:w="0" w:type="auto"/>
            <w:vAlign w:val="center"/>
            <w:hideMark/>
          </w:tcPr>
          <w:p w14:paraId="27C7C4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left w:val="single" w:sz="4" w:space="0" w:color="auto"/>
              <w:right w:val="single" w:sz="4" w:space="0" w:color="auto"/>
            </w:tcBorders>
            <w:vAlign w:val="center"/>
            <w:hideMark/>
          </w:tcPr>
          <w:p w14:paraId="35CD0A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vAlign w:val="center"/>
            <w:hideMark/>
          </w:tcPr>
          <w:p w14:paraId="16252F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left w:val="single" w:sz="4" w:space="0" w:color="auto"/>
              <w:right w:val="single" w:sz="4" w:space="0" w:color="auto"/>
            </w:tcBorders>
            <w:vAlign w:val="center"/>
            <w:hideMark/>
          </w:tcPr>
          <w:p w14:paraId="2B8F81C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20.79</w:t>
            </w:r>
          </w:p>
        </w:tc>
      </w:tr>
      <w:tr w:rsidR="00707120" w:rsidRPr="00707120" w14:paraId="65B07DDD"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0DB9A80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tcBorders>
              <w:top w:val="single" w:sz="4" w:space="0" w:color="auto"/>
              <w:bottom w:val="single" w:sz="4" w:space="0" w:color="auto"/>
            </w:tcBorders>
            <w:vAlign w:val="center"/>
            <w:hideMark/>
          </w:tcPr>
          <w:p w14:paraId="266FD3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E25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top w:val="single" w:sz="4" w:space="0" w:color="auto"/>
              <w:bottom w:val="single" w:sz="4" w:space="0" w:color="auto"/>
            </w:tcBorders>
            <w:vAlign w:val="center"/>
            <w:hideMark/>
          </w:tcPr>
          <w:p w14:paraId="58CE292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EAA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19.95</w:t>
            </w:r>
          </w:p>
        </w:tc>
      </w:tr>
      <w:tr w:rsidR="00707120" w:rsidRPr="00707120" w14:paraId="20342FBB" w14:textId="77777777" w:rsidTr="00707120">
        <w:trPr>
          <w:tblCellSpacing w:w="15" w:type="dxa"/>
        </w:trPr>
        <w:tc>
          <w:tcPr>
            <w:tcW w:w="0" w:type="auto"/>
            <w:tcBorders>
              <w:left w:val="single" w:sz="4" w:space="0" w:color="auto"/>
              <w:bottom w:val="single" w:sz="4" w:space="0" w:color="auto"/>
            </w:tcBorders>
            <w:vAlign w:val="center"/>
            <w:hideMark/>
          </w:tcPr>
          <w:p w14:paraId="3ED9877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bottom w:val="single" w:sz="4" w:space="0" w:color="auto"/>
            </w:tcBorders>
            <w:vAlign w:val="center"/>
            <w:hideMark/>
          </w:tcPr>
          <w:p w14:paraId="3A2F981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left w:val="single" w:sz="4" w:space="0" w:color="auto"/>
              <w:bottom w:val="single" w:sz="4" w:space="0" w:color="auto"/>
              <w:right w:val="single" w:sz="4" w:space="0" w:color="auto"/>
            </w:tcBorders>
            <w:vAlign w:val="center"/>
            <w:hideMark/>
          </w:tcPr>
          <w:p w14:paraId="4EEA37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bottom w:val="single" w:sz="4" w:space="0" w:color="auto"/>
            </w:tcBorders>
            <w:vAlign w:val="center"/>
            <w:hideMark/>
          </w:tcPr>
          <w:p w14:paraId="0A4D890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tcBorders>
              <w:left w:val="single" w:sz="4" w:space="0" w:color="auto"/>
              <w:bottom w:val="single" w:sz="4" w:space="0" w:color="auto"/>
              <w:right w:val="single" w:sz="4" w:space="0" w:color="auto"/>
            </w:tcBorders>
            <w:vAlign w:val="center"/>
            <w:hideMark/>
          </w:tcPr>
          <w:p w14:paraId="5B8F36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22.33</w:t>
            </w:r>
          </w:p>
        </w:tc>
      </w:tr>
      <w:tr w:rsidR="00707120" w:rsidRPr="00707120" w14:paraId="246BDF6B" w14:textId="77777777" w:rsidTr="00707120">
        <w:trPr>
          <w:tblCellSpacing w:w="15" w:type="dxa"/>
        </w:trPr>
        <w:tc>
          <w:tcPr>
            <w:tcW w:w="0" w:type="auto"/>
            <w:tcBorders>
              <w:left w:val="single" w:sz="4" w:space="0" w:color="auto"/>
              <w:bottom w:val="single" w:sz="4" w:space="0" w:color="auto"/>
            </w:tcBorders>
            <w:vAlign w:val="center"/>
            <w:hideMark/>
          </w:tcPr>
          <w:p w14:paraId="0D17D3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bottom w:val="single" w:sz="4" w:space="0" w:color="auto"/>
            </w:tcBorders>
            <w:vAlign w:val="center"/>
            <w:hideMark/>
          </w:tcPr>
          <w:p w14:paraId="6617DDA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left w:val="single" w:sz="4" w:space="0" w:color="auto"/>
              <w:bottom w:val="single" w:sz="4" w:space="0" w:color="auto"/>
              <w:right w:val="single" w:sz="4" w:space="0" w:color="auto"/>
            </w:tcBorders>
            <w:vAlign w:val="center"/>
            <w:hideMark/>
          </w:tcPr>
          <w:p w14:paraId="3C9F72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bottom w:val="single" w:sz="4" w:space="0" w:color="auto"/>
            </w:tcBorders>
            <w:vAlign w:val="center"/>
            <w:hideMark/>
          </w:tcPr>
          <w:p w14:paraId="4BE6B4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left w:val="single" w:sz="4" w:space="0" w:color="auto"/>
              <w:bottom w:val="single" w:sz="4" w:space="0" w:color="auto"/>
              <w:right w:val="single" w:sz="4" w:space="0" w:color="auto"/>
            </w:tcBorders>
            <w:vAlign w:val="center"/>
            <w:hideMark/>
          </w:tcPr>
          <w:p w14:paraId="6CAF841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23.60</w:t>
            </w:r>
          </w:p>
        </w:tc>
      </w:tr>
      <w:tr w:rsidR="00707120" w:rsidRPr="00707120" w14:paraId="3BADF55A" w14:textId="77777777" w:rsidTr="00707120">
        <w:trPr>
          <w:tblCellSpacing w:w="15" w:type="dxa"/>
        </w:trPr>
        <w:tc>
          <w:tcPr>
            <w:tcW w:w="0" w:type="auto"/>
            <w:tcBorders>
              <w:left w:val="single" w:sz="4" w:space="0" w:color="auto"/>
              <w:bottom w:val="single" w:sz="4" w:space="0" w:color="auto"/>
            </w:tcBorders>
            <w:vAlign w:val="center"/>
            <w:hideMark/>
          </w:tcPr>
          <w:p w14:paraId="5966DD0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tc>
        <w:tc>
          <w:tcPr>
            <w:tcW w:w="0" w:type="auto"/>
            <w:tcBorders>
              <w:bottom w:val="single" w:sz="4" w:space="0" w:color="auto"/>
            </w:tcBorders>
            <w:vAlign w:val="center"/>
            <w:hideMark/>
          </w:tcPr>
          <w:p w14:paraId="5A39D7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Mean</w:t>
            </w:r>
          </w:p>
        </w:tc>
        <w:tc>
          <w:tcPr>
            <w:tcW w:w="0" w:type="auto"/>
            <w:tcBorders>
              <w:left w:val="single" w:sz="4" w:space="0" w:color="auto"/>
              <w:bottom w:val="single" w:sz="4" w:space="0" w:color="auto"/>
              <w:right w:val="single" w:sz="4" w:space="0" w:color="auto"/>
            </w:tcBorders>
            <w:vAlign w:val="center"/>
            <w:hideMark/>
          </w:tcPr>
          <w:p w14:paraId="78184B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9.86</w:t>
            </w:r>
          </w:p>
        </w:tc>
        <w:tc>
          <w:tcPr>
            <w:tcW w:w="0" w:type="auto"/>
            <w:tcBorders>
              <w:bottom w:val="single" w:sz="4" w:space="0" w:color="auto"/>
            </w:tcBorders>
            <w:vAlign w:val="center"/>
            <w:hideMark/>
          </w:tcPr>
          <w:p w14:paraId="571390A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7.79</w:t>
            </w:r>
          </w:p>
        </w:tc>
        <w:tc>
          <w:tcPr>
            <w:tcW w:w="0" w:type="auto"/>
            <w:tcBorders>
              <w:left w:val="single" w:sz="4" w:space="0" w:color="auto"/>
              <w:bottom w:val="single" w:sz="4" w:space="0" w:color="auto"/>
              <w:right w:val="single" w:sz="4" w:space="0" w:color="auto"/>
            </w:tcBorders>
            <w:vAlign w:val="center"/>
            <w:hideMark/>
          </w:tcPr>
          <w:p w14:paraId="24A07B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21.09</w:t>
            </w:r>
          </w:p>
        </w:tc>
      </w:tr>
    </w:tbl>
    <w:p w14:paraId="1BAA451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707120">
        <w:rPr>
          <w:rFonts w:ascii="Times New Roman" w:eastAsia="Times New Roman" w:hAnsi="Times New Roman" w:cs="Times New Roman"/>
          <w:i/>
          <w:iCs/>
          <w:kern w:val="0"/>
          <w:sz w:val="24"/>
          <w:szCs w:val="24"/>
          <w:lang w:eastAsia="en-IN"/>
          <w14:ligatures w14:val="none"/>
        </w:rPr>
        <w:t>Yp</w:t>
      </w:r>
      <w:proofErr w:type="spellEnd"/>
      <w:r w:rsidRPr="00707120">
        <w:rPr>
          <w:rFonts w:ascii="Times New Roman" w:eastAsia="Times New Roman" w:hAnsi="Times New Roman" w:cs="Times New Roman"/>
          <w:i/>
          <w:iCs/>
          <w:kern w:val="0"/>
          <w:sz w:val="24"/>
          <w:szCs w:val="24"/>
          <w:lang w:eastAsia="en-IN"/>
          <w14:ligatures w14:val="none"/>
        </w:rPr>
        <w:t xml:space="preserve"> = seed yield under non-stress conditions; Ys = seed yield under moisture-stress conditions.</w:t>
      </w:r>
    </w:p>
    <w:p w14:paraId="55C0AB5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2. Moisture stress tolerance indices of twelve fenugreek genotypes</w:t>
      </w:r>
    </w:p>
    <w:tbl>
      <w:tblPr>
        <w:tblW w:w="9665" w:type="dxa"/>
        <w:tblCellSpacing w:w="15" w:type="dxa"/>
        <w:tblCellMar>
          <w:top w:w="15" w:type="dxa"/>
          <w:left w:w="15" w:type="dxa"/>
          <w:bottom w:w="15" w:type="dxa"/>
          <w:right w:w="15" w:type="dxa"/>
        </w:tblCellMar>
        <w:tblLook w:val="04A0" w:firstRow="1" w:lastRow="0" w:firstColumn="1" w:lastColumn="0" w:noHBand="0" w:noVBand="1"/>
      </w:tblPr>
      <w:tblGrid>
        <w:gridCol w:w="1089"/>
        <w:gridCol w:w="2410"/>
        <w:gridCol w:w="965"/>
        <w:gridCol w:w="771"/>
        <w:gridCol w:w="895"/>
        <w:gridCol w:w="981"/>
        <w:gridCol w:w="755"/>
        <w:gridCol w:w="771"/>
        <w:gridCol w:w="1028"/>
      </w:tblGrid>
      <w:tr w:rsidR="00A45779" w:rsidRPr="00707120" w14:paraId="2A886B59" w14:textId="77777777" w:rsidTr="00A45779">
        <w:trPr>
          <w:trHeight w:val="273"/>
          <w:tblHeader/>
          <w:tblCellSpacing w:w="15" w:type="dxa"/>
        </w:trPr>
        <w:tc>
          <w:tcPr>
            <w:tcW w:w="0" w:type="auto"/>
            <w:tcBorders>
              <w:top w:val="single" w:sz="4" w:space="0" w:color="auto"/>
              <w:left w:val="single" w:sz="4" w:space="0" w:color="auto"/>
            </w:tcBorders>
            <w:vAlign w:val="center"/>
            <w:hideMark/>
          </w:tcPr>
          <w:p w14:paraId="5B79E77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lastRenderedPageBreak/>
              <w:t>S. No.</w:t>
            </w:r>
          </w:p>
        </w:tc>
        <w:tc>
          <w:tcPr>
            <w:tcW w:w="0" w:type="auto"/>
            <w:tcBorders>
              <w:top w:val="single" w:sz="4" w:space="0" w:color="auto"/>
              <w:left w:val="single" w:sz="4" w:space="0" w:color="auto"/>
              <w:right w:val="single" w:sz="4" w:space="0" w:color="auto"/>
            </w:tcBorders>
            <w:vAlign w:val="center"/>
            <w:hideMark/>
          </w:tcPr>
          <w:p w14:paraId="6EB1CF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right w:val="single" w:sz="4" w:space="0" w:color="auto"/>
            </w:tcBorders>
            <w:vAlign w:val="center"/>
            <w:hideMark/>
          </w:tcPr>
          <w:p w14:paraId="3677B9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sidRPr="00707120">
              <w:rPr>
                <w:rFonts w:ascii="Times New Roman" w:eastAsia="Times New Roman" w:hAnsi="Times New Roman" w:cs="Times New Roman"/>
                <w:b/>
                <w:bCs/>
                <w:kern w:val="0"/>
                <w:sz w:val="24"/>
                <w:szCs w:val="24"/>
                <w:lang w:eastAsia="en-IN"/>
                <w14:ligatures w14:val="none"/>
              </w:rPr>
              <w:t>Yp</w:t>
            </w:r>
            <w:proofErr w:type="spellEnd"/>
          </w:p>
        </w:tc>
        <w:tc>
          <w:tcPr>
            <w:tcW w:w="0" w:type="auto"/>
            <w:tcBorders>
              <w:top w:val="single" w:sz="4" w:space="0" w:color="auto"/>
              <w:right w:val="single" w:sz="4" w:space="0" w:color="auto"/>
            </w:tcBorders>
            <w:vAlign w:val="center"/>
            <w:hideMark/>
          </w:tcPr>
          <w:p w14:paraId="2A1D8E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Ys</w:t>
            </w:r>
          </w:p>
        </w:tc>
        <w:tc>
          <w:tcPr>
            <w:tcW w:w="0" w:type="auto"/>
            <w:tcBorders>
              <w:top w:val="single" w:sz="4" w:space="0" w:color="auto"/>
            </w:tcBorders>
            <w:vAlign w:val="center"/>
            <w:hideMark/>
          </w:tcPr>
          <w:p w14:paraId="4B002EC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TOL</w:t>
            </w:r>
          </w:p>
        </w:tc>
        <w:tc>
          <w:tcPr>
            <w:tcW w:w="0" w:type="auto"/>
            <w:tcBorders>
              <w:top w:val="single" w:sz="4" w:space="0" w:color="auto"/>
              <w:left w:val="single" w:sz="4" w:space="0" w:color="auto"/>
              <w:right w:val="single" w:sz="4" w:space="0" w:color="auto"/>
            </w:tcBorders>
            <w:vAlign w:val="center"/>
            <w:hideMark/>
          </w:tcPr>
          <w:p w14:paraId="6110441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MP</w:t>
            </w:r>
          </w:p>
        </w:tc>
        <w:tc>
          <w:tcPr>
            <w:tcW w:w="0" w:type="auto"/>
            <w:tcBorders>
              <w:top w:val="single" w:sz="4" w:space="0" w:color="auto"/>
            </w:tcBorders>
            <w:vAlign w:val="center"/>
            <w:hideMark/>
          </w:tcPr>
          <w:p w14:paraId="4811FD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STI</w:t>
            </w:r>
          </w:p>
        </w:tc>
        <w:tc>
          <w:tcPr>
            <w:tcW w:w="0" w:type="auto"/>
            <w:tcBorders>
              <w:top w:val="single" w:sz="4" w:space="0" w:color="auto"/>
              <w:left w:val="single" w:sz="4" w:space="0" w:color="auto"/>
            </w:tcBorders>
            <w:vAlign w:val="center"/>
            <w:hideMark/>
          </w:tcPr>
          <w:p w14:paraId="754939C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SSI</w:t>
            </w:r>
          </w:p>
        </w:tc>
        <w:tc>
          <w:tcPr>
            <w:tcW w:w="0" w:type="auto"/>
            <w:tcBorders>
              <w:top w:val="single" w:sz="4" w:space="0" w:color="auto"/>
              <w:left w:val="single" w:sz="4" w:space="0" w:color="auto"/>
              <w:right w:val="single" w:sz="4" w:space="0" w:color="auto"/>
            </w:tcBorders>
            <w:vAlign w:val="center"/>
            <w:hideMark/>
          </w:tcPr>
          <w:p w14:paraId="153B99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GMP</w:t>
            </w:r>
          </w:p>
        </w:tc>
      </w:tr>
      <w:tr w:rsidR="00A45779" w:rsidRPr="00707120" w14:paraId="1D6C0C3A" w14:textId="77777777" w:rsidTr="00A45779">
        <w:trPr>
          <w:trHeight w:val="273"/>
          <w:tblCellSpacing w:w="15" w:type="dxa"/>
        </w:trPr>
        <w:tc>
          <w:tcPr>
            <w:tcW w:w="0" w:type="auto"/>
            <w:tcBorders>
              <w:top w:val="single" w:sz="4" w:space="0" w:color="auto"/>
              <w:left w:val="single" w:sz="4" w:space="0" w:color="auto"/>
            </w:tcBorders>
            <w:vAlign w:val="center"/>
            <w:hideMark/>
          </w:tcPr>
          <w:p w14:paraId="4E8B044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tcBorders>
              <w:top w:val="single" w:sz="4" w:space="0" w:color="auto"/>
              <w:left w:val="single" w:sz="4" w:space="0" w:color="auto"/>
              <w:right w:val="single" w:sz="4" w:space="0" w:color="auto"/>
            </w:tcBorders>
            <w:vAlign w:val="center"/>
            <w:hideMark/>
          </w:tcPr>
          <w:p w14:paraId="46310F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top w:val="single" w:sz="4" w:space="0" w:color="auto"/>
              <w:right w:val="single" w:sz="4" w:space="0" w:color="auto"/>
            </w:tcBorders>
            <w:vAlign w:val="center"/>
            <w:hideMark/>
          </w:tcPr>
          <w:p w14:paraId="6328F84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tcBorders>
              <w:top w:val="single" w:sz="4" w:space="0" w:color="auto"/>
              <w:right w:val="single" w:sz="4" w:space="0" w:color="auto"/>
            </w:tcBorders>
            <w:vAlign w:val="center"/>
            <w:hideMark/>
          </w:tcPr>
          <w:p w14:paraId="35C97A0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top w:val="single" w:sz="4" w:space="0" w:color="auto"/>
            </w:tcBorders>
            <w:vAlign w:val="center"/>
            <w:hideMark/>
          </w:tcPr>
          <w:p w14:paraId="0D5C691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w:t>
            </w:r>
          </w:p>
        </w:tc>
        <w:tc>
          <w:tcPr>
            <w:tcW w:w="0" w:type="auto"/>
            <w:tcBorders>
              <w:top w:val="single" w:sz="4" w:space="0" w:color="auto"/>
              <w:left w:val="single" w:sz="4" w:space="0" w:color="auto"/>
              <w:right w:val="single" w:sz="4" w:space="0" w:color="auto"/>
            </w:tcBorders>
            <w:vAlign w:val="center"/>
            <w:hideMark/>
          </w:tcPr>
          <w:p w14:paraId="2D396B4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tcBorders>
            <w:vAlign w:val="center"/>
            <w:hideMark/>
          </w:tcPr>
          <w:p w14:paraId="0ED66D2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0.79</w:t>
            </w:r>
          </w:p>
        </w:tc>
        <w:tc>
          <w:tcPr>
            <w:tcW w:w="0" w:type="auto"/>
            <w:tcBorders>
              <w:top w:val="single" w:sz="4" w:space="0" w:color="auto"/>
              <w:left w:val="single" w:sz="4" w:space="0" w:color="auto"/>
            </w:tcBorders>
            <w:vAlign w:val="center"/>
            <w:hideMark/>
          </w:tcPr>
          <w:p w14:paraId="53260E2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1.08</w:t>
            </w:r>
          </w:p>
        </w:tc>
        <w:tc>
          <w:tcPr>
            <w:tcW w:w="0" w:type="auto"/>
            <w:tcBorders>
              <w:top w:val="single" w:sz="4" w:space="0" w:color="auto"/>
              <w:left w:val="single" w:sz="4" w:space="0" w:color="auto"/>
              <w:right w:val="single" w:sz="4" w:space="0" w:color="auto"/>
            </w:tcBorders>
            <w:vAlign w:val="center"/>
            <w:hideMark/>
          </w:tcPr>
          <w:p w14:paraId="75FA466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8.78</w:t>
            </w:r>
          </w:p>
        </w:tc>
      </w:tr>
      <w:tr w:rsidR="00707120" w:rsidRPr="00707120" w14:paraId="6E59EC80"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551DDE1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DD19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bottom w:val="single" w:sz="4" w:space="0" w:color="auto"/>
              <w:right w:val="single" w:sz="4" w:space="0" w:color="auto"/>
            </w:tcBorders>
            <w:vAlign w:val="center"/>
            <w:hideMark/>
          </w:tcPr>
          <w:p w14:paraId="3E2B0FB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bottom w:val="single" w:sz="4" w:space="0" w:color="auto"/>
              <w:right w:val="single" w:sz="4" w:space="0" w:color="auto"/>
            </w:tcBorders>
            <w:vAlign w:val="center"/>
            <w:hideMark/>
          </w:tcPr>
          <w:p w14:paraId="1506CE4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bottom w:val="single" w:sz="4" w:space="0" w:color="auto"/>
            </w:tcBorders>
            <w:vAlign w:val="center"/>
            <w:hideMark/>
          </w:tcPr>
          <w:p w14:paraId="41252C4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1.86</w:t>
            </w:r>
          </w:p>
        </w:tc>
        <w:tc>
          <w:tcPr>
            <w:tcW w:w="0" w:type="auto"/>
            <w:tcBorders>
              <w:top w:val="single" w:sz="4" w:space="0" w:color="auto"/>
              <w:left w:val="single" w:sz="4" w:space="0" w:color="auto"/>
              <w:bottom w:val="single" w:sz="4" w:space="0" w:color="auto"/>
              <w:right w:val="single" w:sz="4" w:space="0" w:color="auto"/>
            </w:tcBorders>
            <w:vAlign w:val="center"/>
            <w:hideMark/>
          </w:tcPr>
          <w:p w14:paraId="4A1F69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8.47</w:t>
            </w:r>
          </w:p>
        </w:tc>
        <w:tc>
          <w:tcPr>
            <w:tcW w:w="0" w:type="auto"/>
            <w:tcBorders>
              <w:top w:val="single" w:sz="4" w:space="0" w:color="auto"/>
              <w:bottom w:val="single" w:sz="4" w:space="0" w:color="auto"/>
            </w:tcBorders>
            <w:vAlign w:val="center"/>
            <w:hideMark/>
          </w:tcPr>
          <w:p w14:paraId="3224A2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0.73</w:t>
            </w:r>
          </w:p>
        </w:tc>
        <w:tc>
          <w:tcPr>
            <w:tcW w:w="0" w:type="auto"/>
            <w:tcBorders>
              <w:top w:val="single" w:sz="4" w:space="0" w:color="auto"/>
              <w:left w:val="single" w:sz="4" w:space="0" w:color="auto"/>
              <w:bottom w:val="single" w:sz="4" w:space="0" w:color="auto"/>
            </w:tcBorders>
            <w:vAlign w:val="center"/>
            <w:hideMark/>
          </w:tcPr>
          <w:p w14:paraId="428D27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42EB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8.42</w:t>
            </w:r>
          </w:p>
        </w:tc>
      </w:tr>
      <w:tr w:rsidR="00A45779" w:rsidRPr="00707120" w14:paraId="76913B4D" w14:textId="77777777" w:rsidTr="00A45779">
        <w:trPr>
          <w:trHeight w:val="273"/>
          <w:tblCellSpacing w:w="15" w:type="dxa"/>
        </w:trPr>
        <w:tc>
          <w:tcPr>
            <w:tcW w:w="0" w:type="auto"/>
            <w:tcBorders>
              <w:left w:val="single" w:sz="4" w:space="0" w:color="auto"/>
              <w:bottom w:val="single" w:sz="4" w:space="0" w:color="auto"/>
            </w:tcBorders>
            <w:vAlign w:val="center"/>
            <w:hideMark/>
          </w:tcPr>
          <w:p w14:paraId="0AD2D19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tcBorders>
              <w:left w:val="single" w:sz="4" w:space="0" w:color="auto"/>
              <w:bottom w:val="single" w:sz="4" w:space="0" w:color="auto"/>
              <w:right w:val="single" w:sz="4" w:space="0" w:color="auto"/>
            </w:tcBorders>
            <w:vAlign w:val="center"/>
            <w:hideMark/>
          </w:tcPr>
          <w:p w14:paraId="54BFD8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bottom w:val="single" w:sz="4" w:space="0" w:color="auto"/>
              <w:right w:val="single" w:sz="4" w:space="0" w:color="auto"/>
            </w:tcBorders>
            <w:vAlign w:val="center"/>
            <w:hideMark/>
          </w:tcPr>
          <w:p w14:paraId="5EDD26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tcBorders>
              <w:bottom w:val="single" w:sz="4" w:space="0" w:color="auto"/>
              <w:right w:val="single" w:sz="4" w:space="0" w:color="auto"/>
            </w:tcBorders>
            <w:vAlign w:val="center"/>
            <w:hideMark/>
          </w:tcPr>
          <w:p w14:paraId="65277D3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bottom w:val="single" w:sz="4" w:space="0" w:color="auto"/>
            </w:tcBorders>
            <w:vAlign w:val="center"/>
            <w:hideMark/>
          </w:tcPr>
          <w:p w14:paraId="36FA83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w:t>
            </w:r>
          </w:p>
        </w:tc>
        <w:tc>
          <w:tcPr>
            <w:tcW w:w="0" w:type="auto"/>
            <w:tcBorders>
              <w:left w:val="single" w:sz="4" w:space="0" w:color="auto"/>
              <w:bottom w:val="single" w:sz="4" w:space="0" w:color="auto"/>
              <w:right w:val="single" w:sz="4" w:space="0" w:color="auto"/>
            </w:tcBorders>
            <w:vAlign w:val="center"/>
            <w:hideMark/>
          </w:tcPr>
          <w:p w14:paraId="4381DF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9.90</w:t>
            </w:r>
          </w:p>
        </w:tc>
        <w:tc>
          <w:tcPr>
            <w:tcW w:w="0" w:type="auto"/>
            <w:tcBorders>
              <w:bottom w:val="single" w:sz="4" w:space="0" w:color="auto"/>
            </w:tcBorders>
            <w:vAlign w:val="center"/>
            <w:hideMark/>
          </w:tcPr>
          <w:p w14:paraId="687AC0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left w:val="single" w:sz="4" w:space="0" w:color="auto"/>
              <w:bottom w:val="single" w:sz="4" w:space="0" w:color="auto"/>
            </w:tcBorders>
            <w:vAlign w:val="center"/>
            <w:hideMark/>
          </w:tcPr>
          <w:p w14:paraId="4827B0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c>
          <w:tcPr>
            <w:tcW w:w="0" w:type="auto"/>
            <w:tcBorders>
              <w:left w:val="single" w:sz="4" w:space="0" w:color="auto"/>
              <w:bottom w:val="single" w:sz="4" w:space="0" w:color="auto"/>
              <w:right w:val="single" w:sz="4" w:space="0" w:color="auto"/>
            </w:tcBorders>
            <w:vAlign w:val="center"/>
            <w:hideMark/>
          </w:tcPr>
          <w:p w14:paraId="35BB895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9.84</w:t>
            </w:r>
          </w:p>
        </w:tc>
      </w:tr>
      <w:tr w:rsidR="00A45779" w:rsidRPr="00707120" w14:paraId="1794377C" w14:textId="77777777" w:rsidTr="00A45779">
        <w:trPr>
          <w:trHeight w:val="273"/>
          <w:tblCellSpacing w:w="15" w:type="dxa"/>
        </w:trPr>
        <w:tc>
          <w:tcPr>
            <w:tcW w:w="0" w:type="auto"/>
            <w:tcBorders>
              <w:left w:val="single" w:sz="4" w:space="0" w:color="auto"/>
            </w:tcBorders>
            <w:vAlign w:val="center"/>
            <w:hideMark/>
          </w:tcPr>
          <w:p w14:paraId="3C9CF19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left w:val="single" w:sz="4" w:space="0" w:color="auto"/>
              <w:right w:val="single" w:sz="4" w:space="0" w:color="auto"/>
            </w:tcBorders>
            <w:vAlign w:val="center"/>
            <w:hideMark/>
          </w:tcPr>
          <w:p w14:paraId="6BEDB23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right w:val="single" w:sz="4" w:space="0" w:color="auto"/>
            </w:tcBorders>
            <w:vAlign w:val="center"/>
            <w:hideMark/>
          </w:tcPr>
          <w:p w14:paraId="18DB62F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right w:val="single" w:sz="4" w:space="0" w:color="auto"/>
            </w:tcBorders>
            <w:vAlign w:val="center"/>
            <w:hideMark/>
          </w:tcPr>
          <w:p w14:paraId="337170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vAlign w:val="center"/>
            <w:hideMark/>
          </w:tcPr>
          <w:p w14:paraId="22063F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2.02</w:t>
            </w:r>
          </w:p>
        </w:tc>
        <w:tc>
          <w:tcPr>
            <w:tcW w:w="0" w:type="auto"/>
            <w:tcBorders>
              <w:left w:val="single" w:sz="4" w:space="0" w:color="auto"/>
              <w:right w:val="single" w:sz="4" w:space="0" w:color="auto"/>
            </w:tcBorders>
            <w:vAlign w:val="center"/>
            <w:hideMark/>
          </w:tcPr>
          <w:p w14:paraId="64B7CCA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8.54</w:t>
            </w:r>
          </w:p>
        </w:tc>
        <w:tc>
          <w:tcPr>
            <w:tcW w:w="0" w:type="auto"/>
            <w:vAlign w:val="center"/>
            <w:hideMark/>
          </w:tcPr>
          <w:p w14:paraId="7A32444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0.74</w:t>
            </w:r>
          </w:p>
        </w:tc>
        <w:tc>
          <w:tcPr>
            <w:tcW w:w="0" w:type="auto"/>
            <w:tcBorders>
              <w:left w:val="single" w:sz="4" w:space="0" w:color="auto"/>
            </w:tcBorders>
            <w:vAlign w:val="center"/>
            <w:hideMark/>
          </w:tcPr>
          <w:p w14:paraId="757176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w:t>
            </w:r>
          </w:p>
        </w:tc>
        <w:tc>
          <w:tcPr>
            <w:tcW w:w="0" w:type="auto"/>
            <w:tcBorders>
              <w:left w:val="single" w:sz="4" w:space="0" w:color="auto"/>
              <w:right w:val="single" w:sz="4" w:space="0" w:color="auto"/>
            </w:tcBorders>
            <w:vAlign w:val="center"/>
            <w:hideMark/>
          </w:tcPr>
          <w:p w14:paraId="1CEBA7E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8.48</w:t>
            </w:r>
          </w:p>
        </w:tc>
      </w:tr>
      <w:tr w:rsidR="00A45779" w:rsidRPr="00707120" w14:paraId="256EA9DD" w14:textId="77777777" w:rsidTr="00A45779">
        <w:trPr>
          <w:trHeight w:val="273"/>
          <w:tblCellSpacing w:w="15" w:type="dxa"/>
        </w:trPr>
        <w:tc>
          <w:tcPr>
            <w:tcW w:w="0" w:type="auto"/>
            <w:tcBorders>
              <w:top w:val="single" w:sz="4" w:space="0" w:color="auto"/>
              <w:left w:val="single" w:sz="4" w:space="0" w:color="auto"/>
            </w:tcBorders>
            <w:vAlign w:val="center"/>
            <w:hideMark/>
          </w:tcPr>
          <w:p w14:paraId="2C21543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left w:val="single" w:sz="4" w:space="0" w:color="auto"/>
              <w:right w:val="single" w:sz="4" w:space="0" w:color="auto"/>
            </w:tcBorders>
            <w:vAlign w:val="center"/>
            <w:hideMark/>
          </w:tcPr>
          <w:p w14:paraId="15A940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right w:val="single" w:sz="4" w:space="0" w:color="auto"/>
            </w:tcBorders>
            <w:vAlign w:val="center"/>
            <w:hideMark/>
          </w:tcPr>
          <w:p w14:paraId="191CBCB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right w:val="single" w:sz="4" w:space="0" w:color="auto"/>
            </w:tcBorders>
            <w:vAlign w:val="center"/>
            <w:hideMark/>
          </w:tcPr>
          <w:p w14:paraId="7E801A6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tcBorders>
            <w:vAlign w:val="center"/>
            <w:hideMark/>
          </w:tcPr>
          <w:p w14:paraId="1382F4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1.88</w:t>
            </w:r>
          </w:p>
        </w:tc>
        <w:tc>
          <w:tcPr>
            <w:tcW w:w="0" w:type="auto"/>
            <w:tcBorders>
              <w:top w:val="single" w:sz="4" w:space="0" w:color="auto"/>
              <w:left w:val="single" w:sz="4" w:space="0" w:color="auto"/>
              <w:right w:val="single" w:sz="4" w:space="0" w:color="auto"/>
            </w:tcBorders>
            <w:vAlign w:val="center"/>
            <w:hideMark/>
          </w:tcPr>
          <w:p w14:paraId="21E6285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7.12</w:t>
            </w:r>
          </w:p>
        </w:tc>
        <w:tc>
          <w:tcPr>
            <w:tcW w:w="0" w:type="auto"/>
            <w:tcBorders>
              <w:top w:val="single" w:sz="4" w:space="0" w:color="auto"/>
            </w:tcBorders>
            <w:vAlign w:val="center"/>
            <w:hideMark/>
          </w:tcPr>
          <w:p w14:paraId="15A6A28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0.51</w:t>
            </w:r>
          </w:p>
        </w:tc>
        <w:tc>
          <w:tcPr>
            <w:tcW w:w="0" w:type="auto"/>
            <w:tcBorders>
              <w:top w:val="single" w:sz="4" w:space="0" w:color="auto"/>
              <w:left w:val="single" w:sz="4" w:space="0" w:color="auto"/>
            </w:tcBorders>
            <w:vAlign w:val="center"/>
            <w:hideMark/>
          </w:tcPr>
          <w:p w14:paraId="34B5870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w:t>
            </w:r>
          </w:p>
        </w:tc>
        <w:tc>
          <w:tcPr>
            <w:tcW w:w="0" w:type="auto"/>
            <w:tcBorders>
              <w:top w:val="single" w:sz="4" w:space="0" w:color="auto"/>
              <w:left w:val="single" w:sz="4" w:space="0" w:color="auto"/>
              <w:right w:val="single" w:sz="4" w:space="0" w:color="auto"/>
            </w:tcBorders>
            <w:vAlign w:val="center"/>
            <w:hideMark/>
          </w:tcPr>
          <w:p w14:paraId="330A19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7.06</w:t>
            </w:r>
          </w:p>
        </w:tc>
      </w:tr>
      <w:tr w:rsidR="00707120" w:rsidRPr="00707120" w14:paraId="52FDD416"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21773C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66B3DC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bottom w:val="single" w:sz="4" w:space="0" w:color="auto"/>
              <w:right w:val="single" w:sz="4" w:space="0" w:color="auto"/>
            </w:tcBorders>
            <w:vAlign w:val="center"/>
            <w:hideMark/>
          </w:tcPr>
          <w:p w14:paraId="0B2DD7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bottom w:val="single" w:sz="4" w:space="0" w:color="auto"/>
              <w:right w:val="single" w:sz="4" w:space="0" w:color="auto"/>
            </w:tcBorders>
            <w:vAlign w:val="center"/>
            <w:hideMark/>
          </w:tcPr>
          <w:p w14:paraId="78C0A63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bottom w:val="single" w:sz="4" w:space="0" w:color="auto"/>
            </w:tcBorders>
            <w:vAlign w:val="center"/>
            <w:hideMark/>
          </w:tcPr>
          <w:p w14:paraId="11B64C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9A28C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c>
          <w:tcPr>
            <w:tcW w:w="0" w:type="auto"/>
            <w:tcBorders>
              <w:top w:val="single" w:sz="4" w:space="0" w:color="auto"/>
              <w:bottom w:val="single" w:sz="4" w:space="0" w:color="auto"/>
            </w:tcBorders>
            <w:vAlign w:val="center"/>
            <w:hideMark/>
          </w:tcPr>
          <w:p w14:paraId="0C04DDD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c>
          <w:tcPr>
            <w:tcW w:w="0" w:type="auto"/>
            <w:tcBorders>
              <w:top w:val="single" w:sz="4" w:space="0" w:color="auto"/>
              <w:left w:val="single" w:sz="4" w:space="0" w:color="auto"/>
              <w:bottom w:val="single" w:sz="4" w:space="0" w:color="auto"/>
            </w:tcBorders>
            <w:vAlign w:val="center"/>
            <w:hideMark/>
          </w:tcPr>
          <w:p w14:paraId="31BFBCC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ADE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r>
      <w:tr w:rsidR="00A45779" w:rsidRPr="00707120" w14:paraId="5A80B47E" w14:textId="77777777" w:rsidTr="00A45779">
        <w:trPr>
          <w:trHeight w:val="288"/>
          <w:tblCellSpacing w:w="15" w:type="dxa"/>
        </w:trPr>
        <w:tc>
          <w:tcPr>
            <w:tcW w:w="0" w:type="auto"/>
            <w:tcBorders>
              <w:left w:val="single" w:sz="4" w:space="0" w:color="auto"/>
            </w:tcBorders>
            <w:vAlign w:val="center"/>
            <w:hideMark/>
          </w:tcPr>
          <w:p w14:paraId="6EBE3B2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tcBorders>
              <w:left w:val="single" w:sz="4" w:space="0" w:color="auto"/>
              <w:right w:val="single" w:sz="4" w:space="0" w:color="auto"/>
            </w:tcBorders>
            <w:vAlign w:val="center"/>
            <w:hideMark/>
          </w:tcPr>
          <w:p w14:paraId="12EFA42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right w:val="single" w:sz="4" w:space="0" w:color="auto"/>
            </w:tcBorders>
            <w:vAlign w:val="center"/>
            <w:hideMark/>
          </w:tcPr>
          <w:p w14:paraId="0E7A32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right w:val="single" w:sz="4" w:space="0" w:color="auto"/>
            </w:tcBorders>
            <w:vAlign w:val="center"/>
            <w:hideMark/>
          </w:tcPr>
          <w:p w14:paraId="0100B37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vAlign w:val="center"/>
            <w:hideMark/>
          </w:tcPr>
          <w:p w14:paraId="12F1E8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1.95</w:t>
            </w:r>
          </w:p>
        </w:tc>
        <w:tc>
          <w:tcPr>
            <w:tcW w:w="0" w:type="auto"/>
            <w:tcBorders>
              <w:left w:val="single" w:sz="4" w:space="0" w:color="auto"/>
              <w:right w:val="single" w:sz="4" w:space="0" w:color="auto"/>
            </w:tcBorders>
            <w:vAlign w:val="center"/>
            <w:hideMark/>
          </w:tcPr>
          <w:p w14:paraId="6579CAC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8.28</w:t>
            </w:r>
          </w:p>
        </w:tc>
        <w:tc>
          <w:tcPr>
            <w:tcW w:w="0" w:type="auto"/>
            <w:vAlign w:val="center"/>
            <w:hideMark/>
          </w:tcPr>
          <w:p w14:paraId="0C65749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0.69</w:t>
            </w:r>
          </w:p>
        </w:tc>
        <w:tc>
          <w:tcPr>
            <w:tcW w:w="0" w:type="auto"/>
            <w:tcBorders>
              <w:left w:val="single" w:sz="4" w:space="0" w:color="auto"/>
            </w:tcBorders>
            <w:vAlign w:val="center"/>
            <w:hideMark/>
          </w:tcPr>
          <w:p w14:paraId="2B36DF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left w:val="single" w:sz="4" w:space="0" w:color="auto"/>
              <w:right w:val="single" w:sz="4" w:space="0" w:color="auto"/>
            </w:tcBorders>
            <w:vAlign w:val="center"/>
            <w:hideMark/>
          </w:tcPr>
          <w:p w14:paraId="731DD4F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8.22</w:t>
            </w:r>
          </w:p>
        </w:tc>
      </w:tr>
      <w:tr w:rsidR="00A45779" w:rsidRPr="00707120" w14:paraId="6E8220D9" w14:textId="77777777" w:rsidTr="00A45779">
        <w:trPr>
          <w:trHeight w:val="273"/>
          <w:tblCellSpacing w:w="15" w:type="dxa"/>
        </w:trPr>
        <w:tc>
          <w:tcPr>
            <w:tcW w:w="0" w:type="auto"/>
            <w:tcBorders>
              <w:top w:val="single" w:sz="4" w:space="0" w:color="auto"/>
              <w:left w:val="single" w:sz="4" w:space="0" w:color="auto"/>
            </w:tcBorders>
            <w:vAlign w:val="center"/>
            <w:hideMark/>
          </w:tcPr>
          <w:p w14:paraId="169923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left w:val="single" w:sz="4" w:space="0" w:color="auto"/>
              <w:right w:val="single" w:sz="4" w:space="0" w:color="auto"/>
            </w:tcBorders>
            <w:vAlign w:val="center"/>
            <w:hideMark/>
          </w:tcPr>
          <w:p w14:paraId="0BFF947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right w:val="single" w:sz="4" w:space="0" w:color="auto"/>
            </w:tcBorders>
            <w:vAlign w:val="center"/>
            <w:hideMark/>
          </w:tcPr>
          <w:p w14:paraId="66EF72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right w:val="single" w:sz="4" w:space="0" w:color="auto"/>
            </w:tcBorders>
            <w:vAlign w:val="center"/>
            <w:hideMark/>
          </w:tcPr>
          <w:p w14:paraId="0AF60D0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tcBorders>
            <w:vAlign w:val="center"/>
            <w:hideMark/>
          </w:tcPr>
          <w:p w14:paraId="1C5E658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1.96</w:t>
            </w:r>
          </w:p>
        </w:tc>
        <w:tc>
          <w:tcPr>
            <w:tcW w:w="0" w:type="auto"/>
            <w:tcBorders>
              <w:top w:val="single" w:sz="4" w:space="0" w:color="auto"/>
              <w:left w:val="single" w:sz="4" w:space="0" w:color="auto"/>
              <w:right w:val="single" w:sz="4" w:space="0" w:color="auto"/>
            </w:tcBorders>
            <w:vAlign w:val="center"/>
            <w:hideMark/>
          </w:tcPr>
          <w:p w14:paraId="6C6A281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9.15</w:t>
            </w:r>
          </w:p>
        </w:tc>
        <w:tc>
          <w:tcPr>
            <w:tcW w:w="0" w:type="auto"/>
            <w:tcBorders>
              <w:top w:val="single" w:sz="4" w:space="0" w:color="auto"/>
            </w:tcBorders>
            <w:vAlign w:val="center"/>
            <w:hideMark/>
          </w:tcPr>
          <w:p w14:paraId="3F91B73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0.85</w:t>
            </w:r>
          </w:p>
        </w:tc>
        <w:tc>
          <w:tcPr>
            <w:tcW w:w="0" w:type="auto"/>
            <w:tcBorders>
              <w:top w:val="single" w:sz="4" w:space="0" w:color="auto"/>
              <w:left w:val="single" w:sz="4" w:space="0" w:color="auto"/>
            </w:tcBorders>
            <w:vAlign w:val="center"/>
            <w:hideMark/>
          </w:tcPr>
          <w:p w14:paraId="542F0C0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top w:val="single" w:sz="4" w:space="0" w:color="auto"/>
              <w:left w:val="single" w:sz="4" w:space="0" w:color="auto"/>
              <w:right w:val="single" w:sz="4" w:space="0" w:color="auto"/>
            </w:tcBorders>
            <w:vAlign w:val="center"/>
            <w:hideMark/>
          </w:tcPr>
          <w:p w14:paraId="2BEE42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9.10</w:t>
            </w:r>
          </w:p>
        </w:tc>
      </w:tr>
      <w:tr w:rsidR="00707120" w:rsidRPr="00707120" w14:paraId="7872C7CB" w14:textId="77777777" w:rsidTr="00A45779">
        <w:trPr>
          <w:trHeight w:val="258"/>
          <w:tblCellSpacing w:w="15" w:type="dxa"/>
        </w:trPr>
        <w:tc>
          <w:tcPr>
            <w:tcW w:w="0" w:type="auto"/>
            <w:tcBorders>
              <w:top w:val="single" w:sz="4" w:space="0" w:color="auto"/>
              <w:left w:val="single" w:sz="4" w:space="0" w:color="auto"/>
              <w:bottom w:val="single" w:sz="4" w:space="0" w:color="auto"/>
            </w:tcBorders>
            <w:vAlign w:val="center"/>
            <w:hideMark/>
          </w:tcPr>
          <w:p w14:paraId="113311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F3DDD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top w:val="single" w:sz="4" w:space="0" w:color="auto"/>
              <w:bottom w:val="single" w:sz="4" w:space="0" w:color="auto"/>
              <w:right w:val="single" w:sz="4" w:space="0" w:color="auto"/>
            </w:tcBorders>
            <w:vAlign w:val="center"/>
            <w:hideMark/>
          </w:tcPr>
          <w:p w14:paraId="3360B7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tcBorders>
              <w:top w:val="single" w:sz="4" w:space="0" w:color="auto"/>
              <w:bottom w:val="single" w:sz="4" w:space="0" w:color="auto"/>
              <w:right w:val="single" w:sz="4" w:space="0" w:color="auto"/>
            </w:tcBorders>
            <w:vAlign w:val="center"/>
            <w:hideMark/>
          </w:tcPr>
          <w:p w14:paraId="20774C9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top w:val="single" w:sz="4" w:space="0" w:color="auto"/>
              <w:bottom w:val="single" w:sz="4" w:space="0" w:color="auto"/>
            </w:tcBorders>
            <w:vAlign w:val="center"/>
            <w:hideMark/>
          </w:tcPr>
          <w:p w14:paraId="1BC2545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2.16</w:t>
            </w:r>
          </w:p>
        </w:tc>
        <w:tc>
          <w:tcPr>
            <w:tcW w:w="0" w:type="auto"/>
            <w:tcBorders>
              <w:top w:val="single" w:sz="4" w:space="0" w:color="auto"/>
              <w:left w:val="single" w:sz="4" w:space="0" w:color="auto"/>
              <w:bottom w:val="single" w:sz="4" w:space="0" w:color="auto"/>
              <w:right w:val="single" w:sz="4" w:space="0" w:color="auto"/>
            </w:tcBorders>
            <w:vAlign w:val="center"/>
            <w:hideMark/>
          </w:tcPr>
          <w:p w14:paraId="092B31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9.31</w:t>
            </w:r>
          </w:p>
        </w:tc>
        <w:tc>
          <w:tcPr>
            <w:tcW w:w="0" w:type="auto"/>
            <w:tcBorders>
              <w:top w:val="single" w:sz="4" w:space="0" w:color="auto"/>
              <w:bottom w:val="single" w:sz="4" w:space="0" w:color="auto"/>
            </w:tcBorders>
            <w:vAlign w:val="center"/>
            <w:hideMark/>
          </w:tcPr>
          <w:p w14:paraId="592634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0.88</w:t>
            </w:r>
          </w:p>
        </w:tc>
        <w:tc>
          <w:tcPr>
            <w:tcW w:w="0" w:type="auto"/>
            <w:tcBorders>
              <w:top w:val="single" w:sz="4" w:space="0" w:color="auto"/>
              <w:left w:val="single" w:sz="4" w:space="0" w:color="auto"/>
              <w:bottom w:val="single" w:sz="4" w:space="0" w:color="auto"/>
            </w:tcBorders>
            <w:vAlign w:val="center"/>
            <w:hideMark/>
          </w:tcPr>
          <w:p w14:paraId="29BE93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0.99</w:t>
            </w:r>
          </w:p>
        </w:tc>
        <w:tc>
          <w:tcPr>
            <w:tcW w:w="0" w:type="auto"/>
            <w:tcBorders>
              <w:top w:val="single" w:sz="4" w:space="0" w:color="auto"/>
              <w:left w:val="single" w:sz="4" w:space="0" w:color="auto"/>
              <w:bottom w:val="single" w:sz="4" w:space="0" w:color="auto"/>
              <w:right w:val="single" w:sz="4" w:space="0" w:color="auto"/>
            </w:tcBorders>
            <w:vAlign w:val="center"/>
            <w:hideMark/>
          </w:tcPr>
          <w:p w14:paraId="0F3ED4B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r>
      <w:tr w:rsidR="00A45779" w:rsidRPr="00707120" w14:paraId="7B2736C0" w14:textId="77777777" w:rsidTr="00A45779">
        <w:trPr>
          <w:trHeight w:val="273"/>
          <w:tblCellSpacing w:w="15" w:type="dxa"/>
        </w:trPr>
        <w:tc>
          <w:tcPr>
            <w:tcW w:w="0" w:type="auto"/>
            <w:tcBorders>
              <w:left w:val="single" w:sz="4" w:space="0" w:color="auto"/>
              <w:bottom w:val="single" w:sz="4" w:space="0" w:color="auto"/>
            </w:tcBorders>
            <w:vAlign w:val="center"/>
            <w:hideMark/>
          </w:tcPr>
          <w:p w14:paraId="66679E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tcBorders>
              <w:left w:val="single" w:sz="4" w:space="0" w:color="auto"/>
              <w:bottom w:val="single" w:sz="4" w:space="0" w:color="auto"/>
              <w:right w:val="single" w:sz="4" w:space="0" w:color="auto"/>
            </w:tcBorders>
            <w:vAlign w:val="center"/>
            <w:hideMark/>
          </w:tcPr>
          <w:p w14:paraId="3041E3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bottom w:val="single" w:sz="4" w:space="0" w:color="auto"/>
              <w:right w:val="single" w:sz="4" w:space="0" w:color="auto"/>
            </w:tcBorders>
            <w:vAlign w:val="center"/>
            <w:hideMark/>
          </w:tcPr>
          <w:p w14:paraId="6AC9FD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bottom w:val="single" w:sz="4" w:space="0" w:color="auto"/>
              <w:right w:val="single" w:sz="4" w:space="0" w:color="auto"/>
            </w:tcBorders>
            <w:vAlign w:val="center"/>
            <w:hideMark/>
          </w:tcPr>
          <w:p w14:paraId="622174D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bottom w:val="single" w:sz="4" w:space="0" w:color="auto"/>
            </w:tcBorders>
            <w:vAlign w:val="center"/>
            <w:hideMark/>
          </w:tcPr>
          <w:p w14:paraId="388CB3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1.59</w:t>
            </w:r>
          </w:p>
        </w:tc>
        <w:tc>
          <w:tcPr>
            <w:tcW w:w="0" w:type="auto"/>
            <w:tcBorders>
              <w:left w:val="single" w:sz="4" w:space="0" w:color="auto"/>
              <w:bottom w:val="single" w:sz="4" w:space="0" w:color="auto"/>
              <w:right w:val="single" w:sz="4" w:space="0" w:color="auto"/>
            </w:tcBorders>
            <w:vAlign w:val="center"/>
            <w:hideMark/>
          </w:tcPr>
          <w:p w14:paraId="08E13D1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7.18</w:t>
            </w:r>
          </w:p>
        </w:tc>
        <w:tc>
          <w:tcPr>
            <w:tcW w:w="0" w:type="auto"/>
            <w:tcBorders>
              <w:bottom w:val="single" w:sz="4" w:space="0" w:color="auto"/>
            </w:tcBorders>
            <w:vAlign w:val="center"/>
            <w:hideMark/>
          </w:tcPr>
          <w:p w14:paraId="43F04D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0.52</w:t>
            </w:r>
          </w:p>
        </w:tc>
        <w:tc>
          <w:tcPr>
            <w:tcW w:w="0" w:type="auto"/>
            <w:tcBorders>
              <w:left w:val="single" w:sz="4" w:space="0" w:color="auto"/>
              <w:bottom w:val="single" w:sz="4" w:space="0" w:color="auto"/>
            </w:tcBorders>
            <w:vAlign w:val="center"/>
            <w:hideMark/>
          </w:tcPr>
          <w:p w14:paraId="74EC4E6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left w:val="single" w:sz="4" w:space="0" w:color="auto"/>
              <w:bottom w:val="single" w:sz="4" w:space="0" w:color="auto"/>
              <w:right w:val="single" w:sz="4" w:space="0" w:color="auto"/>
            </w:tcBorders>
            <w:vAlign w:val="center"/>
            <w:hideMark/>
          </w:tcPr>
          <w:p w14:paraId="2887C1E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7.13</w:t>
            </w:r>
          </w:p>
        </w:tc>
      </w:tr>
      <w:tr w:rsidR="00A45779" w:rsidRPr="00707120" w14:paraId="16576307" w14:textId="77777777" w:rsidTr="00A45779">
        <w:trPr>
          <w:trHeight w:val="288"/>
          <w:tblCellSpacing w:w="15" w:type="dxa"/>
        </w:trPr>
        <w:tc>
          <w:tcPr>
            <w:tcW w:w="0" w:type="auto"/>
            <w:tcBorders>
              <w:left w:val="single" w:sz="4" w:space="0" w:color="auto"/>
            </w:tcBorders>
            <w:vAlign w:val="center"/>
            <w:hideMark/>
          </w:tcPr>
          <w:p w14:paraId="2A6C508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left w:val="single" w:sz="4" w:space="0" w:color="auto"/>
              <w:right w:val="single" w:sz="4" w:space="0" w:color="auto"/>
            </w:tcBorders>
            <w:vAlign w:val="center"/>
            <w:hideMark/>
          </w:tcPr>
          <w:p w14:paraId="185ADA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right w:val="single" w:sz="4" w:space="0" w:color="auto"/>
            </w:tcBorders>
            <w:vAlign w:val="center"/>
            <w:hideMark/>
          </w:tcPr>
          <w:p w14:paraId="708909C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right w:val="single" w:sz="4" w:space="0" w:color="auto"/>
            </w:tcBorders>
            <w:vAlign w:val="center"/>
            <w:hideMark/>
          </w:tcPr>
          <w:p w14:paraId="5448AAD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vAlign w:val="center"/>
            <w:hideMark/>
          </w:tcPr>
          <w:p w14:paraId="02CF30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2.40</w:t>
            </w:r>
          </w:p>
        </w:tc>
        <w:tc>
          <w:tcPr>
            <w:tcW w:w="0" w:type="auto"/>
            <w:tcBorders>
              <w:left w:val="single" w:sz="4" w:space="0" w:color="auto"/>
              <w:right w:val="single" w:sz="4" w:space="0" w:color="auto"/>
            </w:tcBorders>
            <w:vAlign w:val="center"/>
            <w:hideMark/>
          </w:tcPr>
          <w:p w14:paraId="6180DCF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vAlign w:val="center"/>
            <w:hideMark/>
          </w:tcPr>
          <w:p w14:paraId="27AB0CF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left w:val="single" w:sz="4" w:space="0" w:color="auto"/>
            </w:tcBorders>
            <w:vAlign w:val="center"/>
            <w:hideMark/>
          </w:tcPr>
          <w:p w14:paraId="681D20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1.06</w:t>
            </w:r>
          </w:p>
        </w:tc>
        <w:tc>
          <w:tcPr>
            <w:tcW w:w="0" w:type="auto"/>
            <w:tcBorders>
              <w:left w:val="single" w:sz="4" w:space="0" w:color="auto"/>
              <w:right w:val="single" w:sz="4" w:space="0" w:color="auto"/>
            </w:tcBorders>
            <w:vAlign w:val="center"/>
            <w:hideMark/>
          </w:tcPr>
          <w:p w14:paraId="407652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9.47</w:t>
            </w:r>
          </w:p>
        </w:tc>
      </w:tr>
      <w:tr w:rsidR="00707120" w:rsidRPr="00707120" w14:paraId="46C374EE"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317EC7B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10F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top w:val="single" w:sz="4" w:space="0" w:color="auto"/>
              <w:bottom w:val="single" w:sz="4" w:space="0" w:color="auto"/>
              <w:right w:val="single" w:sz="4" w:space="0" w:color="auto"/>
            </w:tcBorders>
            <w:vAlign w:val="center"/>
            <w:hideMark/>
          </w:tcPr>
          <w:p w14:paraId="74822E6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top w:val="single" w:sz="4" w:space="0" w:color="auto"/>
              <w:bottom w:val="single" w:sz="4" w:space="0" w:color="auto"/>
              <w:right w:val="single" w:sz="4" w:space="0" w:color="auto"/>
            </w:tcBorders>
            <w:vAlign w:val="center"/>
            <w:hideMark/>
          </w:tcPr>
          <w:p w14:paraId="413B93E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top w:val="single" w:sz="4" w:space="0" w:color="auto"/>
              <w:bottom w:val="single" w:sz="4" w:space="0" w:color="auto"/>
            </w:tcBorders>
            <w:vAlign w:val="center"/>
            <w:hideMark/>
          </w:tcPr>
          <w:p w14:paraId="25A6582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2.24</w:t>
            </w:r>
          </w:p>
        </w:tc>
        <w:tc>
          <w:tcPr>
            <w:tcW w:w="0" w:type="auto"/>
            <w:tcBorders>
              <w:top w:val="single" w:sz="4" w:space="0" w:color="auto"/>
              <w:left w:val="single" w:sz="4" w:space="0" w:color="auto"/>
              <w:bottom w:val="single" w:sz="4" w:space="0" w:color="auto"/>
              <w:right w:val="single" w:sz="4" w:space="0" w:color="auto"/>
            </w:tcBorders>
            <w:vAlign w:val="center"/>
            <w:hideMark/>
          </w:tcPr>
          <w:p w14:paraId="799038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8.37</w:t>
            </w:r>
          </w:p>
        </w:tc>
        <w:tc>
          <w:tcPr>
            <w:tcW w:w="0" w:type="auto"/>
            <w:tcBorders>
              <w:top w:val="single" w:sz="4" w:space="0" w:color="auto"/>
              <w:bottom w:val="single" w:sz="4" w:space="0" w:color="auto"/>
            </w:tcBorders>
            <w:vAlign w:val="center"/>
            <w:hideMark/>
          </w:tcPr>
          <w:p w14:paraId="2CD9C41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0.71</w:t>
            </w:r>
          </w:p>
        </w:tc>
        <w:tc>
          <w:tcPr>
            <w:tcW w:w="0" w:type="auto"/>
            <w:tcBorders>
              <w:top w:val="single" w:sz="4" w:space="0" w:color="auto"/>
              <w:left w:val="single" w:sz="4" w:space="0" w:color="auto"/>
              <w:bottom w:val="single" w:sz="4" w:space="0" w:color="auto"/>
            </w:tcBorders>
            <w:vAlign w:val="center"/>
            <w:hideMark/>
          </w:tcPr>
          <w:p w14:paraId="3943ADF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74FA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8.29</w:t>
            </w:r>
          </w:p>
        </w:tc>
      </w:tr>
      <w:tr w:rsidR="00A45779" w:rsidRPr="00707120" w14:paraId="0933A28A" w14:textId="77777777" w:rsidTr="00A45779">
        <w:trPr>
          <w:trHeight w:val="273"/>
          <w:tblCellSpacing w:w="15" w:type="dxa"/>
        </w:trPr>
        <w:tc>
          <w:tcPr>
            <w:tcW w:w="0" w:type="auto"/>
            <w:tcBorders>
              <w:left w:val="single" w:sz="4" w:space="0" w:color="auto"/>
              <w:bottom w:val="single" w:sz="4" w:space="0" w:color="auto"/>
            </w:tcBorders>
            <w:vAlign w:val="center"/>
            <w:hideMark/>
          </w:tcPr>
          <w:p w14:paraId="5369B3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tc>
        <w:tc>
          <w:tcPr>
            <w:tcW w:w="0" w:type="auto"/>
            <w:tcBorders>
              <w:bottom w:val="single" w:sz="4" w:space="0" w:color="auto"/>
              <w:right w:val="single" w:sz="4" w:space="0" w:color="auto"/>
            </w:tcBorders>
            <w:vAlign w:val="center"/>
            <w:hideMark/>
          </w:tcPr>
          <w:p w14:paraId="191F4F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Mean</w:t>
            </w:r>
          </w:p>
        </w:tc>
        <w:tc>
          <w:tcPr>
            <w:tcW w:w="0" w:type="auto"/>
            <w:tcBorders>
              <w:bottom w:val="single" w:sz="4" w:space="0" w:color="auto"/>
              <w:right w:val="single" w:sz="4" w:space="0" w:color="auto"/>
            </w:tcBorders>
            <w:vAlign w:val="center"/>
            <w:hideMark/>
          </w:tcPr>
          <w:p w14:paraId="614C69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9.86</w:t>
            </w:r>
          </w:p>
        </w:tc>
        <w:tc>
          <w:tcPr>
            <w:tcW w:w="0" w:type="auto"/>
            <w:tcBorders>
              <w:bottom w:val="single" w:sz="4" w:space="0" w:color="auto"/>
              <w:right w:val="single" w:sz="4" w:space="0" w:color="auto"/>
            </w:tcBorders>
            <w:vAlign w:val="center"/>
            <w:hideMark/>
          </w:tcPr>
          <w:p w14:paraId="4B804BE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7.79</w:t>
            </w:r>
          </w:p>
        </w:tc>
        <w:tc>
          <w:tcPr>
            <w:tcW w:w="0" w:type="auto"/>
            <w:tcBorders>
              <w:bottom w:val="single" w:sz="4" w:space="0" w:color="auto"/>
            </w:tcBorders>
            <w:vAlign w:val="center"/>
            <w:hideMark/>
          </w:tcPr>
          <w:p w14:paraId="13ED90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2.08</w:t>
            </w:r>
          </w:p>
        </w:tc>
        <w:tc>
          <w:tcPr>
            <w:tcW w:w="0" w:type="auto"/>
            <w:tcBorders>
              <w:left w:val="single" w:sz="4" w:space="0" w:color="auto"/>
              <w:bottom w:val="single" w:sz="4" w:space="0" w:color="auto"/>
              <w:right w:val="single" w:sz="4" w:space="0" w:color="auto"/>
            </w:tcBorders>
            <w:vAlign w:val="center"/>
            <w:hideMark/>
          </w:tcPr>
          <w:p w14:paraId="1BD30A1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8.82</w:t>
            </w:r>
          </w:p>
        </w:tc>
        <w:tc>
          <w:tcPr>
            <w:tcW w:w="0" w:type="auto"/>
            <w:tcBorders>
              <w:bottom w:val="single" w:sz="4" w:space="0" w:color="auto"/>
            </w:tcBorders>
            <w:vAlign w:val="center"/>
            <w:hideMark/>
          </w:tcPr>
          <w:p w14:paraId="0A361F3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0.80</w:t>
            </w:r>
          </w:p>
        </w:tc>
        <w:tc>
          <w:tcPr>
            <w:tcW w:w="0" w:type="auto"/>
            <w:tcBorders>
              <w:left w:val="single" w:sz="4" w:space="0" w:color="auto"/>
              <w:bottom w:val="single" w:sz="4" w:space="0" w:color="auto"/>
            </w:tcBorders>
            <w:vAlign w:val="center"/>
            <w:hideMark/>
          </w:tcPr>
          <w:p w14:paraId="59596B0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1.00</w:t>
            </w:r>
          </w:p>
        </w:tc>
        <w:tc>
          <w:tcPr>
            <w:tcW w:w="0" w:type="auto"/>
            <w:tcBorders>
              <w:left w:val="single" w:sz="4" w:space="0" w:color="auto"/>
              <w:bottom w:val="single" w:sz="4" w:space="0" w:color="auto"/>
              <w:right w:val="single" w:sz="4" w:space="0" w:color="auto"/>
            </w:tcBorders>
            <w:vAlign w:val="center"/>
            <w:hideMark/>
          </w:tcPr>
          <w:p w14:paraId="566C061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8.76</w:t>
            </w:r>
          </w:p>
        </w:tc>
      </w:tr>
    </w:tbl>
    <w:p w14:paraId="1CEF425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707120">
        <w:rPr>
          <w:rFonts w:ascii="Times New Roman" w:eastAsia="Times New Roman" w:hAnsi="Times New Roman" w:cs="Times New Roman"/>
          <w:i/>
          <w:iCs/>
          <w:kern w:val="0"/>
          <w:sz w:val="24"/>
          <w:szCs w:val="24"/>
          <w:lang w:eastAsia="en-IN"/>
          <w14:ligatures w14:val="none"/>
        </w:rPr>
        <w:t>Yp</w:t>
      </w:r>
      <w:proofErr w:type="spellEnd"/>
      <w:r w:rsidRPr="00707120">
        <w:rPr>
          <w:rFonts w:ascii="Times New Roman" w:eastAsia="Times New Roman" w:hAnsi="Times New Roman" w:cs="Times New Roman"/>
          <w:i/>
          <w:iCs/>
          <w:kern w:val="0"/>
          <w:sz w:val="24"/>
          <w:szCs w:val="24"/>
          <w:lang w:eastAsia="en-IN"/>
          <w14:ligatures w14:val="none"/>
        </w:rPr>
        <w:t xml:space="preserve"> = yield under non-stress; Ys = yield under moisture stress; TOL = tolerance; MP = mean productivity; STI = stress tolerance index; SSI = stress susceptibility index; GMP = geometric mean productivity.</w:t>
      </w:r>
    </w:p>
    <w:p w14:paraId="21D155B5" w14:textId="288E597E"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798C6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6D1C0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3. Identification of comparatively promising moisture stress-tolerant fenugreek genotypes based on yield and stress tolerance indices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
        <w:gridCol w:w="1187"/>
        <w:gridCol w:w="1027"/>
        <w:gridCol w:w="1024"/>
        <w:gridCol w:w="610"/>
        <w:gridCol w:w="480"/>
        <w:gridCol w:w="640"/>
        <w:gridCol w:w="490"/>
        <w:gridCol w:w="1396"/>
        <w:gridCol w:w="1520"/>
      </w:tblGrid>
      <w:tr w:rsidR="00A45779" w:rsidRPr="00707120" w14:paraId="399541DD" w14:textId="77777777" w:rsidTr="00A45779">
        <w:trPr>
          <w:tblHeader/>
          <w:tblCellSpacing w:w="15" w:type="dxa"/>
        </w:trPr>
        <w:tc>
          <w:tcPr>
            <w:tcW w:w="0" w:type="auto"/>
            <w:tcBorders>
              <w:top w:val="single" w:sz="4" w:space="0" w:color="auto"/>
              <w:left w:val="single" w:sz="4" w:space="0" w:color="auto"/>
              <w:right w:val="single" w:sz="4" w:space="0" w:color="auto"/>
            </w:tcBorders>
            <w:vAlign w:val="center"/>
            <w:hideMark/>
          </w:tcPr>
          <w:p w14:paraId="67D377E5" w14:textId="16C55412" w:rsidR="00707120" w:rsidRPr="00707120" w:rsidRDefault="00A45779"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Pr>
                <w:rFonts w:ascii="Times New Roman" w:eastAsia="Times New Roman" w:hAnsi="Times New Roman" w:cs="Times New Roman"/>
                <w:b/>
                <w:bCs/>
                <w:kern w:val="0"/>
                <w:sz w:val="24"/>
                <w:szCs w:val="24"/>
                <w:lang w:eastAsia="en-IN"/>
                <w14:ligatures w14:val="none"/>
              </w:rPr>
              <w:t>S.No</w:t>
            </w:r>
            <w:proofErr w:type="spellEnd"/>
            <w:r>
              <w:rPr>
                <w:rFonts w:ascii="Times New Roman" w:eastAsia="Times New Roman" w:hAnsi="Times New Roman" w:cs="Times New Roman"/>
                <w:b/>
                <w:bCs/>
                <w:kern w:val="0"/>
                <w:sz w:val="24"/>
                <w:szCs w:val="24"/>
                <w:lang w:eastAsia="en-IN"/>
                <w14:ligatures w14:val="none"/>
              </w:rPr>
              <w:t>.</w:t>
            </w:r>
          </w:p>
        </w:tc>
        <w:tc>
          <w:tcPr>
            <w:tcW w:w="0" w:type="auto"/>
            <w:tcBorders>
              <w:top w:val="single" w:sz="4" w:space="0" w:color="auto"/>
            </w:tcBorders>
            <w:vAlign w:val="center"/>
            <w:hideMark/>
          </w:tcPr>
          <w:p w14:paraId="36AB746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left w:val="single" w:sz="4" w:space="0" w:color="auto"/>
            </w:tcBorders>
            <w:vAlign w:val="center"/>
            <w:hideMark/>
          </w:tcPr>
          <w:p w14:paraId="6A9DF9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sidRPr="00707120">
              <w:rPr>
                <w:rFonts w:ascii="Times New Roman" w:eastAsia="Times New Roman" w:hAnsi="Times New Roman" w:cs="Times New Roman"/>
                <w:b/>
                <w:bCs/>
                <w:kern w:val="0"/>
                <w:sz w:val="24"/>
                <w:szCs w:val="24"/>
                <w:lang w:eastAsia="en-IN"/>
                <w14:ligatures w14:val="none"/>
              </w:rPr>
              <w:t>Yp</w:t>
            </w:r>
            <w:proofErr w:type="spellEnd"/>
            <w:r w:rsidRPr="00707120">
              <w:rPr>
                <w:rFonts w:ascii="Times New Roman" w:eastAsia="Times New Roman" w:hAnsi="Times New Roman" w:cs="Times New Roman"/>
                <w:b/>
                <w:bCs/>
                <w:kern w:val="0"/>
                <w:sz w:val="24"/>
                <w:szCs w:val="24"/>
                <w:lang w:eastAsia="en-IN"/>
                <w14:ligatures w14:val="none"/>
              </w:rPr>
              <w:t xml:space="preserve"> (g plant⁻¹)</w:t>
            </w:r>
          </w:p>
        </w:tc>
        <w:tc>
          <w:tcPr>
            <w:tcW w:w="0" w:type="auto"/>
            <w:tcBorders>
              <w:top w:val="single" w:sz="4" w:space="0" w:color="auto"/>
              <w:left w:val="single" w:sz="4" w:space="0" w:color="auto"/>
              <w:right w:val="single" w:sz="4" w:space="0" w:color="auto"/>
            </w:tcBorders>
            <w:vAlign w:val="center"/>
            <w:hideMark/>
          </w:tcPr>
          <w:p w14:paraId="4982FC2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Ys (g plant⁻¹)</w:t>
            </w:r>
          </w:p>
        </w:tc>
        <w:tc>
          <w:tcPr>
            <w:tcW w:w="0" w:type="auto"/>
            <w:tcBorders>
              <w:top w:val="single" w:sz="4" w:space="0" w:color="auto"/>
              <w:right w:val="single" w:sz="4" w:space="0" w:color="auto"/>
            </w:tcBorders>
            <w:vAlign w:val="center"/>
            <w:hideMark/>
          </w:tcPr>
          <w:p w14:paraId="4110A0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MP</w:t>
            </w:r>
          </w:p>
        </w:tc>
        <w:tc>
          <w:tcPr>
            <w:tcW w:w="0" w:type="auto"/>
            <w:tcBorders>
              <w:top w:val="single" w:sz="4" w:space="0" w:color="auto"/>
            </w:tcBorders>
            <w:vAlign w:val="center"/>
            <w:hideMark/>
          </w:tcPr>
          <w:p w14:paraId="35F15A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STI</w:t>
            </w:r>
          </w:p>
        </w:tc>
        <w:tc>
          <w:tcPr>
            <w:tcW w:w="0" w:type="auto"/>
            <w:tcBorders>
              <w:top w:val="single" w:sz="4" w:space="0" w:color="auto"/>
              <w:left w:val="single" w:sz="4" w:space="0" w:color="auto"/>
              <w:right w:val="single" w:sz="4" w:space="0" w:color="auto"/>
            </w:tcBorders>
            <w:vAlign w:val="center"/>
            <w:hideMark/>
          </w:tcPr>
          <w:p w14:paraId="071978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GMP</w:t>
            </w:r>
          </w:p>
        </w:tc>
        <w:tc>
          <w:tcPr>
            <w:tcW w:w="0" w:type="auto"/>
            <w:tcBorders>
              <w:top w:val="single" w:sz="4" w:space="0" w:color="auto"/>
              <w:right w:val="single" w:sz="4" w:space="0" w:color="auto"/>
            </w:tcBorders>
            <w:vAlign w:val="center"/>
            <w:hideMark/>
          </w:tcPr>
          <w:p w14:paraId="772E9C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SSI</w:t>
            </w:r>
          </w:p>
        </w:tc>
        <w:tc>
          <w:tcPr>
            <w:tcW w:w="0" w:type="auto"/>
            <w:tcBorders>
              <w:top w:val="single" w:sz="4" w:space="0" w:color="auto"/>
              <w:right w:val="single" w:sz="4" w:space="0" w:color="auto"/>
            </w:tcBorders>
            <w:vAlign w:val="center"/>
            <w:hideMark/>
          </w:tcPr>
          <w:p w14:paraId="523DB54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Yield reduction (%)</w:t>
            </w:r>
          </w:p>
        </w:tc>
        <w:tc>
          <w:tcPr>
            <w:tcW w:w="0" w:type="auto"/>
            <w:tcBorders>
              <w:top w:val="single" w:sz="4" w:space="0" w:color="auto"/>
              <w:right w:val="single" w:sz="4" w:space="0" w:color="auto"/>
            </w:tcBorders>
            <w:vAlign w:val="center"/>
            <w:hideMark/>
          </w:tcPr>
          <w:p w14:paraId="246108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Category</w:t>
            </w:r>
          </w:p>
        </w:tc>
      </w:tr>
      <w:tr w:rsidR="00A45779" w:rsidRPr="00707120" w14:paraId="4720F8BC"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2E0C7D4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tcBorders>
              <w:top w:val="single" w:sz="4" w:space="0" w:color="auto"/>
            </w:tcBorders>
            <w:vAlign w:val="center"/>
            <w:hideMark/>
          </w:tcPr>
          <w:p w14:paraId="302FA76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tcBorders>
            <w:vAlign w:val="center"/>
            <w:hideMark/>
          </w:tcPr>
          <w:p w14:paraId="2F36B9C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left w:val="single" w:sz="4" w:space="0" w:color="auto"/>
              <w:right w:val="single" w:sz="4" w:space="0" w:color="auto"/>
            </w:tcBorders>
            <w:vAlign w:val="center"/>
            <w:hideMark/>
          </w:tcPr>
          <w:p w14:paraId="618184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right w:val="single" w:sz="4" w:space="0" w:color="auto"/>
            </w:tcBorders>
            <w:vAlign w:val="center"/>
            <w:hideMark/>
          </w:tcPr>
          <w:p w14:paraId="40CE66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c>
          <w:tcPr>
            <w:tcW w:w="0" w:type="auto"/>
            <w:tcBorders>
              <w:top w:val="single" w:sz="4" w:space="0" w:color="auto"/>
            </w:tcBorders>
            <w:vAlign w:val="center"/>
            <w:hideMark/>
          </w:tcPr>
          <w:p w14:paraId="493E676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c>
          <w:tcPr>
            <w:tcW w:w="0" w:type="auto"/>
            <w:tcBorders>
              <w:top w:val="single" w:sz="4" w:space="0" w:color="auto"/>
              <w:left w:val="single" w:sz="4" w:space="0" w:color="auto"/>
              <w:right w:val="single" w:sz="4" w:space="0" w:color="auto"/>
            </w:tcBorders>
            <w:vAlign w:val="center"/>
            <w:hideMark/>
          </w:tcPr>
          <w:p w14:paraId="7A10E74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c>
          <w:tcPr>
            <w:tcW w:w="0" w:type="auto"/>
            <w:tcBorders>
              <w:top w:val="single" w:sz="4" w:space="0" w:color="auto"/>
              <w:right w:val="single" w:sz="4" w:space="0" w:color="auto"/>
            </w:tcBorders>
            <w:vAlign w:val="center"/>
            <w:hideMark/>
          </w:tcPr>
          <w:p w14:paraId="75847B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right w:val="single" w:sz="4" w:space="0" w:color="auto"/>
            </w:tcBorders>
            <w:vAlign w:val="center"/>
            <w:hideMark/>
          </w:tcPr>
          <w:p w14:paraId="768219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20.08</w:t>
            </w:r>
          </w:p>
        </w:tc>
        <w:tc>
          <w:tcPr>
            <w:tcW w:w="0" w:type="auto"/>
            <w:tcBorders>
              <w:top w:val="single" w:sz="4" w:space="0" w:color="auto"/>
              <w:right w:val="single" w:sz="4" w:space="0" w:color="auto"/>
            </w:tcBorders>
            <w:vAlign w:val="center"/>
            <w:hideMark/>
          </w:tcPr>
          <w:p w14:paraId="782BE5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Highly promising</w:t>
            </w:r>
          </w:p>
        </w:tc>
      </w:tr>
      <w:tr w:rsidR="00A45779" w:rsidRPr="00707120" w14:paraId="09052908"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F328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bottom w:val="single" w:sz="4" w:space="0" w:color="auto"/>
            </w:tcBorders>
            <w:vAlign w:val="center"/>
            <w:hideMark/>
          </w:tcPr>
          <w:p w14:paraId="495EE4C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bottom w:val="single" w:sz="4" w:space="0" w:color="auto"/>
            </w:tcBorders>
            <w:vAlign w:val="center"/>
            <w:hideMark/>
          </w:tcPr>
          <w:p w14:paraId="587C4E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tcBorders>
              <w:top w:val="single" w:sz="4" w:space="0" w:color="auto"/>
              <w:left w:val="single" w:sz="4" w:space="0" w:color="auto"/>
              <w:bottom w:val="single" w:sz="4" w:space="0" w:color="auto"/>
              <w:right w:val="single" w:sz="4" w:space="0" w:color="auto"/>
            </w:tcBorders>
            <w:vAlign w:val="center"/>
            <w:hideMark/>
          </w:tcPr>
          <w:p w14:paraId="33DBC5D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bottom w:val="single" w:sz="4" w:space="0" w:color="auto"/>
              <w:right w:val="single" w:sz="4" w:space="0" w:color="auto"/>
            </w:tcBorders>
            <w:vAlign w:val="center"/>
            <w:hideMark/>
          </w:tcPr>
          <w:p w14:paraId="114268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9.90</w:t>
            </w:r>
          </w:p>
        </w:tc>
        <w:tc>
          <w:tcPr>
            <w:tcW w:w="0" w:type="auto"/>
            <w:tcBorders>
              <w:top w:val="single" w:sz="4" w:space="0" w:color="auto"/>
              <w:bottom w:val="single" w:sz="4" w:space="0" w:color="auto"/>
            </w:tcBorders>
            <w:vAlign w:val="center"/>
            <w:hideMark/>
          </w:tcPr>
          <w:p w14:paraId="3BAE1A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427EA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9.84</w:t>
            </w:r>
          </w:p>
        </w:tc>
        <w:tc>
          <w:tcPr>
            <w:tcW w:w="0" w:type="auto"/>
            <w:tcBorders>
              <w:top w:val="single" w:sz="4" w:space="0" w:color="auto"/>
              <w:bottom w:val="single" w:sz="4" w:space="0" w:color="auto"/>
              <w:right w:val="single" w:sz="4" w:space="0" w:color="auto"/>
            </w:tcBorders>
            <w:vAlign w:val="center"/>
            <w:hideMark/>
          </w:tcPr>
          <w:p w14:paraId="0F0250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c>
          <w:tcPr>
            <w:tcW w:w="0" w:type="auto"/>
            <w:tcBorders>
              <w:top w:val="single" w:sz="4" w:space="0" w:color="auto"/>
              <w:bottom w:val="single" w:sz="4" w:space="0" w:color="auto"/>
              <w:right w:val="single" w:sz="4" w:space="0" w:color="auto"/>
            </w:tcBorders>
            <w:vAlign w:val="center"/>
            <w:hideMark/>
          </w:tcPr>
          <w:p w14:paraId="66E354F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c>
          <w:tcPr>
            <w:tcW w:w="0" w:type="auto"/>
            <w:tcBorders>
              <w:top w:val="single" w:sz="4" w:space="0" w:color="auto"/>
              <w:bottom w:val="single" w:sz="4" w:space="0" w:color="auto"/>
              <w:right w:val="single" w:sz="4" w:space="0" w:color="auto"/>
            </w:tcBorders>
            <w:vAlign w:val="center"/>
            <w:hideMark/>
          </w:tcPr>
          <w:p w14:paraId="3A3E746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Highly promising</w:t>
            </w:r>
          </w:p>
        </w:tc>
      </w:tr>
      <w:tr w:rsidR="00A45779" w:rsidRPr="00707120" w14:paraId="33A0ACB4" w14:textId="77777777" w:rsidTr="00A45779">
        <w:trPr>
          <w:tblCellSpacing w:w="15" w:type="dxa"/>
        </w:trPr>
        <w:tc>
          <w:tcPr>
            <w:tcW w:w="0" w:type="auto"/>
            <w:tcBorders>
              <w:left w:val="single" w:sz="4" w:space="0" w:color="auto"/>
              <w:right w:val="single" w:sz="4" w:space="0" w:color="auto"/>
            </w:tcBorders>
            <w:vAlign w:val="center"/>
            <w:hideMark/>
          </w:tcPr>
          <w:p w14:paraId="2603CA8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vAlign w:val="center"/>
            <w:hideMark/>
          </w:tcPr>
          <w:p w14:paraId="7A7EA1B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left w:val="single" w:sz="4" w:space="0" w:color="auto"/>
            </w:tcBorders>
            <w:vAlign w:val="center"/>
            <w:hideMark/>
          </w:tcPr>
          <w:p w14:paraId="670E0A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left w:val="single" w:sz="4" w:space="0" w:color="auto"/>
              <w:right w:val="single" w:sz="4" w:space="0" w:color="auto"/>
            </w:tcBorders>
            <w:vAlign w:val="center"/>
            <w:hideMark/>
          </w:tcPr>
          <w:p w14:paraId="20A3527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tcBorders>
              <w:right w:val="single" w:sz="4" w:space="0" w:color="auto"/>
            </w:tcBorders>
            <w:vAlign w:val="center"/>
            <w:hideMark/>
          </w:tcPr>
          <w:p w14:paraId="349E466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vAlign w:val="center"/>
            <w:hideMark/>
          </w:tcPr>
          <w:p w14:paraId="36FF2A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left w:val="single" w:sz="4" w:space="0" w:color="auto"/>
              <w:right w:val="single" w:sz="4" w:space="0" w:color="auto"/>
            </w:tcBorders>
            <w:vAlign w:val="center"/>
            <w:hideMark/>
          </w:tcPr>
          <w:p w14:paraId="760FE38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9.47</w:t>
            </w:r>
          </w:p>
        </w:tc>
        <w:tc>
          <w:tcPr>
            <w:tcW w:w="0" w:type="auto"/>
            <w:tcBorders>
              <w:right w:val="single" w:sz="4" w:space="0" w:color="auto"/>
            </w:tcBorders>
            <w:vAlign w:val="center"/>
            <w:hideMark/>
          </w:tcPr>
          <w:p w14:paraId="5A985B0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1.06</w:t>
            </w:r>
          </w:p>
        </w:tc>
        <w:tc>
          <w:tcPr>
            <w:tcW w:w="0" w:type="auto"/>
            <w:tcBorders>
              <w:right w:val="single" w:sz="4" w:space="0" w:color="auto"/>
            </w:tcBorders>
            <w:vAlign w:val="center"/>
            <w:hideMark/>
          </w:tcPr>
          <w:p w14:paraId="21E9032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22.33</w:t>
            </w:r>
          </w:p>
        </w:tc>
        <w:tc>
          <w:tcPr>
            <w:tcW w:w="0" w:type="auto"/>
            <w:tcBorders>
              <w:right w:val="single" w:sz="4" w:space="0" w:color="auto"/>
            </w:tcBorders>
            <w:vAlign w:val="center"/>
            <w:hideMark/>
          </w:tcPr>
          <w:p w14:paraId="032B6A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30AE449A"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360E3B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top w:val="single" w:sz="4" w:space="0" w:color="auto"/>
            </w:tcBorders>
            <w:vAlign w:val="center"/>
            <w:hideMark/>
          </w:tcPr>
          <w:p w14:paraId="5B19F49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top w:val="single" w:sz="4" w:space="0" w:color="auto"/>
              <w:left w:val="single" w:sz="4" w:space="0" w:color="auto"/>
            </w:tcBorders>
            <w:vAlign w:val="center"/>
            <w:hideMark/>
          </w:tcPr>
          <w:p w14:paraId="0DC9A7D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tcBorders>
              <w:top w:val="single" w:sz="4" w:space="0" w:color="auto"/>
              <w:left w:val="single" w:sz="4" w:space="0" w:color="auto"/>
              <w:right w:val="single" w:sz="4" w:space="0" w:color="auto"/>
            </w:tcBorders>
            <w:vAlign w:val="center"/>
            <w:hideMark/>
          </w:tcPr>
          <w:p w14:paraId="0C37B7A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top w:val="single" w:sz="4" w:space="0" w:color="auto"/>
              <w:right w:val="single" w:sz="4" w:space="0" w:color="auto"/>
            </w:tcBorders>
            <w:vAlign w:val="center"/>
            <w:hideMark/>
          </w:tcPr>
          <w:p w14:paraId="508E04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9.31</w:t>
            </w:r>
          </w:p>
        </w:tc>
        <w:tc>
          <w:tcPr>
            <w:tcW w:w="0" w:type="auto"/>
            <w:tcBorders>
              <w:top w:val="single" w:sz="4" w:space="0" w:color="auto"/>
            </w:tcBorders>
            <w:vAlign w:val="center"/>
            <w:hideMark/>
          </w:tcPr>
          <w:p w14:paraId="7351382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0.88</w:t>
            </w:r>
          </w:p>
        </w:tc>
        <w:tc>
          <w:tcPr>
            <w:tcW w:w="0" w:type="auto"/>
            <w:tcBorders>
              <w:top w:val="single" w:sz="4" w:space="0" w:color="auto"/>
              <w:left w:val="single" w:sz="4" w:space="0" w:color="auto"/>
              <w:right w:val="single" w:sz="4" w:space="0" w:color="auto"/>
            </w:tcBorders>
            <w:vAlign w:val="center"/>
            <w:hideMark/>
          </w:tcPr>
          <w:p w14:paraId="0DE3894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top w:val="single" w:sz="4" w:space="0" w:color="auto"/>
              <w:right w:val="single" w:sz="4" w:space="0" w:color="auto"/>
            </w:tcBorders>
            <w:vAlign w:val="center"/>
            <w:hideMark/>
          </w:tcPr>
          <w:p w14:paraId="6D165E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0.99</w:t>
            </w:r>
          </w:p>
        </w:tc>
        <w:tc>
          <w:tcPr>
            <w:tcW w:w="0" w:type="auto"/>
            <w:tcBorders>
              <w:top w:val="single" w:sz="4" w:space="0" w:color="auto"/>
              <w:right w:val="single" w:sz="4" w:space="0" w:color="auto"/>
            </w:tcBorders>
            <w:vAlign w:val="center"/>
            <w:hideMark/>
          </w:tcPr>
          <w:p w14:paraId="0E3A222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20.79</w:t>
            </w:r>
          </w:p>
        </w:tc>
        <w:tc>
          <w:tcPr>
            <w:tcW w:w="0" w:type="auto"/>
            <w:tcBorders>
              <w:top w:val="single" w:sz="4" w:space="0" w:color="auto"/>
              <w:right w:val="single" w:sz="4" w:space="0" w:color="auto"/>
            </w:tcBorders>
            <w:vAlign w:val="center"/>
            <w:hideMark/>
          </w:tcPr>
          <w:p w14:paraId="673D2B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7B10C9AA"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288A86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tcBorders>
            <w:vAlign w:val="center"/>
            <w:hideMark/>
          </w:tcPr>
          <w:p w14:paraId="65685B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left w:val="single" w:sz="4" w:space="0" w:color="auto"/>
            </w:tcBorders>
            <w:vAlign w:val="center"/>
            <w:hideMark/>
          </w:tcPr>
          <w:p w14:paraId="6F9DE3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left w:val="single" w:sz="4" w:space="0" w:color="auto"/>
              <w:right w:val="single" w:sz="4" w:space="0" w:color="auto"/>
            </w:tcBorders>
            <w:vAlign w:val="center"/>
            <w:hideMark/>
          </w:tcPr>
          <w:p w14:paraId="173A43F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right w:val="single" w:sz="4" w:space="0" w:color="auto"/>
            </w:tcBorders>
            <w:vAlign w:val="center"/>
            <w:hideMark/>
          </w:tcPr>
          <w:p w14:paraId="314D14D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9.15</w:t>
            </w:r>
          </w:p>
        </w:tc>
        <w:tc>
          <w:tcPr>
            <w:tcW w:w="0" w:type="auto"/>
            <w:tcBorders>
              <w:top w:val="single" w:sz="4" w:space="0" w:color="auto"/>
            </w:tcBorders>
            <w:vAlign w:val="center"/>
            <w:hideMark/>
          </w:tcPr>
          <w:p w14:paraId="7525875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0.85</w:t>
            </w:r>
          </w:p>
        </w:tc>
        <w:tc>
          <w:tcPr>
            <w:tcW w:w="0" w:type="auto"/>
            <w:tcBorders>
              <w:top w:val="single" w:sz="4" w:space="0" w:color="auto"/>
              <w:left w:val="single" w:sz="4" w:space="0" w:color="auto"/>
              <w:right w:val="single" w:sz="4" w:space="0" w:color="auto"/>
            </w:tcBorders>
            <w:vAlign w:val="center"/>
            <w:hideMark/>
          </w:tcPr>
          <w:p w14:paraId="3BC5415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9.10</w:t>
            </w:r>
          </w:p>
        </w:tc>
        <w:tc>
          <w:tcPr>
            <w:tcW w:w="0" w:type="auto"/>
            <w:tcBorders>
              <w:top w:val="single" w:sz="4" w:space="0" w:color="auto"/>
              <w:right w:val="single" w:sz="4" w:space="0" w:color="auto"/>
            </w:tcBorders>
            <w:vAlign w:val="center"/>
            <w:hideMark/>
          </w:tcPr>
          <w:p w14:paraId="196947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top w:val="single" w:sz="4" w:space="0" w:color="auto"/>
              <w:right w:val="single" w:sz="4" w:space="0" w:color="auto"/>
            </w:tcBorders>
            <w:vAlign w:val="center"/>
            <w:hideMark/>
          </w:tcPr>
          <w:p w14:paraId="76F84ED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19.35</w:t>
            </w:r>
          </w:p>
        </w:tc>
        <w:tc>
          <w:tcPr>
            <w:tcW w:w="0" w:type="auto"/>
            <w:tcBorders>
              <w:top w:val="single" w:sz="4" w:space="0" w:color="auto"/>
              <w:right w:val="single" w:sz="4" w:space="0" w:color="auto"/>
            </w:tcBorders>
            <w:vAlign w:val="center"/>
            <w:hideMark/>
          </w:tcPr>
          <w:p w14:paraId="2EF4A9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4277861D"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1569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bottom w:val="single" w:sz="4" w:space="0" w:color="auto"/>
            </w:tcBorders>
            <w:vAlign w:val="center"/>
            <w:hideMark/>
          </w:tcPr>
          <w:p w14:paraId="268CB98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top w:val="single" w:sz="4" w:space="0" w:color="auto"/>
              <w:left w:val="single" w:sz="4" w:space="0" w:color="auto"/>
              <w:bottom w:val="single" w:sz="4" w:space="0" w:color="auto"/>
            </w:tcBorders>
            <w:vAlign w:val="center"/>
            <w:hideMark/>
          </w:tcPr>
          <w:p w14:paraId="7FB65E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tcBorders>
              <w:top w:val="single" w:sz="4" w:space="0" w:color="auto"/>
              <w:left w:val="single" w:sz="4" w:space="0" w:color="auto"/>
              <w:bottom w:val="single" w:sz="4" w:space="0" w:color="auto"/>
              <w:right w:val="single" w:sz="4" w:space="0" w:color="auto"/>
            </w:tcBorders>
            <w:vAlign w:val="center"/>
            <w:hideMark/>
          </w:tcPr>
          <w:p w14:paraId="1253B1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top w:val="single" w:sz="4" w:space="0" w:color="auto"/>
              <w:bottom w:val="single" w:sz="4" w:space="0" w:color="auto"/>
              <w:right w:val="single" w:sz="4" w:space="0" w:color="auto"/>
            </w:tcBorders>
            <w:vAlign w:val="center"/>
            <w:hideMark/>
          </w:tcPr>
          <w:p w14:paraId="2FC229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bottom w:val="single" w:sz="4" w:space="0" w:color="auto"/>
            </w:tcBorders>
            <w:vAlign w:val="center"/>
            <w:hideMark/>
          </w:tcPr>
          <w:p w14:paraId="46B844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0.79</w:t>
            </w:r>
          </w:p>
        </w:tc>
        <w:tc>
          <w:tcPr>
            <w:tcW w:w="0" w:type="auto"/>
            <w:tcBorders>
              <w:top w:val="single" w:sz="4" w:space="0" w:color="auto"/>
              <w:left w:val="single" w:sz="4" w:space="0" w:color="auto"/>
              <w:bottom w:val="single" w:sz="4" w:space="0" w:color="auto"/>
              <w:right w:val="single" w:sz="4" w:space="0" w:color="auto"/>
            </w:tcBorders>
            <w:vAlign w:val="center"/>
            <w:hideMark/>
          </w:tcPr>
          <w:p w14:paraId="262E529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8.78</w:t>
            </w:r>
          </w:p>
        </w:tc>
        <w:tc>
          <w:tcPr>
            <w:tcW w:w="0" w:type="auto"/>
            <w:tcBorders>
              <w:top w:val="single" w:sz="4" w:space="0" w:color="auto"/>
              <w:bottom w:val="single" w:sz="4" w:space="0" w:color="auto"/>
              <w:right w:val="single" w:sz="4" w:space="0" w:color="auto"/>
            </w:tcBorders>
            <w:vAlign w:val="center"/>
            <w:hideMark/>
          </w:tcPr>
          <w:p w14:paraId="5A2282B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1.08</w:t>
            </w:r>
          </w:p>
        </w:tc>
        <w:tc>
          <w:tcPr>
            <w:tcW w:w="0" w:type="auto"/>
            <w:tcBorders>
              <w:top w:val="single" w:sz="4" w:space="0" w:color="auto"/>
              <w:bottom w:val="single" w:sz="4" w:space="0" w:color="auto"/>
              <w:right w:val="single" w:sz="4" w:space="0" w:color="auto"/>
            </w:tcBorders>
            <w:vAlign w:val="center"/>
            <w:hideMark/>
          </w:tcPr>
          <w:p w14:paraId="78FD212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22.72</w:t>
            </w:r>
          </w:p>
        </w:tc>
        <w:tc>
          <w:tcPr>
            <w:tcW w:w="0" w:type="auto"/>
            <w:tcBorders>
              <w:top w:val="single" w:sz="4" w:space="0" w:color="auto"/>
              <w:bottom w:val="single" w:sz="4" w:space="0" w:color="auto"/>
              <w:right w:val="single" w:sz="4" w:space="0" w:color="auto"/>
            </w:tcBorders>
            <w:vAlign w:val="center"/>
            <w:hideMark/>
          </w:tcPr>
          <w:p w14:paraId="21EDFFB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3800D7F0" w14:textId="77777777" w:rsidTr="00A45779">
        <w:trPr>
          <w:tblCellSpacing w:w="15" w:type="dxa"/>
        </w:trPr>
        <w:tc>
          <w:tcPr>
            <w:tcW w:w="0" w:type="auto"/>
            <w:tcBorders>
              <w:left w:val="single" w:sz="4" w:space="0" w:color="auto"/>
              <w:right w:val="single" w:sz="4" w:space="0" w:color="auto"/>
            </w:tcBorders>
            <w:vAlign w:val="center"/>
            <w:hideMark/>
          </w:tcPr>
          <w:p w14:paraId="7E60EB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vAlign w:val="center"/>
            <w:hideMark/>
          </w:tcPr>
          <w:p w14:paraId="673EA10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left w:val="single" w:sz="4" w:space="0" w:color="auto"/>
            </w:tcBorders>
            <w:vAlign w:val="center"/>
            <w:hideMark/>
          </w:tcPr>
          <w:p w14:paraId="68B40D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left w:val="single" w:sz="4" w:space="0" w:color="auto"/>
              <w:right w:val="single" w:sz="4" w:space="0" w:color="auto"/>
            </w:tcBorders>
            <w:vAlign w:val="center"/>
            <w:hideMark/>
          </w:tcPr>
          <w:p w14:paraId="5E82CB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tcBorders>
              <w:right w:val="single" w:sz="4" w:space="0" w:color="auto"/>
            </w:tcBorders>
            <w:vAlign w:val="center"/>
            <w:hideMark/>
          </w:tcPr>
          <w:p w14:paraId="5AD78F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8.54</w:t>
            </w:r>
          </w:p>
        </w:tc>
        <w:tc>
          <w:tcPr>
            <w:tcW w:w="0" w:type="auto"/>
            <w:vAlign w:val="center"/>
            <w:hideMark/>
          </w:tcPr>
          <w:p w14:paraId="1AAFF4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0.74</w:t>
            </w:r>
          </w:p>
        </w:tc>
        <w:tc>
          <w:tcPr>
            <w:tcW w:w="0" w:type="auto"/>
            <w:tcBorders>
              <w:left w:val="single" w:sz="4" w:space="0" w:color="auto"/>
              <w:right w:val="single" w:sz="4" w:space="0" w:color="auto"/>
            </w:tcBorders>
            <w:vAlign w:val="center"/>
            <w:hideMark/>
          </w:tcPr>
          <w:p w14:paraId="6B55204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8.48</w:t>
            </w:r>
          </w:p>
        </w:tc>
        <w:tc>
          <w:tcPr>
            <w:tcW w:w="0" w:type="auto"/>
            <w:tcBorders>
              <w:right w:val="single" w:sz="4" w:space="0" w:color="auto"/>
            </w:tcBorders>
            <w:vAlign w:val="center"/>
            <w:hideMark/>
          </w:tcPr>
          <w:p w14:paraId="3BC5779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w:t>
            </w:r>
          </w:p>
        </w:tc>
        <w:tc>
          <w:tcPr>
            <w:tcW w:w="0" w:type="auto"/>
            <w:tcBorders>
              <w:right w:val="single" w:sz="4" w:space="0" w:color="auto"/>
            </w:tcBorders>
            <w:vAlign w:val="center"/>
            <w:hideMark/>
          </w:tcPr>
          <w:p w14:paraId="21892C6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21.15</w:t>
            </w:r>
          </w:p>
        </w:tc>
        <w:tc>
          <w:tcPr>
            <w:tcW w:w="0" w:type="auto"/>
            <w:tcBorders>
              <w:right w:val="single" w:sz="4" w:space="0" w:color="auto"/>
            </w:tcBorders>
            <w:vAlign w:val="center"/>
            <w:hideMark/>
          </w:tcPr>
          <w:p w14:paraId="267A2C4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554C9CDC"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68E49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bottom w:val="single" w:sz="4" w:space="0" w:color="auto"/>
            </w:tcBorders>
            <w:vAlign w:val="center"/>
            <w:hideMark/>
          </w:tcPr>
          <w:p w14:paraId="3A1707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left w:val="single" w:sz="4" w:space="0" w:color="auto"/>
              <w:bottom w:val="single" w:sz="4" w:space="0" w:color="auto"/>
            </w:tcBorders>
            <w:vAlign w:val="center"/>
            <w:hideMark/>
          </w:tcPr>
          <w:p w14:paraId="2075163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E14BA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bottom w:val="single" w:sz="4" w:space="0" w:color="auto"/>
              <w:right w:val="single" w:sz="4" w:space="0" w:color="auto"/>
            </w:tcBorders>
            <w:vAlign w:val="center"/>
            <w:hideMark/>
          </w:tcPr>
          <w:p w14:paraId="4C2087E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8.47</w:t>
            </w:r>
          </w:p>
        </w:tc>
        <w:tc>
          <w:tcPr>
            <w:tcW w:w="0" w:type="auto"/>
            <w:tcBorders>
              <w:top w:val="single" w:sz="4" w:space="0" w:color="auto"/>
              <w:bottom w:val="single" w:sz="4" w:space="0" w:color="auto"/>
            </w:tcBorders>
            <w:vAlign w:val="center"/>
            <w:hideMark/>
          </w:tcPr>
          <w:p w14:paraId="1709BBC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0.73</w:t>
            </w:r>
          </w:p>
        </w:tc>
        <w:tc>
          <w:tcPr>
            <w:tcW w:w="0" w:type="auto"/>
            <w:tcBorders>
              <w:top w:val="single" w:sz="4" w:space="0" w:color="auto"/>
              <w:left w:val="single" w:sz="4" w:space="0" w:color="auto"/>
              <w:bottom w:val="single" w:sz="4" w:space="0" w:color="auto"/>
              <w:right w:val="single" w:sz="4" w:space="0" w:color="auto"/>
            </w:tcBorders>
            <w:vAlign w:val="center"/>
            <w:hideMark/>
          </w:tcPr>
          <w:p w14:paraId="6B7475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8.42</w:t>
            </w:r>
          </w:p>
        </w:tc>
        <w:tc>
          <w:tcPr>
            <w:tcW w:w="0" w:type="auto"/>
            <w:tcBorders>
              <w:top w:val="single" w:sz="4" w:space="0" w:color="auto"/>
              <w:bottom w:val="single" w:sz="4" w:space="0" w:color="auto"/>
              <w:right w:val="single" w:sz="4" w:space="0" w:color="auto"/>
            </w:tcBorders>
            <w:vAlign w:val="center"/>
            <w:hideMark/>
          </w:tcPr>
          <w:p w14:paraId="6DD1D39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0.94</w:t>
            </w:r>
          </w:p>
        </w:tc>
        <w:tc>
          <w:tcPr>
            <w:tcW w:w="0" w:type="auto"/>
            <w:tcBorders>
              <w:top w:val="single" w:sz="4" w:space="0" w:color="auto"/>
              <w:bottom w:val="single" w:sz="4" w:space="0" w:color="auto"/>
              <w:right w:val="single" w:sz="4" w:space="0" w:color="auto"/>
            </w:tcBorders>
            <w:vAlign w:val="center"/>
            <w:hideMark/>
          </w:tcPr>
          <w:p w14:paraId="25AF3E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19.79</w:t>
            </w:r>
          </w:p>
        </w:tc>
        <w:tc>
          <w:tcPr>
            <w:tcW w:w="0" w:type="auto"/>
            <w:tcBorders>
              <w:top w:val="single" w:sz="4" w:space="0" w:color="auto"/>
              <w:bottom w:val="single" w:sz="4" w:space="0" w:color="auto"/>
              <w:right w:val="single" w:sz="4" w:space="0" w:color="auto"/>
            </w:tcBorders>
            <w:vAlign w:val="center"/>
            <w:hideMark/>
          </w:tcPr>
          <w:p w14:paraId="4F0D88F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10DDB1AB" w14:textId="77777777" w:rsidTr="00A45779">
        <w:trPr>
          <w:tblCellSpacing w:w="15" w:type="dxa"/>
        </w:trPr>
        <w:tc>
          <w:tcPr>
            <w:tcW w:w="0" w:type="auto"/>
            <w:tcBorders>
              <w:left w:val="single" w:sz="4" w:space="0" w:color="auto"/>
              <w:bottom w:val="single" w:sz="4" w:space="0" w:color="auto"/>
              <w:right w:val="single" w:sz="4" w:space="0" w:color="auto"/>
            </w:tcBorders>
            <w:vAlign w:val="center"/>
            <w:hideMark/>
          </w:tcPr>
          <w:p w14:paraId="772A8D0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lastRenderedPageBreak/>
              <w:t>9</w:t>
            </w:r>
          </w:p>
        </w:tc>
        <w:tc>
          <w:tcPr>
            <w:tcW w:w="0" w:type="auto"/>
            <w:tcBorders>
              <w:bottom w:val="single" w:sz="4" w:space="0" w:color="auto"/>
            </w:tcBorders>
            <w:vAlign w:val="center"/>
            <w:hideMark/>
          </w:tcPr>
          <w:p w14:paraId="3671D92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left w:val="single" w:sz="4" w:space="0" w:color="auto"/>
              <w:bottom w:val="single" w:sz="4" w:space="0" w:color="auto"/>
            </w:tcBorders>
            <w:vAlign w:val="center"/>
            <w:hideMark/>
          </w:tcPr>
          <w:p w14:paraId="48A3A3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left w:val="single" w:sz="4" w:space="0" w:color="auto"/>
              <w:bottom w:val="single" w:sz="4" w:space="0" w:color="auto"/>
              <w:right w:val="single" w:sz="4" w:space="0" w:color="auto"/>
            </w:tcBorders>
            <w:vAlign w:val="center"/>
            <w:hideMark/>
          </w:tcPr>
          <w:p w14:paraId="48D0B1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bottom w:val="single" w:sz="4" w:space="0" w:color="auto"/>
              <w:right w:val="single" w:sz="4" w:space="0" w:color="auto"/>
            </w:tcBorders>
            <w:vAlign w:val="center"/>
            <w:hideMark/>
          </w:tcPr>
          <w:p w14:paraId="0936E2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8.37</w:t>
            </w:r>
          </w:p>
        </w:tc>
        <w:tc>
          <w:tcPr>
            <w:tcW w:w="0" w:type="auto"/>
            <w:tcBorders>
              <w:bottom w:val="single" w:sz="4" w:space="0" w:color="auto"/>
            </w:tcBorders>
            <w:vAlign w:val="center"/>
            <w:hideMark/>
          </w:tcPr>
          <w:p w14:paraId="19AD87D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0.71</w:t>
            </w:r>
          </w:p>
        </w:tc>
        <w:tc>
          <w:tcPr>
            <w:tcW w:w="0" w:type="auto"/>
            <w:tcBorders>
              <w:left w:val="single" w:sz="4" w:space="0" w:color="auto"/>
              <w:bottom w:val="single" w:sz="4" w:space="0" w:color="auto"/>
              <w:right w:val="single" w:sz="4" w:space="0" w:color="auto"/>
            </w:tcBorders>
            <w:vAlign w:val="center"/>
            <w:hideMark/>
          </w:tcPr>
          <w:p w14:paraId="31418E8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8.29</w:t>
            </w:r>
          </w:p>
        </w:tc>
        <w:tc>
          <w:tcPr>
            <w:tcW w:w="0" w:type="auto"/>
            <w:tcBorders>
              <w:bottom w:val="single" w:sz="4" w:space="0" w:color="auto"/>
              <w:right w:val="single" w:sz="4" w:space="0" w:color="auto"/>
            </w:tcBorders>
            <w:vAlign w:val="center"/>
            <w:hideMark/>
          </w:tcPr>
          <w:p w14:paraId="3B05FD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1.12</w:t>
            </w:r>
          </w:p>
        </w:tc>
        <w:tc>
          <w:tcPr>
            <w:tcW w:w="0" w:type="auto"/>
            <w:tcBorders>
              <w:bottom w:val="single" w:sz="4" w:space="0" w:color="auto"/>
              <w:right w:val="single" w:sz="4" w:space="0" w:color="auto"/>
            </w:tcBorders>
            <w:vAlign w:val="center"/>
            <w:hideMark/>
          </w:tcPr>
          <w:p w14:paraId="6FDC032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23.60</w:t>
            </w:r>
          </w:p>
        </w:tc>
        <w:tc>
          <w:tcPr>
            <w:tcW w:w="0" w:type="auto"/>
            <w:tcBorders>
              <w:bottom w:val="single" w:sz="4" w:space="0" w:color="auto"/>
              <w:right w:val="single" w:sz="4" w:space="0" w:color="auto"/>
            </w:tcBorders>
            <w:vAlign w:val="center"/>
            <w:hideMark/>
          </w:tcPr>
          <w:p w14:paraId="6670CFB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w:t>
            </w:r>
          </w:p>
        </w:tc>
      </w:tr>
      <w:tr w:rsidR="00A45779" w:rsidRPr="00707120" w14:paraId="6A94B699" w14:textId="77777777" w:rsidTr="00A45779">
        <w:trPr>
          <w:tblCellSpacing w:w="15" w:type="dxa"/>
        </w:trPr>
        <w:tc>
          <w:tcPr>
            <w:tcW w:w="0" w:type="auto"/>
            <w:tcBorders>
              <w:left w:val="single" w:sz="4" w:space="0" w:color="auto"/>
              <w:right w:val="single" w:sz="4" w:space="0" w:color="auto"/>
            </w:tcBorders>
            <w:vAlign w:val="center"/>
            <w:hideMark/>
          </w:tcPr>
          <w:p w14:paraId="23F5AF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vAlign w:val="center"/>
            <w:hideMark/>
          </w:tcPr>
          <w:p w14:paraId="234F66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left w:val="single" w:sz="4" w:space="0" w:color="auto"/>
            </w:tcBorders>
            <w:vAlign w:val="center"/>
            <w:hideMark/>
          </w:tcPr>
          <w:p w14:paraId="380A42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left w:val="single" w:sz="4" w:space="0" w:color="auto"/>
              <w:right w:val="single" w:sz="4" w:space="0" w:color="auto"/>
            </w:tcBorders>
            <w:vAlign w:val="center"/>
            <w:hideMark/>
          </w:tcPr>
          <w:p w14:paraId="7CACFE2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tcBorders>
              <w:right w:val="single" w:sz="4" w:space="0" w:color="auto"/>
            </w:tcBorders>
            <w:vAlign w:val="center"/>
            <w:hideMark/>
          </w:tcPr>
          <w:p w14:paraId="139E079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8.28</w:t>
            </w:r>
          </w:p>
        </w:tc>
        <w:tc>
          <w:tcPr>
            <w:tcW w:w="0" w:type="auto"/>
            <w:vAlign w:val="center"/>
            <w:hideMark/>
          </w:tcPr>
          <w:p w14:paraId="3094F58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0.69</w:t>
            </w:r>
          </w:p>
        </w:tc>
        <w:tc>
          <w:tcPr>
            <w:tcW w:w="0" w:type="auto"/>
            <w:tcBorders>
              <w:left w:val="single" w:sz="4" w:space="0" w:color="auto"/>
              <w:right w:val="single" w:sz="4" w:space="0" w:color="auto"/>
            </w:tcBorders>
            <w:vAlign w:val="center"/>
            <w:hideMark/>
          </w:tcPr>
          <w:p w14:paraId="5D9D250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8.22</w:t>
            </w:r>
          </w:p>
        </w:tc>
        <w:tc>
          <w:tcPr>
            <w:tcW w:w="0" w:type="auto"/>
            <w:tcBorders>
              <w:right w:val="single" w:sz="4" w:space="0" w:color="auto"/>
            </w:tcBorders>
            <w:vAlign w:val="center"/>
            <w:hideMark/>
          </w:tcPr>
          <w:p w14:paraId="70A31C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right w:val="single" w:sz="4" w:space="0" w:color="auto"/>
            </w:tcBorders>
            <w:vAlign w:val="center"/>
            <w:hideMark/>
          </w:tcPr>
          <w:p w14:paraId="3C9287A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21.08</w:t>
            </w:r>
          </w:p>
        </w:tc>
        <w:tc>
          <w:tcPr>
            <w:tcW w:w="0" w:type="auto"/>
            <w:tcBorders>
              <w:right w:val="single" w:sz="4" w:space="0" w:color="auto"/>
            </w:tcBorders>
            <w:vAlign w:val="center"/>
            <w:hideMark/>
          </w:tcPr>
          <w:p w14:paraId="5C6A06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w:t>
            </w:r>
          </w:p>
        </w:tc>
      </w:tr>
      <w:tr w:rsidR="00A45779" w:rsidRPr="00707120" w14:paraId="10C50017"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662E05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top w:val="single" w:sz="4" w:space="0" w:color="auto"/>
            </w:tcBorders>
            <w:vAlign w:val="center"/>
            <w:hideMark/>
          </w:tcPr>
          <w:p w14:paraId="0E9B3A4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top w:val="single" w:sz="4" w:space="0" w:color="auto"/>
              <w:left w:val="single" w:sz="4" w:space="0" w:color="auto"/>
            </w:tcBorders>
            <w:vAlign w:val="center"/>
            <w:hideMark/>
          </w:tcPr>
          <w:p w14:paraId="741847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top w:val="single" w:sz="4" w:space="0" w:color="auto"/>
              <w:left w:val="single" w:sz="4" w:space="0" w:color="auto"/>
              <w:right w:val="single" w:sz="4" w:space="0" w:color="auto"/>
            </w:tcBorders>
            <w:vAlign w:val="center"/>
            <w:hideMark/>
          </w:tcPr>
          <w:p w14:paraId="6281CDE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top w:val="single" w:sz="4" w:space="0" w:color="auto"/>
              <w:right w:val="single" w:sz="4" w:space="0" w:color="auto"/>
            </w:tcBorders>
            <w:vAlign w:val="center"/>
            <w:hideMark/>
          </w:tcPr>
          <w:p w14:paraId="28C4D0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7.18</w:t>
            </w:r>
          </w:p>
        </w:tc>
        <w:tc>
          <w:tcPr>
            <w:tcW w:w="0" w:type="auto"/>
            <w:tcBorders>
              <w:top w:val="single" w:sz="4" w:space="0" w:color="auto"/>
            </w:tcBorders>
            <w:vAlign w:val="center"/>
            <w:hideMark/>
          </w:tcPr>
          <w:p w14:paraId="2186CB8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0.52</w:t>
            </w:r>
          </w:p>
        </w:tc>
        <w:tc>
          <w:tcPr>
            <w:tcW w:w="0" w:type="auto"/>
            <w:tcBorders>
              <w:top w:val="single" w:sz="4" w:space="0" w:color="auto"/>
              <w:left w:val="single" w:sz="4" w:space="0" w:color="auto"/>
              <w:right w:val="single" w:sz="4" w:space="0" w:color="auto"/>
            </w:tcBorders>
            <w:vAlign w:val="center"/>
            <w:hideMark/>
          </w:tcPr>
          <w:p w14:paraId="4B39C5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7.13</w:t>
            </w:r>
          </w:p>
        </w:tc>
        <w:tc>
          <w:tcPr>
            <w:tcW w:w="0" w:type="auto"/>
            <w:tcBorders>
              <w:top w:val="single" w:sz="4" w:space="0" w:color="auto"/>
              <w:right w:val="single" w:sz="4" w:space="0" w:color="auto"/>
            </w:tcBorders>
            <w:vAlign w:val="center"/>
            <w:hideMark/>
          </w:tcPr>
          <w:p w14:paraId="026D689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right w:val="single" w:sz="4" w:space="0" w:color="auto"/>
            </w:tcBorders>
            <w:vAlign w:val="center"/>
            <w:hideMark/>
          </w:tcPr>
          <w:p w14:paraId="3A52D92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19.95</w:t>
            </w:r>
          </w:p>
        </w:tc>
        <w:tc>
          <w:tcPr>
            <w:tcW w:w="0" w:type="auto"/>
            <w:tcBorders>
              <w:top w:val="single" w:sz="4" w:space="0" w:color="auto"/>
              <w:right w:val="single" w:sz="4" w:space="0" w:color="auto"/>
            </w:tcBorders>
            <w:vAlign w:val="center"/>
            <w:hideMark/>
          </w:tcPr>
          <w:p w14:paraId="176174A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w:t>
            </w:r>
          </w:p>
        </w:tc>
      </w:tr>
      <w:tr w:rsidR="00A45779" w:rsidRPr="00707120" w14:paraId="3E24BAAE"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0A128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top w:val="single" w:sz="4" w:space="0" w:color="auto"/>
              <w:bottom w:val="single" w:sz="4" w:space="0" w:color="auto"/>
            </w:tcBorders>
            <w:vAlign w:val="center"/>
            <w:hideMark/>
          </w:tcPr>
          <w:p w14:paraId="719CA96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left w:val="single" w:sz="4" w:space="0" w:color="auto"/>
              <w:bottom w:val="single" w:sz="4" w:space="0" w:color="auto"/>
            </w:tcBorders>
            <w:vAlign w:val="center"/>
            <w:hideMark/>
          </w:tcPr>
          <w:p w14:paraId="221B66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left w:val="single" w:sz="4" w:space="0" w:color="auto"/>
              <w:bottom w:val="single" w:sz="4" w:space="0" w:color="auto"/>
              <w:right w:val="single" w:sz="4" w:space="0" w:color="auto"/>
            </w:tcBorders>
            <w:vAlign w:val="center"/>
            <w:hideMark/>
          </w:tcPr>
          <w:p w14:paraId="103167E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bottom w:val="single" w:sz="4" w:space="0" w:color="auto"/>
              <w:right w:val="single" w:sz="4" w:space="0" w:color="auto"/>
            </w:tcBorders>
            <w:vAlign w:val="center"/>
            <w:hideMark/>
          </w:tcPr>
          <w:p w14:paraId="526AE1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7.12</w:t>
            </w:r>
          </w:p>
        </w:tc>
        <w:tc>
          <w:tcPr>
            <w:tcW w:w="0" w:type="auto"/>
            <w:tcBorders>
              <w:top w:val="single" w:sz="4" w:space="0" w:color="auto"/>
              <w:bottom w:val="single" w:sz="4" w:space="0" w:color="auto"/>
            </w:tcBorders>
            <w:vAlign w:val="center"/>
            <w:hideMark/>
          </w:tcPr>
          <w:p w14:paraId="695ADA1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6ECE8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7.06</w:t>
            </w:r>
          </w:p>
        </w:tc>
        <w:tc>
          <w:tcPr>
            <w:tcW w:w="0" w:type="auto"/>
            <w:tcBorders>
              <w:top w:val="single" w:sz="4" w:space="0" w:color="auto"/>
              <w:bottom w:val="single" w:sz="4" w:space="0" w:color="auto"/>
              <w:right w:val="single" w:sz="4" w:space="0" w:color="auto"/>
            </w:tcBorders>
            <w:vAlign w:val="center"/>
            <w:hideMark/>
          </w:tcPr>
          <w:p w14:paraId="7EF6B14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w:t>
            </w:r>
          </w:p>
        </w:tc>
        <w:tc>
          <w:tcPr>
            <w:tcW w:w="0" w:type="auto"/>
            <w:tcBorders>
              <w:top w:val="single" w:sz="4" w:space="0" w:color="auto"/>
              <w:bottom w:val="single" w:sz="4" w:space="0" w:color="auto"/>
              <w:right w:val="single" w:sz="4" w:space="0" w:color="auto"/>
            </w:tcBorders>
            <w:vAlign w:val="center"/>
            <w:hideMark/>
          </w:tcPr>
          <w:p w14:paraId="58FC5B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23.33</w:t>
            </w:r>
          </w:p>
        </w:tc>
        <w:tc>
          <w:tcPr>
            <w:tcW w:w="0" w:type="auto"/>
            <w:tcBorders>
              <w:top w:val="single" w:sz="4" w:space="0" w:color="auto"/>
              <w:bottom w:val="single" w:sz="4" w:space="0" w:color="auto"/>
              <w:right w:val="single" w:sz="4" w:space="0" w:color="auto"/>
            </w:tcBorders>
            <w:vAlign w:val="center"/>
            <w:hideMark/>
          </w:tcPr>
          <w:p w14:paraId="644820F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w:t>
            </w:r>
          </w:p>
        </w:tc>
      </w:tr>
    </w:tbl>
    <w:p w14:paraId="221A8C17" w14:textId="55517D1D"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F7D10E4" w14:textId="35468D5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4. Superior genotypes based on individual parameters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8"/>
        <w:gridCol w:w="4330"/>
        <w:gridCol w:w="1509"/>
      </w:tblGrid>
      <w:tr w:rsidR="00707120" w:rsidRPr="00707120" w14:paraId="30CF03A7" w14:textId="77777777" w:rsidTr="004E0240">
        <w:trPr>
          <w:tblHeader/>
          <w:tblCellSpacing w:w="15" w:type="dxa"/>
        </w:trPr>
        <w:tc>
          <w:tcPr>
            <w:tcW w:w="0" w:type="auto"/>
            <w:tcBorders>
              <w:top w:val="single" w:sz="4" w:space="0" w:color="auto"/>
              <w:left w:val="single" w:sz="4" w:space="0" w:color="auto"/>
              <w:bottom w:val="single" w:sz="4" w:space="0" w:color="auto"/>
            </w:tcBorders>
            <w:vAlign w:val="center"/>
            <w:hideMark/>
          </w:tcPr>
          <w:p w14:paraId="2BFDE00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Parameter</w:t>
            </w:r>
          </w:p>
        </w:tc>
        <w:tc>
          <w:tcPr>
            <w:tcW w:w="0" w:type="auto"/>
            <w:tcBorders>
              <w:top w:val="single" w:sz="4" w:space="0" w:color="auto"/>
              <w:left w:val="single" w:sz="4" w:space="0" w:color="auto"/>
              <w:bottom w:val="single" w:sz="4" w:space="0" w:color="auto"/>
            </w:tcBorders>
            <w:vAlign w:val="center"/>
            <w:hideMark/>
          </w:tcPr>
          <w:p w14:paraId="458962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 showing desirable performance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428985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Value</w:t>
            </w:r>
          </w:p>
        </w:tc>
      </w:tr>
      <w:tr w:rsidR="00707120" w:rsidRPr="00707120" w14:paraId="0F46D10D" w14:textId="77777777" w:rsidTr="004E0240">
        <w:trPr>
          <w:tblCellSpacing w:w="15" w:type="dxa"/>
        </w:trPr>
        <w:tc>
          <w:tcPr>
            <w:tcW w:w="0" w:type="auto"/>
            <w:tcBorders>
              <w:left w:val="single" w:sz="4" w:space="0" w:color="auto"/>
            </w:tcBorders>
            <w:vAlign w:val="center"/>
            <w:hideMark/>
          </w:tcPr>
          <w:p w14:paraId="10CBEB9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Highest </w:t>
            </w:r>
            <w:proofErr w:type="spellStart"/>
            <w:r w:rsidRPr="00707120">
              <w:rPr>
                <w:rFonts w:ascii="Times New Roman" w:eastAsia="Times New Roman" w:hAnsi="Times New Roman" w:cs="Times New Roman"/>
                <w:kern w:val="0"/>
                <w:sz w:val="24"/>
                <w:szCs w:val="24"/>
                <w:lang w:eastAsia="en-IN"/>
                <w14:ligatures w14:val="none"/>
              </w:rPr>
              <w:t>Yp</w:t>
            </w:r>
            <w:proofErr w:type="spellEnd"/>
          </w:p>
        </w:tc>
        <w:tc>
          <w:tcPr>
            <w:tcW w:w="0" w:type="auto"/>
            <w:tcBorders>
              <w:left w:val="single" w:sz="4" w:space="0" w:color="auto"/>
            </w:tcBorders>
            <w:vAlign w:val="center"/>
            <w:hideMark/>
          </w:tcPr>
          <w:p w14:paraId="7A19FC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left w:val="single" w:sz="4" w:space="0" w:color="auto"/>
              <w:right w:val="single" w:sz="4" w:space="0" w:color="auto"/>
            </w:tcBorders>
            <w:vAlign w:val="center"/>
            <w:hideMark/>
          </w:tcPr>
          <w:p w14:paraId="51F717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 g plant⁻¹</w:t>
            </w:r>
          </w:p>
        </w:tc>
      </w:tr>
      <w:tr w:rsidR="00707120" w:rsidRPr="00707120" w14:paraId="2D91E109" w14:textId="77777777" w:rsidTr="004E0240">
        <w:trPr>
          <w:tblCellSpacing w:w="15" w:type="dxa"/>
        </w:trPr>
        <w:tc>
          <w:tcPr>
            <w:tcW w:w="0" w:type="auto"/>
            <w:tcBorders>
              <w:top w:val="single" w:sz="4" w:space="0" w:color="auto"/>
              <w:left w:val="single" w:sz="4" w:space="0" w:color="auto"/>
            </w:tcBorders>
            <w:vAlign w:val="center"/>
            <w:hideMark/>
          </w:tcPr>
          <w:p w14:paraId="2ACEA9E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Ys</w:t>
            </w:r>
          </w:p>
        </w:tc>
        <w:tc>
          <w:tcPr>
            <w:tcW w:w="0" w:type="auto"/>
            <w:tcBorders>
              <w:top w:val="single" w:sz="4" w:space="0" w:color="auto"/>
              <w:left w:val="single" w:sz="4" w:space="0" w:color="auto"/>
            </w:tcBorders>
            <w:vAlign w:val="center"/>
            <w:hideMark/>
          </w:tcPr>
          <w:p w14:paraId="5558D60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right w:val="single" w:sz="4" w:space="0" w:color="auto"/>
            </w:tcBorders>
            <w:vAlign w:val="center"/>
            <w:hideMark/>
          </w:tcPr>
          <w:p w14:paraId="4C171B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 g plant⁻¹</w:t>
            </w:r>
          </w:p>
        </w:tc>
      </w:tr>
      <w:tr w:rsidR="00707120" w:rsidRPr="00707120" w14:paraId="385CA94A" w14:textId="77777777" w:rsidTr="004E0240">
        <w:trPr>
          <w:tblCellSpacing w:w="15" w:type="dxa"/>
        </w:trPr>
        <w:tc>
          <w:tcPr>
            <w:tcW w:w="0" w:type="auto"/>
            <w:tcBorders>
              <w:top w:val="single" w:sz="4" w:space="0" w:color="auto"/>
              <w:left w:val="single" w:sz="4" w:space="0" w:color="auto"/>
              <w:bottom w:val="single" w:sz="4" w:space="0" w:color="auto"/>
            </w:tcBorders>
            <w:vAlign w:val="center"/>
            <w:hideMark/>
          </w:tcPr>
          <w:p w14:paraId="5072E92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yield reduction</w:t>
            </w:r>
          </w:p>
        </w:tc>
        <w:tc>
          <w:tcPr>
            <w:tcW w:w="0" w:type="auto"/>
            <w:tcBorders>
              <w:top w:val="single" w:sz="4" w:space="0" w:color="auto"/>
              <w:left w:val="single" w:sz="4" w:space="0" w:color="auto"/>
              <w:bottom w:val="single" w:sz="4" w:space="0" w:color="auto"/>
            </w:tcBorders>
            <w:vAlign w:val="center"/>
            <w:hideMark/>
          </w:tcPr>
          <w:p w14:paraId="6366DFD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7470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r>
      <w:tr w:rsidR="00707120" w:rsidRPr="00707120" w14:paraId="3411020F" w14:textId="77777777" w:rsidTr="004E0240">
        <w:trPr>
          <w:tblCellSpacing w:w="15" w:type="dxa"/>
        </w:trPr>
        <w:tc>
          <w:tcPr>
            <w:tcW w:w="0" w:type="auto"/>
            <w:tcBorders>
              <w:left w:val="single" w:sz="4" w:space="0" w:color="auto"/>
              <w:bottom w:val="single" w:sz="4" w:space="0" w:color="auto"/>
            </w:tcBorders>
            <w:vAlign w:val="center"/>
            <w:hideMark/>
          </w:tcPr>
          <w:p w14:paraId="55D75C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TOL</w:t>
            </w:r>
          </w:p>
        </w:tc>
        <w:tc>
          <w:tcPr>
            <w:tcW w:w="0" w:type="auto"/>
            <w:tcBorders>
              <w:left w:val="single" w:sz="4" w:space="0" w:color="auto"/>
              <w:bottom w:val="single" w:sz="4" w:space="0" w:color="auto"/>
            </w:tcBorders>
            <w:vAlign w:val="center"/>
            <w:hideMark/>
          </w:tcPr>
          <w:p w14:paraId="41FD608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left w:val="single" w:sz="4" w:space="0" w:color="auto"/>
              <w:bottom w:val="single" w:sz="4" w:space="0" w:color="auto"/>
              <w:right w:val="single" w:sz="4" w:space="0" w:color="auto"/>
            </w:tcBorders>
            <w:vAlign w:val="center"/>
            <w:hideMark/>
          </w:tcPr>
          <w:p w14:paraId="306BD68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1.59</w:t>
            </w:r>
          </w:p>
        </w:tc>
      </w:tr>
      <w:tr w:rsidR="00707120" w:rsidRPr="00707120" w14:paraId="22F1BDD1" w14:textId="77777777" w:rsidTr="004E0240">
        <w:trPr>
          <w:tblCellSpacing w:w="15" w:type="dxa"/>
        </w:trPr>
        <w:tc>
          <w:tcPr>
            <w:tcW w:w="0" w:type="auto"/>
            <w:tcBorders>
              <w:left w:val="single" w:sz="4" w:space="0" w:color="auto"/>
            </w:tcBorders>
            <w:vAlign w:val="center"/>
            <w:hideMark/>
          </w:tcPr>
          <w:p w14:paraId="0B88C23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MP</w:t>
            </w:r>
          </w:p>
        </w:tc>
        <w:tc>
          <w:tcPr>
            <w:tcW w:w="0" w:type="auto"/>
            <w:tcBorders>
              <w:left w:val="single" w:sz="4" w:space="0" w:color="auto"/>
            </w:tcBorders>
            <w:vAlign w:val="center"/>
            <w:hideMark/>
          </w:tcPr>
          <w:p w14:paraId="188F2D0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left w:val="single" w:sz="4" w:space="0" w:color="auto"/>
              <w:right w:val="single" w:sz="4" w:space="0" w:color="auto"/>
            </w:tcBorders>
            <w:vAlign w:val="center"/>
            <w:hideMark/>
          </w:tcPr>
          <w:p w14:paraId="47BFC4E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r>
      <w:tr w:rsidR="00707120" w:rsidRPr="00707120" w14:paraId="2A675616" w14:textId="77777777" w:rsidTr="004E0240">
        <w:trPr>
          <w:tblCellSpacing w:w="15" w:type="dxa"/>
        </w:trPr>
        <w:tc>
          <w:tcPr>
            <w:tcW w:w="0" w:type="auto"/>
            <w:tcBorders>
              <w:top w:val="single" w:sz="4" w:space="0" w:color="auto"/>
              <w:left w:val="single" w:sz="4" w:space="0" w:color="auto"/>
            </w:tcBorders>
            <w:vAlign w:val="center"/>
            <w:hideMark/>
          </w:tcPr>
          <w:p w14:paraId="2F0BC3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STI</w:t>
            </w:r>
          </w:p>
        </w:tc>
        <w:tc>
          <w:tcPr>
            <w:tcW w:w="0" w:type="auto"/>
            <w:tcBorders>
              <w:top w:val="single" w:sz="4" w:space="0" w:color="auto"/>
              <w:left w:val="single" w:sz="4" w:space="0" w:color="auto"/>
            </w:tcBorders>
            <w:vAlign w:val="center"/>
            <w:hideMark/>
          </w:tcPr>
          <w:p w14:paraId="716A51D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right w:val="single" w:sz="4" w:space="0" w:color="auto"/>
            </w:tcBorders>
            <w:vAlign w:val="center"/>
            <w:hideMark/>
          </w:tcPr>
          <w:p w14:paraId="16D2A74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r>
      <w:tr w:rsidR="00707120" w:rsidRPr="00707120" w14:paraId="7B7AA613" w14:textId="77777777" w:rsidTr="004E0240">
        <w:trPr>
          <w:tblCellSpacing w:w="15" w:type="dxa"/>
        </w:trPr>
        <w:tc>
          <w:tcPr>
            <w:tcW w:w="0" w:type="auto"/>
            <w:tcBorders>
              <w:top w:val="single" w:sz="4" w:space="0" w:color="auto"/>
              <w:left w:val="single" w:sz="4" w:space="0" w:color="auto"/>
            </w:tcBorders>
            <w:vAlign w:val="center"/>
            <w:hideMark/>
          </w:tcPr>
          <w:p w14:paraId="595E4BE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SSI</w:t>
            </w:r>
          </w:p>
        </w:tc>
        <w:tc>
          <w:tcPr>
            <w:tcW w:w="0" w:type="auto"/>
            <w:tcBorders>
              <w:top w:val="single" w:sz="4" w:space="0" w:color="auto"/>
              <w:left w:val="single" w:sz="4" w:space="0" w:color="auto"/>
            </w:tcBorders>
            <w:vAlign w:val="center"/>
            <w:hideMark/>
          </w:tcPr>
          <w:p w14:paraId="1193BD4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right w:val="single" w:sz="4" w:space="0" w:color="auto"/>
            </w:tcBorders>
            <w:vAlign w:val="center"/>
            <w:hideMark/>
          </w:tcPr>
          <w:p w14:paraId="6BD23C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r>
      <w:tr w:rsidR="00707120" w:rsidRPr="00707120" w14:paraId="40075881" w14:textId="77777777" w:rsidTr="004E0240">
        <w:trPr>
          <w:tblCellSpacing w:w="15" w:type="dxa"/>
        </w:trPr>
        <w:tc>
          <w:tcPr>
            <w:tcW w:w="0" w:type="auto"/>
            <w:tcBorders>
              <w:top w:val="single" w:sz="4" w:space="0" w:color="auto"/>
              <w:left w:val="single" w:sz="4" w:space="0" w:color="auto"/>
              <w:bottom w:val="single" w:sz="4" w:space="0" w:color="auto"/>
            </w:tcBorders>
            <w:vAlign w:val="center"/>
            <w:hideMark/>
          </w:tcPr>
          <w:p w14:paraId="2B4223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GMP</w:t>
            </w:r>
          </w:p>
        </w:tc>
        <w:tc>
          <w:tcPr>
            <w:tcW w:w="0" w:type="auto"/>
            <w:tcBorders>
              <w:top w:val="single" w:sz="4" w:space="0" w:color="auto"/>
              <w:left w:val="single" w:sz="4" w:space="0" w:color="auto"/>
              <w:bottom w:val="single" w:sz="4" w:space="0" w:color="auto"/>
            </w:tcBorders>
            <w:vAlign w:val="center"/>
            <w:hideMark/>
          </w:tcPr>
          <w:p w14:paraId="236A4D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bottom w:val="single" w:sz="4" w:space="0" w:color="auto"/>
              <w:right w:val="single" w:sz="4" w:space="0" w:color="auto"/>
            </w:tcBorders>
            <w:vAlign w:val="center"/>
            <w:hideMark/>
          </w:tcPr>
          <w:p w14:paraId="403EB08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r>
    </w:tbl>
    <w:p w14:paraId="23E328C6" w14:textId="77777777" w:rsidR="00707120" w:rsidRPr="007F271F" w:rsidRDefault="00707120"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FC0DA98"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D7CE0">
        <w:rPr>
          <w:rFonts w:ascii="Times New Roman" w:eastAsia="Times New Roman" w:hAnsi="Times New Roman" w:cs="Times New Roman"/>
          <w:b/>
          <w:bCs/>
          <w:kern w:val="0"/>
          <w:sz w:val="24"/>
          <w:szCs w:val="24"/>
          <w:lang w:eastAsia="en-IN"/>
          <w14:ligatures w14:val="none"/>
        </w:rPr>
        <w:t>Discussion</w:t>
      </w:r>
    </w:p>
    <w:p w14:paraId="1EF46C51" w14:textId="72F5D017" w:rsidR="001D7CE0" w:rsidRPr="001D7CE0" w:rsidRDefault="00EC6B62"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1D7CE0" w:rsidRPr="001D7CE0">
        <w:rPr>
          <w:rFonts w:ascii="Times New Roman" w:eastAsia="Times New Roman" w:hAnsi="Times New Roman" w:cs="Times New Roman"/>
          <w:kern w:val="0"/>
          <w:sz w:val="24"/>
          <w:szCs w:val="24"/>
          <w:lang w:eastAsia="en-IN"/>
          <w14:ligatures w14:val="none"/>
        </w:rPr>
        <w:t xml:space="preserve">The present study revealed considerable variability among the twelve fenugreek genotypes for seed yield response to moisture stress. Mean seed yield decreased from 9.86 g under non-stress conditions to 7.79 g under moisture-stress conditions, representing an overall reduction of 21.09%. The reduction in seed yield under limited moisture availability indicates the adverse effect of water deficit on reproductive productivity. Similar reductions in yield under moisture stress have been reported in fenugreek and other crops, </w:t>
      </w:r>
      <w:proofErr w:type="gramStart"/>
      <w:r w:rsidR="001D7CE0" w:rsidRPr="001D7CE0">
        <w:rPr>
          <w:rFonts w:ascii="Times New Roman" w:eastAsia="Times New Roman" w:hAnsi="Times New Roman" w:cs="Times New Roman"/>
          <w:kern w:val="0"/>
          <w:sz w:val="24"/>
          <w:szCs w:val="24"/>
          <w:lang w:eastAsia="en-IN"/>
          <w14:ligatures w14:val="none"/>
        </w:rPr>
        <w:t>where</w:t>
      </w:r>
      <w:proofErr w:type="gramEnd"/>
      <w:r w:rsidR="001D7CE0" w:rsidRPr="001D7CE0">
        <w:rPr>
          <w:rFonts w:ascii="Times New Roman" w:eastAsia="Times New Roman" w:hAnsi="Times New Roman" w:cs="Times New Roman"/>
          <w:kern w:val="0"/>
          <w:sz w:val="24"/>
          <w:szCs w:val="24"/>
          <w:lang w:eastAsia="en-IN"/>
          <w14:ligatures w14:val="none"/>
        </w:rPr>
        <w:t xml:space="preserve"> water limitation adversely affected yield formation and yield components. </w:t>
      </w:r>
      <w:proofErr w:type="spellStart"/>
      <w:r w:rsidR="001D7CE0" w:rsidRPr="001D7CE0">
        <w:rPr>
          <w:rFonts w:ascii="Times New Roman" w:eastAsia="Times New Roman" w:hAnsi="Times New Roman" w:cs="Times New Roman"/>
          <w:kern w:val="0"/>
          <w:sz w:val="24"/>
          <w:szCs w:val="24"/>
          <w:lang w:eastAsia="en-IN"/>
          <w14:ligatures w14:val="none"/>
        </w:rPr>
        <w:t>Ahari</w:t>
      </w:r>
      <w:proofErr w:type="spellEnd"/>
      <w:r w:rsidR="001D7CE0" w:rsidRPr="001D7CE0">
        <w:rPr>
          <w:rFonts w:ascii="Times New Roman" w:eastAsia="Times New Roman" w:hAnsi="Times New Roman" w:cs="Times New Roman"/>
          <w:kern w:val="0"/>
          <w:sz w:val="24"/>
          <w:szCs w:val="24"/>
          <w:lang w:eastAsia="en-IN"/>
          <w14:ligatures w14:val="none"/>
        </w:rPr>
        <w:t xml:space="preserve"> et al. (2009) evaluated twenty Iranian fenugreek landraces under moisture-stress and non-stress conditions and observed significant differences among landraces for grain yield and drought response. Saxena et al. (2017) also reported significant genotypic variation for seed yield and several morpho-physiological traits in thirteen fenugreek genotypes exposed to water stress at different growth stages. Their study showed that water stress, particularly during the post-flowering stage, adversely affected seed yield. Similarly, </w:t>
      </w:r>
      <w:proofErr w:type="spellStart"/>
      <w:r w:rsidR="001D7CE0" w:rsidRPr="001D7CE0">
        <w:rPr>
          <w:rFonts w:ascii="Times New Roman" w:eastAsia="Times New Roman" w:hAnsi="Times New Roman" w:cs="Times New Roman"/>
          <w:kern w:val="0"/>
          <w:sz w:val="24"/>
          <w:szCs w:val="24"/>
          <w:lang w:eastAsia="en-IN"/>
          <w14:ligatures w14:val="none"/>
        </w:rPr>
        <w:t>Dadrasan</w:t>
      </w:r>
      <w:proofErr w:type="spellEnd"/>
      <w:r w:rsidR="001D7CE0" w:rsidRPr="001D7CE0">
        <w:rPr>
          <w:rFonts w:ascii="Times New Roman" w:eastAsia="Times New Roman" w:hAnsi="Times New Roman" w:cs="Times New Roman"/>
          <w:kern w:val="0"/>
          <w:sz w:val="24"/>
          <w:szCs w:val="24"/>
          <w:lang w:eastAsia="en-IN"/>
          <w14:ligatures w14:val="none"/>
        </w:rPr>
        <w:t xml:space="preserve"> et al. (2015) reported substantial reductions in fenugreek seed yield under moderate and severe deficit irrigation, confirming the sensitivity of reproductive productivity to inadequate water availability</w:t>
      </w:r>
      <w:r w:rsidR="001D7CE0">
        <w:rPr>
          <w:rFonts w:ascii="Times New Roman" w:eastAsia="Times New Roman" w:hAnsi="Times New Roman" w:cs="Times New Roman"/>
          <w:kern w:val="0"/>
          <w:sz w:val="24"/>
          <w:szCs w:val="24"/>
          <w:lang w:eastAsia="en-IN"/>
          <w14:ligatures w14:val="none"/>
        </w:rPr>
        <w:t xml:space="preserve">. </w:t>
      </w:r>
      <w:r w:rsidR="001D7CE0" w:rsidRPr="001D7CE0">
        <w:rPr>
          <w:rFonts w:ascii="Times New Roman" w:eastAsia="Times New Roman" w:hAnsi="Times New Roman" w:cs="Times New Roman"/>
          <w:kern w:val="0"/>
          <w:sz w:val="24"/>
          <w:szCs w:val="24"/>
          <w:lang w:eastAsia="en-IN"/>
          <w14:ligatures w14:val="none"/>
        </w:rPr>
        <w:t xml:space="preserve">The differential magnitude of yield reduction observed among the present genotypes indicates the existence of genetic variability for response to moisture stress. AFG-4 recorded the highest seed yield under both non-stress (12.40 g) and moisture-stress (9.91 g) conditions, suggesting </w:t>
      </w:r>
      <w:r w:rsidR="001D7CE0" w:rsidRPr="001D7CE0">
        <w:rPr>
          <w:rFonts w:ascii="Times New Roman" w:eastAsia="Times New Roman" w:hAnsi="Times New Roman" w:cs="Times New Roman"/>
          <w:kern w:val="0"/>
          <w:sz w:val="24"/>
          <w:szCs w:val="24"/>
          <w:lang w:eastAsia="en-IN"/>
          <w14:ligatures w14:val="none"/>
        </w:rPr>
        <w:lastRenderedPageBreak/>
        <w:t xml:space="preserve">that it maintained comparatively high productivity even when water availability was restricted. RMT-303 recorded the lowest percentage yield reduction (18.94%), indicating comparatively stable yield performance across the two moisture regimes. Such differences among genotypes have been reported in earlier fenugreek studies. Saxena et al. (2017) observed considerable variation among fenugreek genotypes for seed yield, number of pods, root and shoot traits and other physiological characters under different water-stress conditions. Saxena et al. (2017) further reported that some genotypes were able to maintain relatively higher yield under limited moisture, demonstrating genotypic differences in adaptation to water deficit. Chauhan et al. (2017) also observed differences among fenugreek genotypes for yield and yield attributes under drought conditions, with some genotypes maintaining relatively better seed yield under stress. </w:t>
      </w:r>
      <w:proofErr w:type="spellStart"/>
      <w:r w:rsidR="001D7CE0" w:rsidRPr="001D7CE0">
        <w:rPr>
          <w:rFonts w:ascii="Times New Roman" w:eastAsia="Times New Roman" w:hAnsi="Times New Roman" w:cs="Times New Roman"/>
          <w:kern w:val="0"/>
          <w:sz w:val="24"/>
          <w:szCs w:val="24"/>
          <w:lang w:eastAsia="en-IN"/>
          <w14:ligatures w14:val="none"/>
        </w:rPr>
        <w:t>Ghosaliya</w:t>
      </w:r>
      <w:proofErr w:type="spellEnd"/>
      <w:r w:rsidR="001D7CE0" w:rsidRPr="001D7CE0">
        <w:rPr>
          <w:rFonts w:ascii="Times New Roman" w:eastAsia="Times New Roman" w:hAnsi="Times New Roman" w:cs="Times New Roman"/>
          <w:kern w:val="0"/>
          <w:sz w:val="24"/>
          <w:szCs w:val="24"/>
          <w:lang w:eastAsia="en-IN"/>
          <w14:ligatures w14:val="none"/>
        </w:rPr>
        <w:t xml:space="preserve"> et al. (2024) similarly reported significant genotypic variation in seed yield and seed-quality traits under normal and water-stress conditions.</w:t>
      </w:r>
    </w:p>
    <w:p w14:paraId="21EC0FE8"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7CE0">
        <w:rPr>
          <w:rFonts w:ascii="Times New Roman" w:eastAsia="Times New Roman" w:hAnsi="Times New Roman" w:cs="Times New Roman"/>
          <w:kern w:val="0"/>
          <w:sz w:val="24"/>
          <w:szCs w:val="24"/>
          <w:lang w:eastAsia="en-IN"/>
          <w14:ligatures w14:val="none"/>
        </w:rPr>
        <w:t>The results of the present investigation are also supported by more recent studies based on stress tolerance indices. Choudhary et al. (2017) evaluated 48 fenugreek genotypes under normal and staggered irrigation conditions and reported that MP, GMP and STI were effective in identifying genotypes with high yield under both stress and non-stress conditions, whereas TOL and SSI were useful for assessing the response to moisture stress. Choudhary et al. (2022) similarly reported that MP, GMP and STI were useful indicators for identifying high-yielding fenugreek genotypes under contrasting moisture regimes. Singh and Rajpoot (2022), while evaluating thirty fenugreek genotypes under two moisture regimes, also observed strong relationships between seed yield and drought tolerance indices and identified several genotypes with comparatively stable performance across environments. Harisha et al. (2023/2024) reported that GMP and STI were particularly useful for identifying moisture-stress-tolerant fenugreek varieties, with approximately 28.8% reduction in seed yield under stress. These findings are in agreement with the present study, in which AFG-4 recorded the highest MP, STI and GMP values.</w:t>
      </w:r>
    </w:p>
    <w:p w14:paraId="247C639F" w14:textId="3FE4BC22"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The performance of AFG-4 across several indices is particularly noteworthy. It recorded the highest MP (11.16), STI (1.26) and GMP (11.09), together with the highest seed yield under both moisture regimes. The simultaneous superiority for </w:t>
      </w:r>
      <w:proofErr w:type="spellStart"/>
      <w:r w:rsidRPr="001D7CE0">
        <w:rPr>
          <w:rFonts w:ascii="Times New Roman" w:eastAsia="Times New Roman" w:hAnsi="Times New Roman" w:cs="Times New Roman"/>
          <w:kern w:val="0"/>
          <w:sz w:val="24"/>
          <w:szCs w:val="24"/>
          <w:lang w:eastAsia="en-IN"/>
          <w14:ligatures w14:val="none"/>
        </w:rPr>
        <w:t>Yp</w:t>
      </w:r>
      <w:proofErr w:type="spellEnd"/>
      <w:r w:rsidRPr="001D7CE0">
        <w:rPr>
          <w:rFonts w:ascii="Times New Roman" w:eastAsia="Times New Roman" w:hAnsi="Times New Roman" w:cs="Times New Roman"/>
          <w:kern w:val="0"/>
          <w:sz w:val="24"/>
          <w:szCs w:val="24"/>
          <w:lang w:eastAsia="en-IN"/>
          <w14:ligatures w14:val="none"/>
        </w:rPr>
        <w:t xml:space="preserve">, Ys, MP, STI and GMP suggests that its comparatively promising performance was not dependent on a single selection criterion. Fernandez (1992) proposed STI and GMP as useful criteria for identifying genotypes combining high yield potential with good performance under stress. Similarly, </w:t>
      </w:r>
      <w:proofErr w:type="spellStart"/>
      <w:r w:rsidRPr="001D7CE0">
        <w:rPr>
          <w:rFonts w:ascii="Times New Roman" w:eastAsia="Times New Roman" w:hAnsi="Times New Roman" w:cs="Times New Roman"/>
          <w:kern w:val="0"/>
          <w:sz w:val="24"/>
          <w:szCs w:val="24"/>
          <w:lang w:eastAsia="en-IN"/>
          <w14:ligatures w14:val="none"/>
        </w:rPr>
        <w:t>Rosielle</w:t>
      </w:r>
      <w:proofErr w:type="spellEnd"/>
      <w:r w:rsidRPr="001D7CE0">
        <w:rPr>
          <w:rFonts w:ascii="Times New Roman" w:eastAsia="Times New Roman" w:hAnsi="Times New Roman" w:cs="Times New Roman"/>
          <w:kern w:val="0"/>
          <w:sz w:val="24"/>
          <w:szCs w:val="24"/>
          <w:lang w:eastAsia="en-IN"/>
          <w14:ligatures w14:val="none"/>
        </w:rPr>
        <w:t xml:space="preserve"> and Hamblin (1981) demonstrated that mean productivity can be useful for selection when performance under both stress and non-stress conditions is considered. Fischer and Maurer (1978) developed the stress susceptibility index concept to quantify relative yield reduction under drought, providing a basis for comparing genotype responses across contrasting environments. Later studies have confirmed that the effectiveness of individual indices can vary with stress intensity and genotype performance. </w:t>
      </w:r>
      <w:proofErr w:type="spellStart"/>
      <w:r w:rsidRPr="001D7CE0">
        <w:rPr>
          <w:rFonts w:ascii="Times New Roman" w:eastAsia="Times New Roman" w:hAnsi="Times New Roman" w:cs="Times New Roman"/>
          <w:kern w:val="0"/>
          <w:sz w:val="24"/>
          <w:szCs w:val="24"/>
          <w:lang w:eastAsia="en-IN"/>
          <w14:ligatures w14:val="none"/>
        </w:rPr>
        <w:t>Golabadi</w:t>
      </w:r>
      <w:proofErr w:type="spellEnd"/>
      <w:r w:rsidRPr="001D7CE0">
        <w:rPr>
          <w:rFonts w:ascii="Times New Roman" w:eastAsia="Times New Roman" w:hAnsi="Times New Roman" w:cs="Times New Roman"/>
          <w:kern w:val="0"/>
          <w:sz w:val="24"/>
          <w:szCs w:val="24"/>
          <w:lang w:eastAsia="en-IN"/>
          <w14:ligatures w14:val="none"/>
        </w:rPr>
        <w:t xml:space="preserve"> et al. (2006), for example, reported that MP, GMP and STI were particularly useful under moderate stress, whereas other indices could provide additional discrimination under severe stress.</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RMT-303 showed a somewhat different but complementary response. It recorded the lowest yield reduction (18.94%) and the lowest SSI (0.90), while also maintaining relatively high MP (9.90), STI (1.00) and GMP (9.84). Thus, its selection is supported both by a low degree of relative yield reduction and by comparatively high productivity across the two moisture regimes. The concept of combining susceptibility and productivity criteria is supported by Fernandez (1992), who classified genotypes according to their yield performance under stress and non-stress environments and emphasized the usefulness of indices capable of identifying </w:t>
      </w:r>
      <w:r w:rsidRPr="001D7CE0">
        <w:rPr>
          <w:rFonts w:ascii="Times New Roman" w:eastAsia="Times New Roman" w:hAnsi="Times New Roman" w:cs="Times New Roman"/>
          <w:kern w:val="0"/>
          <w:sz w:val="24"/>
          <w:szCs w:val="24"/>
          <w:lang w:eastAsia="en-IN"/>
          <w14:ligatures w14:val="none"/>
        </w:rPr>
        <w:lastRenderedPageBreak/>
        <w:t xml:space="preserve">genotypes performing well under both conditions. Similar conclusions have been reported in chickpea, wheat and other crops, where combined consideration of </w:t>
      </w:r>
      <w:proofErr w:type="spellStart"/>
      <w:r w:rsidRPr="001D7CE0">
        <w:rPr>
          <w:rFonts w:ascii="Times New Roman" w:eastAsia="Times New Roman" w:hAnsi="Times New Roman" w:cs="Times New Roman"/>
          <w:kern w:val="0"/>
          <w:sz w:val="24"/>
          <w:szCs w:val="24"/>
          <w:lang w:eastAsia="en-IN"/>
          <w14:ligatures w14:val="none"/>
        </w:rPr>
        <w:t>Yp</w:t>
      </w:r>
      <w:proofErr w:type="spellEnd"/>
      <w:r w:rsidRPr="001D7CE0">
        <w:rPr>
          <w:rFonts w:ascii="Times New Roman" w:eastAsia="Times New Roman" w:hAnsi="Times New Roman" w:cs="Times New Roman"/>
          <w:kern w:val="0"/>
          <w:sz w:val="24"/>
          <w:szCs w:val="24"/>
          <w:lang w:eastAsia="en-IN"/>
          <w14:ligatures w14:val="none"/>
        </w:rPr>
        <w:t xml:space="preserve">, Ys and multiple stress indices provided more reliable discrimination than reliance on a single index. </w:t>
      </w:r>
      <w:proofErr w:type="spellStart"/>
      <w:r w:rsidRPr="001D7CE0">
        <w:rPr>
          <w:rFonts w:ascii="Times New Roman" w:eastAsia="Times New Roman" w:hAnsi="Times New Roman" w:cs="Times New Roman"/>
          <w:kern w:val="0"/>
          <w:sz w:val="24"/>
          <w:szCs w:val="24"/>
          <w:lang w:eastAsia="en-IN"/>
          <w14:ligatures w14:val="none"/>
        </w:rPr>
        <w:t>Farshadfar</w:t>
      </w:r>
      <w:proofErr w:type="spellEnd"/>
      <w:r w:rsidRPr="001D7CE0">
        <w:rPr>
          <w:rFonts w:ascii="Times New Roman" w:eastAsia="Times New Roman" w:hAnsi="Times New Roman" w:cs="Times New Roman"/>
          <w:kern w:val="0"/>
          <w:sz w:val="24"/>
          <w:szCs w:val="24"/>
          <w:lang w:eastAsia="en-IN"/>
          <w14:ligatures w14:val="none"/>
        </w:rPr>
        <w:t xml:space="preserve"> et al. (2013) emphasized the importance of relationships and repeatability among drought tolerance indices, while </w:t>
      </w:r>
      <w:proofErr w:type="spellStart"/>
      <w:r w:rsidRPr="001D7CE0">
        <w:rPr>
          <w:rFonts w:ascii="Times New Roman" w:eastAsia="Times New Roman" w:hAnsi="Times New Roman" w:cs="Times New Roman"/>
          <w:kern w:val="0"/>
          <w:sz w:val="24"/>
          <w:szCs w:val="24"/>
          <w:lang w:eastAsia="en-IN"/>
          <w14:ligatures w14:val="none"/>
        </w:rPr>
        <w:t>Farshadfar</w:t>
      </w:r>
      <w:proofErr w:type="spellEnd"/>
      <w:r w:rsidRPr="001D7CE0">
        <w:rPr>
          <w:rFonts w:ascii="Times New Roman" w:eastAsia="Times New Roman" w:hAnsi="Times New Roman" w:cs="Times New Roman"/>
          <w:kern w:val="0"/>
          <w:sz w:val="24"/>
          <w:szCs w:val="24"/>
          <w:lang w:eastAsia="en-IN"/>
          <w14:ligatures w14:val="none"/>
        </w:rPr>
        <w:t xml:space="preserve"> et al. (2012) reported that several quantitative indices can be used together to identify drought-tolerant genotypes. Clarke et al. (1992) also demonstrated that different methods of quantifying drought tolerance may differ in their ability to discriminate among genotypes.</w:t>
      </w:r>
    </w:p>
    <w:p w14:paraId="794DDAD3" w14:textId="330B69ED"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The present findings further demonstrate the importance of interpreting TOL and SSI together with productivity-based indices. TOL measures the absolute difference between non-stress and stress yield, whereas SSI expresses the relative susceptibility of a genotype to stress. Lower values generally indicate comparatively lower susceptibility; however, a low TOL alone may also occur in a genotype having low yield potential. Therefore, selection solely on the basis of TOL or SSI may not always identify genotypes combining high productivity and stress tolerance. This limitation was also highlighted by </w:t>
      </w:r>
      <w:proofErr w:type="spellStart"/>
      <w:r w:rsidRPr="001D7CE0">
        <w:rPr>
          <w:rFonts w:ascii="Times New Roman" w:eastAsia="Times New Roman" w:hAnsi="Times New Roman" w:cs="Times New Roman"/>
          <w:kern w:val="0"/>
          <w:sz w:val="24"/>
          <w:szCs w:val="24"/>
          <w:lang w:eastAsia="en-IN"/>
          <w14:ligatures w14:val="none"/>
        </w:rPr>
        <w:t>Rosielle</w:t>
      </w:r>
      <w:proofErr w:type="spellEnd"/>
      <w:r w:rsidRPr="001D7CE0">
        <w:rPr>
          <w:rFonts w:ascii="Times New Roman" w:eastAsia="Times New Roman" w:hAnsi="Times New Roman" w:cs="Times New Roman"/>
          <w:kern w:val="0"/>
          <w:sz w:val="24"/>
          <w:szCs w:val="24"/>
          <w:lang w:eastAsia="en-IN"/>
          <w14:ligatures w14:val="none"/>
        </w:rPr>
        <w:t xml:space="preserve"> and Hamblin (1981) and Fernandez (1992). In the present study, CO-1 had the lowest TOL value (1.59), but its seed yield under both conditions was comparatively low and its STI and GMP values were also low. This illustrates why susceptibility indices should preferably be interpreted together with yield potential and productivity indices. Similar observations have been reported by Choudhary et al. (2017, 2022), who recommended the combined use of MP, GMP, STI and susceptibility-related indices for fenugreek.</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The physiological basis of genotypic differences in drought response may involve several mechanisms, including maintenance of tissue water status, root development, stomatal regulation, membrane stability and adjustment of photosynthetic activity. Mitra (2001) described drought resistance as a complex phenomenon involving drought escape, drought avoidance and drought tolerance mechanisms. Blum (2009) emphasized that crop productivity under drought depends on the plant's ability to effectively use available water rather than simply maximizing water-use efficiency. In fenugreek, Saxena et al. (2017) observed reductions in chlorophyll content and water potential under water stress along with significant genotypic variation in root and shoot characteristics. El-</w:t>
      </w:r>
      <w:proofErr w:type="spellStart"/>
      <w:r w:rsidRPr="001D7CE0">
        <w:rPr>
          <w:rFonts w:ascii="Times New Roman" w:eastAsia="Times New Roman" w:hAnsi="Times New Roman" w:cs="Times New Roman"/>
          <w:kern w:val="0"/>
          <w:sz w:val="24"/>
          <w:szCs w:val="24"/>
          <w:lang w:eastAsia="en-IN"/>
          <w14:ligatures w14:val="none"/>
        </w:rPr>
        <w:t>Hendawy</w:t>
      </w:r>
      <w:proofErr w:type="spellEnd"/>
      <w:r w:rsidRPr="001D7CE0">
        <w:rPr>
          <w:rFonts w:ascii="Times New Roman" w:eastAsia="Times New Roman" w:hAnsi="Times New Roman" w:cs="Times New Roman"/>
          <w:kern w:val="0"/>
          <w:sz w:val="24"/>
          <w:szCs w:val="24"/>
          <w:lang w:eastAsia="en-IN"/>
          <w14:ligatures w14:val="none"/>
        </w:rPr>
        <w:t xml:space="preserve"> et al. (2021) reported substantial genotypic variation in physiological and biochemical responses of fenugreek landraces to prolonged drought and subsequent rewatering, further demonstrating that drought response is genetically variable. Although physiological and biochemical traits were not included in the present analysis, the observed differences in seed yield and stress indices may reflect underlying differences in the ability of genotypes to maintain growth and reproductive development under limited moisture.</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Water availability during reproductive development is particularly important for final seed yield. Harisha et al. (2023/2024) reported significant effects of moisture stress imposed at flowering on morpho-physiological and yield-related traits in fenugreek, while </w:t>
      </w:r>
      <w:proofErr w:type="spellStart"/>
      <w:r w:rsidRPr="001D7CE0">
        <w:rPr>
          <w:rFonts w:ascii="Times New Roman" w:eastAsia="Times New Roman" w:hAnsi="Times New Roman" w:cs="Times New Roman"/>
          <w:kern w:val="0"/>
          <w:sz w:val="24"/>
          <w:szCs w:val="24"/>
          <w:lang w:eastAsia="en-IN"/>
          <w14:ligatures w14:val="none"/>
        </w:rPr>
        <w:t>Dadrasan</w:t>
      </w:r>
      <w:proofErr w:type="spellEnd"/>
      <w:r w:rsidRPr="001D7CE0">
        <w:rPr>
          <w:rFonts w:ascii="Times New Roman" w:eastAsia="Times New Roman" w:hAnsi="Times New Roman" w:cs="Times New Roman"/>
          <w:kern w:val="0"/>
          <w:sz w:val="24"/>
          <w:szCs w:val="24"/>
          <w:lang w:eastAsia="en-IN"/>
          <w14:ligatures w14:val="none"/>
        </w:rPr>
        <w:t xml:space="preserve"> et al. (2015) demonstrated that deficit irrigation substantially reduced fenugreek seed yield. </w:t>
      </w:r>
      <w:proofErr w:type="spellStart"/>
      <w:r w:rsidRPr="001D7CE0">
        <w:rPr>
          <w:rFonts w:ascii="Times New Roman" w:eastAsia="Times New Roman" w:hAnsi="Times New Roman" w:cs="Times New Roman"/>
          <w:kern w:val="0"/>
          <w:sz w:val="24"/>
          <w:szCs w:val="24"/>
          <w:lang w:eastAsia="en-IN"/>
          <w14:ligatures w14:val="none"/>
        </w:rPr>
        <w:t>Ghosaliya</w:t>
      </w:r>
      <w:proofErr w:type="spellEnd"/>
      <w:r w:rsidRPr="001D7CE0">
        <w:rPr>
          <w:rFonts w:ascii="Times New Roman" w:eastAsia="Times New Roman" w:hAnsi="Times New Roman" w:cs="Times New Roman"/>
          <w:kern w:val="0"/>
          <w:sz w:val="24"/>
          <w:szCs w:val="24"/>
          <w:lang w:eastAsia="en-IN"/>
          <w14:ligatures w14:val="none"/>
        </w:rPr>
        <w:t xml:space="preserve"> et al. (2024) also observed significant effects of water stress on seed characteristics and yield in fenugreek genotypes. These reports support the present observation that although all twelve genotypes experienced yield reduction under moisture stress, the magnitude of reduction varied among genotypes. Such variability provides an opportunity for selection and utilization of relatively better-performing genotypes in breeding programmes targeted toward moisture-limited environments.</w:t>
      </w:r>
      <w:r>
        <w:rPr>
          <w:rFonts w:ascii="Times New Roman" w:eastAsia="Times New Roman" w:hAnsi="Times New Roman" w:cs="Times New Roman"/>
          <w:kern w:val="0"/>
          <w:sz w:val="24"/>
          <w:szCs w:val="24"/>
          <w:lang w:eastAsia="en-IN"/>
          <w14:ligatures w14:val="none"/>
        </w:rPr>
        <w:t xml:space="preserve"> T</w:t>
      </w:r>
      <w:r w:rsidRPr="001D7CE0">
        <w:rPr>
          <w:rFonts w:ascii="Times New Roman" w:eastAsia="Times New Roman" w:hAnsi="Times New Roman" w:cs="Times New Roman"/>
          <w:kern w:val="0"/>
          <w:sz w:val="24"/>
          <w:szCs w:val="24"/>
          <w:lang w:eastAsia="en-IN"/>
          <w14:ligatures w14:val="none"/>
        </w:rPr>
        <w:t xml:space="preserve">he combined interpretation of seed yield, yield reduction and stress tolerance indices identified AFG-4 and RMT-303 as comparatively promising genotypes in the present set of materials. AFG-4 combined the highest productivity under both environments with the highest MP, STI and GMP values, whereas RMT-303 combined high yield with the lowest yield reduction and SSI. Azad </w:t>
      </w:r>
      <w:proofErr w:type="spellStart"/>
      <w:r w:rsidRPr="001D7CE0">
        <w:rPr>
          <w:rFonts w:ascii="Times New Roman" w:eastAsia="Times New Roman" w:hAnsi="Times New Roman" w:cs="Times New Roman"/>
          <w:kern w:val="0"/>
          <w:sz w:val="24"/>
          <w:szCs w:val="24"/>
          <w:lang w:eastAsia="en-IN"/>
          <w14:ligatures w14:val="none"/>
        </w:rPr>
        <w:t>Metni</w:t>
      </w:r>
      <w:proofErr w:type="spellEnd"/>
      <w:r w:rsidRPr="001D7CE0">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lastRenderedPageBreak/>
        <w:t xml:space="preserve">Hisar Mukta and HM-9 also showed comparatively </w:t>
      </w:r>
      <w:proofErr w:type="spellStart"/>
      <w:r w:rsidRPr="001D7CE0">
        <w:rPr>
          <w:rFonts w:ascii="Times New Roman" w:eastAsia="Times New Roman" w:hAnsi="Times New Roman" w:cs="Times New Roman"/>
          <w:kern w:val="0"/>
          <w:sz w:val="24"/>
          <w:szCs w:val="24"/>
          <w:lang w:eastAsia="en-IN"/>
          <w14:ligatures w14:val="none"/>
        </w:rPr>
        <w:t>favorable</w:t>
      </w:r>
      <w:proofErr w:type="spellEnd"/>
      <w:r w:rsidRPr="001D7CE0">
        <w:rPr>
          <w:rFonts w:ascii="Times New Roman" w:eastAsia="Times New Roman" w:hAnsi="Times New Roman" w:cs="Times New Roman"/>
          <w:kern w:val="0"/>
          <w:sz w:val="24"/>
          <w:szCs w:val="24"/>
          <w:lang w:eastAsia="en-IN"/>
          <w14:ligatures w14:val="none"/>
        </w:rPr>
        <w:t xml:space="preserve"> values for several parameters and may therefore be considered useful candidates for further evaluation. Similar approaches combining yield performance with multiple stress indices have been successfully used in fenugreek and other crops for identifying genotypes with desirable performance under contrasting moisture regimes. However, drought or moisture-stress tolerance is a complex trait and may be influenced by stress intensity, timing, environmental conditions and genotype × environment interaction. Therefore, the genotypes identified in the present study should be regarded as comparatively promising rather than conclusively drought-tolerant until their performance is validated across multiple environments, seasons and stress intensities.</w:t>
      </w:r>
    </w:p>
    <w:p w14:paraId="1AF0FDA3"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D7CE0">
        <w:rPr>
          <w:rFonts w:ascii="Times New Roman" w:eastAsia="Times New Roman" w:hAnsi="Times New Roman" w:cs="Times New Roman"/>
          <w:b/>
          <w:bCs/>
          <w:kern w:val="0"/>
          <w:sz w:val="24"/>
          <w:szCs w:val="24"/>
          <w:lang w:eastAsia="en-IN"/>
          <w14:ligatures w14:val="none"/>
        </w:rPr>
        <w:t>Conclusion</w:t>
      </w:r>
    </w:p>
    <w:p w14:paraId="1EB09264" w14:textId="56652259" w:rsidR="001D33ED"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7CE0">
        <w:rPr>
          <w:rFonts w:ascii="Times New Roman" w:eastAsia="Times New Roman" w:hAnsi="Times New Roman" w:cs="Times New Roman"/>
          <w:kern w:val="0"/>
          <w:sz w:val="24"/>
          <w:szCs w:val="24"/>
          <w:lang w:eastAsia="en-IN"/>
          <w14:ligatures w14:val="none"/>
        </w:rPr>
        <w:t>The present investigation demonstrated considerable variability among twelve fenugreek genotypes for seed yield under non-stress and moisture-stress conditions. Moisture stress reduced seed yield in all genotypes, but the extent of reduction varied considerably.</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b/>
          <w:bCs/>
          <w:kern w:val="0"/>
          <w:sz w:val="24"/>
          <w:szCs w:val="24"/>
          <w:lang w:eastAsia="en-IN"/>
          <w14:ligatures w14:val="none"/>
        </w:rPr>
        <w:t>AFG-4</w:t>
      </w:r>
      <w:r w:rsidRPr="001D7CE0">
        <w:rPr>
          <w:rFonts w:ascii="Times New Roman" w:eastAsia="Times New Roman" w:hAnsi="Times New Roman" w:cs="Times New Roman"/>
          <w:kern w:val="0"/>
          <w:sz w:val="24"/>
          <w:szCs w:val="24"/>
          <w:lang w:eastAsia="en-IN"/>
          <w14:ligatures w14:val="none"/>
        </w:rPr>
        <w:t xml:space="preserve"> recorded the highest seed yield under both non-stress and moisture-stress conditions and also recorded the highest MP, STI and GMP. </w:t>
      </w:r>
      <w:r w:rsidRPr="001D7CE0">
        <w:rPr>
          <w:rFonts w:ascii="Times New Roman" w:eastAsia="Times New Roman" w:hAnsi="Times New Roman" w:cs="Times New Roman"/>
          <w:b/>
          <w:bCs/>
          <w:kern w:val="0"/>
          <w:sz w:val="24"/>
          <w:szCs w:val="24"/>
          <w:lang w:eastAsia="en-IN"/>
          <w14:ligatures w14:val="none"/>
        </w:rPr>
        <w:t>RMT-303</w:t>
      </w:r>
      <w:r w:rsidRPr="001D7CE0">
        <w:rPr>
          <w:rFonts w:ascii="Times New Roman" w:eastAsia="Times New Roman" w:hAnsi="Times New Roman" w:cs="Times New Roman"/>
          <w:kern w:val="0"/>
          <w:sz w:val="24"/>
          <w:szCs w:val="24"/>
          <w:lang w:eastAsia="en-IN"/>
          <w14:ligatures w14:val="none"/>
        </w:rPr>
        <w:t xml:space="preserve"> showed the minimum percentage reduction in seed yield and the lowest SSI, along with favourable MP, STI and GMP values. Therefore, </w:t>
      </w:r>
      <w:r w:rsidRPr="001D7CE0">
        <w:rPr>
          <w:rFonts w:ascii="Times New Roman" w:eastAsia="Times New Roman" w:hAnsi="Times New Roman" w:cs="Times New Roman"/>
          <w:b/>
          <w:bCs/>
          <w:kern w:val="0"/>
          <w:sz w:val="24"/>
          <w:szCs w:val="24"/>
          <w:lang w:eastAsia="en-IN"/>
          <w14:ligatures w14:val="none"/>
        </w:rPr>
        <w:t>AFG-4 and RMT-303 were identified as comparatively promising genotypes</w:t>
      </w:r>
      <w:r w:rsidRPr="001D7CE0">
        <w:rPr>
          <w:rFonts w:ascii="Times New Roman" w:eastAsia="Times New Roman" w:hAnsi="Times New Roman" w:cs="Times New Roman"/>
          <w:kern w:val="0"/>
          <w:sz w:val="24"/>
          <w:szCs w:val="24"/>
          <w:lang w:eastAsia="en-IN"/>
          <w14:ligatures w14:val="none"/>
        </w:rPr>
        <w:t xml:space="preserve">, followed by </w:t>
      </w:r>
      <w:r w:rsidRPr="001D7CE0">
        <w:rPr>
          <w:rFonts w:ascii="Times New Roman" w:eastAsia="Times New Roman" w:hAnsi="Times New Roman" w:cs="Times New Roman"/>
          <w:b/>
          <w:bCs/>
          <w:kern w:val="0"/>
          <w:sz w:val="24"/>
          <w:szCs w:val="24"/>
          <w:lang w:eastAsia="en-IN"/>
          <w14:ligatures w14:val="none"/>
        </w:rPr>
        <w:t>Azad Metni, Hisar Mukta and HM-9</w:t>
      </w:r>
      <w:r w:rsidRPr="001D7CE0">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These genotypes may be considered as potential genetic material for further evaluation under different levels of moisture stress and across environments. Their consistent performance, if confirmed through multi-environment testing, could be useful in breeding programmes aimed at improving moisture stress tolerance and yield stability in fenugreek.</w:t>
      </w:r>
    </w:p>
    <w:p w14:paraId="5D67EF72" w14:textId="77777777" w:rsidR="001D33ED" w:rsidRPr="001D33ED" w:rsidRDefault="001D33ED" w:rsidP="001D33ED">
      <w:pPr>
        <w:shd w:val="clear" w:color="auto" w:fill="FFFFFF"/>
        <w:spacing w:after="0" w:line="240" w:lineRule="auto"/>
        <w:rPr>
          <w:rFonts w:ascii="Arial" w:eastAsia="Times New Roman" w:hAnsi="Arial" w:cs="Arial"/>
          <w:color w:val="222222"/>
          <w:kern w:val="0"/>
          <w:sz w:val="24"/>
          <w:szCs w:val="24"/>
          <w:lang w:eastAsia="en-IN"/>
          <w14:ligatures w14:val="none"/>
        </w:rPr>
      </w:pPr>
      <w:bookmarkStart w:id="0" w:name="_Hlk232854992"/>
      <w:bookmarkStart w:id="1" w:name="_Hlk238909442"/>
      <w:bookmarkStart w:id="2" w:name="_Hlk237857116"/>
      <w:bookmarkStart w:id="3" w:name="_Hlk240540980"/>
      <w:bookmarkStart w:id="4" w:name="_Hlk240284289"/>
    </w:p>
    <w:p w14:paraId="7759D415" w14:textId="77777777" w:rsidR="001D33ED" w:rsidRPr="001D33ED" w:rsidRDefault="001D33ED" w:rsidP="001D33ED">
      <w:pPr>
        <w:spacing w:after="0" w:line="240" w:lineRule="auto"/>
        <w:rPr>
          <w:rFonts w:ascii="Arial" w:eastAsia="Calibri" w:hAnsi="Arial" w:cs="Arial"/>
          <w:b/>
          <w:kern w:val="0"/>
          <w:sz w:val="20"/>
          <w:szCs w:val="20"/>
          <w:lang w:val="en-US"/>
          <w14:ligatures w14:val="none"/>
        </w:rPr>
      </w:pPr>
      <w:bookmarkStart w:id="5" w:name="_Hlk238550938"/>
      <w:bookmarkStart w:id="6" w:name="_Hlk237856463"/>
      <w:bookmarkEnd w:id="0"/>
      <w:bookmarkEnd w:id="1"/>
      <w:bookmarkEnd w:id="2"/>
      <w:r w:rsidRPr="001D33ED">
        <w:rPr>
          <w:rFonts w:ascii="Arial" w:eastAsia="Calibri" w:hAnsi="Arial" w:cs="Arial"/>
          <w:b/>
          <w:kern w:val="0"/>
          <w:sz w:val="20"/>
          <w:szCs w:val="20"/>
          <w:lang w:val="en-US"/>
          <w14:ligatures w14:val="none"/>
        </w:rPr>
        <w:t>Declaration of AI Use</w:t>
      </w:r>
    </w:p>
    <w:p w14:paraId="4C2A2A81" w14:textId="77777777" w:rsidR="001D33ED" w:rsidRPr="001D33ED" w:rsidRDefault="001D33ED" w:rsidP="001D33ED">
      <w:pPr>
        <w:spacing w:after="0" w:line="240" w:lineRule="auto"/>
        <w:rPr>
          <w:rFonts w:ascii="Arial" w:eastAsia="Calibri" w:hAnsi="Arial" w:cs="Arial"/>
          <w:kern w:val="0"/>
          <w:sz w:val="20"/>
          <w:szCs w:val="20"/>
          <w:lang w:val="en-US"/>
          <w14:ligatures w14:val="none"/>
        </w:rPr>
      </w:pPr>
      <w:bookmarkStart w:id="7" w:name="_Hlk239068730"/>
    </w:p>
    <w:p w14:paraId="7732D0DE" w14:textId="00E3915E" w:rsidR="001D33ED" w:rsidRPr="00070AED" w:rsidRDefault="001D33ED" w:rsidP="00070AED">
      <w:pPr>
        <w:spacing w:after="0" w:line="240" w:lineRule="auto"/>
        <w:rPr>
          <w:rFonts w:ascii="Arial" w:eastAsia="Calibri" w:hAnsi="Arial" w:cs="Arial"/>
          <w:kern w:val="0"/>
          <w:sz w:val="20"/>
          <w:szCs w:val="20"/>
          <w:lang w:val="en-US"/>
          <w14:ligatures w14:val="none"/>
        </w:rPr>
      </w:pPr>
      <w:bookmarkStart w:id="8" w:name="_Hlk237862032"/>
      <w:r w:rsidRPr="001D33ED">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1D33ED">
        <w:rPr>
          <w:rFonts w:ascii="Arial" w:eastAsia="Calibri" w:hAnsi="Arial" w:cs="Arial"/>
          <w:kern w:val="0"/>
          <w:sz w:val="20"/>
          <w:szCs w:val="20"/>
          <w:lang w:val="en-US"/>
          <w14:ligatures w14:val="none"/>
        </w:rPr>
        <w:t>.</w:t>
      </w:r>
      <w:bookmarkEnd w:id="4"/>
      <w:bookmarkEnd w:id="6"/>
      <w:bookmarkEnd w:id="7"/>
      <w:bookmarkEnd w:id="8"/>
    </w:p>
    <w:p w14:paraId="2632CD13" w14:textId="132CC3C9" w:rsidR="00052C5A" w:rsidRPr="009B4F12" w:rsidRDefault="00123EEC" w:rsidP="00052C5A">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23EEC">
        <w:rPr>
          <w:rFonts w:ascii="Times New Roman" w:eastAsia="Times New Roman" w:hAnsi="Times New Roman" w:cs="Times New Roman"/>
          <w:b/>
          <w:bCs/>
          <w:kern w:val="0"/>
          <w:sz w:val="24"/>
          <w:szCs w:val="24"/>
          <w:lang w:eastAsia="en-IN"/>
          <w14:ligatures w14:val="none"/>
        </w:rPr>
        <w:t>References</w:t>
      </w:r>
      <w:r w:rsidR="00052C5A">
        <w:rPr>
          <w:rFonts w:ascii="Times New Roman" w:eastAsia="Times New Roman" w:hAnsi="Times New Roman" w:cs="Times New Roman"/>
          <w:kern w:val="0"/>
          <w:sz w:val="24"/>
          <w:szCs w:val="24"/>
          <w:lang w:eastAsia="en-IN"/>
          <w14:ligatures w14:val="none"/>
        </w:rPr>
        <w:t xml:space="preserve">                              </w:t>
      </w:r>
    </w:p>
    <w:p w14:paraId="2877D1A9" w14:textId="30E45C23" w:rsidR="001D7CE0" w:rsidRPr="001D7CE0" w:rsidRDefault="001D7CE0" w:rsidP="00123EEC">
      <w:pPr>
        <w:pStyle w:val="ListParagraph"/>
        <w:numPr>
          <w:ilvl w:val="0"/>
          <w:numId w:val="2"/>
        </w:numPr>
      </w:pPr>
      <w:proofErr w:type="spellStart"/>
      <w:r w:rsidRPr="00123EEC">
        <w:rPr>
          <w:b/>
          <w:bCs/>
        </w:rPr>
        <w:t>Ahari</w:t>
      </w:r>
      <w:proofErr w:type="spellEnd"/>
      <w:r w:rsidRPr="00123EEC">
        <w:rPr>
          <w:b/>
          <w:bCs/>
        </w:rPr>
        <w:t xml:space="preserve">, D.S., Kashi, A.K., </w:t>
      </w:r>
      <w:proofErr w:type="spellStart"/>
      <w:r w:rsidRPr="00123EEC">
        <w:rPr>
          <w:b/>
          <w:bCs/>
        </w:rPr>
        <w:t>Hassandokht</w:t>
      </w:r>
      <w:proofErr w:type="spellEnd"/>
      <w:r w:rsidRPr="00123EEC">
        <w:rPr>
          <w:b/>
          <w:bCs/>
        </w:rPr>
        <w:t>, M.R., Amri, A. and Alizadeh, K. (2009).</w:t>
      </w:r>
      <w:r w:rsidRPr="001D7CE0">
        <w:t xml:space="preserve"> Assessment of drought tolerance in Iranian fenugreek landraces. </w:t>
      </w:r>
      <w:r w:rsidRPr="00123EEC">
        <w:rPr>
          <w:i/>
          <w:iCs/>
        </w:rPr>
        <w:t>Journal of Food, Agriculture &amp; Environment</w:t>
      </w:r>
      <w:r w:rsidRPr="001D7CE0">
        <w:t xml:space="preserve">, </w:t>
      </w:r>
      <w:r w:rsidRPr="00123EEC">
        <w:rPr>
          <w:b/>
          <w:bCs/>
        </w:rPr>
        <w:t>7(3–4): 414–419</w:t>
      </w:r>
      <w:r w:rsidRPr="001D7CE0">
        <w:t xml:space="preserve">. </w:t>
      </w:r>
    </w:p>
    <w:p w14:paraId="17B31AC3" w14:textId="26900FFC" w:rsidR="001D7CE0" w:rsidRPr="001D7CE0" w:rsidRDefault="001D7CE0" w:rsidP="00123EEC">
      <w:pPr>
        <w:pStyle w:val="ListParagraph"/>
        <w:numPr>
          <w:ilvl w:val="0"/>
          <w:numId w:val="2"/>
        </w:numPr>
      </w:pPr>
      <w:r w:rsidRPr="001D7CE0">
        <w:t xml:space="preserve"> </w:t>
      </w:r>
      <w:r w:rsidRPr="00123EEC">
        <w:rPr>
          <w:b/>
          <w:bCs/>
        </w:rPr>
        <w:t xml:space="preserve">Choudhary, M., </w:t>
      </w:r>
      <w:proofErr w:type="spellStart"/>
      <w:r w:rsidRPr="00123EEC">
        <w:rPr>
          <w:b/>
          <w:bCs/>
        </w:rPr>
        <w:t>Gothwal</w:t>
      </w:r>
      <w:proofErr w:type="spellEnd"/>
      <w:r w:rsidRPr="00123EEC">
        <w:rPr>
          <w:b/>
          <w:bCs/>
        </w:rPr>
        <w:t>, D.K., Kumawat, K.R., Kumawat, R.N. and Yadav, P.K. (2017).</w:t>
      </w:r>
      <w:r w:rsidRPr="001D7CE0">
        <w:t xml:space="preserve"> Evaluation of moisture stress tolerance indices for the selection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Journal of Pharmacognosy and Phytochemistry</w:t>
      </w:r>
      <w:r w:rsidRPr="001D7CE0">
        <w:t xml:space="preserve">, </w:t>
      </w:r>
      <w:r w:rsidRPr="00123EEC">
        <w:rPr>
          <w:b/>
          <w:bCs/>
        </w:rPr>
        <w:t>6: 1452–1457</w:t>
      </w:r>
      <w:r w:rsidRPr="001D7CE0">
        <w:t xml:space="preserve">. </w:t>
      </w:r>
    </w:p>
    <w:p w14:paraId="4D166090" w14:textId="1E9ADB51" w:rsidR="001D7CE0" w:rsidRPr="001D7CE0" w:rsidRDefault="001D7CE0" w:rsidP="00123EEC">
      <w:pPr>
        <w:pStyle w:val="ListParagraph"/>
        <w:numPr>
          <w:ilvl w:val="0"/>
          <w:numId w:val="2"/>
        </w:numPr>
      </w:pPr>
      <w:r w:rsidRPr="001D7CE0">
        <w:t xml:space="preserve"> </w:t>
      </w:r>
      <w:r w:rsidRPr="00123EEC">
        <w:rPr>
          <w:b/>
          <w:bCs/>
        </w:rPr>
        <w:t xml:space="preserve">Choudhary, M., Kumar, O., </w:t>
      </w:r>
      <w:proofErr w:type="spellStart"/>
      <w:r w:rsidRPr="00123EEC">
        <w:rPr>
          <w:b/>
          <w:bCs/>
        </w:rPr>
        <w:t>Gothwal</w:t>
      </w:r>
      <w:proofErr w:type="spellEnd"/>
      <w:r w:rsidRPr="00123EEC">
        <w:rPr>
          <w:b/>
          <w:bCs/>
        </w:rPr>
        <w:t xml:space="preserve">, D.K., </w:t>
      </w:r>
      <w:proofErr w:type="spellStart"/>
      <w:r w:rsidRPr="00123EEC">
        <w:rPr>
          <w:b/>
          <w:bCs/>
        </w:rPr>
        <w:t>Bajya</w:t>
      </w:r>
      <w:proofErr w:type="spellEnd"/>
      <w:r w:rsidRPr="00123EEC">
        <w:rPr>
          <w:b/>
          <w:bCs/>
        </w:rPr>
        <w:t xml:space="preserve">, M., </w:t>
      </w:r>
      <w:proofErr w:type="spellStart"/>
      <w:r w:rsidRPr="00123EEC">
        <w:rPr>
          <w:b/>
          <w:bCs/>
        </w:rPr>
        <w:t>Dadrwal</w:t>
      </w:r>
      <w:proofErr w:type="spellEnd"/>
      <w:r w:rsidRPr="00123EEC">
        <w:rPr>
          <w:b/>
          <w:bCs/>
        </w:rPr>
        <w:t>, B.K. and Singh, V.P. (2022).</w:t>
      </w:r>
      <w:r w:rsidRPr="001D7CE0">
        <w:t xml:space="preserve"> Assessment of multiple tolerance indices for moisture stress in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w:t>
      </w:r>
      <w:r w:rsidRPr="00123EEC">
        <w:rPr>
          <w:i/>
          <w:iCs/>
        </w:rPr>
        <w:t>Legume Research</w:t>
      </w:r>
      <w:r w:rsidRPr="001D7CE0">
        <w:t xml:space="preserve">, </w:t>
      </w:r>
      <w:r w:rsidRPr="00123EEC">
        <w:rPr>
          <w:b/>
          <w:bCs/>
        </w:rPr>
        <w:t>45(10): 1287–1294</w:t>
      </w:r>
      <w:r w:rsidRPr="001D7CE0">
        <w:t xml:space="preserve">. DOI: </w:t>
      </w:r>
      <w:r w:rsidRPr="00123EEC">
        <w:rPr>
          <w:b/>
          <w:bCs/>
        </w:rPr>
        <w:t>10.18805/LR-4939</w:t>
      </w:r>
      <w:r w:rsidRPr="001D7CE0">
        <w:t xml:space="preserve">. </w:t>
      </w:r>
    </w:p>
    <w:p w14:paraId="6E835737" w14:textId="6F6BB6A1" w:rsidR="001D7CE0" w:rsidRPr="001D7CE0" w:rsidRDefault="001D7CE0" w:rsidP="00123EEC">
      <w:pPr>
        <w:pStyle w:val="ListParagraph"/>
        <w:numPr>
          <w:ilvl w:val="0"/>
          <w:numId w:val="2"/>
        </w:numPr>
      </w:pPr>
      <w:r w:rsidRPr="00123EEC">
        <w:rPr>
          <w:b/>
          <w:bCs/>
        </w:rPr>
        <w:t>Singh, B. and Rajpoot, V. (2022).</w:t>
      </w:r>
      <w:r w:rsidRPr="001D7CE0">
        <w:t xml:space="preserve"> Evaluation of drought tolerance indices for selection of high yielding fenugreek genotypes under moisture regimes. </w:t>
      </w:r>
      <w:r w:rsidRPr="00123EEC">
        <w:rPr>
          <w:i/>
          <w:iCs/>
        </w:rPr>
        <w:t>Indian Journal of Ecology</w:t>
      </w:r>
      <w:r w:rsidRPr="001D7CE0">
        <w:t xml:space="preserve">, </w:t>
      </w:r>
      <w:r w:rsidRPr="00123EEC">
        <w:rPr>
          <w:b/>
          <w:bCs/>
        </w:rPr>
        <w:t>49(2): 470–476</w:t>
      </w:r>
      <w:r w:rsidRPr="001D7CE0">
        <w:t xml:space="preserve">. </w:t>
      </w:r>
    </w:p>
    <w:p w14:paraId="3FB5D031" w14:textId="48B4D5F4" w:rsidR="001D7CE0" w:rsidRPr="001D7CE0" w:rsidRDefault="001D7CE0" w:rsidP="00123EEC">
      <w:pPr>
        <w:pStyle w:val="ListParagraph"/>
        <w:numPr>
          <w:ilvl w:val="0"/>
          <w:numId w:val="2"/>
        </w:numPr>
      </w:pPr>
      <w:r w:rsidRPr="001D7CE0">
        <w:lastRenderedPageBreak/>
        <w:t xml:space="preserve">  </w:t>
      </w:r>
      <w:r w:rsidRPr="00123EEC">
        <w:rPr>
          <w:b/>
          <w:bCs/>
        </w:rPr>
        <w:t xml:space="preserve">Harisha, C.B., Basavaraj, P.S., </w:t>
      </w:r>
      <w:proofErr w:type="spellStart"/>
      <w:r w:rsidRPr="00123EEC">
        <w:rPr>
          <w:b/>
          <w:bCs/>
        </w:rPr>
        <w:t>Boraiah</w:t>
      </w:r>
      <w:proofErr w:type="spellEnd"/>
      <w:r w:rsidRPr="00123EEC">
        <w:rPr>
          <w:b/>
          <w:bCs/>
        </w:rPr>
        <w:t>, K.M. and Halli, H.M. (2024).</w:t>
      </w:r>
      <w:r w:rsidRPr="001D7CE0">
        <w:t xml:space="preserve"> Selection of moisture stress tolerant fenugreek varieties using stress indices. </w:t>
      </w:r>
      <w:proofErr w:type="spellStart"/>
      <w:r w:rsidRPr="00123EEC">
        <w:rPr>
          <w:i/>
          <w:iCs/>
        </w:rPr>
        <w:t>Vegetos</w:t>
      </w:r>
      <w:proofErr w:type="spellEnd"/>
      <w:r w:rsidRPr="001D7CE0">
        <w:t xml:space="preserve">, </w:t>
      </w:r>
      <w:r w:rsidRPr="00123EEC">
        <w:rPr>
          <w:b/>
          <w:bCs/>
        </w:rPr>
        <w:t>37(3): 1038–1044</w:t>
      </w:r>
      <w:r w:rsidRPr="001D7CE0">
        <w:t xml:space="preserve">. </w:t>
      </w:r>
    </w:p>
    <w:p w14:paraId="3D00C157" w14:textId="38C5DA1F" w:rsidR="001D7CE0" w:rsidRPr="001D7CE0" w:rsidRDefault="001D7CE0" w:rsidP="00123EEC">
      <w:pPr>
        <w:pStyle w:val="ListParagraph"/>
        <w:numPr>
          <w:ilvl w:val="0"/>
          <w:numId w:val="2"/>
        </w:numPr>
      </w:pPr>
      <w:r w:rsidRPr="001D7CE0">
        <w:t xml:space="preserve"> </w:t>
      </w:r>
      <w:r w:rsidRPr="00123EEC">
        <w:rPr>
          <w:b/>
          <w:bCs/>
        </w:rPr>
        <w:t>Saxena, S.N., Kakani, R.K., Sharma, L.K., Agarwal, D., John, S. and Sharma, Y. (2019).</w:t>
      </w:r>
      <w:r w:rsidRPr="001D7CE0">
        <w:t xml:space="preserve"> Effect of water stress on morpho-physiological parameters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Legume Research</w:t>
      </w:r>
      <w:r w:rsidRPr="001D7CE0">
        <w:t xml:space="preserve">, </w:t>
      </w:r>
      <w:r w:rsidRPr="00123EEC">
        <w:rPr>
          <w:b/>
          <w:bCs/>
        </w:rPr>
        <w:t>42(1): 60–65</w:t>
      </w:r>
      <w:r w:rsidRPr="001D7CE0">
        <w:t xml:space="preserve">. </w:t>
      </w:r>
    </w:p>
    <w:p w14:paraId="610602C4" w14:textId="15FF0DFB" w:rsidR="001D7CE0" w:rsidRPr="001D7CE0" w:rsidRDefault="001D7CE0" w:rsidP="00123EEC">
      <w:pPr>
        <w:pStyle w:val="ListParagraph"/>
        <w:numPr>
          <w:ilvl w:val="0"/>
          <w:numId w:val="2"/>
        </w:numPr>
      </w:pPr>
      <w:r w:rsidRPr="001D7CE0">
        <w:t xml:space="preserve">  </w:t>
      </w:r>
      <w:r w:rsidRPr="00123EEC">
        <w:rPr>
          <w:b/>
          <w:bCs/>
        </w:rPr>
        <w:t>Saxena, S.N., Kakani, R.K., Sharma, L.K., Agarwal, D., John, S. and Sharma, Y. (2017).</w:t>
      </w:r>
      <w:r w:rsidRPr="001D7CE0">
        <w:t xml:space="preserve"> Genetic variation in seed quality and fatty acid composition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grown under limited moisture conditions. </w:t>
      </w:r>
      <w:r w:rsidRPr="00123EEC">
        <w:rPr>
          <w:i/>
          <w:iCs/>
        </w:rPr>
        <w:t xml:space="preserve">Acta </w:t>
      </w:r>
      <w:proofErr w:type="spellStart"/>
      <w:r w:rsidRPr="00123EEC">
        <w:rPr>
          <w:i/>
          <w:iCs/>
        </w:rPr>
        <w:t>Physiologiae</w:t>
      </w:r>
      <w:proofErr w:type="spellEnd"/>
      <w:r w:rsidRPr="00123EEC">
        <w:rPr>
          <w:i/>
          <w:iCs/>
        </w:rPr>
        <w:t xml:space="preserve"> Plantarum</w:t>
      </w:r>
      <w:r w:rsidRPr="001D7CE0">
        <w:t xml:space="preserve">, </w:t>
      </w:r>
      <w:r w:rsidRPr="00123EEC">
        <w:rPr>
          <w:b/>
          <w:bCs/>
        </w:rPr>
        <w:t>39: 226</w:t>
      </w:r>
      <w:r w:rsidRPr="001D7CE0">
        <w:t xml:space="preserve">. </w:t>
      </w:r>
    </w:p>
    <w:p w14:paraId="3EA50314" w14:textId="4CEA7EA8" w:rsidR="001D7CE0" w:rsidRPr="001D7CE0" w:rsidRDefault="001D7CE0" w:rsidP="00123EEC">
      <w:pPr>
        <w:pStyle w:val="ListParagraph"/>
        <w:numPr>
          <w:ilvl w:val="0"/>
          <w:numId w:val="2"/>
        </w:numPr>
      </w:pPr>
      <w:r w:rsidRPr="001D7CE0">
        <w:t xml:space="preserve"> </w:t>
      </w:r>
      <w:proofErr w:type="spellStart"/>
      <w:r w:rsidRPr="00123EEC">
        <w:rPr>
          <w:b/>
          <w:bCs/>
        </w:rPr>
        <w:t>Dadrasan</w:t>
      </w:r>
      <w:proofErr w:type="spellEnd"/>
      <w:r w:rsidRPr="00123EEC">
        <w:rPr>
          <w:b/>
          <w:bCs/>
        </w:rPr>
        <w:t xml:space="preserve">, M., </w:t>
      </w:r>
      <w:proofErr w:type="spellStart"/>
      <w:r w:rsidRPr="00123EEC">
        <w:rPr>
          <w:b/>
          <w:bCs/>
        </w:rPr>
        <w:t>Chaichi</w:t>
      </w:r>
      <w:proofErr w:type="spellEnd"/>
      <w:r w:rsidRPr="00123EEC">
        <w:rPr>
          <w:b/>
          <w:bCs/>
        </w:rPr>
        <w:t>, M.R., Pourbabaee, A.A., Yazdani, D. and Keshavarz-Afshar, R. (2015).</w:t>
      </w:r>
      <w:r w:rsidRPr="001D7CE0">
        <w:t xml:space="preserve"> Deficit irrigation and biological fertilizer influence on yield and trigonelline production of fenugreek. </w:t>
      </w:r>
      <w:r w:rsidRPr="00123EEC">
        <w:rPr>
          <w:i/>
          <w:iCs/>
        </w:rPr>
        <w:t>Industrial Crops and Products</w:t>
      </w:r>
      <w:r w:rsidRPr="001D7CE0">
        <w:t xml:space="preserve">, </w:t>
      </w:r>
      <w:r w:rsidRPr="00123EEC">
        <w:rPr>
          <w:b/>
          <w:bCs/>
        </w:rPr>
        <w:t>77: 156–162</w:t>
      </w:r>
      <w:r w:rsidRPr="001D7CE0">
        <w:t xml:space="preserve">. </w:t>
      </w:r>
    </w:p>
    <w:p w14:paraId="5B73E2FE" w14:textId="6B20F2B8" w:rsidR="001D7CE0" w:rsidRPr="001D7CE0" w:rsidRDefault="001D7CE0" w:rsidP="00123EEC">
      <w:pPr>
        <w:pStyle w:val="ListParagraph"/>
        <w:numPr>
          <w:ilvl w:val="0"/>
          <w:numId w:val="2"/>
        </w:numPr>
      </w:pPr>
      <w:r w:rsidRPr="001D7CE0">
        <w:t xml:space="preserve"> </w:t>
      </w:r>
      <w:proofErr w:type="spellStart"/>
      <w:r w:rsidRPr="00123EEC">
        <w:rPr>
          <w:b/>
          <w:bCs/>
        </w:rPr>
        <w:t>Ghosaliya</w:t>
      </w:r>
      <w:proofErr w:type="spellEnd"/>
      <w:r w:rsidRPr="00123EEC">
        <w:rPr>
          <w:b/>
          <w:bCs/>
        </w:rPr>
        <w:t xml:space="preserve">, B.K., Mittal, G.K., </w:t>
      </w:r>
      <w:proofErr w:type="spellStart"/>
      <w:r w:rsidRPr="00123EEC">
        <w:rPr>
          <w:b/>
          <w:bCs/>
        </w:rPr>
        <w:t>Shivran</w:t>
      </w:r>
      <w:proofErr w:type="spellEnd"/>
      <w:r w:rsidRPr="00123EEC">
        <w:rPr>
          <w:b/>
          <w:bCs/>
        </w:rPr>
        <w:t>, A.C., Sharma, S.K., Saxena, S.N. and Jain, S.K. (2024).</w:t>
      </w:r>
      <w:r w:rsidRPr="001D7CE0">
        <w:t xml:space="preserve"> Water stress induced changes in seed quality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Legume Research</w:t>
      </w:r>
      <w:r w:rsidRPr="001D7CE0">
        <w:t xml:space="preserve">, </w:t>
      </w:r>
      <w:r w:rsidRPr="00123EEC">
        <w:rPr>
          <w:b/>
          <w:bCs/>
        </w:rPr>
        <w:t>47(1): 20–26</w:t>
      </w:r>
      <w:r w:rsidRPr="001D7CE0">
        <w:t xml:space="preserve">. </w:t>
      </w:r>
    </w:p>
    <w:p w14:paraId="07D8041E" w14:textId="4E777035" w:rsidR="001D7CE0" w:rsidRPr="001D7CE0" w:rsidRDefault="001D7CE0" w:rsidP="00123EEC">
      <w:pPr>
        <w:pStyle w:val="ListParagraph"/>
        <w:numPr>
          <w:ilvl w:val="0"/>
          <w:numId w:val="2"/>
        </w:numPr>
      </w:pPr>
      <w:r w:rsidRPr="001D7CE0">
        <w:t xml:space="preserve"> </w:t>
      </w:r>
      <w:r w:rsidRPr="00123EEC">
        <w:rPr>
          <w:b/>
          <w:bCs/>
        </w:rPr>
        <w:t xml:space="preserve">Chauhan, J., Singhal, R.K., </w:t>
      </w:r>
      <w:proofErr w:type="spellStart"/>
      <w:r w:rsidRPr="00123EEC">
        <w:rPr>
          <w:b/>
          <w:bCs/>
        </w:rPr>
        <w:t>Kakralya</w:t>
      </w:r>
      <w:proofErr w:type="spellEnd"/>
      <w:r w:rsidRPr="00123EEC">
        <w:rPr>
          <w:b/>
          <w:bCs/>
        </w:rPr>
        <w:t xml:space="preserve">, B.L., Kumar, S. and </w:t>
      </w:r>
      <w:proofErr w:type="spellStart"/>
      <w:r w:rsidRPr="00123EEC">
        <w:rPr>
          <w:b/>
          <w:bCs/>
        </w:rPr>
        <w:t>Sodani</w:t>
      </w:r>
      <w:proofErr w:type="spellEnd"/>
      <w:r w:rsidRPr="00123EEC">
        <w:rPr>
          <w:b/>
          <w:bCs/>
        </w:rPr>
        <w:t>, R. (2017).</w:t>
      </w:r>
      <w:r w:rsidRPr="001D7CE0">
        <w:t xml:space="preserve"> Evaluation of yield and yield attributes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genotypes under drought conditions. </w:t>
      </w:r>
      <w:r w:rsidRPr="00123EEC">
        <w:rPr>
          <w:i/>
          <w:iCs/>
        </w:rPr>
        <w:t>International Journal of Pure and Applied Bioscience</w:t>
      </w:r>
      <w:r w:rsidRPr="001D7CE0">
        <w:t xml:space="preserve">, </w:t>
      </w:r>
      <w:r w:rsidRPr="00123EEC">
        <w:rPr>
          <w:b/>
          <w:bCs/>
        </w:rPr>
        <w:t>5(3): 477–484</w:t>
      </w:r>
      <w:r w:rsidRPr="001D7CE0">
        <w:t xml:space="preserve">. </w:t>
      </w:r>
    </w:p>
    <w:p w14:paraId="05229E36" w14:textId="3839B7C8" w:rsidR="001D7CE0" w:rsidRPr="001D7CE0" w:rsidRDefault="001D7CE0" w:rsidP="00123EEC">
      <w:pPr>
        <w:pStyle w:val="ListParagraph"/>
        <w:numPr>
          <w:ilvl w:val="0"/>
          <w:numId w:val="2"/>
        </w:numPr>
      </w:pPr>
      <w:r w:rsidRPr="001D7CE0">
        <w:t xml:space="preserve"> </w:t>
      </w:r>
      <w:r w:rsidRPr="00123EEC">
        <w:rPr>
          <w:b/>
          <w:bCs/>
        </w:rPr>
        <w:t>El-</w:t>
      </w:r>
      <w:proofErr w:type="spellStart"/>
      <w:r w:rsidRPr="00123EEC">
        <w:rPr>
          <w:b/>
          <w:bCs/>
        </w:rPr>
        <w:t>Hendawy</w:t>
      </w:r>
      <w:proofErr w:type="spellEnd"/>
      <w:r w:rsidRPr="00123EEC">
        <w:rPr>
          <w:b/>
          <w:bCs/>
        </w:rPr>
        <w:t>, S., Al-</w:t>
      </w:r>
      <w:proofErr w:type="spellStart"/>
      <w:r w:rsidRPr="00123EEC">
        <w:rPr>
          <w:b/>
          <w:bCs/>
        </w:rPr>
        <w:t>Suhaibani</w:t>
      </w:r>
      <w:proofErr w:type="spellEnd"/>
      <w:r w:rsidRPr="00123EEC">
        <w:rPr>
          <w:b/>
          <w:bCs/>
        </w:rPr>
        <w:t xml:space="preserve">, N., Hassan, W., Tahir, H.A., Rehman, H., Abd El-Hafez, A.G. and </w:t>
      </w:r>
      <w:proofErr w:type="spellStart"/>
      <w:r w:rsidRPr="00123EEC">
        <w:rPr>
          <w:b/>
          <w:bCs/>
        </w:rPr>
        <w:t>Schmidhalter</w:t>
      </w:r>
      <w:proofErr w:type="spellEnd"/>
      <w:r w:rsidRPr="00123EEC">
        <w:rPr>
          <w:b/>
          <w:bCs/>
        </w:rPr>
        <w:t>, U. (2021).</w:t>
      </w:r>
      <w:r w:rsidRPr="001D7CE0">
        <w:t xml:space="preserve"> Genotypic variation in biochemical and physiological responses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landraces to prolonged drought stress and subsequent rewatering. </w:t>
      </w:r>
      <w:r w:rsidRPr="00123EEC">
        <w:rPr>
          <w:i/>
          <w:iCs/>
        </w:rPr>
        <w:t xml:space="preserve">Scientia </w:t>
      </w:r>
      <w:proofErr w:type="spellStart"/>
      <w:r w:rsidRPr="00123EEC">
        <w:rPr>
          <w:i/>
          <w:iCs/>
        </w:rPr>
        <w:t>Horticulturae</w:t>
      </w:r>
      <w:proofErr w:type="spellEnd"/>
      <w:r w:rsidRPr="001D7CE0">
        <w:t xml:space="preserve">, </w:t>
      </w:r>
      <w:r w:rsidRPr="00123EEC">
        <w:rPr>
          <w:b/>
          <w:bCs/>
        </w:rPr>
        <w:t>287: 110</w:t>
      </w:r>
      <w:r w:rsidR="00123EEC">
        <w:rPr>
          <w:b/>
          <w:bCs/>
        </w:rPr>
        <w:t>-</w:t>
      </w:r>
      <w:r w:rsidRPr="00123EEC">
        <w:rPr>
          <w:b/>
          <w:bCs/>
        </w:rPr>
        <w:t>224</w:t>
      </w:r>
      <w:r w:rsidR="00123EEC">
        <w:rPr>
          <w:b/>
          <w:bCs/>
        </w:rPr>
        <w:t>.</w:t>
      </w:r>
    </w:p>
    <w:p w14:paraId="1C1C30A5" w14:textId="7456112B" w:rsidR="001D7CE0" w:rsidRPr="001D7CE0" w:rsidRDefault="001D7CE0" w:rsidP="00123EEC">
      <w:pPr>
        <w:pStyle w:val="ListParagraph"/>
        <w:numPr>
          <w:ilvl w:val="0"/>
          <w:numId w:val="2"/>
        </w:numPr>
      </w:pPr>
      <w:r w:rsidRPr="001D7CE0">
        <w:t xml:space="preserve"> </w:t>
      </w:r>
      <w:r w:rsidRPr="00123EEC">
        <w:rPr>
          <w:b/>
          <w:bCs/>
        </w:rPr>
        <w:t>Fischer, R.A. and Maurer, R. (1978).</w:t>
      </w:r>
      <w:r w:rsidRPr="001D7CE0">
        <w:t xml:space="preserve"> Drought resistance in spring wheat cultivars. I. Grain yield responses. </w:t>
      </w:r>
      <w:r w:rsidRPr="00123EEC">
        <w:rPr>
          <w:i/>
          <w:iCs/>
        </w:rPr>
        <w:t>Australian Journal of Agricultural Research</w:t>
      </w:r>
      <w:r w:rsidRPr="001D7CE0">
        <w:t xml:space="preserve">, </w:t>
      </w:r>
      <w:r w:rsidRPr="00123EEC">
        <w:rPr>
          <w:b/>
          <w:bCs/>
        </w:rPr>
        <w:t>29(5): 897–912</w:t>
      </w:r>
    </w:p>
    <w:p w14:paraId="0082F82C" w14:textId="50A97DA9" w:rsidR="001D7CE0" w:rsidRPr="001D7CE0" w:rsidRDefault="001D7CE0" w:rsidP="00123EEC">
      <w:pPr>
        <w:pStyle w:val="ListParagraph"/>
        <w:numPr>
          <w:ilvl w:val="0"/>
          <w:numId w:val="2"/>
        </w:numPr>
      </w:pPr>
      <w:r w:rsidRPr="001D7CE0">
        <w:t xml:space="preserve"> </w:t>
      </w:r>
      <w:proofErr w:type="spellStart"/>
      <w:r w:rsidRPr="00123EEC">
        <w:rPr>
          <w:b/>
          <w:bCs/>
        </w:rPr>
        <w:t>Rosielle</w:t>
      </w:r>
      <w:proofErr w:type="spellEnd"/>
      <w:r w:rsidRPr="00123EEC">
        <w:rPr>
          <w:b/>
          <w:bCs/>
        </w:rPr>
        <w:t>, A.A. and Hamblin, J. (1981).</w:t>
      </w:r>
      <w:r w:rsidRPr="001D7CE0">
        <w:t xml:space="preserve"> Theoretical aspects of selection for yield in stress and non-stress environments. </w:t>
      </w:r>
      <w:r w:rsidRPr="00123EEC">
        <w:rPr>
          <w:i/>
          <w:iCs/>
        </w:rPr>
        <w:t>Crop Science</w:t>
      </w:r>
      <w:r w:rsidRPr="001D7CE0">
        <w:t xml:space="preserve">, </w:t>
      </w:r>
      <w:r w:rsidRPr="00123EEC">
        <w:rPr>
          <w:b/>
          <w:bCs/>
        </w:rPr>
        <w:t>21(6): 943–946</w:t>
      </w:r>
      <w:r w:rsidRPr="001D7CE0">
        <w:t xml:space="preserve">. </w:t>
      </w:r>
    </w:p>
    <w:p w14:paraId="3B775560" w14:textId="6DAEA3CA" w:rsidR="001D7CE0" w:rsidRPr="001D7CE0" w:rsidRDefault="001D7CE0" w:rsidP="00123EEC">
      <w:pPr>
        <w:pStyle w:val="ListParagraph"/>
        <w:numPr>
          <w:ilvl w:val="0"/>
          <w:numId w:val="2"/>
        </w:numPr>
      </w:pPr>
      <w:r w:rsidRPr="001D7CE0">
        <w:t xml:space="preserve"> </w:t>
      </w:r>
      <w:r w:rsidRPr="00123EEC">
        <w:rPr>
          <w:b/>
          <w:bCs/>
        </w:rPr>
        <w:t>Fernandez, G.C.J. (1992).</w:t>
      </w:r>
      <w:r w:rsidRPr="001D7CE0">
        <w:t xml:space="preserve"> Effective selection criteria for assessing plant stress tolerance. In: Kuo, C.G. (Ed.), </w:t>
      </w:r>
      <w:r w:rsidRPr="00123EEC">
        <w:rPr>
          <w:i/>
          <w:iCs/>
        </w:rPr>
        <w:t>Adaptation of Food Crops to Temperature and Water Stress</w:t>
      </w:r>
      <w:r w:rsidRPr="001D7CE0">
        <w:t xml:space="preserve">. </w:t>
      </w:r>
      <w:proofErr w:type="spellStart"/>
      <w:r w:rsidRPr="001D7CE0">
        <w:t>Shanhua</w:t>
      </w:r>
      <w:proofErr w:type="spellEnd"/>
      <w:r w:rsidRPr="001D7CE0">
        <w:t xml:space="preserve">, Taiwan: Asian Vegetable Research and Development </w:t>
      </w:r>
      <w:proofErr w:type="spellStart"/>
      <w:r w:rsidRPr="001D7CE0">
        <w:t>Center</w:t>
      </w:r>
      <w:proofErr w:type="spellEnd"/>
      <w:r w:rsidRPr="001D7CE0">
        <w:t xml:space="preserve">, pp. </w:t>
      </w:r>
      <w:r w:rsidRPr="00123EEC">
        <w:rPr>
          <w:b/>
          <w:bCs/>
        </w:rPr>
        <w:t>257–270</w:t>
      </w:r>
      <w:r w:rsidRPr="001D7CE0">
        <w:t xml:space="preserve">. </w:t>
      </w:r>
    </w:p>
    <w:p w14:paraId="6C130FDA" w14:textId="2D97D43B" w:rsidR="001D7CE0" w:rsidRPr="001D7CE0" w:rsidRDefault="001D7CE0" w:rsidP="00123EEC">
      <w:pPr>
        <w:pStyle w:val="ListParagraph"/>
        <w:numPr>
          <w:ilvl w:val="0"/>
          <w:numId w:val="2"/>
        </w:numPr>
      </w:pPr>
      <w:r w:rsidRPr="001D7CE0">
        <w:t xml:space="preserve"> </w:t>
      </w:r>
      <w:proofErr w:type="spellStart"/>
      <w:r w:rsidRPr="00123EEC">
        <w:rPr>
          <w:b/>
          <w:bCs/>
        </w:rPr>
        <w:t>Golabadi</w:t>
      </w:r>
      <w:proofErr w:type="spellEnd"/>
      <w:r w:rsidRPr="00123EEC">
        <w:rPr>
          <w:b/>
          <w:bCs/>
        </w:rPr>
        <w:t xml:space="preserve">, M., Arzani, A. and </w:t>
      </w:r>
      <w:proofErr w:type="spellStart"/>
      <w:r w:rsidRPr="00123EEC">
        <w:rPr>
          <w:b/>
          <w:bCs/>
        </w:rPr>
        <w:t>Maibody</w:t>
      </w:r>
      <w:proofErr w:type="spellEnd"/>
      <w:r w:rsidRPr="00123EEC">
        <w:rPr>
          <w:b/>
          <w:bCs/>
        </w:rPr>
        <w:t>, S.A.M. (2006).</w:t>
      </w:r>
      <w:r w:rsidRPr="001D7CE0">
        <w:t xml:space="preserve"> Assessment of drought tolerance in segregating populations in durum wheat. </w:t>
      </w:r>
      <w:r w:rsidRPr="00123EEC">
        <w:rPr>
          <w:i/>
          <w:iCs/>
        </w:rPr>
        <w:t>African Journal of Agricultural Research</w:t>
      </w:r>
      <w:r w:rsidRPr="001D7CE0">
        <w:t xml:space="preserve">, </w:t>
      </w:r>
      <w:r w:rsidRPr="00123EEC">
        <w:rPr>
          <w:b/>
          <w:bCs/>
        </w:rPr>
        <w:t>1(5): 162–171</w:t>
      </w:r>
      <w:r w:rsidRPr="001D7CE0">
        <w:t xml:space="preserve">. </w:t>
      </w:r>
    </w:p>
    <w:p w14:paraId="32540A8B" w14:textId="248DADBC" w:rsidR="001D7CE0" w:rsidRPr="001D7CE0" w:rsidRDefault="001D7CE0" w:rsidP="00123EEC">
      <w:pPr>
        <w:pStyle w:val="ListParagraph"/>
        <w:numPr>
          <w:ilvl w:val="0"/>
          <w:numId w:val="2"/>
        </w:numPr>
      </w:pPr>
      <w:r w:rsidRPr="00123EEC">
        <w:rPr>
          <w:b/>
          <w:bCs/>
        </w:rPr>
        <w:t>Clarke, J.M., DePauw, R.M. and Townley-Smith, T.M. (1992).</w:t>
      </w:r>
      <w:r w:rsidRPr="001D7CE0">
        <w:t xml:space="preserve"> Evaluation of methods for quantification of drought tolerance in wheat. </w:t>
      </w:r>
      <w:r w:rsidRPr="00123EEC">
        <w:rPr>
          <w:i/>
          <w:iCs/>
        </w:rPr>
        <w:t>Crop Science</w:t>
      </w:r>
      <w:r w:rsidRPr="001D7CE0">
        <w:t xml:space="preserve">, </w:t>
      </w:r>
      <w:r w:rsidRPr="00123EEC">
        <w:rPr>
          <w:b/>
          <w:bCs/>
        </w:rPr>
        <w:t>32: 728–732</w:t>
      </w:r>
      <w:r w:rsidRPr="001D7CE0">
        <w:t xml:space="preserve">. </w:t>
      </w:r>
    </w:p>
    <w:p w14:paraId="5D254325" w14:textId="073910ED" w:rsidR="001D7CE0" w:rsidRPr="001D7CE0" w:rsidRDefault="001D7CE0" w:rsidP="00123EEC">
      <w:pPr>
        <w:pStyle w:val="ListParagraph"/>
        <w:numPr>
          <w:ilvl w:val="0"/>
          <w:numId w:val="2"/>
        </w:numPr>
      </w:pPr>
      <w:r w:rsidRPr="001D7CE0">
        <w:t xml:space="preserve">  </w:t>
      </w:r>
      <w:proofErr w:type="spellStart"/>
      <w:r w:rsidRPr="00123EEC">
        <w:rPr>
          <w:b/>
          <w:bCs/>
        </w:rPr>
        <w:t>Bouslama</w:t>
      </w:r>
      <w:proofErr w:type="spellEnd"/>
      <w:r w:rsidRPr="00123EEC">
        <w:rPr>
          <w:b/>
          <w:bCs/>
        </w:rPr>
        <w:t xml:space="preserve">, M. and </w:t>
      </w:r>
      <w:proofErr w:type="spellStart"/>
      <w:r w:rsidRPr="00123EEC">
        <w:rPr>
          <w:b/>
          <w:bCs/>
        </w:rPr>
        <w:t>Schapaugh</w:t>
      </w:r>
      <w:proofErr w:type="spellEnd"/>
      <w:r w:rsidRPr="00123EEC">
        <w:rPr>
          <w:b/>
          <w:bCs/>
        </w:rPr>
        <w:t>, W.T. (1984).</w:t>
      </w:r>
      <w:r w:rsidRPr="001D7CE0">
        <w:t xml:space="preserve"> Stress tolerance in soybean. Part 1: Evaluation of three screening techniques for heat and drought tolerance. </w:t>
      </w:r>
      <w:r w:rsidRPr="00123EEC">
        <w:rPr>
          <w:i/>
          <w:iCs/>
        </w:rPr>
        <w:t>Crop Science</w:t>
      </w:r>
      <w:r w:rsidRPr="001D7CE0">
        <w:t xml:space="preserve">, </w:t>
      </w:r>
      <w:r w:rsidRPr="00123EEC">
        <w:rPr>
          <w:b/>
          <w:bCs/>
        </w:rPr>
        <w:t>24: 933–937</w:t>
      </w:r>
      <w:r w:rsidRPr="001D7CE0">
        <w:t xml:space="preserve">. </w:t>
      </w:r>
    </w:p>
    <w:p w14:paraId="798DDBAC" w14:textId="1D0E1B8D" w:rsidR="001D7CE0" w:rsidRPr="001D7CE0" w:rsidRDefault="001D7CE0" w:rsidP="00123EEC">
      <w:pPr>
        <w:pStyle w:val="ListParagraph"/>
        <w:numPr>
          <w:ilvl w:val="0"/>
          <w:numId w:val="2"/>
        </w:numPr>
      </w:pPr>
      <w:r w:rsidRPr="00123EEC">
        <w:rPr>
          <w:b/>
          <w:bCs/>
        </w:rPr>
        <w:t>Mitra, J. (2001).</w:t>
      </w:r>
      <w:r w:rsidRPr="001D7CE0">
        <w:t xml:space="preserve"> Genetics and genetic improvement of drought resistance in crop plants. </w:t>
      </w:r>
      <w:r w:rsidRPr="00123EEC">
        <w:rPr>
          <w:i/>
          <w:iCs/>
        </w:rPr>
        <w:t>Current Science</w:t>
      </w:r>
      <w:r w:rsidRPr="001D7CE0">
        <w:t xml:space="preserve">, </w:t>
      </w:r>
      <w:r w:rsidRPr="00123EEC">
        <w:rPr>
          <w:b/>
          <w:bCs/>
        </w:rPr>
        <w:t>80(6): 758–763</w:t>
      </w:r>
      <w:r w:rsidRPr="001D7CE0">
        <w:t xml:space="preserve">. </w:t>
      </w:r>
    </w:p>
    <w:p w14:paraId="523151A4" w14:textId="1FF98BC1" w:rsidR="001D7CE0" w:rsidRPr="001D7CE0" w:rsidRDefault="001D7CE0" w:rsidP="00123EEC">
      <w:pPr>
        <w:pStyle w:val="ListParagraph"/>
        <w:numPr>
          <w:ilvl w:val="0"/>
          <w:numId w:val="2"/>
        </w:numPr>
      </w:pPr>
      <w:r w:rsidRPr="001D7CE0">
        <w:t xml:space="preserve"> </w:t>
      </w:r>
      <w:r w:rsidRPr="00123EEC">
        <w:rPr>
          <w:b/>
          <w:bCs/>
        </w:rPr>
        <w:t>Blum, A. (2009).</w:t>
      </w:r>
      <w:r w:rsidRPr="001D7CE0">
        <w:t xml:space="preserve"> Effective use of water (EUW) and not water-use efficiency (WUE) is the target of crop yield improvement under drought stress. </w:t>
      </w:r>
      <w:r w:rsidRPr="00123EEC">
        <w:rPr>
          <w:i/>
          <w:iCs/>
        </w:rPr>
        <w:t>Field Crops Research</w:t>
      </w:r>
      <w:r w:rsidRPr="001D7CE0">
        <w:t xml:space="preserve">, </w:t>
      </w:r>
      <w:r w:rsidRPr="00123EEC">
        <w:rPr>
          <w:b/>
          <w:bCs/>
        </w:rPr>
        <w:t>112: 119–123</w:t>
      </w:r>
      <w:r w:rsidRPr="001D7CE0">
        <w:t xml:space="preserve">. </w:t>
      </w:r>
    </w:p>
    <w:p w14:paraId="4915D9AB" w14:textId="277CA0C1" w:rsidR="001D7CE0" w:rsidRPr="001D7CE0" w:rsidRDefault="00123EEC" w:rsidP="00123EEC">
      <w:pPr>
        <w:pStyle w:val="ListParagraph"/>
        <w:numPr>
          <w:ilvl w:val="0"/>
          <w:numId w:val="2"/>
        </w:numPr>
      </w:pPr>
      <w:r>
        <w:t xml:space="preserve"> </w:t>
      </w:r>
      <w:r w:rsidR="001D7CE0" w:rsidRPr="001D7CE0">
        <w:t xml:space="preserve"> </w:t>
      </w:r>
      <w:proofErr w:type="spellStart"/>
      <w:r w:rsidR="001D7CE0" w:rsidRPr="00123EEC">
        <w:rPr>
          <w:b/>
          <w:bCs/>
        </w:rPr>
        <w:t>Farshadfar</w:t>
      </w:r>
      <w:proofErr w:type="spellEnd"/>
      <w:r w:rsidR="001D7CE0" w:rsidRPr="00123EEC">
        <w:rPr>
          <w:b/>
          <w:bCs/>
        </w:rPr>
        <w:t xml:space="preserve">, E., Mohammadi, R., </w:t>
      </w:r>
      <w:proofErr w:type="spellStart"/>
      <w:r w:rsidR="001D7CE0" w:rsidRPr="00123EEC">
        <w:rPr>
          <w:b/>
          <w:bCs/>
        </w:rPr>
        <w:t>Farshadfar</w:t>
      </w:r>
      <w:proofErr w:type="spellEnd"/>
      <w:r w:rsidR="001D7CE0" w:rsidRPr="00123EEC">
        <w:rPr>
          <w:b/>
          <w:bCs/>
        </w:rPr>
        <w:t>, M. and Dabiri, S. (2013).</w:t>
      </w:r>
      <w:r w:rsidR="001D7CE0" w:rsidRPr="001D7CE0">
        <w:t xml:space="preserve"> Relationships and repeatability of drought tolerance indices in wheat-rye disomic addition lines. </w:t>
      </w:r>
      <w:r w:rsidR="001D7CE0" w:rsidRPr="00123EEC">
        <w:rPr>
          <w:i/>
          <w:iCs/>
        </w:rPr>
        <w:t>Australian Journal of Crop Science</w:t>
      </w:r>
      <w:r w:rsidR="001D7CE0" w:rsidRPr="001D7CE0">
        <w:t xml:space="preserve">, </w:t>
      </w:r>
      <w:r w:rsidR="001D7CE0" w:rsidRPr="00123EEC">
        <w:rPr>
          <w:b/>
          <w:bCs/>
        </w:rPr>
        <w:t>7(1): 130–138</w:t>
      </w:r>
      <w:r w:rsidR="001D7CE0" w:rsidRPr="001D7CE0">
        <w:t xml:space="preserve">. </w:t>
      </w:r>
    </w:p>
    <w:p w14:paraId="664C4DD6" w14:textId="59047052" w:rsidR="001D7CE0" w:rsidRPr="001D7CE0" w:rsidRDefault="001D7CE0" w:rsidP="00123EEC">
      <w:pPr>
        <w:pStyle w:val="ListParagraph"/>
        <w:numPr>
          <w:ilvl w:val="0"/>
          <w:numId w:val="2"/>
        </w:numPr>
      </w:pPr>
      <w:proofErr w:type="spellStart"/>
      <w:r w:rsidRPr="00123EEC">
        <w:rPr>
          <w:b/>
          <w:bCs/>
        </w:rPr>
        <w:t>Farshadfar</w:t>
      </w:r>
      <w:proofErr w:type="spellEnd"/>
      <w:r w:rsidRPr="00123EEC">
        <w:rPr>
          <w:b/>
          <w:bCs/>
        </w:rPr>
        <w:t xml:space="preserve">, E., Pour </w:t>
      </w:r>
      <w:proofErr w:type="spellStart"/>
      <w:r w:rsidRPr="00123EEC">
        <w:rPr>
          <w:b/>
          <w:bCs/>
        </w:rPr>
        <w:t>Siahbidi</w:t>
      </w:r>
      <w:proofErr w:type="spellEnd"/>
      <w:r w:rsidRPr="00123EEC">
        <w:rPr>
          <w:b/>
          <w:bCs/>
        </w:rPr>
        <w:t>, M.M. and Pour, A.B. (2012).</w:t>
      </w:r>
      <w:r w:rsidRPr="001D7CE0">
        <w:t xml:space="preserve"> Repeatability of drought tolerance indices in bread wheat genotypes. </w:t>
      </w:r>
      <w:r w:rsidRPr="00123EEC">
        <w:rPr>
          <w:i/>
          <w:iCs/>
        </w:rPr>
        <w:t>International Journal of Agriculture and Crop Sciences</w:t>
      </w:r>
      <w:r w:rsidRPr="001D7CE0">
        <w:t xml:space="preserve">, </w:t>
      </w:r>
      <w:r w:rsidRPr="00123EEC">
        <w:rPr>
          <w:b/>
          <w:bCs/>
        </w:rPr>
        <w:t>4(13): 891–903</w:t>
      </w:r>
      <w:r w:rsidRPr="001D7CE0">
        <w:t xml:space="preserve">. </w:t>
      </w:r>
    </w:p>
    <w:p w14:paraId="1852E6FB" w14:textId="567C00C7" w:rsidR="001D7CE0" w:rsidRPr="001D7CE0" w:rsidRDefault="001D7CE0" w:rsidP="00707120">
      <w:pPr>
        <w:pStyle w:val="ListParagraph"/>
        <w:numPr>
          <w:ilvl w:val="0"/>
          <w:numId w:val="2"/>
        </w:numPr>
      </w:pPr>
      <w:r w:rsidRPr="001D7CE0">
        <w:lastRenderedPageBreak/>
        <w:t xml:space="preserve">  </w:t>
      </w:r>
      <w:proofErr w:type="spellStart"/>
      <w:r w:rsidRPr="00707120">
        <w:rPr>
          <w:b/>
          <w:bCs/>
        </w:rPr>
        <w:t>Farshadfar</w:t>
      </w:r>
      <w:proofErr w:type="spellEnd"/>
      <w:r w:rsidRPr="00707120">
        <w:rPr>
          <w:b/>
          <w:bCs/>
        </w:rPr>
        <w:t xml:space="preserve">, E. and </w:t>
      </w:r>
      <w:proofErr w:type="spellStart"/>
      <w:r w:rsidRPr="00707120">
        <w:rPr>
          <w:b/>
          <w:bCs/>
        </w:rPr>
        <w:t>Elyasi</w:t>
      </w:r>
      <w:proofErr w:type="spellEnd"/>
      <w:r w:rsidRPr="00707120">
        <w:rPr>
          <w:b/>
          <w:bCs/>
        </w:rPr>
        <w:t>, P. (2012).</w:t>
      </w:r>
      <w:r w:rsidRPr="001D7CE0">
        <w:t xml:space="preserve"> Screening quantitative indicators of drought tolerance in bread wheat (</w:t>
      </w:r>
      <w:r w:rsidRPr="00707120">
        <w:rPr>
          <w:i/>
          <w:iCs/>
        </w:rPr>
        <w:t>Triticum aestivum</w:t>
      </w:r>
      <w:r w:rsidRPr="001D7CE0">
        <w:t xml:space="preserve"> L.) landraces. </w:t>
      </w:r>
      <w:r w:rsidRPr="00707120">
        <w:rPr>
          <w:i/>
          <w:iCs/>
        </w:rPr>
        <w:t>European Journal of Experimental Biology</w:t>
      </w:r>
      <w:r w:rsidRPr="001D7CE0">
        <w:t xml:space="preserve">, </w:t>
      </w:r>
      <w:r w:rsidRPr="00707120">
        <w:rPr>
          <w:b/>
          <w:bCs/>
        </w:rPr>
        <w:t>2(3): 577–584</w:t>
      </w:r>
      <w:r w:rsidRPr="001D7CE0">
        <w:t xml:space="preserve">. </w:t>
      </w:r>
    </w:p>
    <w:p w14:paraId="3F73F5AA" w14:textId="5E2D488B" w:rsidR="001D7CE0" w:rsidRPr="001D7CE0" w:rsidRDefault="001D7CE0" w:rsidP="00707120">
      <w:pPr>
        <w:pStyle w:val="ListParagraph"/>
        <w:numPr>
          <w:ilvl w:val="0"/>
          <w:numId w:val="2"/>
        </w:numPr>
      </w:pPr>
      <w:r w:rsidRPr="001D7CE0">
        <w:t xml:space="preserve"> </w:t>
      </w:r>
      <w:proofErr w:type="spellStart"/>
      <w:r w:rsidRPr="00707120">
        <w:rPr>
          <w:b/>
          <w:bCs/>
        </w:rPr>
        <w:t>Farshadfar</w:t>
      </w:r>
      <w:proofErr w:type="spellEnd"/>
      <w:r w:rsidRPr="00707120">
        <w:rPr>
          <w:b/>
          <w:bCs/>
        </w:rPr>
        <w:t>, E. and Sutka, J. (2002).</w:t>
      </w:r>
      <w:r w:rsidRPr="001D7CE0">
        <w:t xml:space="preserve"> Multivariate analysis of drought tolerance in wheat substitution lines. </w:t>
      </w:r>
      <w:r w:rsidRPr="00707120">
        <w:rPr>
          <w:i/>
          <w:iCs/>
        </w:rPr>
        <w:t>Cereal Research Communications</w:t>
      </w:r>
      <w:r w:rsidRPr="001D7CE0">
        <w:t xml:space="preserve">, </w:t>
      </w:r>
      <w:r w:rsidRPr="00707120">
        <w:rPr>
          <w:b/>
          <w:bCs/>
        </w:rPr>
        <w:t>31: 33–39</w:t>
      </w:r>
      <w:r w:rsidRPr="001D7CE0">
        <w:t xml:space="preserve">. </w:t>
      </w:r>
    </w:p>
    <w:p w14:paraId="5EA4435D" w14:textId="0A915E07" w:rsidR="001D7CE0" w:rsidRPr="001D7CE0" w:rsidRDefault="001D7CE0" w:rsidP="00707120">
      <w:pPr>
        <w:pStyle w:val="ListParagraph"/>
        <w:numPr>
          <w:ilvl w:val="0"/>
          <w:numId w:val="2"/>
        </w:numPr>
      </w:pPr>
      <w:r w:rsidRPr="001D7CE0">
        <w:t xml:space="preserve"> </w:t>
      </w:r>
      <w:proofErr w:type="spellStart"/>
      <w:r w:rsidRPr="00707120">
        <w:rPr>
          <w:b/>
          <w:bCs/>
        </w:rPr>
        <w:t>Siahsar</w:t>
      </w:r>
      <w:proofErr w:type="spellEnd"/>
      <w:r w:rsidRPr="00707120">
        <w:rPr>
          <w:b/>
          <w:bCs/>
        </w:rPr>
        <w:t xml:space="preserve">, B.A., </w:t>
      </w:r>
      <w:proofErr w:type="spellStart"/>
      <w:r w:rsidRPr="00707120">
        <w:rPr>
          <w:b/>
          <w:bCs/>
        </w:rPr>
        <w:t>Ganjali</w:t>
      </w:r>
      <w:proofErr w:type="spellEnd"/>
      <w:r w:rsidRPr="00707120">
        <w:rPr>
          <w:b/>
          <w:bCs/>
        </w:rPr>
        <w:t xml:space="preserve">, S. and </w:t>
      </w:r>
      <w:proofErr w:type="spellStart"/>
      <w:r w:rsidRPr="00707120">
        <w:rPr>
          <w:b/>
          <w:bCs/>
        </w:rPr>
        <w:t>Allahdoo</w:t>
      </w:r>
      <w:proofErr w:type="spellEnd"/>
      <w:r w:rsidRPr="00707120">
        <w:rPr>
          <w:b/>
          <w:bCs/>
        </w:rPr>
        <w:t>, M. (2010).</w:t>
      </w:r>
      <w:r w:rsidRPr="001D7CE0">
        <w:t xml:space="preserve"> Evaluation of drought tolerance indices and their relationship with grain yield of lentil lines in drought-stressed and irrigated environments. </w:t>
      </w:r>
      <w:r w:rsidRPr="00707120">
        <w:rPr>
          <w:i/>
          <w:iCs/>
        </w:rPr>
        <w:t>Australian Journal of Basic and Applied Sciences</w:t>
      </w:r>
      <w:r w:rsidRPr="001D7CE0">
        <w:t xml:space="preserve">, </w:t>
      </w:r>
      <w:r w:rsidRPr="00707120">
        <w:rPr>
          <w:b/>
          <w:bCs/>
        </w:rPr>
        <w:t>4(9): 4336–4346</w:t>
      </w:r>
      <w:r w:rsidRPr="001D7CE0">
        <w:t xml:space="preserve">. </w:t>
      </w:r>
    </w:p>
    <w:p w14:paraId="6658FC8D" w14:textId="3D080FFA" w:rsidR="00C479E0" w:rsidRDefault="001D7CE0" w:rsidP="00707120">
      <w:pPr>
        <w:pStyle w:val="ListParagraph"/>
        <w:numPr>
          <w:ilvl w:val="0"/>
          <w:numId w:val="2"/>
        </w:numPr>
      </w:pPr>
      <w:r w:rsidRPr="001D7CE0">
        <w:t xml:space="preserve">  </w:t>
      </w:r>
      <w:r w:rsidRPr="00707120">
        <w:rPr>
          <w:b/>
          <w:bCs/>
        </w:rPr>
        <w:t xml:space="preserve">Zia, S., Romano, G., Spreer, W., Sanchez, C., Cairns, J., </w:t>
      </w:r>
      <w:proofErr w:type="spellStart"/>
      <w:r w:rsidRPr="00707120">
        <w:rPr>
          <w:b/>
          <w:bCs/>
        </w:rPr>
        <w:t>Araus</w:t>
      </w:r>
      <w:proofErr w:type="spellEnd"/>
      <w:r w:rsidRPr="00707120">
        <w:rPr>
          <w:b/>
          <w:bCs/>
        </w:rPr>
        <w:t>, J.L. and Müller, J. (2013).</w:t>
      </w:r>
      <w:r w:rsidRPr="001D7CE0">
        <w:t xml:space="preserve"> Infrared thermal imaging as a rapid tool for identifying water-stress tolerant maize genotypes of different phenology. </w:t>
      </w:r>
      <w:r w:rsidRPr="00707120">
        <w:rPr>
          <w:i/>
          <w:iCs/>
        </w:rPr>
        <w:t>Journal of Agronomy and Crop Science</w:t>
      </w:r>
      <w:r w:rsidRPr="001D7CE0">
        <w:t xml:space="preserve">, </w:t>
      </w:r>
      <w:r w:rsidRPr="00707120">
        <w:rPr>
          <w:b/>
          <w:bCs/>
        </w:rPr>
        <w:t>199: 75–84</w:t>
      </w:r>
      <w:r w:rsidRPr="001D7CE0">
        <w:t>.</w:t>
      </w:r>
    </w:p>
    <w:sectPr w:rsidR="00C479E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1380" w14:textId="77777777" w:rsidR="00926A20" w:rsidRDefault="00926A20" w:rsidP="00BE341F">
      <w:pPr>
        <w:spacing w:after="0" w:line="240" w:lineRule="auto"/>
      </w:pPr>
      <w:r>
        <w:separator/>
      </w:r>
    </w:p>
  </w:endnote>
  <w:endnote w:type="continuationSeparator" w:id="0">
    <w:p w14:paraId="2E31CB4E" w14:textId="77777777" w:rsidR="00926A20" w:rsidRDefault="00926A20" w:rsidP="00BE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59D" w14:textId="77777777" w:rsidR="00BE341F" w:rsidRDefault="00BE3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F8AD" w14:textId="77777777" w:rsidR="00BE341F" w:rsidRDefault="00BE3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56EB" w14:textId="77777777" w:rsidR="00BE341F" w:rsidRDefault="00BE3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E139" w14:textId="77777777" w:rsidR="00926A20" w:rsidRDefault="00926A20" w:rsidP="00BE341F">
      <w:pPr>
        <w:spacing w:after="0" w:line="240" w:lineRule="auto"/>
      </w:pPr>
      <w:r>
        <w:separator/>
      </w:r>
    </w:p>
  </w:footnote>
  <w:footnote w:type="continuationSeparator" w:id="0">
    <w:p w14:paraId="05837DD7" w14:textId="77777777" w:rsidR="00926A20" w:rsidRDefault="00926A20" w:rsidP="00BE3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0E29" w14:textId="1E819F80" w:rsidR="00BE341F" w:rsidRDefault="00BE341F">
    <w:pPr>
      <w:pStyle w:val="Header"/>
    </w:pPr>
    <w:r>
      <w:rPr>
        <w:noProof/>
      </w:rPr>
      <w:pict w14:anchorId="1DC4B5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79039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6340" w14:textId="2C3BCB3C" w:rsidR="00BE341F" w:rsidRDefault="00BE341F">
    <w:pPr>
      <w:pStyle w:val="Header"/>
    </w:pPr>
    <w:r>
      <w:rPr>
        <w:noProof/>
      </w:rPr>
      <w:pict w14:anchorId="0D05A2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79039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8089" w14:textId="518472F2" w:rsidR="00BE341F" w:rsidRDefault="00BE341F">
    <w:pPr>
      <w:pStyle w:val="Header"/>
    </w:pPr>
    <w:r>
      <w:rPr>
        <w:noProof/>
      </w:rPr>
      <w:pict w14:anchorId="0E042E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479039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B5E"/>
    <w:multiLevelType w:val="hybridMultilevel"/>
    <w:tmpl w:val="A4FE3178"/>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1" w15:restartNumberingAfterBreak="0">
    <w:nsid w:val="76915EBF"/>
    <w:multiLevelType w:val="hybridMultilevel"/>
    <w:tmpl w:val="FFD08E54"/>
    <w:lvl w:ilvl="0" w:tplc="0862EB8C">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78431934">
    <w:abstractNumId w:val="0"/>
  </w:num>
  <w:num w:numId="2" w16cid:durableId="1387218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12"/>
    <w:rsid w:val="00052C5A"/>
    <w:rsid w:val="00070AED"/>
    <w:rsid w:val="000F6B4A"/>
    <w:rsid w:val="00123EEC"/>
    <w:rsid w:val="001C6A59"/>
    <w:rsid w:val="001D33ED"/>
    <w:rsid w:val="001D5CA4"/>
    <w:rsid w:val="001D7CE0"/>
    <w:rsid w:val="002F56CA"/>
    <w:rsid w:val="003547AB"/>
    <w:rsid w:val="00377663"/>
    <w:rsid w:val="004E0240"/>
    <w:rsid w:val="00707120"/>
    <w:rsid w:val="00783236"/>
    <w:rsid w:val="007F271F"/>
    <w:rsid w:val="00926A20"/>
    <w:rsid w:val="009B4F12"/>
    <w:rsid w:val="00A01997"/>
    <w:rsid w:val="00A45779"/>
    <w:rsid w:val="00AC3403"/>
    <w:rsid w:val="00B2278F"/>
    <w:rsid w:val="00BE341F"/>
    <w:rsid w:val="00C479E0"/>
    <w:rsid w:val="00D51F65"/>
    <w:rsid w:val="00EC6B62"/>
    <w:rsid w:val="00F94A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27641"/>
  <w15:chartTrackingRefBased/>
  <w15:docId w15:val="{F099713C-D6E9-46AB-B564-A0A1FA2B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F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4F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4F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4F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4F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4F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F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F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F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F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4F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4F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4F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4F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4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F12"/>
    <w:rPr>
      <w:rFonts w:eastAsiaTheme="majorEastAsia" w:cstheme="majorBidi"/>
      <w:color w:val="272727" w:themeColor="text1" w:themeTint="D8"/>
    </w:rPr>
  </w:style>
  <w:style w:type="paragraph" w:styleId="Title">
    <w:name w:val="Title"/>
    <w:basedOn w:val="Normal"/>
    <w:next w:val="Normal"/>
    <w:link w:val="TitleChar"/>
    <w:uiPriority w:val="10"/>
    <w:qFormat/>
    <w:rsid w:val="009B4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F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F12"/>
    <w:pPr>
      <w:spacing w:before="160"/>
      <w:jc w:val="center"/>
    </w:pPr>
    <w:rPr>
      <w:i/>
      <w:iCs/>
      <w:color w:val="404040" w:themeColor="text1" w:themeTint="BF"/>
    </w:rPr>
  </w:style>
  <w:style w:type="character" w:customStyle="1" w:styleId="QuoteChar">
    <w:name w:val="Quote Char"/>
    <w:basedOn w:val="DefaultParagraphFont"/>
    <w:link w:val="Quote"/>
    <w:uiPriority w:val="29"/>
    <w:rsid w:val="009B4F12"/>
    <w:rPr>
      <w:i/>
      <w:iCs/>
      <w:color w:val="404040" w:themeColor="text1" w:themeTint="BF"/>
    </w:rPr>
  </w:style>
  <w:style w:type="paragraph" w:styleId="ListParagraph">
    <w:name w:val="List Paragraph"/>
    <w:basedOn w:val="Normal"/>
    <w:uiPriority w:val="34"/>
    <w:qFormat/>
    <w:rsid w:val="009B4F12"/>
    <w:pPr>
      <w:ind w:left="720"/>
      <w:contextualSpacing/>
    </w:pPr>
  </w:style>
  <w:style w:type="character" w:styleId="IntenseEmphasis">
    <w:name w:val="Intense Emphasis"/>
    <w:basedOn w:val="DefaultParagraphFont"/>
    <w:uiPriority w:val="21"/>
    <w:qFormat/>
    <w:rsid w:val="009B4F12"/>
    <w:rPr>
      <w:i/>
      <w:iCs/>
      <w:color w:val="2F5496" w:themeColor="accent1" w:themeShade="BF"/>
    </w:rPr>
  </w:style>
  <w:style w:type="paragraph" w:styleId="IntenseQuote">
    <w:name w:val="Intense Quote"/>
    <w:basedOn w:val="Normal"/>
    <w:next w:val="Normal"/>
    <w:link w:val="IntenseQuoteChar"/>
    <w:uiPriority w:val="30"/>
    <w:qFormat/>
    <w:rsid w:val="009B4F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4F12"/>
    <w:rPr>
      <w:i/>
      <w:iCs/>
      <w:color w:val="2F5496" w:themeColor="accent1" w:themeShade="BF"/>
    </w:rPr>
  </w:style>
  <w:style w:type="character" w:styleId="IntenseReference">
    <w:name w:val="Intense Reference"/>
    <w:basedOn w:val="DefaultParagraphFont"/>
    <w:uiPriority w:val="32"/>
    <w:qFormat/>
    <w:rsid w:val="009B4F12"/>
    <w:rPr>
      <w:b/>
      <w:bCs/>
      <w:smallCaps/>
      <w:color w:val="2F5496" w:themeColor="accent1" w:themeShade="BF"/>
      <w:spacing w:val="5"/>
    </w:rPr>
  </w:style>
  <w:style w:type="character" w:customStyle="1" w:styleId="mord">
    <w:name w:val="mord"/>
    <w:basedOn w:val="DefaultParagraphFont"/>
    <w:rsid w:val="00052C5A"/>
  </w:style>
  <w:style w:type="character" w:customStyle="1" w:styleId="mrel">
    <w:name w:val="mrel"/>
    <w:basedOn w:val="DefaultParagraphFont"/>
    <w:rsid w:val="00052C5A"/>
  </w:style>
  <w:style w:type="character" w:styleId="PlaceholderText">
    <w:name w:val="Placeholder Text"/>
    <w:basedOn w:val="DefaultParagraphFont"/>
    <w:uiPriority w:val="99"/>
    <w:semiHidden/>
    <w:rsid w:val="001C6A59"/>
    <w:rPr>
      <w:color w:val="666666"/>
    </w:rPr>
  </w:style>
  <w:style w:type="character" w:styleId="Hyperlink">
    <w:name w:val="Hyperlink"/>
    <w:basedOn w:val="DefaultParagraphFont"/>
    <w:uiPriority w:val="99"/>
    <w:unhideWhenUsed/>
    <w:rsid w:val="00783236"/>
    <w:rPr>
      <w:color w:val="0563C1" w:themeColor="hyperlink"/>
      <w:u w:val="single"/>
    </w:rPr>
  </w:style>
  <w:style w:type="character" w:styleId="UnresolvedMention">
    <w:name w:val="Unresolved Mention"/>
    <w:basedOn w:val="DefaultParagraphFont"/>
    <w:uiPriority w:val="99"/>
    <w:semiHidden/>
    <w:unhideWhenUsed/>
    <w:rsid w:val="00783236"/>
    <w:rPr>
      <w:color w:val="605E5C"/>
      <w:shd w:val="clear" w:color="auto" w:fill="E1DFDD"/>
    </w:rPr>
  </w:style>
  <w:style w:type="paragraph" w:styleId="Header">
    <w:name w:val="header"/>
    <w:basedOn w:val="Normal"/>
    <w:link w:val="HeaderChar"/>
    <w:uiPriority w:val="99"/>
    <w:unhideWhenUsed/>
    <w:rsid w:val="00BE3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41F"/>
  </w:style>
  <w:style w:type="paragraph" w:styleId="Footer">
    <w:name w:val="footer"/>
    <w:basedOn w:val="Normal"/>
    <w:link w:val="FooterChar"/>
    <w:uiPriority w:val="99"/>
    <w:unhideWhenUsed/>
    <w:rsid w:val="00BE3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11</Pages>
  <Words>4366</Words>
  <Characters>24887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1084</cp:lastModifiedBy>
  <cp:revision>13</cp:revision>
  <dcterms:created xsi:type="dcterms:W3CDTF">2026-09-22T05:55:00Z</dcterms:created>
  <dcterms:modified xsi:type="dcterms:W3CDTF">2026-09-30T13:31:00Z</dcterms:modified>
</cp:coreProperties>
</file>