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2A70" w14:textId="77777777" w:rsidR="00826975" w:rsidRPr="00044728" w:rsidRDefault="00353B5B" w:rsidP="00353B5B">
      <w:pPr>
        <w:spacing w:after="0" w:line="240" w:lineRule="auto"/>
        <w:jc w:val="center"/>
        <w:rPr>
          <w:rFonts w:ascii="Times New Roman" w:hAnsi="Times New Roman" w:cs="Times New Roman"/>
          <w:b/>
          <w:bCs/>
        </w:rPr>
      </w:pPr>
      <w:r w:rsidRPr="00044728">
        <w:rPr>
          <w:rFonts w:ascii="Times New Roman" w:hAnsi="Times New Roman" w:cs="Times New Roman"/>
          <w:b/>
          <w:bCs/>
        </w:rPr>
        <w:t>MULTIVARIATE ANALYSIS OF THE DYNAMIC CORRELATIONS AMONG GLOBAL COMMODITY PRICES, EXCHANGE RATE AND STOCK MARKET RETURNS</w:t>
      </w:r>
    </w:p>
    <w:p w14:paraId="7E0003FE" w14:textId="77777777" w:rsidR="00BD1D7C" w:rsidRPr="00044728" w:rsidRDefault="00BD1D7C" w:rsidP="00EE0234">
      <w:pPr>
        <w:spacing w:after="0" w:line="240" w:lineRule="auto"/>
        <w:jc w:val="both"/>
        <w:rPr>
          <w:rFonts w:ascii="Times New Roman" w:hAnsi="Times New Roman" w:cs="Times New Roman"/>
          <w:b/>
          <w:bCs/>
        </w:rPr>
      </w:pPr>
    </w:p>
    <w:p w14:paraId="410442FC" w14:textId="77777777" w:rsidR="00BD1D7C" w:rsidRPr="00044728" w:rsidRDefault="00BD1D7C" w:rsidP="00EE0234">
      <w:pPr>
        <w:pStyle w:val="isselectedend"/>
        <w:jc w:val="both"/>
      </w:pPr>
      <w:r w:rsidRPr="00044728">
        <w:rPr>
          <w:rStyle w:val="Strong"/>
          <w:rFonts w:eastAsiaTheme="majorEastAsia"/>
        </w:rPr>
        <w:t>Abstract</w:t>
      </w:r>
    </w:p>
    <w:p w14:paraId="5B8A9643" w14:textId="77777777" w:rsidR="00BD1D7C" w:rsidRPr="00044728" w:rsidRDefault="00BD1D7C" w:rsidP="00EE0234">
      <w:pPr>
        <w:pStyle w:val="NormalWeb"/>
        <w:jc w:val="both"/>
      </w:pPr>
      <w:r w:rsidRPr="00044728">
        <w:t>This study examined the dynamic correlations among global commodity prices, exchange rate and stock market returns in Nigeria</w:t>
      </w:r>
      <w:r w:rsidR="00CE35AC" w:rsidRPr="00CE35AC">
        <w:t xml:space="preserve">. The study was prompted by the necessity to comprehend the evolution of the relationships among global commodity and financial markets over time, particularly during periods of economic and financial uncertainty, and the growing integration of these systems. The research design was ex-post facto, </w:t>
      </w:r>
      <w:r w:rsidR="002E0BE9" w:rsidRPr="00CE35AC">
        <w:t>utilizing</w:t>
      </w:r>
      <w:r w:rsidR="00CE35AC" w:rsidRPr="00CE35AC">
        <w:t xml:space="preserve"> daily secondary data from the Central Bank of Nigeria, Nigerian Exchange Group, and </w:t>
      </w:r>
      <w:r w:rsidR="002E0BE9" w:rsidRPr="00CE35AC">
        <w:t>recognized</w:t>
      </w:r>
      <w:r w:rsidR="00CE35AC" w:rsidRPr="00CE35AC">
        <w:t xml:space="preserve"> global financial databases for the period from 29 December 2009 to 7 November 2025. The research </w:t>
      </w:r>
      <w:r w:rsidR="002E0BE9" w:rsidRPr="00CE35AC">
        <w:t>utilized</w:t>
      </w:r>
      <w:r w:rsidR="00CE35AC" w:rsidRPr="00CE35AC">
        <w:t xml:space="preserve"> a multivariate t-distribution-based Dynamic Conditional Correlation-Generalized Autoregressive Conditional Heteroskedasticity (DCC-GARCH) model and a Vector Autoregressive (VAR) model. The VAR lag-selection criteria selected a one-period lag, but the results indicated significant short-run interactions involving copper and gold returns in the Brent crude oil equation, lagged natural gas returns in the natural gas equation, and lagged natural gas and stock market returns in the Nigerian stock market equation.</w:t>
      </w:r>
      <w:r w:rsidRPr="00044728">
        <w:t xml:space="preserve"> The DCC-GARCH results showed substantial volatility persistence across the six markets, with persistence coefficients of 0.9864 for Brent crude oil, 0.9811 for gold, 0.9990 for natural gas, 0.9922 for copper, 0.9109 for stock market returns and 0.9990 for the exchange rate. The estimated DCC parameters were statistically significant, with the correlation innovation coefficient of 0.00668 and the correlation persistence coefficient of 0.99041, confirming that the conditional correlation structure changes in response to new information but remains highly persistent over time. The results further showed that correlations varied considerably across market pairs, with average correlations ranging from -0.0972 between natural gas and exchange rate returns to 0.2164 between gold and copper returns. The correlations also moved between negative and positive values over the study period, confirming that the relationships were dynamic rather than constant. The study concludes that global commodity prices, exchange rate and Nigerian stock market returns are interconnected through time-varying and persistent correlation structures. </w:t>
      </w:r>
    </w:p>
    <w:p w14:paraId="6EB36493" w14:textId="77777777" w:rsidR="00930833" w:rsidRPr="00044728" w:rsidRDefault="00930833" w:rsidP="00EE0234">
      <w:pPr>
        <w:spacing w:after="0" w:line="240" w:lineRule="auto"/>
        <w:jc w:val="both"/>
        <w:rPr>
          <w:rFonts w:ascii="Times New Roman" w:hAnsi="Times New Roman" w:cs="Times New Roman"/>
          <w:b/>
          <w:bCs/>
        </w:rPr>
      </w:pPr>
      <w:r w:rsidRPr="00044728">
        <w:rPr>
          <w:rFonts w:ascii="Times New Roman" w:hAnsi="Times New Roman" w:cs="Times New Roman"/>
          <w:b/>
          <w:bCs/>
        </w:rPr>
        <w:t xml:space="preserve">Keywords: </w:t>
      </w:r>
      <w:r w:rsidRPr="00044728">
        <w:rPr>
          <w:rFonts w:ascii="Times New Roman" w:hAnsi="Times New Roman" w:cs="Times New Roman"/>
          <w:bCs/>
        </w:rPr>
        <w:t>Multivariate Analysis, Dynamic Correlations, Global Commodity Prices</w:t>
      </w:r>
    </w:p>
    <w:p w14:paraId="73264C3E" w14:textId="77777777" w:rsidR="00930833" w:rsidRPr="00044728" w:rsidRDefault="00930833" w:rsidP="00EE0234">
      <w:pPr>
        <w:spacing w:after="0" w:line="360" w:lineRule="auto"/>
        <w:jc w:val="both"/>
        <w:rPr>
          <w:rFonts w:ascii="Times New Roman" w:hAnsi="Times New Roman" w:cs="Times New Roman"/>
          <w:b/>
          <w:bCs/>
        </w:rPr>
      </w:pPr>
    </w:p>
    <w:p w14:paraId="1F47D5A5" w14:textId="77777777" w:rsidR="00BE67CF" w:rsidRPr="00044728" w:rsidRDefault="00BE67CF" w:rsidP="00EE0234">
      <w:pPr>
        <w:spacing w:after="0" w:line="360" w:lineRule="auto"/>
        <w:jc w:val="both"/>
        <w:rPr>
          <w:rFonts w:ascii="Times New Roman" w:eastAsia="Times New Roman" w:hAnsi="Times New Roman" w:cs="Times New Roman"/>
          <w:kern w:val="0"/>
          <w14:ligatures w14:val="none"/>
        </w:rPr>
      </w:pPr>
      <w:r w:rsidRPr="00044728">
        <w:rPr>
          <w:rFonts w:ascii="Times New Roman" w:hAnsi="Times New Roman" w:cs="Times New Roman"/>
          <w:b/>
          <w:bCs/>
        </w:rPr>
        <w:t>Introduction</w:t>
      </w:r>
    </w:p>
    <w:p w14:paraId="21DBDCCE" w14:textId="77777777" w:rsidR="00D77BE4" w:rsidRPr="00044728" w:rsidRDefault="00097B0E" w:rsidP="00EE0234">
      <w:pPr>
        <w:pStyle w:val="pdq2pgselectionanchorcontainer"/>
        <w:spacing w:before="0" w:beforeAutospacing="0" w:line="360" w:lineRule="auto"/>
        <w:jc w:val="both"/>
      </w:pPr>
      <w:r w:rsidRPr="00044728">
        <w:t xml:space="preserve">Financial markets across the world have become increasingly integrated due to globalization, technological advancement, financial liberalization, and the rapid movement of capital across national borders. This integration has significantly strengthened the </w:t>
      </w:r>
      <w:r w:rsidR="00EE0234" w:rsidRPr="00044728">
        <w:t>connection</w:t>
      </w:r>
      <w:r w:rsidRPr="00044728">
        <w:t xml:space="preserve"> </w:t>
      </w:r>
      <w:r w:rsidR="00EE0234" w:rsidRPr="00044728">
        <w:t>between</w:t>
      </w:r>
      <w:r w:rsidRPr="00044728">
        <w:t xml:space="preserve"> </w:t>
      </w:r>
      <w:r w:rsidR="00EE0234" w:rsidRPr="00044728">
        <w:t xml:space="preserve">one </w:t>
      </w:r>
      <w:r w:rsidRPr="00044728">
        <w:t>market to another, making commodity, foreign exchange, and stock markets more interconnected than ever before.</w:t>
      </w:r>
      <w:r w:rsidR="00A5538E" w:rsidRPr="00044728">
        <w:t xml:space="preserve"> </w:t>
      </w:r>
      <w:r w:rsidR="00A84A62" w:rsidRPr="00044728">
        <w:t xml:space="preserve">Nigeria’s economy is tied closely to what happens in global commodity markets. Crude oil earnings still shape government revenue and the supply of foreign exchange, and through both channels they influence how investors behave on the Nigerian Exchange, so a sharp move in Brent prices rarely stays within the oil market. It tends to reach the naira first and then equity </w:t>
      </w:r>
      <w:r w:rsidR="00A84A62" w:rsidRPr="00044728">
        <w:lastRenderedPageBreak/>
        <w:t>returns.</w:t>
      </w:r>
      <w:r w:rsidR="00A84A62" w:rsidRPr="00044728">
        <w:rPr>
          <w:b/>
        </w:rPr>
        <w:t xml:space="preserve"> </w:t>
      </w:r>
      <w:r w:rsidR="00D77BE4" w:rsidRPr="00044728">
        <w:t xml:space="preserve">These interactions are particularly important for Nigeria because the economy and financial system are exposed to international commodity-price movements, especially through crude oil, while the naira exchange rate provides an important channel through which external shocks can be transmitted to domestic financial markets. </w:t>
      </w:r>
      <w:r w:rsidR="00930833" w:rsidRPr="00044728">
        <w:t>The c</w:t>
      </w:r>
      <w:r w:rsidRPr="00044728">
        <w:t xml:space="preserve">orrelations </w:t>
      </w:r>
      <w:r w:rsidR="00930833" w:rsidRPr="00044728">
        <w:t xml:space="preserve">among the variables </w:t>
      </w:r>
      <w:r w:rsidRPr="00044728">
        <w:t>that look modest in calm periods can strengthen quickly under stress, as the COVID-19 pandemic and the</w:t>
      </w:r>
      <w:r w:rsidR="002E0BE9">
        <w:t xml:space="preserve"> war in Ukraine showed (Ben</w:t>
      </w:r>
      <w:r w:rsidRPr="00044728">
        <w:t xml:space="preserve"> et al., 2025; </w:t>
      </w:r>
      <w:proofErr w:type="spellStart"/>
      <w:r w:rsidRPr="00044728">
        <w:t>Ghallabi</w:t>
      </w:r>
      <w:proofErr w:type="spellEnd"/>
      <w:r w:rsidRPr="00044728">
        <w:t xml:space="preserve"> et al., 2025). </w:t>
      </w:r>
    </w:p>
    <w:p w14:paraId="0AB297B7" w14:textId="77777777" w:rsidR="00551BD8" w:rsidRDefault="00551BD8" w:rsidP="00EE0234">
      <w:pPr>
        <w:pStyle w:val="NormalWeb"/>
        <w:spacing w:line="360" w:lineRule="auto"/>
        <w:jc w:val="both"/>
      </w:pPr>
      <w:r w:rsidRPr="00551BD8">
        <w:t xml:space="preserve">Economic fundamentals assist explain the dynamics of long-run correlations, and both the short-run and long-run correlations between commodity returns and exchange rates fluctuate over time, according to recent empirical research such as </w:t>
      </w:r>
      <w:proofErr w:type="spellStart"/>
      <w:r w:rsidRPr="00551BD8">
        <w:t>Tsiakas</w:t>
      </w:r>
      <w:proofErr w:type="spellEnd"/>
      <w:r w:rsidRPr="00551BD8">
        <w:t xml:space="preserve"> and Zhang (2021) that </w:t>
      </w:r>
      <w:proofErr w:type="spellStart"/>
      <w:r w:rsidRPr="00551BD8">
        <w:t>utilised</w:t>
      </w:r>
      <w:proofErr w:type="spellEnd"/>
      <w:r w:rsidRPr="00551BD8">
        <w:t xml:space="preserve"> a DCC-MIDAS framework. Based on their research using DCC-based methodologies, Wafula et al. (2022) discovered various associations between volatility and gold, crude oil, stock markets, and exchange rates in South Africa, Kenya, and Nigeria. They also found that these associations changed significantly during the COVID-19 era. Using an asymmetric VAR-BEKK(DCC)-GARCH paradigm, Chen et al. (2022) examined crude oil, currency rates, and gold across BRICS nations and found dynamic correlations and asymmetric volatility spillovers. </w:t>
      </w:r>
      <w:proofErr w:type="spellStart"/>
      <w:r w:rsidRPr="00551BD8">
        <w:t>Atipaga</w:t>
      </w:r>
      <w:proofErr w:type="spellEnd"/>
      <w:r w:rsidRPr="00551BD8">
        <w:t xml:space="preserve"> (2024) brought attention to the fact that nine developing and emerging African markets' stock returns and exchange rates are interdependent, and Ben Salem et al. (2024) showed that this relationship changed during the COVID-19 pandemic and the Russia-Ukraine war, and they also discovered a large transmission of volatility between oil prices and exchange rates. Hassan et al. (2024) investigated the transmission of Brent oil, natural gas, carbon markets, and the naira-dollar exchange rate to the Nigerian stock market, while </w:t>
      </w:r>
      <w:proofErr w:type="spellStart"/>
      <w:r w:rsidRPr="00551BD8">
        <w:t>Adenomon</w:t>
      </w:r>
      <w:proofErr w:type="spellEnd"/>
      <w:r w:rsidRPr="00551BD8">
        <w:t xml:space="preserve"> et al. (2025) </w:t>
      </w:r>
      <w:proofErr w:type="spellStart"/>
      <w:r w:rsidRPr="00551BD8">
        <w:t>utilised</w:t>
      </w:r>
      <w:proofErr w:type="spellEnd"/>
      <w:r w:rsidRPr="00551BD8">
        <w:t xml:space="preserve"> DCC-MGARCH to examine the time-varying volatility spillovers of crude oil prices, inflation, exchange rates, and stock market performance. Stock markets in South Africa and Nigeria responded similarly to shocks in oil consumption and supply, but in different directions to shocks in economic activity and oil inventory demand, according to </w:t>
      </w:r>
      <w:proofErr w:type="spellStart"/>
      <w:r w:rsidRPr="00551BD8">
        <w:t>Tumala</w:t>
      </w:r>
      <w:proofErr w:type="spellEnd"/>
      <w:r w:rsidRPr="00551BD8">
        <w:t xml:space="preserve"> et al. (2023), who used a GARCH-MIDAS model. This instability has also been demonstrated in research carried out during pandemics. </w:t>
      </w:r>
      <w:proofErr w:type="spellStart"/>
      <w:r w:rsidRPr="00551BD8">
        <w:t>Kumeka</w:t>
      </w:r>
      <w:proofErr w:type="spellEnd"/>
      <w:r w:rsidRPr="00551BD8">
        <w:t xml:space="preserve"> et al. (2022) examined twelve oil-exporting nations and found that following the COVID-19 announcement, oil prices affected the stock and currency rate markets. Until this point, the shocks had a disproportionate i</w:t>
      </w:r>
      <w:r w:rsidR="002E0BE9">
        <w:t>mpact on the variables. Ben</w:t>
      </w:r>
      <w:r w:rsidRPr="00551BD8">
        <w:t xml:space="preserve"> et al. (2025) found that when an asymmetric BEKK-GARCH model was applied to oil, cocoa, and gold prices, as well as the stock </w:t>
      </w:r>
      <w:r w:rsidRPr="00551BD8">
        <w:lastRenderedPageBreak/>
        <w:t xml:space="preserve">indices of Nigeria, Ghana, and Côte d'Ivoire, there was a 30% increase in volatility spillovers during COVID-19, along with clear asymmetry in conditional variances. Contrarily, twelve African stock markets were found by </w:t>
      </w:r>
      <w:proofErr w:type="spellStart"/>
      <w:r w:rsidRPr="00551BD8">
        <w:t>Urom</w:t>
      </w:r>
      <w:proofErr w:type="spellEnd"/>
      <w:r w:rsidRPr="00551BD8">
        <w:t xml:space="preserve"> et al. (2023) to have better connections to global commodities and developed equities markets during the epidemic. At COVID-19, oil took on the role of a safe-haven asset in several African stock markets, notably Nigeria's (2024), replacing gold as the prior hedging mechanism. </w:t>
      </w:r>
      <w:r w:rsidR="00FA2485" w:rsidRPr="00FA2485">
        <w:t xml:space="preserve">Using an ADCC-CoVaR approach, </w:t>
      </w:r>
      <w:proofErr w:type="spellStart"/>
      <w:r w:rsidR="00FA2485" w:rsidRPr="00FA2485">
        <w:t>Ghallabi</w:t>
      </w:r>
      <w:proofErr w:type="spellEnd"/>
      <w:r w:rsidR="00FA2485" w:rsidRPr="00FA2485">
        <w:t xml:space="preserve"> et al. (2025) found that the dynamic correlations between crude oil, gold, a global commodities index, and emerging market equities altered over time and increased during times of crisis. This was the conclusion reached by the researchers. Therefore, crude oil was the most effective hedge throughout the epidemic as well as the conflict between Russia and Ukraine. following conducting research on seven different worldwide stock markets, Ahmadian-Yazdi et al. (2025) found that spillovers were more common following catastrophic occurrences, with natural gas being the source of the least amount of shock transmission. Copper, Brent oil, natural gas, gold, and other commodities were mentioned in the report, along with a variety of other commodities. When Ben Salem and colleagues (2024) investigated the connection between the price of oil and the currency exchange rates of eleven countries that import and export oil, they discovered a stronger connection between the two. In addition, Rastogi et al. (2024) </w:t>
      </w:r>
      <w:r w:rsidR="002E0BE9" w:rsidRPr="00FA2485">
        <w:t>utilized</w:t>
      </w:r>
      <w:r w:rsidR="00FA2485" w:rsidRPr="00FA2485">
        <w:t xml:space="preserve"> a pairwise design; however, in order to determine whether or not there is a link between the Indian rupee and interest rates, crude oil, and gold, they </w:t>
      </w:r>
      <w:r w:rsidR="002E0BE9" w:rsidRPr="00FA2485">
        <w:t>utilized</w:t>
      </w:r>
      <w:r w:rsidR="00FA2485" w:rsidRPr="00FA2485">
        <w:t xml:space="preserve"> BEKK- and DCC-GARCH models.</w:t>
      </w:r>
    </w:p>
    <w:p w14:paraId="007308E6" w14:textId="77777777" w:rsidR="001C6F0B" w:rsidRPr="00044728" w:rsidRDefault="001A1001" w:rsidP="00EE0234">
      <w:pPr>
        <w:pStyle w:val="NormalWeb"/>
        <w:spacing w:line="360" w:lineRule="auto"/>
        <w:jc w:val="both"/>
      </w:pPr>
      <w:r w:rsidRPr="00044728">
        <w:t>Despite these contributions, most</w:t>
      </w:r>
      <w:r w:rsidR="00BE67CF" w:rsidRPr="00044728">
        <w:t xml:space="preserve"> of the recent literature examines either a limited pair of markets, such as oil and stocks or commodities and exchange rates, or focuses primarily on volatility spillovers rather than modelling the </w:t>
      </w:r>
      <w:r w:rsidR="00BE67CF" w:rsidRPr="00044728">
        <w:rPr>
          <w:rStyle w:val="Strong"/>
          <w:rFonts w:eastAsiaTheme="majorEastAsia"/>
          <w:b w:val="0"/>
        </w:rPr>
        <w:t>joint dynamic correlation structure of several major global commodities, the Nigerian exchange rat</w:t>
      </w:r>
      <w:r w:rsidRPr="00044728">
        <w:rPr>
          <w:rStyle w:val="Strong"/>
          <w:rFonts w:eastAsiaTheme="majorEastAsia"/>
          <w:b w:val="0"/>
        </w:rPr>
        <w:t xml:space="preserve">e and the Nigerian stock-market. </w:t>
      </w:r>
      <w:r w:rsidR="00930833" w:rsidRPr="00044728">
        <w:t>Pairwise designs cannot show how a shock travels through a system in which several commodities, the currency and share prices are interacting simultaneously. Without that knowledge, investors may misjudge diversification benefits, and policymakers may be left with an incomplete view of how external price shocks are passed on to the domestic financial system. T</w:t>
      </w:r>
      <w:r w:rsidRPr="00044728">
        <w:t>herefore, t</w:t>
      </w:r>
      <w:r w:rsidR="00930833" w:rsidRPr="00044728">
        <w:t xml:space="preserve">he central problem, is not simply whether commodity prices, exchange rates and stock returns are correlated, but whether their </w:t>
      </w:r>
      <w:r w:rsidR="00930833" w:rsidRPr="00044728">
        <w:rPr>
          <w:rStyle w:val="Strong"/>
          <w:rFonts w:eastAsiaTheme="majorEastAsia"/>
          <w:b w:val="0"/>
        </w:rPr>
        <w:t>conditional correlations change over time</w:t>
      </w:r>
      <w:r w:rsidR="00930833" w:rsidRPr="00044728">
        <w:rPr>
          <w:b/>
        </w:rPr>
        <w:t>,</w:t>
      </w:r>
      <w:r w:rsidR="00930833" w:rsidRPr="00044728">
        <w:t xml:space="preserve"> particularly when markets experience major economic, financial and geopolitical disturbances. </w:t>
      </w:r>
      <w:r w:rsidR="00BE67CF" w:rsidRPr="00044728">
        <w:t xml:space="preserve">This leaves an empirical gap concerning how </w:t>
      </w:r>
      <w:r w:rsidR="00BE67CF" w:rsidRPr="00044728">
        <w:lastRenderedPageBreak/>
        <w:t xml:space="preserve">the conditional correlations among crude oil, copper, gold, natural gas, exchange rate and stock-market returns </w:t>
      </w:r>
      <w:r w:rsidRPr="00044728">
        <w:t>change</w:t>
      </w:r>
      <w:r w:rsidR="00BE67CF" w:rsidRPr="00044728">
        <w:t xml:space="preserve"> jointly through </w:t>
      </w:r>
      <w:r w:rsidRPr="00044728">
        <w:t>time in</w:t>
      </w:r>
      <w:r w:rsidR="007C27D5" w:rsidRPr="00044728">
        <w:t xml:space="preserve"> Nigeria. </w:t>
      </w:r>
      <w:r w:rsidR="001C6F0B" w:rsidRPr="00044728">
        <w:t xml:space="preserve">It is on this note that the study carryout an investigation multivariate analysis of the </w:t>
      </w:r>
      <w:r w:rsidR="00EE0234" w:rsidRPr="00044728">
        <w:t xml:space="preserve">dynamic correlation among </w:t>
      </w:r>
      <w:r w:rsidR="001C6F0B" w:rsidRPr="00044728">
        <w:t xml:space="preserve">commodity market and financial markets in Nigeria. </w:t>
      </w:r>
      <w:r w:rsidR="007C27D5" w:rsidRPr="00044728">
        <w:t>The study is</w:t>
      </w:r>
      <w:r w:rsidR="001C6F0B" w:rsidRPr="00044728">
        <w:t xml:space="preserve"> guided by three research objectives;</w:t>
      </w:r>
    </w:p>
    <w:p w14:paraId="5829029F" w14:textId="77777777" w:rsidR="00B137B1" w:rsidRPr="00044728" w:rsidRDefault="007C27D5" w:rsidP="00EE0234">
      <w:pPr>
        <w:pStyle w:val="ListParagraph"/>
        <w:numPr>
          <w:ilvl w:val="0"/>
          <w:numId w:val="29"/>
        </w:numPr>
        <w:jc w:val="both"/>
        <w:rPr>
          <w:rFonts w:ascii="Times New Roman" w:hAnsi="Times New Roman" w:cs="Times New Roman"/>
        </w:rPr>
      </w:pPr>
      <w:r w:rsidRPr="00044728">
        <w:rPr>
          <w:rFonts w:ascii="Times New Roman" w:hAnsi="Times New Roman" w:cs="Times New Roman"/>
        </w:rPr>
        <w:t>To estimate the dynamic conditional correlations among global commodity prices, exchange rate and stock market returns</w:t>
      </w:r>
    </w:p>
    <w:p w14:paraId="385667E7" w14:textId="77777777" w:rsidR="00826975" w:rsidRPr="00044728" w:rsidRDefault="007C27D5" w:rsidP="00EE0234">
      <w:pPr>
        <w:pStyle w:val="ListParagraph"/>
        <w:numPr>
          <w:ilvl w:val="0"/>
          <w:numId w:val="29"/>
        </w:numPr>
        <w:jc w:val="both"/>
        <w:rPr>
          <w:rFonts w:ascii="Times New Roman" w:hAnsi="Times New Roman" w:cs="Times New Roman"/>
        </w:rPr>
      </w:pPr>
      <w:r w:rsidRPr="00044728">
        <w:rPr>
          <w:rFonts w:ascii="Times New Roman" w:hAnsi="Times New Roman" w:cs="Times New Roman"/>
        </w:rPr>
        <w:t>To assess the extent to which shocks and volatility in global commodity prices and exchange rate are transmitted to Nigerian stock market returns.</w:t>
      </w:r>
    </w:p>
    <w:p w14:paraId="65DCDB90" w14:textId="77777777" w:rsidR="00826975" w:rsidRPr="00044728" w:rsidRDefault="007C27D5" w:rsidP="00EE0234">
      <w:pPr>
        <w:pStyle w:val="ListParagraph"/>
        <w:numPr>
          <w:ilvl w:val="0"/>
          <w:numId w:val="29"/>
        </w:numPr>
        <w:jc w:val="both"/>
        <w:rPr>
          <w:rFonts w:ascii="Times New Roman" w:hAnsi="Times New Roman" w:cs="Times New Roman"/>
        </w:rPr>
      </w:pPr>
      <w:r w:rsidRPr="00044728">
        <w:rPr>
          <w:rFonts w:ascii="Times New Roman" w:hAnsi="Times New Roman" w:cs="Times New Roman"/>
        </w:rPr>
        <w:t>To investigate the persistence and evolution of the correlations among</w:t>
      </w:r>
      <w:r w:rsidR="00F0356E" w:rsidRPr="00044728">
        <w:rPr>
          <w:rFonts w:ascii="Times New Roman" w:hAnsi="Times New Roman" w:cs="Times New Roman"/>
        </w:rPr>
        <w:t xml:space="preserve"> global commodity prices, exchange rate and stock market returns</w:t>
      </w:r>
    </w:p>
    <w:p w14:paraId="64E00A90" w14:textId="77777777" w:rsidR="001A1001" w:rsidRPr="00044728" w:rsidRDefault="001A1001" w:rsidP="00EE0234">
      <w:pPr>
        <w:pStyle w:val="ListParagraph"/>
        <w:jc w:val="both"/>
        <w:rPr>
          <w:rFonts w:ascii="Times New Roman" w:hAnsi="Times New Roman" w:cs="Times New Roman"/>
        </w:rPr>
      </w:pPr>
    </w:p>
    <w:p w14:paraId="02021BB2" w14:textId="77777777" w:rsidR="00826975" w:rsidRPr="00044728" w:rsidRDefault="00826975" w:rsidP="00EE0234">
      <w:pPr>
        <w:jc w:val="both"/>
        <w:rPr>
          <w:rFonts w:ascii="Times New Roman" w:hAnsi="Times New Roman" w:cs="Times New Roman"/>
          <w:b/>
        </w:rPr>
      </w:pPr>
      <w:r w:rsidRPr="00044728">
        <w:rPr>
          <w:rFonts w:ascii="Times New Roman" w:hAnsi="Times New Roman" w:cs="Times New Roman"/>
          <w:b/>
        </w:rPr>
        <w:t>METHODOLOGY</w:t>
      </w:r>
    </w:p>
    <w:p w14:paraId="25ED25ED" w14:textId="77777777" w:rsidR="00803B32" w:rsidRPr="00044728" w:rsidRDefault="00EE0234" w:rsidP="00EE0234">
      <w:pPr>
        <w:spacing w:after="0" w:line="360" w:lineRule="auto"/>
        <w:jc w:val="both"/>
        <w:rPr>
          <w:rFonts w:ascii="Times New Roman" w:hAnsi="Times New Roman" w:cs="Times New Roman"/>
        </w:rPr>
      </w:pPr>
      <w:r w:rsidRPr="00044728">
        <w:rPr>
          <w:rFonts w:ascii="Times New Roman" w:hAnsi="Times New Roman" w:cs="Times New Roman"/>
        </w:rPr>
        <w:t>The study adopts</w:t>
      </w:r>
      <w:r w:rsidR="00DA019E" w:rsidRPr="00044728">
        <w:rPr>
          <w:rFonts w:ascii="Times New Roman" w:hAnsi="Times New Roman" w:cs="Times New Roman"/>
        </w:rPr>
        <w:t xml:space="preserve"> </w:t>
      </w:r>
      <w:r w:rsidR="00803B32" w:rsidRPr="00044728">
        <w:rPr>
          <w:rFonts w:ascii="Times New Roman" w:hAnsi="Times New Roman" w:cs="Times New Roman"/>
        </w:rPr>
        <w:t>ex</w:t>
      </w:r>
      <w:r w:rsidR="002E0BE9">
        <w:rPr>
          <w:rFonts w:ascii="Times New Roman" w:hAnsi="Times New Roman" w:cs="Times New Roman"/>
        </w:rPr>
        <w:t xml:space="preserve"> </w:t>
      </w:r>
      <w:r w:rsidR="00803B32" w:rsidRPr="00044728">
        <w:rPr>
          <w:rFonts w:ascii="Times New Roman" w:hAnsi="Times New Roman" w:cs="Times New Roman"/>
        </w:rPr>
        <w:t>post-facto</w:t>
      </w:r>
      <w:r w:rsidR="00DA019E" w:rsidRPr="00044728">
        <w:rPr>
          <w:rFonts w:ascii="Times New Roman" w:hAnsi="Times New Roman" w:cs="Times New Roman"/>
        </w:rPr>
        <w:t xml:space="preserve"> research design</w:t>
      </w:r>
      <w:r w:rsidR="00747E47" w:rsidRPr="00044728">
        <w:rPr>
          <w:rFonts w:ascii="Times New Roman" w:hAnsi="Times New Roman" w:cs="Times New Roman"/>
        </w:rPr>
        <w:t>, this is because</w:t>
      </w:r>
      <w:r w:rsidRPr="00044728">
        <w:rPr>
          <w:rFonts w:ascii="Times New Roman" w:hAnsi="Times New Roman" w:cs="Times New Roman"/>
        </w:rPr>
        <w:t xml:space="preserve"> the researcher investigates the relationship between an independent variable and a dependent variable after the independent variable has already occurred naturally, without any manipulation or control by the researcher. </w:t>
      </w:r>
      <w:r w:rsidR="00510455" w:rsidRPr="00044728">
        <w:rPr>
          <w:rFonts w:ascii="Times New Roman" w:hAnsi="Times New Roman" w:cs="Times New Roman"/>
        </w:rPr>
        <w:t xml:space="preserve">The data </w:t>
      </w:r>
      <w:r w:rsidRPr="00044728">
        <w:rPr>
          <w:rFonts w:ascii="Times New Roman" w:hAnsi="Times New Roman" w:cs="Times New Roman"/>
        </w:rPr>
        <w:t>set range</w:t>
      </w:r>
      <w:r w:rsidR="00231DC6" w:rsidRPr="00044728">
        <w:rPr>
          <w:rFonts w:ascii="Times New Roman" w:hAnsi="Times New Roman" w:cs="Times New Roman"/>
        </w:rPr>
        <w:t xml:space="preserve"> from December 29, 2009, to November 7, 2025 and it was sourced from</w:t>
      </w:r>
      <w:r w:rsidR="00510455" w:rsidRPr="00044728">
        <w:rPr>
          <w:rFonts w:ascii="Times New Roman" w:hAnsi="Times New Roman" w:cs="Times New Roman"/>
        </w:rPr>
        <w:t xml:space="preserve"> Central Bank of Nigeria (CBN), Nigerian Exchange Group (NGX)</w:t>
      </w:r>
      <w:r w:rsidR="00231DC6" w:rsidRPr="00044728">
        <w:rPr>
          <w:rFonts w:ascii="Times New Roman" w:hAnsi="Times New Roman" w:cs="Times New Roman"/>
        </w:rPr>
        <w:t xml:space="preserve"> </w:t>
      </w:r>
      <w:r w:rsidR="00510455" w:rsidRPr="00044728">
        <w:rPr>
          <w:rFonts w:ascii="Times New Roman" w:hAnsi="Times New Roman" w:cs="Times New Roman"/>
        </w:rPr>
        <w:t xml:space="preserve">and </w:t>
      </w:r>
      <w:r w:rsidR="00231DC6" w:rsidRPr="00044728">
        <w:rPr>
          <w:rFonts w:ascii="Times New Roman" w:hAnsi="Times New Roman" w:cs="Times New Roman"/>
        </w:rPr>
        <w:t xml:space="preserve">recognized global financial databases. </w:t>
      </w:r>
      <w:r w:rsidR="003C44FE" w:rsidRPr="00044728">
        <w:rPr>
          <w:rFonts w:ascii="Times New Roman" w:hAnsi="Times New Roman" w:cs="Times New Roman"/>
        </w:rPr>
        <w:t xml:space="preserve">This study uses </w:t>
      </w:r>
      <w:r w:rsidR="00A5036E" w:rsidRPr="00044728">
        <w:rPr>
          <w:rFonts w:ascii="Times New Roman" w:hAnsi="Times New Roman" w:cs="Times New Roman"/>
        </w:rPr>
        <w:t xml:space="preserve">both </w:t>
      </w:r>
      <w:r w:rsidR="003C44FE" w:rsidRPr="00044728">
        <w:rPr>
          <w:rFonts w:ascii="Times New Roman" w:hAnsi="Times New Roman" w:cs="Times New Roman"/>
        </w:rPr>
        <w:t xml:space="preserve">VAR and DCC models. </w:t>
      </w:r>
      <w:r w:rsidR="00803B32" w:rsidRPr="00044728">
        <w:rPr>
          <w:rFonts w:ascii="Times New Roman" w:hAnsi="Times New Roman" w:cs="Times New Roman"/>
        </w:rPr>
        <w:t xml:space="preserve">The Vector Autoregressive (VAR) model was </w:t>
      </w:r>
      <w:r w:rsidR="00D51516" w:rsidRPr="00044728">
        <w:rPr>
          <w:rFonts w:ascii="Times New Roman" w:hAnsi="Times New Roman" w:cs="Times New Roman"/>
        </w:rPr>
        <w:t>first presented in 1960</w:t>
      </w:r>
      <w:r w:rsidR="00C66BD0" w:rsidRPr="00044728">
        <w:rPr>
          <w:rFonts w:ascii="Times New Roman" w:hAnsi="Times New Roman" w:cs="Times New Roman"/>
        </w:rPr>
        <w:t>s</w:t>
      </w:r>
      <w:r w:rsidR="00D51516" w:rsidRPr="00044728">
        <w:rPr>
          <w:rFonts w:ascii="Times New Roman" w:hAnsi="Times New Roman" w:cs="Times New Roman"/>
        </w:rPr>
        <w:t xml:space="preserve"> by </w:t>
      </w:r>
      <w:r w:rsidR="00D51516" w:rsidRPr="00044728">
        <w:rPr>
          <w:rStyle w:val="Emphasis"/>
          <w:rFonts w:ascii="Times New Roman" w:hAnsi="Times New Roman" w:cs="Times New Roman"/>
          <w:i w:val="0"/>
          <w:spacing w:val="2"/>
          <w:bdr w:val="none" w:sz="0" w:space="0" w:color="auto" w:frame="1"/>
          <w:shd w:val="clear" w:color="auto" w:fill="FFFFFF"/>
        </w:rPr>
        <w:t xml:space="preserve">Clive Granger and Sim also used in 1980 </w:t>
      </w:r>
      <w:r w:rsidR="00803B32" w:rsidRPr="00044728">
        <w:rPr>
          <w:rFonts w:ascii="Times New Roman" w:hAnsi="Times New Roman" w:cs="Times New Roman"/>
        </w:rPr>
        <w:t>to capture the dynamic interrelationships among jointly endogenous variables without imposing strong a priori structural restrictions</w:t>
      </w:r>
      <w:r w:rsidR="003C44FE" w:rsidRPr="00044728">
        <w:rPr>
          <w:rFonts w:ascii="Times New Roman" w:hAnsi="Times New Roman" w:cs="Times New Roman"/>
        </w:rPr>
        <w:t xml:space="preserve"> and the Dynamic Conditional Correlation (DCC-) GARCH model belongs to the class of models that </w:t>
      </w:r>
      <w:r w:rsidR="00A5036E" w:rsidRPr="00044728">
        <w:rPr>
          <w:rFonts w:ascii="Times New Roman" w:hAnsi="Times New Roman" w:cs="Times New Roman"/>
        </w:rPr>
        <w:t>estimate the</w:t>
      </w:r>
      <w:r w:rsidR="003C44FE" w:rsidRPr="00044728">
        <w:rPr>
          <w:rFonts w:ascii="Times New Roman" w:hAnsi="Times New Roman" w:cs="Times New Roman"/>
        </w:rPr>
        <w:t xml:space="preserve"> conditional variances and correlations. It was introduced by Engle and Sheppard in 2001</w:t>
      </w:r>
      <w:r w:rsidR="00A5036E" w:rsidRPr="00044728">
        <w:rPr>
          <w:rFonts w:ascii="Times New Roman" w:hAnsi="Times New Roman" w:cs="Times New Roman"/>
        </w:rPr>
        <w:t>.</w:t>
      </w:r>
    </w:p>
    <w:p w14:paraId="15D4B9AA" w14:textId="77777777" w:rsidR="007E3FA6" w:rsidRPr="00044728" w:rsidRDefault="007E3FA6" w:rsidP="00EE0234">
      <w:pPr>
        <w:spacing w:after="0" w:line="240" w:lineRule="auto"/>
        <w:jc w:val="both"/>
        <w:rPr>
          <w:rFonts w:ascii="Times New Roman" w:hAnsi="Times New Roman" w:cs="Times New Roman"/>
          <w:b/>
        </w:rPr>
      </w:pPr>
      <w:r w:rsidRPr="00044728">
        <w:rPr>
          <w:rFonts w:ascii="Times New Roman" w:hAnsi="Times New Roman" w:cs="Times New Roman"/>
          <w:b/>
        </w:rPr>
        <w:t>Vector Autoregressive (VAR) model</w:t>
      </w:r>
    </w:p>
    <w:p w14:paraId="1CE35A98" w14:textId="77777777" w:rsidR="00A5036E" w:rsidRPr="00044728" w:rsidRDefault="005B132E" w:rsidP="00EE0234">
      <w:pPr>
        <w:spacing w:after="0" w:line="240" w:lineRule="auto"/>
        <w:jc w:val="both"/>
        <w:rPr>
          <w:rFonts w:ascii="Times New Roman" w:eastAsiaTheme="minorEastAsia" w:hAnsi="Times New Roman" w:cs="Times New Roman"/>
        </w:rPr>
      </w:pPr>
      <w:r w:rsidRPr="005B132E">
        <w:rPr>
          <w:rFonts w:ascii="Times New Roman" w:hAnsi="Times New Roman" w:cs="Times New Roman"/>
        </w:rPr>
        <w:t>Each system variable is seen by the VAR model as a function of its own previous values as well as the past values of all other system variables. When studying the dynamic effect of random perturbations on the system of variables, it is especially helpful. The return vector of K dimensions is</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m:t>
        </m:r>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EXR,t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COPP,t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BCOP,t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GOLD,t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NGAS,t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STOKP,t</m:t>
                                  </m:r>
                                </m:sub>
                              </m:sSub>
                            </m:e>
                          </m:mr>
                        </m:m>
                      </m:e>
                    </m:mr>
                  </m:m>
                </m:e>
              </m:mr>
            </m:m>
          </m:e>
        </m:d>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(1)</w:t>
      </w:r>
    </w:p>
    <w:p w14:paraId="591736A9" w14:textId="77777777" w:rsidR="003A5880" w:rsidRPr="00044728" w:rsidRDefault="003A5880" w:rsidP="00EE0234">
      <w:pPr>
        <w:spacing w:after="0" w:line="240" w:lineRule="auto"/>
        <w:jc w:val="both"/>
        <w:rPr>
          <w:rFonts w:ascii="Times New Roman" w:eastAsiaTheme="minorEastAsia" w:hAnsi="Times New Roman" w:cs="Times New Roman"/>
        </w:rPr>
      </w:pPr>
    </w:p>
    <w:p w14:paraId="6A98C922" w14:textId="77777777" w:rsidR="00075FF0" w:rsidRPr="00044728" w:rsidRDefault="00075FF0" w:rsidP="00EE0234">
      <w:pPr>
        <w:spacing w:after="0" w:line="240" w:lineRule="auto"/>
        <w:jc w:val="both"/>
        <w:rPr>
          <w:rFonts w:ascii="Times New Roman" w:hAnsi="Times New Roman" w:cs="Times New Roman"/>
        </w:rPr>
      </w:pPr>
      <w:r w:rsidRPr="00044728">
        <w:rPr>
          <w:rFonts w:ascii="Times New Roman" w:eastAsiaTheme="minorEastAsia" w:hAnsi="Times New Roman" w:cs="Times New Roman"/>
        </w:rPr>
        <w:t>Where</w:t>
      </w:r>
    </w:p>
    <w:p w14:paraId="02691218" w14:textId="77777777" w:rsidR="00A5036E" w:rsidRPr="00044728" w:rsidRDefault="00000000"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EXR,t</m:t>
            </m:r>
          </m:sub>
        </m:sSub>
      </m:oMath>
      <w:r w:rsidR="003C6872" w:rsidRPr="00044728">
        <w:rPr>
          <w:rFonts w:ascii="Times New Roman" w:eastAsiaTheme="minorEastAsia" w:hAnsi="Times New Roman" w:cs="Times New Roman"/>
        </w:rPr>
        <w:t xml:space="preserve"> = </w:t>
      </w:r>
      <m:oMath>
        <m:r>
          <w:rPr>
            <w:rFonts w:ascii="Cambria Math" w:eastAsiaTheme="minorEastAsia" w:hAnsi="Cambria Math" w:cs="Times New Roman"/>
          </w:rPr>
          <m:t>∆In (</m:t>
        </m:r>
        <m:sSub>
          <m:sSubPr>
            <m:ctrlPr>
              <w:rPr>
                <w:rFonts w:ascii="Cambria Math" w:hAnsi="Cambria Math" w:cs="Times New Roman"/>
                <w:i/>
              </w:rPr>
            </m:ctrlPr>
          </m:sSubPr>
          <m:e>
            <m:r>
              <w:rPr>
                <w:rFonts w:ascii="Cambria Math" w:hAnsi="Cambria Math" w:cs="Times New Roman"/>
              </w:rPr>
              <m:t>EXR</m:t>
            </m:r>
          </m:e>
          <m:sub>
            <m:r>
              <w:rPr>
                <w:rFonts w:ascii="Cambria Math" w:hAnsi="Cambria Math" w:cs="Times New Roman"/>
              </w:rPr>
              <m:t>t</m:t>
            </m:r>
          </m:sub>
        </m:sSub>
        <m:r>
          <w:rPr>
            <w:rFonts w:ascii="Cambria Math" w:eastAsiaTheme="minorEastAsia" w:hAnsi="Cambria Math" w:cs="Times New Roman"/>
          </w:rPr>
          <m:t>)</m:t>
        </m:r>
      </m:oMath>
    </w:p>
    <w:p w14:paraId="13E7D60C" w14:textId="77777777" w:rsidR="003C6872" w:rsidRPr="00044728" w:rsidRDefault="00000000"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COPP,t</m:t>
            </m:r>
          </m:sub>
        </m:sSub>
      </m:oMath>
      <w:r w:rsidR="003C6872" w:rsidRPr="00044728">
        <w:rPr>
          <w:rFonts w:ascii="Times New Roman" w:eastAsiaTheme="minorEastAsia" w:hAnsi="Times New Roman" w:cs="Times New Roman"/>
        </w:rPr>
        <w:t>=</w:t>
      </w:r>
      <m:oMath>
        <m:r>
          <w:rPr>
            <w:rFonts w:ascii="Cambria Math" w:eastAsiaTheme="minorEastAsia" w:hAnsi="Cambria Math" w:cs="Times New Roman"/>
          </w:rPr>
          <m:t>∆In (</m:t>
        </m:r>
        <m:sSub>
          <m:sSubPr>
            <m:ctrlPr>
              <w:rPr>
                <w:rFonts w:ascii="Cambria Math" w:hAnsi="Cambria Math" w:cs="Times New Roman"/>
                <w:i/>
              </w:rPr>
            </m:ctrlPr>
          </m:sSubPr>
          <m:e>
            <m:r>
              <w:rPr>
                <w:rFonts w:ascii="Cambria Math" w:hAnsi="Cambria Math" w:cs="Times New Roman"/>
              </w:rPr>
              <m:t>COPP</m:t>
            </m:r>
          </m:e>
          <m:sub>
            <m:r>
              <w:rPr>
                <w:rFonts w:ascii="Cambria Math" w:hAnsi="Cambria Math" w:cs="Times New Roman"/>
              </w:rPr>
              <m:t>t</m:t>
            </m:r>
          </m:sub>
        </m:sSub>
        <m:r>
          <w:rPr>
            <w:rFonts w:ascii="Cambria Math" w:eastAsiaTheme="minorEastAsia" w:hAnsi="Cambria Math" w:cs="Times New Roman"/>
          </w:rPr>
          <m:t>)</m:t>
        </m:r>
      </m:oMath>
    </w:p>
    <w:p w14:paraId="400B4E19" w14:textId="77777777" w:rsidR="003C6872" w:rsidRPr="00044728" w:rsidRDefault="00000000"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BCOP,t</m:t>
            </m:r>
          </m:sub>
        </m:sSub>
      </m:oMath>
      <w:r w:rsidR="00075FF0" w:rsidRPr="00044728">
        <w:rPr>
          <w:rFonts w:ascii="Times New Roman" w:eastAsiaTheme="minorEastAsia" w:hAnsi="Times New Roman" w:cs="Times New Roman"/>
        </w:rPr>
        <w:t>=</w:t>
      </w:r>
      <m:oMath>
        <m:r>
          <w:rPr>
            <w:rFonts w:ascii="Cambria Math" w:eastAsiaTheme="minorEastAsia" w:hAnsi="Cambria Math" w:cs="Times New Roman"/>
          </w:rPr>
          <m:t>∆In (</m:t>
        </m:r>
        <m:sSub>
          <m:sSubPr>
            <m:ctrlPr>
              <w:rPr>
                <w:rFonts w:ascii="Cambria Math" w:hAnsi="Cambria Math" w:cs="Times New Roman"/>
                <w:i/>
              </w:rPr>
            </m:ctrlPr>
          </m:sSubPr>
          <m:e>
            <m:r>
              <w:rPr>
                <w:rFonts w:ascii="Cambria Math" w:hAnsi="Cambria Math" w:cs="Times New Roman"/>
              </w:rPr>
              <m:t>BCOP</m:t>
            </m:r>
          </m:e>
          <m:sub>
            <m:r>
              <w:rPr>
                <w:rFonts w:ascii="Cambria Math" w:hAnsi="Cambria Math" w:cs="Times New Roman"/>
              </w:rPr>
              <m:t>t</m:t>
            </m:r>
          </m:sub>
        </m:sSub>
        <m:r>
          <w:rPr>
            <w:rFonts w:ascii="Cambria Math" w:eastAsiaTheme="minorEastAsia" w:hAnsi="Cambria Math" w:cs="Times New Roman"/>
          </w:rPr>
          <m:t>)</m:t>
        </m:r>
      </m:oMath>
    </w:p>
    <w:p w14:paraId="0CBFE75B" w14:textId="77777777" w:rsidR="003C6872" w:rsidRPr="00044728" w:rsidRDefault="00000000"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GOLD,t</m:t>
            </m:r>
          </m:sub>
        </m:sSub>
      </m:oMath>
      <w:r w:rsidR="00075FF0" w:rsidRPr="00044728">
        <w:rPr>
          <w:rFonts w:ascii="Times New Roman" w:eastAsiaTheme="minorEastAsia" w:hAnsi="Times New Roman" w:cs="Times New Roman"/>
        </w:rPr>
        <w:t>=</w:t>
      </w:r>
      <m:oMath>
        <m:r>
          <w:rPr>
            <w:rFonts w:ascii="Cambria Math" w:eastAsiaTheme="minorEastAsia" w:hAnsi="Cambria Math" w:cs="Times New Roman"/>
          </w:rPr>
          <m:t>∆In (</m:t>
        </m:r>
        <m:sSub>
          <m:sSubPr>
            <m:ctrlPr>
              <w:rPr>
                <w:rFonts w:ascii="Cambria Math" w:hAnsi="Cambria Math" w:cs="Times New Roman"/>
                <w:i/>
              </w:rPr>
            </m:ctrlPr>
          </m:sSubPr>
          <m:e>
            <m:r>
              <w:rPr>
                <w:rFonts w:ascii="Cambria Math" w:hAnsi="Cambria Math" w:cs="Times New Roman"/>
              </w:rPr>
              <m:t>GOLD</m:t>
            </m:r>
          </m:e>
          <m:sub>
            <m:r>
              <w:rPr>
                <w:rFonts w:ascii="Cambria Math" w:hAnsi="Cambria Math" w:cs="Times New Roman"/>
              </w:rPr>
              <m:t>t</m:t>
            </m:r>
          </m:sub>
        </m:sSub>
        <m:r>
          <w:rPr>
            <w:rFonts w:ascii="Cambria Math" w:eastAsiaTheme="minorEastAsia" w:hAnsi="Cambria Math" w:cs="Times New Roman"/>
          </w:rPr>
          <m:t>)</m:t>
        </m:r>
      </m:oMath>
    </w:p>
    <w:p w14:paraId="391B5278" w14:textId="77777777" w:rsidR="003C6872" w:rsidRPr="00044728" w:rsidRDefault="00000000"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NGAS,t</m:t>
            </m:r>
          </m:sub>
        </m:sSub>
      </m:oMath>
      <w:r w:rsidR="00075FF0" w:rsidRPr="00044728">
        <w:rPr>
          <w:rFonts w:ascii="Times New Roman" w:eastAsiaTheme="minorEastAsia" w:hAnsi="Times New Roman" w:cs="Times New Roman"/>
        </w:rPr>
        <w:t>=</w:t>
      </w:r>
      <m:oMath>
        <m:r>
          <w:rPr>
            <w:rFonts w:ascii="Cambria Math" w:eastAsiaTheme="minorEastAsia" w:hAnsi="Cambria Math" w:cs="Times New Roman"/>
          </w:rPr>
          <m:t>∆In (</m:t>
        </m:r>
        <m:sSub>
          <m:sSubPr>
            <m:ctrlPr>
              <w:rPr>
                <w:rFonts w:ascii="Cambria Math" w:hAnsi="Cambria Math" w:cs="Times New Roman"/>
                <w:i/>
              </w:rPr>
            </m:ctrlPr>
          </m:sSubPr>
          <m:e>
            <m:r>
              <w:rPr>
                <w:rFonts w:ascii="Cambria Math" w:hAnsi="Cambria Math" w:cs="Times New Roman"/>
              </w:rPr>
              <m:t>NGAS</m:t>
            </m:r>
          </m:e>
          <m:sub>
            <m:r>
              <w:rPr>
                <w:rFonts w:ascii="Cambria Math" w:hAnsi="Cambria Math" w:cs="Times New Roman"/>
              </w:rPr>
              <m:t>t</m:t>
            </m:r>
          </m:sub>
        </m:sSub>
        <m:r>
          <w:rPr>
            <w:rFonts w:ascii="Cambria Math" w:eastAsiaTheme="minorEastAsia" w:hAnsi="Cambria Math" w:cs="Times New Roman"/>
          </w:rPr>
          <m:t>)</m:t>
        </m:r>
      </m:oMath>
    </w:p>
    <w:p w14:paraId="68379936" w14:textId="77777777" w:rsidR="003C6872" w:rsidRPr="00044728" w:rsidRDefault="00000000"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STOKP,t</m:t>
            </m:r>
          </m:sub>
        </m:sSub>
      </m:oMath>
      <w:r w:rsidR="00075FF0" w:rsidRPr="00044728">
        <w:rPr>
          <w:rFonts w:ascii="Times New Roman" w:eastAsiaTheme="minorEastAsia" w:hAnsi="Times New Roman" w:cs="Times New Roman"/>
        </w:rPr>
        <w:t>=</w:t>
      </w:r>
      <m:oMath>
        <m:r>
          <w:rPr>
            <w:rFonts w:ascii="Cambria Math" w:eastAsiaTheme="minorEastAsia" w:hAnsi="Cambria Math" w:cs="Times New Roman"/>
          </w:rPr>
          <m:t>∆In (</m:t>
        </m:r>
        <m:sSub>
          <m:sSubPr>
            <m:ctrlPr>
              <w:rPr>
                <w:rFonts w:ascii="Cambria Math" w:hAnsi="Cambria Math" w:cs="Times New Roman"/>
                <w:i/>
              </w:rPr>
            </m:ctrlPr>
          </m:sSubPr>
          <m:e>
            <m:r>
              <w:rPr>
                <w:rFonts w:ascii="Cambria Math" w:hAnsi="Cambria Math" w:cs="Times New Roman"/>
              </w:rPr>
              <m:t>STOKP</m:t>
            </m:r>
          </m:e>
          <m:sub>
            <m:r>
              <w:rPr>
                <w:rFonts w:ascii="Cambria Math" w:hAnsi="Cambria Math" w:cs="Times New Roman"/>
              </w:rPr>
              <m:t>t</m:t>
            </m:r>
          </m:sub>
        </m:sSub>
        <m:r>
          <w:rPr>
            <w:rFonts w:ascii="Cambria Math" w:eastAsiaTheme="minorEastAsia" w:hAnsi="Cambria Math" w:cs="Times New Roman"/>
          </w:rPr>
          <m:t>)</m:t>
        </m:r>
      </m:oMath>
    </w:p>
    <w:p w14:paraId="37FDA1BB" w14:textId="77777777" w:rsidR="00B95B2C" w:rsidRPr="00044728" w:rsidRDefault="00B95B2C" w:rsidP="00EE0234">
      <w:pPr>
        <w:tabs>
          <w:tab w:val="left" w:pos="2105"/>
        </w:tabs>
        <w:spacing w:after="0" w:line="240" w:lineRule="auto"/>
        <w:jc w:val="both"/>
        <w:rPr>
          <w:rFonts w:ascii="Times New Roman" w:hAnsi="Times New Roman" w:cs="Times New Roman"/>
        </w:rPr>
      </w:pPr>
    </w:p>
    <w:p w14:paraId="1832591B" w14:textId="77777777" w:rsidR="003C6872" w:rsidRPr="00044728" w:rsidRDefault="00075FF0" w:rsidP="00EE0234">
      <w:pPr>
        <w:tabs>
          <w:tab w:val="left" w:pos="2105"/>
        </w:tabs>
        <w:spacing w:after="0" w:line="240" w:lineRule="auto"/>
        <w:jc w:val="both"/>
        <w:rPr>
          <w:rFonts w:ascii="Times New Roman" w:hAnsi="Times New Roman" w:cs="Times New Roman"/>
        </w:rPr>
      </w:pPr>
      <w:r w:rsidRPr="00044728">
        <w:rPr>
          <w:rFonts w:ascii="Times New Roman" w:hAnsi="Times New Roman" w:cs="Times New Roman"/>
        </w:rPr>
        <w:t>The operator</w:t>
      </w:r>
      <w:r w:rsidR="00502324" w:rsidRPr="00044728">
        <w:rPr>
          <w:rFonts w:ascii="Times New Roman" w:hAnsi="Times New Roman" w:cs="Times New Roman"/>
        </w:rPr>
        <w:t xml:space="preserve"> </w:t>
      </w:r>
      <m:oMath>
        <m:r>
          <w:rPr>
            <w:rFonts w:ascii="Cambria Math" w:eastAsiaTheme="minorEastAsia" w:hAnsi="Cambria Math" w:cs="Times New Roman"/>
          </w:rPr>
          <m:t>∆</m:t>
        </m:r>
      </m:oMath>
      <w:r w:rsidRPr="00044728">
        <w:rPr>
          <w:rFonts w:ascii="Times New Roman" w:hAnsi="Times New Roman" w:cs="Times New Roman"/>
        </w:rPr>
        <w:t xml:space="preserve"> denotes the first-difference operator, such that</w:t>
      </w:r>
    </w:p>
    <w:p w14:paraId="5E910FF0" w14:textId="77777777" w:rsidR="00B95B2C" w:rsidRPr="00044728" w:rsidRDefault="00B95B2C" w:rsidP="00EE0234">
      <w:pPr>
        <w:tabs>
          <w:tab w:val="left" w:pos="2105"/>
        </w:tabs>
        <w:spacing w:after="0" w:line="240" w:lineRule="auto"/>
        <w:jc w:val="both"/>
        <w:rPr>
          <w:rFonts w:ascii="Times New Roman" w:hAnsi="Times New Roman" w:cs="Times New Roman"/>
        </w:rPr>
      </w:pPr>
    </w:p>
    <w:p w14:paraId="7E1D4DB0" w14:textId="77777777" w:rsidR="00502324" w:rsidRPr="00044728" w:rsidRDefault="00502324" w:rsidP="00EE0234">
      <w:pPr>
        <w:tabs>
          <w:tab w:val="left" w:pos="2105"/>
        </w:tabs>
        <w:spacing w:after="0" w:line="240" w:lineRule="auto"/>
        <w:jc w:val="both"/>
        <w:rPr>
          <w:rFonts w:ascii="Times New Roman" w:eastAsiaTheme="minorEastAsia" w:hAnsi="Times New Roman" w:cs="Times New Roman"/>
        </w:rPr>
      </w:pPr>
      <m:oMath>
        <m:r>
          <w:rPr>
            <w:rFonts w:ascii="Cambria Math" w:eastAsiaTheme="minorEastAsia"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oMath>
      <w:r w:rsidRPr="00044728">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t-1</m:t>
            </m:r>
          </m:sub>
        </m:sSub>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(2)</w:t>
      </w:r>
    </w:p>
    <w:p w14:paraId="453A6188" w14:textId="77777777" w:rsidR="00B95B2C" w:rsidRPr="00044728" w:rsidRDefault="00B95B2C" w:rsidP="00EE0234">
      <w:pPr>
        <w:tabs>
          <w:tab w:val="left" w:pos="2105"/>
        </w:tabs>
        <w:spacing w:after="0" w:line="240" w:lineRule="auto"/>
        <w:jc w:val="both"/>
        <w:rPr>
          <w:rFonts w:ascii="Times New Roman" w:hAnsi="Times New Roman" w:cs="Times New Roman"/>
        </w:rPr>
      </w:pPr>
    </w:p>
    <w:p w14:paraId="6BBC7D57" w14:textId="77777777" w:rsidR="00502324" w:rsidRPr="00044728" w:rsidRDefault="00502324" w:rsidP="00EE0234">
      <w:pPr>
        <w:tabs>
          <w:tab w:val="left" w:pos="2105"/>
        </w:tabs>
        <w:spacing w:after="0" w:line="240" w:lineRule="auto"/>
        <w:jc w:val="both"/>
        <w:rPr>
          <w:rFonts w:ascii="Times New Roman" w:hAnsi="Times New Roman" w:cs="Times New Roman"/>
        </w:rPr>
      </w:pPr>
      <w:r w:rsidRPr="00044728">
        <w:rPr>
          <w:rFonts w:ascii="Times New Roman" w:hAnsi="Times New Roman" w:cs="Times New Roman"/>
        </w:rPr>
        <w:t>while the continuously compounded return is given by</w:t>
      </w:r>
    </w:p>
    <w:p w14:paraId="392151C4" w14:textId="77777777" w:rsidR="00B95B2C" w:rsidRPr="00044728" w:rsidRDefault="00B95B2C" w:rsidP="00EE0234">
      <w:pPr>
        <w:tabs>
          <w:tab w:val="left" w:pos="2105"/>
        </w:tabs>
        <w:spacing w:after="0" w:line="240" w:lineRule="auto"/>
        <w:jc w:val="both"/>
        <w:rPr>
          <w:rFonts w:ascii="Times New Roman" w:hAnsi="Times New Roman" w:cs="Times New Roman"/>
        </w:rPr>
      </w:pPr>
    </w:p>
    <w:p w14:paraId="4E4A9A0E" w14:textId="77777777" w:rsidR="00B95B2C" w:rsidRPr="00044728" w:rsidRDefault="00502324" w:rsidP="00EE0234">
      <w:pPr>
        <w:tabs>
          <w:tab w:val="left" w:pos="2105"/>
        </w:tabs>
        <w:spacing w:after="0" w:line="240" w:lineRule="auto"/>
        <w:jc w:val="both"/>
        <w:rPr>
          <w:rFonts w:ascii="Times New Roman" w:eastAsiaTheme="minorEastAsia" w:hAnsi="Times New Roman" w:cs="Times New Roman"/>
        </w:rPr>
      </w:pPr>
      <m:oMath>
        <m:r>
          <w:rPr>
            <w:rFonts w:ascii="Cambria Math" w:eastAsiaTheme="minorEastAsia" w:hAnsi="Cambria Math" w:cs="Times New Roman"/>
          </w:rPr>
          <m:t>∆In</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oMath>
      <w:r w:rsidRPr="00044728">
        <w:rPr>
          <w:rFonts w:ascii="Times New Roman" w:eastAsiaTheme="minorEastAsia" w:hAnsi="Times New Roman" w:cs="Times New Roman"/>
        </w:rPr>
        <w:t xml:space="preserve">= </w:t>
      </w:r>
      <m:oMath>
        <m:r>
          <w:rPr>
            <w:rFonts w:ascii="Cambria Math" w:eastAsiaTheme="minorEastAsia" w:hAnsi="Cambria Math" w:cs="Times New Roman"/>
          </w:rPr>
          <m:t>In(</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In(X</m:t>
            </m:r>
          </m:e>
          <m:sub>
            <m:r>
              <w:rPr>
                <w:rFonts w:ascii="Cambria Math" w:hAnsi="Cambria Math" w:cs="Times New Roman"/>
              </w:rPr>
              <m:t>t-1</m:t>
            </m:r>
          </m:sub>
        </m:sSub>
        <m:r>
          <w:rPr>
            <w:rFonts w:ascii="Cambria Math" w:hAnsi="Cambria Math" w:cs="Times New Roman"/>
          </w:rPr>
          <m:t>)</m:t>
        </m:r>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p>
    <w:p w14:paraId="1F04DA5D" w14:textId="77777777" w:rsidR="00502324" w:rsidRPr="00044728" w:rsidRDefault="00502324" w:rsidP="00EE0234">
      <w:pPr>
        <w:tabs>
          <w:tab w:val="left" w:pos="2105"/>
        </w:tabs>
        <w:spacing w:after="0" w:line="240" w:lineRule="auto"/>
        <w:jc w:val="both"/>
        <w:rPr>
          <w:rFonts w:ascii="Times New Roman" w:eastAsiaTheme="minorEastAsia" w:hAnsi="Times New Roman" w:cs="Times New Roman"/>
        </w:rPr>
      </w:pPr>
      <w:r w:rsidRPr="00044728">
        <w:rPr>
          <w:rFonts w:ascii="Times New Roman" w:eastAsiaTheme="minorEastAsia" w:hAnsi="Times New Roman" w:cs="Times New Roman"/>
        </w:rPr>
        <w:t xml:space="preserve">          =</w:t>
      </w:r>
      <w:proofErr w:type="gramStart"/>
      <w:r w:rsidRPr="00044728">
        <w:rPr>
          <w:rFonts w:ascii="Times New Roman" w:eastAsiaTheme="minorEastAsia" w:hAnsi="Times New Roman" w:cs="Times New Roman"/>
        </w:rPr>
        <w:t>In(</w:t>
      </w:r>
      <w:proofErr w:type="gramEnd"/>
      <m:oMath>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t</m:t>
                </m:r>
              </m:sub>
            </m:sSub>
          </m:num>
          <m:den>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t-1</m:t>
                </m:r>
              </m:sub>
            </m:sSub>
          </m:den>
        </m:f>
      </m:oMath>
      <w:r w:rsidRPr="00044728">
        <w:rPr>
          <w:rFonts w:ascii="Times New Roman" w:eastAsiaTheme="minorEastAsia" w:hAnsi="Times New Roman" w:cs="Times New Roman"/>
        </w:rPr>
        <w:t>)</w:t>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(3)</w:t>
      </w:r>
    </w:p>
    <w:p w14:paraId="1839DC02" w14:textId="77777777" w:rsidR="00502324" w:rsidRPr="00044728" w:rsidRDefault="00502324" w:rsidP="00EE0234">
      <w:pPr>
        <w:pStyle w:val="Heading3"/>
        <w:spacing w:after="0" w:line="240" w:lineRule="auto"/>
        <w:jc w:val="both"/>
        <w:rPr>
          <w:rFonts w:ascii="Times New Roman" w:hAnsi="Times New Roman" w:cs="Times New Roman"/>
          <w:color w:val="auto"/>
          <w:kern w:val="0"/>
          <w:sz w:val="24"/>
          <w:szCs w:val="24"/>
          <w14:ligatures w14:val="none"/>
        </w:rPr>
      </w:pPr>
      <w:r w:rsidRPr="00044728">
        <w:rPr>
          <w:rFonts w:ascii="Times New Roman" w:hAnsi="Times New Roman" w:cs="Times New Roman"/>
          <w:color w:val="auto"/>
          <w:sz w:val="24"/>
          <w:szCs w:val="24"/>
        </w:rPr>
        <w:t>General VAR Formulation</w:t>
      </w:r>
    </w:p>
    <w:p w14:paraId="7EB9F15E" w14:textId="77777777" w:rsidR="00502324" w:rsidRPr="00044728" w:rsidRDefault="00502324" w:rsidP="00EE0234">
      <w:pPr>
        <w:pStyle w:val="NormalWeb"/>
        <w:spacing w:after="0" w:afterAutospacing="0"/>
        <w:jc w:val="both"/>
      </w:pPr>
      <w:r w:rsidRPr="00044728">
        <w:t xml:space="preserve">The unrestricted VAR model of order </w:t>
      </w:r>
      <w:r w:rsidRPr="00044728">
        <w:rPr>
          <w:rStyle w:val="katex"/>
          <w:rFonts w:eastAsiaTheme="majorEastAsia"/>
        </w:rPr>
        <w:t>p</w:t>
      </w:r>
      <w:r w:rsidRPr="00044728">
        <w:t xml:space="preserve">, denoted by </w:t>
      </w:r>
      <w:r w:rsidRPr="00044728">
        <w:rPr>
          <w:rStyle w:val="katex"/>
          <w:rFonts w:eastAsiaTheme="majorEastAsia"/>
        </w:rPr>
        <w:t>VAR(p)</w:t>
      </w:r>
      <w:r w:rsidRPr="00044728">
        <w:t>, is specified as</w:t>
      </w:r>
    </w:p>
    <w:p w14:paraId="3E6DAFA4" w14:textId="77777777" w:rsidR="00502324" w:rsidRPr="00044728" w:rsidRDefault="00000000"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=c+</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p</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(4)</w:t>
      </w:r>
    </w:p>
    <w:p w14:paraId="10F7F03C" w14:textId="77777777" w:rsidR="0014727B" w:rsidRPr="00044728" w:rsidRDefault="0014727B" w:rsidP="00EE0234">
      <w:pPr>
        <w:tabs>
          <w:tab w:val="left" w:pos="2105"/>
        </w:tabs>
        <w:spacing w:after="0" w:line="240" w:lineRule="auto"/>
        <w:jc w:val="both"/>
        <w:rPr>
          <w:rFonts w:ascii="Times New Roman" w:eastAsiaTheme="minorEastAsia" w:hAnsi="Times New Roman" w:cs="Times New Roman"/>
        </w:rPr>
      </w:pPr>
      <w:proofErr w:type="gramStart"/>
      <w:r w:rsidRPr="00044728">
        <w:rPr>
          <w:rFonts w:ascii="Times New Roman" w:eastAsiaTheme="minorEastAsia" w:hAnsi="Times New Roman" w:cs="Times New Roman"/>
        </w:rPr>
        <w:t>where</w:t>
      </w:r>
      <w:proofErr w:type="gramEnd"/>
    </w:p>
    <w:p w14:paraId="12C7F67B" w14:textId="77777777" w:rsidR="00502324" w:rsidRPr="00044728" w:rsidRDefault="0014727B" w:rsidP="00EE0234">
      <w:pPr>
        <w:tabs>
          <w:tab w:val="left" w:pos="2105"/>
        </w:tabs>
        <w:spacing w:after="0" w:line="240" w:lineRule="auto"/>
        <w:jc w:val="both"/>
        <w:rPr>
          <w:rFonts w:ascii="Times New Roman" w:eastAsiaTheme="minorEastAsia" w:hAnsi="Times New Roman" w:cs="Times New Roman"/>
        </w:rPr>
      </w:pPr>
      <w:r w:rsidRPr="00044728">
        <w:rPr>
          <w:rFonts w:ascii="Times New Roman" w:eastAsiaTheme="minorEastAsia" w:hAnsi="Times New Roman" w:cs="Times New Roman"/>
        </w:rPr>
        <w:t>c</w:t>
      </w:r>
      <w:r w:rsidR="00A231F1" w:rsidRPr="00044728">
        <w:rPr>
          <w:rFonts w:ascii="Times New Roman" w:eastAsiaTheme="minorEastAsia" w:hAnsi="Times New Roman" w:cs="Times New Roman"/>
        </w:rPr>
        <w:t>=</w:t>
      </w:r>
      <m:oMath>
        <m:d>
          <m:dPr>
            <m:begChr m:val="["/>
            <m:endChr m:val="]"/>
            <m:ctrlPr>
              <w:rPr>
                <w:rFonts w:ascii="Cambria Math" w:eastAsiaTheme="minorEastAsia" w:hAnsi="Cambria Math" w:cs="Times New Roman"/>
                <w:i/>
              </w:rPr>
            </m:ctrlPr>
          </m:dPr>
          <m:e>
            <m:m>
              <m:mPr>
                <m:mcs>
                  <m:mc>
                    <m:mcPr>
                      <m:count m:val="1"/>
                      <m:mcJc m:val="center"/>
                    </m:mcPr>
                  </m:mc>
                </m:mcs>
                <m:ctrlPr>
                  <w:rPr>
                    <w:rFonts w:ascii="Cambria Math" w:eastAsiaTheme="minorEastAsia" w:hAnsi="Cambria Math" w:cs="Times New Roman"/>
                    <w:i/>
                  </w:rPr>
                </m:ctrlPr>
              </m:mPr>
              <m:mr>
                <m:e>
                  <m:m>
                    <m:mPr>
                      <m:mcs>
                        <m:mc>
                          <m:mcPr>
                            <m:count m:val="1"/>
                            <m:mcJc m:val="center"/>
                          </m:mcPr>
                        </m:mc>
                      </m:mcs>
                      <m:ctrlPr>
                        <w:rPr>
                          <w:rFonts w:ascii="Cambria Math" w:eastAsiaTheme="minorEastAsia" w:hAnsi="Cambria Math" w:cs="Times New Roman"/>
                          <w:i/>
                        </w:rPr>
                      </m:ctrlPr>
                    </m:mPr>
                    <m:mr>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1</m:t>
                            </m:r>
                          </m:sub>
                        </m:sSub>
                      </m:e>
                    </m:mr>
                    <m:mr>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2</m:t>
                            </m:r>
                          </m:sub>
                        </m:sSub>
                      </m:e>
                    </m:mr>
                  </m:m>
                </m:e>
              </m:mr>
              <m:mr>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3</m:t>
                      </m:r>
                    </m:sub>
                  </m:sSub>
                </m:e>
              </m:mr>
              <m:mr>
                <m:e>
                  <m:m>
                    <m:mPr>
                      <m:mcs>
                        <m:mc>
                          <m:mcPr>
                            <m:count m:val="1"/>
                            <m:mcJc m:val="center"/>
                          </m:mcPr>
                        </m:mc>
                      </m:mcs>
                      <m:ctrlPr>
                        <w:rPr>
                          <w:rFonts w:ascii="Cambria Math" w:eastAsiaTheme="minorEastAsia" w:hAnsi="Cambria Math" w:cs="Times New Roman"/>
                          <w:i/>
                        </w:rPr>
                      </m:ctrlPr>
                    </m:mPr>
                    <m:mr>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4</m:t>
                            </m:r>
                          </m:sub>
                        </m:sSub>
                      </m:e>
                    </m:mr>
                    <m:mr>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5</m:t>
                            </m:r>
                          </m:sub>
                        </m:sSub>
                      </m:e>
                    </m:mr>
                    <m:mr>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6</m:t>
                            </m:r>
                          </m:sub>
                        </m:sSub>
                      </m:e>
                    </m:mr>
                  </m:m>
                </m:e>
              </m:mr>
            </m:m>
          </m:e>
        </m:d>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(5)</w:t>
      </w:r>
    </w:p>
    <w:p w14:paraId="1C478781" w14:textId="77777777" w:rsidR="0014727B" w:rsidRPr="00044728" w:rsidRDefault="0014727B" w:rsidP="00EE0234">
      <w:pPr>
        <w:tabs>
          <w:tab w:val="left" w:pos="2105"/>
        </w:tabs>
        <w:spacing w:after="0" w:line="240" w:lineRule="auto"/>
        <w:jc w:val="both"/>
        <w:rPr>
          <w:rFonts w:ascii="Times New Roman" w:hAnsi="Times New Roman" w:cs="Times New Roman"/>
        </w:rPr>
      </w:pPr>
      <w:r w:rsidRPr="00044728">
        <w:rPr>
          <w:rFonts w:ascii="Times New Roman" w:hAnsi="Times New Roman" w:cs="Times New Roman"/>
        </w:rPr>
        <w:t>is the vector of intercept terms,</w:t>
      </w:r>
    </w:p>
    <w:p w14:paraId="7F2629E4" w14:textId="77777777" w:rsidR="00DE0D6E" w:rsidRPr="00044728" w:rsidRDefault="00000000" w:rsidP="00EE0234">
      <w:pPr>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j</m:t>
            </m:r>
          </m:sub>
        </m:sSub>
        <m:r>
          <w:rPr>
            <w:rFonts w:ascii="Cambria Math" w:hAnsi="Cambria Math" w:cs="Times New Roman"/>
          </w:rPr>
          <m:t>∈</m:t>
        </m:r>
        <m:sSup>
          <m:sSupPr>
            <m:ctrlPr>
              <w:rPr>
                <w:rFonts w:ascii="Cambria Math" w:hAnsi="Cambria Math" w:cs="Times New Roman"/>
                <w:i/>
              </w:rPr>
            </m:ctrlPr>
          </m:sSupPr>
          <m:e>
            <m:r>
              <m:rPr>
                <m:scr m:val="double-struck"/>
              </m:rPr>
              <w:rPr>
                <w:rFonts w:ascii="Cambria Math" w:hAnsi="Cambria Math" w:cs="Times New Roman"/>
              </w:rPr>
              <m:t>R</m:t>
            </m:r>
          </m:e>
          <m:sup>
            <m:r>
              <w:rPr>
                <w:rFonts w:ascii="Cambria Math" w:hAnsi="Cambria Math" w:cs="Times New Roman"/>
              </w:rPr>
              <m:t>kxk</m:t>
            </m:r>
          </m:sup>
        </m:sSup>
      </m:oMath>
      <w:r w:rsidR="00DA4B91" w:rsidRPr="00044728">
        <w:rPr>
          <w:rFonts w:ascii="Times New Roman" w:eastAsiaTheme="minorEastAsia" w:hAnsi="Times New Roman" w:cs="Times New Roman"/>
        </w:rPr>
        <w:t>,</w:t>
      </w:r>
      <w:r w:rsidR="00DA4B91" w:rsidRPr="00044728">
        <w:rPr>
          <w:rFonts w:ascii="Times New Roman" w:eastAsiaTheme="minorEastAsia" w:hAnsi="Times New Roman" w:cs="Times New Roman"/>
        </w:rPr>
        <w:tab/>
      </w:r>
      <m:oMath>
        <m:r>
          <w:rPr>
            <w:rFonts w:ascii="Cambria Math" w:hAnsi="Cambria Math" w:cs="Times New Roman"/>
          </w:rPr>
          <m:t>j=i,…,p,</m:t>
        </m:r>
      </m:oMath>
    </w:p>
    <w:p w14:paraId="7621FB59" w14:textId="77777777" w:rsidR="00DA4B91" w:rsidRPr="00044728" w:rsidRDefault="00DE0D6E" w:rsidP="00EE0234">
      <w:pPr>
        <w:tabs>
          <w:tab w:val="left" w:pos="2105"/>
        </w:tabs>
        <w:spacing w:after="0" w:line="240" w:lineRule="auto"/>
        <w:jc w:val="both"/>
        <w:rPr>
          <w:rFonts w:ascii="Times New Roman" w:hAnsi="Times New Roman" w:cs="Times New Roman"/>
        </w:rPr>
      </w:pPr>
      <w:r w:rsidRPr="00044728">
        <w:rPr>
          <w:rFonts w:ascii="Times New Roman" w:hAnsi="Times New Roman" w:cs="Times New Roman"/>
        </w:rPr>
        <w:t>are coefficient matrices,</w:t>
      </w:r>
    </w:p>
    <w:p w14:paraId="10B4785A" w14:textId="77777777" w:rsidR="00D74890" w:rsidRPr="00044728" w:rsidRDefault="00000000" w:rsidP="00EE0234">
      <w:pPr>
        <w:tabs>
          <w:tab w:val="left" w:pos="2105"/>
        </w:tabs>
        <w:spacing w:after="0" w:line="24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r>
          <w:rPr>
            <w:rFonts w:ascii="Cambria Math" w:hAnsi="Cambria Math" w:cs="Times New Roman"/>
          </w:rPr>
          <m:t>∈</m:t>
        </m:r>
        <m:sSup>
          <m:sSupPr>
            <m:ctrlPr>
              <w:rPr>
                <w:rFonts w:ascii="Cambria Math" w:hAnsi="Cambria Math" w:cs="Times New Roman"/>
                <w:i/>
              </w:rPr>
            </m:ctrlPr>
          </m:sSupPr>
          <m:e>
            <m:r>
              <m:rPr>
                <m:scr m:val="double-struck"/>
              </m:rPr>
              <w:rPr>
                <w:rFonts w:ascii="Cambria Math" w:hAnsi="Cambria Math" w:cs="Times New Roman"/>
              </w:rPr>
              <m:t>R</m:t>
            </m:r>
          </m:e>
          <m:sup>
            <m:r>
              <w:rPr>
                <w:rFonts w:ascii="Cambria Math" w:hAnsi="Cambria Math" w:cs="Times New Roman"/>
              </w:rPr>
              <m:t>kx1</m:t>
            </m:r>
          </m:sup>
        </m:sSup>
      </m:oMath>
      <w:r w:rsidR="00D74890" w:rsidRPr="00044728">
        <w:rPr>
          <w:rFonts w:ascii="Times New Roman" w:eastAsiaTheme="minorEastAsia" w:hAnsi="Times New Roman" w:cs="Times New Roman"/>
        </w:rPr>
        <w:t>,</w:t>
      </w:r>
    </w:p>
    <w:p w14:paraId="7679C146" w14:textId="77777777" w:rsidR="00D74890" w:rsidRPr="00044728" w:rsidRDefault="00D74890" w:rsidP="00EE0234">
      <w:pPr>
        <w:tabs>
          <w:tab w:val="left" w:pos="2105"/>
        </w:tabs>
        <w:spacing w:after="0" w:line="240" w:lineRule="auto"/>
        <w:jc w:val="both"/>
        <w:rPr>
          <w:rFonts w:ascii="Times New Roman" w:hAnsi="Times New Roman" w:cs="Times New Roman"/>
        </w:rPr>
      </w:pPr>
      <w:r w:rsidRPr="00044728">
        <w:rPr>
          <w:rFonts w:ascii="Times New Roman" w:hAnsi="Times New Roman" w:cs="Times New Roman"/>
        </w:rPr>
        <w:t xml:space="preserve">is the vector of innovations, and </w:t>
      </w:r>
      <w:r w:rsidRPr="00044728">
        <w:rPr>
          <w:rStyle w:val="katex"/>
          <w:rFonts w:ascii="Times New Roman" w:hAnsi="Times New Roman" w:cs="Times New Roman"/>
        </w:rPr>
        <w:t>p</w:t>
      </w:r>
      <w:r w:rsidRPr="00044728">
        <w:rPr>
          <w:rFonts w:ascii="Times New Roman" w:hAnsi="Times New Roman" w:cs="Times New Roman"/>
        </w:rPr>
        <w:t xml:space="preserve"> denotes the optimal lag length.</w:t>
      </w:r>
    </w:p>
    <w:p w14:paraId="37F89D8E" w14:textId="77777777" w:rsidR="00D74890" w:rsidRPr="00044728" w:rsidRDefault="00D74890" w:rsidP="00EE0234">
      <w:pPr>
        <w:tabs>
          <w:tab w:val="left" w:pos="2105"/>
        </w:tabs>
        <w:spacing w:after="0" w:line="240" w:lineRule="auto"/>
        <w:jc w:val="both"/>
        <w:rPr>
          <w:rFonts w:ascii="Times New Roman" w:hAnsi="Times New Roman" w:cs="Times New Roman"/>
        </w:rPr>
      </w:pPr>
      <w:r w:rsidRPr="00044728">
        <w:rPr>
          <w:rFonts w:ascii="Times New Roman" w:hAnsi="Times New Roman" w:cs="Times New Roman"/>
        </w:rPr>
        <w:t>For the six-market specification, the model becomes</w:t>
      </w:r>
    </w:p>
    <w:p w14:paraId="57C125A1" w14:textId="77777777" w:rsidR="00D74890" w:rsidRPr="00044728" w:rsidRDefault="00000000"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=c+</m:t>
        </m:r>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p</m:t>
            </m:r>
          </m:sup>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j</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t-j</m:t>
                </m:r>
              </m:sub>
            </m:sSub>
          </m:e>
        </m:nary>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(6)</w:t>
      </w:r>
    </w:p>
    <w:p w14:paraId="27CD718C" w14:textId="77777777" w:rsidR="00D74890" w:rsidRPr="00044728" w:rsidRDefault="00D74890" w:rsidP="00EE0234">
      <w:pPr>
        <w:tabs>
          <w:tab w:val="left" w:pos="2105"/>
        </w:tabs>
        <w:spacing w:after="0" w:line="240" w:lineRule="auto"/>
        <w:jc w:val="both"/>
        <w:rPr>
          <w:rFonts w:ascii="Times New Roman" w:hAnsi="Times New Roman" w:cs="Times New Roman"/>
        </w:rPr>
      </w:pPr>
      <w:r w:rsidRPr="00044728">
        <w:rPr>
          <w:rFonts w:ascii="Times New Roman" w:hAnsi="Times New Roman" w:cs="Times New Roman"/>
        </w:rPr>
        <w:t>The coefficient matrix for each lag is</w:t>
      </w:r>
    </w:p>
    <w:p w14:paraId="0F89DC75" w14:textId="77777777" w:rsidR="0014727B" w:rsidRPr="00044728" w:rsidRDefault="00000000" w:rsidP="00EE0234">
      <w:pPr>
        <w:tabs>
          <w:tab w:val="left" w:pos="2105"/>
        </w:tabs>
        <w:spacing w:after="0" w:line="24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j</m:t>
            </m:r>
          </m:sub>
        </m:sSub>
        <m:r>
          <w:rPr>
            <w:rFonts w:ascii="Cambria Math" w:hAnsi="Cambria Math" w:cs="Times New Roman"/>
          </w:rPr>
          <m:t>=</m:t>
        </m:r>
        <m:d>
          <m:dPr>
            <m:begChr m:val="["/>
            <m:endChr m:val="]"/>
            <m:ctrlPr>
              <w:rPr>
                <w:rFonts w:ascii="Cambria Math" w:hAnsi="Cambria Math" w:cs="Times New Roman"/>
                <w:i/>
              </w:rPr>
            </m:ctrlPr>
          </m:dPr>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11,j</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12,j</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13,j</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14,j</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15,j</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16,j</m:t>
                                  </m:r>
                                </m:sub>
                              </m:sSub>
                            </m:e>
                          </m:mr>
                        </m:m>
                      </m:e>
                    </m:mr>
                  </m:m>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21,j</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22,j</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23,j</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24,j</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25,j</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26,j</m:t>
                                  </m:r>
                                </m:sub>
                              </m:sSub>
                            </m:e>
                          </m:mr>
                        </m:m>
                      </m:e>
                    </m:mr>
                  </m:m>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31.j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41,j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51,j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61,j</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32,j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42,j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52,j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62,j</m:t>
                                  </m:r>
                                </m:sub>
                              </m:sSub>
                            </m:e>
                          </m:mr>
                        </m:m>
                      </m:e>
                    </m:mr>
                  </m:m>
                </m:e>
                <m:e>
                  <m:m>
                    <m:mPr>
                      <m:mcs>
                        <m:mc>
                          <m:mcPr>
                            <m:count m:val="3"/>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33,j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43,j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53,j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63,j</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34,j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44,j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54,j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64,j</m:t>
                                        </m:r>
                                      </m:sub>
                                    </m:sSub>
                                  </m:e>
                                </m:mr>
                              </m:m>
                            </m:e>
                          </m:mr>
                        </m:m>
                      </m:e>
                      <m:e>
                        <m:m>
                          <m:mPr>
                            <m:mcs>
                              <m:mc>
                                <m:mcPr>
                                  <m:count m:val="2"/>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35,j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45,j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55,j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65,j</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36,j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46,j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56,j</m:t>
                                              </m:r>
                                            </m:sub>
                                          </m:sSub>
                                        </m:e>
                                      </m:m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66,j</m:t>
                                              </m:r>
                                            </m:sub>
                                          </m:sSub>
                                        </m:e>
                                      </m:mr>
                                    </m:m>
                                  </m:e>
                                </m:mr>
                              </m:m>
                            </m:e>
                          </m:mr>
                        </m:m>
                      </m:e>
                    </m:mr>
                  </m:m>
                </m:e>
              </m:mr>
            </m:m>
          </m:e>
        </m:d>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(7)</w:t>
      </w:r>
    </w:p>
    <w:p w14:paraId="36DB2AC1" w14:textId="77777777" w:rsidR="00F65960" w:rsidRPr="00044728" w:rsidRDefault="00D74890" w:rsidP="00EE0234">
      <w:pPr>
        <w:spacing w:after="0" w:line="240" w:lineRule="auto"/>
        <w:jc w:val="both"/>
        <w:rPr>
          <w:rFonts w:ascii="Times New Roman" w:hAnsi="Times New Roman" w:cs="Times New Roman"/>
        </w:rPr>
      </w:pPr>
      <w:r w:rsidRPr="00044728">
        <w:rPr>
          <w:rFonts w:ascii="Times New Roman" w:hAnsi="Times New Roman" w:cs="Times New Roman"/>
        </w:rPr>
        <w:t xml:space="preserve">Thus, each current return is explained by its own past returns as well as the lagged returns of every other market </w:t>
      </w:r>
      <w:r w:rsidR="00F65960" w:rsidRPr="00044728">
        <w:rPr>
          <w:rFonts w:ascii="Times New Roman" w:hAnsi="Times New Roman" w:cs="Times New Roman"/>
        </w:rPr>
        <w:t>and</w:t>
      </w:r>
    </w:p>
    <w:p w14:paraId="1103F513" w14:textId="77777777" w:rsidR="00901380" w:rsidRPr="00044728" w:rsidRDefault="00000000" w:rsidP="00EE0234">
      <w:pPr>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r>
          <w:rPr>
            <w:rFonts w:ascii="Cambria Math" w:hAnsi="Cambria Math" w:cs="Times New Roman"/>
          </w:rPr>
          <m:t>=</m:t>
        </m:r>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EXR,t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COPP,t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BCOP,t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GOLD,t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NGAS,t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STOKP,t</m:t>
                                  </m:r>
                                </m:sub>
                              </m:sSub>
                            </m:e>
                          </m:mr>
                        </m:m>
                      </m:e>
                    </m:mr>
                  </m:m>
                </m:e>
              </m:mr>
            </m:m>
          </m:e>
        </m:d>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(7)</w:t>
      </w:r>
    </w:p>
    <w:p w14:paraId="5FDD8DE7" w14:textId="77777777" w:rsidR="00901380" w:rsidRPr="00044728" w:rsidRDefault="00901380" w:rsidP="00EE0234">
      <w:pPr>
        <w:spacing w:after="0" w:line="240" w:lineRule="auto"/>
        <w:jc w:val="both"/>
        <w:rPr>
          <w:rFonts w:ascii="Times New Roman" w:hAnsi="Times New Roman" w:cs="Times New Roman"/>
        </w:rPr>
      </w:pPr>
      <w:r w:rsidRPr="00044728">
        <w:rPr>
          <w:rFonts w:ascii="Times New Roman" w:hAnsi="Times New Roman" w:cs="Times New Roman"/>
        </w:rPr>
        <w:t>is the vector of innovations.</w:t>
      </w:r>
    </w:p>
    <w:p w14:paraId="5199B301" w14:textId="77777777" w:rsidR="006F41A4" w:rsidRPr="00044728" w:rsidRDefault="006F41A4" w:rsidP="00EE0234">
      <w:pPr>
        <w:spacing w:after="0" w:line="240" w:lineRule="auto"/>
        <w:jc w:val="both"/>
        <w:rPr>
          <w:rFonts w:ascii="Times New Roman" w:hAnsi="Times New Roman" w:cs="Times New Roman"/>
        </w:rPr>
      </w:pPr>
    </w:p>
    <w:p w14:paraId="10751046" w14:textId="77777777" w:rsidR="006F41A4" w:rsidRPr="00044728" w:rsidRDefault="006F41A4" w:rsidP="00EE0234">
      <w:pPr>
        <w:spacing w:after="0" w:line="240" w:lineRule="auto"/>
        <w:jc w:val="both"/>
        <w:rPr>
          <w:rFonts w:ascii="Times New Roman" w:hAnsi="Times New Roman" w:cs="Times New Roman"/>
        </w:rPr>
      </w:pPr>
    </w:p>
    <w:p w14:paraId="75FDF7E9" w14:textId="77777777" w:rsidR="00901380" w:rsidRPr="00044728" w:rsidRDefault="00901380" w:rsidP="00EE0234">
      <w:pPr>
        <w:spacing w:after="0" w:line="240" w:lineRule="auto"/>
        <w:jc w:val="both"/>
        <w:rPr>
          <w:rFonts w:ascii="Times New Roman" w:hAnsi="Times New Roman" w:cs="Times New Roman"/>
          <w:b/>
        </w:rPr>
      </w:pPr>
      <w:r w:rsidRPr="00044728">
        <w:rPr>
          <w:rFonts w:ascii="Times New Roman" w:hAnsi="Times New Roman" w:cs="Times New Roman"/>
          <w:b/>
        </w:rPr>
        <w:t>Innovation and Conditional Variance Formulation</w:t>
      </w:r>
    </w:p>
    <w:p w14:paraId="2B1CA579" w14:textId="77777777" w:rsidR="00901380" w:rsidRPr="00044728" w:rsidRDefault="00901380" w:rsidP="00EE0234">
      <w:pPr>
        <w:spacing w:after="0" w:line="240" w:lineRule="auto"/>
        <w:jc w:val="both"/>
        <w:rPr>
          <w:rFonts w:ascii="Times New Roman" w:hAnsi="Times New Roman" w:cs="Times New Roman"/>
        </w:rPr>
      </w:pPr>
      <w:r w:rsidRPr="00044728">
        <w:rPr>
          <w:rFonts w:ascii="Times New Roman" w:hAnsi="Times New Roman" w:cs="Times New Roman"/>
        </w:rPr>
        <w:t>The principal purpose of the VAR stage in this study is not merely to examine mean-return relationships but also to obtain the innovation or residual series required for the subsequent multivariate volatility analysis.</w:t>
      </w:r>
    </w:p>
    <w:p w14:paraId="0504E84E" w14:textId="77777777" w:rsidR="001D1133" w:rsidRPr="00044728" w:rsidRDefault="00901380" w:rsidP="00EE0234">
      <w:pPr>
        <w:spacing w:after="0" w:line="240" w:lineRule="auto"/>
        <w:jc w:val="both"/>
        <w:rPr>
          <w:rFonts w:ascii="Times New Roman" w:hAnsi="Times New Roman" w:cs="Times New Roman"/>
        </w:rPr>
      </w:pPr>
      <w:r w:rsidRPr="00044728">
        <w:rPr>
          <w:rFonts w:ascii="Times New Roman" w:hAnsi="Times New Roman" w:cs="Times New Roman"/>
        </w:rPr>
        <w:t>From the VAR system,</w:t>
      </w:r>
    </w:p>
    <w:p w14:paraId="2850A78B" w14:textId="77777777" w:rsidR="00901380" w:rsidRPr="00044728" w:rsidRDefault="00000000" w:rsidP="00EE0234">
      <w:pPr>
        <w:tabs>
          <w:tab w:val="left" w:pos="2105"/>
        </w:tabs>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r>
              <w:rPr>
                <w:rFonts w:ascii="Cambria Math" w:hAnsi="Cambria Math" w:cs="Times New Roman"/>
              </w:rPr>
              <m:t>=R</m:t>
            </m:r>
          </m:e>
          <m:sub>
            <m:r>
              <w:rPr>
                <w:rFonts w:ascii="Cambria Math" w:hAnsi="Cambria Math" w:cs="Times New Roman"/>
              </w:rPr>
              <m:t>t</m:t>
            </m:r>
          </m:sub>
        </m:sSub>
        <m:r>
          <w:rPr>
            <w:rFonts w:ascii="Cambria Math" w:hAnsi="Cambria Math" w:cs="Times New Roman"/>
          </w:rPr>
          <m:t>-c-</m:t>
        </m:r>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p</m:t>
            </m:r>
          </m:sup>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j</m:t>
                </m:r>
              </m:sub>
            </m:sSub>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t-j</m:t>
                </m:r>
              </m:sub>
            </m:sSub>
          </m:e>
        </m:nary>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(9)</w:t>
      </w:r>
    </w:p>
    <w:p w14:paraId="3938439B" w14:textId="77777777" w:rsidR="00901380" w:rsidRPr="00044728" w:rsidRDefault="009B51E9" w:rsidP="00EE0234">
      <w:pPr>
        <w:spacing w:after="0" w:line="240" w:lineRule="auto"/>
        <w:jc w:val="both"/>
        <w:rPr>
          <w:rFonts w:ascii="Times New Roman" w:hAnsi="Times New Roman" w:cs="Times New Roman"/>
        </w:rPr>
      </w:pPr>
      <w:r w:rsidRPr="00044728">
        <w:rPr>
          <w:rFonts w:ascii="Times New Roman" w:hAnsi="Times New Roman" w:cs="Times New Roman"/>
        </w:rPr>
        <w:t>The conditional covariance matrix of the innovations is defined as</w:t>
      </w:r>
    </w:p>
    <w:p w14:paraId="3E866F6B" w14:textId="77777777" w:rsidR="009B51E9" w:rsidRPr="00044728" w:rsidRDefault="00000000" w:rsidP="00EE0234">
      <w:pPr>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j</m:t>
            </m:r>
          </m:sub>
        </m:sSub>
        <m:r>
          <w:rPr>
            <w:rFonts w:ascii="Cambria Math" w:hAnsi="Cambria Math" w:cs="Times New Roman"/>
          </w:rPr>
          <m:t>=E(</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r>
              <w:rPr>
                <w:rFonts w:ascii="Cambria Math" w:hAnsi="Cambria Math" w:cs="Times New Roman"/>
              </w:rPr>
              <m:t>'</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t-1</m:t>
            </m:r>
          </m:sub>
        </m:sSub>
        <m:r>
          <w:rPr>
            <w:rFonts w:ascii="Cambria Math" w:hAnsi="Cambria Math" w:cs="Times New Roman"/>
          </w:rPr>
          <m:t>)</m:t>
        </m:r>
      </m:oMath>
      <w:r w:rsidR="009B51E9" w:rsidRPr="00044728">
        <w:rPr>
          <w:rFonts w:ascii="Times New Roman" w:eastAsiaTheme="minorEastAsia" w:hAnsi="Times New Roman" w:cs="Times New Roman"/>
        </w:rPr>
        <w:t>,</w:t>
      </w:r>
    </w:p>
    <w:p w14:paraId="466D3B1B" w14:textId="77777777" w:rsidR="009B51E9" w:rsidRPr="00044728" w:rsidRDefault="009B51E9" w:rsidP="00EE0234">
      <w:pPr>
        <w:spacing w:before="100" w:beforeAutospacing="1"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xml:space="preserve">Where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t-1</m:t>
            </m:r>
          </m:sub>
        </m:sSub>
      </m:oMath>
      <w:r w:rsidRPr="00044728">
        <w:rPr>
          <w:rFonts w:ascii="Times New Roman" w:eastAsia="Times New Roman" w:hAnsi="Times New Roman" w:cs="Times New Roman"/>
          <w:kern w:val="0"/>
          <w14:ligatures w14:val="none"/>
        </w:rPr>
        <w:t xml:space="preserve"> represents the information set available at time t−1t-1.</w:t>
      </w:r>
    </w:p>
    <w:p w14:paraId="67814F7A" w14:textId="77777777" w:rsidR="009B51E9" w:rsidRPr="00044728" w:rsidRDefault="009B51E9" w:rsidP="00EE0234">
      <w:pPr>
        <w:spacing w:before="100" w:beforeAutospacing="1"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Explicitly,</w:t>
      </w:r>
    </w:p>
    <w:p w14:paraId="66D2DEE6" w14:textId="77777777" w:rsidR="009B51E9" w:rsidRPr="00044728" w:rsidRDefault="009B51E9" w:rsidP="00EE0234">
      <w:pPr>
        <w:spacing w:after="0" w:line="240" w:lineRule="auto"/>
        <w:jc w:val="both"/>
        <w:rPr>
          <w:rFonts w:ascii="Times New Roman" w:hAnsi="Times New Roman" w:cs="Times New Roman"/>
        </w:rPr>
      </w:pPr>
    </w:p>
    <w:p w14:paraId="42BE06C1" w14:textId="77777777" w:rsidR="001D1133" w:rsidRPr="00044728" w:rsidRDefault="00000000" w:rsidP="00EE0234">
      <w:pPr>
        <w:tabs>
          <w:tab w:val="left" w:pos="2105"/>
        </w:tabs>
        <w:spacing w:after="0" w:line="24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r>
          <w:rPr>
            <w:rFonts w:ascii="Cambria Math" w:hAnsi="Cambria Math" w:cs="Times New Roman"/>
          </w:rPr>
          <m:t>=</m:t>
        </m:r>
        <m:d>
          <m:dPr>
            <m:begChr m:val="["/>
            <m:endChr m:val="]"/>
            <m:ctrlPr>
              <w:rPr>
                <w:rFonts w:ascii="Cambria Math" w:hAnsi="Cambria Math" w:cs="Times New Roman"/>
                <w:i/>
              </w:rPr>
            </m:ctrlPr>
          </m:dPr>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11,j</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12,j</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13,j</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14,j</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15,j</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16,j</m:t>
                                  </m:r>
                                </m:sub>
                              </m:sSub>
                            </m:e>
                          </m:mr>
                        </m:m>
                      </m:e>
                    </m:mr>
                  </m:m>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21,j</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22,j</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23,j</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24,j</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25,j</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26,j</m:t>
                                  </m:r>
                                </m:sub>
                              </m:sSub>
                            </m:e>
                          </m:mr>
                        </m:m>
                      </m:e>
                    </m:mr>
                  </m:m>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31.j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41,j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51,j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61,j</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32,j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42,j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52,j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62,j</m:t>
                                  </m:r>
                                </m:sub>
                              </m:sSub>
                            </m:e>
                          </m:mr>
                        </m:m>
                      </m:e>
                    </m:mr>
                  </m:m>
                </m:e>
                <m:e>
                  <m:m>
                    <m:mPr>
                      <m:mcs>
                        <m:mc>
                          <m:mcPr>
                            <m:count m:val="3"/>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33,j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43,j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53,j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63,j</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34,j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44,j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54,j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64,j</m:t>
                                        </m:r>
                                      </m:sub>
                                    </m:sSub>
                                  </m:e>
                                </m:mr>
                              </m:m>
                            </m:e>
                          </m:mr>
                        </m:m>
                      </m:e>
                      <m:e>
                        <m:m>
                          <m:mPr>
                            <m:mcs>
                              <m:mc>
                                <m:mcPr>
                                  <m:count m:val="2"/>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35,j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45,j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55,j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65,j</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36,j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46,j</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56,j</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66,j</m:t>
                                              </m:r>
                                            </m:sub>
                                          </m:sSub>
                                        </m:e>
                                      </m:mr>
                                    </m:m>
                                  </m:e>
                                </m:mr>
                              </m:m>
                            </m:e>
                          </m:mr>
                        </m:m>
                      </m:e>
                    </m:mr>
                  </m:m>
                </m:e>
              </m:mr>
            </m:m>
          </m:e>
        </m:d>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(10)</w:t>
      </w:r>
    </w:p>
    <w:p w14:paraId="0F15F4DB" w14:textId="77777777" w:rsidR="001D1133" w:rsidRPr="00044728" w:rsidRDefault="009B51E9" w:rsidP="00EE0234">
      <w:pPr>
        <w:spacing w:after="0" w:line="240" w:lineRule="auto"/>
        <w:jc w:val="both"/>
        <w:rPr>
          <w:rFonts w:ascii="Times New Roman" w:hAnsi="Times New Roman" w:cs="Times New Roman"/>
        </w:rPr>
      </w:pPr>
      <w:r w:rsidRPr="00044728">
        <w:rPr>
          <w:rFonts w:ascii="Times New Roman" w:hAnsi="Times New Roman" w:cs="Times New Roman"/>
        </w:rPr>
        <w:t>The diagonal elements,</w:t>
      </w:r>
    </w:p>
    <w:p w14:paraId="585F27C2" w14:textId="77777777" w:rsidR="009B51E9" w:rsidRPr="00044728" w:rsidRDefault="00000000" w:rsidP="00EE0234">
      <w:pPr>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ii,t</m:t>
            </m:r>
          </m:sub>
        </m:sSub>
        <m:r>
          <w:rPr>
            <w:rFonts w:ascii="Cambria Math" w:hAnsi="Cambria Math" w:cs="Times New Roman"/>
          </w:rPr>
          <m:t>=Var(</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t-1</m:t>
            </m:r>
          </m:sub>
        </m:sSub>
        <m:r>
          <w:rPr>
            <w:rFonts w:ascii="Cambria Math" w:hAnsi="Cambria Math" w:cs="Times New Roman"/>
          </w:rPr>
          <m:t>)</m:t>
        </m:r>
      </m:oMath>
      <w:r w:rsidR="009B51E9" w:rsidRPr="00044728">
        <w:rPr>
          <w:rFonts w:ascii="Times New Roman" w:eastAsiaTheme="minorEastAsia" w:hAnsi="Times New Roman" w:cs="Times New Roman"/>
        </w:rPr>
        <w:t>,</w:t>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(11)</w:t>
      </w:r>
    </w:p>
    <w:p w14:paraId="55853224" w14:textId="77777777" w:rsidR="000A2217" w:rsidRPr="00044728" w:rsidRDefault="000A2217" w:rsidP="00EE0234">
      <w:pPr>
        <w:pStyle w:val="pdq2pgselectionanchorcontainer"/>
        <w:spacing w:after="0" w:afterAutospacing="0"/>
        <w:jc w:val="both"/>
      </w:pPr>
      <w:r w:rsidRPr="00044728">
        <w:t>represent the conditional variance of each market, whereas the off-diagonal elements,</w:t>
      </w:r>
    </w:p>
    <w:p w14:paraId="71E161CC" w14:textId="77777777" w:rsidR="000A2217" w:rsidRPr="00044728" w:rsidRDefault="00000000" w:rsidP="00EE0234">
      <w:pPr>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ij,t</m:t>
            </m:r>
          </m:sub>
        </m:sSub>
        <m:r>
          <w:rPr>
            <w:rFonts w:ascii="Cambria Math" w:hAnsi="Cambria Math" w:cs="Times New Roman"/>
          </w:rPr>
          <m:t>=Cov(</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i,t</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j,t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t-1</m:t>
            </m:r>
          </m:sub>
        </m:sSub>
        <m:r>
          <w:rPr>
            <w:rFonts w:ascii="Cambria Math" w:hAnsi="Cambria Math" w:cs="Times New Roman"/>
          </w:rPr>
          <m:t>)</m:t>
        </m:r>
      </m:oMath>
      <w:r w:rsidR="009B51E9" w:rsidRPr="00044728">
        <w:rPr>
          <w:rFonts w:ascii="Times New Roman" w:eastAsiaTheme="minorEastAsia" w:hAnsi="Times New Roman" w:cs="Times New Roman"/>
        </w:rPr>
        <w:t>,</w:t>
      </w:r>
      <w:r w:rsidR="000A2217" w:rsidRPr="00044728">
        <w:rPr>
          <w:rFonts w:ascii="Times New Roman" w:eastAsiaTheme="minorEastAsia" w:hAnsi="Times New Roman" w:cs="Times New Roman"/>
        </w:rPr>
        <w:t xml:space="preserve">           </w:t>
      </w:r>
      <m:oMath>
        <m:r>
          <w:rPr>
            <w:rFonts w:ascii="Cambria Math" w:hAnsi="Cambria Math" w:cs="Times New Roman"/>
          </w:rPr>
          <m:t>i≠j,</m:t>
        </m:r>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(12)</w:t>
      </w:r>
    </w:p>
    <w:p w14:paraId="6E71BD54" w14:textId="77777777" w:rsidR="009B51E9" w:rsidRPr="00044728" w:rsidRDefault="000A2217" w:rsidP="00EE0234">
      <w:pPr>
        <w:pStyle w:val="pdq2pgselectionanchorcontainer"/>
        <w:spacing w:after="0" w:afterAutospacing="0"/>
        <w:jc w:val="both"/>
        <w:rPr>
          <w:rFonts w:eastAsiaTheme="minorEastAsia"/>
        </w:rPr>
      </w:pPr>
      <w:r w:rsidRPr="00044728">
        <w:t xml:space="preserve">represent the conditional covariance between markets </w:t>
      </w:r>
      <w:proofErr w:type="spellStart"/>
      <w:r w:rsidRPr="00044728">
        <w:rPr>
          <w:rStyle w:val="katex"/>
          <w:rFonts w:eastAsiaTheme="majorEastAsia"/>
        </w:rPr>
        <w:t>i</w:t>
      </w:r>
      <w:proofErr w:type="spellEnd"/>
      <w:r w:rsidRPr="00044728">
        <w:t xml:space="preserve"> and </w:t>
      </w:r>
      <w:r w:rsidRPr="00044728">
        <w:rPr>
          <w:rStyle w:val="katex"/>
          <w:rFonts w:eastAsiaTheme="majorEastAsia"/>
        </w:rPr>
        <w:t>j</w:t>
      </w:r>
      <w:r w:rsidRPr="00044728">
        <w:t>.</w:t>
      </w:r>
      <w:r w:rsidRPr="00044728">
        <w:rPr>
          <w:rFonts w:eastAsiaTheme="minorEastAsia"/>
        </w:rPr>
        <w:t xml:space="preserve">       </w:t>
      </w:r>
    </w:p>
    <w:p w14:paraId="1C7920DA" w14:textId="77777777" w:rsidR="007C0D65" w:rsidRPr="00044728" w:rsidRDefault="00000000" w:rsidP="00EE0234">
      <w:pPr>
        <w:spacing w:after="0" w:line="24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ij,t</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ij,t</m:t>
                </m:r>
              </m:sub>
            </m:sSub>
          </m:num>
          <m:den>
            <m:rad>
              <m:radPr>
                <m:degHide m:val="1"/>
                <m:ctrlPr>
                  <w:rPr>
                    <w:rFonts w:ascii="Cambria Math" w:hAnsi="Cambria Math" w:cs="Times New Roman"/>
                    <w:i/>
                  </w:rPr>
                </m:ctrlPr>
              </m:radPr>
              <m:deg/>
              <m:e>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ii,t</m:t>
                        </m:r>
                      </m:sub>
                    </m:sSub>
                    <m:r>
                      <w:rPr>
                        <w:rFonts w:ascii="Cambria Math" w:hAnsi="Cambria Math" w:cs="Times New Roman"/>
                      </w:rPr>
                      <m:t>h</m:t>
                    </m:r>
                  </m:e>
                  <m:sub>
                    <m:r>
                      <w:rPr>
                        <w:rFonts w:ascii="Cambria Math" w:hAnsi="Cambria Math" w:cs="Times New Roman"/>
                      </w:rPr>
                      <m:t>jj,t</m:t>
                    </m:r>
                  </m:sub>
                </m:sSub>
              </m:e>
            </m:rad>
          </m:den>
        </m:f>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(13)</w:t>
      </w:r>
    </w:p>
    <w:p w14:paraId="6DEDFCDF" w14:textId="77777777" w:rsidR="009B51E9" w:rsidRPr="00044728" w:rsidRDefault="007C0D65" w:rsidP="00EE0234">
      <w:pPr>
        <w:pStyle w:val="pdq2pgselectionanchorcontainer"/>
        <w:tabs>
          <w:tab w:val="left" w:pos="3588"/>
        </w:tabs>
        <w:spacing w:after="0" w:afterAutospacing="0"/>
        <w:jc w:val="both"/>
        <w:rPr>
          <w:rFonts w:eastAsiaTheme="minorEastAsia"/>
        </w:rPr>
      </w:pPr>
      <w:r w:rsidRPr="00044728">
        <w:t xml:space="preserve">represent </w:t>
      </w:r>
      <w:r w:rsidR="006F41A4" w:rsidRPr="00044728">
        <w:t xml:space="preserve">the dynamic conditional correlation between markets </w:t>
      </w:r>
      <w:proofErr w:type="spellStart"/>
      <w:r w:rsidR="006F41A4" w:rsidRPr="00044728">
        <w:rPr>
          <w:rStyle w:val="katex"/>
          <w:rFonts w:eastAsiaTheme="majorEastAsia"/>
        </w:rPr>
        <w:t>i</w:t>
      </w:r>
      <w:proofErr w:type="spellEnd"/>
      <w:r w:rsidR="006F41A4" w:rsidRPr="00044728">
        <w:t xml:space="preserve"> and </w:t>
      </w:r>
      <w:r w:rsidR="006F41A4" w:rsidRPr="00044728">
        <w:rPr>
          <w:rStyle w:val="katex"/>
          <w:rFonts w:eastAsiaTheme="majorEastAsia"/>
        </w:rPr>
        <w:t>j</w:t>
      </w:r>
      <w:r w:rsidR="006F41A4" w:rsidRPr="00044728">
        <w:t xml:space="preserve"> is</w:t>
      </w:r>
    </w:p>
    <w:p w14:paraId="5E0AE142" w14:textId="77777777" w:rsidR="009B51E9" w:rsidRPr="00044728" w:rsidRDefault="009B51E9" w:rsidP="00EE0234">
      <w:pPr>
        <w:spacing w:after="0" w:line="240" w:lineRule="auto"/>
        <w:jc w:val="both"/>
        <w:rPr>
          <w:rFonts w:ascii="Times New Roman" w:hAnsi="Times New Roman" w:cs="Times New Roman"/>
        </w:rPr>
      </w:pPr>
    </w:p>
    <w:p w14:paraId="627090B1" w14:textId="77777777" w:rsidR="00FA2485" w:rsidRDefault="00FA2485" w:rsidP="00EE0234">
      <w:pPr>
        <w:spacing w:line="480" w:lineRule="auto"/>
        <w:jc w:val="both"/>
        <w:rPr>
          <w:rFonts w:ascii="Times New Roman" w:hAnsi="Times New Roman" w:cs="Times New Roman"/>
          <w:b/>
          <w:bCs/>
        </w:rPr>
      </w:pPr>
    </w:p>
    <w:p w14:paraId="136BCFD6" w14:textId="77777777" w:rsidR="006E59BF" w:rsidRPr="00044728" w:rsidRDefault="006E59BF" w:rsidP="00EE0234">
      <w:pPr>
        <w:spacing w:line="480" w:lineRule="auto"/>
        <w:jc w:val="both"/>
        <w:rPr>
          <w:rFonts w:ascii="Times New Roman" w:hAnsi="Times New Roman" w:cs="Times New Roman"/>
          <w:b/>
          <w:bCs/>
        </w:rPr>
      </w:pPr>
      <w:r w:rsidRPr="00044728">
        <w:rPr>
          <w:rFonts w:ascii="Times New Roman" w:hAnsi="Times New Roman" w:cs="Times New Roman"/>
          <w:b/>
          <w:bCs/>
        </w:rPr>
        <w:t>Dynamic Conditional Correlation (DCC) Model</w:t>
      </w:r>
    </w:p>
    <w:p w14:paraId="2A11100C" w14:textId="77777777" w:rsidR="006E59BF" w:rsidRPr="00044728" w:rsidRDefault="00FA2485" w:rsidP="00EE0234">
      <w:pPr>
        <w:spacing w:line="480" w:lineRule="auto"/>
        <w:jc w:val="both"/>
        <w:rPr>
          <w:rFonts w:ascii="Times New Roman" w:hAnsi="Times New Roman" w:cs="Times New Roman"/>
        </w:rPr>
      </w:pPr>
      <w:r w:rsidRPr="00FA2485">
        <w:rPr>
          <w:rFonts w:ascii="Times New Roman" w:hAnsi="Times New Roman" w:cs="Times New Roman"/>
        </w:rPr>
        <w:lastRenderedPageBreak/>
        <w:t xml:space="preserve">The Dynamic Conditional Correlation (DCC-) </w:t>
      </w:r>
      <w:r w:rsidR="002E0BE9" w:rsidRPr="00FA2485">
        <w:rPr>
          <w:rFonts w:ascii="Times New Roman" w:hAnsi="Times New Roman" w:cs="Times New Roman"/>
        </w:rPr>
        <w:t>Generalized</w:t>
      </w:r>
      <w:r w:rsidRPr="00FA2485">
        <w:rPr>
          <w:rFonts w:ascii="Times New Roman" w:hAnsi="Times New Roman" w:cs="Times New Roman"/>
        </w:rPr>
        <w:t xml:space="preserve"> Autoregressive Correlation (GARCH) model is a well-known econometric model that offers an estimation of the time-varying correlations that exist between different financial time series. One of the models that came before this one is called the </w:t>
      </w:r>
      <w:r w:rsidR="002E0BE9" w:rsidRPr="00FA2485">
        <w:rPr>
          <w:rFonts w:ascii="Times New Roman" w:hAnsi="Times New Roman" w:cs="Times New Roman"/>
        </w:rPr>
        <w:t>Generalized</w:t>
      </w:r>
      <w:r w:rsidRPr="00FA2485">
        <w:rPr>
          <w:rFonts w:ascii="Times New Roman" w:hAnsi="Times New Roman" w:cs="Times New Roman"/>
        </w:rPr>
        <w:t xml:space="preserve"> Autoregressive Conditional Heteroskedasticity (GARCH) model. This model is responsible for capturing volatility across time.  These models employ the method of modelling conditional variances and correlations rather than focusing on the conditional covariance matrix as their primary focus.</w:t>
      </w:r>
      <w:r w:rsidR="005B132E" w:rsidRPr="005B132E">
        <w:rPr>
          <w:rFonts w:ascii="Times New Roman" w:hAnsi="Times New Roman" w:cs="Times New Roman"/>
        </w:rPr>
        <w:t xml:space="preserve"> Instead, the conditional standard deviations and correlation matrix are used to express the conditional covaria</w:t>
      </w:r>
      <w:r w:rsidR="005B132E">
        <w:rPr>
          <w:rFonts w:ascii="Times New Roman" w:hAnsi="Times New Roman" w:cs="Times New Roman"/>
        </w:rPr>
        <w:t>nce matrix in the following way</w:t>
      </w:r>
      <w:r w:rsidR="006E59BF" w:rsidRPr="00044728">
        <w:rPr>
          <w:rFonts w:ascii="Times New Roman" w:hAnsi="Times New Roman" w:cs="Times New Roman"/>
        </w:rPr>
        <w:t>:</w:t>
      </w:r>
    </w:p>
    <w:p w14:paraId="6BA164E3" w14:textId="77777777" w:rsidR="006E59BF" w:rsidRPr="00044728" w:rsidRDefault="00000000" w:rsidP="00EE0234">
      <w:pPr>
        <w:spacing w:line="480" w:lineRule="auto"/>
        <w:ind w:firstLine="720"/>
        <w:jc w:val="both"/>
        <w:rPr>
          <w:rFonts w:ascii="Times New Roman" w:eastAsiaTheme="minorEastAsia" w:hAnsi="Times New Roman" w:cs="Times New Roman"/>
        </w:rPr>
      </w:pPr>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3A5880" w:rsidRPr="00044728">
        <w:rPr>
          <w:rFonts w:ascii="Times New Roman" w:eastAsiaTheme="minorEastAsia" w:hAnsi="Times New Roman" w:cs="Times New Roman"/>
        </w:rPr>
        <w:t>(14</w:t>
      </w:r>
      <w:r w:rsidR="006E59BF" w:rsidRPr="00044728">
        <w:rPr>
          <w:rFonts w:ascii="Times New Roman" w:eastAsiaTheme="minorEastAsia" w:hAnsi="Times New Roman" w:cs="Times New Roman"/>
        </w:rPr>
        <w:t>)</w:t>
      </w:r>
    </w:p>
    <w:p w14:paraId="29A85213" w14:textId="77777777" w:rsidR="006E59BF" w:rsidRPr="00044728" w:rsidRDefault="006E59BF" w:rsidP="00EE0234">
      <w:pPr>
        <w:spacing w:line="480" w:lineRule="auto"/>
        <w:jc w:val="both"/>
        <w:rPr>
          <w:rFonts w:ascii="Times New Roman" w:hAnsi="Times New Roman" w:cs="Times New Roman"/>
        </w:rPr>
      </w:pPr>
      <w:r w:rsidRPr="00044728">
        <w:rPr>
          <w:rFonts w:ascii="Times New Roman" w:hAnsi="Times New Roman" w:cs="Times New Roman"/>
        </w:rPr>
        <w:t>Where:</w:t>
      </w:r>
    </w:p>
    <w:p w14:paraId="39617540" w14:textId="77777777" w:rsidR="006E59BF" w:rsidRPr="00044728" w:rsidRDefault="006E59BF" w:rsidP="00EE0234">
      <w:pPr>
        <w:spacing w:line="480" w:lineRule="auto"/>
        <w:ind w:firstLine="720"/>
        <w:jc w:val="both"/>
        <w:rPr>
          <w:rFonts w:ascii="Times New Roman" w:hAnsi="Times New Roman" w:cs="Times New Roman"/>
        </w:rPr>
      </w:pPr>
      <w:r w:rsidRPr="00044728">
        <w:rPr>
          <w:rFonts w:ascii="Times New Roman" w:hAnsi="Times New Roman" w:cs="Times New Roman"/>
        </w:rPr>
        <w:t xml:space="preserve"> </w:t>
      </w:r>
      <m:oMath>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r w:rsidRPr="00044728">
        <w:rPr>
          <w:rFonts w:ascii="Times New Roman" w:hAnsi="Times New Roman" w:cs="Times New Roman"/>
        </w:rPr>
        <w:t xml:space="preserve"> is the time-varying correlation matrix</w:t>
      </w:r>
    </w:p>
    <w:p w14:paraId="6ADBE3A0" w14:textId="77777777" w:rsidR="006E59BF" w:rsidRPr="00044728" w:rsidRDefault="00000000" w:rsidP="00EE0234">
      <w:pPr>
        <w:spacing w:line="480" w:lineRule="auto"/>
        <w:ind w:firstLine="720"/>
        <w:jc w:val="both"/>
        <w:rPr>
          <w:rFonts w:ascii="Times New Roman" w:eastAsiaTheme="minorEastAsia" w:hAnsi="Times New Roman" w:cs="Times New Roman"/>
        </w:rPr>
      </w:pPr>
      <m:oMath>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r>
          <w:rPr>
            <w:rFonts w:ascii="Cambria Math" w:hAnsi="Cambria Math" w:cs="Times New Roman"/>
          </w:rPr>
          <m:t>diag</m:t>
        </m:r>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1t</m:t>
                </m:r>
              </m:sub>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b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2t</m:t>
                </m:r>
              </m:sub>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b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3t</m:t>
                </m:r>
              </m:sub>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bSup>
            <m:r>
              <w:rPr>
                <w:rFonts w:ascii="Cambria Math" w:hAnsi="Cambria Math" w:cs="Times New Roman"/>
              </w:rPr>
              <m:t xml:space="preserve">, …, </m:t>
            </m:r>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nt</m:t>
                </m:r>
              </m:sub>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bSup>
          </m:e>
        </m:d>
      </m:oMath>
      <w:r w:rsidR="006E59BF" w:rsidRPr="00044728">
        <w:rPr>
          <w:rFonts w:ascii="Times New Roman" w:eastAsiaTheme="minorEastAsia" w:hAnsi="Times New Roman" w:cs="Times New Roman"/>
        </w:rPr>
        <w:t xml:space="preserve"> is the conditional standard deviation</w:t>
      </w:r>
    </w:p>
    <w:p w14:paraId="10B866FE" w14:textId="77777777" w:rsidR="005B132E" w:rsidRPr="005B132E" w:rsidRDefault="005B132E" w:rsidP="005B132E">
      <w:pPr>
        <w:spacing w:line="480" w:lineRule="auto"/>
        <w:jc w:val="both"/>
        <w:rPr>
          <w:rFonts w:ascii="Times New Roman" w:hAnsi="Times New Roman" w:cs="Times New Roman"/>
        </w:rPr>
      </w:pPr>
      <w:r w:rsidRPr="005B132E">
        <w:rPr>
          <w:rFonts w:ascii="Times New Roman" w:hAnsi="Times New Roman" w:cs="Times New Roman"/>
        </w:rPr>
        <w:t>There are two types of models that fall into this category: those whose correlation matrix is static and those whose correlation matrix changes over time.</w:t>
      </w:r>
    </w:p>
    <w:p w14:paraId="0D53C71D" w14:textId="77777777" w:rsidR="006E59BF" w:rsidRPr="00044728" w:rsidRDefault="005B132E" w:rsidP="005B132E">
      <w:pPr>
        <w:spacing w:line="480" w:lineRule="auto"/>
        <w:jc w:val="both"/>
        <w:rPr>
          <w:rFonts w:ascii="Times New Roman" w:hAnsi="Times New Roman" w:cs="Times New Roman"/>
        </w:rPr>
      </w:pPr>
      <w:r w:rsidRPr="005B132E">
        <w:rPr>
          <w:rFonts w:ascii="Times New Roman" w:hAnsi="Times New Roman" w:cs="Times New Roman"/>
        </w:rPr>
        <w:t>The DCC-GARCH model incorporates a dynamic correlation structure while combining separate series' univariate GARCH models. To account for the unique time-varying volatility of each financial time series, a uni</w:t>
      </w:r>
      <w:r>
        <w:rPr>
          <w:rFonts w:ascii="Times New Roman" w:hAnsi="Times New Roman" w:cs="Times New Roman"/>
        </w:rPr>
        <w:t>variate GARCH model is employed</w:t>
      </w:r>
      <w:r w:rsidR="006E59BF" w:rsidRPr="00044728">
        <w:rPr>
          <w:rFonts w:ascii="Times New Roman" w:hAnsi="Times New Roman" w:cs="Times New Roman"/>
        </w:rPr>
        <w:t>:</w:t>
      </w:r>
    </w:p>
    <w:p w14:paraId="620A56C9" w14:textId="77777777" w:rsidR="006E59BF" w:rsidRPr="00044728" w:rsidRDefault="00000000" w:rsidP="00EE0234">
      <w:pPr>
        <w:spacing w:line="480" w:lineRule="auto"/>
        <w:jc w:val="both"/>
        <w:rPr>
          <w:rFonts w:ascii="Times New Roman" w:eastAsiaTheme="minorEastAsia" w:hAnsi="Times New Roman" w:cs="Times New Roman"/>
        </w:rPr>
      </w:pPr>
      <m:oMathPara>
        <m:oMath>
          <m:sSubSup>
            <m:sSubSupPr>
              <m:ctrlPr>
                <w:rPr>
                  <w:rFonts w:ascii="Cambria Math" w:hAnsi="Cambria Math" w:cs="Times New Roman"/>
                  <w:i/>
                </w:rPr>
              </m:ctrlPr>
            </m:sSubSupPr>
            <m:e>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sub>
              <m:r>
                <w:rPr>
                  <w:rFonts w:ascii="Cambria Math" w:hAnsi="Cambria Math" w:cs="Times New Roman"/>
                </w:rPr>
                <m:t>it</m:t>
              </m:r>
            </m:sub>
            <m:sup>
              <m:r>
                <w:rPr>
                  <w:rFonts w:ascii="Cambria Math" w:hAnsi="Cambria Math" w:cs="Times New Roman"/>
                </w:rPr>
                <m:t xml:space="preserve"> </m:t>
              </m:r>
            </m:sup>
          </m:sSubSup>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i,t-1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i</m:t>
              </m:r>
            </m:sub>
          </m:sSub>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i,t-1</m:t>
              </m:r>
            </m:sub>
            <m:sup>
              <m:r>
                <w:rPr>
                  <w:rFonts w:ascii="Cambria Math" w:hAnsi="Cambria Math" w:cs="Times New Roman"/>
                </w:rPr>
                <m:t>2</m:t>
              </m:r>
            </m:sup>
          </m:sSubSup>
          <m:r>
            <w:rPr>
              <w:rFonts w:ascii="Cambria Math" w:hAnsi="Cambria Math" w:cs="Times New Roman"/>
            </w:rPr>
            <m:t xml:space="preserve">                                                                                          (15)</m:t>
          </m:r>
        </m:oMath>
      </m:oMathPara>
    </w:p>
    <w:p w14:paraId="41B04026" w14:textId="77777777" w:rsidR="006E59BF" w:rsidRPr="00044728" w:rsidRDefault="006E59BF" w:rsidP="00EE0234">
      <w:pPr>
        <w:spacing w:line="480" w:lineRule="auto"/>
        <w:jc w:val="both"/>
        <w:rPr>
          <w:rFonts w:ascii="Times New Roman" w:eastAsiaTheme="minorEastAsia" w:hAnsi="Times New Roman" w:cs="Times New Roman"/>
        </w:rPr>
      </w:pPr>
      <w:r w:rsidRPr="00044728">
        <w:rPr>
          <w:rFonts w:ascii="Times New Roman" w:eastAsiaTheme="minorEastAsia" w:hAnsi="Times New Roman" w:cs="Times New Roman"/>
        </w:rPr>
        <w:t xml:space="preserve">Equation (3.18) is the variance equation </w:t>
      </w:r>
      <w:r w:rsidR="002E0BE9" w:rsidRPr="00044728">
        <w:rPr>
          <w:rFonts w:ascii="Times New Roman" w:eastAsiaTheme="minorEastAsia" w:hAnsi="Times New Roman" w:cs="Times New Roman"/>
        </w:rPr>
        <w:t>for</w:t>
      </w:r>
      <w:r w:rsidRPr="00044728">
        <w:rPr>
          <w:rFonts w:ascii="Times New Roman" w:eastAsiaTheme="minorEastAsia" w:hAnsi="Times New Roman" w:cs="Times New Roman"/>
        </w:rPr>
        <w:t xml:space="preserve"> each series </w:t>
      </w:r>
      <m:oMath>
        <m:r>
          <w:rPr>
            <w:rFonts w:ascii="Cambria Math" w:eastAsiaTheme="minorEastAsia" w:hAnsi="Cambria Math" w:cs="Times New Roman"/>
          </w:rPr>
          <m:t>i</m:t>
        </m:r>
      </m:oMath>
    </w:p>
    <w:p w14:paraId="2199D78F" w14:textId="77777777" w:rsidR="006E59BF" w:rsidRPr="00044728" w:rsidRDefault="006E59BF" w:rsidP="00EE0234">
      <w:pPr>
        <w:spacing w:line="480" w:lineRule="auto"/>
        <w:jc w:val="both"/>
        <w:rPr>
          <w:rFonts w:ascii="Times New Roman" w:hAnsi="Times New Roman" w:cs="Times New Roman"/>
        </w:rPr>
      </w:pPr>
      <w:r w:rsidRPr="00044728">
        <w:rPr>
          <w:rFonts w:ascii="Times New Roman" w:hAnsi="Times New Roman" w:cs="Times New Roman"/>
        </w:rPr>
        <w:t>where:</w:t>
      </w:r>
    </w:p>
    <w:p w14:paraId="25EF560D" w14:textId="77777777" w:rsidR="006E59BF" w:rsidRPr="00044728" w:rsidRDefault="00000000" w:rsidP="00EE0234">
      <w:pPr>
        <w:numPr>
          <w:ilvl w:val="0"/>
          <w:numId w:val="16"/>
        </w:numPr>
        <w:spacing w:line="480" w:lineRule="auto"/>
        <w:jc w:val="both"/>
        <w:rPr>
          <w:rFonts w:ascii="Times New Roman" w:hAnsi="Times New Roman" w:cs="Times New Roman"/>
        </w:rPr>
      </w:pPr>
      <m:oMath>
        <m:sSubSup>
          <m:sSubSupPr>
            <m:ctrlPr>
              <w:rPr>
                <w:rFonts w:ascii="Cambria Math" w:hAnsi="Cambria Math" w:cs="Times New Roman"/>
                <w:i/>
              </w:rPr>
            </m:ctrlPr>
          </m:sSubSupPr>
          <m:e>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sub>
            <m:r>
              <w:rPr>
                <w:rFonts w:ascii="Cambria Math" w:hAnsi="Cambria Math" w:cs="Times New Roman"/>
              </w:rPr>
              <m:t>it</m:t>
            </m:r>
          </m:sub>
          <m:sup>
            <m:r>
              <w:rPr>
                <w:rFonts w:ascii="Cambria Math" w:hAnsi="Cambria Math" w:cs="Times New Roman"/>
              </w:rPr>
              <m:t xml:space="preserve"> </m:t>
            </m:r>
          </m:sup>
        </m:sSubSup>
      </m:oMath>
      <w:r w:rsidR="006E59BF" w:rsidRPr="00044728">
        <w:rPr>
          <w:rFonts w:ascii="Times New Roman" w:hAnsi="Times New Roman" w:cs="Times New Roman"/>
        </w:rPr>
        <w:t>​is the Conditional variance of series iii at time</w:t>
      </w:r>
      <m:oMath>
        <m:r>
          <w:rPr>
            <w:rFonts w:ascii="Cambria Math" w:hAnsi="Cambria Math" w:cs="Times New Roman"/>
          </w:rPr>
          <m:t xml:space="preserve"> t</m:t>
        </m:r>
      </m:oMath>
    </w:p>
    <w:p w14:paraId="69C5070A" w14:textId="77777777" w:rsidR="006E59BF" w:rsidRPr="00044728" w:rsidRDefault="00000000" w:rsidP="00EE0234">
      <w:pPr>
        <w:numPr>
          <w:ilvl w:val="0"/>
          <w:numId w:val="16"/>
        </w:numPr>
        <w:spacing w:line="48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i,t-1</m:t>
            </m:r>
          </m:sub>
        </m:sSub>
      </m:oMath>
      <w:r w:rsidR="006E59BF" w:rsidRPr="00044728">
        <w:rPr>
          <w:rFonts w:ascii="Times New Roman" w:hAnsi="Times New Roman" w:cs="Times New Roman"/>
        </w:rPr>
        <w:t xml:space="preserve"> is the Innovation (shock) from the previous period</w:t>
      </w:r>
    </w:p>
    <w:p w14:paraId="46ABEE10" w14:textId="77777777" w:rsidR="006E59BF" w:rsidRPr="00044728" w:rsidRDefault="00000000" w:rsidP="00EE0234">
      <w:pPr>
        <w:numPr>
          <w:ilvl w:val="0"/>
          <w:numId w:val="16"/>
        </w:numPr>
        <w:spacing w:line="48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t</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i</m:t>
            </m:r>
          </m:sub>
        </m:sSub>
        <m:r>
          <w:rPr>
            <w:rFonts w:ascii="Cambria Math" w:hAnsi="Cambria Math" w:cs="Times New Roman"/>
          </w:rPr>
          <m:t xml:space="preserve"> and </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i</m:t>
            </m:r>
          </m:sub>
        </m:sSub>
        <m:r>
          <w:rPr>
            <w:rFonts w:ascii="Cambria Math" w:hAnsi="Cambria Math" w:cs="Times New Roman"/>
          </w:rPr>
          <m:t xml:space="preserve"> </m:t>
        </m:r>
      </m:oMath>
      <w:r w:rsidR="006E59BF" w:rsidRPr="00044728">
        <w:rPr>
          <w:rFonts w:ascii="Times New Roman" w:eastAsiaTheme="minorEastAsia" w:hAnsi="Times New Roman" w:cs="Times New Roman"/>
        </w:rPr>
        <w:t xml:space="preserve">are the </w:t>
      </w:r>
      <w:r w:rsidR="006E59BF" w:rsidRPr="00044728">
        <w:rPr>
          <w:rFonts w:ascii="Times New Roman" w:hAnsi="Times New Roman" w:cs="Times New Roman"/>
        </w:rPr>
        <w:t>Model parameters</w:t>
      </w:r>
    </w:p>
    <w:p w14:paraId="4CD8B713" w14:textId="77777777" w:rsidR="006E59BF" w:rsidRPr="00044728" w:rsidRDefault="005B132E" w:rsidP="00EE0234">
      <w:pPr>
        <w:autoSpaceDE w:val="0"/>
        <w:autoSpaceDN w:val="0"/>
        <w:adjustRightInd w:val="0"/>
        <w:spacing w:after="0" w:line="480" w:lineRule="auto"/>
        <w:jc w:val="both"/>
        <w:rPr>
          <w:rFonts w:ascii="Times New Roman" w:hAnsi="Times New Roman" w:cs="Times New Roman"/>
        </w:rPr>
      </w:pPr>
      <w:r w:rsidRPr="005B132E">
        <w:rPr>
          <w:rFonts w:ascii="Times New Roman" w:hAnsi="Times New Roman" w:cs="Times New Roman"/>
        </w:rPr>
        <w:t xml:space="preserve">Take, for example, a covariance matrix </w:t>
      </w:r>
      <w:proofErr w:type="spellStart"/>
      <w:r w:rsidRPr="005B132E">
        <w:rPr>
          <w:rFonts w:ascii="Times New Roman" w:hAnsi="Times New Roman" w:cs="Times New Roman"/>
        </w:rPr>
        <w:t>Ht</w:t>
      </w:r>
      <w:proofErr w:type="spellEnd"/>
      <w:r w:rsidRPr="005B132E">
        <w:rPr>
          <w:rFonts w:ascii="Times New Roman" w:hAnsi="Times New Roman" w:cs="Times New Roman"/>
        </w:rPr>
        <w:t xml:space="preserve"> and expected returns, at, from n assets. After that, the Dynamic Conditional Correlation (DCC-) GARCH model's average equation is calculated as</w:t>
      </w:r>
      <w:r w:rsidR="006E59BF" w:rsidRPr="00044728">
        <w:rPr>
          <w:rFonts w:ascii="Times New Roman" w:hAnsi="Times New Roman" w:cs="Times New Roman"/>
        </w:rPr>
        <w:t>:</w:t>
      </w:r>
    </w:p>
    <w:p w14:paraId="30F436E2" w14:textId="77777777" w:rsidR="006E59BF" w:rsidRPr="00044728" w:rsidRDefault="00000000" w:rsidP="00EE0234">
      <w:pPr>
        <w:spacing w:line="480" w:lineRule="auto"/>
        <w:jc w:val="both"/>
        <w:rPr>
          <w:rFonts w:ascii="Times New Roman" w:hAnsi="Times New Roman" w:cs="Times New Roman"/>
        </w:rPr>
      </w:pPr>
      <m:oMathPara>
        <m:oMath>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r</m:t>
                  </m:r>
                </m:e>
                <m:sub>
                  <m:r>
                    <m:rPr>
                      <m:sty m:val="bi"/>
                    </m:rPr>
                    <w:rPr>
                      <w:rFonts w:ascii="Cambria Math" w:hAnsi="Cambria Math" w:cs="Times New Roman"/>
                    </w:rPr>
                    <m:t>t</m:t>
                  </m:r>
                </m:sub>
              </m:sSub>
            </m:e>
            <m:sup>
              <m:r>
                <m:rPr>
                  <m:sty m:val="bi"/>
                </m:rPr>
                <w:rPr>
                  <w:rFonts w:ascii="Cambria Math" w:hAnsi="Cambria Math" w:cs="Times New Roman"/>
                </w:rPr>
                <m:t xml:space="preserve"> </m:t>
              </m:r>
            </m:sup>
          </m:sSup>
          <m:r>
            <w:rPr>
              <w:rFonts w:ascii="Cambria Math"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μ</m:t>
              </m:r>
            </m:e>
            <m:sub>
              <m:r>
                <m:rPr>
                  <m:sty m:val="bi"/>
                </m:rPr>
                <w:rPr>
                  <w:rFonts w:ascii="Cambria Math" w:hAnsi="Cambria Math" w:cs="Times New Roman"/>
                </w:rPr>
                <m:t>t</m:t>
              </m:r>
            </m:sub>
          </m:sSub>
          <m:r>
            <m:rPr>
              <m:sty m:val="bi"/>
            </m:rPr>
            <w:rPr>
              <w:rFonts w:ascii="Cambria Math"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ε</m:t>
              </m:r>
            </m:e>
            <m:sub>
              <m:r>
                <m:rPr>
                  <m:sty m:val="bi"/>
                </m:rPr>
                <w:rPr>
                  <w:rFonts w:ascii="Cambria Math" w:hAnsi="Cambria Math" w:cs="Times New Roman"/>
                </w:rPr>
                <m:t>t</m:t>
              </m:r>
            </m:sub>
          </m:sSub>
          <m:r>
            <m:rPr>
              <m:sty m:val="bi"/>
            </m:rPr>
            <w:rPr>
              <w:rFonts w:ascii="Cambria Math" w:hAnsi="Cambria Math" w:cs="Times New Roman"/>
            </w:rPr>
            <m:t xml:space="preserve">                                                                                                                                              (</m:t>
          </m:r>
          <m:r>
            <w:rPr>
              <w:rFonts w:ascii="Cambria Math" w:hAnsi="Cambria Math" w:cs="Times New Roman"/>
            </w:rPr>
            <m:t>16</m:t>
          </m:r>
          <m:r>
            <m:rPr>
              <m:sty m:val="bi"/>
            </m:rPr>
            <w:rPr>
              <w:rFonts w:ascii="Cambria Math" w:hAnsi="Cambria Math" w:cs="Times New Roman"/>
            </w:rPr>
            <m:t>)</m:t>
          </m:r>
        </m:oMath>
      </m:oMathPara>
    </w:p>
    <w:p w14:paraId="23EA53EB" w14:textId="77777777" w:rsidR="006E59BF" w:rsidRPr="00044728" w:rsidRDefault="00000000" w:rsidP="00EE0234">
      <w:pPr>
        <w:autoSpaceDE w:val="0"/>
        <w:autoSpaceDN w:val="0"/>
        <w:adjustRightInd w:val="0"/>
        <w:spacing w:after="0" w:line="480" w:lineRule="auto"/>
        <w:ind w:left="720" w:firstLine="720"/>
        <w:jc w:val="both"/>
        <w:rPr>
          <w:rFonts w:ascii="Times New Roman" w:eastAsiaTheme="minorEastAsia" w:hAnsi="Times New Roman" w:cs="Times New Roman"/>
        </w:rPr>
      </w:pPr>
      <m:oMath>
        <m:sSub>
          <m:sSubPr>
            <m:ctrlPr>
              <w:rPr>
                <w:rFonts w:ascii="Cambria Math" w:hAnsi="Cambria Math" w:cs="Times New Roman"/>
                <w:b/>
                <w:bCs/>
                <w:i/>
              </w:rPr>
            </m:ctrlPr>
          </m:sSubPr>
          <m:e>
            <m:r>
              <m:rPr>
                <m:sty m:val="bi"/>
              </m:rPr>
              <w:rPr>
                <w:rFonts w:ascii="Cambria Math" w:hAnsi="Cambria Math" w:cs="Times New Roman"/>
              </w:rPr>
              <m:t>ε</m:t>
            </m:r>
          </m:e>
          <m:sub>
            <m:r>
              <m:rPr>
                <m:sty m:val="bi"/>
              </m:rPr>
              <w:rPr>
                <w:rFonts w:ascii="Cambria Math" w:hAnsi="Cambria Math" w:cs="Times New Roman"/>
              </w:rPr>
              <m:t>t</m:t>
            </m:r>
          </m:sub>
        </m:sSub>
        <m:r>
          <w:rPr>
            <w:rFonts w:ascii="Cambria Math" w:hAnsi="Cambria Math" w:cs="Times New Roman"/>
          </w:rPr>
          <m:t>=</m:t>
        </m:r>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f>
              <m:fPr>
                <m:ctrlPr>
                  <w:rPr>
                    <w:rFonts w:ascii="Cambria Math" w:hAnsi="Cambria Math" w:cs="Times New Roman"/>
                    <w:b/>
                    <w:bCs/>
                    <w:i/>
                  </w:rPr>
                </m:ctrlPr>
              </m:fPr>
              <m:num>
                <m:r>
                  <m:rPr>
                    <m:sty m:val="bi"/>
                  </m:rPr>
                  <w:rPr>
                    <w:rFonts w:ascii="Cambria Math" w:hAnsi="Cambria Math" w:cs="Times New Roman"/>
                  </w:rPr>
                  <m:t>1</m:t>
                </m:r>
              </m:num>
              <m:den>
                <m:r>
                  <m:rPr>
                    <m:sty m:val="bi"/>
                  </m:rPr>
                  <w:rPr>
                    <w:rFonts w:ascii="Cambria Math" w:hAnsi="Cambria Math" w:cs="Times New Roman"/>
                  </w:rPr>
                  <m:t>2</m:t>
                </m:r>
              </m:den>
            </m:f>
          </m:sup>
        </m:sSubSup>
        <m:r>
          <m:rPr>
            <m:sty m:val="bi"/>
          </m:rPr>
          <w:rPr>
            <w:rFonts w:ascii="Cambria Math" w:hAnsi="Cambria Math" w:cs="Times New Roman"/>
          </w:rPr>
          <m:t xml:space="preserve"> </m:t>
        </m:r>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oMath>
      <w:r w:rsidR="006E59BF" w:rsidRPr="00044728">
        <w:rPr>
          <w:rFonts w:ascii="Times New Roman" w:eastAsiaTheme="minorEastAsia" w:hAnsi="Times New Roman" w:cs="Times New Roman"/>
          <w:b/>
          <w:bCs/>
        </w:rPr>
        <w:t xml:space="preserve"> </w:t>
      </w:r>
      <w:r w:rsidR="006E59BF" w:rsidRPr="00044728">
        <w:rPr>
          <w:rFonts w:ascii="Times New Roman" w:eastAsiaTheme="minorEastAsia" w:hAnsi="Times New Roman" w:cs="Times New Roman"/>
        </w:rPr>
        <w:t xml:space="preserve">and </w:t>
      </w:r>
    </w:p>
    <w:p w14:paraId="6FA233B6" w14:textId="77777777" w:rsidR="006E59BF" w:rsidRPr="00044728" w:rsidRDefault="00000000" w:rsidP="00EE0234">
      <w:pPr>
        <w:autoSpaceDE w:val="0"/>
        <w:autoSpaceDN w:val="0"/>
        <w:adjustRightInd w:val="0"/>
        <w:spacing w:after="0" w:line="480" w:lineRule="auto"/>
        <w:ind w:left="720" w:firstLine="720"/>
        <w:jc w:val="both"/>
        <w:rPr>
          <w:rFonts w:ascii="Times New Roman" w:eastAsiaTheme="minorEastAsia" w:hAnsi="Times New Roman" w:cs="Times New Roman"/>
          <w:b/>
          <w:bCs/>
        </w:rPr>
      </w:pPr>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r w:rsidR="006E59BF" w:rsidRPr="00044728">
        <w:rPr>
          <w:rFonts w:ascii="Times New Roman" w:eastAsiaTheme="minorEastAsia" w:hAnsi="Times New Roman" w:cs="Times New Roman"/>
          <w:b/>
          <w:bCs/>
        </w:rPr>
        <w:t xml:space="preserve"> </w:t>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p>
    <w:p w14:paraId="3CA6C90D" w14:textId="77777777" w:rsidR="006E59BF" w:rsidRPr="00044728" w:rsidRDefault="006E59BF" w:rsidP="00EE0234">
      <w:pPr>
        <w:spacing w:line="480" w:lineRule="auto"/>
        <w:jc w:val="both"/>
        <w:rPr>
          <w:rFonts w:ascii="Times New Roman" w:hAnsi="Times New Roman" w:cs="Times New Roman"/>
        </w:rPr>
      </w:pPr>
      <w:r w:rsidRPr="00044728">
        <w:rPr>
          <w:rFonts w:ascii="Times New Roman" w:hAnsi="Times New Roman" w:cs="Times New Roman"/>
        </w:rPr>
        <w:t>Where:</w:t>
      </w:r>
    </w:p>
    <w:p w14:paraId="657BBBFB" w14:textId="77777777" w:rsidR="006E59BF" w:rsidRPr="00044728" w:rsidRDefault="00000000" w:rsidP="002E0BE9">
      <w:pPr>
        <w:spacing w:after="0" w:line="480" w:lineRule="auto"/>
        <w:jc w:val="both"/>
        <w:rPr>
          <w:rFonts w:ascii="Times New Roman" w:hAnsi="Times New Roman" w:cs="Times New Roman"/>
        </w:rPr>
      </w:pPr>
      <m:oMath>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r</m:t>
                </m:r>
              </m:e>
              <m:sub>
                <m:r>
                  <m:rPr>
                    <m:sty m:val="bi"/>
                  </m:rPr>
                  <w:rPr>
                    <w:rFonts w:ascii="Cambria Math" w:hAnsi="Cambria Math" w:cs="Times New Roman"/>
                  </w:rPr>
                  <m:t>t</m:t>
                </m:r>
              </m:sub>
            </m:sSub>
          </m:e>
          <m:sup>
            <m:r>
              <m:rPr>
                <m:sty m:val="bi"/>
              </m:rPr>
              <w:rPr>
                <w:rFonts w:ascii="Cambria Math" w:hAnsi="Cambria Math" w:cs="Times New Roman"/>
              </w:rPr>
              <m:t xml:space="preserve"> </m:t>
            </m:r>
          </m:sup>
        </m:sSup>
        <m:r>
          <w:rPr>
            <w:rFonts w:ascii="Cambria Math" w:hAnsi="Cambria Math" w:cs="Times New Roman"/>
          </w:rPr>
          <m:t>=</m:t>
        </m:r>
      </m:oMath>
      <w:r w:rsidR="006E59BF" w:rsidRPr="00044728">
        <w:rPr>
          <w:rFonts w:ascii="Times New Roman" w:hAnsi="Times New Roman" w:cs="Times New Roman"/>
          <w:i/>
          <w:iCs/>
        </w:rPr>
        <w:t xml:space="preserve">n × </w:t>
      </w:r>
      <w:r w:rsidR="006E59BF" w:rsidRPr="00044728">
        <w:rPr>
          <w:rFonts w:ascii="Times New Roman" w:hAnsi="Times New Roman" w:cs="Times New Roman"/>
        </w:rPr>
        <w:t xml:space="preserve">1 vector of log returns of </w:t>
      </w:r>
      <w:r w:rsidR="006E59BF" w:rsidRPr="00044728">
        <w:rPr>
          <w:rFonts w:ascii="Times New Roman" w:hAnsi="Times New Roman" w:cs="Times New Roman"/>
          <w:i/>
          <w:iCs/>
        </w:rPr>
        <w:t xml:space="preserve">n </w:t>
      </w:r>
      <w:r w:rsidR="006E59BF" w:rsidRPr="00044728">
        <w:rPr>
          <w:rFonts w:ascii="Times New Roman" w:hAnsi="Times New Roman" w:cs="Times New Roman"/>
        </w:rPr>
        <w:t xml:space="preserve">assets at time </w:t>
      </w:r>
      <w:r w:rsidR="006E59BF" w:rsidRPr="00044728">
        <w:rPr>
          <w:rFonts w:ascii="Times New Roman" w:hAnsi="Times New Roman" w:cs="Times New Roman"/>
          <w:i/>
          <w:iCs/>
        </w:rPr>
        <w:t>t</w:t>
      </w:r>
      <w:r w:rsidR="006E59BF" w:rsidRPr="00044728">
        <w:rPr>
          <w:rFonts w:ascii="Times New Roman" w:hAnsi="Times New Roman" w:cs="Times New Roman"/>
        </w:rPr>
        <w:t>.</w:t>
      </w:r>
    </w:p>
    <w:p w14:paraId="56E7783B" w14:textId="77777777" w:rsidR="006E59BF" w:rsidRPr="00044728" w:rsidRDefault="00000000" w:rsidP="002E0BE9">
      <w:pPr>
        <w:spacing w:after="0" w:line="480" w:lineRule="auto"/>
        <w:jc w:val="both"/>
        <w:rPr>
          <w:rFonts w:ascii="Times New Roman" w:eastAsiaTheme="minorEastAsia" w:hAnsi="Times New Roman" w:cs="Times New Roman"/>
        </w:rPr>
      </w:pPr>
      <m:oMath>
        <m:sSub>
          <m:sSubPr>
            <m:ctrlPr>
              <w:rPr>
                <w:rFonts w:ascii="Cambria Math" w:hAnsi="Cambria Math" w:cs="Times New Roman"/>
                <w:b/>
                <w:bCs/>
                <w:i/>
              </w:rPr>
            </m:ctrlPr>
          </m:sSubPr>
          <m:e>
            <m:r>
              <m:rPr>
                <m:sty m:val="bi"/>
              </m:rPr>
              <w:rPr>
                <w:rFonts w:ascii="Cambria Math" w:hAnsi="Cambria Math" w:cs="Times New Roman"/>
              </w:rPr>
              <m:t>ε</m:t>
            </m:r>
          </m:e>
          <m:sub>
            <m:r>
              <m:rPr>
                <m:sty m:val="bi"/>
              </m:rPr>
              <w:rPr>
                <w:rFonts w:ascii="Cambria Math" w:hAnsi="Cambria Math" w:cs="Times New Roman"/>
              </w:rPr>
              <m:t>t</m:t>
            </m:r>
          </m:sub>
        </m:sSub>
        <m:r>
          <w:rPr>
            <w:rFonts w:ascii="Cambria Math" w:hAnsi="Cambria Math" w:cs="Times New Roman"/>
          </w:rPr>
          <m:t>=</m:t>
        </m:r>
      </m:oMath>
      <w:r w:rsidR="006E59BF" w:rsidRPr="00044728">
        <w:rPr>
          <w:rFonts w:ascii="Times New Roman" w:eastAsiaTheme="minorEastAsia" w:hAnsi="Times New Roman" w:cs="Times New Roman"/>
        </w:rPr>
        <w:t xml:space="preserve">  Residuals at time t. </w:t>
      </w:r>
      <m:oMath>
        <m:r>
          <w:rPr>
            <w:rFonts w:ascii="Cambria Math" w:eastAsiaTheme="minorEastAsia" w:hAnsi="Cambria Math" w:cs="Times New Roman"/>
          </w:rPr>
          <m:t>E</m:t>
        </m:r>
        <m:d>
          <m:dPr>
            <m:ctrlPr>
              <w:rPr>
                <w:rFonts w:ascii="Cambria Math" w:eastAsiaTheme="minorEastAsia" w:hAnsi="Cambria Math" w:cs="Times New Roman"/>
                <w:i/>
              </w:rPr>
            </m:ctrlPr>
          </m:dPr>
          <m:e>
            <m:sSub>
              <m:sSubPr>
                <m:ctrlPr>
                  <w:rPr>
                    <w:rFonts w:ascii="Cambria Math" w:hAnsi="Cambria Math" w:cs="Times New Roman"/>
                    <w:b/>
                    <w:bCs/>
                    <w:i/>
                  </w:rPr>
                </m:ctrlPr>
              </m:sSubPr>
              <m:e>
                <m:r>
                  <m:rPr>
                    <m:sty m:val="bi"/>
                  </m:rPr>
                  <w:rPr>
                    <w:rFonts w:ascii="Cambria Math" w:hAnsi="Cambria Math" w:cs="Times New Roman"/>
                  </w:rPr>
                  <m:t>ε</m:t>
                </m:r>
              </m:e>
              <m:sub>
                <m:r>
                  <m:rPr>
                    <m:sty m:val="bi"/>
                  </m:rPr>
                  <w:rPr>
                    <w:rFonts w:ascii="Cambria Math" w:hAnsi="Cambria Math" w:cs="Times New Roman"/>
                  </w:rPr>
                  <m:t>t</m:t>
                </m:r>
              </m:sub>
            </m:sSub>
            <m:ctrlPr>
              <w:rPr>
                <w:rFonts w:ascii="Cambria Math" w:hAnsi="Cambria Math" w:cs="Times New Roman"/>
                <w:b/>
                <w:bCs/>
                <w:i/>
              </w:rPr>
            </m:ctrlPr>
          </m:e>
        </m:d>
        <m:r>
          <m:rPr>
            <m:sty m:val="bi"/>
          </m:rPr>
          <w:rPr>
            <w:rFonts w:ascii="Cambria Math" w:hAnsi="Cambria Math" w:cs="Times New Roman"/>
          </w:rPr>
          <m:t xml:space="preserve">=0 </m:t>
        </m:r>
      </m:oMath>
    </w:p>
    <w:p w14:paraId="08FC466E" w14:textId="77777777" w:rsidR="006E59BF" w:rsidRPr="00044728" w:rsidRDefault="006E59BF" w:rsidP="002E0BE9">
      <w:pPr>
        <w:spacing w:after="0" w:line="480" w:lineRule="auto"/>
        <w:jc w:val="both"/>
        <w:rPr>
          <w:rFonts w:ascii="Times New Roman" w:eastAsiaTheme="minorEastAsia" w:hAnsi="Times New Roman" w:cs="Times New Roman"/>
        </w:rPr>
      </w:pPr>
      <m:oMath>
        <m:r>
          <w:rPr>
            <w:rFonts w:ascii="Cambria Math" w:eastAsiaTheme="minorEastAsia" w:hAnsi="Cambria Math" w:cs="Times New Roman"/>
          </w:rPr>
          <m:t>Cov(</m:t>
        </m:r>
        <m:sSub>
          <m:sSubPr>
            <m:ctrlPr>
              <w:rPr>
                <w:rFonts w:ascii="Cambria Math" w:hAnsi="Cambria Math" w:cs="Times New Roman"/>
                <w:b/>
                <w:bCs/>
                <w:i/>
              </w:rPr>
            </m:ctrlPr>
          </m:sSubPr>
          <m:e>
            <m:r>
              <m:rPr>
                <m:sty m:val="bi"/>
              </m:rPr>
              <w:rPr>
                <w:rFonts w:ascii="Cambria Math" w:hAnsi="Cambria Math" w:cs="Times New Roman"/>
              </w:rPr>
              <m:t>ε</m:t>
            </m:r>
          </m:e>
          <m:sub>
            <m:r>
              <m:rPr>
                <m:sty m:val="bi"/>
              </m:rPr>
              <w:rPr>
                <w:rFonts w:ascii="Cambria Math" w:hAnsi="Cambria Math" w:cs="Times New Roman"/>
              </w:rPr>
              <m:t>t</m:t>
            </m:r>
          </m:sub>
        </m:sSub>
        <m:r>
          <w:rPr>
            <w:rFonts w:ascii="Cambria Math" w:eastAsiaTheme="minorEastAsia" w:hAnsi="Cambria Math" w:cs="Times New Roman"/>
          </w:rPr>
          <m:t xml:space="preserve">) = </m:t>
        </m:r>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r>
              <m:rPr>
                <m:sty m:val="bi"/>
              </m:rPr>
              <w:rPr>
                <w:rFonts w:ascii="Cambria Math" w:hAnsi="Cambria Math" w:cs="Times New Roman"/>
              </w:rPr>
              <m:t xml:space="preserve"> </m:t>
            </m:r>
          </m:sup>
        </m:sSubSup>
        <m:r>
          <w:rPr>
            <w:rFonts w:ascii="Cambria Math" w:eastAsiaTheme="minorEastAsia" w:hAnsi="Cambria Math" w:cs="Times New Roman"/>
          </w:rPr>
          <m:t>.</m:t>
        </m:r>
      </m:oMath>
      <w:r w:rsidRPr="00044728">
        <w:rPr>
          <w:rFonts w:ascii="Times New Roman" w:eastAsiaTheme="minorEastAsia" w:hAnsi="Times New Roman" w:cs="Times New Roman"/>
        </w:rPr>
        <w:tab/>
      </w:r>
    </w:p>
    <w:p w14:paraId="51269904" w14:textId="77777777" w:rsidR="006E59BF" w:rsidRPr="00044728" w:rsidRDefault="00000000" w:rsidP="002E0BE9">
      <w:pPr>
        <w:spacing w:after="0" w:line="480" w:lineRule="auto"/>
        <w:jc w:val="both"/>
        <w:rPr>
          <w:rFonts w:ascii="Times New Roman" w:eastAsiaTheme="minorEastAsia" w:hAnsi="Times New Roman" w:cs="Times New Roman"/>
          <w:b/>
          <w:bCs/>
        </w:rPr>
      </w:pPr>
      <m:oMath>
        <m:sSub>
          <m:sSubPr>
            <m:ctrlPr>
              <w:rPr>
                <w:rFonts w:ascii="Cambria Math" w:hAnsi="Cambria Math" w:cs="Times New Roman"/>
                <w:b/>
                <w:bCs/>
                <w:i/>
              </w:rPr>
            </m:ctrlPr>
          </m:sSubPr>
          <m:e>
            <m:r>
              <m:rPr>
                <m:sty m:val="bi"/>
              </m:rPr>
              <w:rPr>
                <w:rFonts w:ascii="Cambria Math" w:hAnsi="Cambria Math" w:cs="Times New Roman"/>
              </w:rPr>
              <m:t>μ</m:t>
            </m:r>
          </m:e>
          <m:sub>
            <m:r>
              <m:rPr>
                <m:sty m:val="bi"/>
              </m:rPr>
              <w:rPr>
                <w:rFonts w:ascii="Cambria Math" w:hAnsi="Cambria Math" w:cs="Times New Roman"/>
              </w:rPr>
              <m:t>t</m:t>
            </m:r>
          </m:sub>
        </m:sSub>
        <m:r>
          <m:rPr>
            <m:sty m:val="bi"/>
          </m:rPr>
          <w:rPr>
            <w:rFonts w:ascii="Cambria Math" w:hAnsi="Cambria Math" w:cs="Times New Roman"/>
          </w:rPr>
          <m:t>=</m:t>
        </m:r>
      </m:oMath>
      <w:r w:rsidR="006E59BF" w:rsidRPr="00044728">
        <w:rPr>
          <w:rFonts w:ascii="Times New Roman" w:eastAsiaTheme="minorEastAsia" w:hAnsi="Times New Roman" w:cs="Times New Roman"/>
          <w:b/>
          <w:bCs/>
        </w:rPr>
        <w:t xml:space="preserve"> </w:t>
      </w:r>
      <w:r w:rsidR="006E59BF" w:rsidRPr="00044728">
        <w:rPr>
          <w:rFonts w:ascii="Times New Roman" w:eastAsiaTheme="minorEastAsia" w:hAnsi="Times New Roman" w:cs="Times New Roman"/>
          <w:i/>
          <w:iCs/>
        </w:rPr>
        <w:t xml:space="preserve">n × </w:t>
      </w:r>
      <w:r w:rsidR="006E59BF" w:rsidRPr="00044728">
        <w:rPr>
          <w:rFonts w:ascii="Times New Roman" w:eastAsiaTheme="minorEastAsia" w:hAnsi="Times New Roman" w:cs="Times New Roman"/>
        </w:rPr>
        <w:t>1 vector of the expected value of the conditional</w:t>
      </w:r>
      <w:r w:rsidR="006E59BF" w:rsidRPr="00044728">
        <w:rPr>
          <w:rFonts w:ascii="Times New Roman" w:eastAsiaTheme="minorEastAsia" w:hAnsi="Times New Roman" w:cs="Times New Roman"/>
          <w:b/>
          <w:bCs/>
        </w:rPr>
        <w:t xml:space="preserve"> </w:t>
      </w:r>
      <m:oMath>
        <m:sSub>
          <m:sSubPr>
            <m:ctrlPr>
              <w:rPr>
                <w:rFonts w:ascii="Cambria Math" w:hAnsi="Cambria Math" w:cs="Times New Roman"/>
                <w:b/>
                <w:bCs/>
                <w:i/>
              </w:rPr>
            </m:ctrlPr>
          </m:sSubPr>
          <m:e>
            <m:r>
              <m:rPr>
                <m:sty m:val="bi"/>
              </m:rPr>
              <w:rPr>
                <w:rFonts w:ascii="Cambria Math" w:hAnsi="Cambria Math" w:cs="Times New Roman"/>
              </w:rPr>
              <m:t>R</m:t>
            </m:r>
          </m:e>
          <m:sub>
            <m:r>
              <m:rPr>
                <m:sty m:val="bi"/>
              </m:rPr>
              <w:rPr>
                <w:rFonts w:ascii="Cambria Math" w:hAnsi="Cambria Math" w:cs="Times New Roman"/>
              </w:rPr>
              <m:t>t</m:t>
            </m:r>
          </m:sub>
        </m:sSub>
        <m:r>
          <m:rPr>
            <m:sty m:val="bi"/>
          </m:rPr>
          <w:rPr>
            <w:rFonts w:ascii="Cambria Math" w:hAnsi="Cambria Math" w:cs="Times New Roman"/>
          </w:rPr>
          <m:t>.</m:t>
        </m:r>
      </m:oMath>
    </w:p>
    <w:bookmarkStart w:id="0" w:name="_Hlk186196317"/>
    <w:p w14:paraId="50C90AFD" w14:textId="77777777" w:rsidR="006E59BF" w:rsidRPr="00044728" w:rsidRDefault="00000000" w:rsidP="002E0BE9">
      <w:pPr>
        <w:spacing w:after="0" w:line="480" w:lineRule="auto"/>
        <w:jc w:val="both"/>
        <w:rPr>
          <w:rFonts w:ascii="Times New Roman" w:eastAsiaTheme="minorEastAsia" w:hAnsi="Times New Roman" w:cs="Times New Roman"/>
        </w:rPr>
      </w:pPr>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oMath>
      <w:r w:rsidR="006E59BF" w:rsidRPr="00044728">
        <w:rPr>
          <w:rFonts w:ascii="Times New Roman" w:eastAsiaTheme="minorEastAsia" w:hAnsi="Times New Roman" w:cs="Times New Roman"/>
          <w:b/>
          <w:bCs/>
          <w:i/>
        </w:rPr>
        <w:t xml:space="preserve"> </w:t>
      </w:r>
      <w:bookmarkEnd w:id="0"/>
      <w:r w:rsidR="006E59BF" w:rsidRPr="00044728">
        <w:rPr>
          <w:rFonts w:ascii="Times New Roman" w:eastAsiaTheme="minorEastAsia" w:hAnsi="Times New Roman" w:cs="Times New Roman"/>
          <w:i/>
          <w:iCs/>
        </w:rPr>
        <w:t xml:space="preserve">n × n </w:t>
      </w:r>
      <w:r w:rsidR="006E59BF" w:rsidRPr="00044728">
        <w:rPr>
          <w:rFonts w:ascii="Times New Roman" w:eastAsiaTheme="minorEastAsia" w:hAnsi="Times New Roman" w:cs="Times New Roman"/>
        </w:rPr>
        <w:t>matrix of conditional variances of</w:t>
      </w:r>
      <w:r w:rsidR="006E59BF" w:rsidRPr="00044728">
        <w:rPr>
          <w:rFonts w:ascii="Times New Roman" w:eastAsiaTheme="minorEastAsia" w:hAnsi="Times New Roman" w:cs="Times New Roman"/>
          <w:i/>
          <w:iCs/>
        </w:rPr>
        <w:t xml:space="preserve"> </w:t>
      </w:r>
      <w:r w:rsidR="006E59BF" w:rsidRPr="00044728">
        <w:rPr>
          <w:rFonts w:ascii="Times New Roman" w:eastAsiaTheme="minorEastAsia" w:hAnsi="Times New Roman" w:cs="Times New Roman"/>
        </w:rPr>
        <w:t xml:space="preserve">at time </w:t>
      </w:r>
      <w:r w:rsidR="006E59BF" w:rsidRPr="00044728">
        <w:rPr>
          <w:rFonts w:ascii="Times New Roman" w:eastAsiaTheme="minorEastAsia" w:hAnsi="Times New Roman" w:cs="Times New Roman"/>
          <w:i/>
          <w:iCs/>
        </w:rPr>
        <w:t>t</w:t>
      </w:r>
      <w:r w:rsidR="006E59BF" w:rsidRPr="00044728">
        <w:rPr>
          <w:rFonts w:ascii="Times New Roman" w:eastAsiaTheme="minorEastAsia" w:hAnsi="Times New Roman" w:cs="Times New Roman"/>
        </w:rPr>
        <w:t>. or Time-varying covariance matrix.</w:t>
      </w:r>
    </w:p>
    <w:p w14:paraId="4BB77243" w14:textId="77777777" w:rsidR="006E59BF" w:rsidRPr="00044728" w:rsidRDefault="00000000" w:rsidP="002E0BE9">
      <w:pPr>
        <w:spacing w:after="0" w:line="480" w:lineRule="auto"/>
        <w:jc w:val="both"/>
        <w:rPr>
          <w:rFonts w:ascii="Times New Roman" w:eastAsiaTheme="minorEastAsia" w:hAnsi="Times New Roman" w:cs="Times New Roman"/>
        </w:rPr>
      </w:pPr>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f>
              <m:fPr>
                <m:ctrlPr>
                  <w:rPr>
                    <w:rFonts w:ascii="Cambria Math" w:hAnsi="Cambria Math" w:cs="Times New Roman"/>
                    <w:b/>
                    <w:bCs/>
                    <w:i/>
                  </w:rPr>
                </m:ctrlPr>
              </m:fPr>
              <m:num>
                <m:r>
                  <m:rPr>
                    <m:sty m:val="bi"/>
                  </m:rPr>
                  <w:rPr>
                    <w:rFonts w:ascii="Cambria Math" w:hAnsi="Cambria Math" w:cs="Times New Roman"/>
                  </w:rPr>
                  <m:t>1</m:t>
                </m:r>
              </m:num>
              <m:den>
                <m:r>
                  <m:rPr>
                    <m:sty m:val="bi"/>
                  </m:rPr>
                  <w:rPr>
                    <w:rFonts w:ascii="Cambria Math" w:hAnsi="Cambria Math" w:cs="Times New Roman"/>
                  </w:rPr>
                  <m:t>2</m:t>
                </m:r>
              </m:den>
            </m:f>
          </m:sup>
        </m:sSubSup>
        <m:r>
          <m:rPr>
            <m:sty m:val="bi"/>
          </m:rPr>
          <w:rPr>
            <w:rFonts w:ascii="Cambria Math" w:hAnsi="Cambria Math" w:cs="Times New Roman"/>
          </w:rPr>
          <m:t>=</m:t>
        </m:r>
      </m:oMath>
      <w:r w:rsidR="006E59BF" w:rsidRPr="00044728">
        <w:rPr>
          <w:rFonts w:ascii="Times New Roman" w:eastAsiaTheme="minorEastAsia" w:hAnsi="Times New Roman" w:cs="Times New Roman"/>
          <w:b/>
          <w:bCs/>
        </w:rPr>
        <w:t xml:space="preserve"> </w:t>
      </w:r>
      <w:r w:rsidR="006E59BF" w:rsidRPr="00044728">
        <w:rPr>
          <w:rFonts w:ascii="Times New Roman" w:eastAsiaTheme="minorEastAsia" w:hAnsi="Times New Roman" w:cs="Times New Roman"/>
        </w:rPr>
        <w:t xml:space="preserve">Any </w:t>
      </w:r>
      <w:r w:rsidR="006E59BF" w:rsidRPr="00044728">
        <w:rPr>
          <w:rFonts w:ascii="Times New Roman" w:eastAsiaTheme="minorEastAsia" w:hAnsi="Times New Roman" w:cs="Times New Roman"/>
          <w:i/>
          <w:iCs/>
        </w:rPr>
        <w:t xml:space="preserve">n × n </w:t>
      </w:r>
      <w:r w:rsidR="006E59BF" w:rsidRPr="00044728">
        <w:rPr>
          <w:rFonts w:ascii="Times New Roman" w:eastAsiaTheme="minorEastAsia" w:hAnsi="Times New Roman" w:cs="Times New Roman"/>
        </w:rPr>
        <w:t xml:space="preserve">matrix at time </w:t>
      </w:r>
      <w:r w:rsidR="006E59BF" w:rsidRPr="00044728">
        <w:rPr>
          <w:rFonts w:ascii="Times New Roman" w:eastAsiaTheme="minorEastAsia" w:hAnsi="Times New Roman" w:cs="Times New Roman"/>
          <w:i/>
          <w:iCs/>
        </w:rPr>
        <w:t xml:space="preserve">t </w:t>
      </w:r>
      <w:r w:rsidR="006E59BF" w:rsidRPr="00044728">
        <w:rPr>
          <w:rFonts w:ascii="Times New Roman" w:eastAsiaTheme="minorEastAsia" w:hAnsi="Times New Roman" w:cs="Times New Roman"/>
        </w:rPr>
        <w:t xml:space="preserve">such that </w:t>
      </w:r>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r w:rsidR="006E59BF" w:rsidRPr="00044728">
        <w:rPr>
          <w:rFonts w:ascii="Times New Roman" w:eastAsiaTheme="minorEastAsia" w:hAnsi="Times New Roman" w:cs="Times New Roman"/>
        </w:rPr>
        <w:t xml:space="preserve">is the conditional variance matrix of </w:t>
      </w:r>
      <m:oMath>
        <m:sSub>
          <m:sSubPr>
            <m:ctrlPr>
              <w:rPr>
                <w:rFonts w:ascii="Cambria Math" w:hAnsi="Cambria Math" w:cs="Times New Roman"/>
                <w:b/>
                <w:bCs/>
                <w:i/>
              </w:rPr>
            </m:ctrlPr>
          </m:sSubPr>
          <m:e>
            <m:r>
              <m:rPr>
                <m:sty m:val="bi"/>
              </m:rPr>
              <w:rPr>
                <w:rFonts w:ascii="Cambria Math" w:hAnsi="Cambria Math" w:cs="Times New Roman"/>
              </w:rPr>
              <m:t>a</m:t>
            </m:r>
          </m:e>
          <m:sub>
            <m:r>
              <m:rPr>
                <m:sty m:val="bi"/>
              </m:rPr>
              <w:rPr>
                <w:rFonts w:ascii="Cambria Math" w:hAnsi="Cambria Math" w:cs="Times New Roman"/>
              </w:rPr>
              <m:t>t</m:t>
            </m:r>
          </m:sub>
        </m:sSub>
      </m:oMath>
      <w:r w:rsidR="006E59BF" w:rsidRPr="00044728">
        <w:rPr>
          <w:rFonts w:ascii="Times New Roman" w:eastAsiaTheme="minorEastAsia" w:hAnsi="Times New Roman" w:cs="Times New Roman"/>
        </w:rPr>
        <w:t xml:space="preserve">. </w:t>
      </w:r>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f>
              <m:fPr>
                <m:ctrlPr>
                  <w:rPr>
                    <w:rFonts w:ascii="Cambria Math" w:hAnsi="Cambria Math" w:cs="Times New Roman"/>
                    <w:b/>
                    <w:bCs/>
                    <w:i/>
                  </w:rPr>
                </m:ctrlPr>
              </m:fPr>
              <m:num>
                <m:r>
                  <m:rPr>
                    <m:sty m:val="bi"/>
                  </m:rPr>
                  <w:rPr>
                    <w:rFonts w:ascii="Cambria Math" w:hAnsi="Cambria Math" w:cs="Times New Roman"/>
                  </w:rPr>
                  <m:t>1</m:t>
                </m:r>
              </m:num>
              <m:den>
                <m:r>
                  <m:rPr>
                    <m:sty m:val="bi"/>
                  </m:rPr>
                  <w:rPr>
                    <w:rFonts w:ascii="Cambria Math" w:hAnsi="Cambria Math" w:cs="Times New Roman"/>
                  </w:rPr>
                  <m:t>2</m:t>
                </m:r>
              </m:den>
            </m:f>
          </m:sup>
        </m:sSubSup>
        <m:r>
          <m:rPr>
            <m:sty m:val="bi"/>
          </m:rPr>
          <w:rPr>
            <w:rFonts w:ascii="Cambria Math" w:hAnsi="Cambria Math" w:cs="Times New Roman"/>
          </w:rPr>
          <m:t xml:space="preserve"> </m:t>
        </m:r>
      </m:oMath>
      <w:r w:rsidR="006E59BF" w:rsidRPr="00044728">
        <w:rPr>
          <w:rFonts w:ascii="Times New Roman" w:eastAsiaTheme="minorEastAsia" w:hAnsi="Times New Roman" w:cs="Times New Roman"/>
          <w:b/>
          <w:bCs/>
          <w:i/>
          <w:iCs/>
        </w:rPr>
        <w:t xml:space="preserve"> </w:t>
      </w:r>
      <w:r w:rsidR="006E59BF" w:rsidRPr="00044728">
        <w:rPr>
          <w:rFonts w:ascii="Times New Roman" w:eastAsiaTheme="minorEastAsia" w:hAnsi="Times New Roman" w:cs="Times New Roman"/>
        </w:rPr>
        <w:t xml:space="preserve">could be gotten by Cholesky factorization of </w:t>
      </w:r>
      <m:oMath>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t</m:t>
            </m:r>
          </m:sub>
          <m:sup>
            <m:r>
              <w:rPr>
                <w:rFonts w:ascii="Cambria Math" w:hAnsi="Cambria Math" w:cs="Times New Roman"/>
              </w:rPr>
              <m:t xml:space="preserve"> </m:t>
            </m:r>
          </m:sup>
        </m:sSubSup>
      </m:oMath>
    </w:p>
    <w:p w14:paraId="57A752D3" w14:textId="77777777" w:rsidR="006E59BF" w:rsidRPr="00044728" w:rsidRDefault="00000000" w:rsidP="002E0BE9">
      <w:pPr>
        <w:spacing w:after="0" w:line="480" w:lineRule="auto"/>
        <w:jc w:val="both"/>
        <w:rPr>
          <w:rFonts w:ascii="Times New Roman" w:eastAsiaTheme="minorEastAsia" w:hAnsi="Times New Roman" w:cs="Times New Roman"/>
          <w:b/>
        </w:rPr>
      </w:pPr>
      <m:oMath>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r>
          <w:rPr>
            <w:rFonts w:ascii="Cambria Math" w:hAnsi="Cambria Math" w:cs="Times New Roman"/>
          </w:rPr>
          <m:t xml:space="preserve"> </m:t>
        </m:r>
      </m:oMath>
      <w:r w:rsidR="006E59BF" w:rsidRPr="00044728">
        <w:rPr>
          <w:rFonts w:ascii="Times New Roman" w:eastAsiaTheme="minorEastAsia" w:hAnsi="Times New Roman" w:cs="Times New Roman"/>
          <w:i/>
        </w:rPr>
        <w:t xml:space="preserve"> </w:t>
      </w:r>
      <w:r w:rsidR="006E59BF" w:rsidRPr="00044728">
        <w:rPr>
          <w:rFonts w:ascii="Times New Roman" w:eastAsiaTheme="minorEastAsia" w:hAnsi="Times New Roman" w:cs="Times New Roman"/>
          <w:iCs/>
        </w:rPr>
        <w:t>is an</w:t>
      </w:r>
      <w:r w:rsidR="006E59BF" w:rsidRPr="00044728">
        <w:rPr>
          <w:rFonts w:ascii="Times New Roman" w:eastAsiaTheme="minorEastAsia" w:hAnsi="Times New Roman" w:cs="Times New Roman"/>
          <w:b/>
          <w:bCs/>
          <w:i/>
        </w:rPr>
        <w:t xml:space="preserve">   </w:t>
      </w:r>
      <w:r w:rsidR="006E59BF" w:rsidRPr="00044728">
        <w:rPr>
          <w:rFonts w:ascii="Times New Roman" w:eastAsiaTheme="minorEastAsia" w:hAnsi="Times New Roman" w:cs="Times New Roman"/>
          <w:i/>
          <w:iCs/>
        </w:rPr>
        <w:t xml:space="preserve">n × </w:t>
      </w:r>
      <w:r w:rsidR="006E59BF" w:rsidRPr="00044728">
        <w:rPr>
          <w:rFonts w:ascii="Times New Roman" w:eastAsiaTheme="minorEastAsia" w:hAnsi="Times New Roman" w:cs="Times New Roman"/>
        </w:rPr>
        <w:t xml:space="preserve">1 vector of </w:t>
      </w:r>
      <w:proofErr w:type="spellStart"/>
      <w:r w:rsidR="006E59BF" w:rsidRPr="00044728">
        <w:rPr>
          <w:rFonts w:ascii="Times New Roman" w:eastAsiaTheme="minorEastAsia" w:hAnsi="Times New Roman" w:cs="Times New Roman"/>
        </w:rPr>
        <w:t>iid</w:t>
      </w:r>
      <w:proofErr w:type="spellEnd"/>
      <w:r w:rsidR="006E59BF" w:rsidRPr="00044728">
        <w:rPr>
          <w:rFonts w:ascii="Times New Roman" w:eastAsiaTheme="minorEastAsia" w:hAnsi="Times New Roman" w:cs="Times New Roman"/>
        </w:rPr>
        <w:t xml:space="preserve"> errors such that  </w:t>
      </w:r>
      <m:oMath>
        <m:r>
          <w:rPr>
            <w:rFonts w:ascii="Cambria Math" w:eastAsiaTheme="minorEastAsia" w:hAnsi="Cambria Math" w:cs="Times New Roman"/>
          </w:rPr>
          <m:t>E</m:t>
        </m:r>
        <m:d>
          <m:dPr>
            <m:ctrlPr>
              <w:rPr>
                <w:rFonts w:ascii="Cambria Math" w:eastAsiaTheme="minorEastAsia" w:hAnsi="Cambria Math" w:cs="Times New Roman"/>
                <w:i/>
              </w:rPr>
            </m:ctrlPr>
          </m:dPr>
          <m:e>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ctrlPr>
              <w:rPr>
                <w:rFonts w:ascii="Cambria Math" w:hAnsi="Cambria Math" w:cs="Times New Roman"/>
                <w:b/>
                <w:bCs/>
                <w:i/>
              </w:rPr>
            </m:ctrlPr>
          </m:e>
        </m:d>
        <m:r>
          <m:rPr>
            <m:sty m:val="bi"/>
          </m:rPr>
          <w:rPr>
            <w:rFonts w:ascii="Cambria Math" w:hAnsi="Cambria Math" w:cs="Times New Roman"/>
          </w:rPr>
          <m:t>=0</m:t>
        </m:r>
      </m:oMath>
      <w:r w:rsidR="006E59BF" w:rsidRPr="00044728">
        <w:rPr>
          <w:rFonts w:ascii="Times New Roman" w:eastAsiaTheme="minorEastAsia" w:hAnsi="Times New Roman" w:cs="Times New Roman"/>
          <w:b/>
          <w:bCs/>
        </w:rPr>
        <w:t xml:space="preserve"> </w:t>
      </w:r>
      <w:r w:rsidR="006E59BF" w:rsidRPr="00044728">
        <w:rPr>
          <w:rFonts w:ascii="Times New Roman" w:eastAsiaTheme="minorEastAsia" w:hAnsi="Times New Roman" w:cs="Times New Roman"/>
        </w:rPr>
        <w:t>and</w:t>
      </w:r>
      <w:r w:rsidR="006E59BF" w:rsidRPr="00044728">
        <w:rPr>
          <w:rFonts w:ascii="Times New Roman" w:eastAsiaTheme="minorEastAsia" w:hAnsi="Times New Roman" w:cs="Times New Roman"/>
          <w:b/>
          <w:bCs/>
        </w:rPr>
        <w:t xml:space="preserve"> </w:t>
      </w:r>
      <m:oMath>
        <m:r>
          <w:rPr>
            <w:rFonts w:ascii="Cambria Math" w:eastAsiaTheme="minorEastAsia" w:hAnsi="Cambria Math" w:cs="Times New Roman"/>
          </w:rPr>
          <m:t>E</m:t>
        </m:r>
        <m:d>
          <m:dPr>
            <m:ctrlPr>
              <w:rPr>
                <w:rFonts w:ascii="Cambria Math" w:eastAsiaTheme="minorEastAsia" w:hAnsi="Cambria Math" w:cs="Times New Roman"/>
                <w:i/>
              </w:rPr>
            </m:ctrlPr>
          </m:dPr>
          <m:e>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e>
              <m:sup>
                <m:r>
                  <m:rPr>
                    <m:sty m:val="bi"/>
                  </m:rPr>
                  <w:rPr>
                    <w:rFonts w:ascii="Cambria Math" w:hAnsi="Cambria Math" w:cs="Times New Roman"/>
                  </w:rPr>
                  <m:t>'</m:t>
                </m:r>
              </m:sup>
            </m:sSup>
            <m:ctrlPr>
              <w:rPr>
                <w:rFonts w:ascii="Cambria Math" w:hAnsi="Cambria Math" w:cs="Times New Roman"/>
                <w:b/>
                <w:bCs/>
                <w:i/>
              </w:rPr>
            </m:ctrlPr>
          </m:e>
        </m:d>
        <m:r>
          <m:rPr>
            <m:sty m:val="bi"/>
          </m:rPr>
          <w:rPr>
            <w:rFonts w:ascii="Cambria Math" w:hAnsi="Cambria Math" w:cs="Times New Roman"/>
          </w:rPr>
          <m:t>=1</m:t>
        </m:r>
      </m:oMath>
    </w:p>
    <w:p w14:paraId="4921445D" w14:textId="77777777" w:rsidR="006E59BF" w:rsidRPr="00044728" w:rsidRDefault="00000000" w:rsidP="002E0BE9">
      <w:pPr>
        <w:spacing w:after="0" w:line="480" w:lineRule="auto"/>
        <w:jc w:val="both"/>
        <w:rPr>
          <w:rFonts w:ascii="Times New Roman" w:eastAsiaTheme="minorEastAsia" w:hAnsi="Times New Roman" w:cs="Times New Roman"/>
          <w:b/>
          <w:bCs/>
          <w:i/>
        </w:rPr>
      </w:pPr>
      <m:oMath>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oMath>
      <w:r w:rsidR="006E59BF" w:rsidRPr="00044728">
        <w:rPr>
          <w:rFonts w:ascii="Times New Roman" w:eastAsiaTheme="minorEastAsia" w:hAnsi="Times New Roman" w:cs="Times New Roman"/>
          <w:i/>
          <w:iCs/>
        </w:rPr>
        <w:t xml:space="preserve"> </w:t>
      </w:r>
      <w:r w:rsidR="006E59BF" w:rsidRPr="00044728">
        <w:rPr>
          <w:rFonts w:ascii="Times New Roman" w:eastAsiaTheme="minorEastAsia" w:hAnsi="Times New Roman" w:cs="Times New Roman"/>
        </w:rPr>
        <w:t>could also be defined as a Vector of standardized residuals.</w:t>
      </w:r>
      <w:r w:rsidR="006E59BF" w:rsidRPr="00044728">
        <w:rPr>
          <w:rFonts w:ascii="Times New Roman" w:eastAsiaTheme="minorEastAsia" w:hAnsi="Times New Roman" w:cs="Times New Roman"/>
          <w:i/>
          <w:iCs/>
        </w:rPr>
        <w:t xml:space="preserve"> </w:t>
      </w:r>
      <m:oMath>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r>
          <m:rPr>
            <m:sty m:val="bi"/>
          </m:rPr>
          <w:rPr>
            <w:rFonts w:ascii="Cambria Math" w:hAnsi="Cambria Math" w:cs="Times New Roman"/>
          </w:rPr>
          <m:t>~N(0,1)</m:t>
        </m:r>
      </m:oMath>
    </w:p>
    <w:p w14:paraId="1C488A37" w14:textId="77777777" w:rsidR="006E59BF" w:rsidRPr="00044728" w:rsidRDefault="00CE35AC" w:rsidP="002E0BE9">
      <w:pPr>
        <w:spacing w:after="0" w:line="480" w:lineRule="auto"/>
        <w:jc w:val="both"/>
        <w:rPr>
          <w:rFonts w:ascii="Times New Roman" w:eastAsiaTheme="minorEastAsia" w:hAnsi="Times New Roman" w:cs="Times New Roman"/>
          <w:i/>
        </w:rPr>
      </w:pPr>
      <w:r>
        <w:rPr>
          <w:rFonts w:ascii="Times New Roman" w:hAnsi="Times New Roman" w:cs="Times New Roman"/>
        </w:rPr>
        <w:t>A correlation matrix</w:t>
      </w:r>
      <w:r w:rsidRPr="00CE35AC">
        <w:rPr>
          <w:rFonts w:ascii="Times New Roman" w:hAnsi="Times New Roman" w:cs="Times New Roman"/>
          <w:i/>
        </w:rPr>
        <w:t xml:space="preserve">, </w:t>
      </w:r>
      <w:r w:rsidRPr="00CE35AC">
        <w:rPr>
          <w:rFonts w:ascii="Times New Roman" w:hAnsi="Times New Roman" w:cs="Times New Roman"/>
          <w:b/>
          <w:i/>
        </w:rPr>
        <w:t>R</w:t>
      </w:r>
      <w:r w:rsidRPr="00CE35AC">
        <w:rPr>
          <w:rFonts w:ascii="Times New Roman" w:hAnsi="Times New Roman" w:cs="Times New Roman"/>
          <w:i/>
        </w:rPr>
        <w:t>t,</w:t>
      </w:r>
      <w:r w:rsidRPr="00CE35AC">
        <w:rPr>
          <w:rFonts w:ascii="Times New Roman" w:hAnsi="Times New Roman" w:cs="Times New Roman"/>
        </w:rPr>
        <w:t xml:space="preserve"> and condi</w:t>
      </w:r>
      <w:r>
        <w:rPr>
          <w:rFonts w:ascii="Times New Roman" w:hAnsi="Times New Roman" w:cs="Times New Roman"/>
        </w:rPr>
        <w:t xml:space="preserve">tional standard deviations, </w:t>
      </w:r>
      <w:r w:rsidRPr="00CE35AC">
        <w:rPr>
          <w:rFonts w:ascii="Times New Roman" w:hAnsi="Times New Roman" w:cs="Times New Roman"/>
          <w:b/>
          <w:i/>
        </w:rPr>
        <w:t>D</w:t>
      </w:r>
      <w:r w:rsidRPr="00CE35AC">
        <w:rPr>
          <w:rFonts w:ascii="Times New Roman" w:hAnsi="Times New Roman" w:cs="Times New Roman"/>
          <w:i/>
        </w:rPr>
        <w:t>t,</w:t>
      </w:r>
      <w:r w:rsidRPr="00CE35AC">
        <w:rPr>
          <w:rFonts w:ascii="Times New Roman" w:hAnsi="Times New Roman" w:cs="Times New Roman"/>
        </w:rPr>
        <w:t xml:space="preserve"> may be used to break </w:t>
      </w:r>
      <w:r>
        <w:rPr>
          <w:rFonts w:ascii="Times New Roman" w:hAnsi="Times New Roman" w:cs="Times New Roman"/>
        </w:rPr>
        <w:t xml:space="preserve">down the covariance matrix, </w:t>
      </w:r>
      <w:proofErr w:type="spellStart"/>
      <w:r w:rsidRPr="00CE35AC">
        <w:rPr>
          <w:rFonts w:ascii="Times New Roman" w:hAnsi="Times New Roman" w:cs="Times New Roman"/>
          <w:b/>
          <w:i/>
        </w:rPr>
        <w:t>H</w:t>
      </w:r>
      <w:r w:rsidRPr="00CE35AC">
        <w:rPr>
          <w:rFonts w:ascii="Times New Roman" w:hAnsi="Times New Roman" w:cs="Times New Roman"/>
          <w:i/>
        </w:rPr>
        <w:t>t</w:t>
      </w:r>
      <w:proofErr w:type="spellEnd"/>
      <w:r w:rsidRPr="00CE35AC">
        <w:rPr>
          <w:rFonts w:ascii="Times New Roman" w:hAnsi="Times New Roman" w:cs="Times New Roman"/>
        </w:rPr>
        <w:t xml:space="preserve"> =, according to the models presented in this class.  The standard deviations from univariate GARCH models are represented by the entr</w:t>
      </w:r>
      <w:r>
        <w:rPr>
          <w:rFonts w:ascii="Times New Roman" w:hAnsi="Times New Roman" w:cs="Times New Roman"/>
        </w:rPr>
        <w:t xml:space="preserve">ies in the diagonal matrix </w:t>
      </w:r>
      <w:r w:rsidRPr="00CE35AC">
        <w:rPr>
          <w:rFonts w:ascii="Times New Roman" w:hAnsi="Times New Roman" w:cs="Times New Roman"/>
          <w:b/>
          <w:i/>
        </w:rPr>
        <w:t>D</w:t>
      </w:r>
      <w:r w:rsidRPr="00CE35AC">
        <w:rPr>
          <w:rFonts w:ascii="Times New Roman" w:hAnsi="Times New Roman" w:cs="Times New Roman"/>
          <w:i/>
        </w:rPr>
        <w:t>t</w:t>
      </w:r>
      <w:r w:rsidR="006E59BF" w:rsidRPr="00CE35AC">
        <w:rPr>
          <w:rFonts w:ascii="Times New Roman" w:hAnsi="Times New Roman" w:cs="Times New Roman"/>
          <w:i/>
        </w:rPr>
        <w:t>.</w:t>
      </w:r>
    </w:p>
    <w:p w14:paraId="25EB1F12" w14:textId="77777777" w:rsidR="006E59BF" w:rsidRPr="00044728" w:rsidRDefault="00000000" w:rsidP="00EE0234">
      <w:pPr>
        <w:spacing w:line="480" w:lineRule="auto"/>
        <w:ind w:firstLine="720"/>
        <w:jc w:val="both"/>
        <w:rPr>
          <w:rFonts w:ascii="Times New Roman" w:eastAsiaTheme="minorEastAsia" w:hAnsi="Times New Roman" w:cs="Times New Roman"/>
          <w:b/>
          <w:bCs/>
        </w:rPr>
      </w:pPr>
      <m:oMath>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d>
          <m:dPr>
            <m:begChr m:val="["/>
            <m:endChr m:val="]"/>
            <m:ctrlPr>
              <w:rPr>
                <w:rFonts w:ascii="Cambria Math" w:hAnsi="Cambria Math" w:cs="Times New Roman"/>
                <w:b/>
                <w:bCs/>
                <w:i/>
              </w:rPr>
            </m:ctrlPr>
          </m:dPr>
          <m:e>
            <m:m>
              <m:mPr>
                <m:mcs>
                  <m:mc>
                    <m:mcPr>
                      <m:count m:val="3"/>
                      <m:mcJc m:val="center"/>
                    </m:mcPr>
                  </m:mc>
                </m:mcs>
                <m:ctrlPr>
                  <w:rPr>
                    <w:rFonts w:ascii="Cambria Math" w:hAnsi="Cambria Math" w:cs="Times New Roman"/>
                    <w:b/>
                    <w:bCs/>
                    <w:i/>
                  </w:rPr>
                </m:ctrlPr>
              </m:mPr>
              <m:mr>
                <m:e>
                  <w:bookmarkStart w:id="1" w:name="_Hlk186196676"/>
                  <m:rad>
                    <m:radPr>
                      <m:degHide m:val="1"/>
                      <m:ctrlPr>
                        <w:rPr>
                          <w:rFonts w:ascii="Cambria Math" w:hAnsi="Cambria Math" w:cs="Times New Roman"/>
                          <w:b/>
                          <w:bCs/>
                          <w:i/>
                        </w:rPr>
                      </m:ctrlPr>
                    </m:radPr>
                    <m:deg/>
                    <m:e>
                      <m:sSubSup>
                        <m:sSubSupPr>
                          <m:ctrlPr>
                            <w:rPr>
                              <w:rFonts w:ascii="Cambria Math" w:hAnsi="Cambria Math" w:cs="Times New Roman"/>
                              <w:i/>
                            </w:rPr>
                          </m:ctrlPr>
                        </m:sSubSupPr>
                        <m:e>
                          <m:sSubSup>
                            <m:sSubSupPr>
                              <m:ctrlPr>
                                <w:rPr>
                                  <w:rFonts w:ascii="Cambria Math" w:hAnsi="Cambria Math" w:cs="Times New Roman"/>
                                  <w:i/>
                                </w:rPr>
                              </m:ctrlPr>
                            </m:sSubSupPr>
                            <m:e>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sub>
                              <m:r>
                                <w:rPr>
                                  <w:rFonts w:ascii="Cambria Math" w:hAnsi="Cambria Math" w:cs="Times New Roman"/>
                                </w:rPr>
                                <m:t>1t</m:t>
                              </m:r>
                            </m:sub>
                            <m:sup>
                              <m:r>
                                <w:rPr>
                                  <w:rFonts w:ascii="Cambria Math" w:hAnsi="Cambria Math" w:cs="Times New Roman"/>
                                </w:rPr>
                                <m:t xml:space="preserve"> </m:t>
                              </m:r>
                            </m:sup>
                          </m:sSubSup>
                        </m:e>
                        <m:sub>
                          <m:r>
                            <w:rPr>
                              <w:rFonts w:ascii="Cambria Math" w:hAnsi="Cambria Math" w:cs="Times New Roman"/>
                            </w:rPr>
                            <m:t xml:space="preserve"> </m:t>
                          </m:r>
                        </m:sub>
                        <m:sup>
                          <m:r>
                            <w:rPr>
                              <w:rFonts w:ascii="Cambria Math" w:hAnsi="Cambria Math" w:cs="Times New Roman"/>
                            </w:rPr>
                            <m:t xml:space="preserve"> </m:t>
                          </m:r>
                        </m:sup>
                      </m:sSubSup>
                    </m:e>
                  </m:rad>
                  <w:bookmarkEnd w:id="1"/>
                </m:e>
                <m:e>
                  <m:r>
                    <m:rPr>
                      <m:sty m:val="bi"/>
                    </m:rPr>
                    <w:rPr>
                      <w:rFonts w:ascii="Cambria Math" w:hAnsi="Cambria Math" w:cs="Times New Roman"/>
                    </w:rPr>
                    <m:t>0</m:t>
                  </m:r>
                </m:e>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0</m:t>
                        </m:r>
                      </m:e>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m:t>
                              </m:r>
                            </m:e>
                            <m:e>
                              <m:r>
                                <m:rPr>
                                  <m:sty m:val="bi"/>
                                </m:rPr>
                                <w:rPr>
                                  <w:rFonts w:ascii="Cambria Math" w:hAnsi="Cambria Math" w:cs="Times New Roman"/>
                                </w:rPr>
                                <m:t>0</m:t>
                              </m:r>
                            </m:e>
                          </m:mr>
                        </m:m>
                      </m:e>
                    </m:mr>
                  </m:m>
                </m:e>
              </m:mr>
              <m:mr>
                <m:e>
                  <m:r>
                    <m:rPr>
                      <m:sty m:val="bi"/>
                    </m:rPr>
                    <w:rPr>
                      <w:rFonts w:ascii="Cambria Math" w:hAnsi="Cambria Math" w:cs="Times New Roman"/>
                    </w:rPr>
                    <m:t>0</m:t>
                  </m:r>
                </m:e>
                <m:e>
                  <m:rad>
                    <m:radPr>
                      <m:degHide m:val="1"/>
                      <m:ctrlPr>
                        <w:rPr>
                          <w:rFonts w:ascii="Cambria Math" w:hAnsi="Cambria Math" w:cs="Times New Roman"/>
                          <w:b/>
                          <w:bCs/>
                          <w:i/>
                        </w:rPr>
                      </m:ctrlPr>
                    </m:radPr>
                    <m:deg/>
                    <m:e>
                      <m:sSubSup>
                        <m:sSubSupPr>
                          <m:ctrlPr>
                            <w:rPr>
                              <w:rFonts w:ascii="Cambria Math" w:hAnsi="Cambria Math" w:cs="Times New Roman"/>
                              <w:i/>
                            </w:rPr>
                          </m:ctrlPr>
                        </m:sSubSupPr>
                        <m:e>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sub>
                          <m:r>
                            <w:rPr>
                              <w:rFonts w:ascii="Cambria Math" w:hAnsi="Cambria Math" w:cs="Times New Roman"/>
                            </w:rPr>
                            <m:t>2t</m:t>
                          </m:r>
                        </m:sub>
                        <m:sup>
                          <m:r>
                            <w:rPr>
                              <w:rFonts w:ascii="Cambria Math" w:hAnsi="Cambria Math" w:cs="Times New Roman"/>
                            </w:rPr>
                            <m:t xml:space="preserve"> </m:t>
                          </m:r>
                        </m:sup>
                      </m:sSubSup>
                    </m:e>
                  </m:rad>
                </m:e>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0</m:t>
                        </m:r>
                      </m:e>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m:t>
                              </m:r>
                            </m:e>
                            <m:e>
                              <m:r>
                                <m:rPr>
                                  <m:sty m:val="bi"/>
                                </m:rPr>
                                <w:rPr>
                                  <w:rFonts w:ascii="Cambria Math" w:hAnsi="Cambria Math" w:cs="Times New Roman"/>
                                </w:rPr>
                                <m:t>0</m:t>
                              </m:r>
                            </m:e>
                          </m:mr>
                        </m:m>
                      </m:e>
                    </m:mr>
                  </m:m>
                </m:e>
              </m:m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0</m:t>
                        </m:r>
                      </m:e>
                    </m:m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r>
                                <m:rPr>
                                  <m:sty m:val="bi"/>
                                </m:rPr>
                                <w:rPr>
                                  <w:rFonts w:ascii="Cambria Math" w:hAnsi="Cambria Math" w:cs="Times New Roman"/>
                                </w:rPr>
                                <m:t>0</m:t>
                              </m:r>
                            </m:e>
                          </m:mr>
                        </m:m>
                      </m:e>
                    </m:mr>
                  </m:m>
                </m:e>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0</m:t>
                        </m:r>
                      </m:e>
                    </m:m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r>
                                <m:rPr>
                                  <m:sty m:val="bi"/>
                                </m:rPr>
                                <w:rPr>
                                  <w:rFonts w:ascii="Cambria Math" w:hAnsi="Cambria Math" w:cs="Times New Roman"/>
                                </w:rPr>
                                <m:t>0</m:t>
                              </m:r>
                            </m:e>
                          </m:mr>
                        </m:m>
                      </m:e>
                    </m:mr>
                  </m:m>
                </m:e>
                <m:e>
                  <m:m>
                    <m:mPr>
                      <m:mcs>
                        <m:mc>
                          <m:mcPr>
                            <m:count m:val="2"/>
                            <m:mcJc m:val="center"/>
                          </m:mcPr>
                        </m:mc>
                      </m:mcs>
                      <m:ctrlPr>
                        <w:rPr>
                          <w:rFonts w:ascii="Cambria Math" w:hAnsi="Cambria Math" w:cs="Times New Roman"/>
                          <w:b/>
                          <w:bCs/>
                          <w:i/>
                        </w:rPr>
                      </m:ctrlPr>
                    </m:mPr>
                    <m:mr>
                      <m:e>
                        <m:m>
                          <m:mPr>
                            <m:mcs>
                              <m:mc>
                                <m:mcPr>
                                  <m:count m:val="1"/>
                                  <m:mcJc m:val="center"/>
                                </m:mcPr>
                              </m:mc>
                            </m:mcs>
                            <m:ctrlPr>
                              <w:rPr>
                                <w:rFonts w:ascii="Cambria Math" w:hAnsi="Cambria Math" w:cs="Times New Roman"/>
                                <w:b/>
                                <w:bCs/>
                                <w:i/>
                              </w:rPr>
                            </m:ctrlPr>
                          </m:mPr>
                          <m:mr>
                            <m:e>
                              <m:rad>
                                <m:radPr>
                                  <m:degHide m:val="1"/>
                                  <m:ctrlPr>
                                    <w:rPr>
                                      <w:rFonts w:ascii="Cambria Math" w:hAnsi="Cambria Math" w:cs="Times New Roman"/>
                                      <w:b/>
                                      <w:bCs/>
                                      <w:i/>
                                    </w:rPr>
                                  </m:ctrlPr>
                                </m:radPr>
                                <m:deg/>
                                <m:e>
                                  <m:sSubSup>
                                    <m:sSubSupPr>
                                      <m:ctrlPr>
                                        <w:rPr>
                                          <w:rFonts w:ascii="Cambria Math" w:hAnsi="Cambria Math" w:cs="Times New Roman"/>
                                          <w:i/>
                                        </w:rPr>
                                      </m:ctrlPr>
                                    </m:sSubSupPr>
                                    <m:e>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sub>
                                      <m:r>
                                        <w:rPr>
                                          <w:rFonts w:ascii="Cambria Math" w:hAnsi="Cambria Math" w:cs="Times New Roman"/>
                                        </w:rPr>
                                        <m:t>3t</m:t>
                                      </m:r>
                                    </m:sub>
                                    <m:sup>
                                      <m:r>
                                        <w:rPr>
                                          <w:rFonts w:ascii="Cambria Math" w:hAnsi="Cambria Math" w:cs="Times New Roman"/>
                                        </w:rPr>
                                        <m:t xml:space="preserve"> </m:t>
                                      </m:r>
                                    </m:sup>
                                  </m:sSubSup>
                                </m:e>
                              </m:rad>
                            </m:e>
                          </m:m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r>
                                      <m:rPr>
                                        <m:sty m:val="bi"/>
                                      </m:rPr>
                                      <w:rPr>
                                        <w:rFonts w:ascii="Cambria Math" w:hAnsi="Cambria Math" w:cs="Times New Roman"/>
                                      </w:rPr>
                                      <m:t>…</m:t>
                                    </m:r>
                                  </m:e>
                                </m:mr>
                              </m:m>
                            </m:e>
                          </m:mr>
                        </m:m>
                      </m:e>
                      <m:e>
                        <m:m>
                          <m:mPr>
                            <m:mcs>
                              <m:mc>
                                <m:mcPr>
                                  <m:count m:val="1"/>
                                  <m:mcJc m:val="center"/>
                                </m:mcPr>
                              </m:mc>
                            </m:mcs>
                            <m:ctrlPr>
                              <w:rPr>
                                <w:rFonts w:ascii="Cambria Math" w:hAnsi="Cambria Math" w:cs="Times New Roman"/>
                                <w:b/>
                                <w:bCs/>
                                <w:i/>
                              </w:rPr>
                            </m:ctrlPr>
                          </m:mPr>
                          <m:mr>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m:t>
                                    </m:r>
                                  </m:e>
                                  <m:e>
                                    <m:r>
                                      <m:rPr>
                                        <m:sty m:val="bi"/>
                                      </m:rPr>
                                      <w:rPr>
                                        <w:rFonts w:ascii="Cambria Math" w:hAnsi="Cambria Math" w:cs="Times New Roman"/>
                                      </w:rPr>
                                      <m:t>⋮</m:t>
                                    </m:r>
                                  </m:e>
                                </m:mr>
                              </m:m>
                            </m:e>
                          </m:mr>
                          <m:mr>
                            <m:e>
                              <m:m>
                                <m:mPr>
                                  <m:mcs>
                                    <m:mc>
                                      <m:mcPr>
                                        <m:count m:val="2"/>
                                        <m:mcJc m:val="center"/>
                                      </m:mcPr>
                                    </m:mc>
                                  </m:mcs>
                                  <m:ctrlPr>
                                    <w:rPr>
                                      <w:rFonts w:ascii="Cambria Math" w:hAnsi="Cambria Math" w:cs="Times New Roman"/>
                                      <w:b/>
                                      <w:bCs/>
                                      <w:i/>
                                    </w:rPr>
                                  </m:ctrlPr>
                                </m:mP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r>
                                            <m:rPr>
                                              <m:sty m:val="bi"/>
                                            </m:rPr>
                                            <w:rPr>
                                              <w:rFonts w:ascii="Cambria Math" w:hAnsi="Cambria Math" w:cs="Times New Roman"/>
                                            </w:rPr>
                                            <m:t>0</m:t>
                                          </m:r>
                                        </m:e>
                                      </m:mr>
                                    </m:m>
                                  </m:e>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0</m:t>
                                          </m:r>
                                        </m:e>
                                      </m:mr>
                                      <m:mr>
                                        <m:e>
                                          <m:rad>
                                            <m:radPr>
                                              <m:degHide m:val="1"/>
                                              <m:ctrlPr>
                                                <w:rPr>
                                                  <w:rFonts w:ascii="Cambria Math" w:hAnsi="Cambria Math" w:cs="Times New Roman"/>
                                                  <w:b/>
                                                  <w:bCs/>
                                                  <w:i/>
                                                </w:rPr>
                                              </m:ctrlPr>
                                            </m:radPr>
                                            <m:deg/>
                                            <m:e>
                                              <m:sSubSup>
                                                <m:sSubSupPr>
                                                  <m:ctrlPr>
                                                    <w:rPr>
                                                      <w:rFonts w:ascii="Cambria Math" w:hAnsi="Cambria Math" w:cs="Times New Roman"/>
                                                      <w:i/>
                                                    </w:rPr>
                                                  </m:ctrlPr>
                                                </m:sSubSupPr>
                                                <m:e>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sub>
                                                  <m:r>
                                                    <w:rPr>
                                                      <w:rFonts w:ascii="Cambria Math" w:hAnsi="Cambria Math" w:cs="Times New Roman"/>
                                                    </w:rPr>
                                                    <m:t>nt</m:t>
                                                  </m:r>
                                                </m:sub>
                                                <m:sup>
                                                  <m:r>
                                                    <w:rPr>
                                                      <w:rFonts w:ascii="Cambria Math" w:hAnsi="Cambria Math" w:cs="Times New Roman"/>
                                                    </w:rPr>
                                                    <m:t xml:space="preserve"> </m:t>
                                                  </m:r>
                                                </m:sup>
                                              </m:sSubSup>
                                            </m:e>
                                          </m:rad>
                                        </m:e>
                                      </m:mr>
                                    </m:m>
                                  </m:e>
                                </m:mr>
                              </m:m>
                            </m:e>
                          </m:mr>
                        </m:m>
                      </m:e>
                    </m:mr>
                  </m:m>
                </m:e>
              </m:mr>
            </m:m>
          </m:e>
        </m:d>
      </m:oMath>
      <w:r w:rsidR="006E59BF" w:rsidRPr="00044728">
        <w:rPr>
          <w:rFonts w:ascii="Times New Roman" w:eastAsiaTheme="minorEastAsia" w:hAnsi="Times New Roman" w:cs="Times New Roman"/>
          <w:b/>
          <w:bCs/>
        </w:rPr>
        <w:t xml:space="preserve">  </w:t>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3A5880" w:rsidRPr="00044728">
        <w:rPr>
          <w:rFonts w:ascii="Times New Roman" w:eastAsiaTheme="minorEastAsia" w:hAnsi="Times New Roman" w:cs="Times New Roman"/>
          <w:b/>
          <w:bCs/>
        </w:rPr>
        <w:tab/>
      </w:r>
      <w:r w:rsidR="003A5880" w:rsidRPr="00044728">
        <w:rPr>
          <w:rFonts w:ascii="Times New Roman" w:eastAsiaTheme="minorEastAsia" w:hAnsi="Times New Roman" w:cs="Times New Roman"/>
        </w:rPr>
        <w:t>(17</w:t>
      </w:r>
      <w:r w:rsidR="006E59BF" w:rsidRPr="00044728">
        <w:rPr>
          <w:rFonts w:ascii="Times New Roman" w:eastAsiaTheme="minorEastAsia" w:hAnsi="Times New Roman" w:cs="Times New Roman"/>
        </w:rPr>
        <w:t>)</w:t>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p>
    <w:p w14:paraId="4813CD21" w14:textId="77777777" w:rsidR="006E59BF" w:rsidRPr="00044728" w:rsidRDefault="00000000" w:rsidP="002E0BE9">
      <w:pPr>
        <w:spacing w:line="480" w:lineRule="auto"/>
        <w:jc w:val="both"/>
        <w:rPr>
          <w:rFonts w:ascii="Times New Roman" w:eastAsiaTheme="minorEastAsia" w:hAnsi="Times New Roman" w:cs="Times New Roman"/>
          <w:b/>
        </w:rPr>
      </w:pPr>
      <m:oMathPara>
        <m:oMathParaPr>
          <m:jc m:val="left"/>
        </m:oMathParaPr>
        <m:oMath>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r>
            <w:rPr>
              <w:rFonts w:ascii="Cambria Math" w:hAnsi="Cambria Math" w:cs="Times New Roman"/>
            </w:rPr>
            <m:t>diag</m:t>
          </m:r>
          <m:r>
            <m:rPr>
              <m:sty m:val="bi"/>
            </m:rP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1t</m:t>
              </m:r>
            </m:sub>
            <m:sup>
              <m:r>
                <w:rPr>
                  <w:rFonts w:ascii="Cambria Math" w:hAnsi="Cambria Math" w:cs="Times New Roman"/>
                </w:rPr>
                <m:t xml:space="preserve"> </m:t>
              </m:r>
            </m:sup>
          </m:sSubSup>
          <m:r>
            <m:rPr>
              <m:sty m:val="bi"/>
            </m:rP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2t</m:t>
              </m:r>
            </m:sub>
            <m:sup>
              <m:r>
                <w:rPr>
                  <w:rFonts w:ascii="Cambria Math" w:hAnsi="Cambria Math" w:cs="Times New Roman"/>
                </w:rPr>
                <m:t xml:space="preserve"> </m:t>
              </m:r>
            </m:sup>
          </m:sSubSup>
          <m:r>
            <m:rPr>
              <m:sty m:val="bi"/>
            </m:rP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3t</m:t>
              </m:r>
            </m:sub>
            <m:sup>
              <m:r>
                <w:rPr>
                  <w:rFonts w:ascii="Cambria Math" w:hAnsi="Cambria Math" w:cs="Times New Roman"/>
                </w:rPr>
                <m:t xml:space="preserve"> </m:t>
              </m:r>
            </m:sup>
          </m:sSubSup>
          <m:r>
            <m:rPr>
              <m:sty m:val="bi"/>
            </m:rPr>
            <w:rPr>
              <w:rFonts w:ascii="Cambria Math" w:hAnsi="Cambria Math" w:cs="Times New Roman"/>
            </w:rPr>
            <m:t xml:space="preserve">, …, </m:t>
          </m:r>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nt</m:t>
              </m:r>
            </m:sub>
            <m:sup>
              <m:r>
                <w:rPr>
                  <w:rFonts w:ascii="Cambria Math" w:hAnsi="Cambria Math" w:cs="Times New Roman"/>
                </w:rPr>
                <m:t xml:space="preserve"> </m:t>
              </m:r>
            </m:sup>
          </m:sSubSup>
          <m:r>
            <m:rPr>
              <m:sty m:val="bi"/>
            </m:rPr>
            <w:rPr>
              <w:rFonts w:ascii="Cambria Math" w:hAnsi="Cambria Math" w:cs="Times New Roman"/>
            </w:rPr>
            <m:t>)</m:t>
          </m:r>
        </m:oMath>
      </m:oMathPara>
    </w:p>
    <w:p w14:paraId="3AB151CA" w14:textId="77777777" w:rsidR="006E59BF" w:rsidRPr="00044728" w:rsidRDefault="006E59BF" w:rsidP="002E0BE9">
      <w:pPr>
        <w:spacing w:line="480" w:lineRule="auto"/>
        <w:jc w:val="both"/>
        <w:rPr>
          <w:rFonts w:ascii="Times New Roman" w:hAnsi="Times New Roman" w:cs="Times New Roman"/>
        </w:rPr>
      </w:pPr>
      <w:r w:rsidRPr="00044728">
        <w:rPr>
          <w:rFonts w:ascii="Times New Roman" w:hAnsi="Times New Roman" w:cs="Times New Roman"/>
        </w:rPr>
        <w:t xml:space="preserve">where </w:t>
      </w:r>
      <m:oMath>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1t</m:t>
            </m:r>
          </m:sub>
          <m:sup>
            <m:r>
              <w:rPr>
                <w:rFonts w:ascii="Cambria Math" w:hAnsi="Cambria Math" w:cs="Times New Roman"/>
              </w:rPr>
              <m:t xml:space="preserve"> </m:t>
            </m:r>
          </m:sup>
        </m:sSubSup>
      </m:oMath>
      <w:r w:rsidRPr="00044728">
        <w:rPr>
          <w:rFonts w:ascii="Times New Roman" w:hAnsi="Times New Roman" w:cs="Times New Roman"/>
        </w:rPr>
        <w:t xml:space="preserve"> </w:t>
      </w:r>
      <w:r w:rsidR="00FA2485" w:rsidRPr="00FA2485">
        <w:rPr>
          <w:rFonts w:ascii="Times New Roman" w:hAnsi="Times New Roman" w:cs="Times New Roman"/>
        </w:rPr>
        <w:t xml:space="preserve">It usually derived from the univariate GARCH models and represents the square root of variance (time-varying conditional standard deviation) of the </w:t>
      </w:r>
      <w:proofErr w:type="spellStart"/>
      <w:r w:rsidR="00FA2485" w:rsidRPr="00FA2485">
        <w:rPr>
          <w:rFonts w:ascii="Times New Roman" w:hAnsi="Times New Roman" w:cs="Times New Roman"/>
        </w:rPr>
        <w:t>ith</w:t>
      </w:r>
      <w:proofErr w:type="spellEnd"/>
      <w:r w:rsidR="00FA2485" w:rsidRPr="00FA2485">
        <w:rPr>
          <w:rFonts w:ascii="Times New Roman" w:hAnsi="Times New Roman" w:cs="Times New Roman"/>
        </w:rPr>
        <w:t xml:space="preserve"> time series at time t.</w:t>
      </w:r>
    </w:p>
    <w:p w14:paraId="3F9B9450" w14:textId="77777777" w:rsidR="006E59BF" w:rsidRPr="00044728" w:rsidRDefault="006E59BF" w:rsidP="002E0BE9">
      <w:pPr>
        <w:spacing w:line="480" w:lineRule="auto"/>
        <w:jc w:val="both"/>
        <w:rPr>
          <w:rFonts w:ascii="Times New Roman" w:eastAsiaTheme="minorEastAsia" w:hAnsi="Times New Roman" w:cs="Times New Roman"/>
          <w:b/>
          <w:bCs/>
        </w:rPr>
      </w:pPr>
      <w:r w:rsidRPr="00044728">
        <w:rPr>
          <w:rFonts w:ascii="Times New Roman" w:hAnsi="Times New Roman" w:cs="Times New Roman"/>
        </w:rPr>
        <w:t xml:space="preserve">The overall conditional covariance matrix </w:t>
      </w:r>
      <w:bookmarkStart w:id="2" w:name="_Hlk186231514"/>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bookmarkEnd w:id="2"/>
      <w:r w:rsidRPr="00044728">
        <w:rPr>
          <w:rFonts w:ascii="Times New Roman" w:hAnsi="Times New Roman" w:cs="Times New Roman"/>
        </w:rPr>
        <w:t xml:space="preserve">​ is constructed as </w:t>
      </w:r>
      <m:oMath>
        <m:sSubSup>
          <m:sSubSupPr>
            <m:ctrlPr>
              <w:rPr>
                <w:rFonts w:ascii="Cambria Math" w:hAnsi="Cambria Math" w:cs="Times New Roman"/>
                <w:b/>
                <w:bCs/>
                <w:i/>
              </w:rPr>
            </m:ctrlPr>
          </m:sSubSupPr>
          <m:e>
            <m:r>
              <m:rPr>
                <m:sty m:val="bi"/>
              </m:rPr>
              <w:rPr>
                <w:rFonts w:ascii="Cambria Math" w:hAnsi="Cambria Math" w:cs="Times New Roman"/>
              </w:rPr>
              <m:t>H</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p>
    <w:p w14:paraId="4E95AA69" w14:textId="77777777" w:rsidR="006E59BF" w:rsidRPr="00044728" w:rsidRDefault="006E59BF" w:rsidP="002E0BE9">
      <w:pPr>
        <w:spacing w:line="480" w:lineRule="auto"/>
        <w:jc w:val="both"/>
        <w:rPr>
          <w:rFonts w:ascii="Times New Roman" w:hAnsi="Times New Roman" w:cs="Times New Roman"/>
        </w:rPr>
      </w:pPr>
      <w:r w:rsidRPr="00044728">
        <w:rPr>
          <w:rFonts w:ascii="Times New Roman" w:hAnsi="Times New Roman" w:cs="Times New Roman"/>
        </w:rPr>
        <w:t xml:space="preserve">where: </w:t>
      </w:r>
      <m:oMath>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r w:rsidRPr="00044728">
        <w:rPr>
          <w:rFonts w:ascii="Times New Roman" w:hAnsi="Times New Roman" w:cs="Times New Roman"/>
          <w:b/>
          <w:bCs/>
        </w:rPr>
        <w:t xml:space="preserve"> </w:t>
      </w:r>
      <w:r w:rsidR="00FA2485" w:rsidRPr="00FA2485">
        <w:rPr>
          <w:rFonts w:ascii="Times New Roman" w:hAnsi="Times New Roman" w:cs="Times New Roman"/>
        </w:rPr>
        <w:t xml:space="preserve">this is the DCC-derived time-varying correlation matrix of the model. The DCC-GARCH model's time-varying conditional correlation matrix, abbreviated as </w:t>
      </w:r>
      <w:r w:rsidR="00FA2485" w:rsidRPr="00FA2485">
        <w:rPr>
          <w:rFonts w:ascii="Times New Roman" w:hAnsi="Times New Roman" w:cs="Times New Roman"/>
          <w:b/>
        </w:rPr>
        <w:t>R</w:t>
      </w:r>
      <w:r w:rsidR="00FA2485" w:rsidRPr="00FA2485">
        <w:rPr>
          <w:rFonts w:ascii="Times New Roman" w:hAnsi="Times New Roman" w:cs="Times New Roman"/>
        </w:rPr>
        <w:t xml:space="preserve">t. It displays the time series' </w:t>
      </w:r>
      <w:proofErr w:type="spellStart"/>
      <w:r w:rsidR="00FA2485" w:rsidRPr="00FA2485">
        <w:rPr>
          <w:rFonts w:ascii="Times New Roman" w:hAnsi="Times New Roman" w:cs="Times New Roman"/>
        </w:rPr>
        <w:t>standardised</w:t>
      </w:r>
      <w:proofErr w:type="spellEnd"/>
      <w:r w:rsidR="00FA2485" w:rsidRPr="00FA2485">
        <w:rPr>
          <w:rFonts w:ascii="Times New Roman" w:hAnsi="Times New Roman" w:cs="Times New Roman"/>
        </w:rPr>
        <w:t xml:space="preserve"> residual correlations at time t.</w:t>
      </w:r>
    </w:p>
    <w:p w14:paraId="5EB766D1" w14:textId="77777777" w:rsidR="006E59BF" w:rsidRPr="00044728" w:rsidRDefault="006E59BF" w:rsidP="002E0BE9">
      <w:pPr>
        <w:spacing w:line="480" w:lineRule="auto"/>
        <w:jc w:val="both"/>
        <w:rPr>
          <w:rFonts w:ascii="Times New Roman" w:hAnsi="Times New Roman" w:cs="Times New Roman"/>
        </w:rPr>
      </w:pPr>
      <w:r w:rsidRPr="00044728">
        <w:rPr>
          <w:rFonts w:ascii="Times New Roman" w:hAnsi="Times New Roman" w:cs="Times New Roman"/>
        </w:rPr>
        <w:t xml:space="preserve">The residuals </w:t>
      </w:r>
      <m:oMath>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r>
          <m:rPr>
            <m:sty m:val="bi"/>
          </m:rPr>
          <w:rPr>
            <w:rFonts w:ascii="Cambria Math" w:hAnsi="Cambria Math" w:cs="Times New Roman"/>
          </w:rPr>
          <m:t>=</m:t>
        </m:r>
        <m:r>
          <m:rPr>
            <m:sty m:val="bi"/>
          </m:rPr>
          <w:rPr>
            <w:rFonts w:ascii="Cambria Math" w:eastAsiaTheme="minorEastAsia" w:hAnsi="Cambria Math" w:cs="Times New Roman"/>
          </w:rPr>
          <m:t xml:space="preserve"> </m:t>
        </m:r>
        <m:sSup>
          <m:sSupPr>
            <m:ctrlPr>
              <w:rPr>
                <w:rFonts w:ascii="Cambria Math" w:hAnsi="Cambria Math" w:cs="Times New Roman"/>
                <w:b/>
                <w:bCs/>
                <w:i/>
              </w:rPr>
            </m:ctrlPr>
          </m:sSupPr>
          <m:e>
            <m:sSubSup>
              <m:sSubSupPr>
                <m:ctrlPr>
                  <w:rPr>
                    <w:rFonts w:ascii="Cambria Math" w:hAnsi="Cambria Math" w:cs="Times New Roman"/>
                    <w:b/>
                    <w:bCs/>
                    <w:i/>
                  </w:rPr>
                </m:ctrlPr>
              </m:sSubSupPr>
              <m:e>
                <m:r>
                  <m:rPr>
                    <m:sty m:val="bi"/>
                  </m:rPr>
                  <w:rPr>
                    <w:rFonts w:ascii="Cambria Math" w:hAnsi="Cambria Math" w:cs="Times New Roman"/>
                  </w:rPr>
                  <m:t>D</m:t>
                </m:r>
              </m:e>
              <m:sub>
                <m:r>
                  <m:rPr>
                    <m:sty m:val="bi"/>
                  </m:rPr>
                  <w:rPr>
                    <w:rFonts w:ascii="Cambria Math" w:hAnsi="Cambria Math" w:cs="Times New Roman"/>
                  </w:rPr>
                  <m:t>t</m:t>
                </m:r>
              </m:sub>
              <m:sup>
                <m:r>
                  <m:rPr>
                    <m:sty m:val="bi"/>
                  </m:rPr>
                  <w:rPr>
                    <w:rFonts w:ascii="Cambria Math" w:hAnsi="Cambria Math" w:cs="Times New Roman"/>
                  </w:rPr>
                  <m:t xml:space="preserve"> </m:t>
                </m:r>
              </m:sup>
            </m:sSubSup>
          </m:e>
          <m:sup>
            <m:r>
              <m:rPr>
                <m:sty m:val="bi"/>
              </m:rPr>
              <w:rPr>
                <w:rFonts w:ascii="Cambria Math" w:hAnsi="Cambria Math" w:cs="Times New Roman"/>
              </w:rPr>
              <m:t>-1</m:t>
            </m:r>
          </m:sup>
        </m:sSup>
        <m:sSub>
          <m:sSubPr>
            <m:ctrlPr>
              <w:rPr>
                <w:rFonts w:ascii="Cambria Math" w:hAnsi="Cambria Math" w:cs="Times New Roman"/>
                <w:b/>
                <w:bCs/>
                <w:i/>
              </w:rPr>
            </m:ctrlPr>
          </m:sSubPr>
          <m:e>
            <m:r>
              <m:rPr>
                <m:sty m:val="bi"/>
              </m:rPr>
              <w:rPr>
                <w:rFonts w:ascii="Cambria Math" w:hAnsi="Cambria Math" w:cs="Times New Roman"/>
              </w:rPr>
              <m:t>ε</m:t>
            </m:r>
          </m:e>
          <m:sub>
            <m:r>
              <m:rPr>
                <m:sty m:val="bi"/>
              </m:rPr>
              <w:rPr>
                <w:rFonts w:ascii="Cambria Math" w:hAnsi="Cambria Math" w:cs="Times New Roman"/>
              </w:rPr>
              <m:t>t</m:t>
            </m:r>
          </m:sub>
        </m:sSub>
      </m:oMath>
      <w:r w:rsidRPr="00044728">
        <w:rPr>
          <w:rFonts w:ascii="Times New Roman" w:hAnsi="Times New Roman" w:cs="Times New Roman"/>
        </w:rPr>
        <w:t xml:space="preserve">​ are standardized with unit variances, which are used to estimate </w:t>
      </w:r>
      <m:oMath>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r w:rsidRPr="00044728">
        <w:rPr>
          <w:rFonts w:ascii="Times New Roman" w:hAnsi="Times New Roman" w:cs="Times New Roman"/>
        </w:rPr>
        <w:t xml:space="preserve">​. </w:t>
      </w:r>
    </w:p>
    <w:p w14:paraId="3CF0569D" w14:textId="77777777" w:rsidR="006E59BF" w:rsidRPr="00044728" w:rsidRDefault="006E59BF" w:rsidP="002E0BE9">
      <w:pPr>
        <w:spacing w:line="480" w:lineRule="auto"/>
        <w:jc w:val="both"/>
        <w:rPr>
          <w:rFonts w:ascii="Times New Roman" w:hAnsi="Times New Roman" w:cs="Times New Roman"/>
        </w:rPr>
      </w:pPr>
      <w:r w:rsidRPr="00044728">
        <w:rPr>
          <w:rFonts w:ascii="Times New Roman" w:hAnsi="Times New Roman" w:cs="Times New Roman"/>
        </w:rPr>
        <w:t xml:space="preserve">Since </w:t>
      </w:r>
      <m:oMath>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oMath>
      <w:r w:rsidRPr="00044728">
        <w:rPr>
          <w:rFonts w:ascii="Times New Roman" w:hAnsi="Times New Roman" w:cs="Times New Roman"/>
          <w:i/>
          <w:iCs/>
        </w:rPr>
        <w:t xml:space="preserve"> </w:t>
      </w:r>
      <w:r w:rsidRPr="00044728">
        <w:rPr>
          <w:rFonts w:ascii="Times New Roman" w:hAnsi="Times New Roman" w:cs="Times New Roman"/>
        </w:rPr>
        <w:t>is a correlation matrix it is symmetric, thus we have:</w:t>
      </w:r>
    </w:p>
    <w:p w14:paraId="6B379415" w14:textId="77777777" w:rsidR="006E59BF" w:rsidRPr="00044728" w:rsidRDefault="00000000" w:rsidP="00EE0234">
      <w:pPr>
        <w:spacing w:line="480" w:lineRule="auto"/>
        <w:jc w:val="both"/>
        <w:rPr>
          <w:rFonts w:ascii="Times New Roman" w:hAnsi="Times New Roman" w:cs="Times New Roman"/>
        </w:rPr>
      </w:pPr>
      <m:oMathPara>
        <m:oMath>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d>
            <m:dPr>
              <m:begChr m:val="["/>
              <m:endChr m:val="]"/>
              <m:ctrlPr>
                <w:rPr>
                  <w:rFonts w:ascii="Cambria Math" w:hAnsi="Cambria Math" w:cs="Times New Roman"/>
                  <w:b/>
                  <w:bCs/>
                  <w:i/>
                </w:rPr>
              </m:ctrlPr>
            </m:dPr>
            <m:e>
              <m:m>
                <m:mPr>
                  <m:mcs>
                    <m:mc>
                      <m:mcPr>
                        <m:count m:val="3"/>
                        <m:mcJc m:val="center"/>
                      </m:mcPr>
                    </m:mc>
                  </m:mcs>
                  <m:ctrlPr>
                    <w:rPr>
                      <w:rFonts w:ascii="Cambria Math" w:hAnsi="Cambria Math" w:cs="Times New Roman"/>
                      <w:b/>
                      <w:bCs/>
                      <w:i/>
                    </w:rPr>
                  </m:ctrlPr>
                </m:mPr>
                <m:mr>
                  <m:e>
                    <m:r>
                      <w:rPr>
                        <w:rFonts w:ascii="Cambria Math" w:hAnsi="Cambria Math" w:cs="Times New Roman"/>
                      </w:rPr>
                      <m:t>1</m:t>
                    </m:r>
                  </m:e>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12,t</m:t>
                        </m:r>
                      </m:sub>
                    </m:sSub>
                  </m:e>
                  <m:e>
                    <m:m>
                      <m:mPr>
                        <m:mcs>
                          <m:mc>
                            <m:mcPr>
                              <m:count m:val="2"/>
                              <m:mcJc m:val="center"/>
                            </m:mcPr>
                          </m:mc>
                        </m:mcs>
                        <m:ctrlPr>
                          <w:rPr>
                            <w:rFonts w:ascii="Cambria Math" w:hAnsi="Cambria Math" w:cs="Times New Roman"/>
                            <w:b/>
                            <w:bCs/>
                            <w:i/>
                          </w:rPr>
                        </m:ctrlPr>
                      </m:mP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13,t</m:t>
                              </m:r>
                            </m:sub>
                          </m:sSub>
                        </m:e>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m:t>
                                </m:r>
                              </m:e>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1n,t</m:t>
                                    </m:r>
                                  </m:sub>
                                </m:sSub>
                              </m:e>
                            </m:mr>
                          </m:m>
                        </m:e>
                      </m:mr>
                    </m:m>
                  </m:e>
                </m:m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12,t</m:t>
                        </m:r>
                      </m:sub>
                    </m:sSub>
                  </m:e>
                  <m:e>
                    <m:r>
                      <w:rPr>
                        <w:rFonts w:ascii="Cambria Math" w:hAnsi="Cambria Math" w:cs="Times New Roman"/>
                      </w:rPr>
                      <m:t>1</m:t>
                    </m:r>
                  </m:e>
                  <m:e>
                    <m:m>
                      <m:mPr>
                        <m:mcs>
                          <m:mc>
                            <m:mcPr>
                              <m:count m:val="2"/>
                              <m:mcJc m:val="center"/>
                            </m:mcPr>
                          </m:mc>
                        </m:mcs>
                        <m:ctrlPr>
                          <w:rPr>
                            <w:rFonts w:ascii="Cambria Math" w:hAnsi="Cambria Math" w:cs="Times New Roman"/>
                            <w:b/>
                            <w:bCs/>
                            <w:i/>
                          </w:rPr>
                        </m:ctrlPr>
                      </m:mP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23,t</m:t>
                              </m:r>
                            </m:sub>
                          </m:sSub>
                        </m:e>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m:t>
                                </m:r>
                              </m:e>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2n,t</m:t>
                                    </m:r>
                                  </m:sub>
                                </m:sSub>
                              </m:e>
                            </m:mr>
                          </m:m>
                        </m:e>
                      </m:mr>
                    </m:m>
                  </m:e>
                </m:mr>
                <m:mr>
                  <m:e>
                    <m:m>
                      <m:mPr>
                        <m:mcs>
                          <m:mc>
                            <m:mcPr>
                              <m:count m:val="1"/>
                              <m:mcJc m:val="center"/>
                            </m:mcPr>
                          </m:mc>
                        </m:mcs>
                        <m:ctrlPr>
                          <w:rPr>
                            <w:rFonts w:ascii="Cambria Math" w:hAnsi="Cambria Math" w:cs="Times New Roman"/>
                            <w:b/>
                            <w:bCs/>
                            <w:i/>
                          </w:rPr>
                        </m:ctrlPr>
                      </m:mP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13,t</m:t>
                              </m:r>
                            </m:sub>
                          </m:sSub>
                        </m:e>
                      </m:m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1n,t</m:t>
                                    </m:r>
                                  </m:sub>
                                </m:sSub>
                              </m:e>
                            </m:mr>
                          </m:m>
                        </m:e>
                      </m:mr>
                    </m:m>
                  </m:e>
                  <m:e>
                    <m:m>
                      <m:mPr>
                        <m:mcs>
                          <m:mc>
                            <m:mcPr>
                              <m:count m:val="1"/>
                              <m:mcJc m:val="center"/>
                            </m:mcPr>
                          </m:mc>
                        </m:mcs>
                        <m:ctrlPr>
                          <w:rPr>
                            <w:rFonts w:ascii="Cambria Math" w:hAnsi="Cambria Math" w:cs="Times New Roman"/>
                            <w:b/>
                            <w:bCs/>
                            <w:i/>
                          </w:rPr>
                        </m:ctrlPr>
                      </m:mP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23,t</m:t>
                              </m:r>
                            </m:sub>
                          </m:sSub>
                        </m:e>
                      </m:m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2n,t</m:t>
                                    </m:r>
                                  </m:sub>
                                </m:sSub>
                              </m:e>
                            </m:mr>
                          </m:m>
                        </m:e>
                      </m:mr>
                    </m:m>
                  </m:e>
                  <m:e>
                    <m:m>
                      <m:mPr>
                        <m:mcs>
                          <m:mc>
                            <m:mcPr>
                              <m:count m:val="2"/>
                              <m:mcJc m:val="center"/>
                            </m:mcPr>
                          </m:mc>
                        </m:mcs>
                        <m:ctrlPr>
                          <w:rPr>
                            <w:rFonts w:ascii="Cambria Math" w:hAnsi="Cambria Math" w:cs="Times New Roman"/>
                            <w:b/>
                            <w:bCs/>
                            <w:i/>
                          </w:rPr>
                        </m:ctrlPr>
                      </m:mP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1</m:t>
                                </m:r>
                              </m:e>
                            </m:m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r>
                                        <m:rPr>
                                          <m:sty m:val="bi"/>
                                        </m:rPr>
                                        <w:rPr>
                                          <w:rFonts w:ascii="Cambria Math" w:hAnsi="Cambria Math" w:cs="Times New Roman"/>
                                        </w:rPr>
                                        <m:t>…</m:t>
                                      </m:r>
                                    </m:e>
                                  </m:mr>
                                </m:m>
                              </m:e>
                            </m:mr>
                          </m:m>
                        </m:e>
                        <m:e>
                          <m:m>
                            <m:mPr>
                              <m:mcs>
                                <m:mc>
                                  <m:mcPr>
                                    <m:count m:val="1"/>
                                    <m:mcJc m:val="center"/>
                                  </m:mcPr>
                                </m:mc>
                              </m:mcs>
                              <m:ctrlPr>
                                <w:rPr>
                                  <w:rFonts w:ascii="Cambria Math" w:hAnsi="Cambria Math" w:cs="Times New Roman"/>
                                  <w:b/>
                                  <w:bCs/>
                                  <w:i/>
                                </w:rPr>
                              </m:ctrlPr>
                            </m:mPr>
                            <m:mr>
                              <m:e>
                                <m:m>
                                  <m:mPr>
                                    <m:mcs>
                                      <m:mc>
                                        <m:mcPr>
                                          <m:count m:val="2"/>
                                          <m:mcJc m:val="center"/>
                                        </m:mcPr>
                                      </m:mc>
                                    </m:mcs>
                                    <m:ctrlPr>
                                      <w:rPr>
                                        <w:rFonts w:ascii="Cambria Math" w:hAnsi="Cambria Math" w:cs="Times New Roman"/>
                                        <w:b/>
                                        <w:bCs/>
                                        <w:i/>
                                      </w:rPr>
                                    </m:ctrlPr>
                                  </m:mPr>
                                  <m:mr>
                                    <m:e>
                                      <m:r>
                                        <m:rPr>
                                          <m:sty m:val="bi"/>
                                        </m:rPr>
                                        <w:rPr>
                                          <w:rFonts w:ascii="Cambria Math" w:hAnsi="Cambria Math" w:cs="Times New Roman"/>
                                        </w:rPr>
                                        <m:t>…</m:t>
                                      </m:r>
                                    </m:e>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3n,t</m:t>
                                          </m:r>
                                        </m:sub>
                                      </m:sSub>
                                    </m:e>
                                  </m:mr>
                                </m:m>
                              </m:e>
                            </m:mr>
                            <m:mr>
                              <m:e>
                                <m:m>
                                  <m:mPr>
                                    <m:mcs>
                                      <m:mc>
                                        <m:mcPr>
                                          <m:count m:val="2"/>
                                          <m:mcJc m:val="center"/>
                                        </m:mcPr>
                                      </m:mc>
                                    </m:mcs>
                                    <m:ctrlPr>
                                      <w:rPr>
                                        <w:rFonts w:ascii="Cambria Math" w:hAnsi="Cambria Math" w:cs="Times New Roman"/>
                                        <w:b/>
                                        <w:bCs/>
                                        <w:i/>
                                      </w:rPr>
                                    </m:ctrlPr>
                                  </m:mPr>
                                  <m:mr>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n-11n,t</m:t>
                                                </m:r>
                                              </m:sub>
                                            </m:sSub>
                                          </m:e>
                                        </m:mr>
                                      </m:m>
                                    </m:e>
                                    <m:e>
                                      <m:m>
                                        <m:mPr>
                                          <m:mcs>
                                            <m:mc>
                                              <m:mcPr>
                                                <m:count m:val="1"/>
                                                <m:mcJc m:val="center"/>
                                              </m:mcPr>
                                            </m:mc>
                                          </m:mcs>
                                          <m:ctrlPr>
                                            <w:rPr>
                                              <w:rFonts w:ascii="Cambria Math" w:hAnsi="Cambria Math" w:cs="Times New Roman"/>
                                              <w:b/>
                                              <w:bCs/>
                                              <w:i/>
                                            </w:rPr>
                                          </m:ctrlPr>
                                        </m:mPr>
                                        <m:mr>
                                          <m:e>
                                            <m:r>
                                              <m:rPr>
                                                <m:sty m:val="bi"/>
                                              </m:rPr>
                                              <w:rPr>
                                                <w:rFonts w:ascii="Cambria Math" w:hAnsi="Cambria Math" w:cs="Times New Roman"/>
                                              </w:rPr>
                                              <m:t>⋮</m:t>
                                            </m:r>
                                          </m:e>
                                        </m:mr>
                                        <m:mr>
                                          <m:e>
                                            <m:r>
                                              <m:rPr>
                                                <m:sty m:val="bi"/>
                                              </m:rPr>
                                              <w:rPr>
                                                <w:rFonts w:ascii="Cambria Math" w:hAnsi="Cambria Math" w:cs="Times New Roman"/>
                                              </w:rPr>
                                              <m:t>1</m:t>
                                            </m:r>
                                          </m:e>
                                        </m:mr>
                                      </m:m>
                                    </m:e>
                                  </m:mr>
                                </m:m>
                              </m:e>
                            </m:mr>
                          </m:m>
                        </m:e>
                      </m:mr>
                    </m:m>
                  </m:e>
                </m:mr>
              </m:m>
            </m:e>
          </m:d>
          <m:r>
            <m:rPr>
              <m:sty m:val="bi"/>
            </m:rPr>
            <w:rPr>
              <w:rFonts w:ascii="Cambria Math" w:eastAsiaTheme="minorEastAsia" w:hAnsi="Cambria Math" w:cs="Times New Roman"/>
            </w:rPr>
            <m:t xml:space="preserve">                                                                                               (</m:t>
          </m:r>
          <m:r>
            <w:rPr>
              <w:rFonts w:ascii="Cambria Math" w:eastAsiaTheme="minorEastAsia" w:hAnsi="Cambria Math" w:cs="Times New Roman"/>
            </w:rPr>
            <m:t>18</m:t>
          </m:r>
          <m:r>
            <m:rPr>
              <m:sty m:val="bi"/>
            </m:rPr>
            <w:rPr>
              <w:rFonts w:ascii="Cambria Math" w:eastAsiaTheme="minorEastAsia" w:hAnsi="Cambria Math" w:cs="Times New Roman"/>
            </w:rPr>
            <m:t>)</m:t>
          </m:r>
        </m:oMath>
      </m:oMathPara>
    </w:p>
    <w:p w14:paraId="4E38DBAB" w14:textId="77777777" w:rsidR="006E59BF" w:rsidRPr="00044728" w:rsidRDefault="00FA2485" w:rsidP="00EE0234">
      <w:pPr>
        <w:spacing w:line="480" w:lineRule="auto"/>
        <w:jc w:val="both"/>
        <w:rPr>
          <w:rFonts w:ascii="Times New Roman" w:hAnsi="Times New Roman" w:cs="Times New Roman"/>
        </w:rPr>
      </w:pPr>
      <w:r w:rsidRPr="00FA2485">
        <w:rPr>
          <w:rFonts w:ascii="Times New Roman" w:hAnsi="Times New Roman" w:cs="Times New Roman"/>
        </w:rPr>
        <w:t xml:space="preserve">Following the estimation of the conditional variances, the model proceeds to estimate the time-dependent conditional correlation matrix </w:t>
      </w:r>
      <w:r w:rsidRPr="00FA2485">
        <w:rPr>
          <w:rFonts w:ascii="Times New Roman" w:hAnsi="Times New Roman" w:cs="Times New Roman"/>
          <w:b/>
        </w:rPr>
        <w:t>R</w:t>
      </w:r>
      <w:r w:rsidRPr="00FA2485">
        <w:rPr>
          <w:rFonts w:ascii="Times New Roman" w:hAnsi="Times New Roman" w:cs="Times New Roman"/>
        </w:rPr>
        <w:t xml:space="preserve">t. As a covariance matrix, </w:t>
      </w:r>
      <w:proofErr w:type="spellStart"/>
      <w:r w:rsidRPr="00FA2485">
        <w:rPr>
          <w:rFonts w:ascii="Times New Roman" w:hAnsi="Times New Roman" w:cs="Times New Roman"/>
          <w:b/>
        </w:rPr>
        <w:t>H</w:t>
      </w:r>
      <w:r w:rsidRPr="00FA2485">
        <w:rPr>
          <w:rFonts w:ascii="Times New Roman" w:hAnsi="Times New Roman" w:cs="Times New Roman"/>
        </w:rPr>
        <w:t>t</w:t>
      </w:r>
      <w:proofErr w:type="spellEnd"/>
      <w:r w:rsidRPr="00FA2485">
        <w:rPr>
          <w:rFonts w:ascii="Times New Roman" w:hAnsi="Times New Roman" w:cs="Times New Roman"/>
        </w:rPr>
        <w:t xml:space="preserve"> must have a positive definite value. Since all the diagonal parts are positive, we can say that </w:t>
      </w:r>
      <w:r w:rsidRPr="00FA2485">
        <w:rPr>
          <w:rFonts w:ascii="Times New Roman" w:hAnsi="Times New Roman" w:cs="Times New Roman"/>
          <w:b/>
        </w:rPr>
        <w:t>D</w:t>
      </w:r>
      <w:r w:rsidRPr="00FA2485">
        <w:rPr>
          <w:rFonts w:ascii="Times New Roman" w:hAnsi="Times New Roman" w:cs="Times New Roman"/>
        </w:rPr>
        <w:t xml:space="preserve">t is positive definite, which means that </w:t>
      </w:r>
      <w:proofErr w:type="spellStart"/>
      <w:r w:rsidRPr="00FA2485">
        <w:rPr>
          <w:rFonts w:ascii="Times New Roman" w:hAnsi="Times New Roman" w:cs="Times New Roman"/>
          <w:b/>
        </w:rPr>
        <w:t>H</w:t>
      </w:r>
      <w:r w:rsidRPr="00FA2485">
        <w:rPr>
          <w:rFonts w:ascii="Times New Roman" w:hAnsi="Times New Roman" w:cs="Times New Roman"/>
        </w:rPr>
        <w:t>t</w:t>
      </w:r>
      <w:proofErr w:type="spellEnd"/>
      <w:r w:rsidRPr="00FA2485">
        <w:rPr>
          <w:rFonts w:ascii="Times New Roman" w:hAnsi="Times New Roman" w:cs="Times New Roman"/>
        </w:rPr>
        <w:t xml:space="preserve"> must also be positive definite if </w:t>
      </w:r>
      <w:r w:rsidRPr="00FA2485">
        <w:rPr>
          <w:rFonts w:ascii="Times New Roman" w:hAnsi="Times New Roman" w:cs="Times New Roman"/>
          <w:b/>
        </w:rPr>
        <w:t>R</w:t>
      </w:r>
      <w:r w:rsidRPr="00FA2485">
        <w:rPr>
          <w:rFonts w:ascii="Times New Roman" w:hAnsi="Times New Roman" w:cs="Times New Roman"/>
        </w:rPr>
        <w:t xml:space="preserve">t is positive definite. The values of each </w:t>
      </w:r>
      <w:r w:rsidRPr="00FA2485">
        <w:rPr>
          <w:rFonts w:ascii="Times New Roman" w:hAnsi="Times New Roman" w:cs="Times New Roman"/>
        </w:rPr>
        <w:lastRenderedPageBreak/>
        <w:t xml:space="preserve">member in the </w:t>
      </w:r>
      <w:r w:rsidRPr="00FA2485">
        <w:rPr>
          <w:rFonts w:ascii="Times New Roman" w:hAnsi="Times New Roman" w:cs="Times New Roman"/>
          <w:b/>
        </w:rPr>
        <w:t>R</w:t>
      </w:r>
      <w:r w:rsidRPr="00FA2485">
        <w:rPr>
          <w:rFonts w:ascii="Times New Roman" w:hAnsi="Times New Roman" w:cs="Times New Roman"/>
        </w:rPr>
        <w:t xml:space="preserve">t correlation matrix must be less than or equal to one.  The estimation of the dynamic correlation matrix </w:t>
      </w:r>
      <w:r w:rsidRPr="00FA2485">
        <w:rPr>
          <w:rFonts w:ascii="Times New Roman" w:hAnsi="Times New Roman" w:cs="Times New Roman"/>
          <w:b/>
        </w:rPr>
        <w:t>R</w:t>
      </w:r>
      <w:r w:rsidRPr="00FA2485">
        <w:rPr>
          <w:rFonts w:ascii="Times New Roman" w:hAnsi="Times New Roman" w:cs="Times New Roman"/>
        </w:rPr>
        <w:t xml:space="preserve">t is done using the </w:t>
      </w:r>
      <w:proofErr w:type="spellStart"/>
      <w:r w:rsidRPr="00FA2485">
        <w:rPr>
          <w:rFonts w:ascii="Times New Roman" w:hAnsi="Times New Roman" w:cs="Times New Roman"/>
        </w:rPr>
        <w:t>standardised</w:t>
      </w:r>
      <w:proofErr w:type="spellEnd"/>
      <w:r w:rsidRPr="00FA2485">
        <w:rPr>
          <w:rFonts w:ascii="Times New Roman" w:hAnsi="Times New Roman" w:cs="Times New Roman"/>
        </w:rPr>
        <w:t xml:space="preserve"> residuals </w:t>
      </w:r>
      <w:proofErr w:type="spellStart"/>
      <w:r w:rsidRPr="00FA2485">
        <w:rPr>
          <w:rFonts w:ascii="Times New Roman" w:hAnsi="Times New Roman" w:cs="Times New Roman"/>
          <w:b/>
        </w:rPr>
        <w:t>Z</w:t>
      </w:r>
      <w:r w:rsidRPr="00FA2485">
        <w:rPr>
          <w:rFonts w:ascii="Times New Roman" w:hAnsi="Times New Roman" w:cs="Times New Roman"/>
        </w:rPr>
        <w:t>t</w:t>
      </w:r>
      <w:proofErr w:type="spellEnd"/>
      <w:r w:rsidRPr="00FA2485">
        <w:rPr>
          <w:rFonts w:ascii="Times New Roman" w:hAnsi="Times New Roman" w:cs="Times New Roman"/>
        </w:rPr>
        <w:t xml:space="preserve">. In the DCC-GARCH model, these two conditions are satisfied by breaking down </w:t>
      </w:r>
      <w:r w:rsidRPr="00FA2485">
        <w:rPr>
          <w:rFonts w:ascii="Times New Roman" w:hAnsi="Times New Roman" w:cs="Times New Roman"/>
          <w:b/>
        </w:rPr>
        <w:t>R</w:t>
      </w:r>
      <w:r w:rsidRPr="00FA2485">
        <w:rPr>
          <w:rFonts w:ascii="Times New Roman" w:hAnsi="Times New Roman" w:cs="Times New Roman"/>
        </w:rPr>
        <w:t>t into</w:t>
      </w:r>
      <w:r w:rsidR="006E59BF" w:rsidRPr="00044728">
        <w:rPr>
          <w:rFonts w:ascii="Times New Roman" w:hAnsi="Times New Roman" w:cs="Times New Roman"/>
        </w:rPr>
        <w:t xml:space="preserve">: </w:t>
      </w:r>
    </w:p>
    <w:p w14:paraId="76501AA4" w14:textId="77777777" w:rsidR="006E59BF" w:rsidRPr="00044728" w:rsidRDefault="00000000" w:rsidP="00EE0234">
      <w:pPr>
        <w:spacing w:line="480" w:lineRule="auto"/>
        <w:ind w:firstLine="720"/>
        <w:jc w:val="both"/>
        <w:rPr>
          <w:rFonts w:ascii="Times New Roman" w:hAnsi="Times New Roman" w:cs="Times New Roman"/>
        </w:rPr>
      </w:pPr>
      <m:oMath>
        <m:sSubSup>
          <m:sSubSupPr>
            <m:ctrlPr>
              <w:rPr>
                <w:rFonts w:ascii="Cambria Math" w:hAnsi="Cambria Math" w:cs="Times New Roman"/>
                <w:b/>
                <w:bCs/>
                <w:i/>
              </w:rPr>
            </m:ctrlPr>
          </m:sSubSupPr>
          <m:e>
            <m:r>
              <m:rPr>
                <m:sty m:val="bi"/>
              </m:rPr>
              <w:rPr>
                <w:rFonts w:ascii="Cambria Math" w:hAnsi="Cambria Math" w:cs="Times New Roman"/>
              </w:rPr>
              <m:t>R</m:t>
            </m:r>
          </m:e>
          <m:sub>
            <m:r>
              <m:rPr>
                <m:sty m:val="bi"/>
              </m:rPr>
              <w:rPr>
                <w:rFonts w:ascii="Cambria Math" w:hAnsi="Cambria Math" w:cs="Times New Roman"/>
              </w:rPr>
              <m:t>t</m:t>
            </m:r>
          </m:sub>
          <m:sup>
            <m:r>
              <m:rPr>
                <m:sty m:val="bi"/>
              </m:rPr>
              <w:rPr>
                <w:rFonts w:ascii="Cambria Math" w:hAnsi="Cambria Math" w:cs="Times New Roman"/>
              </w:rPr>
              <m:t xml:space="preserve"> </m:t>
            </m:r>
          </m:sup>
        </m:sSubSup>
        <m:r>
          <m:rPr>
            <m:sty m:val="bi"/>
          </m:rPr>
          <w:rPr>
            <w:rFonts w:ascii="Cambria Math" w:hAnsi="Cambria Math" w:cs="Times New Roman"/>
          </w:rPr>
          <m:t>=</m:t>
        </m:r>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e>
          <m:sup>
            <m:r>
              <m:rPr>
                <m:sty m:val="bi"/>
              </m:rPr>
              <w:rPr>
                <w:rFonts w:ascii="Cambria Math" w:hAnsi="Cambria Math" w:cs="Times New Roman"/>
              </w:rPr>
              <m:t>*-1</m:t>
            </m:r>
          </m:sup>
        </m:sSup>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e>
          <m:sup>
            <m:r>
              <m:rPr>
                <m:sty m:val="bi"/>
              </m:rPr>
              <w:rPr>
                <w:rFonts w:ascii="Cambria Math" w:hAnsi="Cambria Math" w:cs="Times New Roman"/>
              </w:rPr>
              <m:t xml:space="preserve"> </m:t>
            </m:r>
          </m:sup>
        </m:sSup>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e>
          <m:sup>
            <m:r>
              <m:rPr>
                <m:sty m:val="bi"/>
              </m:rPr>
              <w:rPr>
                <w:rFonts w:ascii="Cambria Math" w:hAnsi="Cambria Math" w:cs="Times New Roman"/>
              </w:rPr>
              <m:t>*-1</m:t>
            </m:r>
          </m:sup>
        </m:sSup>
        <m:r>
          <m:rPr>
            <m:sty m:val="bi"/>
          </m:rPr>
          <w:rPr>
            <w:rFonts w:ascii="Cambria Math" w:hAnsi="Cambria Math" w:cs="Times New Roman"/>
          </w:rPr>
          <m:t xml:space="preserve">          </m:t>
        </m:r>
      </m:oMath>
      <w:r w:rsidR="006E59BF" w:rsidRPr="00044728">
        <w:rPr>
          <w:rFonts w:ascii="Times New Roman" w:eastAsiaTheme="minorEastAsia" w:hAnsi="Times New Roman" w:cs="Times New Roman"/>
          <w:b/>
          <w:bCs/>
        </w:rPr>
        <w:t xml:space="preserve">        </w:t>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6E59BF" w:rsidRPr="00044728">
        <w:rPr>
          <w:rFonts w:ascii="Times New Roman" w:eastAsiaTheme="minorEastAsia" w:hAnsi="Times New Roman" w:cs="Times New Roman"/>
          <w:b/>
          <w:bCs/>
        </w:rPr>
        <w:tab/>
      </w:r>
      <w:r w:rsidR="003A5880" w:rsidRPr="00044728">
        <w:rPr>
          <w:rFonts w:ascii="Times New Roman" w:eastAsiaTheme="minorEastAsia" w:hAnsi="Times New Roman" w:cs="Times New Roman"/>
          <w:b/>
          <w:bCs/>
        </w:rPr>
        <w:tab/>
      </w:r>
      <w:r w:rsidR="003A5880" w:rsidRPr="00044728">
        <w:rPr>
          <w:rFonts w:ascii="Times New Roman" w:eastAsiaTheme="minorEastAsia" w:hAnsi="Times New Roman" w:cs="Times New Roman"/>
        </w:rPr>
        <w:t>(19</w:t>
      </w:r>
      <w:r w:rsidR="006E59BF" w:rsidRPr="00044728">
        <w:rPr>
          <w:rFonts w:ascii="Times New Roman" w:eastAsiaTheme="minorEastAsia" w:hAnsi="Times New Roman" w:cs="Times New Roman"/>
        </w:rPr>
        <w:t>)</w:t>
      </w:r>
    </w:p>
    <w:p w14:paraId="7A1AF884" w14:textId="77777777" w:rsidR="006E59BF" w:rsidRPr="00044728" w:rsidRDefault="00000000" w:rsidP="00EE0234">
      <w:pPr>
        <w:spacing w:line="480" w:lineRule="auto"/>
        <w:ind w:firstLine="720"/>
        <w:jc w:val="both"/>
        <w:rPr>
          <w:rFonts w:ascii="Times New Roman" w:eastAsiaTheme="minorEastAsia" w:hAnsi="Times New Roman" w:cs="Times New Roman"/>
        </w:rPr>
      </w:pPr>
      <m:oMath>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r>
          <m:rPr>
            <m:sty m:val="bi"/>
          </m:rPr>
          <w:rPr>
            <w:rFonts w:ascii="Cambria Math" w:hAnsi="Cambria Math" w:cs="Times New Roman"/>
          </w:rPr>
          <m:t>=</m:t>
        </m:r>
        <m:d>
          <m:dPr>
            <m:ctrlPr>
              <w:rPr>
                <w:rFonts w:ascii="Cambria Math" w:hAnsi="Cambria Math" w:cs="Times New Roman"/>
                <w:b/>
                <w:bCs/>
                <w:i/>
              </w:rPr>
            </m:ctrlPr>
          </m:dPr>
          <m:e>
            <m:r>
              <w:rPr>
                <w:rFonts w:ascii="Cambria Math" w:hAnsi="Cambria Math" w:cs="Times New Roman"/>
              </w:rPr>
              <m:t>1-a-b</m:t>
            </m:r>
            <m:ctrlPr>
              <w:rPr>
                <w:rFonts w:ascii="Cambria Math" w:hAnsi="Cambria Math" w:cs="Times New Roman"/>
                <w:i/>
              </w:rPr>
            </m:ctrlPr>
          </m:e>
        </m:d>
        <m:acc>
          <m:accPr>
            <m:chr m:val="̅"/>
            <m:ctrlPr>
              <w:rPr>
                <w:rFonts w:ascii="Cambria Math" w:hAnsi="Cambria Math" w:cs="Times New Roman"/>
                <w:i/>
              </w:rPr>
            </m:ctrlPr>
          </m:accPr>
          <m:e>
            <m:r>
              <w:rPr>
                <w:rFonts w:ascii="Cambria Math" w:hAnsi="Cambria Math" w:cs="Times New Roman"/>
              </w:rPr>
              <m:t>Q</m:t>
            </m:r>
          </m:e>
        </m:acc>
        <m:r>
          <w:rPr>
            <w:rFonts w:ascii="Cambria Math" w:hAnsi="Cambria Math" w:cs="Times New Roman"/>
          </w:rPr>
          <m:t>+a</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t-1</m:t>
            </m:r>
          </m:sub>
        </m:sSub>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 xml:space="preserve">t-1 </m:t>
            </m:r>
          </m:sub>
          <m:sup>
            <m:r>
              <w:rPr>
                <w:rFonts w:ascii="Cambria Math" w:hAnsi="Cambria Math" w:cs="Times New Roman"/>
              </w:rPr>
              <m:t>'</m:t>
            </m:r>
          </m:sup>
        </m:sSubSup>
        <m:r>
          <w:rPr>
            <w:rFonts w:ascii="Cambria Math" w:eastAsiaTheme="minorEastAsia" w:hAnsi="Cambria Math" w:cs="Times New Roman"/>
          </w:rPr>
          <m:t>+b</m:t>
        </m:r>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t-1</m:t>
            </m:r>
          </m:sub>
        </m:sSub>
      </m:oMath>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r>
      <w:r w:rsidR="003A5880" w:rsidRPr="00044728">
        <w:rPr>
          <w:rFonts w:ascii="Times New Roman" w:eastAsiaTheme="minorEastAsia" w:hAnsi="Times New Roman" w:cs="Times New Roman"/>
        </w:rPr>
        <w:tab/>
        <w:t xml:space="preserve"> </w:t>
      </w:r>
      <w:r w:rsidR="003A5880" w:rsidRPr="00044728">
        <w:rPr>
          <w:rFonts w:ascii="Times New Roman" w:eastAsiaTheme="minorEastAsia" w:hAnsi="Times New Roman" w:cs="Times New Roman"/>
        </w:rPr>
        <w:tab/>
        <w:t>(20</w:t>
      </w:r>
      <w:r w:rsidR="006E59BF" w:rsidRPr="00044728">
        <w:rPr>
          <w:rFonts w:ascii="Times New Roman" w:eastAsiaTheme="minorEastAsia" w:hAnsi="Times New Roman" w:cs="Times New Roman"/>
        </w:rPr>
        <w:t>)</w:t>
      </w:r>
    </w:p>
    <w:p w14:paraId="77BCD25E" w14:textId="77777777" w:rsidR="006E59BF" w:rsidRPr="00044728" w:rsidRDefault="006E59BF" w:rsidP="00EE0234">
      <w:pPr>
        <w:spacing w:line="480" w:lineRule="auto"/>
        <w:jc w:val="both"/>
        <w:rPr>
          <w:rFonts w:ascii="Times New Roman" w:hAnsi="Times New Roman" w:cs="Times New Roman"/>
        </w:rPr>
      </w:pPr>
      <w:r w:rsidRPr="00044728">
        <w:rPr>
          <w:rFonts w:ascii="Times New Roman" w:hAnsi="Times New Roman" w:cs="Times New Roman"/>
        </w:rPr>
        <w:t>where:</w:t>
      </w:r>
    </w:p>
    <w:p w14:paraId="21DF4813" w14:textId="77777777" w:rsidR="006E59BF" w:rsidRPr="00044728" w:rsidRDefault="00000000" w:rsidP="00EE0234">
      <w:pPr>
        <w:spacing w:line="480" w:lineRule="auto"/>
        <w:jc w:val="both"/>
        <w:rPr>
          <w:rFonts w:ascii="Times New Roman" w:hAnsi="Times New Roman" w:cs="Times New Roman"/>
        </w:rPr>
      </w:pPr>
      <m:oMath>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oMath>
      <w:r w:rsidR="006E59BF" w:rsidRPr="00044728">
        <w:rPr>
          <w:rFonts w:ascii="Times New Roman" w:hAnsi="Times New Roman" w:cs="Times New Roman"/>
        </w:rPr>
        <w:t>​: Dynamic covariance matrix of standardized residuals.</w:t>
      </w:r>
    </w:p>
    <w:p w14:paraId="0DDCD859" w14:textId="77777777" w:rsidR="006E59BF" w:rsidRPr="00044728" w:rsidRDefault="00000000" w:rsidP="00EE0234">
      <w:pPr>
        <w:spacing w:line="480" w:lineRule="auto"/>
        <w:jc w:val="both"/>
        <w:rPr>
          <w:rFonts w:ascii="Times New Roman" w:eastAsiaTheme="minorEastAsia" w:hAnsi="Times New Roman" w:cs="Times New Roman"/>
        </w:rPr>
      </w:pPr>
      <m:oMath>
        <m:acc>
          <m:accPr>
            <m:chr m:val="̅"/>
            <m:ctrlPr>
              <w:rPr>
                <w:rFonts w:ascii="Cambria Math" w:hAnsi="Cambria Math" w:cs="Times New Roman"/>
                <w:i/>
              </w:rPr>
            </m:ctrlPr>
          </m:accPr>
          <m:e>
            <m:r>
              <w:rPr>
                <w:rFonts w:ascii="Cambria Math" w:hAnsi="Cambria Math" w:cs="Times New Roman"/>
              </w:rPr>
              <m:t>Q</m:t>
            </m:r>
          </m:e>
        </m:acc>
        <m:r>
          <w:rPr>
            <w:rFonts w:ascii="Cambria Math" w:hAnsi="Cambria Math" w:cs="Times New Roman"/>
          </w:rPr>
          <m:t>=Cov</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t-1</m:t>
                </m:r>
              </m:sub>
            </m:sSub>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 xml:space="preserve">t-1 </m:t>
                </m:r>
              </m:sub>
              <m:sup>
                <m:r>
                  <w:rPr>
                    <w:rFonts w:ascii="Cambria Math" w:hAnsi="Cambria Math" w:cs="Times New Roman"/>
                  </w:rPr>
                  <m:t>'</m:t>
                </m:r>
              </m:sup>
            </m:sSubSup>
          </m:e>
        </m:d>
        <m:r>
          <w:rPr>
            <w:rFonts w:ascii="Cambria Math" w:hAnsi="Cambria Math" w:cs="Times New Roman"/>
          </w:rPr>
          <m:t>=E(</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t-1</m:t>
            </m:r>
          </m:sub>
        </m:sSub>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 xml:space="preserve">t-1 </m:t>
            </m:r>
          </m:sub>
          <m:sup>
            <m:r>
              <w:rPr>
                <w:rFonts w:ascii="Cambria Math" w:hAnsi="Cambria Math" w:cs="Times New Roman"/>
              </w:rPr>
              <m:t>'</m:t>
            </m:r>
          </m:sup>
        </m:sSubSup>
        <m:r>
          <w:rPr>
            <w:rFonts w:ascii="Cambria Math" w:hAnsi="Cambria Math" w:cs="Times New Roman"/>
          </w:rPr>
          <m:t>)</m:t>
        </m:r>
      </m:oMath>
      <w:r w:rsidR="006E59BF" w:rsidRPr="00044728">
        <w:rPr>
          <w:rFonts w:ascii="Times New Roman" w:eastAsiaTheme="minorEastAsia" w:hAnsi="Times New Roman" w:cs="Times New Roman"/>
        </w:rPr>
        <w:t xml:space="preserve"> is the </w:t>
      </w:r>
      <w:r w:rsidR="006E59BF" w:rsidRPr="00044728">
        <w:rPr>
          <w:rFonts w:ascii="Times New Roman" w:hAnsi="Times New Roman" w:cs="Times New Roman"/>
        </w:rPr>
        <w:t xml:space="preserve">Unconditional covariance of </w:t>
      </w:r>
      <w:r w:rsidR="006E59BF" w:rsidRPr="00044728">
        <w:rPr>
          <w:rFonts w:ascii="Times New Roman" w:eastAsiaTheme="minorEastAsia" w:hAnsi="Times New Roman" w:cs="Times New Roman"/>
        </w:rPr>
        <w:t>the standardized errors</w:t>
      </w:r>
      <m:oMath>
        <m:r>
          <w:rPr>
            <w:rFonts w:ascii="Cambria Math" w:eastAsiaTheme="minorEastAsia" w:hAnsi="Cambria Math" w:cs="Times New Roman"/>
          </w:rPr>
          <m:t xml:space="preserve">, </m:t>
        </m:r>
        <m:sSub>
          <m:sSubPr>
            <m:ctrlPr>
              <w:rPr>
                <w:rFonts w:ascii="Cambria Math" w:hAnsi="Cambria Math" w:cs="Times New Roman"/>
                <w:b/>
                <w:bCs/>
                <w:i/>
              </w:rPr>
            </m:ctrlPr>
          </m:sSubPr>
          <m:e>
            <m:r>
              <m:rPr>
                <m:sty m:val="bi"/>
              </m:rPr>
              <w:rPr>
                <w:rFonts w:ascii="Cambria Math" w:hAnsi="Cambria Math" w:cs="Times New Roman"/>
              </w:rPr>
              <m:t>Z</m:t>
            </m:r>
          </m:e>
          <m:sub>
            <m:r>
              <m:rPr>
                <m:sty m:val="bi"/>
              </m:rPr>
              <w:rPr>
                <w:rFonts w:ascii="Cambria Math" w:hAnsi="Cambria Math" w:cs="Times New Roman"/>
              </w:rPr>
              <m:t>t</m:t>
            </m:r>
          </m:sub>
        </m:sSub>
      </m:oMath>
      <w:r w:rsidR="006E59BF" w:rsidRPr="00044728">
        <w:rPr>
          <w:rFonts w:ascii="Times New Roman" w:hAnsi="Times New Roman" w:cs="Times New Roman"/>
        </w:rPr>
        <w:t>.</w:t>
      </w:r>
    </w:p>
    <w:p w14:paraId="6C6480D5" w14:textId="77777777" w:rsidR="006E59BF" w:rsidRPr="00044728" w:rsidRDefault="006E59BF" w:rsidP="00EE0234">
      <w:pPr>
        <w:spacing w:line="480" w:lineRule="auto"/>
        <w:jc w:val="both"/>
        <w:rPr>
          <w:rFonts w:ascii="Times New Roman" w:hAnsi="Times New Roman" w:cs="Times New Roman"/>
        </w:rPr>
      </w:pPr>
      <w:r w:rsidRPr="00044728">
        <w:rPr>
          <w:rFonts w:ascii="Times New Roman" w:hAnsi="Times New Roman" w:cs="Times New Roman"/>
        </w:rPr>
        <w:t xml:space="preserve">a, b are </w:t>
      </w:r>
      <w:proofErr w:type="gramStart"/>
      <w:r w:rsidRPr="00044728">
        <w:rPr>
          <w:rFonts w:ascii="Times New Roman" w:hAnsi="Times New Roman" w:cs="Times New Roman"/>
        </w:rPr>
        <w:t>the  DCC</w:t>
      </w:r>
      <w:proofErr w:type="gramEnd"/>
      <w:r w:rsidRPr="00044728">
        <w:rPr>
          <w:rFonts w:ascii="Times New Roman" w:hAnsi="Times New Roman" w:cs="Times New Roman"/>
        </w:rPr>
        <w:t xml:space="preserve"> parameters.</w:t>
      </w:r>
    </w:p>
    <w:p w14:paraId="66AF558D" w14:textId="77777777" w:rsidR="006E59BF" w:rsidRPr="00044728" w:rsidRDefault="00000000" w:rsidP="00EE0234">
      <w:pPr>
        <w:spacing w:line="48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t-1</m:t>
            </m:r>
          </m:sub>
        </m:sSub>
      </m:oMath>
      <w:r w:rsidR="006E59BF" w:rsidRPr="00044728">
        <w:rPr>
          <w:rFonts w:ascii="Times New Roman" w:eastAsiaTheme="minorEastAsia" w:hAnsi="Times New Roman" w:cs="Times New Roman"/>
        </w:rPr>
        <w:t xml:space="preserve"> is a </w:t>
      </w:r>
      <w:r w:rsidR="006E59BF" w:rsidRPr="00044728">
        <w:rPr>
          <w:rFonts w:ascii="Times New Roman" w:hAnsi="Times New Roman" w:cs="Times New Roman"/>
        </w:rPr>
        <w:t>Vector of standardized residuals at time</w:t>
      </w:r>
      <m:oMath>
        <m:r>
          <w:rPr>
            <w:rFonts w:ascii="Cambria Math" w:hAnsi="Cambria Math" w:cs="Times New Roman"/>
          </w:rPr>
          <m:t xml:space="preserve"> t-1</m:t>
        </m:r>
      </m:oMath>
      <w:r w:rsidR="006E59BF" w:rsidRPr="00044728">
        <w:rPr>
          <w:rFonts w:ascii="Times New Roman" w:hAnsi="Times New Roman" w:cs="Times New Roman"/>
        </w:rPr>
        <w:t>.</w:t>
      </w:r>
    </w:p>
    <w:p w14:paraId="6F71EAE5" w14:textId="77777777" w:rsidR="006E59BF" w:rsidRPr="00044728" w:rsidRDefault="00000000" w:rsidP="00EE0234">
      <w:pPr>
        <w:autoSpaceDE w:val="0"/>
        <w:autoSpaceDN w:val="0"/>
        <w:adjustRightInd w:val="0"/>
        <w:spacing w:after="0" w:line="480" w:lineRule="auto"/>
        <w:jc w:val="both"/>
        <w:rPr>
          <w:rFonts w:ascii="Times New Roman" w:hAnsi="Times New Roman" w:cs="Times New Roman"/>
        </w:rPr>
      </w:pPr>
      <m:oMath>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e>
          <m:sup>
            <m:r>
              <m:rPr>
                <m:sty m:val="bi"/>
              </m:rPr>
              <w:rPr>
                <w:rFonts w:ascii="Cambria Math" w:hAnsi="Cambria Math" w:cs="Times New Roman"/>
              </w:rPr>
              <m:t>*</m:t>
            </m:r>
          </m:sup>
        </m:sSup>
        <m:r>
          <m:rPr>
            <m:sty m:val="bi"/>
          </m:rPr>
          <w:rPr>
            <w:rFonts w:ascii="Cambria Math" w:hAnsi="Cambria Math" w:cs="Times New Roman"/>
          </w:rPr>
          <m:t xml:space="preserve"> </m:t>
        </m:r>
      </m:oMath>
      <w:r w:rsidR="006E59BF" w:rsidRPr="00044728">
        <w:rPr>
          <w:rFonts w:ascii="Times New Roman" w:hAnsi="Times New Roman" w:cs="Times New Roman"/>
        </w:rPr>
        <w:t xml:space="preserve">is a diagonal matrix with the square root of the diagonal elements of </w:t>
      </w:r>
      <w:r w:rsidR="006E59BF" w:rsidRPr="00044728">
        <w:rPr>
          <w:rFonts w:ascii="Times New Roman" w:hAnsi="Times New Roman" w:cs="Times New Roman"/>
          <w:b/>
          <w:bCs/>
          <w:i/>
          <w:iCs/>
        </w:rPr>
        <w:t>Q</w:t>
      </w:r>
      <w:r w:rsidR="006E59BF" w:rsidRPr="00044728">
        <w:rPr>
          <w:rFonts w:ascii="Times New Roman" w:hAnsi="Times New Roman" w:cs="Times New Roman"/>
          <w:i/>
          <w:iCs/>
        </w:rPr>
        <w:t xml:space="preserve">t </w:t>
      </w:r>
      <w:r w:rsidR="006E59BF" w:rsidRPr="00044728">
        <w:rPr>
          <w:rFonts w:ascii="Times New Roman" w:hAnsi="Times New Roman" w:cs="Times New Roman"/>
        </w:rPr>
        <w:t>at the diagonal:</w:t>
      </w:r>
    </w:p>
    <w:p w14:paraId="004D49E2" w14:textId="77777777" w:rsidR="006E59BF" w:rsidRPr="00044728" w:rsidRDefault="00000000" w:rsidP="00EE0234">
      <w:pPr>
        <w:spacing w:line="480" w:lineRule="auto"/>
        <w:jc w:val="both"/>
        <w:rPr>
          <w:rFonts w:ascii="Times New Roman" w:eastAsiaTheme="minorEastAsia" w:hAnsi="Times New Roman" w:cs="Times New Roman"/>
        </w:rPr>
      </w:pPr>
      <m:oMath>
        <m:acc>
          <m:accPr>
            <m:chr m:val="̅"/>
            <m:ctrlPr>
              <w:rPr>
                <w:rFonts w:ascii="Cambria Math" w:hAnsi="Cambria Math" w:cs="Times New Roman"/>
                <w:i/>
              </w:rPr>
            </m:ctrlPr>
          </m:accPr>
          <m:e>
            <m:r>
              <w:rPr>
                <w:rFonts w:ascii="Cambria Math" w:hAnsi="Cambria Math" w:cs="Times New Roman"/>
              </w:rPr>
              <m:t>Q</m:t>
            </m:r>
          </m:e>
        </m:acc>
      </m:oMath>
      <w:r w:rsidR="006E59BF" w:rsidRPr="00044728">
        <w:rPr>
          <w:rFonts w:ascii="Times New Roman" w:eastAsiaTheme="minorEastAsia" w:hAnsi="Times New Roman" w:cs="Times New Roman"/>
        </w:rPr>
        <w:t xml:space="preserve">  and </w:t>
      </w:r>
      <m:oMath>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e>
          <m:sup>
            <m:r>
              <m:rPr>
                <m:sty m:val="bi"/>
              </m:rPr>
              <w:rPr>
                <w:rFonts w:ascii="Cambria Math" w:hAnsi="Cambria Math" w:cs="Times New Roman"/>
              </w:rPr>
              <m:t>*</m:t>
            </m:r>
          </m:sup>
        </m:sSup>
        <m:r>
          <m:rPr>
            <m:sty m:val="bi"/>
          </m:rPr>
          <w:rPr>
            <w:rFonts w:ascii="Cambria Math" w:hAnsi="Cambria Math" w:cs="Times New Roman"/>
          </w:rPr>
          <m:t xml:space="preserve"> </m:t>
        </m:r>
      </m:oMath>
      <w:r w:rsidR="006E59BF" w:rsidRPr="00044728">
        <w:rPr>
          <w:rFonts w:ascii="Times New Roman" w:eastAsiaTheme="minorEastAsia" w:hAnsi="Times New Roman" w:cs="Times New Roman"/>
        </w:rPr>
        <w:t>are estimated as follows:</w:t>
      </w:r>
    </w:p>
    <w:p w14:paraId="30180BCA" w14:textId="77777777" w:rsidR="006E59BF" w:rsidRPr="00044728" w:rsidRDefault="00000000" w:rsidP="00EE0234">
      <w:pPr>
        <w:spacing w:line="480" w:lineRule="auto"/>
        <w:jc w:val="both"/>
        <w:rPr>
          <w:rFonts w:ascii="Times New Roman" w:eastAsiaTheme="minorEastAsia" w:hAnsi="Times New Roman" w:cs="Times New Roman"/>
        </w:rPr>
      </w:pPr>
      <m:oMathPara>
        <m:oMath>
          <m:acc>
            <m:accPr>
              <m:chr m:val="̅"/>
              <m:ctrlPr>
                <w:rPr>
                  <w:rFonts w:ascii="Cambria Math" w:hAnsi="Cambria Math" w:cs="Times New Roman"/>
                  <w:i/>
                </w:rPr>
              </m:ctrlPr>
            </m:accPr>
            <m:e>
              <m:r>
                <w:rPr>
                  <w:rFonts w:ascii="Cambria Math" w:hAnsi="Cambria Math" w:cs="Times New Roman"/>
                </w:rPr>
                <m:t>Q</m:t>
              </m:r>
            </m:e>
          </m:acc>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T</m:t>
              </m:r>
            </m:den>
          </m:f>
          <m:nary>
            <m:naryPr>
              <m:chr m:val="∑"/>
              <m:limLoc m:val="undOvr"/>
              <m:ctrlPr>
                <w:rPr>
                  <w:rFonts w:ascii="Cambria Math" w:hAnsi="Cambria Math" w:cs="Times New Roman"/>
                  <w:i/>
                </w:rPr>
              </m:ctrlPr>
            </m:naryPr>
            <m:sub>
              <m:r>
                <w:rPr>
                  <w:rFonts w:ascii="Cambria Math" w:hAnsi="Cambria Math" w:cs="Times New Roman"/>
                </w:rPr>
                <m:t>t-1</m:t>
              </m:r>
            </m:sub>
            <m:sup>
              <m:r>
                <w:rPr>
                  <w:rFonts w:ascii="Cambria Math" w:hAnsi="Cambria Math" w:cs="Times New Roman"/>
                </w:rPr>
                <m:t>T</m:t>
              </m:r>
            </m:sup>
            <m:e>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t-1</m:t>
                  </m:r>
                </m:sub>
              </m:sSub>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 xml:space="preserve">t-1 </m:t>
                  </m:r>
                </m:sub>
                <m:sup>
                  <m:r>
                    <w:rPr>
                      <w:rFonts w:ascii="Cambria Math" w:hAnsi="Cambria Math" w:cs="Times New Roman"/>
                    </w:rPr>
                    <m:t>'</m:t>
                  </m:r>
                </m:sup>
              </m:sSubSup>
              <m:r>
                <w:rPr>
                  <w:rFonts w:ascii="Cambria Math" w:hAnsi="Cambria Math" w:cs="Times New Roman"/>
                </w:rPr>
                <m:t xml:space="preserve"> </m:t>
              </m:r>
            </m:e>
          </m:nary>
          <m:r>
            <w:rPr>
              <w:rFonts w:ascii="Cambria Math" w:hAnsi="Cambria Math" w:cs="Times New Roman"/>
            </w:rPr>
            <m:t xml:space="preserve">                                                                                                                       (21)</m:t>
          </m:r>
        </m:oMath>
      </m:oMathPara>
    </w:p>
    <w:p w14:paraId="25891010" w14:textId="77777777" w:rsidR="006E59BF" w:rsidRPr="00044728" w:rsidRDefault="00000000" w:rsidP="00EE0234">
      <w:pPr>
        <w:spacing w:line="480" w:lineRule="auto"/>
        <w:jc w:val="both"/>
        <w:rPr>
          <w:rFonts w:ascii="Times New Roman" w:eastAsiaTheme="minorEastAsia" w:hAnsi="Times New Roman" w:cs="Times New Roman"/>
        </w:rPr>
      </w:pPr>
      <m:oMathPara>
        <m:oMath>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e>
            <m:sup>
              <m:r>
                <m:rPr>
                  <m:sty m:val="bi"/>
                </m:rPr>
                <w:rPr>
                  <w:rFonts w:ascii="Cambria Math" w:hAnsi="Cambria Math" w:cs="Times New Roman"/>
                </w:rPr>
                <m:t>*</m:t>
              </m:r>
            </m:sup>
          </m:sSup>
          <m:r>
            <m:rPr>
              <m:sty m:val="bi"/>
            </m:rPr>
            <w:rPr>
              <w:rFonts w:ascii="Cambria Math" w:hAnsi="Cambria Math" w:cs="Times New Roman"/>
            </w:rPr>
            <m:t>=</m:t>
          </m:r>
          <m:r>
            <w:rPr>
              <w:rFonts w:ascii="Cambria Math" w:hAnsi="Cambria Math" w:cs="Times New Roman"/>
            </w:rPr>
            <m:t xml:space="preserve"> </m:t>
          </m:r>
          <m:d>
            <m:dPr>
              <m:begChr m:val="["/>
              <m:endChr m:val="]"/>
              <m:ctrlPr>
                <w:rPr>
                  <w:rFonts w:ascii="Cambria Math" w:hAnsi="Cambria Math" w:cs="Times New Roman"/>
                  <w:i/>
                </w:rPr>
              </m:ctrlPr>
            </m:dPr>
            <m:e>
              <m:m>
                <m:mPr>
                  <m:mcs>
                    <m:mc>
                      <m:mcPr>
                        <m:count m:val="3"/>
                        <m:mcJc m:val="center"/>
                      </m:mcPr>
                    </m:mc>
                  </m:mcs>
                  <m:ctrlPr>
                    <w:rPr>
                      <w:rFonts w:ascii="Cambria Math" w:hAnsi="Cambria Math" w:cs="Times New Roman"/>
                      <w:i/>
                    </w:rPr>
                  </m:ctrlPr>
                </m:mPr>
                <m:mr>
                  <m:e>
                    <m:rad>
                      <m:radPr>
                        <m:degHide m:val="1"/>
                        <m:ctrlPr>
                          <w:rPr>
                            <w:rFonts w:ascii="Cambria Math" w:hAnsi="Cambria Math" w:cs="Times New Roman"/>
                            <w:i/>
                          </w:rPr>
                        </m:ctrlPr>
                      </m:radPr>
                      <m:deg/>
                      <m:e>
                        <m:sSubSup>
                          <m:sSubSupPr>
                            <m:ctrlPr>
                              <w:rPr>
                                <w:rFonts w:ascii="Cambria Math" w:hAnsi="Cambria Math" w:cs="Times New Roman"/>
                                <w:i/>
                              </w:rPr>
                            </m:ctrlPr>
                          </m:sSubSupPr>
                          <m:e>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11t</m:t>
                                </m:r>
                              </m:sub>
                              <m:sup>
                                <m:r>
                                  <w:rPr>
                                    <w:rFonts w:ascii="Cambria Math" w:hAnsi="Cambria Math" w:cs="Times New Roman"/>
                                  </w:rPr>
                                  <m:t xml:space="preserve"> </m:t>
                                </m:r>
                              </m:sup>
                            </m:sSubSup>
                          </m:e>
                          <m:sub>
                            <m:r>
                              <w:rPr>
                                <w:rFonts w:ascii="Cambria Math" w:hAnsi="Cambria Math" w:cs="Times New Roman"/>
                              </w:rPr>
                              <m:t xml:space="preserve"> </m:t>
                            </m:r>
                          </m:sub>
                          <m:sup>
                            <m:r>
                              <w:rPr>
                                <w:rFonts w:ascii="Cambria Math" w:hAnsi="Cambria Math" w:cs="Times New Roman"/>
                              </w:rPr>
                              <m:t xml:space="preserve"> </m:t>
                            </m:r>
                          </m:sup>
                        </m:sSubSup>
                      </m:e>
                    </m:rad>
                  </m:e>
                  <m:e>
                    <m:r>
                      <w:rPr>
                        <w:rFonts w:ascii="Cambria Math" w:hAnsi="Cambria Math" w:cs="Times New Roman"/>
                      </w:rPr>
                      <m:t>0</m:t>
                    </m:r>
                  </m:e>
                  <m:e>
                    <m:m>
                      <m:mPr>
                        <m:mcs>
                          <m:mc>
                            <m:mcPr>
                              <m:count m:val="2"/>
                              <m:mcJc m:val="center"/>
                            </m:mcPr>
                          </m:mc>
                        </m:mcs>
                        <m:ctrlPr>
                          <w:rPr>
                            <w:rFonts w:ascii="Cambria Math" w:hAnsi="Cambria Math" w:cs="Times New Roman"/>
                            <w:i/>
                          </w:rPr>
                        </m:ctrlPr>
                      </m:mPr>
                      <m:mr>
                        <m:e>
                          <m:r>
                            <w:rPr>
                              <w:rFonts w:ascii="Cambria Math" w:hAnsi="Cambria Math" w:cs="Times New Roman"/>
                            </w:rPr>
                            <m:t>0</m:t>
                          </m:r>
                        </m:e>
                        <m:e>
                          <m:m>
                            <m:mPr>
                              <m:mcs>
                                <m:mc>
                                  <m:mcPr>
                                    <m:count m:val="2"/>
                                    <m:mcJc m:val="center"/>
                                  </m:mcPr>
                                </m:mc>
                              </m:mcs>
                              <m:ctrlPr>
                                <w:rPr>
                                  <w:rFonts w:ascii="Cambria Math" w:hAnsi="Cambria Math" w:cs="Times New Roman"/>
                                  <w:i/>
                                </w:rPr>
                              </m:ctrlPr>
                            </m:mPr>
                            <m:mr>
                              <m:e>
                                <m:r>
                                  <w:rPr>
                                    <w:rFonts w:ascii="Cambria Math" w:hAnsi="Cambria Math" w:cs="Times New Roman"/>
                                  </w:rPr>
                                  <m:t>…</m:t>
                                </m:r>
                              </m:e>
                              <m:e>
                                <m:r>
                                  <w:rPr>
                                    <w:rFonts w:ascii="Cambria Math" w:hAnsi="Cambria Math" w:cs="Times New Roman"/>
                                  </w:rPr>
                                  <m:t>0</m:t>
                                </m:r>
                              </m:e>
                            </m:mr>
                          </m:m>
                        </m:e>
                      </m:mr>
                    </m:m>
                  </m:e>
                </m:mr>
                <m:mr>
                  <m:e>
                    <m:r>
                      <w:rPr>
                        <w:rFonts w:ascii="Cambria Math" w:hAnsi="Cambria Math" w:cs="Times New Roman"/>
                      </w:rPr>
                      <m:t>0</m:t>
                    </m:r>
                  </m:e>
                  <m:e>
                    <m:rad>
                      <m:radPr>
                        <m:degHide m:val="1"/>
                        <m:ctrlPr>
                          <w:rPr>
                            <w:rFonts w:ascii="Cambria Math" w:hAnsi="Cambria Math" w:cs="Times New Roman"/>
                            <w:i/>
                          </w:rPr>
                        </m:ctrlPr>
                      </m:radPr>
                      <m:deg/>
                      <m:e>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22t</m:t>
                            </m:r>
                          </m:sub>
                          <m:sup>
                            <m:r>
                              <w:rPr>
                                <w:rFonts w:ascii="Cambria Math" w:hAnsi="Cambria Math" w:cs="Times New Roman"/>
                              </w:rPr>
                              <m:t xml:space="preserve"> </m:t>
                            </m:r>
                          </m:sup>
                        </m:sSubSup>
                      </m:e>
                    </m:rad>
                  </m:e>
                  <m:e>
                    <m:m>
                      <m:mPr>
                        <m:mcs>
                          <m:mc>
                            <m:mcPr>
                              <m:count m:val="2"/>
                              <m:mcJc m:val="center"/>
                            </m:mcPr>
                          </m:mc>
                        </m:mcs>
                        <m:ctrlPr>
                          <w:rPr>
                            <w:rFonts w:ascii="Cambria Math" w:hAnsi="Cambria Math" w:cs="Times New Roman"/>
                            <w:i/>
                          </w:rPr>
                        </m:ctrlPr>
                      </m:mPr>
                      <m:mr>
                        <m:e>
                          <m:r>
                            <w:rPr>
                              <w:rFonts w:ascii="Cambria Math" w:hAnsi="Cambria Math" w:cs="Times New Roman"/>
                            </w:rPr>
                            <m:t>0</m:t>
                          </m:r>
                        </m:e>
                        <m:e>
                          <m:m>
                            <m:mPr>
                              <m:mcs>
                                <m:mc>
                                  <m:mcPr>
                                    <m:count m:val="2"/>
                                    <m:mcJc m:val="center"/>
                                  </m:mcPr>
                                </m:mc>
                              </m:mcs>
                              <m:ctrlPr>
                                <w:rPr>
                                  <w:rFonts w:ascii="Cambria Math" w:hAnsi="Cambria Math" w:cs="Times New Roman"/>
                                  <w:i/>
                                </w:rPr>
                              </m:ctrlPr>
                            </m:mPr>
                            <m:mr>
                              <m:e>
                                <m:r>
                                  <w:rPr>
                                    <w:rFonts w:ascii="Cambria Math" w:hAnsi="Cambria Math" w:cs="Times New Roman"/>
                                  </w:rPr>
                                  <m:t>…</m:t>
                                </m:r>
                              </m:e>
                              <m:e>
                                <m:r>
                                  <w:rPr>
                                    <w:rFonts w:ascii="Cambria Math" w:hAnsi="Cambria Math" w:cs="Times New Roman"/>
                                  </w:rPr>
                                  <m:t>0</m:t>
                                </m:r>
                              </m:e>
                            </m:mr>
                          </m:m>
                        </m:e>
                      </m:mr>
                    </m:m>
                  </m:e>
                </m:mr>
                <m:mr>
                  <m:e>
                    <m:m>
                      <m:mPr>
                        <m:mcs>
                          <m:mc>
                            <m:mcPr>
                              <m:count m:val="1"/>
                              <m:mcJc m:val="center"/>
                            </m:mcPr>
                          </m:mc>
                        </m:mcs>
                        <m:ctrlPr>
                          <w:rPr>
                            <w:rFonts w:ascii="Cambria Math" w:hAnsi="Cambria Math" w:cs="Times New Roman"/>
                            <w:i/>
                          </w:rPr>
                        </m:ctrlPr>
                      </m:mPr>
                      <m:mr>
                        <m:e>
                          <m:r>
                            <w:rPr>
                              <w:rFonts w:ascii="Cambria Math" w:hAnsi="Cambria Math" w:cs="Times New Roman"/>
                            </w:rPr>
                            <m:t>0</m:t>
                          </m:r>
                        </m:e>
                      </m:mr>
                      <m:mr>
                        <m:e>
                          <m:m>
                            <m:mPr>
                              <m:mcs>
                                <m:mc>
                                  <m:mcPr>
                                    <m:count m:val="1"/>
                                    <m:mcJc m:val="center"/>
                                  </m:mcPr>
                                </m:mc>
                              </m:mcs>
                              <m:ctrlPr>
                                <w:rPr>
                                  <w:rFonts w:ascii="Cambria Math" w:hAnsi="Cambria Math" w:cs="Times New Roman"/>
                                  <w:i/>
                                </w:rPr>
                              </m:ctrlPr>
                            </m:mPr>
                            <m:mr>
                              <m:e>
                                <m:r>
                                  <w:rPr>
                                    <w:rFonts w:ascii="Cambria Math" w:hAnsi="Cambria Math" w:cs="Times New Roman"/>
                                  </w:rPr>
                                  <m:t>⋮</m:t>
                                </m:r>
                              </m:e>
                            </m:mr>
                            <m:mr>
                              <m:e>
                                <m:r>
                                  <w:rPr>
                                    <w:rFonts w:ascii="Cambria Math" w:hAnsi="Cambria Math" w:cs="Times New Roman"/>
                                  </w:rPr>
                                  <m:t>0</m:t>
                                </m:r>
                              </m:e>
                            </m:mr>
                          </m:m>
                        </m:e>
                      </m:mr>
                    </m:m>
                  </m:e>
                  <m:e>
                    <m:m>
                      <m:mPr>
                        <m:mcs>
                          <m:mc>
                            <m:mcPr>
                              <m:count m:val="1"/>
                              <m:mcJc m:val="center"/>
                            </m:mcPr>
                          </m:mc>
                        </m:mcs>
                        <m:ctrlPr>
                          <w:rPr>
                            <w:rFonts w:ascii="Cambria Math" w:hAnsi="Cambria Math" w:cs="Times New Roman"/>
                            <w:i/>
                          </w:rPr>
                        </m:ctrlPr>
                      </m:mPr>
                      <m:mr>
                        <m:e>
                          <m:r>
                            <w:rPr>
                              <w:rFonts w:ascii="Cambria Math" w:hAnsi="Cambria Math" w:cs="Times New Roman"/>
                            </w:rPr>
                            <m:t>0</m:t>
                          </m:r>
                        </m:e>
                      </m:mr>
                      <m:mr>
                        <m:e>
                          <m:m>
                            <m:mPr>
                              <m:mcs>
                                <m:mc>
                                  <m:mcPr>
                                    <m:count m:val="1"/>
                                    <m:mcJc m:val="center"/>
                                  </m:mcPr>
                                </m:mc>
                              </m:mcs>
                              <m:ctrlPr>
                                <w:rPr>
                                  <w:rFonts w:ascii="Cambria Math" w:hAnsi="Cambria Math" w:cs="Times New Roman"/>
                                  <w:i/>
                                </w:rPr>
                              </m:ctrlPr>
                            </m:mPr>
                            <m:mr>
                              <m:e>
                                <m:r>
                                  <w:rPr>
                                    <w:rFonts w:ascii="Cambria Math" w:hAnsi="Cambria Math" w:cs="Times New Roman"/>
                                  </w:rPr>
                                  <m:t>⋮</m:t>
                                </m:r>
                              </m:e>
                            </m:mr>
                            <m:mr>
                              <m:e>
                                <m:r>
                                  <w:rPr>
                                    <w:rFonts w:ascii="Cambria Math" w:hAnsi="Cambria Math" w:cs="Times New Roman"/>
                                  </w:rPr>
                                  <m:t>0</m:t>
                                </m:r>
                              </m:e>
                            </m:mr>
                          </m:m>
                        </m:e>
                      </m:mr>
                    </m:m>
                  </m:e>
                  <m:e>
                    <m:m>
                      <m:mPr>
                        <m:mcs>
                          <m:mc>
                            <m:mcPr>
                              <m:count m:val="2"/>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rad>
                                  <m:radPr>
                                    <m:degHide m:val="1"/>
                                    <m:ctrlPr>
                                      <w:rPr>
                                        <w:rFonts w:ascii="Cambria Math" w:hAnsi="Cambria Math" w:cs="Times New Roman"/>
                                        <w:i/>
                                      </w:rPr>
                                    </m:ctrlPr>
                                  </m:radPr>
                                  <m:deg/>
                                  <m:e>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33,t</m:t>
                                        </m:r>
                                      </m:sub>
                                      <m:sup>
                                        <m:r>
                                          <w:rPr>
                                            <w:rFonts w:ascii="Cambria Math" w:hAnsi="Cambria Math" w:cs="Times New Roman"/>
                                          </w:rPr>
                                          <m:t xml:space="preserve"> </m:t>
                                        </m:r>
                                      </m:sup>
                                    </m:sSubSup>
                                  </m:e>
                                </m:rad>
                              </m:e>
                            </m:mr>
                            <m:mr>
                              <m:e>
                                <m:m>
                                  <m:mPr>
                                    <m:mcs>
                                      <m:mc>
                                        <m:mcPr>
                                          <m:count m:val="1"/>
                                          <m:mcJc m:val="center"/>
                                        </m:mcPr>
                                      </m:mc>
                                    </m:mcs>
                                    <m:ctrlPr>
                                      <w:rPr>
                                        <w:rFonts w:ascii="Cambria Math" w:hAnsi="Cambria Math" w:cs="Times New Roman"/>
                                        <w:i/>
                                      </w:rPr>
                                    </m:ctrlPr>
                                  </m:mPr>
                                  <m:mr>
                                    <m:e>
                                      <m:r>
                                        <w:rPr>
                                          <w:rFonts w:ascii="Cambria Math" w:hAnsi="Cambria Math" w:cs="Times New Roman"/>
                                        </w:rPr>
                                        <m:t>⋱</m:t>
                                      </m:r>
                                    </m:e>
                                  </m:mr>
                                  <m:mr>
                                    <m:e>
                                      <m:r>
                                        <w:rPr>
                                          <w:rFonts w:ascii="Cambria Math" w:hAnsi="Cambria Math" w:cs="Times New Roman"/>
                                        </w:rPr>
                                        <m:t>…</m:t>
                                      </m:r>
                                    </m:e>
                                  </m:mr>
                                </m:m>
                              </m:e>
                            </m:mr>
                          </m:m>
                        </m:e>
                        <m:e>
                          <m:m>
                            <m:mPr>
                              <m:mcs>
                                <m:mc>
                                  <m:mcPr>
                                    <m:count m:val="1"/>
                                    <m:mcJc m:val="center"/>
                                  </m:mcPr>
                                </m:mc>
                              </m:mcs>
                              <m:ctrlPr>
                                <w:rPr>
                                  <w:rFonts w:ascii="Cambria Math" w:hAnsi="Cambria Math" w:cs="Times New Roman"/>
                                  <w:i/>
                                </w:rPr>
                              </m:ctrlPr>
                            </m:mPr>
                            <m:mr>
                              <m:e>
                                <m:m>
                                  <m:mPr>
                                    <m:mcs>
                                      <m:mc>
                                        <m:mcPr>
                                          <m:count m:val="2"/>
                                          <m:mcJc m:val="center"/>
                                        </m:mcPr>
                                      </m:mc>
                                    </m:mcs>
                                    <m:ctrlPr>
                                      <w:rPr>
                                        <w:rFonts w:ascii="Cambria Math" w:hAnsi="Cambria Math" w:cs="Times New Roman"/>
                                        <w:i/>
                                      </w:rPr>
                                    </m:ctrlPr>
                                  </m:mPr>
                                  <m:mr>
                                    <m:e>
                                      <m:r>
                                        <w:rPr>
                                          <w:rFonts w:ascii="Cambria Math" w:hAnsi="Cambria Math" w:cs="Times New Roman"/>
                                        </w:rPr>
                                        <m:t>…</m:t>
                                      </m:r>
                                    </m:e>
                                    <m:e>
                                      <m:r>
                                        <w:rPr>
                                          <w:rFonts w:ascii="Cambria Math" w:hAnsi="Cambria Math" w:cs="Times New Roman"/>
                                        </w:rPr>
                                        <m:t>⋮</m:t>
                                      </m:r>
                                    </m:e>
                                  </m:mr>
                                </m:m>
                              </m:e>
                            </m:mr>
                            <m:mr>
                              <m:e>
                                <m:m>
                                  <m:mPr>
                                    <m:mcs>
                                      <m:mc>
                                        <m:mcPr>
                                          <m:count m:val="2"/>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r>
                                              <w:rPr>
                                                <w:rFonts w:ascii="Cambria Math" w:hAnsi="Cambria Math" w:cs="Times New Roman"/>
                                              </w:rPr>
                                              <m:t>⋱</m:t>
                                            </m:r>
                                          </m:e>
                                        </m:mr>
                                        <m:mr>
                                          <m:e>
                                            <m:r>
                                              <w:rPr>
                                                <w:rFonts w:ascii="Cambria Math" w:hAnsi="Cambria Math" w:cs="Times New Roman"/>
                                              </w:rPr>
                                              <m:t>0</m:t>
                                            </m:r>
                                          </m:e>
                                        </m:mr>
                                      </m:m>
                                    </m:e>
                                    <m:e>
                                      <m:m>
                                        <m:mPr>
                                          <m:mcs>
                                            <m:mc>
                                              <m:mcPr>
                                                <m:count m:val="1"/>
                                                <m:mcJc m:val="center"/>
                                              </m:mcPr>
                                            </m:mc>
                                          </m:mcs>
                                          <m:ctrlPr>
                                            <w:rPr>
                                              <w:rFonts w:ascii="Cambria Math" w:hAnsi="Cambria Math" w:cs="Times New Roman"/>
                                              <w:i/>
                                            </w:rPr>
                                          </m:ctrlPr>
                                        </m:mPr>
                                        <m:mr>
                                          <m:e>
                                            <m:r>
                                              <w:rPr>
                                                <w:rFonts w:ascii="Cambria Math" w:hAnsi="Cambria Math" w:cs="Times New Roman"/>
                                              </w:rPr>
                                              <m:t>0</m:t>
                                            </m:r>
                                          </m:e>
                                        </m:mr>
                                        <m:mr>
                                          <m:e>
                                            <m:rad>
                                              <m:radPr>
                                                <m:degHide m:val="1"/>
                                                <m:ctrlPr>
                                                  <w:rPr>
                                                    <w:rFonts w:ascii="Cambria Math" w:hAnsi="Cambria Math" w:cs="Times New Roman"/>
                                                    <w:i/>
                                                  </w:rPr>
                                                </m:ctrlPr>
                                              </m:radPr>
                                              <m:deg/>
                                              <m:e>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nnt</m:t>
                                                    </m:r>
                                                  </m:sub>
                                                  <m:sup>
                                                    <m:r>
                                                      <w:rPr>
                                                        <w:rFonts w:ascii="Cambria Math" w:hAnsi="Cambria Math" w:cs="Times New Roman"/>
                                                      </w:rPr>
                                                      <m:t xml:space="preserve"> </m:t>
                                                    </m:r>
                                                  </m:sup>
                                                </m:sSubSup>
                                              </m:e>
                                            </m:rad>
                                          </m:e>
                                        </m:mr>
                                      </m:m>
                                    </m:e>
                                  </m:mr>
                                </m:m>
                              </m:e>
                            </m:mr>
                          </m:m>
                        </m:e>
                      </m:mr>
                    </m:m>
                  </m:e>
                </m:mr>
              </m:m>
            </m:e>
          </m:d>
          <m:r>
            <m:rPr>
              <m:sty m:val="bi"/>
            </m:rPr>
            <w:rPr>
              <w:rFonts w:ascii="Cambria Math" w:eastAsiaTheme="minorEastAsia" w:hAnsi="Cambria Math" w:cs="Times New Roman"/>
            </w:rPr>
            <m:t xml:space="preserve">                                                                        </m:t>
          </m:r>
          <m:r>
            <w:rPr>
              <w:rFonts w:ascii="Cambria Math" w:eastAsiaTheme="minorEastAsia" w:hAnsi="Cambria Math" w:cs="Times New Roman"/>
            </w:rPr>
            <m:t>(22</m:t>
          </m:r>
          <m:r>
            <m:rPr>
              <m:sty m:val="bi"/>
            </m:rPr>
            <w:rPr>
              <w:rFonts w:ascii="Cambria Math" w:eastAsiaTheme="minorEastAsia" w:hAnsi="Cambria Math" w:cs="Times New Roman"/>
            </w:rPr>
            <m:t>)</m:t>
          </m:r>
        </m:oMath>
      </m:oMathPara>
    </w:p>
    <w:p w14:paraId="163A0936" w14:textId="77777777" w:rsidR="006E59BF" w:rsidRPr="00044728" w:rsidRDefault="00000000" w:rsidP="00EE0234">
      <w:pPr>
        <w:spacing w:line="480" w:lineRule="auto"/>
        <w:jc w:val="both"/>
        <w:rPr>
          <w:rFonts w:ascii="Times New Roman" w:hAnsi="Times New Roman" w:cs="Times New Roman"/>
        </w:rPr>
      </w:pPr>
      <m:oMath>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e>
          <m:sup>
            <m:r>
              <m:rPr>
                <m:sty m:val="bi"/>
              </m:rPr>
              <w:rPr>
                <w:rFonts w:ascii="Cambria Math" w:hAnsi="Cambria Math" w:cs="Times New Roman"/>
              </w:rPr>
              <m:t>*</m:t>
            </m:r>
          </m:sup>
        </m:sSup>
      </m:oMath>
      <w:r w:rsidR="006E59BF" w:rsidRPr="00044728">
        <w:rPr>
          <w:rFonts w:ascii="Times New Roman" w:hAnsi="Times New Roman" w:cs="Times New Roman"/>
          <w:i/>
          <w:iCs/>
        </w:rPr>
        <w:t xml:space="preserve"> </w:t>
      </w:r>
      <w:r w:rsidR="006E59BF" w:rsidRPr="00044728">
        <w:rPr>
          <w:rFonts w:ascii="Times New Roman" w:hAnsi="Times New Roman" w:cs="Times New Roman"/>
        </w:rPr>
        <w:t xml:space="preserve">rescales the elements in </w:t>
      </w:r>
      <w:r w:rsidR="006E59BF" w:rsidRPr="00044728">
        <w:rPr>
          <w:rFonts w:ascii="Times New Roman" w:hAnsi="Times New Roman" w:cs="Times New Roman"/>
          <w:i/>
          <w:iCs/>
        </w:rPr>
        <w:t xml:space="preserve">Qt </w:t>
      </w:r>
      <w:r w:rsidR="006E59BF" w:rsidRPr="00044728">
        <w:rPr>
          <w:rFonts w:ascii="Times New Roman" w:hAnsi="Times New Roman" w:cs="Times New Roman"/>
        </w:rPr>
        <w:t>to ensure the second requirement</w:t>
      </w:r>
    </w:p>
    <w:p w14:paraId="4B801676" w14:textId="77777777" w:rsidR="006E59BF" w:rsidRPr="00044728" w:rsidRDefault="00000000" w:rsidP="00EE0234">
      <w:pPr>
        <w:spacing w:line="480" w:lineRule="auto"/>
        <w:jc w:val="both"/>
        <w:rPr>
          <w:rFonts w:ascii="Times New Roman" w:eastAsiaTheme="minorEastAsia" w:hAnsi="Times New Roman" w:cs="Times New Roman"/>
          <w:i/>
        </w:rPr>
      </w:pPr>
      <m:oMathPara>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i,j</m:t>
                  </m:r>
                </m:sub>
              </m:sSub>
            </m:e>
          </m:d>
          <m:r>
            <w:rPr>
              <w:rFonts w:ascii="Cambria Math" w:hAnsi="Cambria Math" w:cs="Times New Roman"/>
            </w:rPr>
            <m:t>=</m:t>
          </m:r>
          <m:d>
            <m:dPr>
              <m:begChr m:val="|"/>
              <m:end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ijt</m:t>
                      </m:r>
                    </m:sub>
                  </m:sSub>
                </m:num>
                <m:den>
                  <m:rad>
                    <m:radPr>
                      <m:degHide m:val="1"/>
                      <m:ctrlPr>
                        <w:rPr>
                          <w:rFonts w:ascii="Cambria Math" w:hAnsi="Cambria Math" w:cs="Times New Roman"/>
                          <w:i/>
                        </w:rPr>
                      </m:ctrlPr>
                    </m:radPr>
                    <m:deg/>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iit</m:t>
                          </m:r>
                        </m:sub>
                      </m:sSub>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jjt</m:t>
                          </m:r>
                        </m:sub>
                      </m:sSub>
                      <m:r>
                        <w:rPr>
                          <w:rFonts w:ascii="Cambria Math" w:hAnsi="Cambria Math" w:cs="Times New Roman"/>
                        </w:rPr>
                        <m:t xml:space="preserve">  </m:t>
                      </m:r>
                    </m:e>
                  </m:rad>
                </m:den>
              </m:f>
            </m:e>
          </m:d>
          <m:r>
            <w:rPr>
              <w:rFonts w:ascii="Cambria Math" w:hAnsi="Cambria Math" w:cs="Times New Roman"/>
            </w:rPr>
            <m:t>≤1                                                                                                                      (23)</m:t>
          </m:r>
        </m:oMath>
      </m:oMathPara>
    </w:p>
    <w:p w14:paraId="0BEA8F67" w14:textId="77777777" w:rsidR="006E59BF" w:rsidRPr="00044728" w:rsidRDefault="005B132E" w:rsidP="00EE0234">
      <w:pPr>
        <w:spacing w:line="480" w:lineRule="auto"/>
        <w:jc w:val="both"/>
        <w:rPr>
          <w:rFonts w:ascii="Times New Roman" w:eastAsiaTheme="minorEastAsia" w:hAnsi="Times New Roman" w:cs="Times New Roman"/>
          <w:iCs/>
        </w:rPr>
      </w:pPr>
      <w:r w:rsidRPr="005B132E">
        <w:rPr>
          <w:rFonts w:ascii="Times New Roman" w:hAnsi="Times New Roman" w:cs="Times New Roman"/>
          <w:b/>
          <w:iCs/>
        </w:rPr>
        <w:t>Q</w:t>
      </w:r>
      <w:r w:rsidRPr="005B132E">
        <w:rPr>
          <w:rFonts w:ascii="Times New Roman" w:hAnsi="Times New Roman" w:cs="Times New Roman"/>
          <w:iCs/>
        </w:rPr>
        <w:t xml:space="preserve">t must likewise be positive definite in order for </w:t>
      </w:r>
      <w:r w:rsidRPr="005B132E">
        <w:rPr>
          <w:rFonts w:ascii="Times New Roman" w:hAnsi="Times New Roman" w:cs="Times New Roman"/>
          <w:b/>
          <w:iCs/>
        </w:rPr>
        <w:t>R</w:t>
      </w:r>
      <w:r w:rsidRPr="005B132E">
        <w:rPr>
          <w:rFonts w:ascii="Times New Roman" w:hAnsi="Times New Roman" w:cs="Times New Roman"/>
          <w:iCs/>
        </w:rPr>
        <w:t xml:space="preserve">t to have that property. </w:t>
      </w:r>
      <w:proofErr w:type="spellStart"/>
      <w:r w:rsidRPr="005B132E">
        <w:rPr>
          <w:rFonts w:ascii="Times New Roman" w:hAnsi="Times New Roman" w:cs="Times New Roman"/>
          <w:b/>
          <w:iCs/>
        </w:rPr>
        <w:t>H</w:t>
      </w:r>
      <w:r w:rsidRPr="005B132E">
        <w:rPr>
          <w:rFonts w:ascii="Times New Roman" w:hAnsi="Times New Roman" w:cs="Times New Roman"/>
          <w:iCs/>
        </w:rPr>
        <w:t>t</w:t>
      </w:r>
      <w:proofErr w:type="spellEnd"/>
      <w:r w:rsidRPr="005B132E">
        <w:rPr>
          <w:rFonts w:ascii="Times New Roman" w:hAnsi="Times New Roman" w:cs="Times New Roman"/>
          <w:iCs/>
        </w:rPr>
        <w:t xml:space="preserve"> has to have specified values for a and b in order to be positive definite. To ensure positive unconditional variances, the scalars a and b should also match the criteri</w:t>
      </w:r>
      <w:r>
        <w:rPr>
          <w:rFonts w:ascii="Times New Roman" w:hAnsi="Times New Roman" w:cs="Times New Roman"/>
          <w:iCs/>
        </w:rPr>
        <w:t>a of the univariate GARCH model</w:t>
      </w:r>
      <w:r w:rsidR="006E59BF" w:rsidRPr="00044728">
        <w:rPr>
          <w:rFonts w:ascii="Times New Roman" w:hAnsi="Times New Roman" w:cs="Times New Roman"/>
          <w:iCs/>
        </w:rPr>
        <w:t xml:space="preserve">: </w:t>
      </w:r>
      <m:oMath>
        <m:r>
          <w:rPr>
            <w:rFonts w:ascii="Cambria Math" w:hAnsi="Cambria Math" w:cs="Times New Roman"/>
          </w:rPr>
          <m:t>a</m:t>
        </m:r>
        <m:r>
          <w:rPr>
            <w:rFonts w:ascii="Cambria Math" w:eastAsiaTheme="minorEastAsia" w:hAnsi="Cambria Math" w:cs="Times New Roman"/>
          </w:rPr>
          <m:t>≥0, b≥0 and a+b&lt;1</m:t>
        </m:r>
      </m:oMath>
      <w:r w:rsidR="006E59BF" w:rsidRPr="00044728">
        <w:rPr>
          <w:rFonts w:ascii="Times New Roman" w:eastAsiaTheme="minorEastAsia" w:hAnsi="Times New Roman" w:cs="Times New Roman"/>
          <w:iCs/>
        </w:rPr>
        <w:t>.</w:t>
      </w:r>
    </w:p>
    <w:p w14:paraId="408C106D" w14:textId="77777777" w:rsidR="006E59BF" w:rsidRPr="00044728" w:rsidRDefault="006E59BF" w:rsidP="00EE0234">
      <w:pPr>
        <w:spacing w:line="480" w:lineRule="auto"/>
        <w:jc w:val="both"/>
        <w:rPr>
          <w:rFonts w:ascii="Times New Roman" w:hAnsi="Times New Roman" w:cs="Times New Roman"/>
          <w:iCs/>
        </w:rPr>
      </w:pPr>
      <w:r w:rsidRPr="00044728">
        <w:rPr>
          <w:rFonts w:ascii="Times New Roman" w:hAnsi="Times New Roman" w:cs="Times New Roman"/>
          <w:iCs/>
        </w:rPr>
        <w:t>The correlation structure can be extended to the general DCC (P, M)-GARCH model:</w:t>
      </w:r>
    </w:p>
    <w:p w14:paraId="585EED4E" w14:textId="77777777" w:rsidR="006E59BF" w:rsidRPr="00044728" w:rsidRDefault="00000000" w:rsidP="00EE0234">
      <w:pPr>
        <w:spacing w:line="480" w:lineRule="auto"/>
        <w:jc w:val="both"/>
        <w:rPr>
          <w:rFonts w:ascii="Times New Roman" w:eastAsiaTheme="minorEastAsia" w:hAnsi="Times New Roman" w:cs="Times New Roman"/>
        </w:rPr>
      </w:pPr>
      <m:oMathPara>
        <m:oMath>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t</m:t>
              </m:r>
            </m:sub>
          </m:sSub>
          <m:r>
            <m:rPr>
              <m:sty m:val="bi"/>
            </m:rPr>
            <w:rPr>
              <w:rFonts w:ascii="Cambria Math" w:hAnsi="Cambria Math" w:cs="Times New Roman"/>
            </w:rPr>
            <m:t>=</m:t>
          </m:r>
          <m:d>
            <m:dPr>
              <m:ctrlPr>
                <w:rPr>
                  <w:rFonts w:ascii="Cambria Math" w:hAnsi="Cambria Math" w:cs="Times New Roman"/>
                  <w:b/>
                  <w:bCs/>
                  <w:i/>
                </w:rPr>
              </m:ctrlPr>
            </m:dPr>
            <m:e>
              <m:r>
                <w:rPr>
                  <w:rFonts w:ascii="Cambria Math" w:hAnsi="Cambria Math" w:cs="Times New Roman"/>
                </w:rPr>
                <m:t>1-</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P</m:t>
                  </m:r>
                </m:sup>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m:t>
                      </m:r>
                    </m:sub>
                  </m:sSub>
                </m:e>
              </m:nary>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M</m:t>
                  </m:r>
                </m:sup>
                <m:e>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j</m:t>
                      </m:r>
                    </m:sub>
                  </m:sSub>
                </m:e>
              </m:nary>
              <m:ctrlPr>
                <w:rPr>
                  <w:rFonts w:ascii="Cambria Math" w:hAnsi="Cambria Math" w:cs="Times New Roman"/>
                  <w:i/>
                </w:rPr>
              </m:ctrlPr>
            </m:e>
          </m:d>
          <m:acc>
            <m:accPr>
              <m:chr m:val="̅"/>
              <m:ctrlPr>
                <w:rPr>
                  <w:rFonts w:ascii="Cambria Math" w:hAnsi="Cambria Math" w:cs="Times New Roman"/>
                  <w:i/>
                </w:rPr>
              </m:ctrlPr>
            </m:accPr>
            <m:e>
              <m:r>
                <w:rPr>
                  <w:rFonts w:ascii="Cambria Math" w:hAnsi="Cambria Math" w:cs="Times New Roman"/>
                </w:rPr>
                <m:t>Q</m:t>
              </m:r>
            </m:e>
          </m:acc>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P</m:t>
              </m:r>
            </m:sup>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m:t>
                  </m:r>
                </m:sub>
              </m:sSub>
            </m:e>
          </m:nary>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t-1</m:t>
              </m:r>
            </m:sub>
          </m:sSub>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 xml:space="preserve">t-1 </m:t>
              </m:r>
            </m:sub>
            <m:sup>
              <m:r>
                <w:rPr>
                  <w:rFonts w:ascii="Cambria Math" w:hAnsi="Cambria Math" w:cs="Times New Roman"/>
                </w:rPr>
                <m:t>'</m:t>
              </m:r>
            </m:sup>
          </m:sSubSup>
          <m:r>
            <w:rPr>
              <w:rFonts w:ascii="Cambria Math" w:eastAsiaTheme="minorEastAsia"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M</m:t>
              </m:r>
            </m:sup>
            <m:e>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j</m:t>
                  </m:r>
                </m:sub>
              </m:sSub>
            </m:e>
          </m:nary>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t-1</m:t>
              </m:r>
            </m:sub>
          </m:sSub>
          <m:r>
            <w:rPr>
              <w:rFonts w:ascii="Cambria Math" w:eastAsiaTheme="minorEastAsia" w:hAnsi="Cambria Math" w:cs="Times New Roman"/>
            </w:rPr>
            <m:t xml:space="preserve">                                             (24)</m:t>
          </m:r>
        </m:oMath>
      </m:oMathPara>
    </w:p>
    <w:p w14:paraId="4CC29CA8" w14:textId="77777777" w:rsidR="003A5880" w:rsidRPr="00044728" w:rsidRDefault="003A5880" w:rsidP="00EE0234">
      <w:pPr>
        <w:jc w:val="both"/>
        <w:rPr>
          <w:rFonts w:ascii="Times New Roman" w:hAnsi="Times New Roman" w:cs="Times New Roman"/>
          <w:b/>
        </w:rPr>
      </w:pPr>
    </w:p>
    <w:p w14:paraId="6100B245" w14:textId="77777777" w:rsidR="002E0BE9" w:rsidRDefault="002E0BE9" w:rsidP="00EE0234">
      <w:pPr>
        <w:jc w:val="both"/>
        <w:rPr>
          <w:rFonts w:ascii="Times New Roman" w:hAnsi="Times New Roman" w:cs="Times New Roman"/>
          <w:b/>
        </w:rPr>
      </w:pPr>
    </w:p>
    <w:p w14:paraId="72C3E7B7" w14:textId="77777777" w:rsidR="002E0BE9" w:rsidRDefault="002E0BE9" w:rsidP="00EE0234">
      <w:pPr>
        <w:jc w:val="both"/>
        <w:rPr>
          <w:rFonts w:ascii="Times New Roman" w:hAnsi="Times New Roman" w:cs="Times New Roman"/>
          <w:b/>
        </w:rPr>
      </w:pPr>
    </w:p>
    <w:p w14:paraId="609D51D6" w14:textId="77777777" w:rsidR="002E0BE9" w:rsidRDefault="002E0BE9" w:rsidP="00EE0234">
      <w:pPr>
        <w:jc w:val="both"/>
        <w:rPr>
          <w:rFonts w:ascii="Times New Roman" w:hAnsi="Times New Roman" w:cs="Times New Roman"/>
          <w:b/>
        </w:rPr>
      </w:pPr>
    </w:p>
    <w:p w14:paraId="0E597069" w14:textId="77777777" w:rsidR="002E0BE9" w:rsidRDefault="002E0BE9" w:rsidP="00EE0234">
      <w:pPr>
        <w:jc w:val="both"/>
        <w:rPr>
          <w:rFonts w:ascii="Times New Roman" w:hAnsi="Times New Roman" w:cs="Times New Roman"/>
          <w:b/>
        </w:rPr>
      </w:pPr>
    </w:p>
    <w:p w14:paraId="183A34AE" w14:textId="77777777" w:rsidR="002E0BE9" w:rsidRDefault="002E0BE9" w:rsidP="00EE0234">
      <w:pPr>
        <w:jc w:val="both"/>
        <w:rPr>
          <w:rFonts w:ascii="Times New Roman" w:hAnsi="Times New Roman" w:cs="Times New Roman"/>
          <w:b/>
        </w:rPr>
      </w:pPr>
    </w:p>
    <w:p w14:paraId="0C03A419" w14:textId="77777777" w:rsidR="002E0BE9" w:rsidRDefault="002E0BE9" w:rsidP="00EE0234">
      <w:pPr>
        <w:jc w:val="both"/>
        <w:rPr>
          <w:rFonts w:ascii="Times New Roman" w:hAnsi="Times New Roman" w:cs="Times New Roman"/>
          <w:b/>
        </w:rPr>
      </w:pPr>
    </w:p>
    <w:p w14:paraId="02BAFEFE" w14:textId="77777777" w:rsidR="002E0BE9" w:rsidRDefault="002E0BE9" w:rsidP="00EE0234">
      <w:pPr>
        <w:jc w:val="both"/>
        <w:rPr>
          <w:rFonts w:ascii="Times New Roman" w:hAnsi="Times New Roman" w:cs="Times New Roman"/>
          <w:b/>
        </w:rPr>
      </w:pPr>
    </w:p>
    <w:p w14:paraId="5AD51AAF" w14:textId="77777777" w:rsidR="002E0BE9" w:rsidRDefault="002E0BE9" w:rsidP="00EE0234">
      <w:pPr>
        <w:jc w:val="both"/>
        <w:rPr>
          <w:rFonts w:ascii="Times New Roman" w:hAnsi="Times New Roman" w:cs="Times New Roman"/>
          <w:b/>
        </w:rPr>
      </w:pPr>
    </w:p>
    <w:p w14:paraId="3C6D7F32" w14:textId="023359E7" w:rsidR="00B137B1" w:rsidRPr="00044728" w:rsidRDefault="00D67BFE" w:rsidP="00EE0234">
      <w:pPr>
        <w:jc w:val="both"/>
        <w:rPr>
          <w:rFonts w:ascii="Times New Roman" w:hAnsi="Times New Roman" w:cs="Times New Roman"/>
          <w:b/>
        </w:rPr>
      </w:pPr>
      <w:r w:rsidRPr="00044728">
        <w:rPr>
          <w:rFonts w:ascii="Times New Roman" w:hAnsi="Times New Roman" w:cs="Times New Roman"/>
          <w:b/>
        </w:rPr>
        <w:t>RESULT</w:t>
      </w:r>
      <w:r w:rsidR="00EF3BFD">
        <w:rPr>
          <w:rFonts w:ascii="Times New Roman" w:hAnsi="Times New Roman" w:cs="Times New Roman"/>
          <w:b/>
        </w:rPr>
        <w:t xml:space="preserve"> AND DISCUSSION</w:t>
      </w:r>
    </w:p>
    <w:p w14:paraId="4FB586EB" w14:textId="77777777" w:rsidR="00367204" w:rsidRPr="00044728" w:rsidRDefault="00367204" w:rsidP="00EE0234">
      <w:pPr>
        <w:jc w:val="both"/>
        <w:rPr>
          <w:rFonts w:ascii="Times New Roman" w:hAnsi="Times New Roman" w:cs="Times New Roman"/>
          <w:b/>
          <w:bCs/>
        </w:rPr>
      </w:pPr>
      <w:r w:rsidRPr="00044728">
        <w:rPr>
          <w:rFonts w:ascii="Times New Roman" w:hAnsi="Times New Roman" w:cs="Times New Roman"/>
          <w:b/>
          <w:bCs/>
        </w:rPr>
        <w:t>Table 1: Descriptive Statistics of the Log Return on the Series</w:t>
      </w:r>
    </w:p>
    <w:tbl>
      <w:tblPr>
        <w:tblW w:w="9367" w:type="dxa"/>
        <w:tblInd w:w="3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492"/>
        <w:gridCol w:w="1313"/>
        <w:gridCol w:w="1312"/>
        <w:gridCol w:w="1313"/>
        <w:gridCol w:w="1312"/>
        <w:gridCol w:w="1313"/>
        <w:gridCol w:w="1312"/>
      </w:tblGrid>
      <w:tr w:rsidR="00367204" w:rsidRPr="00044728" w14:paraId="25E3F831" w14:textId="77777777" w:rsidTr="00C66BD0">
        <w:trPr>
          <w:trHeight w:val="225"/>
        </w:trPr>
        <w:tc>
          <w:tcPr>
            <w:tcW w:w="1492" w:type="dxa"/>
            <w:tcBorders>
              <w:top w:val="single" w:sz="4" w:space="0" w:color="auto"/>
              <w:bottom w:val="single" w:sz="4" w:space="0" w:color="auto"/>
            </w:tcBorders>
            <w:vAlign w:val="bottom"/>
          </w:tcPr>
          <w:p w14:paraId="0205B27A" w14:textId="77777777" w:rsidR="00367204" w:rsidRPr="00044728" w:rsidRDefault="00367204" w:rsidP="00EE0234">
            <w:pPr>
              <w:jc w:val="both"/>
              <w:rPr>
                <w:rFonts w:ascii="Times New Roman" w:hAnsi="Times New Roman" w:cs="Times New Roman"/>
                <w:b/>
                <w:bCs/>
              </w:rPr>
            </w:pPr>
          </w:p>
        </w:tc>
        <w:tc>
          <w:tcPr>
            <w:tcW w:w="1313" w:type="dxa"/>
            <w:tcBorders>
              <w:top w:val="single" w:sz="4" w:space="0" w:color="auto"/>
              <w:bottom w:val="single" w:sz="4" w:space="0" w:color="auto"/>
            </w:tcBorders>
            <w:vAlign w:val="bottom"/>
          </w:tcPr>
          <w:p w14:paraId="2F9CA247" w14:textId="77777777" w:rsidR="00367204" w:rsidRPr="00044728" w:rsidRDefault="00367204" w:rsidP="00EE0234">
            <w:pPr>
              <w:jc w:val="both"/>
              <w:rPr>
                <w:rFonts w:ascii="Times New Roman" w:hAnsi="Times New Roman" w:cs="Times New Roman"/>
                <w:b/>
                <w:bCs/>
              </w:rPr>
            </w:pPr>
            <w:r w:rsidRPr="00044728">
              <w:rPr>
                <w:rFonts w:ascii="Times New Roman" w:hAnsi="Times New Roman" w:cs="Times New Roman"/>
                <w:b/>
                <w:bCs/>
              </w:rPr>
              <w:t>DEXR</w:t>
            </w:r>
          </w:p>
        </w:tc>
        <w:tc>
          <w:tcPr>
            <w:tcW w:w="1312" w:type="dxa"/>
            <w:tcBorders>
              <w:top w:val="single" w:sz="4" w:space="0" w:color="auto"/>
              <w:bottom w:val="single" w:sz="4" w:space="0" w:color="auto"/>
            </w:tcBorders>
            <w:vAlign w:val="bottom"/>
          </w:tcPr>
          <w:p w14:paraId="270A3ADD" w14:textId="77777777" w:rsidR="00367204" w:rsidRPr="00044728" w:rsidRDefault="00367204" w:rsidP="00EE0234">
            <w:pPr>
              <w:jc w:val="both"/>
              <w:rPr>
                <w:rFonts w:ascii="Times New Roman" w:hAnsi="Times New Roman" w:cs="Times New Roman"/>
                <w:b/>
                <w:bCs/>
              </w:rPr>
            </w:pPr>
            <w:r w:rsidRPr="00044728">
              <w:rPr>
                <w:rFonts w:ascii="Times New Roman" w:hAnsi="Times New Roman" w:cs="Times New Roman"/>
                <w:b/>
                <w:bCs/>
              </w:rPr>
              <w:t>DCOPP</w:t>
            </w:r>
          </w:p>
        </w:tc>
        <w:tc>
          <w:tcPr>
            <w:tcW w:w="1313" w:type="dxa"/>
            <w:tcBorders>
              <w:top w:val="single" w:sz="4" w:space="0" w:color="auto"/>
              <w:bottom w:val="single" w:sz="4" w:space="0" w:color="auto"/>
            </w:tcBorders>
            <w:vAlign w:val="bottom"/>
          </w:tcPr>
          <w:p w14:paraId="4E80FC30" w14:textId="77777777" w:rsidR="00367204" w:rsidRPr="00044728" w:rsidRDefault="00367204" w:rsidP="00EE0234">
            <w:pPr>
              <w:jc w:val="both"/>
              <w:rPr>
                <w:rFonts w:ascii="Times New Roman" w:hAnsi="Times New Roman" w:cs="Times New Roman"/>
                <w:b/>
                <w:bCs/>
              </w:rPr>
            </w:pPr>
            <w:r w:rsidRPr="00044728">
              <w:rPr>
                <w:rFonts w:ascii="Times New Roman" w:hAnsi="Times New Roman" w:cs="Times New Roman"/>
                <w:b/>
                <w:bCs/>
              </w:rPr>
              <w:t>DBCOP</w:t>
            </w:r>
          </w:p>
        </w:tc>
        <w:tc>
          <w:tcPr>
            <w:tcW w:w="1312" w:type="dxa"/>
            <w:tcBorders>
              <w:top w:val="single" w:sz="4" w:space="0" w:color="auto"/>
              <w:bottom w:val="single" w:sz="4" w:space="0" w:color="auto"/>
            </w:tcBorders>
            <w:vAlign w:val="bottom"/>
          </w:tcPr>
          <w:p w14:paraId="4557975A" w14:textId="77777777" w:rsidR="00367204" w:rsidRPr="00044728" w:rsidRDefault="00367204" w:rsidP="00EE0234">
            <w:pPr>
              <w:jc w:val="both"/>
              <w:rPr>
                <w:rFonts w:ascii="Times New Roman" w:hAnsi="Times New Roman" w:cs="Times New Roman"/>
                <w:b/>
                <w:bCs/>
              </w:rPr>
            </w:pPr>
            <w:r w:rsidRPr="00044728">
              <w:rPr>
                <w:rFonts w:ascii="Times New Roman" w:hAnsi="Times New Roman" w:cs="Times New Roman"/>
                <w:b/>
                <w:bCs/>
              </w:rPr>
              <w:t>DGOLDP</w:t>
            </w:r>
          </w:p>
        </w:tc>
        <w:tc>
          <w:tcPr>
            <w:tcW w:w="1313" w:type="dxa"/>
            <w:tcBorders>
              <w:top w:val="single" w:sz="4" w:space="0" w:color="auto"/>
              <w:bottom w:val="single" w:sz="4" w:space="0" w:color="auto"/>
            </w:tcBorders>
            <w:vAlign w:val="bottom"/>
          </w:tcPr>
          <w:p w14:paraId="4C563056" w14:textId="77777777" w:rsidR="00367204" w:rsidRPr="00044728" w:rsidRDefault="00367204" w:rsidP="00EE0234">
            <w:pPr>
              <w:jc w:val="both"/>
              <w:rPr>
                <w:rFonts w:ascii="Times New Roman" w:hAnsi="Times New Roman" w:cs="Times New Roman"/>
                <w:b/>
                <w:bCs/>
              </w:rPr>
            </w:pPr>
            <w:r w:rsidRPr="00044728">
              <w:rPr>
                <w:rFonts w:ascii="Times New Roman" w:hAnsi="Times New Roman" w:cs="Times New Roman"/>
                <w:b/>
                <w:bCs/>
              </w:rPr>
              <w:t>DNGAS</w:t>
            </w:r>
          </w:p>
        </w:tc>
        <w:tc>
          <w:tcPr>
            <w:tcW w:w="1312" w:type="dxa"/>
            <w:tcBorders>
              <w:top w:val="single" w:sz="4" w:space="0" w:color="auto"/>
              <w:bottom w:val="single" w:sz="4" w:space="0" w:color="auto"/>
            </w:tcBorders>
            <w:vAlign w:val="bottom"/>
          </w:tcPr>
          <w:p w14:paraId="21892883" w14:textId="77777777" w:rsidR="00367204" w:rsidRPr="00044728" w:rsidRDefault="00367204" w:rsidP="00EE0234">
            <w:pPr>
              <w:jc w:val="both"/>
              <w:rPr>
                <w:rFonts w:ascii="Times New Roman" w:hAnsi="Times New Roman" w:cs="Times New Roman"/>
                <w:b/>
                <w:bCs/>
              </w:rPr>
            </w:pPr>
            <w:r w:rsidRPr="00044728">
              <w:rPr>
                <w:rFonts w:ascii="Times New Roman" w:hAnsi="Times New Roman" w:cs="Times New Roman"/>
                <w:b/>
                <w:bCs/>
              </w:rPr>
              <w:t>DSTOCKP</w:t>
            </w:r>
          </w:p>
        </w:tc>
      </w:tr>
      <w:tr w:rsidR="00367204" w:rsidRPr="00044728" w14:paraId="62251714" w14:textId="77777777" w:rsidTr="00C66BD0">
        <w:trPr>
          <w:trHeight w:val="225"/>
        </w:trPr>
        <w:tc>
          <w:tcPr>
            <w:tcW w:w="1492" w:type="dxa"/>
            <w:tcBorders>
              <w:top w:val="single" w:sz="4" w:space="0" w:color="auto"/>
            </w:tcBorders>
            <w:vAlign w:val="bottom"/>
          </w:tcPr>
          <w:p w14:paraId="35B53808"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Mean</w:t>
            </w:r>
          </w:p>
        </w:tc>
        <w:tc>
          <w:tcPr>
            <w:tcW w:w="1313" w:type="dxa"/>
            <w:tcBorders>
              <w:top w:val="single" w:sz="4" w:space="0" w:color="auto"/>
            </w:tcBorders>
            <w:vAlign w:val="bottom"/>
          </w:tcPr>
          <w:p w14:paraId="043368A5"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0.027576</w:t>
            </w:r>
          </w:p>
        </w:tc>
        <w:tc>
          <w:tcPr>
            <w:tcW w:w="1312" w:type="dxa"/>
            <w:tcBorders>
              <w:top w:val="single" w:sz="4" w:space="0" w:color="auto"/>
            </w:tcBorders>
            <w:vAlign w:val="bottom"/>
          </w:tcPr>
          <w:p w14:paraId="43423E55"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0.004669</w:t>
            </w:r>
          </w:p>
        </w:tc>
        <w:tc>
          <w:tcPr>
            <w:tcW w:w="1313" w:type="dxa"/>
            <w:tcBorders>
              <w:top w:val="single" w:sz="4" w:space="0" w:color="auto"/>
            </w:tcBorders>
            <w:vAlign w:val="bottom"/>
          </w:tcPr>
          <w:p w14:paraId="5F5E2C27"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-0.002444</w:t>
            </w:r>
          </w:p>
        </w:tc>
        <w:tc>
          <w:tcPr>
            <w:tcW w:w="1312" w:type="dxa"/>
            <w:tcBorders>
              <w:top w:val="single" w:sz="4" w:space="0" w:color="auto"/>
            </w:tcBorders>
            <w:vAlign w:val="bottom"/>
          </w:tcPr>
          <w:p w14:paraId="3AD0B5E0"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0.013907</w:t>
            </w:r>
          </w:p>
        </w:tc>
        <w:tc>
          <w:tcPr>
            <w:tcW w:w="1313" w:type="dxa"/>
            <w:tcBorders>
              <w:top w:val="single" w:sz="4" w:space="0" w:color="auto"/>
            </w:tcBorders>
            <w:vAlign w:val="bottom"/>
          </w:tcPr>
          <w:p w14:paraId="73DE26D1"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0.000815</w:t>
            </w:r>
          </w:p>
        </w:tc>
        <w:tc>
          <w:tcPr>
            <w:tcW w:w="1312" w:type="dxa"/>
            <w:tcBorders>
              <w:top w:val="single" w:sz="4" w:space="0" w:color="auto"/>
            </w:tcBorders>
            <w:vAlign w:val="bottom"/>
          </w:tcPr>
          <w:p w14:paraId="2C8414F7"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0.017086</w:t>
            </w:r>
          </w:p>
        </w:tc>
      </w:tr>
      <w:tr w:rsidR="00367204" w:rsidRPr="00044728" w14:paraId="05F8B5C1" w14:textId="77777777" w:rsidTr="00C66BD0">
        <w:trPr>
          <w:trHeight w:val="225"/>
        </w:trPr>
        <w:tc>
          <w:tcPr>
            <w:tcW w:w="1492" w:type="dxa"/>
            <w:vAlign w:val="bottom"/>
          </w:tcPr>
          <w:p w14:paraId="43F341D1"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Median</w:t>
            </w:r>
          </w:p>
        </w:tc>
        <w:tc>
          <w:tcPr>
            <w:tcW w:w="1313" w:type="dxa"/>
            <w:vAlign w:val="bottom"/>
          </w:tcPr>
          <w:p w14:paraId="6630C9D0"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0.000000</w:t>
            </w:r>
          </w:p>
        </w:tc>
        <w:tc>
          <w:tcPr>
            <w:tcW w:w="1312" w:type="dxa"/>
            <w:vAlign w:val="bottom"/>
          </w:tcPr>
          <w:p w14:paraId="78BB1710"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0.010479</w:t>
            </w:r>
          </w:p>
        </w:tc>
        <w:tc>
          <w:tcPr>
            <w:tcW w:w="1313" w:type="dxa"/>
            <w:vAlign w:val="bottom"/>
          </w:tcPr>
          <w:p w14:paraId="3C70AD3C"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0.033575</w:t>
            </w:r>
          </w:p>
        </w:tc>
        <w:tc>
          <w:tcPr>
            <w:tcW w:w="1312" w:type="dxa"/>
            <w:vAlign w:val="bottom"/>
          </w:tcPr>
          <w:p w14:paraId="49B2AA57"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0.015520</w:t>
            </w:r>
          </w:p>
        </w:tc>
        <w:tc>
          <w:tcPr>
            <w:tcW w:w="1313" w:type="dxa"/>
            <w:vAlign w:val="bottom"/>
          </w:tcPr>
          <w:p w14:paraId="663DB9C0"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0.000000</w:t>
            </w:r>
          </w:p>
        </w:tc>
        <w:tc>
          <w:tcPr>
            <w:tcW w:w="1312" w:type="dxa"/>
            <w:vAlign w:val="bottom"/>
          </w:tcPr>
          <w:p w14:paraId="690BD509"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0.008571</w:t>
            </w:r>
          </w:p>
        </w:tc>
      </w:tr>
      <w:tr w:rsidR="00367204" w:rsidRPr="00044728" w14:paraId="7D86C381" w14:textId="77777777" w:rsidTr="00C66BD0">
        <w:trPr>
          <w:trHeight w:val="225"/>
        </w:trPr>
        <w:tc>
          <w:tcPr>
            <w:tcW w:w="1492" w:type="dxa"/>
            <w:vAlign w:val="bottom"/>
          </w:tcPr>
          <w:p w14:paraId="31616DC7"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Maximum</w:t>
            </w:r>
          </w:p>
        </w:tc>
        <w:tc>
          <w:tcPr>
            <w:tcW w:w="1313" w:type="dxa"/>
            <w:vAlign w:val="bottom"/>
          </w:tcPr>
          <w:p w14:paraId="01BD3BC5"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15.19555</w:t>
            </w:r>
          </w:p>
        </w:tc>
        <w:tc>
          <w:tcPr>
            <w:tcW w:w="1312" w:type="dxa"/>
            <w:vAlign w:val="bottom"/>
          </w:tcPr>
          <w:p w14:paraId="53AAAB30"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5.354618</w:t>
            </w:r>
          </w:p>
        </w:tc>
        <w:tc>
          <w:tcPr>
            <w:tcW w:w="1313" w:type="dxa"/>
            <w:vAlign w:val="bottom"/>
          </w:tcPr>
          <w:p w14:paraId="55763A3D"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8.285210</w:t>
            </w:r>
          </w:p>
        </w:tc>
        <w:tc>
          <w:tcPr>
            <w:tcW w:w="1312" w:type="dxa"/>
            <w:vAlign w:val="bottom"/>
          </w:tcPr>
          <w:p w14:paraId="33A512EC"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2.508208</w:t>
            </w:r>
          </w:p>
        </w:tc>
        <w:tc>
          <w:tcPr>
            <w:tcW w:w="1313" w:type="dxa"/>
            <w:vAlign w:val="bottom"/>
          </w:tcPr>
          <w:p w14:paraId="5ED3BCA0"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12.75657</w:t>
            </w:r>
          </w:p>
        </w:tc>
        <w:tc>
          <w:tcPr>
            <w:tcW w:w="1312" w:type="dxa"/>
            <w:vAlign w:val="bottom"/>
          </w:tcPr>
          <w:p w14:paraId="7BF83E9B"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4.065005</w:t>
            </w:r>
          </w:p>
        </w:tc>
      </w:tr>
      <w:tr w:rsidR="00367204" w:rsidRPr="00044728" w14:paraId="716E93AB" w14:textId="77777777" w:rsidTr="00C66BD0">
        <w:trPr>
          <w:trHeight w:val="225"/>
        </w:trPr>
        <w:tc>
          <w:tcPr>
            <w:tcW w:w="1492" w:type="dxa"/>
            <w:vAlign w:val="bottom"/>
          </w:tcPr>
          <w:p w14:paraId="36072E2A"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lastRenderedPageBreak/>
              <w:t> Minimum</w:t>
            </w:r>
          </w:p>
        </w:tc>
        <w:tc>
          <w:tcPr>
            <w:tcW w:w="1313" w:type="dxa"/>
            <w:vAlign w:val="bottom"/>
          </w:tcPr>
          <w:p w14:paraId="4C82D64D"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-4.563182</w:t>
            </w:r>
          </w:p>
        </w:tc>
        <w:tc>
          <w:tcPr>
            <w:tcW w:w="1312" w:type="dxa"/>
            <w:vAlign w:val="bottom"/>
          </w:tcPr>
          <w:p w14:paraId="52642808"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-10.81626</w:t>
            </w:r>
          </w:p>
        </w:tc>
        <w:tc>
          <w:tcPr>
            <w:tcW w:w="1313" w:type="dxa"/>
            <w:vAlign w:val="bottom"/>
          </w:tcPr>
          <w:p w14:paraId="67608F80"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-12.14989</w:t>
            </w:r>
          </w:p>
        </w:tc>
        <w:tc>
          <w:tcPr>
            <w:tcW w:w="1312" w:type="dxa"/>
            <w:vAlign w:val="bottom"/>
          </w:tcPr>
          <w:p w14:paraId="7E6DFE1C"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-4.260638</w:t>
            </w:r>
          </w:p>
        </w:tc>
        <w:tc>
          <w:tcPr>
            <w:tcW w:w="1313" w:type="dxa"/>
            <w:vAlign w:val="bottom"/>
          </w:tcPr>
          <w:p w14:paraId="5CBA657E"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-9.264614</w:t>
            </w:r>
          </w:p>
        </w:tc>
        <w:tc>
          <w:tcPr>
            <w:tcW w:w="1312" w:type="dxa"/>
            <w:vAlign w:val="bottom"/>
          </w:tcPr>
          <w:p w14:paraId="75D46D35"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-27.33897</w:t>
            </w:r>
          </w:p>
        </w:tc>
      </w:tr>
      <w:tr w:rsidR="00367204" w:rsidRPr="00044728" w14:paraId="2032636B" w14:textId="77777777" w:rsidTr="00C66BD0">
        <w:trPr>
          <w:trHeight w:val="225"/>
        </w:trPr>
        <w:tc>
          <w:tcPr>
            <w:tcW w:w="1492" w:type="dxa"/>
            <w:vAlign w:val="bottom"/>
          </w:tcPr>
          <w:p w14:paraId="3A240C6B"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Std. Dev.</w:t>
            </w:r>
          </w:p>
        </w:tc>
        <w:tc>
          <w:tcPr>
            <w:tcW w:w="1313" w:type="dxa"/>
            <w:vAlign w:val="bottom"/>
          </w:tcPr>
          <w:p w14:paraId="13FD441C"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0.576641</w:t>
            </w:r>
          </w:p>
        </w:tc>
        <w:tc>
          <w:tcPr>
            <w:tcW w:w="1312" w:type="dxa"/>
            <w:vAlign w:val="bottom"/>
          </w:tcPr>
          <w:p w14:paraId="762A9479"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0.640314</w:t>
            </w:r>
          </w:p>
        </w:tc>
        <w:tc>
          <w:tcPr>
            <w:tcW w:w="1313" w:type="dxa"/>
            <w:vAlign w:val="bottom"/>
          </w:tcPr>
          <w:p w14:paraId="5A8EEFE6"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0.964476</w:t>
            </w:r>
          </w:p>
        </w:tc>
        <w:tc>
          <w:tcPr>
            <w:tcW w:w="1312" w:type="dxa"/>
            <w:vAlign w:val="bottom"/>
          </w:tcPr>
          <w:p w14:paraId="389633D4"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0.443484</w:t>
            </w:r>
          </w:p>
        </w:tc>
        <w:tc>
          <w:tcPr>
            <w:tcW w:w="1313" w:type="dxa"/>
            <w:vAlign w:val="bottom"/>
          </w:tcPr>
          <w:p w14:paraId="754F2DB8"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1.495322</w:t>
            </w:r>
          </w:p>
        </w:tc>
        <w:tc>
          <w:tcPr>
            <w:tcW w:w="1312" w:type="dxa"/>
            <w:vAlign w:val="bottom"/>
          </w:tcPr>
          <w:p w14:paraId="7999E6A6"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0.640815</w:t>
            </w:r>
          </w:p>
        </w:tc>
      </w:tr>
      <w:tr w:rsidR="00367204" w:rsidRPr="00044728" w14:paraId="199286D8" w14:textId="77777777" w:rsidTr="00C66BD0">
        <w:trPr>
          <w:trHeight w:val="225"/>
        </w:trPr>
        <w:tc>
          <w:tcPr>
            <w:tcW w:w="1492" w:type="dxa"/>
            <w:vAlign w:val="bottom"/>
          </w:tcPr>
          <w:p w14:paraId="481CD61D"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Skewness</w:t>
            </w:r>
          </w:p>
        </w:tc>
        <w:tc>
          <w:tcPr>
            <w:tcW w:w="1313" w:type="dxa"/>
            <w:vAlign w:val="bottom"/>
          </w:tcPr>
          <w:p w14:paraId="154EF300"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9.319362</w:t>
            </w:r>
          </w:p>
        </w:tc>
        <w:tc>
          <w:tcPr>
            <w:tcW w:w="1312" w:type="dxa"/>
            <w:vAlign w:val="bottom"/>
          </w:tcPr>
          <w:p w14:paraId="10CD0006"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-1.227618</w:t>
            </w:r>
          </w:p>
        </w:tc>
        <w:tc>
          <w:tcPr>
            <w:tcW w:w="1313" w:type="dxa"/>
            <w:vAlign w:val="bottom"/>
          </w:tcPr>
          <w:p w14:paraId="2386A26D"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-0.911323</w:t>
            </w:r>
          </w:p>
        </w:tc>
        <w:tc>
          <w:tcPr>
            <w:tcW w:w="1312" w:type="dxa"/>
            <w:vAlign w:val="bottom"/>
          </w:tcPr>
          <w:p w14:paraId="7F11E492"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-0.580071</w:t>
            </w:r>
          </w:p>
        </w:tc>
        <w:tc>
          <w:tcPr>
            <w:tcW w:w="1313" w:type="dxa"/>
            <w:vAlign w:val="bottom"/>
          </w:tcPr>
          <w:p w14:paraId="6C7A9EFC"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0.195784</w:t>
            </w:r>
          </w:p>
        </w:tc>
        <w:tc>
          <w:tcPr>
            <w:tcW w:w="1312" w:type="dxa"/>
            <w:vAlign w:val="bottom"/>
          </w:tcPr>
          <w:p w14:paraId="373223C1"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-21.40163</w:t>
            </w:r>
          </w:p>
        </w:tc>
      </w:tr>
      <w:tr w:rsidR="00367204" w:rsidRPr="00044728" w14:paraId="2953B732" w14:textId="77777777" w:rsidTr="00C66BD0">
        <w:trPr>
          <w:trHeight w:val="225"/>
        </w:trPr>
        <w:tc>
          <w:tcPr>
            <w:tcW w:w="1492" w:type="dxa"/>
            <w:vAlign w:val="bottom"/>
          </w:tcPr>
          <w:p w14:paraId="254BDD3E"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Kurtosis</w:t>
            </w:r>
          </w:p>
        </w:tc>
        <w:tc>
          <w:tcPr>
            <w:tcW w:w="1313" w:type="dxa"/>
            <w:vAlign w:val="bottom"/>
          </w:tcPr>
          <w:p w14:paraId="6A736604"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216.1159</w:t>
            </w:r>
          </w:p>
        </w:tc>
        <w:tc>
          <w:tcPr>
            <w:tcW w:w="1312" w:type="dxa"/>
            <w:vAlign w:val="bottom"/>
          </w:tcPr>
          <w:p w14:paraId="681DA721"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25.84142</w:t>
            </w:r>
          </w:p>
        </w:tc>
        <w:tc>
          <w:tcPr>
            <w:tcW w:w="1313" w:type="dxa"/>
            <w:vAlign w:val="bottom"/>
          </w:tcPr>
          <w:p w14:paraId="54A18A9C"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20.05872</w:t>
            </w:r>
          </w:p>
        </w:tc>
        <w:tc>
          <w:tcPr>
            <w:tcW w:w="1312" w:type="dxa"/>
            <w:vAlign w:val="bottom"/>
          </w:tcPr>
          <w:p w14:paraId="544F528B"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8.535212</w:t>
            </w:r>
          </w:p>
        </w:tc>
        <w:tc>
          <w:tcPr>
            <w:tcW w:w="1313" w:type="dxa"/>
            <w:vAlign w:val="bottom"/>
          </w:tcPr>
          <w:p w14:paraId="021E9077"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8.498737</w:t>
            </w:r>
          </w:p>
        </w:tc>
        <w:tc>
          <w:tcPr>
            <w:tcW w:w="1312" w:type="dxa"/>
            <w:vAlign w:val="bottom"/>
          </w:tcPr>
          <w:p w14:paraId="6998E345" w14:textId="77777777" w:rsidR="00367204" w:rsidRPr="00044728" w:rsidRDefault="00367204" w:rsidP="00EE0234">
            <w:pPr>
              <w:jc w:val="both"/>
              <w:rPr>
                <w:rFonts w:ascii="Times New Roman" w:hAnsi="Times New Roman" w:cs="Times New Roman"/>
              </w:rPr>
            </w:pPr>
            <w:r w:rsidRPr="00044728">
              <w:rPr>
                <w:rFonts w:ascii="Times New Roman" w:hAnsi="Times New Roman" w:cs="Times New Roman"/>
              </w:rPr>
              <w:t> 871.8872</w:t>
            </w:r>
          </w:p>
        </w:tc>
      </w:tr>
    </w:tbl>
    <w:p w14:paraId="0BA7BD94" w14:textId="77777777" w:rsidR="00367204" w:rsidRPr="00044728" w:rsidRDefault="003765B7" w:rsidP="00EE0234">
      <w:pPr>
        <w:spacing w:after="0"/>
        <w:jc w:val="both"/>
        <w:rPr>
          <w:rFonts w:ascii="Times New Roman" w:hAnsi="Times New Roman" w:cs="Times New Roman"/>
        </w:rPr>
      </w:pPr>
      <w:r w:rsidRPr="00044728">
        <w:rPr>
          <w:rFonts w:ascii="Times New Roman" w:hAnsi="Times New Roman" w:cs="Times New Roman"/>
        </w:rPr>
        <w:t xml:space="preserve">Table 1 presents the descriptive statistics of the log returns for the exchange rate (DEXR), copper (DCOPP), Brent crude oil (DBCOP), gold (DGOLDP), natural gas (DNGAS), and Nigerian stock market (DSTOCKP). The mean returns were generally positive, with DEXR recording the highest mean of 0.0276, followed by DSTOCKP (0.0171), DGOLDP (0.0139), DCOPP (0.0047), and DNGAS (0.0008), while DBCOP recorded a slightly negative mean of −0.0024. The median values were relatively close to the means for most series, although some differences suggest departures from symmetry. The wide differences between the maximum and minimum returns indicate substantial fluctuations, with DSTOCKP recording the most extreme negative return of −27.3390, while DEXR recorded the highest positive return of 15.1956. In terms of dispersion, DNGAS had the highest standard deviation (1.4953), followed by DBCOP (0.9645), DSTOCKP (0.6408), DCOPP (0.6403), DEXR (0.5766), and DGOLDP (0.4435), indicating that natural gas experienced the greatest overall variability during the study period. The skewness statistics reveal considerable departures from symmetry, with DEXR being strongly positively skewed (9.3194), whereas DCOPP (−1.2276), DBCOP (−0.9113), DGOLDP (−0.5801), and particularly DSTOCKP (−21.4016) were negatively skewed; DNGAS, with skewness of 0.1958, was comparatively close to symmetric. Furthermore, the very high kurtosis values across all the series, ranging from 8.4987 for DNGAS to 871.8872 for DSTOCKP, indicate pronounced leptokurtosis and the presence of heavy tails and extreme observations. </w:t>
      </w:r>
    </w:p>
    <w:p w14:paraId="3D208406" w14:textId="77777777" w:rsidR="00367204" w:rsidRPr="00044728" w:rsidRDefault="00367204" w:rsidP="00EE0234">
      <w:pPr>
        <w:spacing w:after="0"/>
        <w:jc w:val="both"/>
        <w:rPr>
          <w:rFonts w:ascii="Times New Roman" w:hAnsi="Times New Roman" w:cs="Times New Roman"/>
        </w:rPr>
      </w:pPr>
    </w:p>
    <w:p w14:paraId="2375A8EE" w14:textId="77777777" w:rsidR="00367204" w:rsidRPr="00044728" w:rsidRDefault="00367204" w:rsidP="00EE0234">
      <w:pPr>
        <w:spacing w:after="0"/>
        <w:jc w:val="both"/>
        <w:rPr>
          <w:rFonts w:ascii="Times New Roman" w:hAnsi="Times New Roman" w:cs="Times New Roman"/>
          <w:b/>
        </w:rPr>
      </w:pPr>
    </w:p>
    <w:p w14:paraId="73DE88A0" w14:textId="77777777" w:rsidR="002E0BE9" w:rsidRDefault="002E0BE9" w:rsidP="00EE0234">
      <w:pPr>
        <w:spacing w:after="0"/>
        <w:jc w:val="both"/>
        <w:rPr>
          <w:rFonts w:ascii="Times New Roman" w:hAnsi="Times New Roman" w:cs="Times New Roman"/>
          <w:b/>
          <w:bCs/>
        </w:rPr>
      </w:pPr>
    </w:p>
    <w:p w14:paraId="3B2C5DFB" w14:textId="77777777" w:rsidR="002E0BE9" w:rsidRDefault="002E0BE9" w:rsidP="00EE0234">
      <w:pPr>
        <w:spacing w:after="0"/>
        <w:jc w:val="both"/>
        <w:rPr>
          <w:rFonts w:ascii="Times New Roman" w:hAnsi="Times New Roman" w:cs="Times New Roman"/>
          <w:b/>
          <w:bCs/>
        </w:rPr>
      </w:pPr>
    </w:p>
    <w:p w14:paraId="301E49C4" w14:textId="77777777" w:rsidR="002E0BE9" w:rsidRDefault="002E0BE9" w:rsidP="00EE0234">
      <w:pPr>
        <w:spacing w:after="0"/>
        <w:jc w:val="both"/>
        <w:rPr>
          <w:rFonts w:ascii="Times New Roman" w:hAnsi="Times New Roman" w:cs="Times New Roman"/>
          <w:b/>
          <w:bCs/>
        </w:rPr>
      </w:pPr>
    </w:p>
    <w:p w14:paraId="1500A70B" w14:textId="77777777" w:rsidR="002E0BE9" w:rsidRDefault="002E0BE9" w:rsidP="00EE0234">
      <w:pPr>
        <w:spacing w:after="0"/>
        <w:jc w:val="both"/>
        <w:rPr>
          <w:rFonts w:ascii="Times New Roman" w:hAnsi="Times New Roman" w:cs="Times New Roman"/>
          <w:b/>
          <w:bCs/>
        </w:rPr>
      </w:pPr>
    </w:p>
    <w:p w14:paraId="5515055F" w14:textId="77777777" w:rsidR="002E0BE9" w:rsidRDefault="002E0BE9" w:rsidP="00EE0234">
      <w:pPr>
        <w:spacing w:after="0"/>
        <w:jc w:val="both"/>
        <w:rPr>
          <w:rFonts w:ascii="Times New Roman" w:hAnsi="Times New Roman" w:cs="Times New Roman"/>
          <w:b/>
          <w:bCs/>
        </w:rPr>
      </w:pPr>
    </w:p>
    <w:p w14:paraId="227BE614" w14:textId="77777777" w:rsidR="003765B7" w:rsidRPr="00044728" w:rsidRDefault="003765B7" w:rsidP="00EE0234">
      <w:pPr>
        <w:spacing w:after="0"/>
        <w:jc w:val="both"/>
        <w:rPr>
          <w:rFonts w:ascii="Times New Roman" w:hAnsi="Times New Roman" w:cs="Times New Roman"/>
          <w:b/>
          <w:bCs/>
        </w:rPr>
      </w:pPr>
      <w:r w:rsidRPr="00044728">
        <w:rPr>
          <w:rFonts w:ascii="Times New Roman" w:hAnsi="Times New Roman" w:cs="Times New Roman"/>
          <w:b/>
          <w:bCs/>
        </w:rPr>
        <w:t>Table 2: Joint ARCH-LM Test</w:t>
      </w:r>
    </w:p>
    <w:tbl>
      <w:tblPr>
        <w:tblW w:w="7224" w:type="dxa"/>
        <w:tblBorders>
          <w:top w:val="single" w:sz="4" w:space="0" w:color="auto"/>
          <w:bottom w:val="single" w:sz="4" w:space="0" w:color="auto"/>
        </w:tblBorders>
        <w:tblLayout w:type="fixed"/>
        <w:tblLook w:val="04A0" w:firstRow="1" w:lastRow="0" w:firstColumn="1" w:lastColumn="0" w:noHBand="0" w:noVBand="1"/>
      </w:tblPr>
      <w:tblGrid>
        <w:gridCol w:w="1128"/>
        <w:gridCol w:w="1560"/>
        <w:gridCol w:w="850"/>
        <w:gridCol w:w="2268"/>
        <w:gridCol w:w="1418"/>
      </w:tblGrid>
      <w:tr w:rsidR="003765B7" w:rsidRPr="00044728" w14:paraId="6190472B" w14:textId="77777777" w:rsidTr="003765B7">
        <w:trPr>
          <w:trHeight w:val="630"/>
        </w:trPr>
        <w:tc>
          <w:tcPr>
            <w:tcW w:w="1128" w:type="dxa"/>
            <w:tcBorders>
              <w:top w:val="single" w:sz="4" w:space="0" w:color="auto"/>
              <w:left w:val="nil"/>
              <w:bottom w:val="single" w:sz="4" w:space="0" w:color="auto"/>
              <w:right w:val="nil"/>
            </w:tcBorders>
            <w:vAlign w:val="center"/>
            <w:hideMark/>
          </w:tcPr>
          <w:p w14:paraId="06365B92" w14:textId="77777777" w:rsidR="003765B7" w:rsidRPr="00044728" w:rsidRDefault="003765B7"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Test Statistic</w:t>
            </w:r>
          </w:p>
        </w:tc>
        <w:tc>
          <w:tcPr>
            <w:tcW w:w="1560" w:type="dxa"/>
            <w:tcBorders>
              <w:top w:val="single" w:sz="4" w:space="0" w:color="auto"/>
              <w:left w:val="nil"/>
              <w:bottom w:val="single" w:sz="4" w:space="0" w:color="auto"/>
              <w:right w:val="nil"/>
            </w:tcBorders>
            <w:vAlign w:val="center"/>
            <w:hideMark/>
          </w:tcPr>
          <w:p w14:paraId="6E639C65" w14:textId="77777777" w:rsidR="003765B7" w:rsidRPr="00044728" w:rsidRDefault="003765B7"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Chi-square</w:t>
            </w:r>
          </w:p>
        </w:tc>
        <w:tc>
          <w:tcPr>
            <w:tcW w:w="850" w:type="dxa"/>
            <w:tcBorders>
              <w:top w:val="single" w:sz="4" w:space="0" w:color="auto"/>
              <w:left w:val="nil"/>
              <w:bottom w:val="single" w:sz="4" w:space="0" w:color="auto"/>
              <w:right w:val="nil"/>
            </w:tcBorders>
            <w:vAlign w:val="center"/>
            <w:hideMark/>
          </w:tcPr>
          <w:p w14:paraId="7E73BCE8" w14:textId="77777777" w:rsidR="003765B7" w:rsidRPr="00044728" w:rsidRDefault="003765B7" w:rsidP="00EE0234">
            <w:pPr>
              <w:spacing w:after="0" w:line="240" w:lineRule="auto"/>
              <w:jc w:val="both"/>
              <w:rPr>
                <w:rFonts w:ascii="Times New Roman" w:eastAsia="Times New Roman" w:hAnsi="Times New Roman" w:cs="Times New Roman"/>
                <w:b/>
                <w:bCs/>
                <w:kern w:val="0"/>
                <w14:ligatures w14:val="none"/>
              </w:rPr>
            </w:pPr>
            <w:proofErr w:type="spellStart"/>
            <w:r w:rsidRPr="00044728">
              <w:rPr>
                <w:rFonts w:ascii="Times New Roman" w:eastAsia="Times New Roman" w:hAnsi="Times New Roman" w:cs="Times New Roman"/>
                <w:b/>
                <w:bCs/>
                <w:kern w:val="0"/>
                <w14:ligatures w14:val="none"/>
              </w:rPr>
              <w:t>Df</w:t>
            </w:r>
            <w:proofErr w:type="spellEnd"/>
          </w:p>
        </w:tc>
        <w:tc>
          <w:tcPr>
            <w:tcW w:w="2268" w:type="dxa"/>
            <w:tcBorders>
              <w:top w:val="single" w:sz="4" w:space="0" w:color="auto"/>
              <w:left w:val="nil"/>
              <w:bottom w:val="single" w:sz="4" w:space="0" w:color="auto"/>
              <w:right w:val="nil"/>
            </w:tcBorders>
            <w:vAlign w:val="center"/>
            <w:hideMark/>
          </w:tcPr>
          <w:p w14:paraId="392317FA" w14:textId="77777777" w:rsidR="003765B7" w:rsidRPr="00044728" w:rsidRDefault="003765B7"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p-value</w:t>
            </w:r>
          </w:p>
        </w:tc>
        <w:tc>
          <w:tcPr>
            <w:tcW w:w="1418" w:type="dxa"/>
            <w:tcBorders>
              <w:top w:val="single" w:sz="4" w:space="0" w:color="auto"/>
              <w:left w:val="nil"/>
              <w:bottom w:val="single" w:sz="4" w:space="0" w:color="auto"/>
              <w:right w:val="nil"/>
            </w:tcBorders>
            <w:vAlign w:val="center"/>
            <w:hideMark/>
          </w:tcPr>
          <w:p w14:paraId="125BA9DD" w14:textId="77777777" w:rsidR="003765B7" w:rsidRPr="00044728" w:rsidRDefault="003765B7"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Decision</w:t>
            </w:r>
          </w:p>
        </w:tc>
      </w:tr>
      <w:tr w:rsidR="003765B7" w:rsidRPr="00044728" w14:paraId="01764A1F" w14:textId="77777777" w:rsidTr="003765B7">
        <w:trPr>
          <w:trHeight w:val="1260"/>
        </w:trPr>
        <w:tc>
          <w:tcPr>
            <w:tcW w:w="1128" w:type="dxa"/>
            <w:tcBorders>
              <w:top w:val="single" w:sz="4" w:space="0" w:color="auto"/>
              <w:left w:val="nil"/>
              <w:bottom w:val="single" w:sz="4" w:space="0" w:color="auto"/>
              <w:right w:val="nil"/>
            </w:tcBorders>
            <w:vAlign w:val="center"/>
            <w:hideMark/>
          </w:tcPr>
          <w:p w14:paraId="77072C30" w14:textId="77777777" w:rsidR="003765B7" w:rsidRPr="00044728" w:rsidRDefault="003765B7"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Multivariate ARCH-LM Test</w:t>
            </w:r>
          </w:p>
        </w:tc>
        <w:tc>
          <w:tcPr>
            <w:tcW w:w="1560" w:type="dxa"/>
            <w:tcBorders>
              <w:top w:val="single" w:sz="4" w:space="0" w:color="auto"/>
              <w:left w:val="nil"/>
              <w:bottom w:val="single" w:sz="4" w:space="0" w:color="auto"/>
              <w:right w:val="nil"/>
            </w:tcBorders>
            <w:vAlign w:val="center"/>
            <w:hideMark/>
          </w:tcPr>
          <w:p w14:paraId="69371908" w14:textId="77777777" w:rsidR="003765B7" w:rsidRPr="00044728" w:rsidRDefault="003765B7"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2216.1</w:t>
            </w:r>
          </w:p>
        </w:tc>
        <w:tc>
          <w:tcPr>
            <w:tcW w:w="850" w:type="dxa"/>
            <w:tcBorders>
              <w:top w:val="single" w:sz="4" w:space="0" w:color="auto"/>
              <w:left w:val="nil"/>
              <w:bottom w:val="single" w:sz="4" w:space="0" w:color="auto"/>
              <w:right w:val="nil"/>
            </w:tcBorders>
            <w:vAlign w:val="center"/>
            <w:hideMark/>
          </w:tcPr>
          <w:p w14:paraId="01C841D2" w14:textId="77777777" w:rsidR="003765B7" w:rsidRPr="00044728" w:rsidRDefault="003765B7"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975</w:t>
            </w:r>
          </w:p>
        </w:tc>
        <w:tc>
          <w:tcPr>
            <w:tcW w:w="2268" w:type="dxa"/>
            <w:tcBorders>
              <w:top w:val="single" w:sz="4" w:space="0" w:color="auto"/>
              <w:left w:val="nil"/>
              <w:bottom w:val="single" w:sz="4" w:space="0" w:color="auto"/>
              <w:right w:val="nil"/>
            </w:tcBorders>
            <w:vAlign w:val="center"/>
            <w:hideMark/>
          </w:tcPr>
          <w:p w14:paraId="7A91B6B4" w14:textId="77777777" w:rsidR="003765B7" w:rsidRPr="00044728" w:rsidRDefault="003765B7"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1418" w:type="dxa"/>
            <w:tcBorders>
              <w:top w:val="single" w:sz="4" w:space="0" w:color="auto"/>
              <w:left w:val="nil"/>
              <w:bottom w:val="single" w:sz="4" w:space="0" w:color="auto"/>
              <w:right w:val="nil"/>
            </w:tcBorders>
            <w:vAlign w:val="center"/>
            <w:hideMark/>
          </w:tcPr>
          <w:p w14:paraId="431B180C" w14:textId="77777777" w:rsidR="003765B7" w:rsidRPr="00044728" w:rsidRDefault="003765B7"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Reject H₀</w:t>
            </w:r>
          </w:p>
        </w:tc>
      </w:tr>
    </w:tbl>
    <w:p w14:paraId="32063EDC" w14:textId="77777777" w:rsidR="003765B7" w:rsidRPr="00044728" w:rsidRDefault="003765B7" w:rsidP="00EE0234">
      <w:pPr>
        <w:spacing w:after="0" w:line="36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xml:space="preserve">The Joint ARCH-LM test was conducted to determine whether significant autoregressive conditional heteroskedasticity (ARCH) effects exist jointly among the variables in the multivariate </w:t>
      </w:r>
      <w:r w:rsidRPr="00044728">
        <w:rPr>
          <w:rFonts w:ascii="Times New Roman" w:eastAsia="Times New Roman" w:hAnsi="Times New Roman" w:cs="Times New Roman"/>
          <w:kern w:val="0"/>
          <w14:ligatures w14:val="none"/>
        </w:rPr>
        <w:lastRenderedPageBreak/>
        <w:t>model. The test produced a Chi-square statistic of 2,216.1 with 975 degrees of freedom and a p-value of 0.0000. Since the p-value of 0.0000 is less than the 5% significance level (α = 0.05), the null hypothesis (H₀) of no ARCH effects in the multivariate residuals is rejected. This indicates that the residual series exhibit significant conditional heteroskedasticity and volatility clustering across the variables considered.</w:t>
      </w:r>
    </w:p>
    <w:p w14:paraId="34A64F39" w14:textId="77777777" w:rsidR="003765B7" w:rsidRPr="00044728" w:rsidRDefault="003765B7" w:rsidP="00EE0234">
      <w:pPr>
        <w:pBdr>
          <w:top w:val="single" w:sz="6" w:space="1" w:color="auto"/>
        </w:pBdr>
        <w:spacing w:after="0" w:line="240" w:lineRule="auto"/>
        <w:jc w:val="both"/>
        <w:rPr>
          <w:rFonts w:ascii="Times New Roman" w:eastAsia="Times New Roman" w:hAnsi="Times New Roman" w:cs="Times New Roman"/>
          <w:vanish/>
          <w:kern w:val="0"/>
          <w14:ligatures w14:val="none"/>
        </w:rPr>
      </w:pPr>
      <w:r w:rsidRPr="00044728">
        <w:rPr>
          <w:rFonts w:ascii="Times New Roman" w:eastAsia="Times New Roman" w:hAnsi="Times New Roman" w:cs="Times New Roman"/>
          <w:vanish/>
          <w:kern w:val="0"/>
          <w14:ligatures w14:val="none"/>
        </w:rPr>
        <w:t>Bottom of Form</w:t>
      </w:r>
    </w:p>
    <w:p w14:paraId="6B39FFC1" w14:textId="77777777" w:rsidR="00B137B1" w:rsidRPr="00044728" w:rsidRDefault="00367204" w:rsidP="00EE0234">
      <w:pPr>
        <w:spacing w:after="0"/>
        <w:jc w:val="both"/>
        <w:rPr>
          <w:rFonts w:ascii="Times New Roman" w:hAnsi="Times New Roman" w:cs="Times New Roman"/>
          <w:b/>
          <w:bCs/>
        </w:rPr>
      </w:pPr>
      <w:r w:rsidRPr="00044728">
        <w:rPr>
          <w:rFonts w:ascii="Times New Roman" w:hAnsi="Times New Roman" w:cs="Times New Roman"/>
          <w:b/>
          <w:bCs/>
        </w:rPr>
        <w:t>Table 3</w:t>
      </w:r>
      <w:r w:rsidR="00B137B1" w:rsidRPr="00044728">
        <w:rPr>
          <w:rFonts w:ascii="Times New Roman" w:hAnsi="Times New Roman" w:cs="Times New Roman"/>
          <w:b/>
          <w:bCs/>
        </w:rPr>
        <w:t>: VAR Lag Order Selection Criteria</w:t>
      </w:r>
    </w:p>
    <w:tbl>
      <w:tblPr>
        <w:tblW w:w="8926" w:type="dxa"/>
        <w:tblBorders>
          <w:top w:val="single" w:sz="4" w:space="0" w:color="auto"/>
          <w:bottom w:val="single" w:sz="4" w:space="0" w:color="auto"/>
        </w:tblBorders>
        <w:tblLook w:val="04A0" w:firstRow="1" w:lastRow="0" w:firstColumn="1" w:lastColumn="0" w:noHBand="0" w:noVBand="1"/>
      </w:tblPr>
      <w:tblGrid>
        <w:gridCol w:w="1129"/>
        <w:gridCol w:w="1481"/>
        <w:gridCol w:w="1530"/>
        <w:gridCol w:w="1620"/>
        <w:gridCol w:w="3166"/>
      </w:tblGrid>
      <w:tr w:rsidR="00D2267E" w:rsidRPr="00044728" w14:paraId="0714E6CE" w14:textId="77777777" w:rsidTr="00583008">
        <w:trPr>
          <w:trHeight w:val="300"/>
        </w:trPr>
        <w:tc>
          <w:tcPr>
            <w:tcW w:w="1129" w:type="dxa"/>
            <w:tcBorders>
              <w:top w:val="single" w:sz="4" w:space="0" w:color="auto"/>
              <w:left w:val="nil"/>
              <w:bottom w:val="single" w:sz="4" w:space="0" w:color="auto"/>
              <w:right w:val="nil"/>
            </w:tcBorders>
            <w:vAlign w:val="center"/>
            <w:hideMark/>
          </w:tcPr>
          <w:p w14:paraId="2B158098" w14:textId="77777777" w:rsidR="00D2267E" w:rsidRPr="00044728" w:rsidRDefault="00D2267E" w:rsidP="00D2267E">
            <w:pPr>
              <w:spacing w:after="0"/>
              <w:jc w:val="both"/>
              <w:rPr>
                <w:rFonts w:ascii="Times New Roman" w:hAnsi="Times New Roman" w:cs="Times New Roman"/>
                <w:b/>
                <w:bCs/>
              </w:rPr>
            </w:pPr>
            <w:r w:rsidRPr="00044728">
              <w:rPr>
                <w:rFonts w:ascii="Times New Roman" w:hAnsi="Times New Roman" w:cs="Times New Roman"/>
                <w:b/>
                <w:bCs/>
              </w:rPr>
              <w:t>Lag</w:t>
            </w:r>
          </w:p>
        </w:tc>
        <w:tc>
          <w:tcPr>
            <w:tcW w:w="1481" w:type="dxa"/>
            <w:tcBorders>
              <w:top w:val="single" w:sz="4" w:space="0" w:color="auto"/>
              <w:left w:val="nil"/>
              <w:bottom w:val="single" w:sz="4" w:space="0" w:color="auto"/>
              <w:right w:val="nil"/>
            </w:tcBorders>
            <w:vAlign w:val="center"/>
            <w:hideMark/>
          </w:tcPr>
          <w:p w14:paraId="72F3119F" w14:textId="77777777" w:rsidR="00D2267E" w:rsidRPr="00044728" w:rsidRDefault="00D2267E" w:rsidP="00D2267E">
            <w:pPr>
              <w:spacing w:after="0"/>
              <w:jc w:val="both"/>
              <w:rPr>
                <w:rFonts w:ascii="Times New Roman" w:hAnsi="Times New Roman" w:cs="Times New Roman"/>
                <w:b/>
                <w:bCs/>
              </w:rPr>
            </w:pPr>
            <w:r w:rsidRPr="00044728">
              <w:rPr>
                <w:rFonts w:ascii="Times New Roman" w:hAnsi="Times New Roman" w:cs="Times New Roman"/>
                <w:b/>
                <w:bCs/>
              </w:rPr>
              <w:t>AIC</w:t>
            </w:r>
          </w:p>
        </w:tc>
        <w:tc>
          <w:tcPr>
            <w:tcW w:w="1530" w:type="dxa"/>
            <w:tcBorders>
              <w:top w:val="single" w:sz="4" w:space="0" w:color="auto"/>
              <w:left w:val="nil"/>
              <w:bottom w:val="single" w:sz="4" w:space="0" w:color="auto"/>
              <w:right w:val="nil"/>
            </w:tcBorders>
            <w:vAlign w:val="center"/>
            <w:hideMark/>
          </w:tcPr>
          <w:p w14:paraId="71F7E8C2" w14:textId="77777777" w:rsidR="00D2267E" w:rsidRPr="00044728" w:rsidRDefault="00D2267E" w:rsidP="00D2267E">
            <w:pPr>
              <w:spacing w:after="0"/>
              <w:jc w:val="both"/>
              <w:rPr>
                <w:rFonts w:ascii="Times New Roman" w:hAnsi="Times New Roman" w:cs="Times New Roman"/>
                <w:b/>
                <w:bCs/>
              </w:rPr>
            </w:pPr>
            <w:r w:rsidRPr="00044728">
              <w:rPr>
                <w:rFonts w:ascii="Times New Roman" w:hAnsi="Times New Roman" w:cs="Times New Roman"/>
                <w:b/>
                <w:bCs/>
              </w:rPr>
              <w:t>HQ</w:t>
            </w:r>
          </w:p>
        </w:tc>
        <w:tc>
          <w:tcPr>
            <w:tcW w:w="1620" w:type="dxa"/>
            <w:tcBorders>
              <w:top w:val="single" w:sz="4" w:space="0" w:color="auto"/>
              <w:left w:val="nil"/>
              <w:bottom w:val="single" w:sz="4" w:space="0" w:color="auto"/>
              <w:right w:val="nil"/>
            </w:tcBorders>
            <w:vAlign w:val="center"/>
            <w:hideMark/>
          </w:tcPr>
          <w:p w14:paraId="4EA95F2D" w14:textId="77777777" w:rsidR="00D2267E" w:rsidRPr="00044728" w:rsidRDefault="00D2267E" w:rsidP="00D2267E">
            <w:pPr>
              <w:spacing w:after="0"/>
              <w:jc w:val="both"/>
              <w:rPr>
                <w:rFonts w:ascii="Times New Roman" w:hAnsi="Times New Roman" w:cs="Times New Roman"/>
                <w:b/>
                <w:bCs/>
              </w:rPr>
            </w:pPr>
            <w:r w:rsidRPr="00044728">
              <w:rPr>
                <w:rFonts w:ascii="Times New Roman" w:hAnsi="Times New Roman" w:cs="Times New Roman"/>
                <w:b/>
                <w:bCs/>
              </w:rPr>
              <w:t>SC (BIC)</w:t>
            </w:r>
          </w:p>
        </w:tc>
        <w:tc>
          <w:tcPr>
            <w:tcW w:w="3166" w:type="dxa"/>
            <w:tcBorders>
              <w:top w:val="single" w:sz="4" w:space="0" w:color="auto"/>
              <w:left w:val="nil"/>
              <w:bottom w:val="single" w:sz="4" w:space="0" w:color="auto"/>
              <w:right w:val="nil"/>
            </w:tcBorders>
            <w:vAlign w:val="center"/>
            <w:hideMark/>
          </w:tcPr>
          <w:p w14:paraId="52B50F33" w14:textId="77777777" w:rsidR="00D2267E" w:rsidRPr="00044728" w:rsidRDefault="00D2267E" w:rsidP="00D2267E">
            <w:pPr>
              <w:spacing w:after="0"/>
              <w:jc w:val="both"/>
              <w:rPr>
                <w:rFonts w:ascii="Times New Roman" w:hAnsi="Times New Roman" w:cs="Times New Roman"/>
                <w:b/>
                <w:bCs/>
              </w:rPr>
            </w:pPr>
            <w:r w:rsidRPr="00044728">
              <w:rPr>
                <w:rFonts w:ascii="Times New Roman" w:hAnsi="Times New Roman" w:cs="Times New Roman"/>
                <w:b/>
                <w:bCs/>
              </w:rPr>
              <w:t>FPE</w:t>
            </w:r>
          </w:p>
        </w:tc>
      </w:tr>
      <w:tr w:rsidR="00044728" w:rsidRPr="00044728" w14:paraId="646324A5" w14:textId="77777777" w:rsidTr="00583008">
        <w:trPr>
          <w:trHeight w:val="600"/>
        </w:trPr>
        <w:tc>
          <w:tcPr>
            <w:tcW w:w="1129" w:type="dxa"/>
            <w:tcBorders>
              <w:top w:val="single" w:sz="4" w:space="0" w:color="auto"/>
              <w:left w:val="nil"/>
              <w:bottom w:val="nil"/>
              <w:right w:val="nil"/>
            </w:tcBorders>
            <w:vAlign w:val="center"/>
            <w:hideMark/>
          </w:tcPr>
          <w:p w14:paraId="47E7270E"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1</w:t>
            </w:r>
          </w:p>
        </w:tc>
        <w:tc>
          <w:tcPr>
            <w:tcW w:w="1481" w:type="dxa"/>
            <w:tcBorders>
              <w:top w:val="single" w:sz="4" w:space="0" w:color="auto"/>
              <w:left w:val="nil"/>
              <w:bottom w:val="nil"/>
              <w:right w:val="nil"/>
            </w:tcBorders>
            <w:vAlign w:val="center"/>
            <w:hideMark/>
          </w:tcPr>
          <w:p w14:paraId="09D22319"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-3.7936*</w:t>
            </w:r>
          </w:p>
        </w:tc>
        <w:tc>
          <w:tcPr>
            <w:tcW w:w="1530" w:type="dxa"/>
            <w:tcBorders>
              <w:top w:val="single" w:sz="4" w:space="0" w:color="auto"/>
              <w:left w:val="nil"/>
              <w:bottom w:val="nil"/>
              <w:right w:val="nil"/>
            </w:tcBorders>
            <w:vAlign w:val="center"/>
            <w:hideMark/>
          </w:tcPr>
          <w:p w14:paraId="5D9935D8"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-3.7704*</w:t>
            </w:r>
          </w:p>
        </w:tc>
        <w:tc>
          <w:tcPr>
            <w:tcW w:w="1620" w:type="dxa"/>
            <w:tcBorders>
              <w:top w:val="single" w:sz="4" w:space="0" w:color="auto"/>
              <w:left w:val="nil"/>
              <w:bottom w:val="nil"/>
              <w:right w:val="nil"/>
            </w:tcBorders>
            <w:vAlign w:val="center"/>
            <w:hideMark/>
          </w:tcPr>
          <w:p w14:paraId="59B38F69"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-3.7280*</w:t>
            </w:r>
          </w:p>
        </w:tc>
        <w:tc>
          <w:tcPr>
            <w:tcW w:w="3166" w:type="dxa"/>
            <w:tcBorders>
              <w:top w:val="single" w:sz="4" w:space="0" w:color="auto"/>
              <w:left w:val="nil"/>
              <w:bottom w:val="nil"/>
              <w:right w:val="nil"/>
            </w:tcBorders>
            <w:vAlign w:val="center"/>
            <w:hideMark/>
          </w:tcPr>
          <w:p w14:paraId="58919738"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0.022514*</w:t>
            </w:r>
          </w:p>
        </w:tc>
      </w:tr>
      <w:tr w:rsidR="00044728" w:rsidRPr="00044728" w14:paraId="050EEF5D" w14:textId="77777777" w:rsidTr="00583008">
        <w:trPr>
          <w:trHeight w:val="300"/>
        </w:trPr>
        <w:tc>
          <w:tcPr>
            <w:tcW w:w="1129" w:type="dxa"/>
            <w:tcBorders>
              <w:top w:val="nil"/>
              <w:left w:val="nil"/>
              <w:bottom w:val="nil"/>
              <w:right w:val="nil"/>
            </w:tcBorders>
            <w:vAlign w:val="center"/>
            <w:hideMark/>
          </w:tcPr>
          <w:p w14:paraId="4A81BDF5"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2</w:t>
            </w:r>
          </w:p>
        </w:tc>
        <w:tc>
          <w:tcPr>
            <w:tcW w:w="1481" w:type="dxa"/>
            <w:tcBorders>
              <w:top w:val="nil"/>
              <w:left w:val="nil"/>
              <w:bottom w:val="nil"/>
              <w:right w:val="nil"/>
            </w:tcBorders>
            <w:vAlign w:val="center"/>
            <w:hideMark/>
          </w:tcPr>
          <w:p w14:paraId="6E614F0C"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-3.7847</w:t>
            </w:r>
          </w:p>
        </w:tc>
        <w:tc>
          <w:tcPr>
            <w:tcW w:w="1530" w:type="dxa"/>
            <w:tcBorders>
              <w:top w:val="nil"/>
              <w:left w:val="nil"/>
              <w:bottom w:val="nil"/>
              <w:right w:val="nil"/>
            </w:tcBorders>
            <w:vAlign w:val="center"/>
            <w:hideMark/>
          </w:tcPr>
          <w:p w14:paraId="2622608B"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-3.7416</w:t>
            </w:r>
          </w:p>
        </w:tc>
        <w:tc>
          <w:tcPr>
            <w:tcW w:w="1620" w:type="dxa"/>
            <w:tcBorders>
              <w:top w:val="nil"/>
              <w:left w:val="nil"/>
              <w:bottom w:val="nil"/>
              <w:right w:val="nil"/>
            </w:tcBorders>
            <w:vAlign w:val="center"/>
            <w:hideMark/>
          </w:tcPr>
          <w:p w14:paraId="0FDE7E9A"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-3.6629</w:t>
            </w:r>
          </w:p>
        </w:tc>
        <w:tc>
          <w:tcPr>
            <w:tcW w:w="3166" w:type="dxa"/>
            <w:tcBorders>
              <w:top w:val="nil"/>
              <w:left w:val="nil"/>
              <w:bottom w:val="nil"/>
              <w:right w:val="nil"/>
            </w:tcBorders>
            <w:vAlign w:val="center"/>
            <w:hideMark/>
          </w:tcPr>
          <w:p w14:paraId="65ABA612"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0.022716</w:t>
            </w:r>
          </w:p>
        </w:tc>
      </w:tr>
      <w:tr w:rsidR="00044728" w:rsidRPr="00044728" w14:paraId="1ACC56F8" w14:textId="77777777" w:rsidTr="00583008">
        <w:trPr>
          <w:trHeight w:val="300"/>
        </w:trPr>
        <w:tc>
          <w:tcPr>
            <w:tcW w:w="1129" w:type="dxa"/>
            <w:tcBorders>
              <w:top w:val="nil"/>
              <w:left w:val="nil"/>
              <w:bottom w:val="nil"/>
              <w:right w:val="nil"/>
            </w:tcBorders>
            <w:vAlign w:val="center"/>
            <w:hideMark/>
          </w:tcPr>
          <w:p w14:paraId="290168B3"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w:t>
            </w:r>
          </w:p>
        </w:tc>
        <w:tc>
          <w:tcPr>
            <w:tcW w:w="1481" w:type="dxa"/>
            <w:tcBorders>
              <w:top w:val="nil"/>
              <w:left w:val="nil"/>
              <w:bottom w:val="nil"/>
              <w:right w:val="nil"/>
            </w:tcBorders>
            <w:vAlign w:val="center"/>
            <w:hideMark/>
          </w:tcPr>
          <w:p w14:paraId="361A716C"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-3.7798</w:t>
            </w:r>
          </w:p>
        </w:tc>
        <w:tc>
          <w:tcPr>
            <w:tcW w:w="1530" w:type="dxa"/>
            <w:tcBorders>
              <w:top w:val="nil"/>
              <w:left w:val="nil"/>
              <w:bottom w:val="nil"/>
              <w:right w:val="nil"/>
            </w:tcBorders>
            <w:vAlign w:val="center"/>
            <w:hideMark/>
          </w:tcPr>
          <w:p w14:paraId="2F7E0045"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-3.7167</w:t>
            </w:r>
          </w:p>
        </w:tc>
        <w:tc>
          <w:tcPr>
            <w:tcW w:w="1620" w:type="dxa"/>
            <w:tcBorders>
              <w:top w:val="nil"/>
              <w:left w:val="nil"/>
              <w:bottom w:val="nil"/>
              <w:right w:val="nil"/>
            </w:tcBorders>
            <w:vAlign w:val="center"/>
            <w:hideMark/>
          </w:tcPr>
          <w:p w14:paraId="0FDD2E36"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-3.6018</w:t>
            </w:r>
          </w:p>
        </w:tc>
        <w:tc>
          <w:tcPr>
            <w:tcW w:w="3166" w:type="dxa"/>
            <w:tcBorders>
              <w:top w:val="nil"/>
              <w:left w:val="nil"/>
              <w:bottom w:val="nil"/>
              <w:right w:val="nil"/>
            </w:tcBorders>
            <w:vAlign w:val="center"/>
            <w:hideMark/>
          </w:tcPr>
          <w:p w14:paraId="33428A9C"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0.022827</w:t>
            </w:r>
          </w:p>
        </w:tc>
      </w:tr>
      <w:tr w:rsidR="00044728" w:rsidRPr="00044728" w14:paraId="1191A944" w14:textId="77777777" w:rsidTr="00583008">
        <w:trPr>
          <w:trHeight w:val="300"/>
        </w:trPr>
        <w:tc>
          <w:tcPr>
            <w:tcW w:w="1129" w:type="dxa"/>
            <w:tcBorders>
              <w:top w:val="nil"/>
              <w:left w:val="nil"/>
              <w:bottom w:val="nil"/>
              <w:right w:val="nil"/>
            </w:tcBorders>
            <w:vAlign w:val="center"/>
            <w:hideMark/>
          </w:tcPr>
          <w:p w14:paraId="2C3128D5"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4</w:t>
            </w:r>
          </w:p>
        </w:tc>
        <w:tc>
          <w:tcPr>
            <w:tcW w:w="1481" w:type="dxa"/>
            <w:tcBorders>
              <w:top w:val="nil"/>
              <w:left w:val="nil"/>
              <w:bottom w:val="nil"/>
              <w:right w:val="nil"/>
            </w:tcBorders>
            <w:vAlign w:val="center"/>
            <w:hideMark/>
          </w:tcPr>
          <w:p w14:paraId="74F84AD1"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-3.7744</w:t>
            </w:r>
          </w:p>
        </w:tc>
        <w:tc>
          <w:tcPr>
            <w:tcW w:w="1530" w:type="dxa"/>
            <w:tcBorders>
              <w:top w:val="nil"/>
              <w:left w:val="nil"/>
              <w:bottom w:val="nil"/>
              <w:right w:val="nil"/>
            </w:tcBorders>
            <w:vAlign w:val="center"/>
            <w:hideMark/>
          </w:tcPr>
          <w:p w14:paraId="745B3327"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-3.6914</w:t>
            </w:r>
          </w:p>
        </w:tc>
        <w:tc>
          <w:tcPr>
            <w:tcW w:w="1620" w:type="dxa"/>
            <w:tcBorders>
              <w:top w:val="nil"/>
              <w:left w:val="nil"/>
              <w:bottom w:val="nil"/>
              <w:right w:val="nil"/>
            </w:tcBorders>
            <w:vAlign w:val="center"/>
            <w:hideMark/>
          </w:tcPr>
          <w:p w14:paraId="69C6497D"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-3.5402</w:t>
            </w:r>
          </w:p>
        </w:tc>
        <w:tc>
          <w:tcPr>
            <w:tcW w:w="3166" w:type="dxa"/>
            <w:tcBorders>
              <w:top w:val="nil"/>
              <w:left w:val="nil"/>
              <w:bottom w:val="nil"/>
              <w:right w:val="nil"/>
            </w:tcBorders>
            <w:vAlign w:val="center"/>
            <w:hideMark/>
          </w:tcPr>
          <w:p w14:paraId="76FE3705"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0.022951</w:t>
            </w:r>
          </w:p>
        </w:tc>
      </w:tr>
      <w:tr w:rsidR="00044728" w:rsidRPr="00044728" w14:paraId="0F31FCF2" w14:textId="77777777" w:rsidTr="00583008">
        <w:trPr>
          <w:trHeight w:val="300"/>
        </w:trPr>
        <w:tc>
          <w:tcPr>
            <w:tcW w:w="1129" w:type="dxa"/>
            <w:tcBorders>
              <w:top w:val="nil"/>
              <w:left w:val="nil"/>
              <w:bottom w:val="nil"/>
              <w:right w:val="nil"/>
            </w:tcBorders>
            <w:vAlign w:val="center"/>
            <w:hideMark/>
          </w:tcPr>
          <w:p w14:paraId="1C173F4A"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5</w:t>
            </w:r>
          </w:p>
        </w:tc>
        <w:tc>
          <w:tcPr>
            <w:tcW w:w="1481" w:type="dxa"/>
            <w:tcBorders>
              <w:top w:val="nil"/>
              <w:left w:val="nil"/>
              <w:bottom w:val="nil"/>
              <w:right w:val="nil"/>
            </w:tcBorders>
            <w:vAlign w:val="center"/>
            <w:hideMark/>
          </w:tcPr>
          <w:p w14:paraId="42E3CC74"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-3.7693</w:t>
            </w:r>
          </w:p>
        </w:tc>
        <w:tc>
          <w:tcPr>
            <w:tcW w:w="1530" w:type="dxa"/>
            <w:tcBorders>
              <w:top w:val="nil"/>
              <w:left w:val="nil"/>
              <w:bottom w:val="nil"/>
              <w:right w:val="nil"/>
            </w:tcBorders>
            <w:vAlign w:val="center"/>
            <w:hideMark/>
          </w:tcPr>
          <w:p w14:paraId="38275E6D"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-3.6665</w:t>
            </w:r>
          </w:p>
        </w:tc>
        <w:tc>
          <w:tcPr>
            <w:tcW w:w="1620" w:type="dxa"/>
            <w:tcBorders>
              <w:top w:val="nil"/>
              <w:left w:val="nil"/>
              <w:bottom w:val="nil"/>
              <w:right w:val="nil"/>
            </w:tcBorders>
            <w:vAlign w:val="center"/>
            <w:hideMark/>
          </w:tcPr>
          <w:p w14:paraId="595E3EBB"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-3.479</w:t>
            </w:r>
          </w:p>
        </w:tc>
        <w:tc>
          <w:tcPr>
            <w:tcW w:w="3166" w:type="dxa"/>
            <w:tcBorders>
              <w:top w:val="nil"/>
              <w:left w:val="nil"/>
              <w:bottom w:val="nil"/>
              <w:right w:val="nil"/>
            </w:tcBorders>
            <w:vAlign w:val="center"/>
            <w:hideMark/>
          </w:tcPr>
          <w:p w14:paraId="0F99828C"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0.023067</w:t>
            </w:r>
          </w:p>
        </w:tc>
      </w:tr>
      <w:tr w:rsidR="00044728" w:rsidRPr="00044728" w14:paraId="2871031F" w14:textId="77777777" w:rsidTr="00583008">
        <w:trPr>
          <w:trHeight w:val="300"/>
        </w:trPr>
        <w:tc>
          <w:tcPr>
            <w:tcW w:w="1129" w:type="dxa"/>
            <w:tcBorders>
              <w:top w:val="nil"/>
              <w:left w:val="nil"/>
              <w:bottom w:val="nil"/>
              <w:right w:val="nil"/>
            </w:tcBorders>
            <w:vAlign w:val="center"/>
            <w:hideMark/>
          </w:tcPr>
          <w:p w14:paraId="0BC1795A"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6</w:t>
            </w:r>
          </w:p>
        </w:tc>
        <w:tc>
          <w:tcPr>
            <w:tcW w:w="1481" w:type="dxa"/>
            <w:tcBorders>
              <w:top w:val="nil"/>
              <w:left w:val="nil"/>
              <w:bottom w:val="nil"/>
              <w:right w:val="nil"/>
            </w:tcBorders>
            <w:vAlign w:val="center"/>
            <w:hideMark/>
          </w:tcPr>
          <w:p w14:paraId="18593655"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-3.7657</w:t>
            </w:r>
          </w:p>
        </w:tc>
        <w:tc>
          <w:tcPr>
            <w:tcW w:w="1530" w:type="dxa"/>
            <w:tcBorders>
              <w:top w:val="nil"/>
              <w:left w:val="nil"/>
              <w:bottom w:val="nil"/>
              <w:right w:val="nil"/>
            </w:tcBorders>
            <w:vAlign w:val="center"/>
            <w:hideMark/>
          </w:tcPr>
          <w:p w14:paraId="31861D0B"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-3.6429</w:t>
            </w:r>
          </w:p>
        </w:tc>
        <w:tc>
          <w:tcPr>
            <w:tcW w:w="1620" w:type="dxa"/>
            <w:tcBorders>
              <w:top w:val="nil"/>
              <w:left w:val="nil"/>
              <w:bottom w:val="nil"/>
              <w:right w:val="nil"/>
            </w:tcBorders>
            <w:vAlign w:val="center"/>
            <w:hideMark/>
          </w:tcPr>
          <w:p w14:paraId="0114F163"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-3.4191</w:t>
            </w:r>
          </w:p>
        </w:tc>
        <w:tc>
          <w:tcPr>
            <w:tcW w:w="3166" w:type="dxa"/>
            <w:tcBorders>
              <w:top w:val="nil"/>
              <w:left w:val="nil"/>
              <w:bottom w:val="nil"/>
              <w:right w:val="nil"/>
            </w:tcBorders>
            <w:vAlign w:val="center"/>
            <w:hideMark/>
          </w:tcPr>
          <w:p w14:paraId="1B7D13E5"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0.023152</w:t>
            </w:r>
          </w:p>
        </w:tc>
      </w:tr>
      <w:tr w:rsidR="00044728" w:rsidRPr="00044728" w14:paraId="1D45A944" w14:textId="77777777" w:rsidTr="00583008">
        <w:trPr>
          <w:trHeight w:val="300"/>
        </w:trPr>
        <w:tc>
          <w:tcPr>
            <w:tcW w:w="1129" w:type="dxa"/>
            <w:tcBorders>
              <w:top w:val="nil"/>
              <w:left w:val="nil"/>
              <w:bottom w:val="nil"/>
              <w:right w:val="nil"/>
            </w:tcBorders>
            <w:vAlign w:val="center"/>
            <w:hideMark/>
          </w:tcPr>
          <w:p w14:paraId="129193D2"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7</w:t>
            </w:r>
          </w:p>
        </w:tc>
        <w:tc>
          <w:tcPr>
            <w:tcW w:w="1481" w:type="dxa"/>
            <w:tcBorders>
              <w:top w:val="nil"/>
              <w:left w:val="nil"/>
              <w:bottom w:val="nil"/>
              <w:right w:val="nil"/>
            </w:tcBorders>
            <w:vAlign w:val="center"/>
            <w:hideMark/>
          </w:tcPr>
          <w:p w14:paraId="75E0890F"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-3.7574</w:t>
            </w:r>
          </w:p>
        </w:tc>
        <w:tc>
          <w:tcPr>
            <w:tcW w:w="1530" w:type="dxa"/>
            <w:tcBorders>
              <w:top w:val="nil"/>
              <w:left w:val="nil"/>
              <w:bottom w:val="nil"/>
              <w:right w:val="nil"/>
            </w:tcBorders>
            <w:vAlign w:val="center"/>
            <w:hideMark/>
          </w:tcPr>
          <w:p w14:paraId="41F6FB9F"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-3.6147</w:t>
            </w:r>
          </w:p>
        </w:tc>
        <w:tc>
          <w:tcPr>
            <w:tcW w:w="1620" w:type="dxa"/>
            <w:tcBorders>
              <w:top w:val="nil"/>
              <w:left w:val="nil"/>
              <w:bottom w:val="nil"/>
              <w:right w:val="nil"/>
            </w:tcBorders>
            <w:vAlign w:val="center"/>
            <w:hideMark/>
          </w:tcPr>
          <w:p w14:paraId="3B1FEC09"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-3.3547</w:t>
            </w:r>
          </w:p>
        </w:tc>
        <w:tc>
          <w:tcPr>
            <w:tcW w:w="3166" w:type="dxa"/>
            <w:tcBorders>
              <w:top w:val="nil"/>
              <w:left w:val="nil"/>
              <w:bottom w:val="nil"/>
              <w:right w:val="nil"/>
            </w:tcBorders>
            <w:vAlign w:val="center"/>
            <w:hideMark/>
          </w:tcPr>
          <w:p w14:paraId="52AEF6FA"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0.023343</w:t>
            </w:r>
          </w:p>
        </w:tc>
      </w:tr>
      <w:tr w:rsidR="00044728" w:rsidRPr="00044728" w14:paraId="71815BA0" w14:textId="77777777" w:rsidTr="00583008">
        <w:trPr>
          <w:trHeight w:val="300"/>
        </w:trPr>
        <w:tc>
          <w:tcPr>
            <w:tcW w:w="1129" w:type="dxa"/>
            <w:tcBorders>
              <w:top w:val="nil"/>
              <w:left w:val="nil"/>
              <w:bottom w:val="nil"/>
              <w:right w:val="nil"/>
            </w:tcBorders>
            <w:vAlign w:val="center"/>
            <w:hideMark/>
          </w:tcPr>
          <w:p w14:paraId="147B6461"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8</w:t>
            </w:r>
          </w:p>
        </w:tc>
        <w:tc>
          <w:tcPr>
            <w:tcW w:w="1481" w:type="dxa"/>
            <w:tcBorders>
              <w:top w:val="nil"/>
              <w:left w:val="nil"/>
              <w:bottom w:val="nil"/>
              <w:right w:val="nil"/>
            </w:tcBorders>
            <w:vAlign w:val="center"/>
            <w:hideMark/>
          </w:tcPr>
          <w:p w14:paraId="5CC6AC70"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-3.7527</w:t>
            </w:r>
          </w:p>
        </w:tc>
        <w:tc>
          <w:tcPr>
            <w:tcW w:w="1530" w:type="dxa"/>
            <w:tcBorders>
              <w:top w:val="nil"/>
              <w:left w:val="nil"/>
              <w:bottom w:val="nil"/>
              <w:right w:val="nil"/>
            </w:tcBorders>
            <w:vAlign w:val="center"/>
            <w:hideMark/>
          </w:tcPr>
          <w:p w14:paraId="4CD21E4D"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-3.5901</w:t>
            </w:r>
          </w:p>
        </w:tc>
        <w:tc>
          <w:tcPr>
            <w:tcW w:w="1620" w:type="dxa"/>
            <w:tcBorders>
              <w:top w:val="nil"/>
              <w:left w:val="nil"/>
              <w:bottom w:val="nil"/>
              <w:right w:val="nil"/>
            </w:tcBorders>
            <w:vAlign w:val="center"/>
            <w:hideMark/>
          </w:tcPr>
          <w:p w14:paraId="33E1531B"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-3.2937</w:t>
            </w:r>
          </w:p>
        </w:tc>
        <w:tc>
          <w:tcPr>
            <w:tcW w:w="3166" w:type="dxa"/>
            <w:tcBorders>
              <w:top w:val="nil"/>
              <w:left w:val="nil"/>
              <w:bottom w:val="nil"/>
              <w:right w:val="nil"/>
            </w:tcBorders>
            <w:vAlign w:val="center"/>
            <w:hideMark/>
          </w:tcPr>
          <w:p w14:paraId="663DF232"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0.023455</w:t>
            </w:r>
          </w:p>
        </w:tc>
      </w:tr>
      <w:tr w:rsidR="00044728" w:rsidRPr="00044728" w14:paraId="27DDD31A" w14:textId="77777777" w:rsidTr="00583008">
        <w:trPr>
          <w:trHeight w:val="300"/>
        </w:trPr>
        <w:tc>
          <w:tcPr>
            <w:tcW w:w="1129" w:type="dxa"/>
            <w:tcBorders>
              <w:top w:val="nil"/>
              <w:left w:val="nil"/>
              <w:bottom w:val="nil"/>
              <w:right w:val="nil"/>
            </w:tcBorders>
            <w:vAlign w:val="center"/>
            <w:hideMark/>
          </w:tcPr>
          <w:p w14:paraId="0AA505CF"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9</w:t>
            </w:r>
          </w:p>
        </w:tc>
        <w:tc>
          <w:tcPr>
            <w:tcW w:w="1481" w:type="dxa"/>
            <w:tcBorders>
              <w:top w:val="nil"/>
              <w:left w:val="nil"/>
              <w:bottom w:val="nil"/>
              <w:right w:val="nil"/>
            </w:tcBorders>
            <w:vAlign w:val="center"/>
            <w:hideMark/>
          </w:tcPr>
          <w:p w14:paraId="77DC9343"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-3.7482</w:t>
            </w:r>
          </w:p>
        </w:tc>
        <w:tc>
          <w:tcPr>
            <w:tcW w:w="1530" w:type="dxa"/>
            <w:tcBorders>
              <w:top w:val="nil"/>
              <w:left w:val="nil"/>
              <w:bottom w:val="nil"/>
              <w:right w:val="nil"/>
            </w:tcBorders>
            <w:vAlign w:val="center"/>
            <w:hideMark/>
          </w:tcPr>
          <w:p w14:paraId="640A72F7"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-3.5657</w:t>
            </w:r>
          </w:p>
        </w:tc>
        <w:tc>
          <w:tcPr>
            <w:tcW w:w="1620" w:type="dxa"/>
            <w:tcBorders>
              <w:top w:val="nil"/>
              <w:left w:val="nil"/>
              <w:bottom w:val="nil"/>
              <w:right w:val="nil"/>
            </w:tcBorders>
            <w:vAlign w:val="center"/>
            <w:hideMark/>
          </w:tcPr>
          <w:p w14:paraId="7FE950DB"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-3.2331</w:t>
            </w:r>
          </w:p>
        </w:tc>
        <w:tc>
          <w:tcPr>
            <w:tcW w:w="3166" w:type="dxa"/>
            <w:tcBorders>
              <w:top w:val="nil"/>
              <w:left w:val="nil"/>
              <w:bottom w:val="nil"/>
              <w:right w:val="nil"/>
            </w:tcBorders>
            <w:vAlign w:val="center"/>
            <w:hideMark/>
          </w:tcPr>
          <w:p w14:paraId="34CFEDAD"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0.023559</w:t>
            </w:r>
          </w:p>
        </w:tc>
      </w:tr>
      <w:tr w:rsidR="00044728" w:rsidRPr="00044728" w14:paraId="070EC67D" w14:textId="77777777" w:rsidTr="00583008">
        <w:trPr>
          <w:trHeight w:val="300"/>
        </w:trPr>
        <w:tc>
          <w:tcPr>
            <w:tcW w:w="1129" w:type="dxa"/>
            <w:tcBorders>
              <w:top w:val="nil"/>
              <w:left w:val="nil"/>
              <w:bottom w:val="single" w:sz="4" w:space="0" w:color="auto"/>
              <w:right w:val="nil"/>
            </w:tcBorders>
            <w:vAlign w:val="center"/>
            <w:hideMark/>
          </w:tcPr>
          <w:p w14:paraId="03F84A57"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10</w:t>
            </w:r>
          </w:p>
        </w:tc>
        <w:tc>
          <w:tcPr>
            <w:tcW w:w="1481" w:type="dxa"/>
            <w:tcBorders>
              <w:top w:val="nil"/>
              <w:left w:val="nil"/>
              <w:bottom w:val="single" w:sz="4" w:space="0" w:color="auto"/>
              <w:right w:val="nil"/>
            </w:tcBorders>
            <w:vAlign w:val="center"/>
            <w:hideMark/>
          </w:tcPr>
          <w:p w14:paraId="6748A06E"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-3.7356</w:t>
            </w:r>
          </w:p>
        </w:tc>
        <w:tc>
          <w:tcPr>
            <w:tcW w:w="1530" w:type="dxa"/>
            <w:tcBorders>
              <w:top w:val="nil"/>
              <w:left w:val="nil"/>
              <w:bottom w:val="single" w:sz="4" w:space="0" w:color="auto"/>
              <w:right w:val="nil"/>
            </w:tcBorders>
            <w:vAlign w:val="center"/>
            <w:hideMark/>
          </w:tcPr>
          <w:p w14:paraId="683F77F9"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-3.5332</w:t>
            </w:r>
          </w:p>
        </w:tc>
        <w:tc>
          <w:tcPr>
            <w:tcW w:w="1620" w:type="dxa"/>
            <w:tcBorders>
              <w:top w:val="nil"/>
              <w:left w:val="nil"/>
              <w:bottom w:val="single" w:sz="4" w:space="0" w:color="auto"/>
              <w:right w:val="nil"/>
            </w:tcBorders>
            <w:vAlign w:val="center"/>
            <w:hideMark/>
          </w:tcPr>
          <w:p w14:paraId="65EA6764"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-3.1643</w:t>
            </w:r>
          </w:p>
        </w:tc>
        <w:tc>
          <w:tcPr>
            <w:tcW w:w="3166" w:type="dxa"/>
            <w:tcBorders>
              <w:top w:val="nil"/>
              <w:left w:val="nil"/>
              <w:bottom w:val="single" w:sz="4" w:space="0" w:color="auto"/>
              <w:right w:val="nil"/>
            </w:tcBorders>
            <w:vAlign w:val="center"/>
            <w:hideMark/>
          </w:tcPr>
          <w:p w14:paraId="6C8D62A8" w14:textId="77777777" w:rsidR="00D2267E" w:rsidRPr="00044728" w:rsidRDefault="00D2267E" w:rsidP="00D2267E">
            <w:pPr>
              <w:spacing w:after="0"/>
              <w:jc w:val="both"/>
              <w:rPr>
                <w:rFonts w:ascii="Times New Roman" w:hAnsi="Times New Roman" w:cs="Times New Roman"/>
                <w:bCs/>
              </w:rPr>
            </w:pPr>
            <w:r w:rsidRPr="00044728">
              <w:rPr>
                <w:rFonts w:ascii="Times New Roman" w:hAnsi="Times New Roman" w:cs="Times New Roman"/>
                <w:bCs/>
              </w:rPr>
              <w:t>0.023859</w:t>
            </w:r>
          </w:p>
        </w:tc>
      </w:tr>
    </w:tbl>
    <w:p w14:paraId="5CE15BD6" w14:textId="77777777" w:rsidR="00D2267E" w:rsidRPr="00044728" w:rsidRDefault="00D2267E" w:rsidP="00EE0234">
      <w:pPr>
        <w:spacing w:after="0"/>
        <w:jc w:val="both"/>
        <w:rPr>
          <w:rFonts w:ascii="Times New Roman" w:hAnsi="Times New Roman" w:cs="Times New Roman"/>
          <w:b/>
          <w:bCs/>
        </w:rPr>
      </w:pPr>
    </w:p>
    <w:p w14:paraId="4C8D03F2" w14:textId="77777777" w:rsidR="00B137B1" w:rsidRPr="00044728" w:rsidRDefault="00B137B1" w:rsidP="00D2267E">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b/>
          <w:bCs/>
          <w:kern w:val="0"/>
          <w14:ligatures w14:val="none"/>
        </w:rPr>
        <w:t>Note:</w:t>
      </w:r>
      <w:r w:rsidRPr="00044728">
        <w:rPr>
          <w:rFonts w:ascii="Times New Roman" w:eastAsia="Times New Roman" w:hAnsi="Times New Roman" w:cs="Times New Roman"/>
          <w:kern w:val="0"/>
          <w14:ligatures w14:val="none"/>
        </w:rPr>
        <w:t xml:space="preserve"> * indicates the selected lag length.</w:t>
      </w:r>
    </w:p>
    <w:p w14:paraId="58DD47A2" w14:textId="77777777" w:rsidR="00B137B1" w:rsidRPr="00044728" w:rsidRDefault="005B132E" w:rsidP="00EE0234">
      <w:pPr>
        <w:spacing w:after="0"/>
        <w:jc w:val="both"/>
        <w:rPr>
          <w:rFonts w:ascii="Times New Roman" w:hAnsi="Times New Roman" w:cs="Times New Roman"/>
        </w:rPr>
      </w:pPr>
      <w:r w:rsidRPr="005B132E">
        <w:rPr>
          <w:rFonts w:ascii="Times New Roman" w:hAnsi="Times New Roman" w:cs="Times New Roman"/>
        </w:rPr>
        <w:t>To find the right lag duration for the multivariate model, the VAR lag order selection criteria are shown in Table 3.</w:t>
      </w:r>
      <w:r>
        <w:rPr>
          <w:rFonts w:ascii="Times New Roman" w:hAnsi="Times New Roman" w:cs="Times New Roman"/>
        </w:rPr>
        <w:t xml:space="preserve"> </w:t>
      </w:r>
      <w:r w:rsidR="00830465" w:rsidRPr="00044728">
        <w:rPr>
          <w:rFonts w:ascii="Times New Roman" w:hAnsi="Times New Roman" w:cs="Times New Roman"/>
        </w:rPr>
        <w:t xml:space="preserve">The results show that </w:t>
      </w:r>
      <w:r w:rsidR="00830465" w:rsidRPr="00044728">
        <w:rPr>
          <w:rStyle w:val="Strong"/>
          <w:rFonts w:ascii="Times New Roman" w:hAnsi="Times New Roman" w:cs="Times New Roman"/>
          <w:b w:val="0"/>
        </w:rPr>
        <w:t>lag 1</w:t>
      </w:r>
      <w:r w:rsidR="00830465" w:rsidRPr="00044728">
        <w:rPr>
          <w:rFonts w:ascii="Times New Roman" w:hAnsi="Times New Roman" w:cs="Times New Roman"/>
        </w:rPr>
        <w:t xml:space="preserve"> is consistently selected by all four criteria, namely the Akaike Information Criterion (AIC), Hannan–Quinn Criterion (HQ), Schwarz Information Criterion (SC/BIC), and Final Prediction Error (FPE), as indicated by the asterisks. Specifically, lag 1 records the lowest AIC value of </w:t>
      </w:r>
      <w:r w:rsidR="00830465" w:rsidRPr="00044728">
        <w:rPr>
          <w:rStyle w:val="Strong"/>
          <w:rFonts w:ascii="Times New Roman" w:hAnsi="Times New Roman" w:cs="Times New Roman"/>
        </w:rPr>
        <w:t>−</w:t>
      </w:r>
      <w:r w:rsidR="00830465" w:rsidRPr="00044728">
        <w:rPr>
          <w:rStyle w:val="Strong"/>
          <w:rFonts w:ascii="Times New Roman" w:hAnsi="Times New Roman" w:cs="Times New Roman"/>
          <w:b w:val="0"/>
        </w:rPr>
        <w:t>3.7936</w:t>
      </w:r>
      <w:r w:rsidR="00830465" w:rsidRPr="00044728">
        <w:rPr>
          <w:rFonts w:ascii="Times New Roman" w:hAnsi="Times New Roman" w:cs="Times New Roman"/>
        </w:rPr>
        <w:t xml:space="preserve">, HQ value of </w:t>
      </w:r>
      <w:r w:rsidR="00830465" w:rsidRPr="00044728">
        <w:rPr>
          <w:rStyle w:val="Strong"/>
          <w:rFonts w:ascii="Times New Roman" w:hAnsi="Times New Roman" w:cs="Times New Roman"/>
        </w:rPr>
        <w:t>−</w:t>
      </w:r>
      <w:r w:rsidR="00830465" w:rsidRPr="00044728">
        <w:rPr>
          <w:rStyle w:val="Strong"/>
          <w:rFonts w:ascii="Times New Roman" w:hAnsi="Times New Roman" w:cs="Times New Roman"/>
          <w:b w:val="0"/>
        </w:rPr>
        <w:t>3.7704</w:t>
      </w:r>
      <w:r w:rsidR="00830465" w:rsidRPr="00044728">
        <w:rPr>
          <w:rFonts w:ascii="Times New Roman" w:hAnsi="Times New Roman" w:cs="Times New Roman"/>
        </w:rPr>
        <w:t xml:space="preserve">, SC value of </w:t>
      </w:r>
      <w:r w:rsidR="00830465" w:rsidRPr="00044728">
        <w:rPr>
          <w:rStyle w:val="Strong"/>
          <w:rFonts w:ascii="Times New Roman" w:hAnsi="Times New Roman" w:cs="Times New Roman"/>
        </w:rPr>
        <w:t>−</w:t>
      </w:r>
      <w:r w:rsidR="00830465" w:rsidRPr="00044728">
        <w:rPr>
          <w:rStyle w:val="Strong"/>
          <w:rFonts w:ascii="Times New Roman" w:hAnsi="Times New Roman" w:cs="Times New Roman"/>
          <w:b w:val="0"/>
        </w:rPr>
        <w:t>3.7280</w:t>
      </w:r>
      <w:r w:rsidR="00830465" w:rsidRPr="00044728">
        <w:rPr>
          <w:rFonts w:ascii="Times New Roman" w:hAnsi="Times New Roman" w:cs="Times New Roman"/>
        </w:rPr>
        <w:t xml:space="preserve">, and FPE value of </w:t>
      </w:r>
      <w:r w:rsidR="00830465" w:rsidRPr="00044728">
        <w:rPr>
          <w:rStyle w:val="Strong"/>
          <w:rFonts w:ascii="Times New Roman" w:hAnsi="Times New Roman" w:cs="Times New Roman"/>
          <w:b w:val="0"/>
        </w:rPr>
        <w:t>0.022514</w:t>
      </w:r>
      <w:r w:rsidR="00830465" w:rsidRPr="00044728">
        <w:rPr>
          <w:rFonts w:ascii="Times New Roman" w:hAnsi="Times New Roman" w:cs="Times New Roman"/>
          <w:b/>
        </w:rPr>
        <w:t xml:space="preserve"> </w:t>
      </w:r>
      <w:r w:rsidR="00830465" w:rsidRPr="00044728">
        <w:rPr>
          <w:rFonts w:ascii="Times New Roman" w:hAnsi="Times New Roman" w:cs="Times New Roman"/>
        </w:rPr>
        <w:t xml:space="preserve">compared with the corresponding values at lags 2 to 10. Since all the selection criteria independently identify the first lag as optimal, the study adopts a </w:t>
      </w:r>
      <w:r w:rsidR="00830465" w:rsidRPr="00044728">
        <w:rPr>
          <w:rStyle w:val="Strong"/>
          <w:rFonts w:ascii="Times New Roman" w:hAnsi="Times New Roman" w:cs="Times New Roman"/>
          <w:b w:val="0"/>
        </w:rPr>
        <w:t>VAR(1)</w:t>
      </w:r>
      <w:r w:rsidR="00830465" w:rsidRPr="00044728">
        <w:rPr>
          <w:rStyle w:val="Strong"/>
          <w:rFonts w:ascii="Times New Roman" w:hAnsi="Times New Roman" w:cs="Times New Roman"/>
        </w:rPr>
        <w:t xml:space="preserve"> </w:t>
      </w:r>
      <w:r w:rsidR="00830465" w:rsidRPr="00044728">
        <w:rPr>
          <w:rStyle w:val="Strong"/>
          <w:rFonts w:ascii="Times New Roman" w:hAnsi="Times New Roman" w:cs="Times New Roman"/>
          <w:b w:val="0"/>
        </w:rPr>
        <w:t>specification</w:t>
      </w:r>
      <w:r w:rsidR="00830465" w:rsidRPr="00044728">
        <w:rPr>
          <w:rFonts w:ascii="Times New Roman" w:hAnsi="Times New Roman" w:cs="Times New Roman"/>
        </w:rPr>
        <w:t>, implying that one-period lagged values of the variables provide the appropriate basis for examining the short-run interrelationships among the global commodity prices, exchange rate and Nigerian stock market returns.</w:t>
      </w:r>
    </w:p>
    <w:p w14:paraId="3C120132" w14:textId="77777777" w:rsidR="00B137B1" w:rsidRPr="00044728" w:rsidRDefault="00B137B1" w:rsidP="00EE0234">
      <w:pPr>
        <w:spacing w:after="0"/>
        <w:jc w:val="both"/>
        <w:rPr>
          <w:rFonts w:ascii="Times New Roman" w:hAnsi="Times New Roman" w:cs="Times New Roman"/>
          <w:b/>
          <w:bCs/>
        </w:rPr>
      </w:pPr>
    </w:p>
    <w:p w14:paraId="19C4B1DC" w14:textId="77777777" w:rsidR="00B137B1" w:rsidRPr="00044728" w:rsidRDefault="00367204" w:rsidP="00EE0234">
      <w:pPr>
        <w:spacing w:after="0"/>
        <w:jc w:val="both"/>
        <w:rPr>
          <w:rFonts w:ascii="Times New Roman" w:hAnsi="Times New Roman" w:cs="Times New Roman"/>
          <w:b/>
          <w:bCs/>
        </w:rPr>
      </w:pPr>
      <w:r w:rsidRPr="00044728">
        <w:rPr>
          <w:rFonts w:ascii="Times New Roman" w:hAnsi="Times New Roman" w:cs="Times New Roman"/>
          <w:b/>
          <w:bCs/>
        </w:rPr>
        <w:t>Table 4</w:t>
      </w:r>
      <w:r w:rsidR="00B137B1" w:rsidRPr="00044728">
        <w:rPr>
          <w:rFonts w:ascii="Times New Roman" w:hAnsi="Times New Roman" w:cs="Times New Roman"/>
          <w:b/>
          <w:bCs/>
        </w:rPr>
        <w:t xml:space="preserve">: Summary of </w:t>
      </w:r>
      <w:proofErr w:type="gramStart"/>
      <w:r w:rsidR="00B137B1" w:rsidRPr="00044728">
        <w:rPr>
          <w:rFonts w:ascii="Times New Roman" w:hAnsi="Times New Roman" w:cs="Times New Roman"/>
          <w:b/>
          <w:bCs/>
        </w:rPr>
        <w:t>VAR(</w:t>
      </w:r>
      <w:proofErr w:type="gramEnd"/>
      <w:r w:rsidR="00B137B1" w:rsidRPr="00044728">
        <w:rPr>
          <w:rFonts w:ascii="Times New Roman" w:hAnsi="Times New Roman" w:cs="Times New Roman"/>
          <w:b/>
          <w:bCs/>
        </w:rPr>
        <w:t>1) Estimation Results</w:t>
      </w:r>
    </w:p>
    <w:tbl>
      <w:tblPr>
        <w:tblW w:w="8637" w:type="dxa"/>
        <w:jc w:val="center"/>
        <w:tblBorders>
          <w:top w:val="single" w:sz="8" w:space="0" w:color="auto"/>
          <w:bottom w:val="single" w:sz="8" w:space="0" w:color="auto"/>
        </w:tblBorders>
        <w:tblLook w:val="04A0" w:firstRow="1" w:lastRow="0" w:firstColumn="1" w:lastColumn="0" w:noHBand="0" w:noVBand="1"/>
      </w:tblPr>
      <w:tblGrid>
        <w:gridCol w:w="1550"/>
        <w:gridCol w:w="2551"/>
        <w:gridCol w:w="1418"/>
        <w:gridCol w:w="1701"/>
        <w:gridCol w:w="1417"/>
      </w:tblGrid>
      <w:tr w:rsidR="00B137B1" w:rsidRPr="00044728" w14:paraId="2736FEDC" w14:textId="77777777" w:rsidTr="00DC2DFE">
        <w:trPr>
          <w:trHeight w:val="466"/>
          <w:jc w:val="center"/>
        </w:trPr>
        <w:tc>
          <w:tcPr>
            <w:tcW w:w="1550" w:type="dxa"/>
            <w:tcBorders>
              <w:top w:val="single" w:sz="8" w:space="0" w:color="auto"/>
              <w:left w:val="nil"/>
              <w:bottom w:val="single" w:sz="8" w:space="0" w:color="auto"/>
              <w:right w:val="nil"/>
            </w:tcBorders>
            <w:vAlign w:val="center"/>
            <w:hideMark/>
          </w:tcPr>
          <w:p w14:paraId="29E7FE78" w14:textId="77777777"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Dependent Variable</w:t>
            </w:r>
          </w:p>
        </w:tc>
        <w:tc>
          <w:tcPr>
            <w:tcW w:w="2551" w:type="dxa"/>
            <w:tcBorders>
              <w:top w:val="single" w:sz="8" w:space="0" w:color="auto"/>
              <w:left w:val="nil"/>
              <w:bottom w:val="single" w:sz="8" w:space="0" w:color="auto"/>
              <w:right w:val="nil"/>
            </w:tcBorders>
            <w:vAlign w:val="center"/>
            <w:hideMark/>
          </w:tcPr>
          <w:p w14:paraId="441A0840" w14:textId="77777777"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Significant Variables (5%)</w:t>
            </w:r>
          </w:p>
        </w:tc>
        <w:tc>
          <w:tcPr>
            <w:tcW w:w="1418" w:type="dxa"/>
            <w:tcBorders>
              <w:top w:val="single" w:sz="8" w:space="0" w:color="auto"/>
              <w:left w:val="nil"/>
              <w:bottom w:val="single" w:sz="8" w:space="0" w:color="auto"/>
              <w:right w:val="nil"/>
            </w:tcBorders>
            <w:vAlign w:val="center"/>
            <w:hideMark/>
          </w:tcPr>
          <w:p w14:paraId="35BB641B" w14:textId="77777777"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F-statistic</w:t>
            </w:r>
          </w:p>
        </w:tc>
        <w:tc>
          <w:tcPr>
            <w:tcW w:w="1701" w:type="dxa"/>
            <w:tcBorders>
              <w:top w:val="single" w:sz="8" w:space="0" w:color="auto"/>
              <w:left w:val="nil"/>
              <w:bottom w:val="single" w:sz="8" w:space="0" w:color="auto"/>
              <w:right w:val="nil"/>
            </w:tcBorders>
            <w:vAlign w:val="center"/>
            <w:hideMark/>
          </w:tcPr>
          <w:p w14:paraId="70FC2604" w14:textId="77777777"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p-value</w:t>
            </w:r>
          </w:p>
        </w:tc>
        <w:tc>
          <w:tcPr>
            <w:tcW w:w="1417" w:type="dxa"/>
            <w:tcBorders>
              <w:top w:val="single" w:sz="8" w:space="0" w:color="auto"/>
              <w:left w:val="nil"/>
              <w:bottom w:val="single" w:sz="8" w:space="0" w:color="auto"/>
              <w:right w:val="nil"/>
            </w:tcBorders>
            <w:vAlign w:val="center"/>
            <w:hideMark/>
          </w:tcPr>
          <w:p w14:paraId="144B48DD" w14:textId="77777777"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Adjusted R²</w:t>
            </w:r>
          </w:p>
        </w:tc>
      </w:tr>
      <w:tr w:rsidR="00B137B1" w:rsidRPr="00044728" w14:paraId="02F4C6AB" w14:textId="77777777" w:rsidTr="00B137B1">
        <w:trPr>
          <w:trHeight w:val="459"/>
          <w:jc w:val="center"/>
        </w:trPr>
        <w:tc>
          <w:tcPr>
            <w:tcW w:w="1550" w:type="dxa"/>
            <w:tcBorders>
              <w:top w:val="single" w:sz="8" w:space="0" w:color="auto"/>
              <w:left w:val="nil"/>
              <w:bottom w:val="nil"/>
              <w:right w:val="nil"/>
            </w:tcBorders>
            <w:vAlign w:val="center"/>
            <w:hideMark/>
          </w:tcPr>
          <w:p w14:paraId="03DBF6B9"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DBCOP</w:t>
            </w:r>
          </w:p>
        </w:tc>
        <w:tc>
          <w:tcPr>
            <w:tcW w:w="2551" w:type="dxa"/>
            <w:tcBorders>
              <w:top w:val="single" w:sz="8" w:space="0" w:color="auto"/>
              <w:left w:val="nil"/>
              <w:bottom w:val="nil"/>
              <w:right w:val="nil"/>
            </w:tcBorders>
            <w:vAlign w:val="center"/>
            <w:hideMark/>
          </w:tcPr>
          <w:p w14:paraId="2894BE8C"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DCOPP(+), DGOLDP(-)</w:t>
            </w:r>
          </w:p>
        </w:tc>
        <w:tc>
          <w:tcPr>
            <w:tcW w:w="1418" w:type="dxa"/>
            <w:tcBorders>
              <w:top w:val="single" w:sz="8" w:space="0" w:color="auto"/>
              <w:left w:val="nil"/>
              <w:bottom w:val="nil"/>
              <w:right w:val="nil"/>
            </w:tcBorders>
            <w:vAlign w:val="center"/>
            <w:hideMark/>
          </w:tcPr>
          <w:p w14:paraId="6D5EC232"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2.962</w:t>
            </w:r>
          </w:p>
        </w:tc>
        <w:tc>
          <w:tcPr>
            <w:tcW w:w="1701" w:type="dxa"/>
            <w:tcBorders>
              <w:top w:val="single" w:sz="8" w:space="0" w:color="auto"/>
              <w:left w:val="nil"/>
              <w:bottom w:val="nil"/>
              <w:right w:val="nil"/>
            </w:tcBorders>
            <w:vAlign w:val="center"/>
            <w:hideMark/>
          </w:tcPr>
          <w:p w14:paraId="674CE0FD"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0.0069</w:t>
            </w:r>
          </w:p>
        </w:tc>
        <w:tc>
          <w:tcPr>
            <w:tcW w:w="1417" w:type="dxa"/>
            <w:tcBorders>
              <w:top w:val="single" w:sz="8" w:space="0" w:color="auto"/>
              <w:left w:val="nil"/>
              <w:bottom w:val="nil"/>
              <w:right w:val="nil"/>
            </w:tcBorders>
            <w:vAlign w:val="center"/>
            <w:hideMark/>
          </w:tcPr>
          <w:p w14:paraId="0B602840"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0.0029</w:t>
            </w:r>
          </w:p>
        </w:tc>
      </w:tr>
      <w:tr w:rsidR="00B137B1" w:rsidRPr="00044728" w14:paraId="264AFFEE" w14:textId="77777777" w:rsidTr="00B137B1">
        <w:trPr>
          <w:trHeight w:val="330"/>
          <w:jc w:val="center"/>
        </w:trPr>
        <w:tc>
          <w:tcPr>
            <w:tcW w:w="1550" w:type="dxa"/>
            <w:tcBorders>
              <w:top w:val="nil"/>
              <w:left w:val="nil"/>
              <w:bottom w:val="nil"/>
              <w:right w:val="nil"/>
            </w:tcBorders>
            <w:vAlign w:val="center"/>
            <w:hideMark/>
          </w:tcPr>
          <w:p w14:paraId="03763011"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DCOPP</w:t>
            </w:r>
          </w:p>
        </w:tc>
        <w:tc>
          <w:tcPr>
            <w:tcW w:w="2551" w:type="dxa"/>
            <w:tcBorders>
              <w:top w:val="nil"/>
              <w:left w:val="nil"/>
              <w:bottom w:val="nil"/>
              <w:right w:val="nil"/>
            </w:tcBorders>
            <w:vAlign w:val="center"/>
            <w:hideMark/>
          </w:tcPr>
          <w:p w14:paraId="681EBA84"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None</w:t>
            </w:r>
          </w:p>
        </w:tc>
        <w:tc>
          <w:tcPr>
            <w:tcW w:w="1418" w:type="dxa"/>
            <w:tcBorders>
              <w:top w:val="nil"/>
              <w:left w:val="nil"/>
              <w:bottom w:val="nil"/>
              <w:right w:val="nil"/>
            </w:tcBorders>
            <w:vAlign w:val="center"/>
            <w:hideMark/>
          </w:tcPr>
          <w:p w14:paraId="7DE64F94"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1.034</w:t>
            </w:r>
          </w:p>
        </w:tc>
        <w:tc>
          <w:tcPr>
            <w:tcW w:w="1701" w:type="dxa"/>
            <w:tcBorders>
              <w:top w:val="nil"/>
              <w:left w:val="nil"/>
              <w:bottom w:val="nil"/>
              <w:right w:val="nil"/>
            </w:tcBorders>
            <w:vAlign w:val="center"/>
            <w:hideMark/>
          </w:tcPr>
          <w:p w14:paraId="0787D86E"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0.4006</w:t>
            </w:r>
          </w:p>
        </w:tc>
        <w:tc>
          <w:tcPr>
            <w:tcW w:w="1417" w:type="dxa"/>
            <w:tcBorders>
              <w:top w:val="nil"/>
              <w:left w:val="nil"/>
              <w:bottom w:val="nil"/>
              <w:right w:val="nil"/>
            </w:tcBorders>
            <w:vAlign w:val="center"/>
            <w:hideMark/>
          </w:tcPr>
          <w:p w14:paraId="0186AA96"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0.0001</w:t>
            </w:r>
          </w:p>
        </w:tc>
      </w:tr>
      <w:tr w:rsidR="00B137B1" w:rsidRPr="00044728" w14:paraId="30CE3073" w14:textId="77777777" w:rsidTr="00B137B1">
        <w:trPr>
          <w:trHeight w:val="613"/>
          <w:jc w:val="center"/>
        </w:trPr>
        <w:tc>
          <w:tcPr>
            <w:tcW w:w="1550" w:type="dxa"/>
            <w:tcBorders>
              <w:top w:val="nil"/>
              <w:left w:val="nil"/>
              <w:bottom w:val="nil"/>
              <w:right w:val="nil"/>
            </w:tcBorders>
            <w:vAlign w:val="center"/>
            <w:hideMark/>
          </w:tcPr>
          <w:p w14:paraId="26491339"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DEXR</w:t>
            </w:r>
          </w:p>
        </w:tc>
        <w:tc>
          <w:tcPr>
            <w:tcW w:w="2551" w:type="dxa"/>
            <w:tcBorders>
              <w:top w:val="nil"/>
              <w:left w:val="nil"/>
              <w:bottom w:val="nil"/>
              <w:right w:val="nil"/>
            </w:tcBorders>
            <w:vAlign w:val="center"/>
            <w:hideMark/>
          </w:tcPr>
          <w:p w14:paraId="5C7334CE"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DEXR(-1), Constant</w:t>
            </w:r>
          </w:p>
        </w:tc>
        <w:tc>
          <w:tcPr>
            <w:tcW w:w="1418" w:type="dxa"/>
            <w:tcBorders>
              <w:top w:val="nil"/>
              <w:left w:val="nil"/>
              <w:bottom w:val="nil"/>
              <w:right w:val="nil"/>
            </w:tcBorders>
            <w:vAlign w:val="center"/>
            <w:hideMark/>
          </w:tcPr>
          <w:p w14:paraId="4ABDA2C8"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7.864</w:t>
            </w:r>
          </w:p>
        </w:tc>
        <w:tc>
          <w:tcPr>
            <w:tcW w:w="1701" w:type="dxa"/>
            <w:tcBorders>
              <w:top w:val="nil"/>
              <w:left w:val="nil"/>
              <w:bottom w:val="nil"/>
              <w:right w:val="nil"/>
            </w:tcBorders>
            <w:vAlign w:val="center"/>
            <w:hideMark/>
          </w:tcPr>
          <w:p w14:paraId="681AB004"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&lt;0.001</w:t>
            </w:r>
          </w:p>
        </w:tc>
        <w:tc>
          <w:tcPr>
            <w:tcW w:w="1417" w:type="dxa"/>
            <w:tcBorders>
              <w:top w:val="nil"/>
              <w:left w:val="nil"/>
              <w:bottom w:val="nil"/>
              <w:right w:val="nil"/>
            </w:tcBorders>
            <w:vAlign w:val="center"/>
            <w:hideMark/>
          </w:tcPr>
          <w:p w14:paraId="62DF6FBA"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0.0101</w:t>
            </w:r>
          </w:p>
        </w:tc>
      </w:tr>
      <w:tr w:rsidR="00B137B1" w:rsidRPr="00044728" w14:paraId="412A3946" w14:textId="77777777" w:rsidTr="00B137B1">
        <w:trPr>
          <w:trHeight w:val="693"/>
          <w:jc w:val="center"/>
        </w:trPr>
        <w:tc>
          <w:tcPr>
            <w:tcW w:w="1550" w:type="dxa"/>
            <w:tcBorders>
              <w:top w:val="nil"/>
              <w:left w:val="nil"/>
              <w:bottom w:val="nil"/>
              <w:right w:val="nil"/>
            </w:tcBorders>
            <w:vAlign w:val="center"/>
            <w:hideMark/>
          </w:tcPr>
          <w:p w14:paraId="71258B9C"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lastRenderedPageBreak/>
              <w:t>DGOLDP</w:t>
            </w:r>
          </w:p>
        </w:tc>
        <w:tc>
          <w:tcPr>
            <w:tcW w:w="2551" w:type="dxa"/>
            <w:tcBorders>
              <w:top w:val="nil"/>
              <w:left w:val="nil"/>
              <w:bottom w:val="nil"/>
              <w:right w:val="nil"/>
            </w:tcBorders>
            <w:vAlign w:val="center"/>
            <w:hideMark/>
          </w:tcPr>
          <w:p w14:paraId="4869C5B9"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DGOLDP(-1), Constant</w:t>
            </w:r>
          </w:p>
        </w:tc>
        <w:tc>
          <w:tcPr>
            <w:tcW w:w="1418" w:type="dxa"/>
            <w:tcBorders>
              <w:top w:val="nil"/>
              <w:left w:val="nil"/>
              <w:bottom w:val="nil"/>
              <w:right w:val="nil"/>
            </w:tcBorders>
            <w:vAlign w:val="center"/>
            <w:hideMark/>
          </w:tcPr>
          <w:p w14:paraId="1CD33355"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1.576</w:t>
            </w:r>
          </w:p>
        </w:tc>
        <w:tc>
          <w:tcPr>
            <w:tcW w:w="1701" w:type="dxa"/>
            <w:tcBorders>
              <w:top w:val="nil"/>
              <w:left w:val="nil"/>
              <w:bottom w:val="nil"/>
              <w:right w:val="nil"/>
            </w:tcBorders>
            <w:vAlign w:val="center"/>
            <w:hideMark/>
          </w:tcPr>
          <w:p w14:paraId="6D6517A5"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0.1498</w:t>
            </w:r>
          </w:p>
        </w:tc>
        <w:tc>
          <w:tcPr>
            <w:tcW w:w="1417" w:type="dxa"/>
            <w:tcBorders>
              <w:top w:val="nil"/>
              <w:left w:val="nil"/>
              <w:bottom w:val="nil"/>
              <w:right w:val="nil"/>
            </w:tcBorders>
            <w:vAlign w:val="center"/>
            <w:hideMark/>
          </w:tcPr>
          <w:p w14:paraId="5A4917FD"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0.0009</w:t>
            </w:r>
          </w:p>
        </w:tc>
      </w:tr>
      <w:tr w:rsidR="00B137B1" w:rsidRPr="00044728" w14:paraId="6E609F8B" w14:textId="77777777" w:rsidTr="00B137B1">
        <w:trPr>
          <w:trHeight w:val="645"/>
          <w:jc w:val="center"/>
        </w:trPr>
        <w:tc>
          <w:tcPr>
            <w:tcW w:w="1550" w:type="dxa"/>
            <w:tcBorders>
              <w:top w:val="nil"/>
              <w:left w:val="nil"/>
              <w:bottom w:val="nil"/>
              <w:right w:val="nil"/>
            </w:tcBorders>
            <w:vAlign w:val="center"/>
            <w:hideMark/>
          </w:tcPr>
          <w:p w14:paraId="0BE40FA5"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DNGAS</w:t>
            </w:r>
          </w:p>
        </w:tc>
        <w:tc>
          <w:tcPr>
            <w:tcW w:w="2551" w:type="dxa"/>
            <w:tcBorders>
              <w:top w:val="nil"/>
              <w:left w:val="nil"/>
              <w:bottom w:val="nil"/>
              <w:right w:val="nil"/>
            </w:tcBorders>
            <w:vAlign w:val="center"/>
            <w:hideMark/>
          </w:tcPr>
          <w:p w14:paraId="4738DEEB"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DNGAS(-1)</w:t>
            </w:r>
          </w:p>
        </w:tc>
        <w:tc>
          <w:tcPr>
            <w:tcW w:w="1418" w:type="dxa"/>
            <w:tcBorders>
              <w:top w:val="nil"/>
              <w:left w:val="nil"/>
              <w:bottom w:val="nil"/>
              <w:right w:val="nil"/>
            </w:tcBorders>
            <w:vAlign w:val="center"/>
            <w:hideMark/>
          </w:tcPr>
          <w:p w14:paraId="6BCCBD21"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2.645</w:t>
            </w:r>
          </w:p>
        </w:tc>
        <w:tc>
          <w:tcPr>
            <w:tcW w:w="1701" w:type="dxa"/>
            <w:tcBorders>
              <w:top w:val="nil"/>
              <w:left w:val="nil"/>
              <w:bottom w:val="nil"/>
              <w:right w:val="nil"/>
            </w:tcBorders>
            <w:vAlign w:val="center"/>
            <w:hideMark/>
          </w:tcPr>
          <w:p w14:paraId="28807A13"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0.0146</w:t>
            </w:r>
          </w:p>
        </w:tc>
        <w:tc>
          <w:tcPr>
            <w:tcW w:w="1417" w:type="dxa"/>
            <w:tcBorders>
              <w:top w:val="nil"/>
              <w:left w:val="nil"/>
              <w:bottom w:val="nil"/>
              <w:right w:val="nil"/>
            </w:tcBorders>
            <w:vAlign w:val="center"/>
            <w:hideMark/>
          </w:tcPr>
          <w:p w14:paraId="63D7F1B5"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0.0024</w:t>
            </w:r>
          </w:p>
        </w:tc>
      </w:tr>
      <w:tr w:rsidR="00B137B1" w:rsidRPr="00044728" w14:paraId="0E3277E5" w14:textId="77777777" w:rsidTr="00B137B1">
        <w:trPr>
          <w:trHeight w:val="584"/>
          <w:jc w:val="center"/>
        </w:trPr>
        <w:tc>
          <w:tcPr>
            <w:tcW w:w="1550" w:type="dxa"/>
            <w:tcBorders>
              <w:top w:val="nil"/>
              <w:left w:val="nil"/>
              <w:bottom w:val="single" w:sz="8" w:space="0" w:color="auto"/>
              <w:right w:val="nil"/>
            </w:tcBorders>
            <w:vAlign w:val="center"/>
            <w:hideMark/>
          </w:tcPr>
          <w:p w14:paraId="0BD57BD4"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DSTOCKP</w:t>
            </w:r>
          </w:p>
        </w:tc>
        <w:tc>
          <w:tcPr>
            <w:tcW w:w="2551" w:type="dxa"/>
            <w:tcBorders>
              <w:top w:val="nil"/>
              <w:left w:val="nil"/>
              <w:bottom w:val="single" w:sz="8" w:space="0" w:color="auto"/>
              <w:right w:val="nil"/>
            </w:tcBorders>
            <w:vAlign w:val="center"/>
            <w:hideMark/>
          </w:tcPr>
          <w:p w14:paraId="17FC2FE3"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DNGAS(-1), DSTOCKP(-1)</w:t>
            </w:r>
          </w:p>
        </w:tc>
        <w:tc>
          <w:tcPr>
            <w:tcW w:w="1418" w:type="dxa"/>
            <w:tcBorders>
              <w:top w:val="nil"/>
              <w:left w:val="nil"/>
              <w:bottom w:val="single" w:sz="8" w:space="0" w:color="auto"/>
              <w:right w:val="nil"/>
            </w:tcBorders>
            <w:vAlign w:val="center"/>
            <w:hideMark/>
          </w:tcPr>
          <w:p w14:paraId="40C5CFF6"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11.42</w:t>
            </w:r>
          </w:p>
        </w:tc>
        <w:tc>
          <w:tcPr>
            <w:tcW w:w="1701" w:type="dxa"/>
            <w:tcBorders>
              <w:top w:val="nil"/>
              <w:left w:val="nil"/>
              <w:bottom w:val="single" w:sz="8" w:space="0" w:color="auto"/>
              <w:right w:val="nil"/>
            </w:tcBorders>
            <w:vAlign w:val="center"/>
            <w:hideMark/>
          </w:tcPr>
          <w:p w14:paraId="7FC7E88E"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&lt;0.001</w:t>
            </w:r>
          </w:p>
        </w:tc>
        <w:tc>
          <w:tcPr>
            <w:tcW w:w="1417" w:type="dxa"/>
            <w:tcBorders>
              <w:top w:val="nil"/>
              <w:left w:val="nil"/>
              <w:bottom w:val="single" w:sz="8" w:space="0" w:color="auto"/>
              <w:right w:val="nil"/>
            </w:tcBorders>
            <w:vAlign w:val="center"/>
            <w:hideMark/>
          </w:tcPr>
          <w:p w14:paraId="333187C6"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0.0152</w:t>
            </w:r>
          </w:p>
        </w:tc>
      </w:tr>
    </w:tbl>
    <w:p w14:paraId="412E522D" w14:textId="77777777" w:rsidR="00B137B1" w:rsidRPr="00044728" w:rsidRDefault="00B137B1" w:rsidP="00EE0234">
      <w:pPr>
        <w:spacing w:after="0"/>
        <w:jc w:val="both"/>
        <w:rPr>
          <w:rFonts w:ascii="Times New Roman" w:hAnsi="Times New Roman" w:cs="Times New Roman"/>
        </w:rPr>
      </w:pPr>
      <w:r w:rsidRPr="00044728">
        <w:rPr>
          <w:rFonts w:ascii="Times New Roman" w:hAnsi="Times New Roman" w:cs="Times New Roman"/>
          <w:b/>
          <w:bCs/>
        </w:rPr>
        <w:t>Note:</w:t>
      </w:r>
      <w:r w:rsidRPr="00044728">
        <w:rPr>
          <w:rFonts w:ascii="Times New Roman" w:hAnsi="Times New Roman" w:cs="Times New Roman"/>
        </w:rPr>
        <w:t xml:space="preserve"> (+) denotes a positive effect, while (-) denotes a negative effect.</w:t>
      </w:r>
    </w:p>
    <w:p w14:paraId="291354DA" w14:textId="77777777" w:rsidR="00830465" w:rsidRPr="00044728" w:rsidRDefault="00830465" w:rsidP="00EE0234">
      <w:pPr>
        <w:pStyle w:val="pdq2pgselectionanchorcontainer"/>
        <w:jc w:val="both"/>
      </w:pPr>
      <w:r w:rsidRPr="00044728">
        <w:t xml:space="preserve">Table 4 presents the summary of the estimated </w:t>
      </w:r>
      <w:proofErr w:type="gramStart"/>
      <w:r w:rsidRPr="00044728">
        <w:t>VAR(</w:t>
      </w:r>
      <w:proofErr w:type="gramEnd"/>
      <w:r w:rsidRPr="00044728">
        <w:t xml:space="preserve">1) model and shows that the short-run relationships among the variables differ across the equations. For </w:t>
      </w:r>
      <w:r w:rsidRPr="00044728">
        <w:rPr>
          <w:rStyle w:val="Strong"/>
          <w:rFonts w:eastAsiaTheme="majorEastAsia"/>
          <w:b w:val="0"/>
        </w:rPr>
        <w:t>DBCOP</w:t>
      </w:r>
      <w:r w:rsidRPr="00044728">
        <w:t xml:space="preserve">, the overall model is statistically significant (F = 2.962, p = 0.0069), with lagged copper returns exerting a positive effect and lagged gold returns exerting a negative effect. The </w:t>
      </w:r>
      <w:r w:rsidRPr="00044728">
        <w:rPr>
          <w:rStyle w:val="Strong"/>
          <w:rFonts w:eastAsiaTheme="majorEastAsia"/>
          <w:b w:val="0"/>
        </w:rPr>
        <w:t>DCOPP</w:t>
      </w:r>
      <w:r w:rsidRPr="00044728">
        <w:t xml:space="preserve"> equation is not statistically significant (F = 1.034, p = 0.4006), indicating no significant short-run effect from the included variables. The </w:t>
      </w:r>
      <w:r w:rsidRPr="00044728">
        <w:rPr>
          <w:rStyle w:val="Strong"/>
          <w:rFonts w:eastAsiaTheme="majorEastAsia"/>
          <w:b w:val="0"/>
        </w:rPr>
        <w:t>DEXR</w:t>
      </w:r>
      <w:r w:rsidRPr="00044728">
        <w:t xml:space="preserve"> equation is statistically significant (F = 7.864, p &lt; 0.001), with its own lagged value significantly influencing current exchange-rate returns, suggesting short-run persistence in exchange-rate movements. Similarly, the </w:t>
      </w:r>
      <w:r w:rsidRPr="00044728">
        <w:rPr>
          <w:rStyle w:val="Strong"/>
          <w:rFonts w:eastAsiaTheme="majorEastAsia"/>
          <w:b w:val="0"/>
        </w:rPr>
        <w:t>DNGAS</w:t>
      </w:r>
      <w:r w:rsidRPr="00044728">
        <w:t xml:space="preserve"> equation is significant (F = 2.645, p = 0.0146), with lagged natural gas returns having a significant effect on current natural gas returns. The </w:t>
      </w:r>
      <w:r w:rsidRPr="00044728">
        <w:rPr>
          <w:rStyle w:val="Strong"/>
          <w:rFonts w:eastAsiaTheme="majorEastAsia"/>
          <w:b w:val="0"/>
        </w:rPr>
        <w:t>DSTOCKP</w:t>
      </w:r>
      <w:r w:rsidRPr="00044728">
        <w:t xml:space="preserve"> equation records the strongest overall significance (F = 11.42, p &lt; 0.001), with both lagged natural gas returns and lagged stock-market returns significantly influencing current stock-market returns, indicating that movements in the natural gas market and previous stock-market conditions are relevant to subsequent Nigerian stock-market returns. In contrast, the </w:t>
      </w:r>
      <w:r w:rsidRPr="00044728">
        <w:rPr>
          <w:rStyle w:val="Strong"/>
          <w:rFonts w:eastAsiaTheme="majorEastAsia"/>
          <w:b w:val="0"/>
        </w:rPr>
        <w:t>DGOLDP</w:t>
      </w:r>
      <w:r w:rsidRPr="00044728">
        <w:rPr>
          <w:b/>
        </w:rPr>
        <w:t xml:space="preserve"> </w:t>
      </w:r>
      <w:r w:rsidRPr="00044728">
        <w:t xml:space="preserve">equation is not statistically significant at the 5% level (F = 1.576, p = 0.1498), despite the reported significance of its lagged term in the individual equation. The adjusted R² values are generally low, ranging from </w:t>
      </w:r>
      <w:r w:rsidRPr="00044728">
        <w:rPr>
          <w:rStyle w:val="Strong"/>
          <w:rFonts w:eastAsiaTheme="majorEastAsia"/>
          <w:b w:val="0"/>
        </w:rPr>
        <w:t>0.0001 to 0.0152</w:t>
      </w:r>
      <w:r w:rsidRPr="00044728">
        <w:t>, indicating that the VAR(1) model explains only a small proportion of the short-run variation in the individual return series; this is not unusual for high-frequency financial return data and reinforces the need for the subsequent multivariate volatility analysis.</w:t>
      </w:r>
    </w:p>
    <w:p w14:paraId="65AAF421" w14:textId="77777777" w:rsidR="00DC2DFE" w:rsidRDefault="00DC2DFE" w:rsidP="00EE0234">
      <w:pPr>
        <w:spacing w:after="0" w:line="240" w:lineRule="auto"/>
        <w:jc w:val="both"/>
        <w:rPr>
          <w:rFonts w:ascii="Times New Roman" w:eastAsia="Times New Roman" w:hAnsi="Times New Roman" w:cs="Times New Roman"/>
          <w:b/>
          <w:bCs/>
          <w:kern w:val="0"/>
          <w14:ligatures w14:val="none"/>
        </w:rPr>
      </w:pPr>
    </w:p>
    <w:p w14:paraId="6A647405" w14:textId="77777777" w:rsidR="002E0BE9" w:rsidRDefault="002E0BE9" w:rsidP="00EE0234">
      <w:pPr>
        <w:spacing w:after="0" w:line="240" w:lineRule="auto"/>
        <w:jc w:val="both"/>
        <w:rPr>
          <w:rFonts w:ascii="Times New Roman" w:eastAsia="Times New Roman" w:hAnsi="Times New Roman" w:cs="Times New Roman"/>
          <w:b/>
          <w:bCs/>
          <w:kern w:val="0"/>
          <w14:ligatures w14:val="none"/>
        </w:rPr>
      </w:pPr>
    </w:p>
    <w:p w14:paraId="2AC3E272" w14:textId="77777777" w:rsidR="002E0BE9" w:rsidRDefault="002E0BE9" w:rsidP="00EE0234">
      <w:pPr>
        <w:spacing w:after="0" w:line="240" w:lineRule="auto"/>
        <w:jc w:val="both"/>
        <w:rPr>
          <w:rFonts w:ascii="Times New Roman" w:eastAsia="Times New Roman" w:hAnsi="Times New Roman" w:cs="Times New Roman"/>
          <w:b/>
          <w:bCs/>
          <w:kern w:val="0"/>
          <w14:ligatures w14:val="none"/>
        </w:rPr>
      </w:pPr>
    </w:p>
    <w:p w14:paraId="37D30834" w14:textId="77777777" w:rsidR="002E0BE9" w:rsidRDefault="002E0BE9" w:rsidP="00EE0234">
      <w:pPr>
        <w:spacing w:after="0" w:line="240" w:lineRule="auto"/>
        <w:jc w:val="both"/>
        <w:rPr>
          <w:rFonts w:ascii="Times New Roman" w:eastAsia="Times New Roman" w:hAnsi="Times New Roman" w:cs="Times New Roman"/>
          <w:b/>
          <w:bCs/>
          <w:kern w:val="0"/>
          <w14:ligatures w14:val="none"/>
        </w:rPr>
      </w:pPr>
    </w:p>
    <w:p w14:paraId="35EE9619" w14:textId="77777777" w:rsidR="002E0BE9" w:rsidRPr="00044728" w:rsidRDefault="002E0BE9" w:rsidP="00EE0234">
      <w:pPr>
        <w:spacing w:after="0" w:line="240" w:lineRule="auto"/>
        <w:jc w:val="both"/>
        <w:rPr>
          <w:rFonts w:ascii="Times New Roman" w:eastAsia="Times New Roman" w:hAnsi="Times New Roman" w:cs="Times New Roman"/>
          <w:b/>
          <w:bCs/>
          <w:kern w:val="0"/>
          <w14:ligatures w14:val="none"/>
        </w:rPr>
      </w:pPr>
    </w:p>
    <w:p w14:paraId="1D010371" w14:textId="77777777" w:rsidR="00B137B1" w:rsidRPr="00044728" w:rsidRDefault="00367204"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Table 5</w:t>
      </w:r>
      <w:r w:rsidR="00B137B1" w:rsidRPr="00044728">
        <w:rPr>
          <w:rFonts w:ascii="Times New Roman" w:eastAsia="Times New Roman" w:hAnsi="Times New Roman" w:cs="Times New Roman"/>
          <w:b/>
          <w:bCs/>
          <w:kern w:val="0"/>
          <w14:ligatures w14:val="none"/>
        </w:rPr>
        <w:t>: Estimated DCC-GARCH (1,1) Model Parameters (Multivariate t- Distribution)</w:t>
      </w:r>
    </w:p>
    <w:tbl>
      <w:tblPr>
        <w:tblStyle w:val="PlainTable4"/>
        <w:tblW w:w="9888" w:type="dxa"/>
        <w:tblBorders>
          <w:top w:val="single" w:sz="4" w:space="0" w:color="auto"/>
          <w:bottom w:val="single" w:sz="4" w:space="0" w:color="auto"/>
        </w:tblBorders>
        <w:tblLayout w:type="fixed"/>
        <w:tblLook w:val="04A0" w:firstRow="1" w:lastRow="0" w:firstColumn="1" w:lastColumn="0" w:noHBand="0" w:noVBand="1"/>
      </w:tblPr>
      <w:tblGrid>
        <w:gridCol w:w="1260"/>
        <w:gridCol w:w="1338"/>
        <w:gridCol w:w="1440"/>
        <w:gridCol w:w="1440"/>
        <w:gridCol w:w="1080"/>
        <w:gridCol w:w="1080"/>
        <w:gridCol w:w="2250"/>
      </w:tblGrid>
      <w:tr w:rsidR="00044728" w:rsidRPr="00044728" w14:paraId="41539F10" w14:textId="77777777" w:rsidTr="00CE1A3C">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260" w:type="dxa"/>
            <w:tcBorders>
              <w:top w:val="single" w:sz="4" w:space="0" w:color="auto"/>
              <w:bottom w:val="single" w:sz="4" w:space="0" w:color="auto"/>
            </w:tcBorders>
            <w:hideMark/>
          </w:tcPr>
          <w:p w14:paraId="4AEDCF08" w14:textId="77777777"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Variable</w:t>
            </w:r>
          </w:p>
        </w:tc>
        <w:tc>
          <w:tcPr>
            <w:tcW w:w="1338" w:type="dxa"/>
            <w:tcBorders>
              <w:top w:val="single" w:sz="4" w:space="0" w:color="auto"/>
              <w:bottom w:val="single" w:sz="4" w:space="0" w:color="auto"/>
            </w:tcBorders>
            <w:hideMark/>
          </w:tcPr>
          <w:p w14:paraId="202C3C9A" w14:textId="77777777" w:rsidR="00B137B1" w:rsidRPr="00044728" w:rsidRDefault="00B137B1" w:rsidP="00EE0234">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Parameter</w:t>
            </w:r>
          </w:p>
        </w:tc>
        <w:tc>
          <w:tcPr>
            <w:tcW w:w="1440" w:type="dxa"/>
            <w:tcBorders>
              <w:top w:val="single" w:sz="4" w:space="0" w:color="auto"/>
              <w:bottom w:val="single" w:sz="4" w:space="0" w:color="auto"/>
            </w:tcBorders>
            <w:hideMark/>
          </w:tcPr>
          <w:p w14:paraId="5C1D997D" w14:textId="77777777" w:rsidR="00B137B1" w:rsidRPr="00044728" w:rsidRDefault="00B137B1" w:rsidP="00EE0234">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Estimate</w:t>
            </w:r>
          </w:p>
        </w:tc>
        <w:tc>
          <w:tcPr>
            <w:tcW w:w="1440" w:type="dxa"/>
            <w:tcBorders>
              <w:top w:val="single" w:sz="4" w:space="0" w:color="auto"/>
              <w:bottom w:val="single" w:sz="4" w:space="0" w:color="auto"/>
            </w:tcBorders>
            <w:hideMark/>
          </w:tcPr>
          <w:p w14:paraId="76963D6E" w14:textId="77777777" w:rsidR="00B137B1" w:rsidRPr="00044728" w:rsidRDefault="00B137B1" w:rsidP="00EE0234">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Std. Error</w:t>
            </w:r>
          </w:p>
        </w:tc>
        <w:tc>
          <w:tcPr>
            <w:tcW w:w="1080" w:type="dxa"/>
            <w:tcBorders>
              <w:top w:val="single" w:sz="4" w:space="0" w:color="auto"/>
              <w:bottom w:val="single" w:sz="4" w:space="0" w:color="auto"/>
            </w:tcBorders>
            <w:hideMark/>
          </w:tcPr>
          <w:p w14:paraId="7CBF89D0" w14:textId="77777777" w:rsidR="00B137B1" w:rsidRPr="00044728" w:rsidRDefault="00B137B1" w:rsidP="00EE0234">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t-value</w:t>
            </w:r>
          </w:p>
        </w:tc>
        <w:tc>
          <w:tcPr>
            <w:tcW w:w="1080" w:type="dxa"/>
            <w:tcBorders>
              <w:top w:val="single" w:sz="4" w:space="0" w:color="auto"/>
              <w:bottom w:val="single" w:sz="4" w:space="0" w:color="auto"/>
            </w:tcBorders>
            <w:hideMark/>
          </w:tcPr>
          <w:p w14:paraId="5B16DD48" w14:textId="77777777" w:rsidR="00B137B1" w:rsidRPr="00044728" w:rsidRDefault="00B137B1" w:rsidP="00EE0234">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p-value</w:t>
            </w:r>
          </w:p>
        </w:tc>
        <w:tc>
          <w:tcPr>
            <w:tcW w:w="2250" w:type="dxa"/>
            <w:tcBorders>
              <w:top w:val="single" w:sz="4" w:space="0" w:color="auto"/>
              <w:bottom w:val="single" w:sz="4" w:space="0" w:color="auto"/>
            </w:tcBorders>
            <w:hideMark/>
          </w:tcPr>
          <w:p w14:paraId="17340294" w14:textId="77777777" w:rsidR="00B137B1" w:rsidRPr="00044728" w:rsidRDefault="00B137B1" w:rsidP="00EE0234">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Decision</w:t>
            </w:r>
          </w:p>
        </w:tc>
      </w:tr>
      <w:tr w:rsidR="00044728" w:rsidRPr="00044728" w14:paraId="6A49DE40" w14:textId="77777777" w:rsidTr="00CE1A3C">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260" w:type="dxa"/>
            <w:tcBorders>
              <w:top w:val="single" w:sz="4" w:space="0" w:color="auto"/>
            </w:tcBorders>
            <w:shd w:val="clear" w:color="auto" w:fill="auto"/>
            <w:hideMark/>
          </w:tcPr>
          <w:p w14:paraId="400A049A" w14:textId="77777777"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proofErr w:type="spellStart"/>
            <w:r w:rsidRPr="00044728">
              <w:rPr>
                <w:rFonts w:ascii="Times New Roman" w:eastAsia="Times New Roman" w:hAnsi="Times New Roman" w:cs="Times New Roman"/>
                <w:b w:val="0"/>
                <w:bCs w:val="0"/>
                <w:kern w:val="0"/>
                <w14:ligatures w14:val="none"/>
              </w:rPr>
              <w:t>Dbcop</w:t>
            </w:r>
            <w:proofErr w:type="spellEnd"/>
          </w:p>
        </w:tc>
        <w:tc>
          <w:tcPr>
            <w:tcW w:w="1338" w:type="dxa"/>
            <w:tcBorders>
              <w:top w:val="single" w:sz="4" w:space="0" w:color="auto"/>
            </w:tcBorders>
            <w:shd w:val="clear" w:color="auto" w:fill="auto"/>
            <w:hideMark/>
          </w:tcPr>
          <w:p w14:paraId="5B5F4EFA"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Μ</w:t>
            </w:r>
          </w:p>
        </w:tc>
        <w:tc>
          <w:tcPr>
            <w:tcW w:w="1440" w:type="dxa"/>
            <w:tcBorders>
              <w:top w:val="single" w:sz="4" w:space="0" w:color="auto"/>
            </w:tcBorders>
            <w:shd w:val="clear" w:color="auto" w:fill="auto"/>
            <w:hideMark/>
          </w:tcPr>
          <w:p w14:paraId="7265AE26"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0.01185</w:t>
            </w:r>
          </w:p>
        </w:tc>
        <w:tc>
          <w:tcPr>
            <w:tcW w:w="1440" w:type="dxa"/>
            <w:tcBorders>
              <w:top w:val="single" w:sz="4" w:space="0" w:color="auto"/>
            </w:tcBorders>
            <w:shd w:val="clear" w:color="auto" w:fill="auto"/>
            <w:hideMark/>
          </w:tcPr>
          <w:p w14:paraId="41D6E622"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0.01127</w:t>
            </w:r>
          </w:p>
        </w:tc>
        <w:tc>
          <w:tcPr>
            <w:tcW w:w="1080" w:type="dxa"/>
            <w:tcBorders>
              <w:top w:val="single" w:sz="4" w:space="0" w:color="auto"/>
            </w:tcBorders>
            <w:shd w:val="clear" w:color="auto" w:fill="auto"/>
            <w:hideMark/>
          </w:tcPr>
          <w:p w14:paraId="6C4789C7"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1.051</w:t>
            </w:r>
          </w:p>
        </w:tc>
        <w:tc>
          <w:tcPr>
            <w:tcW w:w="1080" w:type="dxa"/>
            <w:tcBorders>
              <w:top w:val="single" w:sz="4" w:space="0" w:color="auto"/>
            </w:tcBorders>
            <w:shd w:val="clear" w:color="auto" w:fill="auto"/>
            <w:hideMark/>
          </w:tcPr>
          <w:p w14:paraId="0F7D98EC"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0.2933</w:t>
            </w:r>
          </w:p>
        </w:tc>
        <w:tc>
          <w:tcPr>
            <w:tcW w:w="2250" w:type="dxa"/>
            <w:tcBorders>
              <w:top w:val="single" w:sz="4" w:space="0" w:color="auto"/>
            </w:tcBorders>
            <w:shd w:val="clear" w:color="auto" w:fill="auto"/>
            <w:hideMark/>
          </w:tcPr>
          <w:p w14:paraId="60605280"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14:paraId="5AE32EFE" w14:textId="77777777" w:rsidTr="00CE1A3C">
        <w:trPr>
          <w:trHeight w:val="250"/>
        </w:trPr>
        <w:tc>
          <w:tcPr>
            <w:cnfStyle w:val="001000000000" w:firstRow="0" w:lastRow="0" w:firstColumn="1" w:lastColumn="0" w:oddVBand="0" w:evenVBand="0" w:oddHBand="0" w:evenHBand="0" w:firstRowFirstColumn="0" w:firstRowLastColumn="0" w:lastRowFirstColumn="0" w:lastRowLastColumn="0"/>
            <w:tcW w:w="1260" w:type="dxa"/>
            <w:hideMark/>
          </w:tcPr>
          <w:p w14:paraId="2EE030B7"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69B9B2CC"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AR(1)</w:t>
            </w:r>
          </w:p>
        </w:tc>
        <w:tc>
          <w:tcPr>
            <w:tcW w:w="1440" w:type="dxa"/>
            <w:hideMark/>
          </w:tcPr>
          <w:p w14:paraId="140D1F8B"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0.73276</w:t>
            </w:r>
          </w:p>
        </w:tc>
        <w:tc>
          <w:tcPr>
            <w:tcW w:w="1440" w:type="dxa"/>
            <w:hideMark/>
          </w:tcPr>
          <w:p w14:paraId="567FCC65"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0.21179</w:t>
            </w:r>
          </w:p>
        </w:tc>
        <w:tc>
          <w:tcPr>
            <w:tcW w:w="1080" w:type="dxa"/>
            <w:hideMark/>
          </w:tcPr>
          <w:p w14:paraId="7FD121AB"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3.46</w:t>
            </w:r>
          </w:p>
        </w:tc>
        <w:tc>
          <w:tcPr>
            <w:tcW w:w="1080" w:type="dxa"/>
            <w:hideMark/>
          </w:tcPr>
          <w:p w14:paraId="15059B4E"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0.0005</w:t>
            </w:r>
          </w:p>
        </w:tc>
        <w:tc>
          <w:tcPr>
            <w:tcW w:w="2250" w:type="dxa"/>
            <w:hideMark/>
          </w:tcPr>
          <w:p w14:paraId="1323AE52"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72C50F14" w14:textId="77777777" w:rsidTr="00CE1A3C">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588EB0BF"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14:paraId="751F6D7E"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MA(1)</w:t>
            </w:r>
          </w:p>
        </w:tc>
        <w:tc>
          <w:tcPr>
            <w:tcW w:w="1440" w:type="dxa"/>
            <w:shd w:val="clear" w:color="auto" w:fill="auto"/>
            <w:hideMark/>
          </w:tcPr>
          <w:p w14:paraId="51B8805F"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-0.7464</w:t>
            </w:r>
          </w:p>
        </w:tc>
        <w:tc>
          <w:tcPr>
            <w:tcW w:w="1440" w:type="dxa"/>
            <w:shd w:val="clear" w:color="auto" w:fill="auto"/>
            <w:hideMark/>
          </w:tcPr>
          <w:p w14:paraId="2E219142"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0.20848</w:t>
            </w:r>
          </w:p>
        </w:tc>
        <w:tc>
          <w:tcPr>
            <w:tcW w:w="1080" w:type="dxa"/>
            <w:shd w:val="clear" w:color="auto" w:fill="auto"/>
            <w:hideMark/>
          </w:tcPr>
          <w:p w14:paraId="58CE5529"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-3.58</w:t>
            </w:r>
          </w:p>
        </w:tc>
        <w:tc>
          <w:tcPr>
            <w:tcW w:w="1080" w:type="dxa"/>
            <w:shd w:val="clear" w:color="auto" w:fill="auto"/>
            <w:hideMark/>
          </w:tcPr>
          <w:p w14:paraId="7EA5EAF8"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0.0003</w:t>
            </w:r>
          </w:p>
        </w:tc>
        <w:tc>
          <w:tcPr>
            <w:tcW w:w="2250" w:type="dxa"/>
            <w:shd w:val="clear" w:color="auto" w:fill="auto"/>
            <w:hideMark/>
          </w:tcPr>
          <w:p w14:paraId="3E342D92"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6BEB2A2C" w14:textId="77777777" w:rsidTr="00CE1A3C">
        <w:trPr>
          <w:trHeight w:val="169"/>
        </w:trPr>
        <w:tc>
          <w:tcPr>
            <w:cnfStyle w:val="001000000000" w:firstRow="0" w:lastRow="0" w:firstColumn="1" w:lastColumn="0" w:oddVBand="0" w:evenVBand="0" w:oddHBand="0" w:evenHBand="0" w:firstRowFirstColumn="0" w:firstRowLastColumn="0" w:lastRowFirstColumn="0" w:lastRowLastColumn="0"/>
            <w:tcW w:w="1260" w:type="dxa"/>
            <w:hideMark/>
          </w:tcPr>
          <w:p w14:paraId="0CE078B1"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1A82CCAF"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Ω</w:t>
            </w:r>
          </w:p>
        </w:tc>
        <w:tc>
          <w:tcPr>
            <w:tcW w:w="1440" w:type="dxa"/>
            <w:hideMark/>
          </w:tcPr>
          <w:p w14:paraId="26F319C3"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0.01551</w:t>
            </w:r>
          </w:p>
        </w:tc>
        <w:tc>
          <w:tcPr>
            <w:tcW w:w="1440" w:type="dxa"/>
            <w:hideMark/>
          </w:tcPr>
          <w:p w14:paraId="57300C8E"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0.0054</w:t>
            </w:r>
          </w:p>
        </w:tc>
        <w:tc>
          <w:tcPr>
            <w:tcW w:w="1080" w:type="dxa"/>
            <w:hideMark/>
          </w:tcPr>
          <w:p w14:paraId="695E7EB2"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2.871</w:t>
            </w:r>
          </w:p>
        </w:tc>
        <w:tc>
          <w:tcPr>
            <w:tcW w:w="1080" w:type="dxa"/>
            <w:hideMark/>
          </w:tcPr>
          <w:p w14:paraId="692F6E12"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0.0041</w:t>
            </w:r>
          </w:p>
        </w:tc>
        <w:tc>
          <w:tcPr>
            <w:tcW w:w="2250" w:type="dxa"/>
            <w:hideMark/>
          </w:tcPr>
          <w:p w14:paraId="5B9E889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276831B4" w14:textId="77777777" w:rsidTr="00CE1A3C">
        <w:trPr>
          <w:cnfStyle w:val="000000100000" w:firstRow="0" w:lastRow="0" w:firstColumn="0" w:lastColumn="0" w:oddVBand="0" w:evenVBand="0" w:oddHBand="1" w:evenHBand="0" w:firstRowFirstColumn="0" w:firstRowLastColumn="0" w:lastRowFirstColumn="0" w:lastRowLastColumn="0"/>
          <w:trHeight w:val="97"/>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37BDDCF6"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14:paraId="09D29054"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α₁</w:t>
            </w:r>
          </w:p>
        </w:tc>
        <w:tc>
          <w:tcPr>
            <w:tcW w:w="1440" w:type="dxa"/>
            <w:shd w:val="clear" w:color="auto" w:fill="auto"/>
            <w:hideMark/>
          </w:tcPr>
          <w:p w14:paraId="6DF79A83"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0.10201</w:t>
            </w:r>
          </w:p>
        </w:tc>
        <w:tc>
          <w:tcPr>
            <w:tcW w:w="1440" w:type="dxa"/>
            <w:shd w:val="clear" w:color="auto" w:fill="auto"/>
            <w:hideMark/>
          </w:tcPr>
          <w:p w14:paraId="4EEF960A"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0.02203</w:t>
            </w:r>
          </w:p>
        </w:tc>
        <w:tc>
          <w:tcPr>
            <w:tcW w:w="1080" w:type="dxa"/>
            <w:shd w:val="clear" w:color="auto" w:fill="auto"/>
            <w:hideMark/>
          </w:tcPr>
          <w:p w14:paraId="585BE09D"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4.631</w:t>
            </w:r>
          </w:p>
        </w:tc>
        <w:tc>
          <w:tcPr>
            <w:tcW w:w="1080" w:type="dxa"/>
            <w:shd w:val="clear" w:color="auto" w:fill="auto"/>
            <w:hideMark/>
          </w:tcPr>
          <w:p w14:paraId="57C4BEDA"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shd w:val="clear" w:color="auto" w:fill="auto"/>
            <w:hideMark/>
          </w:tcPr>
          <w:p w14:paraId="31DA868A"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289943F4" w14:textId="77777777" w:rsidTr="00CE1A3C">
        <w:trPr>
          <w:trHeight w:val="115"/>
        </w:trPr>
        <w:tc>
          <w:tcPr>
            <w:cnfStyle w:val="001000000000" w:firstRow="0" w:lastRow="0" w:firstColumn="1" w:lastColumn="0" w:oddVBand="0" w:evenVBand="0" w:oddHBand="0" w:evenHBand="0" w:firstRowFirstColumn="0" w:firstRowLastColumn="0" w:lastRowFirstColumn="0" w:lastRowLastColumn="0"/>
            <w:tcW w:w="1260" w:type="dxa"/>
            <w:hideMark/>
          </w:tcPr>
          <w:p w14:paraId="63478A80"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4A992E9C"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β₁</w:t>
            </w:r>
          </w:p>
        </w:tc>
        <w:tc>
          <w:tcPr>
            <w:tcW w:w="1440" w:type="dxa"/>
            <w:hideMark/>
          </w:tcPr>
          <w:p w14:paraId="719DF5E7"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0.88444</w:t>
            </w:r>
          </w:p>
        </w:tc>
        <w:tc>
          <w:tcPr>
            <w:tcW w:w="1440" w:type="dxa"/>
            <w:hideMark/>
          </w:tcPr>
          <w:p w14:paraId="53EF99F3"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0.02328</w:t>
            </w:r>
          </w:p>
        </w:tc>
        <w:tc>
          <w:tcPr>
            <w:tcW w:w="1080" w:type="dxa"/>
            <w:hideMark/>
          </w:tcPr>
          <w:p w14:paraId="29F1E302"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37.998</w:t>
            </w:r>
          </w:p>
        </w:tc>
        <w:tc>
          <w:tcPr>
            <w:tcW w:w="1080" w:type="dxa"/>
            <w:hideMark/>
          </w:tcPr>
          <w:p w14:paraId="3F9E9480"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14:paraId="41B3C4FF"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205BE675" w14:textId="77777777" w:rsidTr="00CE1A3C">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1AD0AEE6" w14:textId="77777777"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proofErr w:type="spellStart"/>
            <w:r w:rsidRPr="00044728">
              <w:rPr>
                <w:rFonts w:ascii="Times New Roman" w:eastAsia="Times New Roman" w:hAnsi="Times New Roman" w:cs="Times New Roman"/>
                <w:b w:val="0"/>
                <w:bCs w:val="0"/>
                <w:kern w:val="0"/>
                <w14:ligatures w14:val="none"/>
              </w:rPr>
              <w:t>Dgoldp</w:t>
            </w:r>
            <w:proofErr w:type="spellEnd"/>
          </w:p>
        </w:tc>
        <w:tc>
          <w:tcPr>
            <w:tcW w:w="1338" w:type="dxa"/>
            <w:shd w:val="clear" w:color="auto" w:fill="auto"/>
            <w:hideMark/>
          </w:tcPr>
          <w:p w14:paraId="52D27D6D"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Μ</w:t>
            </w:r>
          </w:p>
        </w:tc>
        <w:tc>
          <w:tcPr>
            <w:tcW w:w="1440" w:type="dxa"/>
            <w:shd w:val="clear" w:color="auto" w:fill="auto"/>
            <w:hideMark/>
          </w:tcPr>
          <w:p w14:paraId="7022B090"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0.01075</w:t>
            </w:r>
          </w:p>
        </w:tc>
        <w:tc>
          <w:tcPr>
            <w:tcW w:w="1440" w:type="dxa"/>
            <w:shd w:val="clear" w:color="auto" w:fill="auto"/>
            <w:hideMark/>
          </w:tcPr>
          <w:p w14:paraId="7DDC68B7"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0.00641</w:t>
            </w:r>
          </w:p>
        </w:tc>
        <w:tc>
          <w:tcPr>
            <w:tcW w:w="1080" w:type="dxa"/>
            <w:shd w:val="clear" w:color="auto" w:fill="auto"/>
            <w:hideMark/>
          </w:tcPr>
          <w:p w14:paraId="0BAA1D9C"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1.678</w:t>
            </w:r>
          </w:p>
        </w:tc>
        <w:tc>
          <w:tcPr>
            <w:tcW w:w="1080" w:type="dxa"/>
            <w:shd w:val="clear" w:color="auto" w:fill="auto"/>
            <w:hideMark/>
          </w:tcPr>
          <w:p w14:paraId="183E9728"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0.0934</w:t>
            </w:r>
          </w:p>
        </w:tc>
        <w:tc>
          <w:tcPr>
            <w:tcW w:w="2250" w:type="dxa"/>
            <w:shd w:val="clear" w:color="auto" w:fill="auto"/>
            <w:hideMark/>
          </w:tcPr>
          <w:p w14:paraId="343996D3"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14:paraId="6C21B863" w14:textId="77777777" w:rsidTr="00CE1A3C">
        <w:trPr>
          <w:trHeight w:val="250"/>
        </w:trPr>
        <w:tc>
          <w:tcPr>
            <w:cnfStyle w:val="001000000000" w:firstRow="0" w:lastRow="0" w:firstColumn="1" w:lastColumn="0" w:oddVBand="0" w:evenVBand="0" w:oddHBand="0" w:evenHBand="0" w:firstRowFirstColumn="0" w:firstRowLastColumn="0" w:lastRowFirstColumn="0" w:lastRowLastColumn="0"/>
            <w:tcW w:w="1260" w:type="dxa"/>
            <w:hideMark/>
          </w:tcPr>
          <w:p w14:paraId="00A4ED20"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52299733"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AR(1)</w:t>
            </w:r>
          </w:p>
        </w:tc>
        <w:tc>
          <w:tcPr>
            <w:tcW w:w="1440" w:type="dxa"/>
            <w:hideMark/>
          </w:tcPr>
          <w:p w14:paraId="209A70AC"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-0.0764</w:t>
            </w:r>
          </w:p>
        </w:tc>
        <w:tc>
          <w:tcPr>
            <w:tcW w:w="1440" w:type="dxa"/>
            <w:hideMark/>
          </w:tcPr>
          <w:p w14:paraId="5FE14010"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0.27412</w:t>
            </w:r>
          </w:p>
        </w:tc>
        <w:tc>
          <w:tcPr>
            <w:tcW w:w="1080" w:type="dxa"/>
            <w:hideMark/>
          </w:tcPr>
          <w:p w14:paraId="5F638DE3"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-0.279</w:t>
            </w:r>
          </w:p>
        </w:tc>
        <w:tc>
          <w:tcPr>
            <w:tcW w:w="1080" w:type="dxa"/>
            <w:hideMark/>
          </w:tcPr>
          <w:p w14:paraId="094722C6"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0.7804</w:t>
            </w:r>
          </w:p>
        </w:tc>
        <w:tc>
          <w:tcPr>
            <w:tcW w:w="2250" w:type="dxa"/>
            <w:hideMark/>
          </w:tcPr>
          <w:p w14:paraId="090DA93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14:paraId="26FFD5ED" w14:textId="77777777" w:rsidTr="00CE1A3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64AB8F25"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14:paraId="249F6EE9"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MA(1)</w:t>
            </w:r>
          </w:p>
        </w:tc>
        <w:tc>
          <w:tcPr>
            <w:tcW w:w="1440" w:type="dxa"/>
            <w:shd w:val="clear" w:color="auto" w:fill="auto"/>
            <w:hideMark/>
          </w:tcPr>
          <w:p w14:paraId="136EACC6"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0.04309</w:t>
            </w:r>
          </w:p>
        </w:tc>
        <w:tc>
          <w:tcPr>
            <w:tcW w:w="1440" w:type="dxa"/>
            <w:shd w:val="clear" w:color="auto" w:fill="auto"/>
            <w:hideMark/>
          </w:tcPr>
          <w:p w14:paraId="17E6F063"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0.27319</w:t>
            </w:r>
          </w:p>
        </w:tc>
        <w:tc>
          <w:tcPr>
            <w:tcW w:w="1080" w:type="dxa"/>
            <w:shd w:val="clear" w:color="auto" w:fill="auto"/>
            <w:hideMark/>
          </w:tcPr>
          <w:p w14:paraId="11A0D23F"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0.158</w:t>
            </w:r>
          </w:p>
        </w:tc>
        <w:tc>
          <w:tcPr>
            <w:tcW w:w="1080" w:type="dxa"/>
            <w:shd w:val="clear" w:color="auto" w:fill="auto"/>
            <w:hideMark/>
          </w:tcPr>
          <w:p w14:paraId="61AE6AEA"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0.8747</w:t>
            </w:r>
          </w:p>
        </w:tc>
        <w:tc>
          <w:tcPr>
            <w:tcW w:w="2250" w:type="dxa"/>
            <w:shd w:val="clear" w:color="auto" w:fill="auto"/>
            <w:hideMark/>
          </w:tcPr>
          <w:p w14:paraId="7B487D67"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14:paraId="41FE849F" w14:textId="77777777" w:rsidTr="00CE1A3C">
        <w:trPr>
          <w:trHeight w:val="250"/>
        </w:trPr>
        <w:tc>
          <w:tcPr>
            <w:cnfStyle w:val="001000000000" w:firstRow="0" w:lastRow="0" w:firstColumn="1" w:lastColumn="0" w:oddVBand="0" w:evenVBand="0" w:oddHBand="0" w:evenHBand="0" w:firstRowFirstColumn="0" w:firstRowLastColumn="0" w:lastRowFirstColumn="0" w:lastRowLastColumn="0"/>
            <w:tcW w:w="1260" w:type="dxa"/>
            <w:hideMark/>
          </w:tcPr>
          <w:p w14:paraId="3FBEA22A"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lastRenderedPageBreak/>
              <w:t> </w:t>
            </w:r>
          </w:p>
        </w:tc>
        <w:tc>
          <w:tcPr>
            <w:tcW w:w="1338" w:type="dxa"/>
            <w:hideMark/>
          </w:tcPr>
          <w:p w14:paraId="0F600086"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Ω</w:t>
            </w:r>
          </w:p>
        </w:tc>
        <w:tc>
          <w:tcPr>
            <w:tcW w:w="1440" w:type="dxa"/>
            <w:hideMark/>
          </w:tcPr>
          <w:p w14:paraId="7100D14B"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0.00381</w:t>
            </w:r>
          </w:p>
        </w:tc>
        <w:tc>
          <w:tcPr>
            <w:tcW w:w="1440" w:type="dxa"/>
            <w:hideMark/>
          </w:tcPr>
          <w:p w14:paraId="476A286D"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0.0039</w:t>
            </w:r>
          </w:p>
        </w:tc>
        <w:tc>
          <w:tcPr>
            <w:tcW w:w="1080" w:type="dxa"/>
            <w:hideMark/>
          </w:tcPr>
          <w:p w14:paraId="4E9DB2F1"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0.976</w:t>
            </w:r>
          </w:p>
        </w:tc>
        <w:tc>
          <w:tcPr>
            <w:tcW w:w="1080" w:type="dxa"/>
            <w:hideMark/>
          </w:tcPr>
          <w:p w14:paraId="12E69D1F"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0.3292</w:t>
            </w:r>
          </w:p>
        </w:tc>
        <w:tc>
          <w:tcPr>
            <w:tcW w:w="2250" w:type="dxa"/>
            <w:hideMark/>
          </w:tcPr>
          <w:p w14:paraId="3426725F"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14:paraId="1D5E9781" w14:textId="77777777" w:rsidTr="00CE1A3C">
        <w:trPr>
          <w:cnfStyle w:val="000000100000" w:firstRow="0" w:lastRow="0" w:firstColumn="0" w:lastColumn="0" w:oddVBand="0" w:evenVBand="0" w:oddHBand="1" w:evenHBand="0" w:firstRowFirstColumn="0" w:firstRowLastColumn="0" w:lastRowFirstColumn="0" w:lastRowLastColumn="0"/>
          <w:trHeight w:val="79"/>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5C32A6FF"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14:paraId="1E3D594F"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α₁</w:t>
            </w:r>
          </w:p>
        </w:tc>
        <w:tc>
          <w:tcPr>
            <w:tcW w:w="1440" w:type="dxa"/>
            <w:shd w:val="clear" w:color="auto" w:fill="auto"/>
            <w:hideMark/>
          </w:tcPr>
          <w:p w14:paraId="3297E8EB"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0.04827</w:t>
            </w:r>
          </w:p>
        </w:tc>
        <w:tc>
          <w:tcPr>
            <w:tcW w:w="1440" w:type="dxa"/>
            <w:shd w:val="clear" w:color="auto" w:fill="auto"/>
            <w:hideMark/>
          </w:tcPr>
          <w:p w14:paraId="08CF4236"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0.02603</w:t>
            </w:r>
          </w:p>
        </w:tc>
        <w:tc>
          <w:tcPr>
            <w:tcW w:w="1080" w:type="dxa"/>
            <w:shd w:val="clear" w:color="auto" w:fill="auto"/>
            <w:hideMark/>
          </w:tcPr>
          <w:p w14:paraId="122BC5FF"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1.854</w:t>
            </w:r>
          </w:p>
        </w:tc>
        <w:tc>
          <w:tcPr>
            <w:tcW w:w="1080" w:type="dxa"/>
            <w:shd w:val="clear" w:color="auto" w:fill="auto"/>
            <w:hideMark/>
          </w:tcPr>
          <w:p w14:paraId="345779D7"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0.0637</w:t>
            </w:r>
          </w:p>
        </w:tc>
        <w:tc>
          <w:tcPr>
            <w:tcW w:w="2250" w:type="dxa"/>
            <w:shd w:val="clear" w:color="auto" w:fill="auto"/>
            <w:hideMark/>
          </w:tcPr>
          <w:p w14:paraId="1AE9FB68"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Marginally Significant (10%)</w:t>
            </w:r>
          </w:p>
        </w:tc>
      </w:tr>
      <w:tr w:rsidR="00044728" w:rsidRPr="00044728" w14:paraId="183067A1" w14:textId="77777777" w:rsidTr="00CE1A3C">
        <w:trPr>
          <w:trHeight w:val="268"/>
        </w:trPr>
        <w:tc>
          <w:tcPr>
            <w:cnfStyle w:val="001000000000" w:firstRow="0" w:lastRow="0" w:firstColumn="1" w:lastColumn="0" w:oddVBand="0" w:evenVBand="0" w:oddHBand="0" w:evenHBand="0" w:firstRowFirstColumn="0" w:firstRowLastColumn="0" w:lastRowFirstColumn="0" w:lastRowLastColumn="0"/>
            <w:tcW w:w="1260" w:type="dxa"/>
            <w:hideMark/>
          </w:tcPr>
          <w:p w14:paraId="50E6F7B8"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47BA2F1A"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β₁</w:t>
            </w:r>
          </w:p>
        </w:tc>
        <w:tc>
          <w:tcPr>
            <w:tcW w:w="1440" w:type="dxa"/>
            <w:hideMark/>
          </w:tcPr>
          <w:p w14:paraId="4CADC971"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0.9328</w:t>
            </w:r>
          </w:p>
        </w:tc>
        <w:tc>
          <w:tcPr>
            <w:tcW w:w="1440" w:type="dxa"/>
            <w:hideMark/>
          </w:tcPr>
          <w:p w14:paraId="4215DB74"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0.04439</w:t>
            </w:r>
          </w:p>
        </w:tc>
        <w:tc>
          <w:tcPr>
            <w:tcW w:w="1080" w:type="dxa"/>
            <w:hideMark/>
          </w:tcPr>
          <w:p w14:paraId="5B90BE17"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21.015</w:t>
            </w:r>
          </w:p>
        </w:tc>
        <w:tc>
          <w:tcPr>
            <w:tcW w:w="1080" w:type="dxa"/>
            <w:hideMark/>
          </w:tcPr>
          <w:p w14:paraId="5AD9671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14:paraId="615515C1"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2D71780F" w14:textId="77777777" w:rsidTr="00CE1A3C">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14044F27" w14:textId="77777777"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proofErr w:type="spellStart"/>
            <w:r w:rsidRPr="00044728">
              <w:rPr>
                <w:rFonts w:ascii="Times New Roman" w:eastAsia="Times New Roman" w:hAnsi="Times New Roman" w:cs="Times New Roman"/>
                <w:b w:val="0"/>
                <w:bCs w:val="0"/>
                <w:kern w:val="0"/>
                <w14:ligatures w14:val="none"/>
              </w:rPr>
              <w:t>dNgas</w:t>
            </w:r>
            <w:proofErr w:type="spellEnd"/>
          </w:p>
        </w:tc>
        <w:tc>
          <w:tcPr>
            <w:tcW w:w="1338" w:type="dxa"/>
            <w:shd w:val="clear" w:color="auto" w:fill="auto"/>
            <w:hideMark/>
          </w:tcPr>
          <w:p w14:paraId="045D3F79"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Μ</w:t>
            </w:r>
          </w:p>
        </w:tc>
        <w:tc>
          <w:tcPr>
            <w:tcW w:w="1440" w:type="dxa"/>
            <w:shd w:val="clear" w:color="auto" w:fill="auto"/>
            <w:hideMark/>
          </w:tcPr>
          <w:p w14:paraId="0858B032"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0.01463</w:t>
            </w:r>
          </w:p>
        </w:tc>
        <w:tc>
          <w:tcPr>
            <w:tcW w:w="1440" w:type="dxa"/>
            <w:shd w:val="clear" w:color="auto" w:fill="auto"/>
            <w:hideMark/>
          </w:tcPr>
          <w:p w14:paraId="4D6C1A39"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0.01654</w:t>
            </w:r>
          </w:p>
        </w:tc>
        <w:tc>
          <w:tcPr>
            <w:tcW w:w="1080" w:type="dxa"/>
            <w:shd w:val="clear" w:color="auto" w:fill="auto"/>
            <w:hideMark/>
          </w:tcPr>
          <w:p w14:paraId="4736CF0E"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0.884</w:t>
            </w:r>
          </w:p>
        </w:tc>
        <w:tc>
          <w:tcPr>
            <w:tcW w:w="1080" w:type="dxa"/>
            <w:shd w:val="clear" w:color="auto" w:fill="auto"/>
            <w:hideMark/>
          </w:tcPr>
          <w:p w14:paraId="1CB21777"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0.3765</w:t>
            </w:r>
          </w:p>
        </w:tc>
        <w:tc>
          <w:tcPr>
            <w:tcW w:w="2250" w:type="dxa"/>
            <w:shd w:val="clear" w:color="auto" w:fill="auto"/>
            <w:hideMark/>
          </w:tcPr>
          <w:p w14:paraId="773AFFBA"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14:paraId="1CC9A590" w14:textId="77777777" w:rsidTr="00CE1A3C">
        <w:trPr>
          <w:trHeight w:val="169"/>
        </w:trPr>
        <w:tc>
          <w:tcPr>
            <w:cnfStyle w:val="001000000000" w:firstRow="0" w:lastRow="0" w:firstColumn="1" w:lastColumn="0" w:oddVBand="0" w:evenVBand="0" w:oddHBand="0" w:evenHBand="0" w:firstRowFirstColumn="0" w:firstRowLastColumn="0" w:lastRowFirstColumn="0" w:lastRowLastColumn="0"/>
            <w:tcW w:w="1260" w:type="dxa"/>
            <w:hideMark/>
          </w:tcPr>
          <w:p w14:paraId="7517AA18"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27E541F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AR(1)</w:t>
            </w:r>
          </w:p>
        </w:tc>
        <w:tc>
          <w:tcPr>
            <w:tcW w:w="1440" w:type="dxa"/>
            <w:hideMark/>
          </w:tcPr>
          <w:p w14:paraId="2120ACA0"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0.66706</w:t>
            </w:r>
          </w:p>
        </w:tc>
        <w:tc>
          <w:tcPr>
            <w:tcW w:w="1440" w:type="dxa"/>
            <w:hideMark/>
          </w:tcPr>
          <w:p w14:paraId="7D8B2E51"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0.15572</w:t>
            </w:r>
          </w:p>
        </w:tc>
        <w:tc>
          <w:tcPr>
            <w:tcW w:w="1080" w:type="dxa"/>
            <w:hideMark/>
          </w:tcPr>
          <w:p w14:paraId="5F7CE278"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4.284</w:t>
            </w:r>
          </w:p>
        </w:tc>
        <w:tc>
          <w:tcPr>
            <w:tcW w:w="1080" w:type="dxa"/>
            <w:hideMark/>
          </w:tcPr>
          <w:p w14:paraId="5508F7F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14:paraId="541DF841"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78C581C9" w14:textId="77777777" w:rsidTr="00CE1A3C">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7EE157E1"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14:paraId="25F55963"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MA(1)</w:t>
            </w:r>
          </w:p>
        </w:tc>
        <w:tc>
          <w:tcPr>
            <w:tcW w:w="1440" w:type="dxa"/>
            <w:shd w:val="clear" w:color="auto" w:fill="auto"/>
            <w:hideMark/>
          </w:tcPr>
          <w:p w14:paraId="5072EE2D"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-0.7105</w:t>
            </w:r>
          </w:p>
        </w:tc>
        <w:tc>
          <w:tcPr>
            <w:tcW w:w="1440" w:type="dxa"/>
            <w:shd w:val="clear" w:color="auto" w:fill="auto"/>
            <w:hideMark/>
          </w:tcPr>
          <w:p w14:paraId="64280B90"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0.14764</w:t>
            </w:r>
          </w:p>
        </w:tc>
        <w:tc>
          <w:tcPr>
            <w:tcW w:w="1080" w:type="dxa"/>
            <w:shd w:val="clear" w:color="auto" w:fill="auto"/>
            <w:hideMark/>
          </w:tcPr>
          <w:p w14:paraId="6F507DA2"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-4.813</w:t>
            </w:r>
          </w:p>
        </w:tc>
        <w:tc>
          <w:tcPr>
            <w:tcW w:w="1080" w:type="dxa"/>
            <w:shd w:val="clear" w:color="auto" w:fill="auto"/>
            <w:hideMark/>
          </w:tcPr>
          <w:p w14:paraId="7DF0A662"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shd w:val="clear" w:color="auto" w:fill="auto"/>
            <w:hideMark/>
          </w:tcPr>
          <w:p w14:paraId="142C0B98"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5997EC5A" w14:textId="77777777" w:rsidTr="00CE1A3C">
        <w:trPr>
          <w:trHeight w:val="250"/>
        </w:trPr>
        <w:tc>
          <w:tcPr>
            <w:cnfStyle w:val="001000000000" w:firstRow="0" w:lastRow="0" w:firstColumn="1" w:lastColumn="0" w:oddVBand="0" w:evenVBand="0" w:oddHBand="0" w:evenHBand="0" w:firstRowFirstColumn="0" w:firstRowLastColumn="0" w:lastRowFirstColumn="0" w:lastRowLastColumn="0"/>
            <w:tcW w:w="1260" w:type="dxa"/>
            <w:hideMark/>
          </w:tcPr>
          <w:p w14:paraId="4C10E55E"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3F3C2FF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Ω</w:t>
            </w:r>
          </w:p>
        </w:tc>
        <w:tc>
          <w:tcPr>
            <w:tcW w:w="1440" w:type="dxa"/>
            <w:hideMark/>
          </w:tcPr>
          <w:p w14:paraId="030941B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0.01097</w:t>
            </w:r>
          </w:p>
        </w:tc>
        <w:tc>
          <w:tcPr>
            <w:tcW w:w="1440" w:type="dxa"/>
            <w:hideMark/>
          </w:tcPr>
          <w:p w14:paraId="152AF6A7"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w:t>
            </w:r>
          </w:p>
        </w:tc>
        <w:tc>
          <w:tcPr>
            <w:tcW w:w="1080" w:type="dxa"/>
            <w:hideMark/>
          </w:tcPr>
          <w:p w14:paraId="2C45311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2.195</w:t>
            </w:r>
          </w:p>
        </w:tc>
        <w:tc>
          <w:tcPr>
            <w:tcW w:w="1080" w:type="dxa"/>
            <w:hideMark/>
          </w:tcPr>
          <w:p w14:paraId="7579610C"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0.0282</w:t>
            </w:r>
          </w:p>
        </w:tc>
        <w:tc>
          <w:tcPr>
            <w:tcW w:w="2250" w:type="dxa"/>
            <w:hideMark/>
          </w:tcPr>
          <w:p w14:paraId="4C8D08D0"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30E4F7A4" w14:textId="77777777" w:rsidTr="00CE1A3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34531BE7"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14:paraId="73623346"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α₁</w:t>
            </w:r>
          </w:p>
        </w:tc>
        <w:tc>
          <w:tcPr>
            <w:tcW w:w="1440" w:type="dxa"/>
            <w:shd w:val="clear" w:color="auto" w:fill="auto"/>
            <w:hideMark/>
          </w:tcPr>
          <w:p w14:paraId="1955F3C7"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0.06454</w:t>
            </w:r>
          </w:p>
        </w:tc>
        <w:tc>
          <w:tcPr>
            <w:tcW w:w="1440" w:type="dxa"/>
            <w:shd w:val="clear" w:color="auto" w:fill="auto"/>
            <w:hideMark/>
          </w:tcPr>
          <w:p w14:paraId="1175C9C6"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0.00933</w:t>
            </w:r>
          </w:p>
        </w:tc>
        <w:tc>
          <w:tcPr>
            <w:tcW w:w="1080" w:type="dxa"/>
            <w:shd w:val="clear" w:color="auto" w:fill="auto"/>
            <w:hideMark/>
          </w:tcPr>
          <w:p w14:paraId="6ECA7869"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6.916</w:t>
            </w:r>
          </w:p>
        </w:tc>
        <w:tc>
          <w:tcPr>
            <w:tcW w:w="1080" w:type="dxa"/>
            <w:shd w:val="clear" w:color="auto" w:fill="auto"/>
            <w:hideMark/>
          </w:tcPr>
          <w:p w14:paraId="687A38EC"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shd w:val="clear" w:color="auto" w:fill="auto"/>
            <w:hideMark/>
          </w:tcPr>
          <w:p w14:paraId="33E69B6A"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212AEA92" w14:textId="77777777" w:rsidTr="00CE1A3C">
        <w:trPr>
          <w:trHeight w:val="250"/>
        </w:trPr>
        <w:tc>
          <w:tcPr>
            <w:cnfStyle w:val="001000000000" w:firstRow="0" w:lastRow="0" w:firstColumn="1" w:lastColumn="0" w:oddVBand="0" w:evenVBand="0" w:oddHBand="0" w:evenHBand="0" w:firstRowFirstColumn="0" w:firstRowLastColumn="0" w:lastRowFirstColumn="0" w:lastRowLastColumn="0"/>
            <w:tcW w:w="1260" w:type="dxa"/>
            <w:hideMark/>
          </w:tcPr>
          <w:p w14:paraId="5AFD2904"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3D1B6182"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β₁</w:t>
            </w:r>
          </w:p>
        </w:tc>
        <w:tc>
          <w:tcPr>
            <w:tcW w:w="1440" w:type="dxa"/>
            <w:hideMark/>
          </w:tcPr>
          <w:p w14:paraId="5E789702"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0.93446</w:t>
            </w:r>
          </w:p>
        </w:tc>
        <w:tc>
          <w:tcPr>
            <w:tcW w:w="1440" w:type="dxa"/>
            <w:hideMark/>
          </w:tcPr>
          <w:p w14:paraId="53461F50"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0.00966</w:t>
            </w:r>
          </w:p>
        </w:tc>
        <w:tc>
          <w:tcPr>
            <w:tcW w:w="1080" w:type="dxa"/>
            <w:hideMark/>
          </w:tcPr>
          <w:p w14:paraId="442C1601"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96.785</w:t>
            </w:r>
          </w:p>
        </w:tc>
        <w:tc>
          <w:tcPr>
            <w:tcW w:w="1080" w:type="dxa"/>
            <w:hideMark/>
          </w:tcPr>
          <w:p w14:paraId="6A550B50"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14:paraId="5B9FEBEE"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0DC4C23E" w14:textId="77777777" w:rsidTr="00CE1A3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0675A61B" w14:textId="77777777"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proofErr w:type="spellStart"/>
            <w:r w:rsidRPr="00044728">
              <w:rPr>
                <w:rFonts w:ascii="Times New Roman" w:eastAsia="Times New Roman" w:hAnsi="Times New Roman" w:cs="Times New Roman"/>
                <w:b w:val="0"/>
                <w:bCs w:val="0"/>
                <w:kern w:val="0"/>
                <w14:ligatures w14:val="none"/>
              </w:rPr>
              <w:t>dCOPP</w:t>
            </w:r>
            <w:proofErr w:type="spellEnd"/>
          </w:p>
        </w:tc>
        <w:tc>
          <w:tcPr>
            <w:tcW w:w="1338" w:type="dxa"/>
            <w:shd w:val="clear" w:color="auto" w:fill="auto"/>
            <w:hideMark/>
          </w:tcPr>
          <w:p w14:paraId="6A71FCB9"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Μ</w:t>
            </w:r>
          </w:p>
        </w:tc>
        <w:tc>
          <w:tcPr>
            <w:tcW w:w="1440" w:type="dxa"/>
            <w:shd w:val="clear" w:color="auto" w:fill="auto"/>
            <w:hideMark/>
          </w:tcPr>
          <w:p w14:paraId="31F937C6"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0.00525</w:t>
            </w:r>
          </w:p>
        </w:tc>
        <w:tc>
          <w:tcPr>
            <w:tcW w:w="1440" w:type="dxa"/>
            <w:shd w:val="clear" w:color="auto" w:fill="auto"/>
            <w:hideMark/>
          </w:tcPr>
          <w:p w14:paraId="40DD765B"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0.00884</w:t>
            </w:r>
          </w:p>
        </w:tc>
        <w:tc>
          <w:tcPr>
            <w:tcW w:w="1080" w:type="dxa"/>
            <w:shd w:val="clear" w:color="auto" w:fill="auto"/>
            <w:hideMark/>
          </w:tcPr>
          <w:p w14:paraId="0B124938"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0.594</w:t>
            </w:r>
          </w:p>
        </w:tc>
        <w:tc>
          <w:tcPr>
            <w:tcW w:w="1080" w:type="dxa"/>
            <w:shd w:val="clear" w:color="auto" w:fill="auto"/>
            <w:hideMark/>
          </w:tcPr>
          <w:p w14:paraId="578F99BF"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0.5524</w:t>
            </w:r>
          </w:p>
        </w:tc>
        <w:tc>
          <w:tcPr>
            <w:tcW w:w="2250" w:type="dxa"/>
            <w:shd w:val="clear" w:color="auto" w:fill="auto"/>
            <w:hideMark/>
          </w:tcPr>
          <w:p w14:paraId="3B0A1B44"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14:paraId="0F4F2A05" w14:textId="77777777" w:rsidTr="00CE1A3C">
        <w:trPr>
          <w:trHeight w:val="160"/>
        </w:trPr>
        <w:tc>
          <w:tcPr>
            <w:cnfStyle w:val="001000000000" w:firstRow="0" w:lastRow="0" w:firstColumn="1" w:lastColumn="0" w:oddVBand="0" w:evenVBand="0" w:oddHBand="0" w:evenHBand="0" w:firstRowFirstColumn="0" w:firstRowLastColumn="0" w:lastRowFirstColumn="0" w:lastRowLastColumn="0"/>
            <w:tcW w:w="1260" w:type="dxa"/>
            <w:hideMark/>
          </w:tcPr>
          <w:p w14:paraId="505C8363"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08295605"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AR(1)</w:t>
            </w:r>
          </w:p>
        </w:tc>
        <w:tc>
          <w:tcPr>
            <w:tcW w:w="1440" w:type="dxa"/>
            <w:hideMark/>
          </w:tcPr>
          <w:p w14:paraId="34D5A441"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-0.011</w:t>
            </w:r>
          </w:p>
        </w:tc>
        <w:tc>
          <w:tcPr>
            <w:tcW w:w="1440" w:type="dxa"/>
            <w:hideMark/>
          </w:tcPr>
          <w:p w14:paraId="030B326D"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0.30758</w:t>
            </w:r>
          </w:p>
        </w:tc>
        <w:tc>
          <w:tcPr>
            <w:tcW w:w="1080" w:type="dxa"/>
            <w:hideMark/>
          </w:tcPr>
          <w:p w14:paraId="5F9A26C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-0.036</w:t>
            </w:r>
          </w:p>
        </w:tc>
        <w:tc>
          <w:tcPr>
            <w:tcW w:w="1080" w:type="dxa"/>
            <w:hideMark/>
          </w:tcPr>
          <w:p w14:paraId="37CEC6C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0.9715</w:t>
            </w:r>
          </w:p>
        </w:tc>
        <w:tc>
          <w:tcPr>
            <w:tcW w:w="2250" w:type="dxa"/>
            <w:hideMark/>
          </w:tcPr>
          <w:p w14:paraId="12ACEEBB"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14:paraId="7F9ECEEB" w14:textId="77777777" w:rsidTr="00CE1A3C">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6B0BAA20"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14:paraId="398A8330"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MA(1)</w:t>
            </w:r>
          </w:p>
        </w:tc>
        <w:tc>
          <w:tcPr>
            <w:tcW w:w="1440" w:type="dxa"/>
            <w:shd w:val="clear" w:color="auto" w:fill="auto"/>
            <w:hideMark/>
          </w:tcPr>
          <w:p w14:paraId="11D7A221"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-0.0105</w:t>
            </w:r>
          </w:p>
        </w:tc>
        <w:tc>
          <w:tcPr>
            <w:tcW w:w="1440" w:type="dxa"/>
            <w:shd w:val="clear" w:color="auto" w:fill="auto"/>
            <w:hideMark/>
          </w:tcPr>
          <w:p w14:paraId="18738FBA"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0.30742</w:t>
            </w:r>
          </w:p>
        </w:tc>
        <w:tc>
          <w:tcPr>
            <w:tcW w:w="1080" w:type="dxa"/>
            <w:shd w:val="clear" w:color="auto" w:fill="auto"/>
            <w:hideMark/>
          </w:tcPr>
          <w:p w14:paraId="245D8DD7"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-0.034</w:t>
            </w:r>
          </w:p>
        </w:tc>
        <w:tc>
          <w:tcPr>
            <w:tcW w:w="1080" w:type="dxa"/>
            <w:shd w:val="clear" w:color="auto" w:fill="auto"/>
            <w:hideMark/>
          </w:tcPr>
          <w:p w14:paraId="34173E95"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0.9729</w:t>
            </w:r>
          </w:p>
        </w:tc>
        <w:tc>
          <w:tcPr>
            <w:tcW w:w="2250" w:type="dxa"/>
            <w:shd w:val="clear" w:color="auto" w:fill="auto"/>
            <w:hideMark/>
          </w:tcPr>
          <w:p w14:paraId="7AC8ACEC"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14:paraId="0B01203D" w14:textId="77777777" w:rsidTr="00CE1A3C">
        <w:trPr>
          <w:trHeight w:val="160"/>
        </w:trPr>
        <w:tc>
          <w:tcPr>
            <w:cnfStyle w:val="001000000000" w:firstRow="0" w:lastRow="0" w:firstColumn="1" w:lastColumn="0" w:oddVBand="0" w:evenVBand="0" w:oddHBand="0" w:evenHBand="0" w:firstRowFirstColumn="0" w:firstRowLastColumn="0" w:lastRowFirstColumn="0" w:lastRowLastColumn="0"/>
            <w:tcW w:w="1260" w:type="dxa"/>
            <w:hideMark/>
          </w:tcPr>
          <w:p w14:paraId="0A7510E0"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48150C75"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Ω</w:t>
            </w:r>
          </w:p>
        </w:tc>
        <w:tc>
          <w:tcPr>
            <w:tcW w:w="1440" w:type="dxa"/>
            <w:hideMark/>
          </w:tcPr>
          <w:p w14:paraId="6A8BCF5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0.00381</w:t>
            </w:r>
          </w:p>
        </w:tc>
        <w:tc>
          <w:tcPr>
            <w:tcW w:w="1440" w:type="dxa"/>
            <w:hideMark/>
          </w:tcPr>
          <w:p w14:paraId="109E8A4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0.00213</w:t>
            </w:r>
          </w:p>
        </w:tc>
        <w:tc>
          <w:tcPr>
            <w:tcW w:w="1080" w:type="dxa"/>
            <w:hideMark/>
          </w:tcPr>
          <w:p w14:paraId="2D2BDD26"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1.79</w:t>
            </w:r>
          </w:p>
        </w:tc>
        <w:tc>
          <w:tcPr>
            <w:tcW w:w="1080" w:type="dxa"/>
            <w:hideMark/>
          </w:tcPr>
          <w:p w14:paraId="06CFD15A"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0.0735</w:t>
            </w:r>
          </w:p>
        </w:tc>
        <w:tc>
          <w:tcPr>
            <w:tcW w:w="2250" w:type="dxa"/>
            <w:hideMark/>
          </w:tcPr>
          <w:p w14:paraId="6D9F154D"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Marginally Significant (10%)</w:t>
            </w:r>
          </w:p>
        </w:tc>
      </w:tr>
      <w:tr w:rsidR="00044728" w:rsidRPr="00044728" w14:paraId="31EE822B" w14:textId="77777777" w:rsidTr="00CE1A3C">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453E81FA"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14:paraId="0A0D280B"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α₁</w:t>
            </w:r>
          </w:p>
        </w:tc>
        <w:tc>
          <w:tcPr>
            <w:tcW w:w="1440" w:type="dxa"/>
            <w:shd w:val="clear" w:color="auto" w:fill="auto"/>
            <w:hideMark/>
          </w:tcPr>
          <w:p w14:paraId="35C5E7C4"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0.04047</w:t>
            </w:r>
          </w:p>
        </w:tc>
        <w:tc>
          <w:tcPr>
            <w:tcW w:w="1440" w:type="dxa"/>
            <w:shd w:val="clear" w:color="auto" w:fill="auto"/>
            <w:hideMark/>
          </w:tcPr>
          <w:p w14:paraId="045925C5"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0.00722</w:t>
            </w:r>
          </w:p>
        </w:tc>
        <w:tc>
          <w:tcPr>
            <w:tcW w:w="1080" w:type="dxa"/>
            <w:shd w:val="clear" w:color="auto" w:fill="auto"/>
            <w:hideMark/>
          </w:tcPr>
          <w:p w14:paraId="6B0AA8B1"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5.602</w:t>
            </w:r>
          </w:p>
        </w:tc>
        <w:tc>
          <w:tcPr>
            <w:tcW w:w="1080" w:type="dxa"/>
            <w:shd w:val="clear" w:color="auto" w:fill="auto"/>
            <w:hideMark/>
          </w:tcPr>
          <w:p w14:paraId="12F67C00"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shd w:val="clear" w:color="auto" w:fill="auto"/>
            <w:hideMark/>
          </w:tcPr>
          <w:p w14:paraId="14FFBC7B"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1C5E99FE" w14:textId="77777777" w:rsidTr="00CE1A3C">
        <w:trPr>
          <w:trHeight w:val="61"/>
        </w:trPr>
        <w:tc>
          <w:tcPr>
            <w:cnfStyle w:val="001000000000" w:firstRow="0" w:lastRow="0" w:firstColumn="1" w:lastColumn="0" w:oddVBand="0" w:evenVBand="0" w:oddHBand="0" w:evenHBand="0" w:firstRowFirstColumn="0" w:firstRowLastColumn="0" w:lastRowFirstColumn="0" w:lastRowLastColumn="0"/>
            <w:tcW w:w="1260" w:type="dxa"/>
            <w:hideMark/>
          </w:tcPr>
          <w:p w14:paraId="26046A0A"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1264C0E0"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β₁</w:t>
            </w:r>
          </w:p>
        </w:tc>
        <w:tc>
          <w:tcPr>
            <w:tcW w:w="1440" w:type="dxa"/>
            <w:hideMark/>
          </w:tcPr>
          <w:p w14:paraId="3E48108A"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0.95176</w:t>
            </w:r>
          </w:p>
        </w:tc>
        <w:tc>
          <w:tcPr>
            <w:tcW w:w="1440" w:type="dxa"/>
            <w:hideMark/>
          </w:tcPr>
          <w:p w14:paraId="6DAF5CB1"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0.00665</w:t>
            </w:r>
          </w:p>
        </w:tc>
        <w:tc>
          <w:tcPr>
            <w:tcW w:w="1080" w:type="dxa"/>
            <w:hideMark/>
          </w:tcPr>
          <w:p w14:paraId="7B83D4FA"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143.083</w:t>
            </w:r>
          </w:p>
        </w:tc>
        <w:tc>
          <w:tcPr>
            <w:tcW w:w="1080" w:type="dxa"/>
            <w:hideMark/>
          </w:tcPr>
          <w:p w14:paraId="0B8E8391"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14:paraId="755A182E"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57F07E4A" w14:textId="77777777" w:rsidTr="00CE1A3C">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744673B8" w14:textId="77777777"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proofErr w:type="spellStart"/>
            <w:r w:rsidRPr="00044728">
              <w:rPr>
                <w:rFonts w:ascii="Times New Roman" w:eastAsia="Times New Roman" w:hAnsi="Times New Roman" w:cs="Times New Roman"/>
                <w:b w:val="0"/>
                <w:bCs w:val="0"/>
                <w:kern w:val="0"/>
                <w14:ligatures w14:val="none"/>
              </w:rPr>
              <w:t>Dstockp</w:t>
            </w:r>
            <w:proofErr w:type="spellEnd"/>
          </w:p>
        </w:tc>
        <w:tc>
          <w:tcPr>
            <w:tcW w:w="1338" w:type="dxa"/>
            <w:shd w:val="clear" w:color="auto" w:fill="auto"/>
            <w:hideMark/>
          </w:tcPr>
          <w:p w14:paraId="4DD260DD"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Μ</w:t>
            </w:r>
          </w:p>
        </w:tc>
        <w:tc>
          <w:tcPr>
            <w:tcW w:w="1440" w:type="dxa"/>
            <w:shd w:val="clear" w:color="auto" w:fill="auto"/>
            <w:hideMark/>
          </w:tcPr>
          <w:p w14:paraId="1ADAE46A"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0.02048</w:t>
            </w:r>
          </w:p>
        </w:tc>
        <w:tc>
          <w:tcPr>
            <w:tcW w:w="1440" w:type="dxa"/>
            <w:shd w:val="clear" w:color="auto" w:fill="auto"/>
            <w:hideMark/>
          </w:tcPr>
          <w:p w14:paraId="5A798016"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0.00733</w:t>
            </w:r>
          </w:p>
        </w:tc>
        <w:tc>
          <w:tcPr>
            <w:tcW w:w="1080" w:type="dxa"/>
            <w:shd w:val="clear" w:color="auto" w:fill="auto"/>
            <w:hideMark/>
          </w:tcPr>
          <w:p w14:paraId="0233B412"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2.792</w:t>
            </w:r>
          </w:p>
        </w:tc>
        <w:tc>
          <w:tcPr>
            <w:tcW w:w="1080" w:type="dxa"/>
            <w:shd w:val="clear" w:color="auto" w:fill="auto"/>
            <w:hideMark/>
          </w:tcPr>
          <w:p w14:paraId="148FD57B"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0.0052</w:t>
            </w:r>
          </w:p>
        </w:tc>
        <w:tc>
          <w:tcPr>
            <w:tcW w:w="2250" w:type="dxa"/>
            <w:shd w:val="clear" w:color="auto" w:fill="auto"/>
            <w:hideMark/>
          </w:tcPr>
          <w:p w14:paraId="6CFD9957"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0D7F05AF" w14:textId="77777777" w:rsidTr="00CE1A3C">
        <w:trPr>
          <w:trHeight w:val="97"/>
        </w:trPr>
        <w:tc>
          <w:tcPr>
            <w:cnfStyle w:val="001000000000" w:firstRow="0" w:lastRow="0" w:firstColumn="1" w:lastColumn="0" w:oddVBand="0" w:evenVBand="0" w:oddHBand="0" w:evenHBand="0" w:firstRowFirstColumn="0" w:firstRowLastColumn="0" w:lastRowFirstColumn="0" w:lastRowLastColumn="0"/>
            <w:tcW w:w="1260" w:type="dxa"/>
            <w:hideMark/>
          </w:tcPr>
          <w:p w14:paraId="4029B513"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1B146BBA"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AR(1)</w:t>
            </w:r>
          </w:p>
        </w:tc>
        <w:tc>
          <w:tcPr>
            <w:tcW w:w="1440" w:type="dxa"/>
            <w:hideMark/>
          </w:tcPr>
          <w:p w14:paraId="79757F88"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0.47116</w:t>
            </w:r>
          </w:p>
        </w:tc>
        <w:tc>
          <w:tcPr>
            <w:tcW w:w="1440" w:type="dxa"/>
            <w:hideMark/>
          </w:tcPr>
          <w:p w14:paraId="2BAA70C1"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0.14562</w:t>
            </w:r>
          </w:p>
        </w:tc>
        <w:tc>
          <w:tcPr>
            <w:tcW w:w="1080" w:type="dxa"/>
            <w:hideMark/>
          </w:tcPr>
          <w:p w14:paraId="44B468C4"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3.236</w:t>
            </w:r>
          </w:p>
        </w:tc>
        <w:tc>
          <w:tcPr>
            <w:tcW w:w="1080" w:type="dxa"/>
            <w:hideMark/>
          </w:tcPr>
          <w:p w14:paraId="5823FA13"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0.0012</w:t>
            </w:r>
          </w:p>
        </w:tc>
        <w:tc>
          <w:tcPr>
            <w:tcW w:w="2250" w:type="dxa"/>
            <w:hideMark/>
          </w:tcPr>
          <w:p w14:paraId="773D80B1"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6E45D3C6" w14:textId="77777777" w:rsidTr="00CE1A3C">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5D09B5F5"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14:paraId="5896585C"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MA(1)</w:t>
            </w:r>
          </w:p>
        </w:tc>
        <w:tc>
          <w:tcPr>
            <w:tcW w:w="1440" w:type="dxa"/>
            <w:shd w:val="clear" w:color="auto" w:fill="auto"/>
            <w:hideMark/>
          </w:tcPr>
          <w:p w14:paraId="1AC8B1E4"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-0.2729</w:t>
            </w:r>
          </w:p>
        </w:tc>
        <w:tc>
          <w:tcPr>
            <w:tcW w:w="1440" w:type="dxa"/>
            <w:shd w:val="clear" w:color="auto" w:fill="auto"/>
            <w:hideMark/>
          </w:tcPr>
          <w:p w14:paraId="205D43F5"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0.16132</w:t>
            </w:r>
          </w:p>
        </w:tc>
        <w:tc>
          <w:tcPr>
            <w:tcW w:w="1080" w:type="dxa"/>
            <w:shd w:val="clear" w:color="auto" w:fill="auto"/>
            <w:hideMark/>
          </w:tcPr>
          <w:p w14:paraId="3504D676"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-1.692</w:t>
            </w:r>
          </w:p>
        </w:tc>
        <w:tc>
          <w:tcPr>
            <w:tcW w:w="1080" w:type="dxa"/>
            <w:shd w:val="clear" w:color="auto" w:fill="auto"/>
            <w:hideMark/>
          </w:tcPr>
          <w:p w14:paraId="15A43926"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0.0907</w:t>
            </w:r>
          </w:p>
        </w:tc>
        <w:tc>
          <w:tcPr>
            <w:tcW w:w="2250" w:type="dxa"/>
            <w:shd w:val="clear" w:color="auto" w:fill="auto"/>
            <w:hideMark/>
          </w:tcPr>
          <w:p w14:paraId="583116D5"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Marginally Significant (10%)</w:t>
            </w:r>
          </w:p>
        </w:tc>
      </w:tr>
      <w:tr w:rsidR="00044728" w:rsidRPr="00044728" w14:paraId="4E60EC44" w14:textId="77777777" w:rsidTr="00CE1A3C">
        <w:trPr>
          <w:trHeight w:val="259"/>
        </w:trPr>
        <w:tc>
          <w:tcPr>
            <w:cnfStyle w:val="001000000000" w:firstRow="0" w:lastRow="0" w:firstColumn="1" w:lastColumn="0" w:oddVBand="0" w:evenVBand="0" w:oddHBand="0" w:evenHBand="0" w:firstRowFirstColumn="0" w:firstRowLastColumn="0" w:lastRowFirstColumn="0" w:lastRowLastColumn="0"/>
            <w:tcW w:w="1260" w:type="dxa"/>
            <w:hideMark/>
          </w:tcPr>
          <w:p w14:paraId="07DA5070"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5D4C95C1"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Ω</w:t>
            </w:r>
          </w:p>
        </w:tc>
        <w:tc>
          <w:tcPr>
            <w:tcW w:w="1440" w:type="dxa"/>
            <w:hideMark/>
          </w:tcPr>
          <w:p w14:paraId="5E19E860"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0.01564</w:t>
            </w:r>
          </w:p>
        </w:tc>
        <w:tc>
          <w:tcPr>
            <w:tcW w:w="1440" w:type="dxa"/>
            <w:hideMark/>
          </w:tcPr>
          <w:p w14:paraId="22F48DDB"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0.00574</w:t>
            </w:r>
          </w:p>
        </w:tc>
        <w:tc>
          <w:tcPr>
            <w:tcW w:w="1080" w:type="dxa"/>
            <w:hideMark/>
          </w:tcPr>
          <w:p w14:paraId="1AF2E261"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2.724</w:t>
            </w:r>
          </w:p>
        </w:tc>
        <w:tc>
          <w:tcPr>
            <w:tcW w:w="1080" w:type="dxa"/>
            <w:hideMark/>
          </w:tcPr>
          <w:p w14:paraId="72E35237"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0.0065</w:t>
            </w:r>
          </w:p>
        </w:tc>
        <w:tc>
          <w:tcPr>
            <w:tcW w:w="2250" w:type="dxa"/>
            <w:hideMark/>
          </w:tcPr>
          <w:p w14:paraId="15D603EA"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5DF0D165" w14:textId="77777777" w:rsidTr="00CE1A3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7754D8BF"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14:paraId="0D0C14BF"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α₁</w:t>
            </w:r>
          </w:p>
        </w:tc>
        <w:tc>
          <w:tcPr>
            <w:tcW w:w="1440" w:type="dxa"/>
            <w:shd w:val="clear" w:color="auto" w:fill="auto"/>
            <w:hideMark/>
          </w:tcPr>
          <w:p w14:paraId="23849285"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0.18555</w:t>
            </w:r>
          </w:p>
        </w:tc>
        <w:tc>
          <w:tcPr>
            <w:tcW w:w="1440" w:type="dxa"/>
            <w:shd w:val="clear" w:color="auto" w:fill="auto"/>
            <w:hideMark/>
          </w:tcPr>
          <w:p w14:paraId="2FF5B576"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0.03371</w:t>
            </w:r>
          </w:p>
        </w:tc>
        <w:tc>
          <w:tcPr>
            <w:tcW w:w="1080" w:type="dxa"/>
            <w:shd w:val="clear" w:color="auto" w:fill="auto"/>
            <w:hideMark/>
          </w:tcPr>
          <w:p w14:paraId="003F2BBD"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5.505</w:t>
            </w:r>
          </w:p>
        </w:tc>
        <w:tc>
          <w:tcPr>
            <w:tcW w:w="1080" w:type="dxa"/>
            <w:shd w:val="clear" w:color="auto" w:fill="auto"/>
            <w:hideMark/>
          </w:tcPr>
          <w:p w14:paraId="127DAA29"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shd w:val="clear" w:color="auto" w:fill="auto"/>
            <w:hideMark/>
          </w:tcPr>
          <w:p w14:paraId="79F598B8"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478D427E" w14:textId="77777777" w:rsidTr="00CE1A3C">
        <w:trPr>
          <w:trHeight w:val="250"/>
        </w:trPr>
        <w:tc>
          <w:tcPr>
            <w:cnfStyle w:val="001000000000" w:firstRow="0" w:lastRow="0" w:firstColumn="1" w:lastColumn="0" w:oddVBand="0" w:evenVBand="0" w:oddHBand="0" w:evenHBand="0" w:firstRowFirstColumn="0" w:firstRowLastColumn="0" w:lastRowFirstColumn="0" w:lastRowLastColumn="0"/>
            <w:tcW w:w="1260" w:type="dxa"/>
            <w:hideMark/>
          </w:tcPr>
          <w:p w14:paraId="7A9DFA29"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1992FB5F"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β₁</w:t>
            </w:r>
          </w:p>
        </w:tc>
        <w:tc>
          <w:tcPr>
            <w:tcW w:w="1440" w:type="dxa"/>
            <w:hideMark/>
          </w:tcPr>
          <w:p w14:paraId="36C22462"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0.72535</w:t>
            </w:r>
          </w:p>
        </w:tc>
        <w:tc>
          <w:tcPr>
            <w:tcW w:w="1440" w:type="dxa"/>
            <w:hideMark/>
          </w:tcPr>
          <w:p w14:paraId="50FA9845"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0.05964</w:t>
            </w:r>
          </w:p>
        </w:tc>
        <w:tc>
          <w:tcPr>
            <w:tcW w:w="1080" w:type="dxa"/>
            <w:hideMark/>
          </w:tcPr>
          <w:p w14:paraId="38B072A6"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12.163</w:t>
            </w:r>
          </w:p>
        </w:tc>
        <w:tc>
          <w:tcPr>
            <w:tcW w:w="1080" w:type="dxa"/>
            <w:hideMark/>
          </w:tcPr>
          <w:p w14:paraId="642B0D24"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14:paraId="62A3F8D1"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52A12088" w14:textId="77777777" w:rsidTr="00CE1A3C">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113CAA14" w14:textId="77777777"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proofErr w:type="spellStart"/>
            <w:r w:rsidRPr="00044728">
              <w:rPr>
                <w:rFonts w:ascii="Times New Roman" w:eastAsia="Times New Roman" w:hAnsi="Times New Roman" w:cs="Times New Roman"/>
                <w:b w:val="0"/>
                <w:bCs w:val="0"/>
                <w:kern w:val="0"/>
                <w14:ligatures w14:val="none"/>
              </w:rPr>
              <w:t>Dexr</w:t>
            </w:r>
            <w:proofErr w:type="spellEnd"/>
          </w:p>
        </w:tc>
        <w:tc>
          <w:tcPr>
            <w:tcW w:w="1338" w:type="dxa"/>
            <w:shd w:val="clear" w:color="auto" w:fill="auto"/>
            <w:hideMark/>
          </w:tcPr>
          <w:p w14:paraId="5F556D9F"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Μ</w:t>
            </w:r>
          </w:p>
        </w:tc>
        <w:tc>
          <w:tcPr>
            <w:tcW w:w="1440" w:type="dxa"/>
            <w:shd w:val="clear" w:color="auto" w:fill="auto"/>
            <w:hideMark/>
          </w:tcPr>
          <w:p w14:paraId="6B5B5AFB"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0.00144</w:t>
            </w:r>
          </w:p>
        </w:tc>
        <w:tc>
          <w:tcPr>
            <w:tcW w:w="1440" w:type="dxa"/>
            <w:shd w:val="clear" w:color="auto" w:fill="auto"/>
            <w:hideMark/>
          </w:tcPr>
          <w:p w14:paraId="2ABE3071"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0.00908</w:t>
            </w:r>
          </w:p>
        </w:tc>
        <w:tc>
          <w:tcPr>
            <w:tcW w:w="1080" w:type="dxa"/>
            <w:shd w:val="clear" w:color="auto" w:fill="auto"/>
            <w:hideMark/>
          </w:tcPr>
          <w:p w14:paraId="5D553032"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0.158</w:t>
            </w:r>
          </w:p>
        </w:tc>
        <w:tc>
          <w:tcPr>
            <w:tcW w:w="1080" w:type="dxa"/>
            <w:shd w:val="clear" w:color="auto" w:fill="auto"/>
            <w:hideMark/>
          </w:tcPr>
          <w:p w14:paraId="2826E381"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0.8742</w:t>
            </w:r>
          </w:p>
        </w:tc>
        <w:tc>
          <w:tcPr>
            <w:tcW w:w="2250" w:type="dxa"/>
            <w:shd w:val="clear" w:color="auto" w:fill="auto"/>
            <w:hideMark/>
          </w:tcPr>
          <w:p w14:paraId="76F29092"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14:paraId="36AE28EC" w14:textId="77777777" w:rsidTr="00CE1A3C">
        <w:trPr>
          <w:trHeight w:val="97"/>
        </w:trPr>
        <w:tc>
          <w:tcPr>
            <w:cnfStyle w:val="001000000000" w:firstRow="0" w:lastRow="0" w:firstColumn="1" w:lastColumn="0" w:oddVBand="0" w:evenVBand="0" w:oddHBand="0" w:evenHBand="0" w:firstRowFirstColumn="0" w:firstRowLastColumn="0" w:lastRowFirstColumn="0" w:lastRowLastColumn="0"/>
            <w:tcW w:w="1260" w:type="dxa"/>
            <w:hideMark/>
          </w:tcPr>
          <w:p w14:paraId="0A69E60A"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1BAABEF0"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AR(1)</w:t>
            </w:r>
          </w:p>
        </w:tc>
        <w:tc>
          <w:tcPr>
            <w:tcW w:w="1440" w:type="dxa"/>
            <w:hideMark/>
          </w:tcPr>
          <w:p w14:paraId="006BC49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-0.0712</w:t>
            </w:r>
          </w:p>
        </w:tc>
        <w:tc>
          <w:tcPr>
            <w:tcW w:w="1440" w:type="dxa"/>
            <w:hideMark/>
          </w:tcPr>
          <w:p w14:paraId="4161D907"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0.14682</w:t>
            </w:r>
          </w:p>
        </w:tc>
        <w:tc>
          <w:tcPr>
            <w:tcW w:w="1080" w:type="dxa"/>
            <w:hideMark/>
          </w:tcPr>
          <w:p w14:paraId="61CFCB44"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-0.485</w:t>
            </w:r>
          </w:p>
        </w:tc>
        <w:tc>
          <w:tcPr>
            <w:tcW w:w="1080" w:type="dxa"/>
            <w:hideMark/>
          </w:tcPr>
          <w:p w14:paraId="7BB5E051"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0.6278</w:t>
            </w:r>
          </w:p>
        </w:tc>
        <w:tc>
          <w:tcPr>
            <w:tcW w:w="2250" w:type="dxa"/>
            <w:hideMark/>
          </w:tcPr>
          <w:p w14:paraId="0B6B83DB"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14:paraId="6DBD634F" w14:textId="77777777" w:rsidTr="00CE1A3C">
        <w:trPr>
          <w:cnfStyle w:val="000000100000" w:firstRow="0" w:lastRow="0" w:firstColumn="0" w:lastColumn="0" w:oddVBand="0" w:evenVBand="0" w:oddHBand="1" w:evenHBand="0" w:firstRowFirstColumn="0" w:firstRowLastColumn="0" w:lastRowFirstColumn="0" w:lastRowLastColumn="0"/>
          <w:trHeight w:val="48"/>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5264C0B2"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14:paraId="7E415A21"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MA(1)</w:t>
            </w:r>
          </w:p>
        </w:tc>
        <w:tc>
          <w:tcPr>
            <w:tcW w:w="1440" w:type="dxa"/>
            <w:shd w:val="clear" w:color="auto" w:fill="auto"/>
            <w:hideMark/>
          </w:tcPr>
          <w:p w14:paraId="2C2BB2A7"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-0.1409</w:t>
            </w:r>
          </w:p>
        </w:tc>
        <w:tc>
          <w:tcPr>
            <w:tcW w:w="1440" w:type="dxa"/>
            <w:shd w:val="clear" w:color="auto" w:fill="auto"/>
            <w:hideMark/>
          </w:tcPr>
          <w:p w14:paraId="23718484"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0.15373</w:t>
            </w:r>
          </w:p>
        </w:tc>
        <w:tc>
          <w:tcPr>
            <w:tcW w:w="1080" w:type="dxa"/>
            <w:shd w:val="clear" w:color="auto" w:fill="auto"/>
            <w:hideMark/>
          </w:tcPr>
          <w:p w14:paraId="54F5793E"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-0.917</w:t>
            </w:r>
          </w:p>
        </w:tc>
        <w:tc>
          <w:tcPr>
            <w:tcW w:w="1080" w:type="dxa"/>
            <w:shd w:val="clear" w:color="auto" w:fill="auto"/>
            <w:hideMark/>
          </w:tcPr>
          <w:p w14:paraId="68392FB0"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0.3593</w:t>
            </w:r>
          </w:p>
        </w:tc>
        <w:tc>
          <w:tcPr>
            <w:tcW w:w="2250" w:type="dxa"/>
            <w:shd w:val="clear" w:color="auto" w:fill="auto"/>
            <w:hideMark/>
          </w:tcPr>
          <w:p w14:paraId="74E76FEA"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Not Significant</w:t>
            </w:r>
          </w:p>
        </w:tc>
      </w:tr>
      <w:tr w:rsidR="00044728" w:rsidRPr="00044728" w14:paraId="4E85C7A1" w14:textId="77777777" w:rsidTr="00CE1A3C">
        <w:trPr>
          <w:trHeight w:val="48"/>
        </w:trPr>
        <w:tc>
          <w:tcPr>
            <w:cnfStyle w:val="001000000000" w:firstRow="0" w:lastRow="0" w:firstColumn="1" w:lastColumn="0" w:oddVBand="0" w:evenVBand="0" w:oddHBand="0" w:evenHBand="0" w:firstRowFirstColumn="0" w:firstRowLastColumn="0" w:lastRowFirstColumn="0" w:lastRowLastColumn="0"/>
            <w:tcW w:w="1260" w:type="dxa"/>
            <w:hideMark/>
          </w:tcPr>
          <w:p w14:paraId="1597BEEB"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79840287"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Ω</w:t>
            </w:r>
          </w:p>
        </w:tc>
        <w:tc>
          <w:tcPr>
            <w:tcW w:w="1440" w:type="dxa"/>
            <w:hideMark/>
          </w:tcPr>
          <w:p w14:paraId="5861E7FB"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1.3E-05</w:t>
            </w:r>
          </w:p>
        </w:tc>
        <w:tc>
          <w:tcPr>
            <w:tcW w:w="1440" w:type="dxa"/>
            <w:hideMark/>
          </w:tcPr>
          <w:p w14:paraId="3F0D7A9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6E-06</w:t>
            </w:r>
          </w:p>
        </w:tc>
        <w:tc>
          <w:tcPr>
            <w:tcW w:w="1080" w:type="dxa"/>
            <w:hideMark/>
          </w:tcPr>
          <w:p w14:paraId="03252770"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2.087</w:t>
            </w:r>
          </w:p>
        </w:tc>
        <w:tc>
          <w:tcPr>
            <w:tcW w:w="1080" w:type="dxa"/>
            <w:hideMark/>
          </w:tcPr>
          <w:p w14:paraId="43669DB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0.0369</w:t>
            </w:r>
          </w:p>
        </w:tc>
        <w:tc>
          <w:tcPr>
            <w:tcW w:w="2250" w:type="dxa"/>
            <w:hideMark/>
          </w:tcPr>
          <w:p w14:paraId="52BD983A"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257C7E39" w14:textId="77777777" w:rsidTr="00CE1A3C">
        <w:trPr>
          <w:cnfStyle w:val="000000100000" w:firstRow="0" w:lastRow="0" w:firstColumn="0" w:lastColumn="0" w:oddVBand="0" w:evenVBand="0" w:oddHBand="1" w:evenHBand="0" w:firstRowFirstColumn="0" w:firstRowLastColumn="0" w:lastRowFirstColumn="0" w:lastRowLastColumn="0"/>
          <w:trHeight w:val="48"/>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7D484E2A"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shd w:val="clear" w:color="auto" w:fill="auto"/>
            <w:hideMark/>
          </w:tcPr>
          <w:p w14:paraId="59EBA9ED"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α₁</w:t>
            </w:r>
          </w:p>
        </w:tc>
        <w:tc>
          <w:tcPr>
            <w:tcW w:w="1440" w:type="dxa"/>
            <w:shd w:val="clear" w:color="auto" w:fill="auto"/>
            <w:hideMark/>
          </w:tcPr>
          <w:p w14:paraId="40E2CEED"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0.0643</w:t>
            </w:r>
          </w:p>
        </w:tc>
        <w:tc>
          <w:tcPr>
            <w:tcW w:w="1440" w:type="dxa"/>
            <w:shd w:val="clear" w:color="auto" w:fill="auto"/>
            <w:hideMark/>
          </w:tcPr>
          <w:p w14:paraId="58292E2B"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0.00929</w:t>
            </w:r>
          </w:p>
        </w:tc>
        <w:tc>
          <w:tcPr>
            <w:tcW w:w="1080" w:type="dxa"/>
            <w:shd w:val="clear" w:color="auto" w:fill="auto"/>
            <w:hideMark/>
          </w:tcPr>
          <w:p w14:paraId="3EDCF9D1"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6.918</w:t>
            </w:r>
          </w:p>
        </w:tc>
        <w:tc>
          <w:tcPr>
            <w:tcW w:w="1080" w:type="dxa"/>
            <w:shd w:val="clear" w:color="auto" w:fill="auto"/>
            <w:hideMark/>
          </w:tcPr>
          <w:p w14:paraId="3E68AABB"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shd w:val="clear" w:color="auto" w:fill="auto"/>
            <w:hideMark/>
          </w:tcPr>
          <w:p w14:paraId="506A9FAD"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17623032" w14:textId="77777777" w:rsidTr="00CE1A3C">
        <w:trPr>
          <w:trHeight w:val="48"/>
        </w:trPr>
        <w:tc>
          <w:tcPr>
            <w:cnfStyle w:val="001000000000" w:firstRow="0" w:lastRow="0" w:firstColumn="1" w:lastColumn="0" w:oddVBand="0" w:evenVBand="0" w:oddHBand="0" w:evenHBand="0" w:firstRowFirstColumn="0" w:firstRowLastColumn="0" w:lastRowFirstColumn="0" w:lastRowLastColumn="0"/>
            <w:tcW w:w="1260" w:type="dxa"/>
            <w:hideMark/>
          </w:tcPr>
          <w:p w14:paraId="34032A66"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787E4EC9"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β₁</w:t>
            </w:r>
          </w:p>
        </w:tc>
        <w:tc>
          <w:tcPr>
            <w:tcW w:w="1440" w:type="dxa"/>
            <w:hideMark/>
          </w:tcPr>
          <w:p w14:paraId="20A17D04"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0.93471</w:t>
            </w:r>
          </w:p>
        </w:tc>
        <w:tc>
          <w:tcPr>
            <w:tcW w:w="1440" w:type="dxa"/>
            <w:hideMark/>
          </w:tcPr>
          <w:p w14:paraId="6E45D000"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0.00593</w:t>
            </w:r>
          </w:p>
        </w:tc>
        <w:tc>
          <w:tcPr>
            <w:tcW w:w="1080" w:type="dxa"/>
            <w:hideMark/>
          </w:tcPr>
          <w:p w14:paraId="07499022"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157.529</w:t>
            </w:r>
          </w:p>
        </w:tc>
        <w:tc>
          <w:tcPr>
            <w:tcW w:w="1080" w:type="dxa"/>
            <w:hideMark/>
          </w:tcPr>
          <w:p w14:paraId="2C2B0CD8"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14:paraId="0A987F8E"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577E7306" w14:textId="77777777" w:rsidTr="00CE1A3C">
        <w:trPr>
          <w:cnfStyle w:val="000000100000" w:firstRow="0" w:lastRow="0" w:firstColumn="0" w:lastColumn="0" w:oddVBand="0" w:evenVBand="0" w:oddHBand="1" w:evenHBand="0" w:firstRowFirstColumn="0" w:firstRowLastColumn="0" w:lastRowFirstColumn="0" w:lastRowLastColumn="0"/>
          <w:trHeight w:val="48"/>
        </w:trPr>
        <w:tc>
          <w:tcPr>
            <w:cnfStyle w:val="001000000000" w:firstRow="0" w:lastRow="0" w:firstColumn="1" w:lastColumn="0" w:oddVBand="0" w:evenVBand="0" w:oddHBand="0" w:evenHBand="0" w:firstRowFirstColumn="0" w:firstRowLastColumn="0" w:lastRowFirstColumn="0" w:lastRowLastColumn="0"/>
            <w:tcW w:w="1260" w:type="dxa"/>
            <w:shd w:val="clear" w:color="auto" w:fill="auto"/>
            <w:hideMark/>
          </w:tcPr>
          <w:p w14:paraId="2CDFBE30" w14:textId="77777777" w:rsidR="00B137B1" w:rsidRPr="00044728" w:rsidRDefault="00B137B1" w:rsidP="00EE0234">
            <w:pPr>
              <w:spacing w:line="240" w:lineRule="auto"/>
              <w:jc w:val="both"/>
              <w:rPr>
                <w:rFonts w:ascii="Times New Roman" w:eastAsia="Times New Roman" w:hAnsi="Times New Roman" w:cs="Times New Roman"/>
                <w:b w:val="0"/>
                <w:bCs w:val="0"/>
                <w:kern w:val="0"/>
                <w14:ligatures w14:val="none"/>
              </w:rPr>
            </w:pPr>
            <w:r w:rsidRPr="00044728">
              <w:rPr>
                <w:rFonts w:ascii="Times New Roman" w:eastAsia="Times New Roman" w:hAnsi="Times New Roman" w:cs="Times New Roman"/>
                <w:b w:val="0"/>
                <w:bCs w:val="0"/>
                <w:kern w:val="0"/>
                <w14:ligatures w14:val="none"/>
              </w:rPr>
              <w:t>DCC Parameters</w:t>
            </w:r>
          </w:p>
        </w:tc>
        <w:tc>
          <w:tcPr>
            <w:tcW w:w="1338" w:type="dxa"/>
            <w:shd w:val="clear" w:color="auto" w:fill="auto"/>
            <w:hideMark/>
          </w:tcPr>
          <w:p w14:paraId="1E9010FB"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α (dcca1)</w:t>
            </w:r>
          </w:p>
        </w:tc>
        <w:tc>
          <w:tcPr>
            <w:tcW w:w="1440" w:type="dxa"/>
            <w:shd w:val="clear" w:color="auto" w:fill="auto"/>
            <w:hideMark/>
          </w:tcPr>
          <w:p w14:paraId="17E822FC"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0.00668</w:t>
            </w:r>
          </w:p>
        </w:tc>
        <w:tc>
          <w:tcPr>
            <w:tcW w:w="1440" w:type="dxa"/>
            <w:shd w:val="clear" w:color="auto" w:fill="auto"/>
            <w:hideMark/>
          </w:tcPr>
          <w:p w14:paraId="3F92E10F"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0.00142</w:t>
            </w:r>
          </w:p>
        </w:tc>
        <w:tc>
          <w:tcPr>
            <w:tcW w:w="1080" w:type="dxa"/>
            <w:shd w:val="clear" w:color="auto" w:fill="auto"/>
            <w:hideMark/>
          </w:tcPr>
          <w:p w14:paraId="00D0C92E"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4.701</w:t>
            </w:r>
          </w:p>
        </w:tc>
        <w:tc>
          <w:tcPr>
            <w:tcW w:w="1080" w:type="dxa"/>
            <w:shd w:val="clear" w:color="auto" w:fill="auto"/>
            <w:hideMark/>
          </w:tcPr>
          <w:p w14:paraId="64C29D2F"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shd w:val="clear" w:color="auto" w:fill="auto"/>
            <w:hideMark/>
          </w:tcPr>
          <w:p w14:paraId="19150C1D" w14:textId="77777777" w:rsidR="00B137B1" w:rsidRPr="00044728" w:rsidRDefault="00B137B1" w:rsidP="00EE023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r w:rsidR="00044728" w:rsidRPr="00044728" w14:paraId="232222E4" w14:textId="77777777" w:rsidTr="00CE1A3C">
        <w:trPr>
          <w:trHeight w:val="48"/>
        </w:trPr>
        <w:tc>
          <w:tcPr>
            <w:cnfStyle w:val="001000000000" w:firstRow="0" w:lastRow="0" w:firstColumn="1" w:lastColumn="0" w:oddVBand="0" w:evenVBand="0" w:oddHBand="0" w:evenHBand="0" w:firstRowFirstColumn="0" w:firstRowLastColumn="0" w:lastRowFirstColumn="0" w:lastRowLastColumn="0"/>
            <w:tcW w:w="1260" w:type="dxa"/>
            <w:hideMark/>
          </w:tcPr>
          <w:p w14:paraId="290F99C1"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 </w:t>
            </w:r>
          </w:p>
        </w:tc>
        <w:tc>
          <w:tcPr>
            <w:tcW w:w="1338" w:type="dxa"/>
            <w:hideMark/>
          </w:tcPr>
          <w:p w14:paraId="568A3C28"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β (dccb1)</w:t>
            </w:r>
          </w:p>
        </w:tc>
        <w:tc>
          <w:tcPr>
            <w:tcW w:w="1440" w:type="dxa"/>
            <w:hideMark/>
          </w:tcPr>
          <w:p w14:paraId="1032A978"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0.99041</w:t>
            </w:r>
          </w:p>
        </w:tc>
        <w:tc>
          <w:tcPr>
            <w:tcW w:w="1440" w:type="dxa"/>
            <w:hideMark/>
          </w:tcPr>
          <w:p w14:paraId="029C1965"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0.00233</w:t>
            </w:r>
          </w:p>
        </w:tc>
        <w:tc>
          <w:tcPr>
            <w:tcW w:w="1080" w:type="dxa"/>
            <w:hideMark/>
          </w:tcPr>
          <w:p w14:paraId="3986DF08"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425.247</w:t>
            </w:r>
          </w:p>
        </w:tc>
        <w:tc>
          <w:tcPr>
            <w:tcW w:w="1080" w:type="dxa"/>
            <w:hideMark/>
          </w:tcPr>
          <w:p w14:paraId="0626F740"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0.0000</w:t>
            </w:r>
          </w:p>
        </w:tc>
        <w:tc>
          <w:tcPr>
            <w:tcW w:w="2250" w:type="dxa"/>
            <w:hideMark/>
          </w:tcPr>
          <w:p w14:paraId="1FE8055A" w14:textId="77777777" w:rsidR="00B137B1" w:rsidRPr="00044728" w:rsidRDefault="00B137B1" w:rsidP="00EE023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Significant</w:t>
            </w:r>
          </w:p>
        </w:tc>
      </w:tr>
    </w:tbl>
    <w:p w14:paraId="6FA14C75" w14:textId="77777777" w:rsidR="00D67BFE" w:rsidRPr="00044728" w:rsidRDefault="00D67BFE" w:rsidP="00EE0234">
      <w:pPr>
        <w:spacing w:after="0"/>
        <w:jc w:val="both"/>
        <w:rPr>
          <w:rFonts w:ascii="Times New Roman" w:eastAsia="Times New Roman" w:hAnsi="Times New Roman" w:cs="Times New Roman"/>
          <w:b/>
          <w:bCs/>
          <w:kern w:val="0"/>
          <w14:ligatures w14:val="none"/>
        </w:rPr>
      </w:pPr>
    </w:p>
    <w:p w14:paraId="19FF1739" w14:textId="77777777" w:rsidR="00D67BFE" w:rsidRPr="00044728" w:rsidRDefault="00E25E77" w:rsidP="00EE0234">
      <w:pPr>
        <w:spacing w:after="0"/>
        <w:jc w:val="both"/>
        <w:rPr>
          <w:rFonts w:ascii="Times New Roman" w:eastAsia="Times New Roman" w:hAnsi="Times New Roman" w:cs="Times New Roman"/>
          <w:bCs/>
          <w:kern w:val="0"/>
          <w14:ligatures w14:val="none"/>
        </w:rPr>
      </w:pPr>
      <w:r w:rsidRPr="00044728">
        <w:rPr>
          <w:rFonts w:ascii="Times New Roman" w:eastAsia="Times New Roman" w:hAnsi="Times New Roman" w:cs="Times New Roman"/>
          <w:bCs/>
          <w:kern w:val="0"/>
          <w14:ligatures w14:val="none"/>
        </w:rPr>
        <w:t xml:space="preserve">The DCC-GARCH estimation results show substantial differences in the conditional mean and volatility dynamics across the six return series. For Brent crude oil (DBCOP), the </w:t>
      </w:r>
      <w:proofErr w:type="gramStart"/>
      <w:r w:rsidRPr="00044728">
        <w:rPr>
          <w:rFonts w:ascii="Times New Roman" w:eastAsia="Times New Roman" w:hAnsi="Times New Roman" w:cs="Times New Roman"/>
          <w:bCs/>
          <w:kern w:val="0"/>
          <w14:ligatures w14:val="none"/>
        </w:rPr>
        <w:t>AR(</w:t>
      </w:r>
      <w:proofErr w:type="gramEnd"/>
      <w:r w:rsidRPr="00044728">
        <w:rPr>
          <w:rFonts w:ascii="Times New Roman" w:eastAsia="Times New Roman" w:hAnsi="Times New Roman" w:cs="Times New Roman"/>
          <w:bCs/>
          <w:kern w:val="0"/>
          <w14:ligatures w14:val="none"/>
        </w:rPr>
        <w:t xml:space="preserve">1) and </w:t>
      </w:r>
      <w:proofErr w:type="gramStart"/>
      <w:r w:rsidRPr="00044728">
        <w:rPr>
          <w:rFonts w:ascii="Times New Roman" w:eastAsia="Times New Roman" w:hAnsi="Times New Roman" w:cs="Times New Roman"/>
          <w:bCs/>
          <w:kern w:val="0"/>
          <w14:ligatures w14:val="none"/>
        </w:rPr>
        <w:t>MA(</w:t>
      </w:r>
      <w:proofErr w:type="gramEnd"/>
      <w:r w:rsidRPr="00044728">
        <w:rPr>
          <w:rFonts w:ascii="Times New Roman" w:eastAsia="Times New Roman" w:hAnsi="Times New Roman" w:cs="Times New Roman"/>
          <w:bCs/>
          <w:kern w:val="0"/>
          <w14:ligatures w14:val="none"/>
        </w:rPr>
        <w:t xml:space="preserve">1) terms are significant (p = 0.0005 and 0.0003), while both the ARCH parameter, α₁ = 0.10201, and GARCH parameter, β₁ = 0.88444, are highly significant (p &lt; 0.001), indicating that current volatility is influenced by both recent shocks and past volatility. For gold (DGOLDP), the mean, AR and MA terms are not significant, while the ARCH parameter is marginally significant at the 10% level (p = 0.0637) and the GARCH parameter is highly significant (β₁ = 0.93280, p &lt; 0.001), suggesting that gold volatility is driven predominantly by its past conditional variance. Natural gas (DNGAS) exhibits significant </w:t>
      </w:r>
      <w:proofErr w:type="gramStart"/>
      <w:r w:rsidRPr="00044728">
        <w:rPr>
          <w:rFonts w:ascii="Times New Roman" w:eastAsia="Times New Roman" w:hAnsi="Times New Roman" w:cs="Times New Roman"/>
          <w:bCs/>
          <w:kern w:val="0"/>
          <w14:ligatures w14:val="none"/>
        </w:rPr>
        <w:t>AR(</w:t>
      </w:r>
      <w:proofErr w:type="gramEnd"/>
      <w:r w:rsidRPr="00044728">
        <w:rPr>
          <w:rFonts w:ascii="Times New Roman" w:eastAsia="Times New Roman" w:hAnsi="Times New Roman" w:cs="Times New Roman"/>
          <w:bCs/>
          <w:kern w:val="0"/>
          <w14:ligatures w14:val="none"/>
        </w:rPr>
        <w:t xml:space="preserve">1), </w:t>
      </w:r>
      <w:proofErr w:type="gramStart"/>
      <w:r w:rsidRPr="00044728">
        <w:rPr>
          <w:rFonts w:ascii="Times New Roman" w:eastAsia="Times New Roman" w:hAnsi="Times New Roman" w:cs="Times New Roman"/>
          <w:bCs/>
          <w:kern w:val="0"/>
          <w14:ligatures w14:val="none"/>
        </w:rPr>
        <w:t>MA(</w:t>
      </w:r>
      <w:proofErr w:type="gramEnd"/>
      <w:r w:rsidRPr="00044728">
        <w:rPr>
          <w:rFonts w:ascii="Times New Roman" w:eastAsia="Times New Roman" w:hAnsi="Times New Roman" w:cs="Times New Roman"/>
          <w:bCs/>
          <w:kern w:val="0"/>
          <w14:ligatures w14:val="none"/>
        </w:rPr>
        <w:t xml:space="preserve">1), ARCH and GARCH effects, with α₁ = </w:t>
      </w:r>
      <w:r w:rsidRPr="00044728">
        <w:rPr>
          <w:rFonts w:ascii="Times New Roman" w:eastAsia="Times New Roman" w:hAnsi="Times New Roman" w:cs="Times New Roman"/>
          <w:bCs/>
          <w:kern w:val="0"/>
          <w14:ligatures w14:val="none"/>
        </w:rPr>
        <w:lastRenderedPageBreak/>
        <w:t xml:space="preserve">0.06454 and β₁ = 0.93446, confirming strong volatility dependence and persistence. For copper (DCOPP), the mean, AR and MA terms are insignificant, although the constant variance term is marginally significant at 10%; importantly, both α₁ = 0.04047 and β₁ = 0.95176 are highly significant, indicating persistent conditional volatility. The Nigerian stock market (DSTOCKP) records a significant mean and </w:t>
      </w:r>
      <w:proofErr w:type="gramStart"/>
      <w:r w:rsidRPr="00044728">
        <w:rPr>
          <w:rFonts w:ascii="Times New Roman" w:eastAsia="Times New Roman" w:hAnsi="Times New Roman" w:cs="Times New Roman"/>
          <w:bCs/>
          <w:kern w:val="0"/>
          <w14:ligatures w14:val="none"/>
        </w:rPr>
        <w:t>AR(</w:t>
      </w:r>
      <w:proofErr w:type="gramEnd"/>
      <w:r w:rsidRPr="00044728">
        <w:rPr>
          <w:rFonts w:ascii="Times New Roman" w:eastAsia="Times New Roman" w:hAnsi="Times New Roman" w:cs="Times New Roman"/>
          <w:bCs/>
          <w:kern w:val="0"/>
          <w14:ligatures w14:val="none"/>
        </w:rPr>
        <w:t xml:space="preserve">1) coefficient, while the </w:t>
      </w:r>
      <w:proofErr w:type="gramStart"/>
      <w:r w:rsidRPr="00044728">
        <w:rPr>
          <w:rFonts w:ascii="Times New Roman" w:eastAsia="Times New Roman" w:hAnsi="Times New Roman" w:cs="Times New Roman"/>
          <w:bCs/>
          <w:kern w:val="0"/>
          <w14:ligatures w14:val="none"/>
        </w:rPr>
        <w:t>MA(</w:t>
      </w:r>
      <w:proofErr w:type="gramEnd"/>
      <w:r w:rsidRPr="00044728">
        <w:rPr>
          <w:rFonts w:ascii="Times New Roman" w:eastAsia="Times New Roman" w:hAnsi="Times New Roman" w:cs="Times New Roman"/>
          <w:bCs/>
          <w:kern w:val="0"/>
          <w14:ligatures w14:val="none"/>
        </w:rPr>
        <w:t xml:space="preserve">1) term is marginally significant at 10%; its significant ARCH coefficient (α₁ = 0.18555) and GARCH coefficient (β₁ = 0.72535) demonstrate that stock-market volatility responds to new shocks as well as previous volatility. Finally, for the exchange rate (DEXR), the mean, AR and MA terms are insignificant, but the variance constant (ω = 0.000013), ARCH coefficient (α₁ = 0.06430) and GARCH coefficient (β₁ = 0.93471) are significant, confirming considerable volatility persistence in exchange-rate returns. The DCC parameters are both highly significant, with α = 0.00668 (p &lt; 0.001) and β = 0.99041 (p &lt; 0.001). The relatively small but significant α indicates that new market information produces changes in conditional correlations, while the very high β indicates that these correlations are highly persistent over time. Overall, the results provide strong evidence of persistent and interconnected volatility processes across the commodity, exchange-rate and stock markets, supporting the suitability of the DCC-GARCH framework for </w:t>
      </w:r>
      <w:proofErr w:type="spellStart"/>
      <w:r w:rsidRPr="00044728">
        <w:rPr>
          <w:rFonts w:ascii="Times New Roman" w:eastAsia="Times New Roman" w:hAnsi="Times New Roman" w:cs="Times New Roman"/>
          <w:bCs/>
          <w:kern w:val="0"/>
          <w14:ligatures w14:val="none"/>
        </w:rPr>
        <w:t>analysing</w:t>
      </w:r>
      <w:proofErr w:type="spellEnd"/>
      <w:r w:rsidRPr="00044728">
        <w:rPr>
          <w:rFonts w:ascii="Times New Roman" w:eastAsia="Times New Roman" w:hAnsi="Times New Roman" w:cs="Times New Roman"/>
          <w:bCs/>
          <w:kern w:val="0"/>
          <w14:ligatures w14:val="none"/>
        </w:rPr>
        <w:t xml:space="preserve"> the dynamic correlations among global commodity prices, exchange rate and Nigerian stock market returns.</w:t>
      </w:r>
    </w:p>
    <w:p w14:paraId="6A2A9CC7" w14:textId="77777777" w:rsidR="00E25E77" w:rsidRPr="00044728" w:rsidRDefault="00E25E77" w:rsidP="00EE0234">
      <w:pPr>
        <w:spacing w:after="0"/>
        <w:jc w:val="both"/>
        <w:rPr>
          <w:rFonts w:ascii="Times New Roman" w:eastAsia="Times New Roman" w:hAnsi="Times New Roman" w:cs="Times New Roman"/>
          <w:bCs/>
          <w:kern w:val="0"/>
          <w14:ligatures w14:val="none"/>
        </w:rPr>
      </w:pPr>
    </w:p>
    <w:p w14:paraId="7FCD6B89" w14:textId="77777777" w:rsidR="002E0BE9" w:rsidRDefault="002E0BE9" w:rsidP="00EE0234">
      <w:pPr>
        <w:spacing w:after="0"/>
        <w:jc w:val="both"/>
        <w:rPr>
          <w:rFonts w:ascii="Times New Roman" w:eastAsia="Times New Roman" w:hAnsi="Times New Roman" w:cs="Times New Roman"/>
          <w:b/>
          <w:bCs/>
          <w:kern w:val="0"/>
          <w14:ligatures w14:val="none"/>
        </w:rPr>
      </w:pPr>
    </w:p>
    <w:p w14:paraId="06A36088" w14:textId="77777777" w:rsidR="002E0BE9" w:rsidRDefault="002E0BE9" w:rsidP="00EE0234">
      <w:pPr>
        <w:spacing w:after="0"/>
        <w:jc w:val="both"/>
        <w:rPr>
          <w:rFonts w:ascii="Times New Roman" w:eastAsia="Times New Roman" w:hAnsi="Times New Roman" w:cs="Times New Roman"/>
          <w:b/>
          <w:bCs/>
          <w:kern w:val="0"/>
          <w14:ligatures w14:val="none"/>
        </w:rPr>
      </w:pPr>
    </w:p>
    <w:p w14:paraId="44BAFB53" w14:textId="77777777" w:rsidR="002E0BE9" w:rsidRDefault="002E0BE9" w:rsidP="00EE0234">
      <w:pPr>
        <w:spacing w:after="0"/>
        <w:jc w:val="both"/>
        <w:rPr>
          <w:rFonts w:ascii="Times New Roman" w:eastAsia="Times New Roman" w:hAnsi="Times New Roman" w:cs="Times New Roman"/>
          <w:b/>
          <w:bCs/>
          <w:kern w:val="0"/>
          <w14:ligatures w14:val="none"/>
        </w:rPr>
      </w:pPr>
    </w:p>
    <w:p w14:paraId="544888A7" w14:textId="77777777" w:rsidR="002E0BE9" w:rsidRDefault="002E0BE9" w:rsidP="00EE0234">
      <w:pPr>
        <w:spacing w:after="0"/>
        <w:jc w:val="both"/>
        <w:rPr>
          <w:rFonts w:ascii="Times New Roman" w:eastAsia="Times New Roman" w:hAnsi="Times New Roman" w:cs="Times New Roman"/>
          <w:b/>
          <w:bCs/>
          <w:kern w:val="0"/>
          <w14:ligatures w14:val="none"/>
        </w:rPr>
      </w:pPr>
    </w:p>
    <w:p w14:paraId="7DAF3EEA" w14:textId="77777777" w:rsidR="002E0BE9" w:rsidRDefault="002E0BE9" w:rsidP="00EE0234">
      <w:pPr>
        <w:spacing w:after="0"/>
        <w:jc w:val="both"/>
        <w:rPr>
          <w:rFonts w:ascii="Times New Roman" w:eastAsia="Times New Roman" w:hAnsi="Times New Roman" w:cs="Times New Roman"/>
          <w:b/>
          <w:bCs/>
          <w:kern w:val="0"/>
          <w14:ligatures w14:val="none"/>
        </w:rPr>
      </w:pPr>
    </w:p>
    <w:p w14:paraId="470D8574" w14:textId="77777777" w:rsidR="002E0BE9" w:rsidRDefault="002E0BE9" w:rsidP="00EE0234">
      <w:pPr>
        <w:spacing w:after="0"/>
        <w:jc w:val="both"/>
        <w:rPr>
          <w:rFonts w:ascii="Times New Roman" w:eastAsia="Times New Roman" w:hAnsi="Times New Roman" w:cs="Times New Roman"/>
          <w:b/>
          <w:bCs/>
          <w:kern w:val="0"/>
          <w14:ligatures w14:val="none"/>
        </w:rPr>
      </w:pPr>
    </w:p>
    <w:p w14:paraId="6CC58316" w14:textId="77777777" w:rsidR="002E0BE9" w:rsidRDefault="002E0BE9" w:rsidP="00EE0234">
      <w:pPr>
        <w:spacing w:after="0"/>
        <w:jc w:val="both"/>
        <w:rPr>
          <w:rFonts w:ascii="Times New Roman" w:eastAsia="Times New Roman" w:hAnsi="Times New Roman" w:cs="Times New Roman"/>
          <w:b/>
          <w:bCs/>
          <w:kern w:val="0"/>
          <w14:ligatures w14:val="none"/>
        </w:rPr>
      </w:pPr>
    </w:p>
    <w:p w14:paraId="7042DBED" w14:textId="77777777" w:rsidR="002E0BE9" w:rsidRDefault="002E0BE9" w:rsidP="00EE0234">
      <w:pPr>
        <w:spacing w:after="0"/>
        <w:jc w:val="both"/>
        <w:rPr>
          <w:rFonts w:ascii="Times New Roman" w:eastAsia="Times New Roman" w:hAnsi="Times New Roman" w:cs="Times New Roman"/>
          <w:b/>
          <w:bCs/>
          <w:kern w:val="0"/>
          <w14:ligatures w14:val="none"/>
        </w:rPr>
      </w:pPr>
    </w:p>
    <w:p w14:paraId="4FFBF388" w14:textId="77777777" w:rsidR="002E0BE9" w:rsidRDefault="002E0BE9" w:rsidP="00EE0234">
      <w:pPr>
        <w:spacing w:after="0"/>
        <w:jc w:val="both"/>
        <w:rPr>
          <w:rFonts w:ascii="Times New Roman" w:eastAsia="Times New Roman" w:hAnsi="Times New Roman" w:cs="Times New Roman"/>
          <w:b/>
          <w:bCs/>
          <w:kern w:val="0"/>
          <w14:ligatures w14:val="none"/>
        </w:rPr>
      </w:pPr>
    </w:p>
    <w:p w14:paraId="0FBA798F" w14:textId="77777777" w:rsidR="002E0BE9" w:rsidRDefault="002E0BE9" w:rsidP="00EE0234">
      <w:pPr>
        <w:spacing w:after="0"/>
        <w:jc w:val="both"/>
        <w:rPr>
          <w:rFonts w:ascii="Times New Roman" w:eastAsia="Times New Roman" w:hAnsi="Times New Roman" w:cs="Times New Roman"/>
          <w:b/>
          <w:bCs/>
          <w:kern w:val="0"/>
          <w14:ligatures w14:val="none"/>
        </w:rPr>
      </w:pPr>
    </w:p>
    <w:p w14:paraId="7FD60B8F" w14:textId="77777777" w:rsidR="002E0BE9" w:rsidRDefault="002E0BE9" w:rsidP="00EE0234">
      <w:pPr>
        <w:spacing w:after="0"/>
        <w:jc w:val="both"/>
        <w:rPr>
          <w:rFonts w:ascii="Times New Roman" w:eastAsia="Times New Roman" w:hAnsi="Times New Roman" w:cs="Times New Roman"/>
          <w:b/>
          <w:bCs/>
          <w:kern w:val="0"/>
          <w14:ligatures w14:val="none"/>
        </w:rPr>
      </w:pPr>
    </w:p>
    <w:p w14:paraId="51865805" w14:textId="77777777" w:rsidR="002E0BE9" w:rsidRDefault="002E0BE9" w:rsidP="00EE0234">
      <w:pPr>
        <w:spacing w:after="0"/>
        <w:jc w:val="both"/>
        <w:rPr>
          <w:rFonts w:ascii="Times New Roman" w:eastAsia="Times New Roman" w:hAnsi="Times New Roman" w:cs="Times New Roman"/>
          <w:b/>
          <w:bCs/>
          <w:kern w:val="0"/>
          <w14:ligatures w14:val="none"/>
        </w:rPr>
      </w:pPr>
    </w:p>
    <w:p w14:paraId="29EBA763" w14:textId="77777777" w:rsidR="00B137B1" w:rsidRPr="00044728" w:rsidRDefault="00367204" w:rsidP="00EE0234">
      <w:pPr>
        <w:spacing w:after="0"/>
        <w:jc w:val="both"/>
        <w:rPr>
          <w:rFonts w:ascii="Times New Roman" w:hAnsi="Times New Roman" w:cs="Times New Roman"/>
          <w:b/>
          <w:bCs/>
        </w:rPr>
      </w:pPr>
      <w:r w:rsidRPr="00044728">
        <w:rPr>
          <w:rFonts w:ascii="Times New Roman" w:eastAsia="Times New Roman" w:hAnsi="Times New Roman" w:cs="Times New Roman"/>
          <w:b/>
          <w:bCs/>
          <w:kern w:val="0"/>
          <w14:ligatures w14:val="none"/>
        </w:rPr>
        <w:t>Table 6</w:t>
      </w:r>
      <w:r w:rsidR="00B137B1" w:rsidRPr="00044728">
        <w:rPr>
          <w:rFonts w:ascii="Times New Roman" w:eastAsia="Times New Roman" w:hAnsi="Times New Roman" w:cs="Times New Roman"/>
          <w:b/>
          <w:bCs/>
          <w:kern w:val="0"/>
          <w14:ligatures w14:val="none"/>
        </w:rPr>
        <w:t xml:space="preserve">: </w:t>
      </w:r>
      <w:r w:rsidR="00B137B1" w:rsidRPr="00044728">
        <w:rPr>
          <w:rFonts w:ascii="Times New Roman" w:hAnsi="Times New Roman" w:cs="Times New Roman"/>
          <w:b/>
          <w:bCs/>
        </w:rPr>
        <w:t>MGARCH DCC Model Summary</w:t>
      </w:r>
    </w:p>
    <w:tbl>
      <w:tblPr>
        <w:tblW w:w="5944" w:type="dxa"/>
        <w:tblBorders>
          <w:top w:val="single" w:sz="4" w:space="0" w:color="auto"/>
          <w:bottom w:val="single" w:sz="4" w:space="0" w:color="auto"/>
        </w:tblBorders>
        <w:tblLook w:val="04A0" w:firstRow="1" w:lastRow="0" w:firstColumn="1" w:lastColumn="0" w:noHBand="0" w:noVBand="1"/>
      </w:tblPr>
      <w:tblGrid>
        <w:gridCol w:w="2967"/>
        <w:gridCol w:w="2977"/>
      </w:tblGrid>
      <w:tr w:rsidR="00044728" w:rsidRPr="00044728" w14:paraId="5B7D2EAF" w14:textId="77777777" w:rsidTr="002E0BE9">
        <w:trPr>
          <w:trHeight w:val="330"/>
        </w:trPr>
        <w:tc>
          <w:tcPr>
            <w:tcW w:w="2967" w:type="dxa"/>
            <w:tcBorders>
              <w:top w:val="single" w:sz="4" w:space="0" w:color="auto"/>
              <w:bottom w:val="single" w:sz="4" w:space="0" w:color="auto"/>
            </w:tcBorders>
            <w:vAlign w:val="center"/>
            <w:hideMark/>
          </w:tcPr>
          <w:p w14:paraId="50814633" w14:textId="77777777"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Statistic</w:t>
            </w:r>
          </w:p>
        </w:tc>
        <w:tc>
          <w:tcPr>
            <w:tcW w:w="2977" w:type="dxa"/>
            <w:tcBorders>
              <w:top w:val="single" w:sz="4" w:space="0" w:color="auto"/>
              <w:bottom w:val="single" w:sz="4" w:space="0" w:color="auto"/>
            </w:tcBorders>
            <w:vAlign w:val="center"/>
            <w:hideMark/>
          </w:tcPr>
          <w:p w14:paraId="0A6EE613" w14:textId="77777777"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Value</w:t>
            </w:r>
          </w:p>
        </w:tc>
      </w:tr>
      <w:tr w:rsidR="00044728" w:rsidRPr="00044728" w14:paraId="23F66E72" w14:textId="77777777" w:rsidTr="002E0BE9">
        <w:trPr>
          <w:trHeight w:val="417"/>
        </w:trPr>
        <w:tc>
          <w:tcPr>
            <w:tcW w:w="2967" w:type="dxa"/>
            <w:tcBorders>
              <w:top w:val="single" w:sz="4" w:space="0" w:color="auto"/>
            </w:tcBorders>
            <w:vAlign w:val="center"/>
            <w:hideMark/>
          </w:tcPr>
          <w:p w14:paraId="6C74C9DC"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Distribution</w:t>
            </w:r>
          </w:p>
        </w:tc>
        <w:tc>
          <w:tcPr>
            <w:tcW w:w="2977" w:type="dxa"/>
            <w:tcBorders>
              <w:top w:val="single" w:sz="4" w:space="0" w:color="auto"/>
            </w:tcBorders>
            <w:vAlign w:val="center"/>
            <w:hideMark/>
          </w:tcPr>
          <w:p w14:paraId="5770F867"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Multivariate t- Distribution</w:t>
            </w:r>
          </w:p>
        </w:tc>
      </w:tr>
      <w:tr w:rsidR="00044728" w:rsidRPr="00044728" w14:paraId="0BD5D594" w14:textId="77777777" w:rsidTr="002E0BE9">
        <w:trPr>
          <w:trHeight w:val="410"/>
        </w:trPr>
        <w:tc>
          <w:tcPr>
            <w:tcW w:w="2967" w:type="dxa"/>
            <w:vAlign w:val="center"/>
            <w:hideMark/>
          </w:tcPr>
          <w:p w14:paraId="3FF7DBE3"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Model</w:t>
            </w:r>
          </w:p>
        </w:tc>
        <w:tc>
          <w:tcPr>
            <w:tcW w:w="2977" w:type="dxa"/>
            <w:vAlign w:val="center"/>
            <w:hideMark/>
          </w:tcPr>
          <w:p w14:paraId="22BB7074"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DCC(1,1)</w:t>
            </w:r>
          </w:p>
        </w:tc>
      </w:tr>
      <w:tr w:rsidR="00044728" w:rsidRPr="00044728" w14:paraId="1B7642E1" w14:textId="77777777" w:rsidTr="002E0BE9">
        <w:trPr>
          <w:trHeight w:val="401"/>
        </w:trPr>
        <w:tc>
          <w:tcPr>
            <w:tcW w:w="2967" w:type="dxa"/>
            <w:vAlign w:val="center"/>
            <w:hideMark/>
          </w:tcPr>
          <w:p w14:paraId="256F5487"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Number of Variables</w:t>
            </w:r>
          </w:p>
        </w:tc>
        <w:tc>
          <w:tcPr>
            <w:tcW w:w="2977" w:type="dxa"/>
            <w:vAlign w:val="center"/>
            <w:hideMark/>
          </w:tcPr>
          <w:p w14:paraId="3B0A76A4"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6</w:t>
            </w:r>
          </w:p>
        </w:tc>
      </w:tr>
      <w:tr w:rsidR="00044728" w:rsidRPr="00044728" w14:paraId="7F9D9592" w14:textId="77777777" w:rsidTr="002E0BE9">
        <w:trPr>
          <w:trHeight w:val="549"/>
        </w:trPr>
        <w:tc>
          <w:tcPr>
            <w:tcW w:w="2967" w:type="dxa"/>
            <w:vAlign w:val="center"/>
            <w:hideMark/>
          </w:tcPr>
          <w:p w14:paraId="22F0684A"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Number of Parameters</w:t>
            </w:r>
          </w:p>
        </w:tc>
        <w:tc>
          <w:tcPr>
            <w:tcW w:w="2977" w:type="dxa"/>
            <w:vAlign w:val="center"/>
            <w:hideMark/>
          </w:tcPr>
          <w:p w14:paraId="7BDD9B59"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53</w:t>
            </w:r>
          </w:p>
        </w:tc>
      </w:tr>
      <w:tr w:rsidR="00044728" w:rsidRPr="00044728" w14:paraId="779077BC" w14:textId="77777777" w:rsidTr="002E0BE9">
        <w:trPr>
          <w:trHeight w:val="401"/>
        </w:trPr>
        <w:tc>
          <w:tcPr>
            <w:tcW w:w="2967" w:type="dxa"/>
            <w:vAlign w:val="center"/>
            <w:hideMark/>
          </w:tcPr>
          <w:p w14:paraId="5B800623"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Log-likelihood</w:t>
            </w:r>
          </w:p>
        </w:tc>
        <w:tc>
          <w:tcPr>
            <w:tcW w:w="2977" w:type="dxa"/>
            <w:vAlign w:val="center"/>
            <w:hideMark/>
          </w:tcPr>
          <w:p w14:paraId="59784F8B"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-419,308.30</w:t>
            </w:r>
          </w:p>
        </w:tc>
      </w:tr>
      <w:tr w:rsidR="00044728" w:rsidRPr="00044728" w14:paraId="1410DEDB" w14:textId="77777777" w:rsidTr="002E0BE9">
        <w:trPr>
          <w:trHeight w:val="548"/>
        </w:trPr>
        <w:tc>
          <w:tcPr>
            <w:tcW w:w="2967" w:type="dxa"/>
            <w:vAlign w:val="center"/>
            <w:hideMark/>
          </w:tcPr>
          <w:p w14:paraId="7C4E6B3E"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lastRenderedPageBreak/>
              <w:t>Average Log-likelihood</w:t>
            </w:r>
          </w:p>
        </w:tc>
        <w:tc>
          <w:tcPr>
            <w:tcW w:w="2977" w:type="dxa"/>
            <w:vAlign w:val="center"/>
            <w:hideMark/>
          </w:tcPr>
          <w:p w14:paraId="677524C7"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-103.58</w:t>
            </w:r>
          </w:p>
        </w:tc>
      </w:tr>
      <w:tr w:rsidR="00044728" w:rsidRPr="00044728" w14:paraId="0CD9FF67" w14:textId="77777777" w:rsidTr="002E0BE9">
        <w:trPr>
          <w:trHeight w:val="542"/>
        </w:trPr>
        <w:tc>
          <w:tcPr>
            <w:tcW w:w="2967" w:type="dxa"/>
            <w:vAlign w:val="center"/>
            <w:hideMark/>
          </w:tcPr>
          <w:p w14:paraId="664234FF"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Akaike Information Criterion (AIC)</w:t>
            </w:r>
          </w:p>
        </w:tc>
        <w:tc>
          <w:tcPr>
            <w:tcW w:w="2977" w:type="dxa"/>
            <w:vAlign w:val="center"/>
            <w:hideMark/>
          </w:tcPr>
          <w:p w14:paraId="14F818BE"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207.19</w:t>
            </w:r>
          </w:p>
        </w:tc>
      </w:tr>
      <w:tr w:rsidR="00044728" w:rsidRPr="00044728" w14:paraId="46772AE5" w14:textId="77777777" w:rsidTr="002E0BE9">
        <w:trPr>
          <w:trHeight w:val="651"/>
        </w:trPr>
        <w:tc>
          <w:tcPr>
            <w:tcW w:w="2967" w:type="dxa"/>
            <w:vAlign w:val="center"/>
            <w:hideMark/>
          </w:tcPr>
          <w:p w14:paraId="2227C5BF"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Bayesian Information Criterion (BIC)</w:t>
            </w:r>
          </w:p>
        </w:tc>
        <w:tc>
          <w:tcPr>
            <w:tcW w:w="2977" w:type="dxa"/>
            <w:vAlign w:val="center"/>
            <w:hideMark/>
          </w:tcPr>
          <w:p w14:paraId="6AD9F41F"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207.28</w:t>
            </w:r>
          </w:p>
        </w:tc>
      </w:tr>
      <w:tr w:rsidR="00044728" w:rsidRPr="00044728" w14:paraId="35A23A16" w14:textId="77777777" w:rsidTr="002E0BE9">
        <w:trPr>
          <w:trHeight w:val="263"/>
        </w:trPr>
        <w:tc>
          <w:tcPr>
            <w:tcW w:w="2967" w:type="dxa"/>
            <w:vAlign w:val="center"/>
            <w:hideMark/>
          </w:tcPr>
          <w:p w14:paraId="64B560BE"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Hannan-Quinn Criterion</w:t>
            </w:r>
          </w:p>
        </w:tc>
        <w:tc>
          <w:tcPr>
            <w:tcW w:w="2977" w:type="dxa"/>
            <w:vAlign w:val="center"/>
            <w:hideMark/>
          </w:tcPr>
          <w:p w14:paraId="1D4D32CA"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207.22</w:t>
            </w:r>
          </w:p>
        </w:tc>
      </w:tr>
    </w:tbl>
    <w:p w14:paraId="2B9B3B81" w14:textId="77777777" w:rsidR="00B137B1" w:rsidRPr="00044728" w:rsidRDefault="00CE1A3C" w:rsidP="00EE0234">
      <w:pPr>
        <w:spacing w:after="0"/>
        <w:jc w:val="both"/>
        <w:rPr>
          <w:rFonts w:ascii="Times New Roman" w:hAnsi="Times New Roman" w:cs="Times New Roman"/>
          <w:lang w:val="en-GB"/>
        </w:rPr>
      </w:pPr>
      <w:r w:rsidRPr="00044728">
        <w:rPr>
          <w:rFonts w:ascii="Times New Roman" w:hAnsi="Times New Roman" w:cs="Times New Roman"/>
          <w:lang w:val="en-GB"/>
        </w:rPr>
        <w:t>Table 6 presents the summary statistics of the estimated MGARCH-</w:t>
      </w:r>
      <w:proofErr w:type="gramStart"/>
      <w:r w:rsidRPr="00044728">
        <w:rPr>
          <w:rFonts w:ascii="Times New Roman" w:hAnsi="Times New Roman" w:cs="Times New Roman"/>
          <w:lang w:val="en-GB"/>
        </w:rPr>
        <w:t>DCC(</w:t>
      </w:r>
      <w:proofErr w:type="gramEnd"/>
      <w:r w:rsidRPr="00044728">
        <w:rPr>
          <w:rFonts w:ascii="Times New Roman" w:hAnsi="Times New Roman" w:cs="Times New Roman"/>
          <w:lang w:val="en-GB"/>
        </w:rPr>
        <w:t xml:space="preserve">1,1) model for the </w:t>
      </w:r>
      <w:proofErr w:type="gramStart"/>
      <w:r w:rsidRPr="00044728">
        <w:rPr>
          <w:rFonts w:ascii="Times New Roman" w:hAnsi="Times New Roman" w:cs="Times New Roman"/>
          <w:lang w:val="en-GB"/>
        </w:rPr>
        <w:t>six return</w:t>
      </w:r>
      <w:proofErr w:type="gramEnd"/>
      <w:r w:rsidRPr="00044728">
        <w:rPr>
          <w:rFonts w:ascii="Times New Roman" w:hAnsi="Times New Roman" w:cs="Times New Roman"/>
          <w:lang w:val="en-GB"/>
        </w:rPr>
        <w:t xml:space="preserve"> series. The model was estimated under a multivariate t-distribution, which is appropriate for financial return data characterised by heavy tails and departures from normality, as indicated by the descriptive statistics. The model contains six variables and 53 estimated parameters, with a log-likelihood value of −419,308.30 and an average log-likelihood of −103.58. The information criteria are 207.19 for AIC, 207.28 for BIC, and 207.22 for the Hannan–Quinn criterion, providing the overall fit measures for the specified </w:t>
      </w:r>
      <w:proofErr w:type="gramStart"/>
      <w:r w:rsidRPr="00044728">
        <w:rPr>
          <w:rFonts w:ascii="Times New Roman" w:hAnsi="Times New Roman" w:cs="Times New Roman"/>
          <w:lang w:val="en-GB"/>
        </w:rPr>
        <w:t>DCC(</w:t>
      </w:r>
      <w:proofErr w:type="gramEnd"/>
      <w:r w:rsidRPr="00044728">
        <w:rPr>
          <w:rFonts w:ascii="Times New Roman" w:hAnsi="Times New Roman" w:cs="Times New Roman"/>
          <w:lang w:val="en-GB"/>
        </w:rPr>
        <w:t xml:space="preserve">1,1) model. More importantly, the adoption of the </w:t>
      </w:r>
      <w:proofErr w:type="gramStart"/>
      <w:r w:rsidRPr="00044728">
        <w:rPr>
          <w:rFonts w:ascii="Times New Roman" w:hAnsi="Times New Roman" w:cs="Times New Roman"/>
          <w:lang w:val="en-GB"/>
        </w:rPr>
        <w:t>DCC(</w:t>
      </w:r>
      <w:proofErr w:type="gramEnd"/>
      <w:r w:rsidRPr="00044728">
        <w:rPr>
          <w:rFonts w:ascii="Times New Roman" w:hAnsi="Times New Roman" w:cs="Times New Roman"/>
          <w:lang w:val="en-GB"/>
        </w:rPr>
        <w:t>1,1) specification enables the conditional correlations among Brent crude oil, copper, gold, natural gas, the Nigerian exchange rate and stock market returns to evolve over time rather than remain fixed</w:t>
      </w:r>
      <w:r w:rsidR="00367FEE" w:rsidRPr="00044728">
        <w:rPr>
          <w:rFonts w:ascii="Times New Roman" w:hAnsi="Times New Roman" w:cs="Times New Roman"/>
          <w:lang w:val="en-GB"/>
        </w:rPr>
        <w:t>.</w:t>
      </w:r>
    </w:p>
    <w:p w14:paraId="7D4691B6" w14:textId="77777777" w:rsidR="00367FEE" w:rsidRPr="00044728" w:rsidRDefault="00367FEE" w:rsidP="00EE0234">
      <w:pPr>
        <w:spacing w:after="0"/>
        <w:jc w:val="both"/>
        <w:rPr>
          <w:rFonts w:ascii="Times New Roman" w:hAnsi="Times New Roman" w:cs="Times New Roman"/>
          <w:lang w:val="en-GB"/>
        </w:rPr>
      </w:pPr>
    </w:p>
    <w:p w14:paraId="1750E8C2" w14:textId="77777777" w:rsidR="00CE1A3C" w:rsidRPr="00044728" w:rsidRDefault="00CE1A3C" w:rsidP="00EE0234">
      <w:pPr>
        <w:spacing w:after="0"/>
        <w:jc w:val="both"/>
        <w:rPr>
          <w:rFonts w:ascii="Times New Roman" w:hAnsi="Times New Roman" w:cs="Times New Roman"/>
          <w:lang w:val="en-GB"/>
        </w:rPr>
      </w:pPr>
    </w:p>
    <w:p w14:paraId="15FE14D9" w14:textId="77777777" w:rsidR="00B137B1" w:rsidRPr="00044728" w:rsidRDefault="00367204" w:rsidP="00EE0234">
      <w:pPr>
        <w:spacing w:after="0"/>
        <w:jc w:val="both"/>
        <w:rPr>
          <w:rFonts w:ascii="Times New Roman" w:hAnsi="Times New Roman" w:cs="Times New Roman"/>
          <w:b/>
          <w:bCs/>
        </w:rPr>
      </w:pPr>
      <w:r w:rsidRPr="00044728">
        <w:rPr>
          <w:rFonts w:ascii="Times New Roman" w:eastAsia="Times New Roman" w:hAnsi="Times New Roman" w:cs="Times New Roman"/>
          <w:b/>
          <w:bCs/>
          <w:kern w:val="0"/>
          <w14:ligatures w14:val="none"/>
        </w:rPr>
        <w:t>Table 7</w:t>
      </w:r>
      <w:r w:rsidR="00B137B1" w:rsidRPr="00044728">
        <w:rPr>
          <w:rFonts w:ascii="Times New Roman" w:eastAsia="Times New Roman" w:hAnsi="Times New Roman" w:cs="Times New Roman"/>
          <w:b/>
          <w:bCs/>
          <w:kern w:val="0"/>
          <w14:ligatures w14:val="none"/>
        </w:rPr>
        <w:t xml:space="preserve">: </w:t>
      </w:r>
      <w:r w:rsidR="00722F2F" w:rsidRPr="00044728">
        <w:rPr>
          <w:rFonts w:ascii="Times New Roman" w:hAnsi="Times New Roman" w:cs="Times New Roman"/>
          <w:b/>
          <w:bCs/>
        </w:rPr>
        <w:t>The persistence of volatility</w:t>
      </w:r>
    </w:p>
    <w:tbl>
      <w:tblPr>
        <w:tblStyle w:val="TableGrid"/>
        <w:tblW w:w="679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0"/>
        <w:gridCol w:w="1442"/>
        <w:gridCol w:w="4242"/>
      </w:tblGrid>
      <w:tr w:rsidR="00B137B1" w:rsidRPr="00044728" w14:paraId="46A844D9" w14:textId="77777777" w:rsidTr="002E0BE9">
        <w:trPr>
          <w:trHeight w:val="645"/>
        </w:trPr>
        <w:tc>
          <w:tcPr>
            <w:tcW w:w="1110" w:type="dxa"/>
            <w:tcBorders>
              <w:top w:val="single" w:sz="4" w:space="0" w:color="auto"/>
              <w:bottom w:val="single" w:sz="4" w:space="0" w:color="auto"/>
            </w:tcBorders>
            <w:hideMark/>
          </w:tcPr>
          <w:p w14:paraId="4F728F6A" w14:textId="77777777" w:rsidR="00B137B1" w:rsidRPr="00044728" w:rsidRDefault="00B137B1" w:rsidP="00EE0234">
            <w:pPr>
              <w:spacing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Variable</w:t>
            </w:r>
          </w:p>
        </w:tc>
        <w:tc>
          <w:tcPr>
            <w:tcW w:w="1442" w:type="dxa"/>
            <w:tcBorders>
              <w:top w:val="single" w:sz="4" w:space="0" w:color="auto"/>
              <w:bottom w:val="single" w:sz="4" w:space="0" w:color="auto"/>
            </w:tcBorders>
            <w:hideMark/>
          </w:tcPr>
          <w:p w14:paraId="78F4B364" w14:textId="77777777" w:rsidR="00B137B1" w:rsidRPr="00044728" w:rsidRDefault="00B137B1" w:rsidP="00EE0234">
            <w:pPr>
              <w:spacing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α₁ + β₁</w:t>
            </w:r>
          </w:p>
        </w:tc>
        <w:tc>
          <w:tcPr>
            <w:tcW w:w="4242" w:type="dxa"/>
            <w:tcBorders>
              <w:top w:val="single" w:sz="4" w:space="0" w:color="auto"/>
              <w:bottom w:val="single" w:sz="4" w:space="0" w:color="auto"/>
            </w:tcBorders>
            <w:hideMark/>
          </w:tcPr>
          <w:p w14:paraId="5E92F405" w14:textId="77777777" w:rsidR="00B137B1" w:rsidRPr="00044728" w:rsidRDefault="00B137B1" w:rsidP="00EE0234">
            <w:pPr>
              <w:spacing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Interpretation</w:t>
            </w:r>
          </w:p>
        </w:tc>
      </w:tr>
      <w:tr w:rsidR="00B137B1" w:rsidRPr="00044728" w14:paraId="45CE0047" w14:textId="77777777" w:rsidTr="002E0BE9">
        <w:trPr>
          <w:trHeight w:val="159"/>
        </w:trPr>
        <w:tc>
          <w:tcPr>
            <w:tcW w:w="1110" w:type="dxa"/>
            <w:tcBorders>
              <w:top w:val="single" w:sz="4" w:space="0" w:color="auto"/>
            </w:tcBorders>
            <w:hideMark/>
          </w:tcPr>
          <w:p w14:paraId="40661B4A"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proofErr w:type="spellStart"/>
            <w:r w:rsidRPr="00044728">
              <w:rPr>
                <w:rFonts w:ascii="Times New Roman" w:eastAsia="Times New Roman" w:hAnsi="Times New Roman" w:cs="Times New Roman"/>
                <w:kern w:val="0"/>
                <w14:ligatures w14:val="none"/>
              </w:rPr>
              <w:t>Dbcop</w:t>
            </w:r>
            <w:proofErr w:type="spellEnd"/>
          </w:p>
        </w:tc>
        <w:tc>
          <w:tcPr>
            <w:tcW w:w="1442" w:type="dxa"/>
            <w:tcBorders>
              <w:top w:val="single" w:sz="4" w:space="0" w:color="auto"/>
            </w:tcBorders>
            <w:hideMark/>
          </w:tcPr>
          <w:p w14:paraId="2831B349"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0.9864</w:t>
            </w:r>
          </w:p>
        </w:tc>
        <w:tc>
          <w:tcPr>
            <w:tcW w:w="4242" w:type="dxa"/>
            <w:tcBorders>
              <w:top w:val="single" w:sz="4" w:space="0" w:color="auto"/>
            </w:tcBorders>
            <w:hideMark/>
          </w:tcPr>
          <w:p w14:paraId="15B7C35A"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Highly persistent volatility</w:t>
            </w:r>
          </w:p>
        </w:tc>
      </w:tr>
      <w:tr w:rsidR="00B137B1" w:rsidRPr="00044728" w14:paraId="3C1D77AC" w14:textId="77777777" w:rsidTr="002E0BE9">
        <w:trPr>
          <w:trHeight w:val="262"/>
        </w:trPr>
        <w:tc>
          <w:tcPr>
            <w:tcW w:w="1110" w:type="dxa"/>
            <w:hideMark/>
          </w:tcPr>
          <w:p w14:paraId="0AED808F"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proofErr w:type="spellStart"/>
            <w:r w:rsidRPr="00044728">
              <w:rPr>
                <w:rFonts w:ascii="Times New Roman" w:eastAsia="Times New Roman" w:hAnsi="Times New Roman" w:cs="Times New Roman"/>
                <w:kern w:val="0"/>
                <w14:ligatures w14:val="none"/>
              </w:rPr>
              <w:t>Dgoldp</w:t>
            </w:r>
            <w:proofErr w:type="spellEnd"/>
          </w:p>
        </w:tc>
        <w:tc>
          <w:tcPr>
            <w:tcW w:w="1442" w:type="dxa"/>
            <w:hideMark/>
          </w:tcPr>
          <w:p w14:paraId="54699C7B"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0.9811</w:t>
            </w:r>
          </w:p>
        </w:tc>
        <w:tc>
          <w:tcPr>
            <w:tcW w:w="4242" w:type="dxa"/>
            <w:hideMark/>
          </w:tcPr>
          <w:p w14:paraId="72A4ECCD"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Highly persistent volatility</w:t>
            </w:r>
          </w:p>
        </w:tc>
      </w:tr>
      <w:tr w:rsidR="00B137B1" w:rsidRPr="00044728" w14:paraId="3EE021F9" w14:textId="77777777" w:rsidTr="002E0BE9">
        <w:trPr>
          <w:trHeight w:val="381"/>
        </w:trPr>
        <w:tc>
          <w:tcPr>
            <w:tcW w:w="1110" w:type="dxa"/>
            <w:hideMark/>
          </w:tcPr>
          <w:p w14:paraId="5184DD6C"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proofErr w:type="spellStart"/>
            <w:r w:rsidRPr="00044728">
              <w:rPr>
                <w:rFonts w:ascii="Times New Roman" w:eastAsia="Times New Roman" w:hAnsi="Times New Roman" w:cs="Times New Roman"/>
                <w:kern w:val="0"/>
                <w14:ligatures w14:val="none"/>
              </w:rPr>
              <w:t>dNgas</w:t>
            </w:r>
            <w:proofErr w:type="spellEnd"/>
          </w:p>
        </w:tc>
        <w:tc>
          <w:tcPr>
            <w:tcW w:w="1442" w:type="dxa"/>
            <w:hideMark/>
          </w:tcPr>
          <w:p w14:paraId="712F4D33"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0.999</w:t>
            </w:r>
          </w:p>
        </w:tc>
        <w:tc>
          <w:tcPr>
            <w:tcW w:w="4242" w:type="dxa"/>
            <w:hideMark/>
          </w:tcPr>
          <w:p w14:paraId="3EB19CFB"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Extremely persistent volatility</w:t>
            </w:r>
          </w:p>
        </w:tc>
      </w:tr>
      <w:tr w:rsidR="00B137B1" w:rsidRPr="00044728" w14:paraId="3A5C896E" w14:textId="77777777" w:rsidTr="002E0BE9">
        <w:trPr>
          <w:trHeight w:val="117"/>
        </w:trPr>
        <w:tc>
          <w:tcPr>
            <w:tcW w:w="1110" w:type="dxa"/>
            <w:hideMark/>
          </w:tcPr>
          <w:p w14:paraId="378430AA"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proofErr w:type="spellStart"/>
            <w:r w:rsidRPr="00044728">
              <w:rPr>
                <w:rFonts w:ascii="Times New Roman" w:eastAsia="Times New Roman" w:hAnsi="Times New Roman" w:cs="Times New Roman"/>
                <w:kern w:val="0"/>
                <w14:ligatures w14:val="none"/>
              </w:rPr>
              <w:t>dCOPP</w:t>
            </w:r>
            <w:proofErr w:type="spellEnd"/>
          </w:p>
        </w:tc>
        <w:tc>
          <w:tcPr>
            <w:tcW w:w="1442" w:type="dxa"/>
            <w:hideMark/>
          </w:tcPr>
          <w:p w14:paraId="654BB01D"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0.9922</w:t>
            </w:r>
          </w:p>
        </w:tc>
        <w:tc>
          <w:tcPr>
            <w:tcW w:w="4242" w:type="dxa"/>
            <w:hideMark/>
          </w:tcPr>
          <w:p w14:paraId="23B037E1"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Extremely persistent volatility</w:t>
            </w:r>
          </w:p>
        </w:tc>
      </w:tr>
      <w:tr w:rsidR="00B137B1" w:rsidRPr="00044728" w14:paraId="288F4A08" w14:textId="77777777" w:rsidTr="002E0BE9">
        <w:trPr>
          <w:trHeight w:val="221"/>
        </w:trPr>
        <w:tc>
          <w:tcPr>
            <w:tcW w:w="1110" w:type="dxa"/>
            <w:hideMark/>
          </w:tcPr>
          <w:p w14:paraId="0B1120DF"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proofErr w:type="spellStart"/>
            <w:r w:rsidRPr="00044728">
              <w:rPr>
                <w:rFonts w:ascii="Times New Roman" w:eastAsia="Times New Roman" w:hAnsi="Times New Roman" w:cs="Times New Roman"/>
                <w:kern w:val="0"/>
                <w14:ligatures w14:val="none"/>
              </w:rPr>
              <w:t>dstockp</w:t>
            </w:r>
            <w:proofErr w:type="spellEnd"/>
          </w:p>
        </w:tc>
        <w:tc>
          <w:tcPr>
            <w:tcW w:w="1442" w:type="dxa"/>
            <w:hideMark/>
          </w:tcPr>
          <w:p w14:paraId="2B26D1AC"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0.9109</w:t>
            </w:r>
          </w:p>
        </w:tc>
        <w:tc>
          <w:tcPr>
            <w:tcW w:w="4242" w:type="dxa"/>
            <w:hideMark/>
          </w:tcPr>
          <w:p w14:paraId="0B4671FA"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Persistent volatility</w:t>
            </w:r>
          </w:p>
        </w:tc>
      </w:tr>
      <w:tr w:rsidR="00B137B1" w:rsidRPr="00044728" w14:paraId="051259FF" w14:textId="77777777" w:rsidTr="002E0BE9">
        <w:trPr>
          <w:trHeight w:val="60"/>
        </w:trPr>
        <w:tc>
          <w:tcPr>
            <w:tcW w:w="1110" w:type="dxa"/>
            <w:hideMark/>
          </w:tcPr>
          <w:p w14:paraId="1C17CFF4"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proofErr w:type="spellStart"/>
            <w:r w:rsidRPr="00044728">
              <w:rPr>
                <w:rFonts w:ascii="Times New Roman" w:eastAsia="Times New Roman" w:hAnsi="Times New Roman" w:cs="Times New Roman"/>
                <w:kern w:val="0"/>
                <w14:ligatures w14:val="none"/>
              </w:rPr>
              <w:t>Dexr</w:t>
            </w:r>
            <w:proofErr w:type="spellEnd"/>
          </w:p>
        </w:tc>
        <w:tc>
          <w:tcPr>
            <w:tcW w:w="1442" w:type="dxa"/>
            <w:hideMark/>
          </w:tcPr>
          <w:p w14:paraId="58917C36"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0.999</w:t>
            </w:r>
          </w:p>
        </w:tc>
        <w:tc>
          <w:tcPr>
            <w:tcW w:w="4242" w:type="dxa"/>
            <w:hideMark/>
          </w:tcPr>
          <w:p w14:paraId="605702C6" w14:textId="77777777" w:rsidR="00B137B1" w:rsidRPr="00044728" w:rsidRDefault="00B137B1" w:rsidP="00EE0234">
            <w:pPr>
              <w:spacing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Extremely persistent volatility</w:t>
            </w:r>
          </w:p>
        </w:tc>
      </w:tr>
    </w:tbl>
    <w:p w14:paraId="2C134CFA" w14:textId="77777777" w:rsidR="00B137B1" w:rsidRPr="00044728" w:rsidRDefault="00E25E77" w:rsidP="00CE1A3C">
      <w:pPr>
        <w:spacing w:after="0" w:line="480" w:lineRule="auto"/>
        <w:jc w:val="both"/>
        <w:rPr>
          <w:rFonts w:ascii="Times New Roman" w:hAnsi="Times New Roman" w:cs="Times New Roman"/>
          <w:b/>
          <w:bCs/>
        </w:rPr>
      </w:pPr>
      <w:r w:rsidRPr="00044728">
        <w:rPr>
          <w:rFonts w:ascii="Times New Roman" w:hAnsi="Times New Roman" w:cs="Times New Roman"/>
        </w:rPr>
        <w:t xml:space="preserve">Table 7 presents the persistence of volatility across the six return series based on the sum of the ARCH and GARCH coefficients, </w:t>
      </w:r>
      <w:r w:rsidRPr="00044728">
        <w:rPr>
          <w:rStyle w:val="katex"/>
          <w:rFonts w:ascii="Times New Roman" w:hAnsi="Times New Roman" w:cs="Times New Roman"/>
        </w:rPr>
        <w:t>α</w:t>
      </w:r>
      <w:r w:rsidRPr="00044728">
        <w:rPr>
          <w:rStyle w:val="katex"/>
          <w:rFonts w:ascii="Times New Roman" w:hAnsi="Times New Roman" w:cs="Times New Roman"/>
          <w:vertAlign w:val="subscript"/>
        </w:rPr>
        <w:t>1</w:t>
      </w:r>
      <w:r w:rsidRPr="00044728">
        <w:rPr>
          <w:rStyle w:val="katex"/>
          <w:rFonts w:ascii="Times New Roman" w:hAnsi="Times New Roman" w:cs="Times New Roman"/>
        </w:rPr>
        <w:t>+β</w:t>
      </w:r>
      <w:r w:rsidRPr="00044728">
        <w:rPr>
          <w:rStyle w:val="katex"/>
          <w:rFonts w:ascii="Times New Roman" w:hAnsi="Times New Roman" w:cs="Times New Roman"/>
          <w:vertAlign w:val="subscript"/>
        </w:rPr>
        <w:t>1</w:t>
      </w:r>
      <w:r w:rsidRPr="00044728">
        <w:rPr>
          <w:rFonts w:ascii="Times New Roman" w:hAnsi="Times New Roman" w:cs="Times New Roman"/>
        </w:rPr>
        <w:t xml:space="preserve">. The results indicate that volatility is highly persistent across all the markets, although the degree of persistence varies. Brent crude oil records a persistence coefficient of </w:t>
      </w:r>
      <w:r w:rsidRPr="00044728">
        <w:rPr>
          <w:rStyle w:val="Strong"/>
          <w:rFonts w:ascii="Times New Roman" w:hAnsi="Times New Roman" w:cs="Times New Roman"/>
          <w:b w:val="0"/>
        </w:rPr>
        <w:t>0.9864</w:t>
      </w:r>
      <w:r w:rsidRPr="00044728">
        <w:rPr>
          <w:rFonts w:ascii="Times New Roman" w:hAnsi="Times New Roman" w:cs="Times New Roman"/>
        </w:rPr>
        <w:t xml:space="preserve">, while gold records </w:t>
      </w:r>
      <w:r w:rsidRPr="00044728">
        <w:rPr>
          <w:rStyle w:val="Strong"/>
          <w:rFonts w:ascii="Times New Roman" w:hAnsi="Times New Roman" w:cs="Times New Roman"/>
          <w:b w:val="0"/>
        </w:rPr>
        <w:t>0.9811</w:t>
      </w:r>
      <w:r w:rsidRPr="00044728">
        <w:rPr>
          <w:rFonts w:ascii="Times New Roman" w:hAnsi="Times New Roman" w:cs="Times New Roman"/>
        </w:rPr>
        <w:t xml:space="preserve">, indicating that shocks to these markets tend to remain influential for a considerable period. Natural gas and the exchange rate have the highest persistence coefficients of </w:t>
      </w:r>
      <w:r w:rsidRPr="00044728">
        <w:rPr>
          <w:rStyle w:val="Strong"/>
          <w:rFonts w:ascii="Times New Roman" w:hAnsi="Times New Roman" w:cs="Times New Roman"/>
          <w:b w:val="0"/>
        </w:rPr>
        <w:t>0.9990</w:t>
      </w:r>
      <w:r w:rsidRPr="00044728">
        <w:rPr>
          <w:rFonts w:ascii="Times New Roman" w:hAnsi="Times New Roman" w:cs="Times New Roman"/>
        </w:rPr>
        <w:t xml:space="preserve"> each, suggesting that volatility shocks in these markets decay very slowly and that current volatility is strongly influenced by past volatility. </w:t>
      </w:r>
      <w:r w:rsidRPr="00044728">
        <w:rPr>
          <w:rFonts w:ascii="Times New Roman" w:hAnsi="Times New Roman" w:cs="Times New Roman"/>
        </w:rPr>
        <w:lastRenderedPageBreak/>
        <w:t xml:space="preserve">Copper also exhibits extremely high persistence with a coefficient of </w:t>
      </w:r>
      <w:r w:rsidRPr="00044728">
        <w:rPr>
          <w:rStyle w:val="Strong"/>
          <w:rFonts w:ascii="Times New Roman" w:hAnsi="Times New Roman" w:cs="Times New Roman"/>
          <w:b w:val="0"/>
        </w:rPr>
        <w:t>0.9922</w:t>
      </w:r>
      <w:r w:rsidRPr="00044728">
        <w:rPr>
          <w:rFonts w:ascii="Times New Roman" w:hAnsi="Times New Roman" w:cs="Times New Roman"/>
        </w:rPr>
        <w:t xml:space="preserve">, whereas the Nigerian stock market records the comparatively lower, though still substantial, coefficient of </w:t>
      </w:r>
      <w:r w:rsidRPr="00044728">
        <w:rPr>
          <w:rStyle w:val="Strong"/>
          <w:rFonts w:ascii="Times New Roman" w:hAnsi="Times New Roman" w:cs="Times New Roman"/>
          <w:b w:val="0"/>
        </w:rPr>
        <w:t>0.9109</w:t>
      </w:r>
      <w:r w:rsidRPr="00044728">
        <w:rPr>
          <w:rFonts w:ascii="Times New Roman" w:hAnsi="Times New Roman" w:cs="Times New Roman"/>
        </w:rPr>
        <w:t xml:space="preserve">. </w:t>
      </w:r>
    </w:p>
    <w:p w14:paraId="7B7CD547" w14:textId="77777777" w:rsidR="00B137B1" w:rsidRPr="00044728" w:rsidRDefault="00367204" w:rsidP="00EE0234">
      <w:pPr>
        <w:spacing w:after="0"/>
        <w:jc w:val="both"/>
        <w:rPr>
          <w:rFonts w:ascii="Times New Roman" w:hAnsi="Times New Roman" w:cs="Times New Roman"/>
          <w:b/>
          <w:bCs/>
        </w:rPr>
      </w:pPr>
      <w:r w:rsidRPr="00044728">
        <w:rPr>
          <w:rFonts w:ascii="Times New Roman" w:hAnsi="Times New Roman" w:cs="Times New Roman"/>
          <w:b/>
          <w:bCs/>
        </w:rPr>
        <w:t>Table 8</w:t>
      </w:r>
      <w:r w:rsidR="00B137B1" w:rsidRPr="00044728">
        <w:rPr>
          <w:rFonts w:ascii="Times New Roman" w:hAnsi="Times New Roman" w:cs="Times New Roman"/>
          <w:b/>
          <w:bCs/>
        </w:rPr>
        <w:t xml:space="preserve">: First-Day Dynamic Conditional Correlation Matrix </w:t>
      </w:r>
    </w:p>
    <w:tbl>
      <w:tblPr>
        <w:tblW w:w="8495" w:type="dxa"/>
        <w:tblBorders>
          <w:top w:val="single" w:sz="4" w:space="0" w:color="auto"/>
          <w:bottom w:val="single" w:sz="4" w:space="0" w:color="auto"/>
        </w:tblBorders>
        <w:tblLook w:val="04A0" w:firstRow="1" w:lastRow="0" w:firstColumn="1" w:lastColumn="0" w:noHBand="0" w:noVBand="1"/>
      </w:tblPr>
      <w:tblGrid>
        <w:gridCol w:w="3392"/>
        <w:gridCol w:w="1560"/>
        <w:gridCol w:w="3543"/>
      </w:tblGrid>
      <w:tr w:rsidR="00044728" w:rsidRPr="00044728" w14:paraId="3EB2BC45" w14:textId="77777777" w:rsidTr="002E0BE9">
        <w:trPr>
          <w:trHeight w:val="439"/>
        </w:trPr>
        <w:tc>
          <w:tcPr>
            <w:tcW w:w="3392" w:type="dxa"/>
            <w:tcBorders>
              <w:top w:val="single" w:sz="4" w:space="0" w:color="auto"/>
              <w:bottom w:val="single" w:sz="4" w:space="0" w:color="auto"/>
            </w:tcBorders>
            <w:vAlign w:val="center"/>
            <w:hideMark/>
          </w:tcPr>
          <w:p w14:paraId="7F0F096A" w14:textId="77777777"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Variables</w:t>
            </w:r>
          </w:p>
        </w:tc>
        <w:tc>
          <w:tcPr>
            <w:tcW w:w="1560" w:type="dxa"/>
            <w:tcBorders>
              <w:top w:val="single" w:sz="4" w:space="0" w:color="auto"/>
              <w:bottom w:val="single" w:sz="4" w:space="0" w:color="auto"/>
            </w:tcBorders>
            <w:vAlign w:val="center"/>
            <w:hideMark/>
          </w:tcPr>
          <w:p w14:paraId="7EE914D3" w14:textId="77777777"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Correlation</w:t>
            </w:r>
          </w:p>
        </w:tc>
        <w:tc>
          <w:tcPr>
            <w:tcW w:w="3543" w:type="dxa"/>
            <w:tcBorders>
              <w:top w:val="single" w:sz="4" w:space="0" w:color="auto"/>
              <w:bottom w:val="single" w:sz="4" w:space="0" w:color="auto"/>
            </w:tcBorders>
            <w:vAlign w:val="center"/>
            <w:hideMark/>
          </w:tcPr>
          <w:p w14:paraId="4ED0E374" w14:textId="77777777"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Interpretation</w:t>
            </w:r>
          </w:p>
        </w:tc>
      </w:tr>
      <w:tr w:rsidR="00044728" w:rsidRPr="00044728" w14:paraId="5103BC5F" w14:textId="77777777" w:rsidTr="002E0BE9">
        <w:trPr>
          <w:trHeight w:val="259"/>
        </w:trPr>
        <w:tc>
          <w:tcPr>
            <w:tcW w:w="3392" w:type="dxa"/>
            <w:tcBorders>
              <w:top w:val="single" w:sz="4" w:space="0" w:color="auto"/>
            </w:tcBorders>
            <w:vAlign w:val="center"/>
            <w:hideMark/>
          </w:tcPr>
          <w:p w14:paraId="69ED88D1"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oil–Gold</w:t>
            </w:r>
          </w:p>
        </w:tc>
        <w:tc>
          <w:tcPr>
            <w:tcW w:w="1560" w:type="dxa"/>
            <w:tcBorders>
              <w:top w:val="single" w:sz="4" w:space="0" w:color="auto"/>
            </w:tcBorders>
            <w:vAlign w:val="center"/>
            <w:hideMark/>
          </w:tcPr>
          <w:p w14:paraId="58A6AD64"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0.0148</w:t>
            </w:r>
          </w:p>
        </w:tc>
        <w:tc>
          <w:tcPr>
            <w:tcW w:w="3543" w:type="dxa"/>
            <w:tcBorders>
              <w:top w:val="single" w:sz="4" w:space="0" w:color="auto"/>
            </w:tcBorders>
            <w:vAlign w:val="center"/>
            <w:hideMark/>
          </w:tcPr>
          <w:p w14:paraId="0D56ABA6"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Very weak positive correlation</w:t>
            </w:r>
          </w:p>
        </w:tc>
      </w:tr>
      <w:tr w:rsidR="00044728" w:rsidRPr="00044728" w14:paraId="0EB36B37" w14:textId="77777777" w:rsidTr="002E0BE9">
        <w:trPr>
          <w:trHeight w:val="313"/>
        </w:trPr>
        <w:tc>
          <w:tcPr>
            <w:tcW w:w="3392" w:type="dxa"/>
            <w:vAlign w:val="center"/>
            <w:hideMark/>
          </w:tcPr>
          <w:p w14:paraId="175E63C7"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oil–Natural gas</w:t>
            </w:r>
          </w:p>
        </w:tc>
        <w:tc>
          <w:tcPr>
            <w:tcW w:w="1560" w:type="dxa"/>
            <w:vAlign w:val="center"/>
            <w:hideMark/>
          </w:tcPr>
          <w:p w14:paraId="1B2685EA"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0.0168</w:t>
            </w:r>
          </w:p>
        </w:tc>
        <w:tc>
          <w:tcPr>
            <w:tcW w:w="3543" w:type="dxa"/>
            <w:vAlign w:val="center"/>
            <w:hideMark/>
          </w:tcPr>
          <w:p w14:paraId="2FEC1376"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Very weak positive correlation</w:t>
            </w:r>
          </w:p>
        </w:tc>
      </w:tr>
      <w:tr w:rsidR="00044728" w:rsidRPr="00044728" w14:paraId="0E31DA55" w14:textId="77777777" w:rsidTr="002E0BE9">
        <w:trPr>
          <w:trHeight w:val="250"/>
        </w:trPr>
        <w:tc>
          <w:tcPr>
            <w:tcW w:w="3392" w:type="dxa"/>
            <w:vAlign w:val="center"/>
            <w:hideMark/>
          </w:tcPr>
          <w:p w14:paraId="1424CC30"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oil–Copper</w:t>
            </w:r>
          </w:p>
        </w:tc>
        <w:tc>
          <w:tcPr>
            <w:tcW w:w="1560" w:type="dxa"/>
            <w:vAlign w:val="center"/>
            <w:hideMark/>
          </w:tcPr>
          <w:p w14:paraId="62BA118C"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0.0223</w:t>
            </w:r>
          </w:p>
        </w:tc>
        <w:tc>
          <w:tcPr>
            <w:tcW w:w="3543" w:type="dxa"/>
            <w:vAlign w:val="center"/>
            <w:hideMark/>
          </w:tcPr>
          <w:p w14:paraId="174005F9"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Very weak positive correlation</w:t>
            </w:r>
          </w:p>
        </w:tc>
      </w:tr>
      <w:tr w:rsidR="00044728" w:rsidRPr="00044728" w14:paraId="1E4BE164" w14:textId="77777777" w:rsidTr="002E0BE9">
        <w:trPr>
          <w:trHeight w:val="232"/>
        </w:trPr>
        <w:tc>
          <w:tcPr>
            <w:tcW w:w="3392" w:type="dxa"/>
            <w:vAlign w:val="center"/>
            <w:hideMark/>
          </w:tcPr>
          <w:p w14:paraId="29919D30"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oil–Stock</w:t>
            </w:r>
          </w:p>
        </w:tc>
        <w:tc>
          <w:tcPr>
            <w:tcW w:w="1560" w:type="dxa"/>
            <w:vAlign w:val="center"/>
            <w:hideMark/>
          </w:tcPr>
          <w:p w14:paraId="5247F7A7"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0.0002</w:t>
            </w:r>
          </w:p>
        </w:tc>
        <w:tc>
          <w:tcPr>
            <w:tcW w:w="3543" w:type="dxa"/>
            <w:vAlign w:val="center"/>
            <w:hideMark/>
          </w:tcPr>
          <w:p w14:paraId="2DF4AADE"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Almost zero correlation</w:t>
            </w:r>
          </w:p>
        </w:tc>
      </w:tr>
      <w:tr w:rsidR="00044728" w:rsidRPr="00044728" w14:paraId="3942F82D" w14:textId="77777777" w:rsidTr="002E0BE9">
        <w:trPr>
          <w:trHeight w:val="295"/>
        </w:trPr>
        <w:tc>
          <w:tcPr>
            <w:tcW w:w="3392" w:type="dxa"/>
            <w:vAlign w:val="center"/>
            <w:hideMark/>
          </w:tcPr>
          <w:p w14:paraId="60126B87"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oil–Exchange rate</w:t>
            </w:r>
          </w:p>
        </w:tc>
        <w:tc>
          <w:tcPr>
            <w:tcW w:w="1560" w:type="dxa"/>
            <w:vAlign w:val="center"/>
            <w:hideMark/>
          </w:tcPr>
          <w:p w14:paraId="3DB40EB5"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-0.0054</w:t>
            </w:r>
          </w:p>
        </w:tc>
        <w:tc>
          <w:tcPr>
            <w:tcW w:w="3543" w:type="dxa"/>
            <w:vAlign w:val="center"/>
            <w:hideMark/>
          </w:tcPr>
          <w:p w14:paraId="3FA5087A"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Very weak negative correlation</w:t>
            </w:r>
          </w:p>
        </w:tc>
      </w:tr>
      <w:tr w:rsidR="00044728" w:rsidRPr="00044728" w14:paraId="53FC309C" w14:textId="77777777" w:rsidTr="002E0BE9">
        <w:trPr>
          <w:trHeight w:val="160"/>
        </w:trPr>
        <w:tc>
          <w:tcPr>
            <w:tcW w:w="3392" w:type="dxa"/>
            <w:vAlign w:val="center"/>
            <w:hideMark/>
          </w:tcPr>
          <w:p w14:paraId="5937B79A"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Gold–Natural gas</w:t>
            </w:r>
          </w:p>
        </w:tc>
        <w:tc>
          <w:tcPr>
            <w:tcW w:w="1560" w:type="dxa"/>
            <w:vAlign w:val="center"/>
            <w:hideMark/>
          </w:tcPr>
          <w:p w14:paraId="498B864E"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-0.0107</w:t>
            </w:r>
          </w:p>
        </w:tc>
        <w:tc>
          <w:tcPr>
            <w:tcW w:w="3543" w:type="dxa"/>
            <w:vAlign w:val="center"/>
            <w:hideMark/>
          </w:tcPr>
          <w:p w14:paraId="08AC45BE"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Very weak negative correlation</w:t>
            </w:r>
          </w:p>
        </w:tc>
      </w:tr>
      <w:tr w:rsidR="00044728" w:rsidRPr="00044728" w14:paraId="29F050BB" w14:textId="77777777" w:rsidTr="002E0BE9">
        <w:trPr>
          <w:trHeight w:val="223"/>
        </w:trPr>
        <w:tc>
          <w:tcPr>
            <w:tcW w:w="3392" w:type="dxa"/>
            <w:vAlign w:val="center"/>
            <w:hideMark/>
          </w:tcPr>
          <w:p w14:paraId="0CE1BF6B"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Gold–Copper</w:t>
            </w:r>
          </w:p>
        </w:tc>
        <w:tc>
          <w:tcPr>
            <w:tcW w:w="1560" w:type="dxa"/>
            <w:vAlign w:val="center"/>
            <w:hideMark/>
          </w:tcPr>
          <w:p w14:paraId="4B79312E"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0.0274</w:t>
            </w:r>
          </w:p>
        </w:tc>
        <w:tc>
          <w:tcPr>
            <w:tcW w:w="3543" w:type="dxa"/>
            <w:vAlign w:val="center"/>
            <w:hideMark/>
          </w:tcPr>
          <w:p w14:paraId="03608C3A"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Very weak positive correlation</w:t>
            </w:r>
          </w:p>
        </w:tc>
      </w:tr>
      <w:tr w:rsidR="00044728" w:rsidRPr="00044728" w14:paraId="16A70CB3" w14:textId="77777777" w:rsidTr="002E0BE9">
        <w:trPr>
          <w:trHeight w:val="187"/>
        </w:trPr>
        <w:tc>
          <w:tcPr>
            <w:tcW w:w="3392" w:type="dxa"/>
            <w:vAlign w:val="center"/>
            <w:hideMark/>
          </w:tcPr>
          <w:p w14:paraId="0355F09A"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Gold–Stock</w:t>
            </w:r>
          </w:p>
        </w:tc>
        <w:tc>
          <w:tcPr>
            <w:tcW w:w="1560" w:type="dxa"/>
            <w:vAlign w:val="center"/>
            <w:hideMark/>
          </w:tcPr>
          <w:p w14:paraId="12FBEF2F"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0.0051</w:t>
            </w:r>
          </w:p>
        </w:tc>
        <w:tc>
          <w:tcPr>
            <w:tcW w:w="3543" w:type="dxa"/>
            <w:vAlign w:val="center"/>
            <w:hideMark/>
          </w:tcPr>
          <w:p w14:paraId="66138A21"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Negligible positive correlation</w:t>
            </w:r>
          </w:p>
        </w:tc>
      </w:tr>
      <w:tr w:rsidR="00044728" w:rsidRPr="00044728" w14:paraId="77A760CD" w14:textId="77777777" w:rsidTr="002E0BE9">
        <w:trPr>
          <w:trHeight w:val="169"/>
        </w:trPr>
        <w:tc>
          <w:tcPr>
            <w:tcW w:w="3392" w:type="dxa"/>
            <w:vAlign w:val="center"/>
            <w:hideMark/>
          </w:tcPr>
          <w:p w14:paraId="219EFA68"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Gold–Exchange rate</w:t>
            </w:r>
          </w:p>
        </w:tc>
        <w:tc>
          <w:tcPr>
            <w:tcW w:w="1560" w:type="dxa"/>
            <w:vAlign w:val="center"/>
            <w:hideMark/>
          </w:tcPr>
          <w:p w14:paraId="6AF93747"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0.0167</w:t>
            </w:r>
          </w:p>
        </w:tc>
        <w:tc>
          <w:tcPr>
            <w:tcW w:w="3543" w:type="dxa"/>
            <w:vAlign w:val="center"/>
            <w:hideMark/>
          </w:tcPr>
          <w:p w14:paraId="75CA9447"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Very weak positive correlation</w:t>
            </w:r>
          </w:p>
        </w:tc>
      </w:tr>
    </w:tbl>
    <w:p w14:paraId="6B397FCC" w14:textId="77777777" w:rsidR="00CE1A3C" w:rsidRPr="00044728" w:rsidRDefault="00CE1A3C" w:rsidP="00CE1A3C">
      <w:pPr>
        <w:jc w:val="both"/>
        <w:rPr>
          <w:rFonts w:ascii="Times New Roman" w:hAnsi="Times New Roman" w:cs="Times New Roman"/>
          <w:lang w:val="en-GB"/>
        </w:rPr>
      </w:pPr>
      <w:r w:rsidRPr="00044728">
        <w:rPr>
          <w:rFonts w:ascii="Times New Roman" w:hAnsi="Times New Roman" w:cs="Times New Roman"/>
          <w:lang w:val="en-GB"/>
        </w:rPr>
        <w:t>Table 8 presents the first-day dynamic conditional correlations among the selected global commodity prices, the Nigerian stock market and the exchange rate. The results indicate that the initial conditional correlations were generally very weak, suggesting limited co-movement among the markets at the beginning of the estimation period. Brent crude oil recorded very weak positive correlations with gold (0.0148), natural gas (0.0168) and copper (0.0223), while its correlation with the Nigerian stock market was almost zero (0.0002) and its relationship with the exchange rate was very weakly negative (−0.0054). Similarly, gold had a very weak negative correlation with natural gas (−0.0107) but very weak positive correlations with copper (0.0274) and the exchange rate (0.0167), while its correlation with the stock market was negligible (0.0051).</w:t>
      </w:r>
    </w:p>
    <w:p w14:paraId="17E8A189" w14:textId="77777777" w:rsidR="001A1001" w:rsidRPr="00044728" w:rsidRDefault="001A1001" w:rsidP="00EE0234">
      <w:pPr>
        <w:spacing w:after="0"/>
        <w:jc w:val="both"/>
        <w:rPr>
          <w:rFonts w:ascii="Times New Roman" w:hAnsi="Times New Roman" w:cs="Times New Roman"/>
          <w:lang w:val="en-GB"/>
        </w:rPr>
      </w:pPr>
    </w:p>
    <w:p w14:paraId="5289B1F3" w14:textId="77777777" w:rsidR="002E0BE9" w:rsidRDefault="002E0BE9" w:rsidP="00EE0234">
      <w:pPr>
        <w:spacing w:after="0"/>
        <w:jc w:val="both"/>
        <w:rPr>
          <w:rFonts w:ascii="Times New Roman" w:hAnsi="Times New Roman" w:cs="Times New Roman"/>
          <w:b/>
          <w:bCs/>
          <w:lang w:val="en-GB"/>
        </w:rPr>
      </w:pPr>
    </w:p>
    <w:p w14:paraId="077CA56D" w14:textId="77777777" w:rsidR="002E0BE9" w:rsidRDefault="002E0BE9" w:rsidP="00EE0234">
      <w:pPr>
        <w:spacing w:after="0"/>
        <w:jc w:val="both"/>
        <w:rPr>
          <w:rFonts w:ascii="Times New Roman" w:hAnsi="Times New Roman" w:cs="Times New Roman"/>
          <w:b/>
          <w:bCs/>
          <w:lang w:val="en-GB"/>
        </w:rPr>
      </w:pPr>
    </w:p>
    <w:p w14:paraId="53E2FA86" w14:textId="77777777" w:rsidR="002E0BE9" w:rsidRDefault="002E0BE9" w:rsidP="00EE0234">
      <w:pPr>
        <w:spacing w:after="0"/>
        <w:jc w:val="both"/>
        <w:rPr>
          <w:rFonts w:ascii="Times New Roman" w:hAnsi="Times New Roman" w:cs="Times New Roman"/>
          <w:b/>
          <w:bCs/>
          <w:lang w:val="en-GB"/>
        </w:rPr>
      </w:pPr>
    </w:p>
    <w:p w14:paraId="45B1BBCC" w14:textId="77777777" w:rsidR="002E0BE9" w:rsidRDefault="002E0BE9" w:rsidP="00EE0234">
      <w:pPr>
        <w:spacing w:after="0"/>
        <w:jc w:val="both"/>
        <w:rPr>
          <w:rFonts w:ascii="Times New Roman" w:hAnsi="Times New Roman" w:cs="Times New Roman"/>
          <w:b/>
          <w:bCs/>
          <w:lang w:val="en-GB"/>
        </w:rPr>
      </w:pPr>
    </w:p>
    <w:p w14:paraId="4E7E6823" w14:textId="77777777" w:rsidR="002E0BE9" w:rsidRDefault="002E0BE9" w:rsidP="00EE0234">
      <w:pPr>
        <w:spacing w:after="0"/>
        <w:jc w:val="both"/>
        <w:rPr>
          <w:rFonts w:ascii="Times New Roman" w:hAnsi="Times New Roman" w:cs="Times New Roman"/>
          <w:b/>
          <w:bCs/>
          <w:lang w:val="en-GB"/>
        </w:rPr>
      </w:pPr>
    </w:p>
    <w:p w14:paraId="626DD730" w14:textId="77777777" w:rsidR="002E0BE9" w:rsidRDefault="002E0BE9" w:rsidP="00EE0234">
      <w:pPr>
        <w:spacing w:after="0"/>
        <w:jc w:val="both"/>
        <w:rPr>
          <w:rFonts w:ascii="Times New Roman" w:hAnsi="Times New Roman" w:cs="Times New Roman"/>
          <w:b/>
          <w:bCs/>
          <w:lang w:val="en-GB"/>
        </w:rPr>
      </w:pPr>
    </w:p>
    <w:p w14:paraId="2AE5296D" w14:textId="77777777" w:rsidR="002E0BE9" w:rsidRDefault="002E0BE9" w:rsidP="00EE0234">
      <w:pPr>
        <w:spacing w:after="0"/>
        <w:jc w:val="both"/>
        <w:rPr>
          <w:rFonts w:ascii="Times New Roman" w:hAnsi="Times New Roman" w:cs="Times New Roman"/>
          <w:b/>
          <w:bCs/>
          <w:lang w:val="en-GB"/>
        </w:rPr>
      </w:pPr>
    </w:p>
    <w:p w14:paraId="3472FE09" w14:textId="77777777" w:rsidR="002E0BE9" w:rsidRDefault="002E0BE9" w:rsidP="00EE0234">
      <w:pPr>
        <w:spacing w:after="0"/>
        <w:jc w:val="both"/>
        <w:rPr>
          <w:rFonts w:ascii="Times New Roman" w:hAnsi="Times New Roman" w:cs="Times New Roman"/>
          <w:b/>
          <w:bCs/>
          <w:lang w:val="en-GB"/>
        </w:rPr>
      </w:pPr>
    </w:p>
    <w:p w14:paraId="3A886507" w14:textId="77777777" w:rsidR="00B137B1" w:rsidRPr="00044728" w:rsidRDefault="00367204" w:rsidP="00EE0234">
      <w:pPr>
        <w:spacing w:after="0"/>
        <w:jc w:val="both"/>
        <w:rPr>
          <w:rFonts w:ascii="Times New Roman" w:hAnsi="Times New Roman" w:cs="Times New Roman"/>
          <w:b/>
          <w:bCs/>
        </w:rPr>
      </w:pPr>
      <w:r w:rsidRPr="00044728">
        <w:rPr>
          <w:rFonts w:ascii="Times New Roman" w:hAnsi="Times New Roman" w:cs="Times New Roman"/>
          <w:b/>
          <w:bCs/>
          <w:lang w:val="en-GB"/>
        </w:rPr>
        <w:t>Table 9</w:t>
      </w:r>
      <w:r w:rsidR="00B137B1" w:rsidRPr="00044728">
        <w:rPr>
          <w:rFonts w:ascii="Times New Roman" w:hAnsi="Times New Roman" w:cs="Times New Roman"/>
          <w:b/>
          <w:bCs/>
          <w:lang w:val="en-GB"/>
        </w:rPr>
        <w:t xml:space="preserve">: </w:t>
      </w:r>
      <w:r w:rsidR="00B137B1" w:rsidRPr="00044728">
        <w:rPr>
          <w:rFonts w:ascii="Times New Roman" w:hAnsi="Times New Roman" w:cs="Times New Roman"/>
          <w:b/>
          <w:bCs/>
        </w:rPr>
        <w:t>Summary of the Evolution of the Time-Varying Correlations Over the Full Sample Period.</w:t>
      </w:r>
    </w:p>
    <w:tbl>
      <w:tblPr>
        <w:tblW w:w="9062" w:type="dxa"/>
        <w:tblBorders>
          <w:top w:val="single" w:sz="8" w:space="0" w:color="auto"/>
          <w:bottom w:val="single" w:sz="8" w:space="0" w:color="auto"/>
        </w:tblBorders>
        <w:tblLook w:val="04A0" w:firstRow="1" w:lastRow="0" w:firstColumn="1" w:lastColumn="0" w:noHBand="0" w:noVBand="1"/>
      </w:tblPr>
      <w:tblGrid>
        <w:gridCol w:w="3232"/>
        <w:gridCol w:w="1359"/>
        <w:gridCol w:w="1243"/>
        <w:gridCol w:w="1688"/>
        <w:gridCol w:w="1540"/>
      </w:tblGrid>
      <w:tr w:rsidR="00044728" w:rsidRPr="00044728" w14:paraId="2AD2EAE2" w14:textId="77777777" w:rsidTr="00B137B1">
        <w:trPr>
          <w:trHeight w:val="630"/>
        </w:trPr>
        <w:tc>
          <w:tcPr>
            <w:tcW w:w="3232" w:type="dxa"/>
            <w:tcBorders>
              <w:top w:val="single" w:sz="8" w:space="0" w:color="auto"/>
              <w:left w:val="nil"/>
              <w:bottom w:val="single" w:sz="8" w:space="0" w:color="auto"/>
              <w:right w:val="nil"/>
            </w:tcBorders>
            <w:vAlign w:val="center"/>
            <w:hideMark/>
          </w:tcPr>
          <w:p w14:paraId="1D989B81" w14:textId="77777777"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Asset Pair</w:t>
            </w:r>
          </w:p>
        </w:tc>
        <w:tc>
          <w:tcPr>
            <w:tcW w:w="1359" w:type="dxa"/>
            <w:tcBorders>
              <w:top w:val="single" w:sz="8" w:space="0" w:color="auto"/>
              <w:left w:val="nil"/>
              <w:bottom w:val="single" w:sz="8" w:space="0" w:color="auto"/>
              <w:right w:val="nil"/>
            </w:tcBorders>
            <w:vAlign w:val="center"/>
            <w:hideMark/>
          </w:tcPr>
          <w:p w14:paraId="0292752A" w14:textId="77777777"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Mean</w:t>
            </w:r>
          </w:p>
        </w:tc>
        <w:tc>
          <w:tcPr>
            <w:tcW w:w="1243" w:type="dxa"/>
            <w:tcBorders>
              <w:top w:val="single" w:sz="8" w:space="0" w:color="auto"/>
              <w:left w:val="nil"/>
              <w:bottom w:val="single" w:sz="8" w:space="0" w:color="auto"/>
              <w:right w:val="nil"/>
            </w:tcBorders>
            <w:vAlign w:val="center"/>
            <w:hideMark/>
          </w:tcPr>
          <w:p w14:paraId="47A582CE" w14:textId="77777777"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Minimum</w:t>
            </w:r>
          </w:p>
        </w:tc>
        <w:tc>
          <w:tcPr>
            <w:tcW w:w="1688" w:type="dxa"/>
            <w:tcBorders>
              <w:top w:val="single" w:sz="8" w:space="0" w:color="auto"/>
              <w:left w:val="nil"/>
              <w:bottom w:val="single" w:sz="8" w:space="0" w:color="auto"/>
              <w:right w:val="nil"/>
            </w:tcBorders>
            <w:vAlign w:val="center"/>
            <w:hideMark/>
          </w:tcPr>
          <w:p w14:paraId="3397FBAB" w14:textId="77777777"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Maximum</w:t>
            </w:r>
          </w:p>
        </w:tc>
        <w:tc>
          <w:tcPr>
            <w:tcW w:w="1540" w:type="dxa"/>
            <w:tcBorders>
              <w:top w:val="single" w:sz="8" w:space="0" w:color="auto"/>
              <w:left w:val="nil"/>
              <w:bottom w:val="single" w:sz="8" w:space="0" w:color="auto"/>
              <w:right w:val="nil"/>
            </w:tcBorders>
            <w:vAlign w:val="center"/>
            <w:hideMark/>
          </w:tcPr>
          <w:p w14:paraId="689EB000" w14:textId="77777777" w:rsidR="00B137B1" w:rsidRPr="00044728" w:rsidRDefault="00B137B1" w:rsidP="00EE0234">
            <w:pPr>
              <w:spacing w:after="0" w:line="240" w:lineRule="auto"/>
              <w:jc w:val="both"/>
              <w:rPr>
                <w:rFonts w:ascii="Times New Roman" w:eastAsia="Times New Roman" w:hAnsi="Times New Roman" w:cs="Times New Roman"/>
                <w:b/>
                <w:bCs/>
                <w:kern w:val="0"/>
                <w14:ligatures w14:val="none"/>
              </w:rPr>
            </w:pPr>
            <w:r w:rsidRPr="00044728">
              <w:rPr>
                <w:rFonts w:ascii="Times New Roman" w:eastAsia="Times New Roman" w:hAnsi="Times New Roman" w:cs="Times New Roman"/>
                <w:b/>
                <w:bCs/>
                <w:kern w:val="0"/>
                <w14:ligatures w14:val="none"/>
              </w:rPr>
              <w:t>Std. Dev.</w:t>
            </w:r>
          </w:p>
        </w:tc>
      </w:tr>
      <w:tr w:rsidR="00044728" w:rsidRPr="00044728" w14:paraId="5C77D281" w14:textId="77777777" w:rsidTr="00B137B1">
        <w:trPr>
          <w:trHeight w:val="394"/>
        </w:trPr>
        <w:tc>
          <w:tcPr>
            <w:tcW w:w="3232" w:type="dxa"/>
            <w:tcBorders>
              <w:top w:val="single" w:sz="8" w:space="0" w:color="auto"/>
              <w:left w:val="nil"/>
              <w:bottom w:val="nil"/>
              <w:right w:val="nil"/>
            </w:tcBorders>
            <w:vAlign w:val="center"/>
            <w:hideMark/>
          </w:tcPr>
          <w:p w14:paraId="7889B5BE"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 – Gold</w:t>
            </w:r>
          </w:p>
        </w:tc>
        <w:tc>
          <w:tcPr>
            <w:tcW w:w="1359" w:type="dxa"/>
            <w:tcBorders>
              <w:top w:val="single" w:sz="8" w:space="0" w:color="auto"/>
              <w:left w:val="nil"/>
              <w:bottom w:val="nil"/>
              <w:right w:val="nil"/>
            </w:tcBorders>
            <w:vAlign w:val="center"/>
            <w:hideMark/>
          </w:tcPr>
          <w:p w14:paraId="560E2B77"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0.0821</w:t>
            </w:r>
          </w:p>
        </w:tc>
        <w:tc>
          <w:tcPr>
            <w:tcW w:w="1243" w:type="dxa"/>
            <w:tcBorders>
              <w:top w:val="single" w:sz="8" w:space="0" w:color="auto"/>
              <w:left w:val="nil"/>
              <w:bottom w:val="nil"/>
              <w:right w:val="nil"/>
            </w:tcBorders>
            <w:vAlign w:val="center"/>
            <w:hideMark/>
          </w:tcPr>
          <w:p w14:paraId="78A64E5E"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-0.2146</w:t>
            </w:r>
          </w:p>
        </w:tc>
        <w:tc>
          <w:tcPr>
            <w:tcW w:w="1688" w:type="dxa"/>
            <w:tcBorders>
              <w:top w:val="single" w:sz="8" w:space="0" w:color="auto"/>
              <w:left w:val="nil"/>
              <w:bottom w:val="nil"/>
              <w:right w:val="nil"/>
            </w:tcBorders>
            <w:vAlign w:val="center"/>
            <w:hideMark/>
          </w:tcPr>
          <w:p w14:paraId="1F1959B2"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0.4638</w:t>
            </w:r>
          </w:p>
        </w:tc>
        <w:tc>
          <w:tcPr>
            <w:tcW w:w="1540" w:type="dxa"/>
            <w:tcBorders>
              <w:top w:val="single" w:sz="8" w:space="0" w:color="auto"/>
              <w:left w:val="nil"/>
              <w:bottom w:val="nil"/>
              <w:right w:val="nil"/>
            </w:tcBorders>
            <w:vAlign w:val="center"/>
            <w:hideMark/>
          </w:tcPr>
          <w:p w14:paraId="2A92CAB9"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0.0913</w:t>
            </w:r>
          </w:p>
        </w:tc>
      </w:tr>
      <w:tr w:rsidR="00044728" w:rsidRPr="00044728" w14:paraId="53CAF8F9" w14:textId="77777777" w:rsidTr="00B137B1">
        <w:trPr>
          <w:trHeight w:val="541"/>
        </w:trPr>
        <w:tc>
          <w:tcPr>
            <w:tcW w:w="3232" w:type="dxa"/>
            <w:tcBorders>
              <w:top w:val="nil"/>
              <w:left w:val="nil"/>
              <w:bottom w:val="nil"/>
              <w:right w:val="nil"/>
            </w:tcBorders>
            <w:vAlign w:val="center"/>
            <w:hideMark/>
          </w:tcPr>
          <w:p w14:paraId="7BD37AA6"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 – Natural Gas</w:t>
            </w:r>
          </w:p>
        </w:tc>
        <w:tc>
          <w:tcPr>
            <w:tcW w:w="1359" w:type="dxa"/>
            <w:tcBorders>
              <w:top w:val="nil"/>
              <w:left w:val="nil"/>
              <w:bottom w:val="nil"/>
              <w:right w:val="nil"/>
            </w:tcBorders>
            <w:vAlign w:val="center"/>
            <w:hideMark/>
          </w:tcPr>
          <w:p w14:paraId="7B151FB2"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0.1458</w:t>
            </w:r>
          </w:p>
        </w:tc>
        <w:tc>
          <w:tcPr>
            <w:tcW w:w="1243" w:type="dxa"/>
            <w:tcBorders>
              <w:top w:val="nil"/>
              <w:left w:val="nil"/>
              <w:bottom w:val="nil"/>
              <w:right w:val="nil"/>
            </w:tcBorders>
            <w:vAlign w:val="center"/>
            <w:hideMark/>
          </w:tcPr>
          <w:p w14:paraId="746DF75B"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-0.1825</w:t>
            </w:r>
          </w:p>
        </w:tc>
        <w:tc>
          <w:tcPr>
            <w:tcW w:w="1688" w:type="dxa"/>
            <w:tcBorders>
              <w:top w:val="nil"/>
              <w:left w:val="nil"/>
              <w:bottom w:val="nil"/>
              <w:right w:val="nil"/>
            </w:tcBorders>
            <w:vAlign w:val="center"/>
            <w:hideMark/>
          </w:tcPr>
          <w:p w14:paraId="39B75C77"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0.5121</w:t>
            </w:r>
          </w:p>
        </w:tc>
        <w:tc>
          <w:tcPr>
            <w:tcW w:w="1540" w:type="dxa"/>
            <w:tcBorders>
              <w:top w:val="nil"/>
              <w:left w:val="nil"/>
              <w:bottom w:val="nil"/>
              <w:right w:val="nil"/>
            </w:tcBorders>
            <w:vAlign w:val="center"/>
            <w:hideMark/>
          </w:tcPr>
          <w:p w14:paraId="4A630531"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0.1027</w:t>
            </w:r>
          </w:p>
        </w:tc>
      </w:tr>
      <w:tr w:rsidR="00044728" w:rsidRPr="00044728" w14:paraId="568AB656" w14:textId="77777777" w:rsidTr="00B137B1">
        <w:trPr>
          <w:trHeight w:val="507"/>
        </w:trPr>
        <w:tc>
          <w:tcPr>
            <w:tcW w:w="3232" w:type="dxa"/>
            <w:tcBorders>
              <w:top w:val="nil"/>
              <w:left w:val="nil"/>
              <w:bottom w:val="nil"/>
              <w:right w:val="nil"/>
            </w:tcBorders>
            <w:vAlign w:val="center"/>
            <w:hideMark/>
          </w:tcPr>
          <w:p w14:paraId="2CBE4FEF"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lastRenderedPageBreak/>
              <w:t>Brent Crude Oil – Copper</w:t>
            </w:r>
          </w:p>
        </w:tc>
        <w:tc>
          <w:tcPr>
            <w:tcW w:w="1359" w:type="dxa"/>
            <w:tcBorders>
              <w:top w:val="nil"/>
              <w:left w:val="nil"/>
              <w:bottom w:val="nil"/>
              <w:right w:val="nil"/>
            </w:tcBorders>
            <w:vAlign w:val="center"/>
            <w:hideMark/>
          </w:tcPr>
          <w:p w14:paraId="1C0D57BF"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0.1186</w:t>
            </w:r>
          </w:p>
        </w:tc>
        <w:tc>
          <w:tcPr>
            <w:tcW w:w="1243" w:type="dxa"/>
            <w:tcBorders>
              <w:top w:val="nil"/>
              <w:left w:val="nil"/>
              <w:bottom w:val="nil"/>
              <w:right w:val="nil"/>
            </w:tcBorders>
            <w:vAlign w:val="center"/>
            <w:hideMark/>
          </w:tcPr>
          <w:p w14:paraId="46EBFEA5"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-0.1379</w:t>
            </w:r>
          </w:p>
        </w:tc>
        <w:tc>
          <w:tcPr>
            <w:tcW w:w="1688" w:type="dxa"/>
            <w:tcBorders>
              <w:top w:val="nil"/>
              <w:left w:val="nil"/>
              <w:bottom w:val="nil"/>
              <w:right w:val="nil"/>
            </w:tcBorders>
            <w:vAlign w:val="center"/>
            <w:hideMark/>
          </w:tcPr>
          <w:p w14:paraId="6694EBFC"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0.4314</w:t>
            </w:r>
          </w:p>
        </w:tc>
        <w:tc>
          <w:tcPr>
            <w:tcW w:w="1540" w:type="dxa"/>
            <w:tcBorders>
              <w:top w:val="nil"/>
              <w:left w:val="nil"/>
              <w:bottom w:val="nil"/>
              <w:right w:val="nil"/>
            </w:tcBorders>
            <w:vAlign w:val="center"/>
            <w:hideMark/>
          </w:tcPr>
          <w:p w14:paraId="7A2E1FE6"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0.0816</w:t>
            </w:r>
          </w:p>
        </w:tc>
      </w:tr>
      <w:tr w:rsidR="00044728" w:rsidRPr="00044728" w14:paraId="066505F9" w14:textId="77777777" w:rsidTr="00B137B1">
        <w:trPr>
          <w:trHeight w:val="131"/>
        </w:trPr>
        <w:tc>
          <w:tcPr>
            <w:tcW w:w="3232" w:type="dxa"/>
            <w:tcBorders>
              <w:top w:val="nil"/>
              <w:left w:val="nil"/>
              <w:bottom w:val="nil"/>
              <w:right w:val="nil"/>
            </w:tcBorders>
            <w:vAlign w:val="center"/>
            <w:hideMark/>
          </w:tcPr>
          <w:p w14:paraId="2281DDC8"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 – Stock Price</w:t>
            </w:r>
          </w:p>
        </w:tc>
        <w:tc>
          <w:tcPr>
            <w:tcW w:w="1359" w:type="dxa"/>
            <w:tcBorders>
              <w:top w:val="nil"/>
              <w:left w:val="nil"/>
              <w:bottom w:val="nil"/>
              <w:right w:val="nil"/>
            </w:tcBorders>
            <w:vAlign w:val="center"/>
            <w:hideMark/>
          </w:tcPr>
          <w:p w14:paraId="6B2601A5"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0.0562</w:t>
            </w:r>
          </w:p>
        </w:tc>
        <w:tc>
          <w:tcPr>
            <w:tcW w:w="1243" w:type="dxa"/>
            <w:tcBorders>
              <w:top w:val="nil"/>
              <w:left w:val="nil"/>
              <w:bottom w:val="nil"/>
              <w:right w:val="nil"/>
            </w:tcBorders>
            <w:vAlign w:val="center"/>
            <w:hideMark/>
          </w:tcPr>
          <w:p w14:paraId="2C19F56D"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-0.2054</w:t>
            </w:r>
          </w:p>
        </w:tc>
        <w:tc>
          <w:tcPr>
            <w:tcW w:w="1688" w:type="dxa"/>
            <w:tcBorders>
              <w:top w:val="nil"/>
              <w:left w:val="nil"/>
              <w:bottom w:val="nil"/>
              <w:right w:val="nil"/>
            </w:tcBorders>
            <w:vAlign w:val="center"/>
            <w:hideMark/>
          </w:tcPr>
          <w:p w14:paraId="7AE93262"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0.3847</w:t>
            </w:r>
          </w:p>
        </w:tc>
        <w:tc>
          <w:tcPr>
            <w:tcW w:w="1540" w:type="dxa"/>
            <w:tcBorders>
              <w:top w:val="nil"/>
              <w:left w:val="nil"/>
              <w:bottom w:val="nil"/>
              <w:right w:val="nil"/>
            </w:tcBorders>
            <w:vAlign w:val="center"/>
            <w:hideMark/>
          </w:tcPr>
          <w:p w14:paraId="5F3EC6FF"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0.0739</w:t>
            </w:r>
          </w:p>
        </w:tc>
      </w:tr>
      <w:tr w:rsidR="00044728" w:rsidRPr="00044728" w14:paraId="5F3C61CE" w14:textId="77777777" w:rsidTr="00B137B1">
        <w:trPr>
          <w:trHeight w:val="509"/>
        </w:trPr>
        <w:tc>
          <w:tcPr>
            <w:tcW w:w="3232" w:type="dxa"/>
            <w:tcBorders>
              <w:top w:val="nil"/>
              <w:left w:val="nil"/>
              <w:bottom w:val="nil"/>
              <w:right w:val="nil"/>
            </w:tcBorders>
            <w:vAlign w:val="center"/>
            <w:hideMark/>
          </w:tcPr>
          <w:p w14:paraId="6CA2D30F"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Brent Crude Oil – Exchange Rate</w:t>
            </w:r>
          </w:p>
        </w:tc>
        <w:tc>
          <w:tcPr>
            <w:tcW w:w="1359" w:type="dxa"/>
            <w:tcBorders>
              <w:top w:val="nil"/>
              <w:left w:val="nil"/>
              <w:bottom w:val="nil"/>
              <w:right w:val="nil"/>
            </w:tcBorders>
            <w:vAlign w:val="center"/>
            <w:hideMark/>
          </w:tcPr>
          <w:p w14:paraId="3D87C9BB"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-0.0418</w:t>
            </w:r>
          </w:p>
        </w:tc>
        <w:tc>
          <w:tcPr>
            <w:tcW w:w="1243" w:type="dxa"/>
            <w:tcBorders>
              <w:top w:val="nil"/>
              <w:left w:val="nil"/>
              <w:bottom w:val="nil"/>
              <w:right w:val="nil"/>
            </w:tcBorders>
            <w:vAlign w:val="center"/>
            <w:hideMark/>
          </w:tcPr>
          <w:p w14:paraId="1D52D856"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-0.2638</w:t>
            </w:r>
          </w:p>
        </w:tc>
        <w:tc>
          <w:tcPr>
            <w:tcW w:w="1688" w:type="dxa"/>
            <w:tcBorders>
              <w:top w:val="nil"/>
              <w:left w:val="nil"/>
              <w:bottom w:val="nil"/>
              <w:right w:val="nil"/>
            </w:tcBorders>
            <w:vAlign w:val="center"/>
            <w:hideMark/>
          </w:tcPr>
          <w:p w14:paraId="0E422713"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0.1752</w:t>
            </w:r>
          </w:p>
        </w:tc>
        <w:tc>
          <w:tcPr>
            <w:tcW w:w="1540" w:type="dxa"/>
            <w:tcBorders>
              <w:top w:val="nil"/>
              <w:left w:val="nil"/>
              <w:bottom w:val="nil"/>
              <w:right w:val="nil"/>
            </w:tcBorders>
            <w:vAlign w:val="center"/>
            <w:hideMark/>
          </w:tcPr>
          <w:p w14:paraId="1AE1B07D"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0.0524</w:t>
            </w:r>
          </w:p>
        </w:tc>
      </w:tr>
      <w:tr w:rsidR="00044728" w:rsidRPr="00044728" w14:paraId="75E9026F" w14:textId="77777777" w:rsidTr="00B137B1">
        <w:trPr>
          <w:trHeight w:val="455"/>
        </w:trPr>
        <w:tc>
          <w:tcPr>
            <w:tcW w:w="3232" w:type="dxa"/>
            <w:tcBorders>
              <w:top w:val="nil"/>
              <w:left w:val="nil"/>
              <w:bottom w:val="nil"/>
              <w:right w:val="nil"/>
            </w:tcBorders>
            <w:vAlign w:val="center"/>
            <w:hideMark/>
          </w:tcPr>
          <w:p w14:paraId="2A811718"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 – Natural Gas</w:t>
            </w:r>
          </w:p>
        </w:tc>
        <w:tc>
          <w:tcPr>
            <w:tcW w:w="1359" w:type="dxa"/>
            <w:tcBorders>
              <w:top w:val="nil"/>
              <w:left w:val="nil"/>
              <w:bottom w:val="nil"/>
              <w:right w:val="nil"/>
            </w:tcBorders>
            <w:vAlign w:val="center"/>
            <w:hideMark/>
          </w:tcPr>
          <w:p w14:paraId="355FC5D7"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0.0287</w:t>
            </w:r>
          </w:p>
        </w:tc>
        <w:tc>
          <w:tcPr>
            <w:tcW w:w="1243" w:type="dxa"/>
            <w:tcBorders>
              <w:top w:val="nil"/>
              <w:left w:val="nil"/>
              <w:bottom w:val="nil"/>
              <w:right w:val="nil"/>
            </w:tcBorders>
            <w:vAlign w:val="center"/>
            <w:hideMark/>
          </w:tcPr>
          <w:p w14:paraId="3635A5F1"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-0.1936</w:t>
            </w:r>
          </w:p>
        </w:tc>
        <w:tc>
          <w:tcPr>
            <w:tcW w:w="1688" w:type="dxa"/>
            <w:tcBorders>
              <w:top w:val="nil"/>
              <w:left w:val="nil"/>
              <w:bottom w:val="nil"/>
              <w:right w:val="nil"/>
            </w:tcBorders>
            <w:vAlign w:val="center"/>
            <w:hideMark/>
          </w:tcPr>
          <w:p w14:paraId="432BEA6A"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0.2784</w:t>
            </w:r>
          </w:p>
        </w:tc>
        <w:tc>
          <w:tcPr>
            <w:tcW w:w="1540" w:type="dxa"/>
            <w:tcBorders>
              <w:top w:val="nil"/>
              <w:left w:val="nil"/>
              <w:bottom w:val="nil"/>
              <w:right w:val="nil"/>
            </w:tcBorders>
            <w:vAlign w:val="center"/>
            <w:hideMark/>
          </w:tcPr>
          <w:p w14:paraId="06CCB283"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0.0643</w:t>
            </w:r>
          </w:p>
        </w:tc>
      </w:tr>
      <w:tr w:rsidR="00044728" w:rsidRPr="00044728" w14:paraId="147A3302" w14:textId="77777777" w:rsidTr="00B137B1">
        <w:trPr>
          <w:trHeight w:val="630"/>
        </w:trPr>
        <w:tc>
          <w:tcPr>
            <w:tcW w:w="3232" w:type="dxa"/>
            <w:tcBorders>
              <w:top w:val="nil"/>
              <w:left w:val="nil"/>
              <w:bottom w:val="nil"/>
              <w:right w:val="nil"/>
            </w:tcBorders>
            <w:vAlign w:val="center"/>
            <w:hideMark/>
          </w:tcPr>
          <w:p w14:paraId="070F5B08"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 – Copper</w:t>
            </w:r>
          </w:p>
        </w:tc>
        <w:tc>
          <w:tcPr>
            <w:tcW w:w="1359" w:type="dxa"/>
            <w:tcBorders>
              <w:top w:val="nil"/>
              <w:left w:val="nil"/>
              <w:bottom w:val="nil"/>
              <w:right w:val="nil"/>
            </w:tcBorders>
            <w:vAlign w:val="center"/>
            <w:hideMark/>
          </w:tcPr>
          <w:p w14:paraId="7323FB60"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0.2164</w:t>
            </w:r>
          </w:p>
        </w:tc>
        <w:tc>
          <w:tcPr>
            <w:tcW w:w="1243" w:type="dxa"/>
            <w:tcBorders>
              <w:top w:val="nil"/>
              <w:left w:val="nil"/>
              <w:bottom w:val="nil"/>
              <w:right w:val="nil"/>
            </w:tcBorders>
            <w:vAlign w:val="center"/>
            <w:hideMark/>
          </w:tcPr>
          <w:p w14:paraId="466F77ED"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-0.1045</w:t>
            </w:r>
          </w:p>
        </w:tc>
        <w:tc>
          <w:tcPr>
            <w:tcW w:w="1688" w:type="dxa"/>
            <w:tcBorders>
              <w:top w:val="nil"/>
              <w:left w:val="nil"/>
              <w:bottom w:val="nil"/>
              <w:right w:val="nil"/>
            </w:tcBorders>
            <w:vAlign w:val="center"/>
            <w:hideMark/>
          </w:tcPr>
          <w:p w14:paraId="3D58A839"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0.6123</w:t>
            </w:r>
          </w:p>
        </w:tc>
        <w:tc>
          <w:tcPr>
            <w:tcW w:w="1540" w:type="dxa"/>
            <w:tcBorders>
              <w:top w:val="nil"/>
              <w:left w:val="nil"/>
              <w:bottom w:val="nil"/>
              <w:right w:val="nil"/>
            </w:tcBorders>
            <w:vAlign w:val="center"/>
            <w:hideMark/>
          </w:tcPr>
          <w:p w14:paraId="0D3A667B"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0.1186</w:t>
            </w:r>
          </w:p>
        </w:tc>
      </w:tr>
      <w:tr w:rsidR="00044728" w:rsidRPr="00044728" w14:paraId="6944921E" w14:textId="77777777" w:rsidTr="00B137B1">
        <w:trPr>
          <w:trHeight w:val="457"/>
        </w:trPr>
        <w:tc>
          <w:tcPr>
            <w:tcW w:w="3232" w:type="dxa"/>
            <w:tcBorders>
              <w:top w:val="nil"/>
              <w:left w:val="nil"/>
              <w:bottom w:val="nil"/>
              <w:right w:val="nil"/>
            </w:tcBorders>
            <w:vAlign w:val="center"/>
            <w:hideMark/>
          </w:tcPr>
          <w:p w14:paraId="2F03A1A7"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 – Stock Price</w:t>
            </w:r>
          </w:p>
        </w:tc>
        <w:tc>
          <w:tcPr>
            <w:tcW w:w="1359" w:type="dxa"/>
            <w:tcBorders>
              <w:top w:val="nil"/>
              <w:left w:val="nil"/>
              <w:bottom w:val="nil"/>
              <w:right w:val="nil"/>
            </w:tcBorders>
            <w:vAlign w:val="center"/>
            <w:hideMark/>
          </w:tcPr>
          <w:p w14:paraId="395D59E9"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0.0871</w:t>
            </w:r>
          </w:p>
        </w:tc>
        <w:tc>
          <w:tcPr>
            <w:tcW w:w="1243" w:type="dxa"/>
            <w:tcBorders>
              <w:top w:val="nil"/>
              <w:left w:val="nil"/>
              <w:bottom w:val="nil"/>
              <w:right w:val="nil"/>
            </w:tcBorders>
            <w:vAlign w:val="center"/>
            <w:hideMark/>
          </w:tcPr>
          <w:p w14:paraId="4D4F1C1B"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-0.1827</w:t>
            </w:r>
          </w:p>
        </w:tc>
        <w:tc>
          <w:tcPr>
            <w:tcW w:w="1688" w:type="dxa"/>
            <w:tcBorders>
              <w:top w:val="nil"/>
              <w:left w:val="nil"/>
              <w:bottom w:val="nil"/>
              <w:right w:val="nil"/>
            </w:tcBorders>
            <w:vAlign w:val="center"/>
            <w:hideMark/>
          </w:tcPr>
          <w:p w14:paraId="6EF61731"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0.3554</w:t>
            </w:r>
          </w:p>
        </w:tc>
        <w:tc>
          <w:tcPr>
            <w:tcW w:w="1540" w:type="dxa"/>
            <w:tcBorders>
              <w:top w:val="nil"/>
              <w:left w:val="nil"/>
              <w:bottom w:val="nil"/>
              <w:right w:val="nil"/>
            </w:tcBorders>
            <w:vAlign w:val="center"/>
            <w:hideMark/>
          </w:tcPr>
          <w:p w14:paraId="71E49567"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0.0695</w:t>
            </w:r>
          </w:p>
        </w:tc>
      </w:tr>
      <w:tr w:rsidR="00044728" w:rsidRPr="00044728" w14:paraId="65A69DD7" w14:textId="77777777" w:rsidTr="00B137B1">
        <w:trPr>
          <w:trHeight w:val="562"/>
        </w:trPr>
        <w:tc>
          <w:tcPr>
            <w:tcW w:w="3232" w:type="dxa"/>
            <w:tcBorders>
              <w:top w:val="nil"/>
              <w:left w:val="nil"/>
              <w:bottom w:val="nil"/>
              <w:right w:val="nil"/>
            </w:tcBorders>
            <w:vAlign w:val="center"/>
            <w:hideMark/>
          </w:tcPr>
          <w:p w14:paraId="06A672ED"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Gold – Exchange Rate</w:t>
            </w:r>
          </w:p>
        </w:tc>
        <w:tc>
          <w:tcPr>
            <w:tcW w:w="1359" w:type="dxa"/>
            <w:tcBorders>
              <w:top w:val="nil"/>
              <w:left w:val="nil"/>
              <w:bottom w:val="nil"/>
              <w:right w:val="nil"/>
            </w:tcBorders>
            <w:vAlign w:val="center"/>
            <w:hideMark/>
          </w:tcPr>
          <w:p w14:paraId="3A93A266"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0.0628</w:t>
            </w:r>
          </w:p>
        </w:tc>
        <w:tc>
          <w:tcPr>
            <w:tcW w:w="1243" w:type="dxa"/>
            <w:tcBorders>
              <w:top w:val="nil"/>
              <w:left w:val="nil"/>
              <w:bottom w:val="nil"/>
              <w:right w:val="nil"/>
            </w:tcBorders>
            <w:vAlign w:val="center"/>
            <w:hideMark/>
          </w:tcPr>
          <w:p w14:paraId="4CC9F4A7"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-0.1048</w:t>
            </w:r>
          </w:p>
        </w:tc>
        <w:tc>
          <w:tcPr>
            <w:tcW w:w="1688" w:type="dxa"/>
            <w:tcBorders>
              <w:top w:val="nil"/>
              <w:left w:val="nil"/>
              <w:bottom w:val="nil"/>
              <w:right w:val="nil"/>
            </w:tcBorders>
            <w:vAlign w:val="center"/>
            <w:hideMark/>
          </w:tcPr>
          <w:p w14:paraId="7ABB7D16"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0.2481</w:t>
            </w:r>
          </w:p>
        </w:tc>
        <w:tc>
          <w:tcPr>
            <w:tcW w:w="1540" w:type="dxa"/>
            <w:tcBorders>
              <w:top w:val="nil"/>
              <w:left w:val="nil"/>
              <w:bottom w:val="nil"/>
              <w:right w:val="nil"/>
            </w:tcBorders>
            <w:vAlign w:val="center"/>
            <w:hideMark/>
          </w:tcPr>
          <w:p w14:paraId="05BAADB5"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0.0442</w:t>
            </w:r>
          </w:p>
        </w:tc>
      </w:tr>
      <w:tr w:rsidR="00044728" w:rsidRPr="00044728" w14:paraId="3420AC5A" w14:textId="77777777" w:rsidTr="00B137B1">
        <w:trPr>
          <w:trHeight w:val="401"/>
        </w:trPr>
        <w:tc>
          <w:tcPr>
            <w:tcW w:w="3232" w:type="dxa"/>
            <w:tcBorders>
              <w:top w:val="nil"/>
              <w:left w:val="nil"/>
              <w:bottom w:val="nil"/>
              <w:right w:val="nil"/>
            </w:tcBorders>
            <w:vAlign w:val="center"/>
            <w:hideMark/>
          </w:tcPr>
          <w:p w14:paraId="44023DF0"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Natural Gas – Copper</w:t>
            </w:r>
          </w:p>
        </w:tc>
        <w:tc>
          <w:tcPr>
            <w:tcW w:w="1359" w:type="dxa"/>
            <w:tcBorders>
              <w:top w:val="nil"/>
              <w:left w:val="nil"/>
              <w:bottom w:val="nil"/>
              <w:right w:val="nil"/>
            </w:tcBorders>
            <w:vAlign w:val="center"/>
            <w:hideMark/>
          </w:tcPr>
          <w:p w14:paraId="250EEB31"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0.1035</w:t>
            </w:r>
          </w:p>
        </w:tc>
        <w:tc>
          <w:tcPr>
            <w:tcW w:w="1243" w:type="dxa"/>
            <w:tcBorders>
              <w:top w:val="nil"/>
              <w:left w:val="nil"/>
              <w:bottom w:val="nil"/>
              <w:right w:val="nil"/>
            </w:tcBorders>
            <w:vAlign w:val="center"/>
            <w:hideMark/>
          </w:tcPr>
          <w:p w14:paraId="486189D2"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-0.1524</w:t>
            </w:r>
          </w:p>
        </w:tc>
        <w:tc>
          <w:tcPr>
            <w:tcW w:w="1688" w:type="dxa"/>
            <w:tcBorders>
              <w:top w:val="nil"/>
              <w:left w:val="nil"/>
              <w:bottom w:val="nil"/>
              <w:right w:val="nil"/>
            </w:tcBorders>
            <w:vAlign w:val="center"/>
            <w:hideMark/>
          </w:tcPr>
          <w:p w14:paraId="60F12104"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0.4167</w:t>
            </w:r>
          </w:p>
        </w:tc>
        <w:tc>
          <w:tcPr>
            <w:tcW w:w="1540" w:type="dxa"/>
            <w:tcBorders>
              <w:top w:val="nil"/>
              <w:left w:val="nil"/>
              <w:bottom w:val="nil"/>
              <w:right w:val="nil"/>
            </w:tcBorders>
            <w:vAlign w:val="center"/>
            <w:hideMark/>
          </w:tcPr>
          <w:p w14:paraId="1D8C8D97"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0.0813</w:t>
            </w:r>
          </w:p>
        </w:tc>
      </w:tr>
      <w:tr w:rsidR="00044728" w:rsidRPr="00044728" w14:paraId="6A8DA57D" w14:textId="77777777" w:rsidTr="00B137B1">
        <w:trPr>
          <w:trHeight w:val="549"/>
        </w:trPr>
        <w:tc>
          <w:tcPr>
            <w:tcW w:w="3232" w:type="dxa"/>
            <w:tcBorders>
              <w:top w:val="nil"/>
              <w:left w:val="nil"/>
              <w:bottom w:val="nil"/>
              <w:right w:val="nil"/>
            </w:tcBorders>
            <w:vAlign w:val="center"/>
            <w:hideMark/>
          </w:tcPr>
          <w:p w14:paraId="6480D202"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Natural Gas – Stock Price</w:t>
            </w:r>
          </w:p>
        </w:tc>
        <w:tc>
          <w:tcPr>
            <w:tcW w:w="1359" w:type="dxa"/>
            <w:tcBorders>
              <w:top w:val="nil"/>
              <w:left w:val="nil"/>
              <w:bottom w:val="nil"/>
              <w:right w:val="nil"/>
            </w:tcBorders>
            <w:vAlign w:val="center"/>
            <w:hideMark/>
          </w:tcPr>
          <w:p w14:paraId="3D058459"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0.0846</w:t>
            </w:r>
          </w:p>
        </w:tc>
        <w:tc>
          <w:tcPr>
            <w:tcW w:w="1243" w:type="dxa"/>
            <w:tcBorders>
              <w:top w:val="nil"/>
              <w:left w:val="nil"/>
              <w:bottom w:val="nil"/>
              <w:right w:val="nil"/>
            </w:tcBorders>
            <w:vAlign w:val="center"/>
            <w:hideMark/>
          </w:tcPr>
          <w:p w14:paraId="17B31A35"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-0.1641</w:t>
            </w:r>
          </w:p>
        </w:tc>
        <w:tc>
          <w:tcPr>
            <w:tcW w:w="1688" w:type="dxa"/>
            <w:tcBorders>
              <w:top w:val="nil"/>
              <w:left w:val="nil"/>
              <w:bottom w:val="nil"/>
              <w:right w:val="nil"/>
            </w:tcBorders>
            <w:vAlign w:val="center"/>
            <w:hideMark/>
          </w:tcPr>
          <w:p w14:paraId="4D012EDB"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0.3472</w:t>
            </w:r>
          </w:p>
        </w:tc>
        <w:tc>
          <w:tcPr>
            <w:tcW w:w="1540" w:type="dxa"/>
            <w:tcBorders>
              <w:top w:val="nil"/>
              <w:left w:val="nil"/>
              <w:bottom w:val="nil"/>
              <w:right w:val="nil"/>
            </w:tcBorders>
            <w:vAlign w:val="center"/>
            <w:hideMark/>
          </w:tcPr>
          <w:p w14:paraId="416F6BF6"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0.0668</w:t>
            </w:r>
          </w:p>
        </w:tc>
      </w:tr>
      <w:tr w:rsidR="00044728" w:rsidRPr="00044728" w14:paraId="79816EE2" w14:textId="77777777" w:rsidTr="00B137B1">
        <w:trPr>
          <w:trHeight w:val="543"/>
        </w:trPr>
        <w:tc>
          <w:tcPr>
            <w:tcW w:w="3232" w:type="dxa"/>
            <w:tcBorders>
              <w:top w:val="nil"/>
              <w:left w:val="nil"/>
              <w:bottom w:val="nil"/>
              <w:right w:val="nil"/>
            </w:tcBorders>
            <w:vAlign w:val="center"/>
            <w:hideMark/>
          </w:tcPr>
          <w:p w14:paraId="5712A68B"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Natural Gas – Exchange Rate</w:t>
            </w:r>
          </w:p>
        </w:tc>
        <w:tc>
          <w:tcPr>
            <w:tcW w:w="1359" w:type="dxa"/>
            <w:tcBorders>
              <w:top w:val="nil"/>
              <w:left w:val="nil"/>
              <w:bottom w:val="nil"/>
              <w:right w:val="nil"/>
            </w:tcBorders>
            <w:vAlign w:val="center"/>
            <w:hideMark/>
          </w:tcPr>
          <w:p w14:paraId="018BFF30"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-0.0972</w:t>
            </w:r>
          </w:p>
        </w:tc>
        <w:tc>
          <w:tcPr>
            <w:tcW w:w="1243" w:type="dxa"/>
            <w:tcBorders>
              <w:top w:val="nil"/>
              <w:left w:val="nil"/>
              <w:bottom w:val="nil"/>
              <w:right w:val="nil"/>
            </w:tcBorders>
            <w:vAlign w:val="center"/>
            <w:hideMark/>
          </w:tcPr>
          <w:p w14:paraId="72C97BFF"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-0.3641</w:t>
            </w:r>
          </w:p>
        </w:tc>
        <w:tc>
          <w:tcPr>
            <w:tcW w:w="1688" w:type="dxa"/>
            <w:tcBorders>
              <w:top w:val="nil"/>
              <w:left w:val="nil"/>
              <w:bottom w:val="nil"/>
              <w:right w:val="nil"/>
            </w:tcBorders>
            <w:vAlign w:val="center"/>
            <w:hideMark/>
          </w:tcPr>
          <w:p w14:paraId="36A6E23F"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0.1027</w:t>
            </w:r>
          </w:p>
        </w:tc>
        <w:tc>
          <w:tcPr>
            <w:tcW w:w="1540" w:type="dxa"/>
            <w:tcBorders>
              <w:top w:val="nil"/>
              <w:left w:val="nil"/>
              <w:bottom w:val="nil"/>
              <w:right w:val="nil"/>
            </w:tcBorders>
            <w:vAlign w:val="center"/>
            <w:hideMark/>
          </w:tcPr>
          <w:p w14:paraId="3B424C99"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0.0597</w:t>
            </w:r>
          </w:p>
        </w:tc>
      </w:tr>
      <w:tr w:rsidR="00044728" w:rsidRPr="00044728" w14:paraId="68F3E6E2" w14:textId="77777777" w:rsidTr="00B137B1">
        <w:trPr>
          <w:trHeight w:val="409"/>
        </w:trPr>
        <w:tc>
          <w:tcPr>
            <w:tcW w:w="3232" w:type="dxa"/>
            <w:tcBorders>
              <w:top w:val="nil"/>
              <w:left w:val="nil"/>
              <w:bottom w:val="nil"/>
              <w:right w:val="nil"/>
            </w:tcBorders>
            <w:vAlign w:val="center"/>
            <w:hideMark/>
          </w:tcPr>
          <w:p w14:paraId="7587C41E"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Copper – Stock Price</w:t>
            </w:r>
          </w:p>
        </w:tc>
        <w:tc>
          <w:tcPr>
            <w:tcW w:w="1359" w:type="dxa"/>
            <w:tcBorders>
              <w:top w:val="nil"/>
              <w:left w:val="nil"/>
              <w:bottom w:val="nil"/>
              <w:right w:val="nil"/>
            </w:tcBorders>
            <w:vAlign w:val="center"/>
            <w:hideMark/>
          </w:tcPr>
          <w:p w14:paraId="747BA204"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0.1745</w:t>
            </w:r>
          </w:p>
        </w:tc>
        <w:tc>
          <w:tcPr>
            <w:tcW w:w="1243" w:type="dxa"/>
            <w:tcBorders>
              <w:top w:val="nil"/>
              <w:left w:val="nil"/>
              <w:bottom w:val="nil"/>
              <w:right w:val="nil"/>
            </w:tcBorders>
            <w:vAlign w:val="center"/>
            <w:hideMark/>
          </w:tcPr>
          <w:p w14:paraId="46035BAE"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-0.0928</w:t>
            </w:r>
          </w:p>
        </w:tc>
        <w:tc>
          <w:tcPr>
            <w:tcW w:w="1688" w:type="dxa"/>
            <w:tcBorders>
              <w:top w:val="nil"/>
              <w:left w:val="nil"/>
              <w:bottom w:val="nil"/>
              <w:right w:val="nil"/>
            </w:tcBorders>
            <w:vAlign w:val="center"/>
            <w:hideMark/>
          </w:tcPr>
          <w:p w14:paraId="09E0EF2A"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0.5084</w:t>
            </w:r>
          </w:p>
        </w:tc>
        <w:tc>
          <w:tcPr>
            <w:tcW w:w="1540" w:type="dxa"/>
            <w:tcBorders>
              <w:top w:val="nil"/>
              <w:left w:val="nil"/>
              <w:bottom w:val="nil"/>
              <w:right w:val="nil"/>
            </w:tcBorders>
            <w:vAlign w:val="center"/>
            <w:hideMark/>
          </w:tcPr>
          <w:p w14:paraId="1543E6A4"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0.0934</w:t>
            </w:r>
          </w:p>
        </w:tc>
      </w:tr>
      <w:tr w:rsidR="00044728" w:rsidRPr="00044728" w14:paraId="550DA3DF" w14:textId="77777777" w:rsidTr="00B137B1">
        <w:trPr>
          <w:trHeight w:val="414"/>
        </w:trPr>
        <w:tc>
          <w:tcPr>
            <w:tcW w:w="3232" w:type="dxa"/>
            <w:tcBorders>
              <w:top w:val="nil"/>
              <w:left w:val="nil"/>
              <w:bottom w:val="nil"/>
              <w:right w:val="nil"/>
            </w:tcBorders>
            <w:vAlign w:val="center"/>
            <w:hideMark/>
          </w:tcPr>
          <w:p w14:paraId="6FED6CFA"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Copper – Exchange Rate</w:t>
            </w:r>
          </w:p>
        </w:tc>
        <w:tc>
          <w:tcPr>
            <w:tcW w:w="1359" w:type="dxa"/>
            <w:tcBorders>
              <w:top w:val="nil"/>
              <w:left w:val="nil"/>
              <w:bottom w:val="nil"/>
              <w:right w:val="nil"/>
            </w:tcBorders>
            <w:vAlign w:val="center"/>
            <w:hideMark/>
          </w:tcPr>
          <w:p w14:paraId="027A9CD9"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-0.0218</w:t>
            </w:r>
          </w:p>
        </w:tc>
        <w:tc>
          <w:tcPr>
            <w:tcW w:w="1243" w:type="dxa"/>
            <w:tcBorders>
              <w:top w:val="nil"/>
              <w:left w:val="nil"/>
              <w:bottom w:val="nil"/>
              <w:right w:val="nil"/>
            </w:tcBorders>
            <w:vAlign w:val="center"/>
            <w:hideMark/>
          </w:tcPr>
          <w:p w14:paraId="34DFE535"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-0.1816</w:t>
            </w:r>
          </w:p>
        </w:tc>
        <w:tc>
          <w:tcPr>
            <w:tcW w:w="1688" w:type="dxa"/>
            <w:tcBorders>
              <w:top w:val="nil"/>
              <w:left w:val="nil"/>
              <w:bottom w:val="nil"/>
              <w:right w:val="nil"/>
            </w:tcBorders>
            <w:vAlign w:val="center"/>
            <w:hideMark/>
          </w:tcPr>
          <w:p w14:paraId="0C68FAD3"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0.1145</w:t>
            </w:r>
          </w:p>
        </w:tc>
        <w:tc>
          <w:tcPr>
            <w:tcW w:w="1540" w:type="dxa"/>
            <w:tcBorders>
              <w:top w:val="nil"/>
              <w:left w:val="nil"/>
              <w:bottom w:val="nil"/>
              <w:right w:val="nil"/>
            </w:tcBorders>
            <w:vAlign w:val="center"/>
            <w:hideMark/>
          </w:tcPr>
          <w:p w14:paraId="326B2F98"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0.0385</w:t>
            </w:r>
          </w:p>
        </w:tc>
      </w:tr>
      <w:tr w:rsidR="00044728" w:rsidRPr="00044728" w14:paraId="42BEAC7F" w14:textId="77777777" w:rsidTr="00B137B1">
        <w:trPr>
          <w:trHeight w:val="406"/>
        </w:trPr>
        <w:tc>
          <w:tcPr>
            <w:tcW w:w="3232" w:type="dxa"/>
            <w:tcBorders>
              <w:top w:val="nil"/>
              <w:left w:val="nil"/>
              <w:bottom w:val="single" w:sz="8" w:space="0" w:color="auto"/>
              <w:right w:val="nil"/>
            </w:tcBorders>
            <w:vAlign w:val="center"/>
            <w:hideMark/>
          </w:tcPr>
          <w:p w14:paraId="0754910F"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Stock Price – Exchange Rate</w:t>
            </w:r>
          </w:p>
        </w:tc>
        <w:tc>
          <w:tcPr>
            <w:tcW w:w="1359" w:type="dxa"/>
            <w:tcBorders>
              <w:top w:val="nil"/>
              <w:left w:val="nil"/>
              <w:bottom w:val="single" w:sz="8" w:space="0" w:color="auto"/>
              <w:right w:val="nil"/>
            </w:tcBorders>
            <w:vAlign w:val="center"/>
            <w:hideMark/>
          </w:tcPr>
          <w:p w14:paraId="524DA744"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0.0937</w:t>
            </w:r>
          </w:p>
        </w:tc>
        <w:tc>
          <w:tcPr>
            <w:tcW w:w="1243" w:type="dxa"/>
            <w:tcBorders>
              <w:top w:val="nil"/>
              <w:left w:val="nil"/>
              <w:bottom w:val="single" w:sz="8" w:space="0" w:color="auto"/>
              <w:right w:val="nil"/>
            </w:tcBorders>
            <w:vAlign w:val="center"/>
            <w:hideMark/>
          </w:tcPr>
          <w:p w14:paraId="0816CC19"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-0.1263</w:t>
            </w:r>
          </w:p>
        </w:tc>
        <w:tc>
          <w:tcPr>
            <w:tcW w:w="1688" w:type="dxa"/>
            <w:tcBorders>
              <w:top w:val="nil"/>
              <w:left w:val="nil"/>
              <w:bottom w:val="single" w:sz="8" w:space="0" w:color="auto"/>
              <w:right w:val="nil"/>
            </w:tcBorders>
            <w:vAlign w:val="center"/>
            <w:hideMark/>
          </w:tcPr>
          <w:p w14:paraId="6DA0A03D"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0.3364</w:t>
            </w:r>
          </w:p>
        </w:tc>
        <w:tc>
          <w:tcPr>
            <w:tcW w:w="1540" w:type="dxa"/>
            <w:tcBorders>
              <w:top w:val="nil"/>
              <w:left w:val="nil"/>
              <w:bottom w:val="single" w:sz="8" w:space="0" w:color="auto"/>
              <w:right w:val="nil"/>
            </w:tcBorders>
            <w:vAlign w:val="center"/>
            <w:hideMark/>
          </w:tcPr>
          <w:p w14:paraId="4630371A" w14:textId="77777777" w:rsidR="00B137B1" w:rsidRPr="00044728" w:rsidRDefault="00B137B1" w:rsidP="00EE0234">
            <w:pPr>
              <w:spacing w:after="0" w:line="240" w:lineRule="auto"/>
              <w:jc w:val="both"/>
              <w:rPr>
                <w:rFonts w:ascii="Times New Roman" w:eastAsia="Times New Roman" w:hAnsi="Times New Roman" w:cs="Times New Roman"/>
                <w:kern w:val="0"/>
                <w14:ligatures w14:val="none"/>
              </w:rPr>
            </w:pPr>
            <w:r w:rsidRPr="00044728">
              <w:rPr>
                <w:rFonts w:ascii="Times New Roman" w:eastAsia="Times New Roman" w:hAnsi="Times New Roman" w:cs="Times New Roman"/>
                <w:kern w:val="0"/>
                <w14:ligatures w14:val="none"/>
              </w:rPr>
              <w:t>0.0568</w:t>
            </w:r>
          </w:p>
        </w:tc>
      </w:tr>
    </w:tbl>
    <w:p w14:paraId="27EC6BFD" w14:textId="77777777" w:rsidR="00CE1A3C" w:rsidRPr="00044728" w:rsidRDefault="00CE1A3C" w:rsidP="00CE1A3C">
      <w:pPr>
        <w:pStyle w:val="NormalWeb"/>
        <w:jc w:val="both"/>
      </w:pPr>
      <w:r w:rsidRPr="00044728">
        <w:t>The table shows that the correlations among the selected global commodity prices, exchange rate and Nigerian stock market returns were generally weak to moderate and clearly time-varying over the full sample period. The highest mean correlation was observed between gold and copper (0.2164), followed by copper and stock price (0.1745) and Brent crude oil and natural gas (0.1458), indicating relatively stronger co-movement among these pairs. In contrast, the natural gas–exchange rate pair recorded the lowest mean correlation (-0.0972), while Brent crude oil–exchange rate (-0.0418) and copper–exchange rate (-0.0218) also recorded negative average correlations. The minimum and maximum values demonstrate substantial movements in the direction and strength of the relationships: for example, gold–copper correlation ranged from -0.1045 to 0.6123, while copper–stock price ranged from -0.0928 to 0.5084, showing that positive relationships at some points could weaken or become negative at others. Similarly, Brent crude oil–natural gas correlation varied from -0.1825 to 0.5121, reinforcing the changing nature of commodity-market co-movement. The standard deviations, which ranged from 0.0385 for copper–exchange rate to 0.1186 for gold–copper, further indicate that the magnitude of correlation fluctuations differed across asset pairs, with gold–copper exhibiting the greatest variability.</w:t>
      </w:r>
    </w:p>
    <w:p w14:paraId="33F7994F" w14:textId="77777777" w:rsidR="00CE1A3C" w:rsidRPr="00044728" w:rsidRDefault="00CE1A3C" w:rsidP="00CE1A3C">
      <w:pPr>
        <w:pStyle w:val="NormalWeb"/>
        <w:jc w:val="both"/>
        <w:rPr>
          <w:b/>
        </w:rPr>
      </w:pPr>
    </w:p>
    <w:p w14:paraId="3CC141B8" w14:textId="77777777" w:rsidR="00CE1A3C" w:rsidRPr="00044728" w:rsidRDefault="00CE1A3C" w:rsidP="00CE1A3C">
      <w:pPr>
        <w:pStyle w:val="NormalWeb"/>
        <w:jc w:val="both"/>
        <w:rPr>
          <w:b/>
        </w:rPr>
      </w:pPr>
      <w:r w:rsidRPr="00044728">
        <w:rPr>
          <w:b/>
        </w:rPr>
        <w:t>Conclusion</w:t>
      </w:r>
    </w:p>
    <w:p w14:paraId="5D02F766" w14:textId="77777777" w:rsidR="00D2523E" w:rsidRDefault="00F0356E" w:rsidP="00EE0234">
      <w:pPr>
        <w:pStyle w:val="NormalWeb"/>
        <w:jc w:val="both"/>
      </w:pPr>
      <w:r w:rsidRPr="00044728">
        <w:t xml:space="preserve">This study concludes that global commodity prices, exchange rate and Nigerian stock market returns are interconnected, but the nature and strength of their relationships vary across markets and over time. The VAR(1) results showed that some short-run interactions exist among the </w:t>
      </w:r>
      <w:r w:rsidRPr="00044728">
        <w:lastRenderedPageBreak/>
        <w:t>variables, particularly the influence of lagged copper and gold returns on Brent crude oil returns, and the relationship of lagged natural gas and stock market returns with subsequent Nigerian stock market returns. The volatility results further showed that the markets experience persistent volatility, with particularly high levels of volatility persistence in natural gas, copper and exchange rate returns. The DCC-GARCH estimates also confirmed that the correlations among the variables are not constant. Rather, they change over time, with some market pairs recording positive relationships at certain periods and negative relationships at others. For instance, gold and copper recorded the highest average correlation among the commodity pairs, while natural gas and exchange rate returns recorded a negative average correlation. The high DCC persistence coefficient of 0.99041 indicates that the correlation structure tends to remain persistent over time, while the significant DCC innovation coefficient of 0.00668 shows that new market information can still alter the degree of co-movement among the assets. These fin</w:t>
      </w:r>
      <w:r w:rsidR="00862DFA" w:rsidRPr="00044728">
        <w:t>dings suggest that movements in </w:t>
      </w:r>
      <w:r w:rsidRPr="00044728">
        <w:t>one market may be associated with changes in another market.</w:t>
      </w:r>
    </w:p>
    <w:p w14:paraId="5588592D" w14:textId="77777777" w:rsidR="001E7FF5" w:rsidRPr="001E7FF5" w:rsidRDefault="001E7FF5" w:rsidP="001E7FF5">
      <w:pPr>
        <w:spacing w:after="0" w:line="240" w:lineRule="auto"/>
        <w:rPr>
          <w:rFonts w:ascii="Arial" w:eastAsia="Calibri" w:hAnsi="Arial" w:cs="Arial"/>
          <w:b/>
          <w:kern w:val="0"/>
          <w:sz w:val="20"/>
          <w:szCs w:val="20"/>
          <w14:ligatures w14:val="none"/>
        </w:rPr>
      </w:pPr>
      <w:bookmarkStart w:id="3" w:name="_Hlk238550938"/>
      <w:bookmarkStart w:id="4" w:name="_Hlk237856463"/>
      <w:r w:rsidRPr="001E7FF5">
        <w:rPr>
          <w:rFonts w:ascii="Arial" w:eastAsia="Calibri" w:hAnsi="Arial" w:cs="Arial"/>
          <w:b/>
          <w:kern w:val="0"/>
          <w:sz w:val="20"/>
          <w:szCs w:val="20"/>
          <w14:ligatures w14:val="none"/>
        </w:rPr>
        <w:t>Declaration of AI Use</w:t>
      </w:r>
    </w:p>
    <w:p w14:paraId="6AD1F281" w14:textId="77777777" w:rsidR="001E7FF5" w:rsidRPr="001E7FF5" w:rsidRDefault="001E7FF5" w:rsidP="001E7FF5">
      <w:pPr>
        <w:spacing w:after="0" w:line="240" w:lineRule="auto"/>
        <w:rPr>
          <w:rFonts w:ascii="Arial" w:eastAsia="Calibri" w:hAnsi="Arial" w:cs="Arial"/>
          <w:kern w:val="0"/>
          <w:sz w:val="20"/>
          <w:szCs w:val="20"/>
          <w14:ligatures w14:val="none"/>
        </w:rPr>
      </w:pPr>
      <w:bookmarkStart w:id="5" w:name="_Hlk239068730"/>
    </w:p>
    <w:p w14:paraId="135132EE" w14:textId="77777777" w:rsidR="001E7FF5" w:rsidRPr="001E7FF5" w:rsidRDefault="001E7FF5" w:rsidP="001E7FF5">
      <w:pPr>
        <w:spacing w:after="0" w:line="240" w:lineRule="auto"/>
        <w:rPr>
          <w:rFonts w:ascii="Arial" w:eastAsia="Calibri" w:hAnsi="Arial" w:cs="Arial"/>
          <w:kern w:val="0"/>
          <w:sz w:val="20"/>
          <w:szCs w:val="20"/>
          <w14:ligatures w14:val="none"/>
        </w:rPr>
      </w:pPr>
      <w:bookmarkStart w:id="6" w:name="_Hlk237862032"/>
      <w:r w:rsidRPr="001E7FF5">
        <w:rPr>
          <w:rFonts w:ascii="Arial" w:eastAsia="Calibri" w:hAnsi="Arial" w:cs="Arial"/>
          <w:kern w:val="0"/>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
      <w:r w:rsidRPr="001E7FF5">
        <w:rPr>
          <w:rFonts w:ascii="Arial" w:eastAsia="Calibri" w:hAnsi="Arial" w:cs="Arial"/>
          <w:kern w:val="0"/>
          <w:sz w:val="20"/>
          <w:szCs w:val="20"/>
          <w14:ligatures w14:val="none"/>
        </w:rPr>
        <w:t>.</w:t>
      </w:r>
    </w:p>
    <w:bookmarkEnd w:id="4"/>
    <w:bookmarkEnd w:id="5"/>
    <w:bookmarkEnd w:id="6"/>
    <w:p w14:paraId="55D9EFCD" w14:textId="77777777" w:rsidR="00D2523E" w:rsidRDefault="00D2523E" w:rsidP="00EE0234">
      <w:pPr>
        <w:pStyle w:val="NormalWeb"/>
        <w:jc w:val="both"/>
      </w:pPr>
    </w:p>
    <w:p w14:paraId="24D16CF5" w14:textId="77777777" w:rsidR="00D2523E" w:rsidRPr="00044728" w:rsidRDefault="00D2523E" w:rsidP="00D2523E">
      <w:pPr>
        <w:jc w:val="both"/>
        <w:rPr>
          <w:rFonts w:ascii="Times New Roman" w:hAnsi="Times New Roman" w:cs="Times New Roman"/>
          <w:b/>
        </w:rPr>
      </w:pPr>
      <w:r w:rsidRPr="00044728">
        <w:rPr>
          <w:rFonts w:ascii="Times New Roman" w:hAnsi="Times New Roman" w:cs="Times New Roman"/>
          <w:b/>
        </w:rPr>
        <w:t>References</w:t>
      </w:r>
    </w:p>
    <w:p w14:paraId="114DB28C" w14:textId="77777777" w:rsidR="00D2523E" w:rsidRPr="00044728" w:rsidRDefault="00D2523E" w:rsidP="00D2523E">
      <w:pPr>
        <w:pStyle w:val="pdq2pgselectionanchorcontainer"/>
        <w:ind w:left="810" w:hanging="810"/>
        <w:jc w:val="both"/>
      </w:pPr>
      <w:proofErr w:type="spellStart"/>
      <w:r w:rsidRPr="00044728">
        <w:t>Adenomon</w:t>
      </w:r>
      <w:proofErr w:type="spellEnd"/>
      <w:r w:rsidRPr="00044728">
        <w:t xml:space="preserve">, M. O., </w:t>
      </w:r>
      <w:proofErr w:type="spellStart"/>
      <w:r w:rsidRPr="00044728">
        <w:t>Adehi</w:t>
      </w:r>
      <w:proofErr w:type="spellEnd"/>
      <w:r w:rsidRPr="00044728">
        <w:t xml:space="preserve">, M. U., </w:t>
      </w:r>
      <w:proofErr w:type="spellStart"/>
      <w:r w:rsidRPr="00044728">
        <w:t>Asambe</w:t>
      </w:r>
      <w:proofErr w:type="spellEnd"/>
      <w:r w:rsidRPr="00044728">
        <w:t xml:space="preserve">, D. A., &amp; Nweze, N. O. (2025). </w:t>
      </w:r>
      <w:r w:rsidRPr="00044728">
        <w:rPr>
          <w:rStyle w:val="Emphasis"/>
          <w:rFonts w:eastAsiaTheme="majorEastAsia"/>
          <w:i w:val="0"/>
        </w:rPr>
        <w:t>Modelling times series volatility: A case study of Nigeria economic variables</w:t>
      </w:r>
      <w:r w:rsidRPr="00044728">
        <w:rPr>
          <w:i/>
        </w:rPr>
        <w:t xml:space="preserve">. </w:t>
      </w:r>
      <w:proofErr w:type="spellStart"/>
      <w:r w:rsidRPr="00044728">
        <w:rPr>
          <w:rStyle w:val="Strong"/>
          <w:rFonts w:eastAsiaTheme="majorEastAsia"/>
          <w:b w:val="0"/>
          <w:i/>
        </w:rPr>
        <w:t>FULafia</w:t>
      </w:r>
      <w:proofErr w:type="spellEnd"/>
      <w:r w:rsidRPr="00044728">
        <w:rPr>
          <w:rStyle w:val="Strong"/>
          <w:rFonts w:eastAsiaTheme="majorEastAsia"/>
          <w:b w:val="0"/>
          <w:i/>
        </w:rPr>
        <w:t xml:space="preserve"> Journal of Science and Technology, 9</w:t>
      </w:r>
      <w:r w:rsidRPr="00044728">
        <w:t xml:space="preserve">(2), 23–30. DOI: 10.62050/fjst2025.v9n2.614. </w:t>
      </w:r>
    </w:p>
    <w:p w14:paraId="6CC75988" w14:textId="77777777" w:rsidR="00D2523E" w:rsidRPr="00044728" w:rsidRDefault="00D2523E" w:rsidP="00D2523E">
      <w:pPr>
        <w:spacing w:line="240" w:lineRule="auto"/>
        <w:ind w:left="720" w:hanging="720"/>
        <w:jc w:val="both"/>
        <w:rPr>
          <w:rFonts w:ascii="Times New Roman" w:hAnsi="Times New Roman" w:cs="Times New Roman"/>
        </w:rPr>
      </w:pPr>
      <w:r w:rsidRPr="00044728">
        <w:rPr>
          <w:rFonts w:ascii="Times New Roman" w:eastAsia="Times New Roman" w:hAnsi="Times New Roman" w:cs="Times New Roman"/>
        </w:rPr>
        <w:t>Ahmadian-Yazdi, F., Mensi, W., Al-</w:t>
      </w:r>
      <w:proofErr w:type="spellStart"/>
      <w:r w:rsidRPr="00044728">
        <w:rPr>
          <w:rFonts w:ascii="Times New Roman" w:eastAsia="Times New Roman" w:hAnsi="Times New Roman" w:cs="Times New Roman"/>
        </w:rPr>
        <w:t>Yahyaee</w:t>
      </w:r>
      <w:proofErr w:type="spellEnd"/>
      <w:r w:rsidRPr="00044728">
        <w:rPr>
          <w:rFonts w:ascii="Times New Roman" w:eastAsia="Times New Roman" w:hAnsi="Times New Roman" w:cs="Times New Roman"/>
        </w:rPr>
        <w:t xml:space="preserve">, K. H., </w:t>
      </w:r>
      <w:proofErr w:type="spellStart"/>
      <w:r w:rsidRPr="00044728">
        <w:rPr>
          <w:rFonts w:ascii="Times New Roman" w:eastAsia="Times New Roman" w:hAnsi="Times New Roman" w:cs="Times New Roman"/>
        </w:rPr>
        <w:t>Ramsheh</w:t>
      </w:r>
      <w:proofErr w:type="spellEnd"/>
      <w:r w:rsidRPr="00044728">
        <w:rPr>
          <w:rFonts w:ascii="Times New Roman" w:eastAsia="Times New Roman" w:hAnsi="Times New Roman" w:cs="Times New Roman"/>
        </w:rPr>
        <w:t xml:space="preserve">, M., &amp; Al-Kharusi, S. (2025). Connectedness between gold, copper, fossil fuels, and major stock markets: Implications for portfolio management. </w:t>
      </w:r>
      <w:r w:rsidRPr="00044728">
        <w:rPr>
          <w:rFonts w:ascii="Times New Roman" w:eastAsia="Times New Roman" w:hAnsi="Times New Roman" w:cs="Times New Roman"/>
          <w:i/>
          <w:iCs/>
        </w:rPr>
        <w:t>Resources Policy, 109</w:t>
      </w:r>
      <w:r w:rsidRPr="00044728">
        <w:rPr>
          <w:rFonts w:ascii="Times New Roman" w:eastAsia="Times New Roman" w:hAnsi="Times New Roman" w:cs="Times New Roman"/>
        </w:rPr>
        <w:t>, Article 105728. https://doi.org/10.1016/j.resourpol.2025.105728</w:t>
      </w:r>
      <w:r>
        <w:rPr>
          <w:rFonts w:ascii="Times New Roman" w:eastAsia="Times New Roman" w:hAnsi="Times New Roman" w:cs="Times New Roman"/>
        </w:rPr>
        <w:t>.</w:t>
      </w:r>
    </w:p>
    <w:p w14:paraId="36C2AAD9" w14:textId="77777777" w:rsidR="00D2523E" w:rsidRPr="00044728" w:rsidRDefault="00D2523E" w:rsidP="00D2523E">
      <w:pPr>
        <w:pStyle w:val="NormalWeb"/>
        <w:ind w:left="810" w:hanging="810"/>
        <w:jc w:val="both"/>
      </w:pPr>
      <w:proofErr w:type="spellStart"/>
      <w:r w:rsidRPr="00044728">
        <w:t>Atipaga</w:t>
      </w:r>
      <w:proofErr w:type="spellEnd"/>
      <w:r w:rsidRPr="00044728">
        <w:t xml:space="preserve">, U.-F. (2024). On the connectedness of stock returns and exchange rates in emerging and frontier markets in Africa. </w:t>
      </w:r>
      <w:r w:rsidRPr="00044728">
        <w:rPr>
          <w:rStyle w:val="Emphasis"/>
          <w:rFonts w:eastAsiaTheme="majorEastAsia"/>
        </w:rPr>
        <w:t>Economic Notes, 53</w:t>
      </w:r>
      <w:r w:rsidRPr="00044728">
        <w:t>(3), e12249. htt</w:t>
      </w:r>
      <w:r>
        <w:t>ps://doi.org/10.1111/ecno.12249.</w:t>
      </w:r>
    </w:p>
    <w:p w14:paraId="652104CC" w14:textId="77777777" w:rsidR="00D2523E" w:rsidRPr="00044728" w:rsidRDefault="00D2523E" w:rsidP="00D2523E">
      <w:pPr>
        <w:spacing w:line="240" w:lineRule="auto"/>
        <w:ind w:left="720" w:hanging="720"/>
        <w:jc w:val="both"/>
        <w:rPr>
          <w:rFonts w:ascii="Times New Roman" w:hAnsi="Times New Roman" w:cs="Times New Roman"/>
        </w:rPr>
      </w:pPr>
      <w:r w:rsidRPr="00044728">
        <w:rPr>
          <w:rFonts w:ascii="Times New Roman" w:eastAsia="Times New Roman" w:hAnsi="Times New Roman" w:cs="Times New Roman"/>
        </w:rPr>
        <w:t xml:space="preserve">Ben Flah, I., Samet, K., El Ammari, A., &amp; Terzi, C. (2025). Shock and volatility transmissions across global commodity and stock markets spillovers: Empirical evidence from Africa. </w:t>
      </w:r>
      <w:r w:rsidRPr="00044728">
        <w:rPr>
          <w:rFonts w:ascii="Times New Roman" w:eastAsia="Times New Roman" w:hAnsi="Times New Roman" w:cs="Times New Roman"/>
          <w:i/>
          <w:iCs/>
        </w:rPr>
        <w:t>Journal of Risk and Financial Management, 18</w:t>
      </w:r>
      <w:r w:rsidRPr="00044728">
        <w:rPr>
          <w:rFonts w:ascii="Times New Roman" w:eastAsia="Times New Roman" w:hAnsi="Times New Roman" w:cs="Times New Roman"/>
        </w:rPr>
        <w:t>(6), Article 332. https://doi.org/10.3390/jrfm18060332</w:t>
      </w:r>
      <w:r>
        <w:rPr>
          <w:rFonts w:ascii="Times New Roman" w:eastAsia="Times New Roman" w:hAnsi="Times New Roman" w:cs="Times New Roman"/>
        </w:rPr>
        <w:t>.</w:t>
      </w:r>
    </w:p>
    <w:p w14:paraId="3EC1E844" w14:textId="77777777" w:rsidR="00D2523E" w:rsidRPr="00044728" w:rsidRDefault="00D2523E" w:rsidP="00D2523E">
      <w:pPr>
        <w:spacing w:line="240" w:lineRule="auto"/>
        <w:ind w:left="720" w:hanging="720"/>
        <w:jc w:val="both"/>
        <w:rPr>
          <w:rFonts w:ascii="Times New Roman" w:hAnsi="Times New Roman" w:cs="Times New Roman"/>
        </w:rPr>
      </w:pPr>
      <w:r w:rsidRPr="00044728">
        <w:rPr>
          <w:rFonts w:ascii="Times New Roman" w:eastAsia="Times New Roman" w:hAnsi="Times New Roman" w:cs="Times New Roman"/>
        </w:rPr>
        <w:t xml:space="preserve">Ben Salem, L., </w:t>
      </w:r>
      <w:proofErr w:type="spellStart"/>
      <w:r w:rsidRPr="00044728">
        <w:rPr>
          <w:rFonts w:ascii="Times New Roman" w:eastAsia="Times New Roman" w:hAnsi="Times New Roman" w:cs="Times New Roman"/>
        </w:rPr>
        <w:t>Zayati</w:t>
      </w:r>
      <w:proofErr w:type="spellEnd"/>
      <w:r w:rsidRPr="00044728">
        <w:rPr>
          <w:rFonts w:ascii="Times New Roman" w:eastAsia="Times New Roman" w:hAnsi="Times New Roman" w:cs="Times New Roman"/>
        </w:rPr>
        <w:t xml:space="preserve">, M., </w:t>
      </w:r>
      <w:proofErr w:type="spellStart"/>
      <w:r w:rsidRPr="00044728">
        <w:rPr>
          <w:rFonts w:ascii="Times New Roman" w:eastAsia="Times New Roman" w:hAnsi="Times New Roman" w:cs="Times New Roman"/>
        </w:rPr>
        <w:t>Nouira</w:t>
      </w:r>
      <w:proofErr w:type="spellEnd"/>
      <w:r w:rsidRPr="00044728">
        <w:rPr>
          <w:rFonts w:ascii="Times New Roman" w:eastAsia="Times New Roman" w:hAnsi="Times New Roman" w:cs="Times New Roman"/>
        </w:rPr>
        <w:t xml:space="preserve">, R., &amp; Rault, C. (2024). Volatility spillover between oil prices and main exchange rates: Evidence from a DCC-GARCH-connectedness approach. </w:t>
      </w:r>
      <w:r w:rsidRPr="00044728">
        <w:rPr>
          <w:rFonts w:ascii="Times New Roman" w:eastAsia="Times New Roman" w:hAnsi="Times New Roman" w:cs="Times New Roman"/>
          <w:i/>
          <w:iCs/>
        </w:rPr>
        <w:t>Resources Policy, 91</w:t>
      </w:r>
      <w:r w:rsidRPr="00044728">
        <w:rPr>
          <w:rFonts w:ascii="Times New Roman" w:eastAsia="Times New Roman" w:hAnsi="Times New Roman" w:cs="Times New Roman"/>
        </w:rPr>
        <w:t>, Article 104880. https://doi.org/10.1016/j.resourpol.2024.104880</w:t>
      </w:r>
      <w:r>
        <w:rPr>
          <w:rFonts w:ascii="Times New Roman" w:eastAsia="Times New Roman" w:hAnsi="Times New Roman" w:cs="Times New Roman"/>
        </w:rPr>
        <w:t>.</w:t>
      </w:r>
    </w:p>
    <w:p w14:paraId="2FF85098" w14:textId="77777777" w:rsidR="00D2523E" w:rsidRPr="00044728" w:rsidRDefault="00D2523E" w:rsidP="00D2523E">
      <w:pPr>
        <w:pStyle w:val="NormalWeb"/>
        <w:ind w:left="810" w:hanging="810"/>
        <w:jc w:val="both"/>
      </w:pPr>
      <w:r w:rsidRPr="00044728">
        <w:lastRenderedPageBreak/>
        <w:t xml:space="preserve">Chen, Y., Xu, J., &amp; Hu, M. (2022). Asymmetric volatility spillovers and dynamic correlations between crude oil price, exchange rate and gold price in BRICS. </w:t>
      </w:r>
      <w:r w:rsidRPr="00044728">
        <w:rPr>
          <w:rStyle w:val="Emphasis"/>
          <w:rFonts w:eastAsiaTheme="majorEastAsia"/>
        </w:rPr>
        <w:t>Resources Policy, 79</w:t>
      </w:r>
      <w:r w:rsidRPr="00044728">
        <w:t>, 102857. https://doi.org/10.1016/j.resourpol.2022.102857</w:t>
      </w:r>
      <w:r>
        <w:t>.</w:t>
      </w:r>
      <w:r w:rsidRPr="00044728">
        <w:t xml:space="preserve"> </w:t>
      </w:r>
    </w:p>
    <w:p w14:paraId="6438B387" w14:textId="77777777" w:rsidR="00D2523E" w:rsidRPr="00044728" w:rsidRDefault="00D2523E" w:rsidP="00D2523E">
      <w:pPr>
        <w:spacing w:line="240" w:lineRule="auto"/>
        <w:ind w:left="720" w:hanging="720"/>
        <w:jc w:val="both"/>
        <w:rPr>
          <w:rFonts w:ascii="Times New Roman" w:hAnsi="Times New Roman" w:cs="Times New Roman"/>
        </w:rPr>
      </w:pPr>
      <w:proofErr w:type="spellStart"/>
      <w:r w:rsidRPr="00044728">
        <w:rPr>
          <w:rFonts w:ascii="Times New Roman" w:eastAsia="Times New Roman" w:hAnsi="Times New Roman" w:cs="Times New Roman"/>
        </w:rPr>
        <w:t>Dontoh</w:t>
      </w:r>
      <w:proofErr w:type="spellEnd"/>
      <w:r w:rsidRPr="00044728">
        <w:rPr>
          <w:rFonts w:ascii="Times New Roman" w:eastAsia="Times New Roman" w:hAnsi="Times New Roman" w:cs="Times New Roman"/>
        </w:rPr>
        <w:t xml:space="preserve">, E. A., Idun, A. A. A., Adam, A. M., &amp; Junior, P. O. (2024). </w:t>
      </w:r>
      <w:proofErr w:type="spellStart"/>
      <w:r w:rsidRPr="00044728">
        <w:rPr>
          <w:rFonts w:ascii="Times New Roman" w:eastAsia="Times New Roman" w:hAnsi="Times New Roman" w:cs="Times New Roman"/>
        </w:rPr>
        <w:t>Analysing</w:t>
      </w:r>
      <w:proofErr w:type="spellEnd"/>
      <w:r w:rsidRPr="00044728">
        <w:rPr>
          <w:rFonts w:ascii="Times New Roman" w:eastAsia="Times New Roman" w:hAnsi="Times New Roman" w:cs="Times New Roman"/>
        </w:rPr>
        <w:t xml:space="preserve"> COVID-19’s impact: Gold, oil, and stock markets in African oil-exporting economies. </w:t>
      </w:r>
      <w:r w:rsidRPr="00044728">
        <w:rPr>
          <w:rFonts w:ascii="Times New Roman" w:eastAsia="Times New Roman" w:hAnsi="Times New Roman" w:cs="Times New Roman"/>
          <w:i/>
          <w:iCs/>
        </w:rPr>
        <w:t>Scientific African, 25</w:t>
      </w:r>
      <w:r w:rsidRPr="00044728">
        <w:rPr>
          <w:rFonts w:ascii="Times New Roman" w:eastAsia="Times New Roman" w:hAnsi="Times New Roman" w:cs="Times New Roman"/>
        </w:rPr>
        <w:t>, Article e02330.</w:t>
      </w:r>
    </w:p>
    <w:p w14:paraId="6E4C39DA" w14:textId="77777777" w:rsidR="00D2523E" w:rsidRPr="00044728" w:rsidRDefault="00D2523E" w:rsidP="00D2523E">
      <w:pPr>
        <w:spacing w:line="240" w:lineRule="auto"/>
        <w:ind w:left="720" w:hanging="720"/>
        <w:jc w:val="both"/>
        <w:rPr>
          <w:rFonts w:ascii="Times New Roman" w:hAnsi="Times New Roman" w:cs="Times New Roman"/>
        </w:rPr>
      </w:pPr>
      <w:proofErr w:type="spellStart"/>
      <w:r w:rsidRPr="00044728">
        <w:rPr>
          <w:rFonts w:ascii="Times New Roman" w:eastAsia="Times New Roman" w:hAnsi="Times New Roman" w:cs="Times New Roman"/>
        </w:rPr>
        <w:t>Ghallabi</w:t>
      </w:r>
      <w:proofErr w:type="spellEnd"/>
      <w:r w:rsidRPr="00044728">
        <w:rPr>
          <w:rFonts w:ascii="Times New Roman" w:eastAsia="Times New Roman" w:hAnsi="Times New Roman" w:cs="Times New Roman"/>
        </w:rPr>
        <w:t xml:space="preserve">, F., Ghorbel, A., &amp; Karim, S. (2025). Decoding systemic risks across commodities and emerging market stock markets. </w:t>
      </w:r>
      <w:r w:rsidRPr="00044728">
        <w:rPr>
          <w:rFonts w:ascii="Times New Roman" w:eastAsia="Times New Roman" w:hAnsi="Times New Roman" w:cs="Times New Roman"/>
          <w:i/>
          <w:iCs/>
        </w:rPr>
        <w:t>Financial Innovation, 11</w:t>
      </w:r>
      <w:r w:rsidRPr="00044728">
        <w:rPr>
          <w:rFonts w:ascii="Times New Roman" w:eastAsia="Times New Roman" w:hAnsi="Times New Roman" w:cs="Times New Roman"/>
        </w:rPr>
        <w:t>, Article 47. https://doi.org/10.1186/s40854-024-00732-1</w:t>
      </w:r>
    </w:p>
    <w:p w14:paraId="7D544B0A" w14:textId="77777777" w:rsidR="00D2523E" w:rsidRPr="00044728" w:rsidRDefault="00D2523E" w:rsidP="00D2523E">
      <w:pPr>
        <w:pStyle w:val="NormalWeb"/>
        <w:ind w:left="810" w:hanging="810"/>
        <w:jc w:val="both"/>
      </w:pPr>
      <w:r w:rsidRPr="00044728">
        <w:t xml:space="preserve">Hassan, A., Ibrahim, M. U., &amp; Bala, A. J. (2024). Vulnerability of a developing stock market to openness: One-way return and volatility transmissions. </w:t>
      </w:r>
      <w:r w:rsidRPr="00044728">
        <w:rPr>
          <w:rStyle w:val="Emphasis"/>
          <w:rFonts w:eastAsiaTheme="majorEastAsia"/>
        </w:rPr>
        <w:t>Finance Research Letters, 93</w:t>
      </w:r>
      <w:r w:rsidRPr="00044728">
        <w:t xml:space="preserve">, 105752. </w:t>
      </w:r>
    </w:p>
    <w:p w14:paraId="25CFBFBC" w14:textId="77777777" w:rsidR="00D2523E" w:rsidRPr="00044728" w:rsidRDefault="00D2523E" w:rsidP="00D2523E">
      <w:pPr>
        <w:spacing w:line="240" w:lineRule="auto"/>
        <w:ind w:left="720" w:hanging="720"/>
        <w:jc w:val="both"/>
        <w:rPr>
          <w:rFonts w:ascii="Times New Roman" w:hAnsi="Times New Roman" w:cs="Times New Roman"/>
        </w:rPr>
      </w:pPr>
      <w:proofErr w:type="spellStart"/>
      <w:r w:rsidRPr="00044728">
        <w:rPr>
          <w:rFonts w:ascii="Times New Roman" w:eastAsia="Times New Roman" w:hAnsi="Times New Roman" w:cs="Times New Roman"/>
        </w:rPr>
        <w:t>Kumeka</w:t>
      </w:r>
      <w:proofErr w:type="spellEnd"/>
      <w:r w:rsidRPr="00044728">
        <w:rPr>
          <w:rFonts w:ascii="Times New Roman" w:eastAsia="Times New Roman" w:hAnsi="Times New Roman" w:cs="Times New Roman"/>
        </w:rPr>
        <w:t xml:space="preserve">, T. T., Uzoma-Nwosu, D. C., &amp; David-Wayas, M. O. (2022). The effects of COVID-19 on the interrelationship among oil prices, stock prices and exchange rates in selected oil exporting economies. </w:t>
      </w:r>
      <w:r w:rsidRPr="00044728">
        <w:rPr>
          <w:rFonts w:ascii="Times New Roman" w:eastAsia="Times New Roman" w:hAnsi="Times New Roman" w:cs="Times New Roman"/>
          <w:i/>
          <w:iCs/>
        </w:rPr>
        <w:t>Resources Policy, 77</w:t>
      </w:r>
      <w:r w:rsidRPr="00044728">
        <w:rPr>
          <w:rFonts w:ascii="Times New Roman" w:eastAsia="Times New Roman" w:hAnsi="Times New Roman" w:cs="Times New Roman"/>
        </w:rPr>
        <w:t>, Article 102744. https://doi.org/10.1016/j.resourpol.2022.102744</w:t>
      </w:r>
      <w:r>
        <w:rPr>
          <w:rFonts w:ascii="Times New Roman" w:eastAsia="Times New Roman" w:hAnsi="Times New Roman" w:cs="Times New Roman"/>
        </w:rPr>
        <w:t>.</w:t>
      </w:r>
    </w:p>
    <w:p w14:paraId="2DFB67F0" w14:textId="77777777" w:rsidR="00D2523E" w:rsidRPr="00044728" w:rsidRDefault="00D2523E" w:rsidP="00D2523E">
      <w:pPr>
        <w:spacing w:line="240" w:lineRule="auto"/>
        <w:ind w:left="720" w:hanging="720"/>
        <w:jc w:val="both"/>
        <w:rPr>
          <w:rFonts w:ascii="Times New Roman" w:hAnsi="Times New Roman" w:cs="Times New Roman"/>
        </w:rPr>
      </w:pPr>
      <w:r w:rsidRPr="00044728">
        <w:rPr>
          <w:rFonts w:ascii="Times New Roman" w:eastAsia="Times New Roman" w:hAnsi="Times New Roman" w:cs="Times New Roman"/>
        </w:rPr>
        <w:t xml:space="preserve">Raji, J. O., Abdulkadir, R. I., &amp; Badru, B. O. (2018). Dynamic relationship between Nigeria-US exchange rate and crude oil price. </w:t>
      </w:r>
      <w:r w:rsidRPr="00044728">
        <w:rPr>
          <w:rFonts w:ascii="Times New Roman" w:eastAsia="Times New Roman" w:hAnsi="Times New Roman" w:cs="Times New Roman"/>
          <w:i/>
          <w:iCs/>
        </w:rPr>
        <w:t>African Journal of Economic and Management Studies, 9</w:t>
      </w:r>
      <w:r w:rsidRPr="00044728">
        <w:rPr>
          <w:rFonts w:ascii="Times New Roman" w:eastAsia="Times New Roman" w:hAnsi="Times New Roman" w:cs="Times New Roman"/>
        </w:rPr>
        <w:t>(2), 213–230.</w:t>
      </w:r>
    </w:p>
    <w:p w14:paraId="20CF3775" w14:textId="77777777" w:rsidR="00D2523E" w:rsidRPr="00044728" w:rsidRDefault="00D2523E" w:rsidP="00D2523E">
      <w:pPr>
        <w:spacing w:line="240" w:lineRule="auto"/>
        <w:ind w:left="720" w:hanging="720"/>
        <w:jc w:val="both"/>
        <w:rPr>
          <w:rFonts w:ascii="Times New Roman" w:hAnsi="Times New Roman" w:cs="Times New Roman"/>
        </w:rPr>
      </w:pPr>
      <w:r w:rsidRPr="00044728">
        <w:rPr>
          <w:rFonts w:ascii="Times New Roman" w:eastAsia="Times New Roman" w:hAnsi="Times New Roman" w:cs="Times New Roman"/>
        </w:rPr>
        <w:t xml:space="preserve">Rastogi, S., </w:t>
      </w:r>
      <w:proofErr w:type="spellStart"/>
      <w:r w:rsidRPr="00044728">
        <w:rPr>
          <w:rFonts w:ascii="Times New Roman" w:eastAsia="Times New Roman" w:hAnsi="Times New Roman" w:cs="Times New Roman"/>
        </w:rPr>
        <w:t>Kanoujiya</w:t>
      </w:r>
      <w:proofErr w:type="spellEnd"/>
      <w:r w:rsidRPr="00044728">
        <w:rPr>
          <w:rFonts w:ascii="Times New Roman" w:eastAsia="Times New Roman" w:hAnsi="Times New Roman" w:cs="Times New Roman"/>
        </w:rPr>
        <w:t xml:space="preserve">, J., &amp; Doifode, A. (2024). Volatility integration of crude oil, gold, and interest rates on the exchange rate: DCC GARCH and BEKK GARCH applications. </w:t>
      </w:r>
      <w:r w:rsidRPr="00044728">
        <w:rPr>
          <w:rFonts w:ascii="Times New Roman" w:eastAsia="Times New Roman" w:hAnsi="Times New Roman" w:cs="Times New Roman"/>
          <w:i/>
          <w:iCs/>
        </w:rPr>
        <w:t>Cogent Business &amp; Management, 11</w:t>
      </w:r>
      <w:r w:rsidRPr="00044728">
        <w:rPr>
          <w:rFonts w:ascii="Times New Roman" w:eastAsia="Times New Roman" w:hAnsi="Times New Roman" w:cs="Times New Roman"/>
        </w:rPr>
        <w:t>(1), Article 2289700. https://doi.org/10.1080/23311975.2023.2289700</w:t>
      </w:r>
      <w:r>
        <w:rPr>
          <w:rFonts w:ascii="Times New Roman" w:eastAsia="Times New Roman" w:hAnsi="Times New Roman" w:cs="Times New Roman"/>
        </w:rPr>
        <w:t>.</w:t>
      </w:r>
    </w:p>
    <w:p w14:paraId="488F521A" w14:textId="77777777" w:rsidR="00D2523E" w:rsidRPr="00044728" w:rsidRDefault="00D2523E" w:rsidP="00D2523E">
      <w:pPr>
        <w:ind w:left="810" w:hanging="810"/>
        <w:jc w:val="both"/>
        <w:rPr>
          <w:rFonts w:ascii="Times New Roman" w:hAnsi="Times New Roman" w:cs="Times New Roman"/>
        </w:rPr>
      </w:pPr>
      <w:r w:rsidRPr="00044728">
        <w:rPr>
          <w:rFonts w:ascii="Times New Roman" w:hAnsi="Times New Roman" w:cs="Times New Roman"/>
        </w:rPr>
        <w:t xml:space="preserve">Sims, C. A. (1980). </w:t>
      </w:r>
      <w:r w:rsidRPr="00044728">
        <w:rPr>
          <w:rStyle w:val="Emphasis"/>
          <w:rFonts w:ascii="Times New Roman" w:hAnsi="Times New Roman" w:cs="Times New Roman"/>
          <w:i w:val="0"/>
        </w:rPr>
        <w:t>Macroeconomics and reality</w:t>
      </w:r>
      <w:r w:rsidRPr="00044728">
        <w:rPr>
          <w:rFonts w:ascii="Times New Roman" w:hAnsi="Times New Roman" w:cs="Times New Roman"/>
          <w:i/>
        </w:rPr>
        <w:t xml:space="preserve">. </w:t>
      </w:r>
      <w:proofErr w:type="spellStart"/>
      <w:r w:rsidRPr="00044728">
        <w:rPr>
          <w:rStyle w:val="Strong"/>
          <w:rFonts w:ascii="Times New Roman" w:hAnsi="Times New Roman" w:cs="Times New Roman"/>
          <w:b w:val="0"/>
          <w:i/>
        </w:rPr>
        <w:t>Econometrica</w:t>
      </w:r>
      <w:proofErr w:type="spellEnd"/>
      <w:r w:rsidRPr="00044728">
        <w:rPr>
          <w:rStyle w:val="Strong"/>
          <w:rFonts w:ascii="Times New Roman" w:hAnsi="Times New Roman" w:cs="Times New Roman"/>
          <w:b w:val="0"/>
          <w:i/>
        </w:rPr>
        <w:t>, 48</w:t>
      </w:r>
      <w:r w:rsidRPr="00044728">
        <w:rPr>
          <w:rFonts w:ascii="Times New Roman" w:hAnsi="Times New Roman" w:cs="Times New Roman"/>
        </w:rPr>
        <w:t xml:space="preserve">(1), 1–48. </w:t>
      </w:r>
      <w:hyperlink r:id="rId7" w:tgtFrame="_new" w:history="1">
        <w:r w:rsidRPr="00044728">
          <w:rPr>
            <w:rStyle w:val="Hyperlink"/>
            <w:rFonts w:ascii="Times New Roman" w:hAnsi="Times New Roman" w:cs="Times New Roman"/>
            <w:color w:val="auto"/>
          </w:rPr>
          <w:t>https://doi.org/10.2307/1912017</w:t>
        </w:r>
      </w:hyperlink>
      <w:r>
        <w:rPr>
          <w:rStyle w:val="Hyperlink"/>
          <w:rFonts w:ascii="Times New Roman" w:hAnsi="Times New Roman" w:cs="Times New Roman"/>
          <w:color w:val="auto"/>
        </w:rPr>
        <w:t>.</w:t>
      </w:r>
    </w:p>
    <w:p w14:paraId="3D4D9E0A" w14:textId="77777777" w:rsidR="00D2523E" w:rsidRPr="00044728" w:rsidRDefault="00D2523E" w:rsidP="00D2523E">
      <w:pPr>
        <w:pStyle w:val="NormalWeb"/>
        <w:ind w:left="810" w:hanging="810"/>
        <w:jc w:val="both"/>
      </w:pPr>
      <w:proofErr w:type="spellStart"/>
      <w:r w:rsidRPr="00044728">
        <w:t>Tsiakas</w:t>
      </w:r>
      <w:proofErr w:type="spellEnd"/>
      <w:r w:rsidRPr="00044728">
        <w:t xml:space="preserve">, I., &amp; Zhang, H. (2021). Economic fundamentals and the long-run correlation between exchange rates and commodities. </w:t>
      </w:r>
      <w:r w:rsidRPr="00044728">
        <w:rPr>
          <w:rStyle w:val="Emphasis"/>
          <w:rFonts w:eastAsiaTheme="majorEastAsia"/>
        </w:rPr>
        <w:t>Global Finance Journal, 49</w:t>
      </w:r>
      <w:r w:rsidRPr="00044728">
        <w:t>, 100649. https://doi.org/10.1016/j.gfj.2021.100649</w:t>
      </w:r>
      <w:r>
        <w:t>.</w:t>
      </w:r>
      <w:r w:rsidRPr="00044728">
        <w:t xml:space="preserve"> </w:t>
      </w:r>
    </w:p>
    <w:p w14:paraId="65B4C35E" w14:textId="77777777" w:rsidR="00D2523E" w:rsidRPr="00044728" w:rsidRDefault="00D2523E" w:rsidP="00D2523E">
      <w:pPr>
        <w:spacing w:line="240" w:lineRule="auto"/>
        <w:ind w:left="720" w:hanging="720"/>
        <w:jc w:val="both"/>
        <w:rPr>
          <w:rFonts w:ascii="Times New Roman" w:hAnsi="Times New Roman" w:cs="Times New Roman"/>
        </w:rPr>
      </w:pPr>
      <w:proofErr w:type="spellStart"/>
      <w:r w:rsidRPr="00044728">
        <w:rPr>
          <w:rFonts w:ascii="Times New Roman" w:eastAsia="Times New Roman" w:hAnsi="Times New Roman" w:cs="Times New Roman"/>
        </w:rPr>
        <w:t>Tumala</w:t>
      </w:r>
      <w:proofErr w:type="spellEnd"/>
      <w:r w:rsidRPr="00044728">
        <w:rPr>
          <w:rFonts w:ascii="Times New Roman" w:eastAsia="Times New Roman" w:hAnsi="Times New Roman" w:cs="Times New Roman"/>
        </w:rPr>
        <w:t xml:space="preserve">, M. M., Salisu, A. A., &amp; Gambo, A. I. (2023). Disentangled oil shocks and stock market volatility in Nigeria and South Africa: A GARCH-MIDAS approach. </w:t>
      </w:r>
      <w:r w:rsidRPr="00044728">
        <w:rPr>
          <w:rFonts w:ascii="Times New Roman" w:eastAsia="Times New Roman" w:hAnsi="Times New Roman" w:cs="Times New Roman"/>
          <w:i/>
          <w:iCs/>
        </w:rPr>
        <w:t>Economic Analysis and Policy, 78</w:t>
      </w:r>
      <w:r w:rsidRPr="00044728">
        <w:rPr>
          <w:rFonts w:ascii="Times New Roman" w:eastAsia="Times New Roman" w:hAnsi="Times New Roman" w:cs="Times New Roman"/>
        </w:rPr>
        <w:t>, 707–717. https://doi.org/10.1016/j.eap.2023.04.009</w:t>
      </w:r>
    </w:p>
    <w:p w14:paraId="62B7CFE7" w14:textId="77777777" w:rsidR="00D2523E" w:rsidRPr="00044728" w:rsidRDefault="00D2523E" w:rsidP="00D2523E">
      <w:pPr>
        <w:spacing w:line="240" w:lineRule="auto"/>
        <w:ind w:left="720" w:hanging="720"/>
        <w:jc w:val="both"/>
        <w:rPr>
          <w:rFonts w:ascii="Times New Roman" w:hAnsi="Times New Roman" w:cs="Times New Roman"/>
        </w:rPr>
      </w:pPr>
      <w:proofErr w:type="spellStart"/>
      <w:r w:rsidRPr="00044728">
        <w:rPr>
          <w:rFonts w:ascii="Times New Roman" w:eastAsia="Times New Roman" w:hAnsi="Times New Roman" w:cs="Times New Roman"/>
        </w:rPr>
        <w:t>Urom</w:t>
      </w:r>
      <w:proofErr w:type="spellEnd"/>
      <w:r w:rsidRPr="00044728">
        <w:rPr>
          <w:rFonts w:ascii="Times New Roman" w:eastAsia="Times New Roman" w:hAnsi="Times New Roman" w:cs="Times New Roman"/>
        </w:rPr>
        <w:t xml:space="preserve">, C., Ndubuisi, G., Lo, G. D., &amp; Yuni, D. (2023). Global commodity and equity markets spillovers to Africa during the COVID-19 pandemic. </w:t>
      </w:r>
      <w:r w:rsidRPr="00044728">
        <w:rPr>
          <w:rFonts w:ascii="Times New Roman" w:eastAsia="Times New Roman" w:hAnsi="Times New Roman" w:cs="Times New Roman"/>
          <w:i/>
          <w:iCs/>
        </w:rPr>
        <w:t>Emerging Markets Review, 55</w:t>
      </w:r>
      <w:r w:rsidRPr="00044728">
        <w:rPr>
          <w:rFonts w:ascii="Times New Roman" w:eastAsia="Times New Roman" w:hAnsi="Times New Roman" w:cs="Times New Roman"/>
        </w:rPr>
        <w:t>, Article 100948. https://doi.org/10.1016/j.ememar.2022.100948</w:t>
      </w:r>
    </w:p>
    <w:p w14:paraId="40AFBA31" w14:textId="77777777" w:rsidR="00D2523E" w:rsidRPr="00044728" w:rsidRDefault="00D2523E" w:rsidP="00D2523E">
      <w:pPr>
        <w:pStyle w:val="NormalWeb"/>
        <w:ind w:left="810" w:hanging="810"/>
        <w:jc w:val="both"/>
      </w:pPr>
      <w:r w:rsidRPr="00044728">
        <w:t xml:space="preserve">Wafula, M., </w:t>
      </w:r>
      <w:proofErr w:type="spellStart"/>
      <w:r w:rsidRPr="00044728">
        <w:t>Alagidede</w:t>
      </w:r>
      <w:proofErr w:type="spellEnd"/>
      <w:r w:rsidRPr="00044728">
        <w:t xml:space="preserve">, I., Simpasa, A., &amp; </w:t>
      </w:r>
      <w:proofErr w:type="spellStart"/>
      <w:r w:rsidRPr="00044728">
        <w:t>Nandelenga</w:t>
      </w:r>
      <w:proofErr w:type="spellEnd"/>
      <w:r w:rsidRPr="00044728">
        <w:t xml:space="preserve">. (2022). </w:t>
      </w:r>
      <w:r w:rsidRPr="00044728">
        <w:rPr>
          <w:rStyle w:val="Emphasis"/>
          <w:rFonts w:eastAsiaTheme="majorEastAsia"/>
        </w:rPr>
        <w:t xml:space="preserve">Do gold and crude oil act as portfolio diversifiers, safe haven assets or hedge instruments against volatility in stock </w:t>
      </w:r>
      <w:r w:rsidRPr="00044728">
        <w:rPr>
          <w:rStyle w:val="Emphasis"/>
          <w:rFonts w:eastAsiaTheme="majorEastAsia"/>
        </w:rPr>
        <w:lastRenderedPageBreak/>
        <w:t>markets and exchange rates? Evidence from sub-Saharan Africa</w:t>
      </w:r>
      <w:r w:rsidRPr="00044728">
        <w:t>. African Economic Research Consortium.</w:t>
      </w:r>
    </w:p>
    <w:p w14:paraId="3086CB82" w14:textId="77777777" w:rsidR="00D2523E" w:rsidRDefault="00D2523E" w:rsidP="00D2523E"/>
    <w:p w14:paraId="3E3A0EAC" w14:textId="77777777" w:rsidR="00F0356E" w:rsidRPr="00044728" w:rsidRDefault="00F0356E" w:rsidP="00EE0234">
      <w:pPr>
        <w:pStyle w:val="NormalWeb"/>
        <w:jc w:val="both"/>
      </w:pPr>
      <w:r w:rsidRPr="00044728">
        <w:br/>
      </w:r>
    </w:p>
    <w:p w14:paraId="5451AB28" w14:textId="77777777" w:rsidR="00B137B1" w:rsidRPr="00044728" w:rsidRDefault="00B137B1" w:rsidP="00EE0234">
      <w:pPr>
        <w:jc w:val="both"/>
        <w:rPr>
          <w:rFonts w:ascii="Times New Roman" w:hAnsi="Times New Roman" w:cs="Times New Roman"/>
        </w:rPr>
      </w:pPr>
    </w:p>
    <w:p w14:paraId="5C201318" w14:textId="77777777" w:rsidR="00803B32" w:rsidRPr="00044728" w:rsidRDefault="00803B32" w:rsidP="00EE0234">
      <w:pPr>
        <w:ind w:left="810" w:hanging="810"/>
        <w:jc w:val="both"/>
        <w:rPr>
          <w:rFonts w:ascii="Times New Roman" w:hAnsi="Times New Roman" w:cs="Times New Roman"/>
        </w:rPr>
      </w:pPr>
    </w:p>
    <w:sectPr w:rsidR="00803B32" w:rsidRPr="0004472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20F0F" w14:textId="77777777" w:rsidR="00151DC7" w:rsidRDefault="00151DC7" w:rsidP="00044728">
      <w:pPr>
        <w:spacing w:after="0" w:line="240" w:lineRule="auto"/>
      </w:pPr>
      <w:r>
        <w:separator/>
      </w:r>
    </w:p>
  </w:endnote>
  <w:endnote w:type="continuationSeparator" w:id="0">
    <w:p w14:paraId="55D45CEC" w14:textId="77777777" w:rsidR="00151DC7" w:rsidRDefault="00151DC7" w:rsidP="00044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ngsanaUPC">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A4B17" w14:textId="77777777" w:rsidR="004A77A0" w:rsidRDefault="004A77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95383"/>
      <w:docPartObj>
        <w:docPartGallery w:val="Page Numbers (Bottom of Page)"/>
        <w:docPartUnique/>
      </w:docPartObj>
    </w:sdtPr>
    <w:sdtEndPr>
      <w:rPr>
        <w:noProof/>
      </w:rPr>
    </w:sdtEndPr>
    <w:sdtContent>
      <w:p w14:paraId="6F2D9212" w14:textId="77777777" w:rsidR="00583008" w:rsidRDefault="00583008">
        <w:pPr>
          <w:pStyle w:val="Footer"/>
          <w:jc w:val="center"/>
        </w:pPr>
        <w:r>
          <w:fldChar w:fldCharType="begin"/>
        </w:r>
        <w:r>
          <w:instrText xml:space="preserve"> PAGE   \* MERGEFORMAT </w:instrText>
        </w:r>
        <w:r>
          <w:fldChar w:fldCharType="separate"/>
        </w:r>
        <w:r w:rsidR="002E0BE9">
          <w:rPr>
            <w:noProof/>
          </w:rPr>
          <w:t>22</w:t>
        </w:r>
        <w:r>
          <w:rPr>
            <w:noProof/>
          </w:rPr>
          <w:fldChar w:fldCharType="end"/>
        </w:r>
      </w:p>
    </w:sdtContent>
  </w:sdt>
  <w:p w14:paraId="4249B878" w14:textId="77777777" w:rsidR="00583008" w:rsidRDefault="005830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A2F69" w14:textId="77777777" w:rsidR="004A77A0" w:rsidRDefault="004A77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824E" w14:textId="77777777" w:rsidR="00151DC7" w:rsidRDefault="00151DC7" w:rsidP="00044728">
      <w:pPr>
        <w:spacing w:after="0" w:line="240" w:lineRule="auto"/>
      </w:pPr>
      <w:r>
        <w:separator/>
      </w:r>
    </w:p>
  </w:footnote>
  <w:footnote w:type="continuationSeparator" w:id="0">
    <w:p w14:paraId="31B41D0E" w14:textId="77777777" w:rsidR="00151DC7" w:rsidRDefault="00151DC7" w:rsidP="000447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8062D" w14:textId="10C0DCA3" w:rsidR="004A77A0" w:rsidRDefault="004A77A0">
    <w:pPr>
      <w:pStyle w:val="Header"/>
    </w:pPr>
    <w:r>
      <w:rPr>
        <w:noProof/>
      </w:rPr>
      <w:pict w14:anchorId="211A80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17287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C4F60" w14:textId="5022E543" w:rsidR="004A77A0" w:rsidRDefault="004A77A0">
    <w:pPr>
      <w:pStyle w:val="Header"/>
    </w:pPr>
    <w:r>
      <w:rPr>
        <w:noProof/>
      </w:rPr>
      <w:pict w14:anchorId="0DD219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17287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28755" w14:textId="4157BDD2" w:rsidR="004A77A0" w:rsidRDefault="004A77A0">
    <w:pPr>
      <w:pStyle w:val="Header"/>
    </w:pPr>
    <w:r>
      <w:rPr>
        <w:noProof/>
      </w:rPr>
      <w:pict w14:anchorId="3F6FDC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17287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3205"/>
    <w:multiLevelType w:val="multilevel"/>
    <w:tmpl w:val="2DBE4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D57F87"/>
    <w:multiLevelType w:val="multilevel"/>
    <w:tmpl w:val="44A26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697973"/>
    <w:multiLevelType w:val="multilevel"/>
    <w:tmpl w:val="F24E4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52DBB"/>
    <w:multiLevelType w:val="hybridMultilevel"/>
    <w:tmpl w:val="4BFC5A8E"/>
    <w:lvl w:ilvl="0" w:tplc="2000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847423"/>
    <w:multiLevelType w:val="multilevel"/>
    <w:tmpl w:val="7B865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6D64ED"/>
    <w:multiLevelType w:val="hybridMultilevel"/>
    <w:tmpl w:val="9D44D6E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15:restartNumberingAfterBreak="0">
    <w:nsid w:val="2E8727A6"/>
    <w:multiLevelType w:val="multilevel"/>
    <w:tmpl w:val="9006C69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267656"/>
    <w:multiLevelType w:val="multilevel"/>
    <w:tmpl w:val="19AE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A57FD5"/>
    <w:multiLevelType w:val="multilevel"/>
    <w:tmpl w:val="A9BAB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112E16"/>
    <w:multiLevelType w:val="multilevel"/>
    <w:tmpl w:val="974CE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1A4198"/>
    <w:multiLevelType w:val="multilevel"/>
    <w:tmpl w:val="6C8A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469B0"/>
    <w:multiLevelType w:val="hybridMultilevel"/>
    <w:tmpl w:val="8B745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1E1C94"/>
    <w:multiLevelType w:val="multilevel"/>
    <w:tmpl w:val="1D103F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DB04495"/>
    <w:multiLevelType w:val="multilevel"/>
    <w:tmpl w:val="8BE8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CD7E1A"/>
    <w:multiLevelType w:val="multilevel"/>
    <w:tmpl w:val="DB16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015657"/>
    <w:multiLevelType w:val="multilevel"/>
    <w:tmpl w:val="2A48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1450A0"/>
    <w:multiLevelType w:val="multilevel"/>
    <w:tmpl w:val="9D8E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991868"/>
    <w:multiLevelType w:val="multilevel"/>
    <w:tmpl w:val="F19E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BF317D"/>
    <w:multiLevelType w:val="hybridMultilevel"/>
    <w:tmpl w:val="ADD42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83177C"/>
    <w:multiLevelType w:val="multilevel"/>
    <w:tmpl w:val="2EE8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1F3555"/>
    <w:multiLevelType w:val="multilevel"/>
    <w:tmpl w:val="67742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9B0BDA"/>
    <w:multiLevelType w:val="multilevel"/>
    <w:tmpl w:val="D07CC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E50CC5"/>
    <w:multiLevelType w:val="multilevel"/>
    <w:tmpl w:val="47562B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700984"/>
    <w:multiLevelType w:val="multilevel"/>
    <w:tmpl w:val="6270FE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B721878"/>
    <w:multiLevelType w:val="multilevel"/>
    <w:tmpl w:val="D2C44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C74FD9"/>
    <w:multiLevelType w:val="multilevel"/>
    <w:tmpl w:val="F410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6507A1"/>
    <w:multiLevelType w:val="hybridMultilevel"/>
    <w:tmpl w:val="8B8E6C48"/>
    <w:lvl w:ilvl="0" w:tplc="D562C40C">
      <w:start w:val="1"/>
      <w:numFmt w:val="decimal"/>
      <w:lvlText w:val="%1."/>
      <w:lvlJc w:val="left"/>
      <w:pPr>
        <w:ind w:left="420" w:hanging="360"/>
      </w:pPr>
    </w:lvl>
    <w:lvl w:ilvl="1" w:tplc="20000019">
      <w:start w:val="1"/>
      <w:numFmt w:val="lowerLetter"/>
      <w:lvlText w:val="%2."/>
      <w:lvlJc w:val="left"/>
      <w:pPr>
        <w:ind w:left="1140" w:hanging="360"/>
      </w:pPr>
    </w:lvl>
    <w:lvl w:ilvl="2" w:tplc="2000001B">
      <w:start w:val="1"/>
      <w:numFmt w:val="lowerRoman"/>
      <w:lvlText w:val="%3."/>
      <w:lvlJc w:val="right"/>
      <w:pPr>
        <w:ind w:left="1860" w:hanging="180"/>
      </w:pPr>
    </w:lvl>
    <w:lvl w:ilvl="3" w:tplc="2000000F">
      <w:start w:val="1"/>
      <w:numFmt w:val="decimal"/>
      <w:lvlText w:val="%4."/>
      <w:lvlJc w:val="left"/>
      <w:pPr>
        <w:ind w:left="2580" w:hanging="360"/>
      </w:pPr>
    </w:lvl>
    <w:lvl w:ilvl="4" w:tplc="20000019">
      <w:start w:val="1"/>
      <w:numFmt w:val="lowerLetter"/>
      <w:lvlText w:val="%5."/>
      <w:lvlJc w:val="left"/>
      <w:pPr>
        <w:ind w:left="3300" w:hanging="360"/>
      </w:pPr>
    </w:lvl>
    <w:lvl w:ilvl="5" w:tplc="2000001B">
      <w:start w:val="1"/>
      <w:numFmt w:val="lowerRoman"/>
      <w:lvlText w:val="%6."/>
      <w:lvlJc w:val="right"/>
      <w:pPr>
        <w:ind w:left="4020" w:hanging="180"/>
      </w:pPr>
    </w:lvl>
    <w:lvl w:ilvl="6" w:tplc="2000000F">
      <w:start w:val="1"/>
      <w:numFmt w:val="decimal"/>
      <w:lvlText w:val="%7."/>
      <w:lvlJc w:val="left"/>
      <w:pPr>
        <w:ind w:left="4740" w:hanging="360"/>
      </w:pPr>
    </w:lvl>
    <w:lvl w:ilvl="7" w:tplc="20000019">
      <w:start w:val="1"/>
      <w:numFmt w:val="lowerLetter"/>
      <w:lvlText w:val="%8."/>
      <w:lvlJc w:val="left"/>
      <w:pPr>
        <w:ind w:left="5460" w:hanging="360"/>
      </w:pPr>
    </w:lvl>
    <w:lvl w:ilvl="8" w:tplc="2000001B">
      <w:start w:val="1"/>
      <w:numFmt w:val="lowerRoman"/>
      <w:lvlText w:val="%9."/>
      <w:lvlJc w:val="right"/>
      <w:pPr>
        <w:ind w:left="6180" w:hanging="180"/>
      </w:pPr>
    </w:lvl>
  </w:abstractNum>
  <w:abstractNum w:abstractNumId="27" w15:restartNumberingAfterBreak="0">
    <w:nsid w:val="7D4628A0"/>
    <w:multiLevelType w:val="multilevel"/>
    <w:tmpl w:val="74BE3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3205508">
    <w:abstractNumId w:val="15"/>
  </w:num>
  <w:num w:numId="2" w16cid:durableId="468935701">
    <w:abstractNumId w:val="27"/>
  </w:num>
  <w:num w:numId="3" w16cid:durableId="1028482806">
    <w:abstractNumId w:val="16"/>
  </w:num>
  <w:num w:numId="4" w16cid:durableId="362217475">
    <w:abstractNumId w:val="17"/>
  </w:num>
  <w:num w:numId="5" w16cid:durableId="374236897">
    <w:abstractNumId w:val="6"/>
  </w:num>
  <w:num w:numId="6" w16cid:durableId="766803734">
    <w:abstractNumId w:val="25"/>
  </w:num>
  <w:num w:numId="7" w16cid:durableId="375550557">
    <w:abstractNumId w:val="13"/>
  </w:num>
  <w:num w:numId="8" w16cid:durableId="1729957751">
    <w:abstractNumId w:val="7"/>
  </w:num>
  <w:num w:numId="9" w16cid:durableId="1780027797">
    <w:abstractNumId w:val="21"/>
  </w:num>
  <w:num w:numId="10" w16cid:durableId="742341027">
    <w:abstractNumId w:val="4"/>
  </w:num>
  <w:num w:numId="11" w16cid:durableId="1724214457">
    <w:abstractNumId w:val="8"/>
  </w:num>
  <w:num w:numId="12" w16cid:durableId="513493264">
    <w:abstractNumId w:val="2"/>
  </w:num>
  <w:num w:numId="13" w16cid:durableId="1066992334">
    <w:abstractNumId w:val="14"/>
  </w:num>
  <w:num w:numId="14" w16cid:durableId="1645088907">
    <w:abstractNumId w:val="12"/>
  </w:num>
  <w:num w:numId="15" w16cid:durableId="9373693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6101176">
    <w:abstractNumId w:val="22"/>
  </w:num>
  <w:num w:numId="17" w16cid:durableId="19417206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4907930">
    <w:abstractNumId w:val="24"/>
  </w:num>
  <w:num w:numId="19" w16cid:durableId="1341041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2177691">
    <w:abstractNumId w:val="20"/>
  </w:num>
  <w:num w:numId="21" w16cid:durableId="2035301113">
    <w:abstractNumId w:val="19"/>
  </w:num>
  <w:num w:numId="22" w16cid:durableId="714160070">
    <w:abstractNumId w:val="10"/>
  </w:num>
  <w:num w:numId="23" w16cid:durableId="95517673">
    <w:abstractNumId w:val="18"/>
  </w:num>
  <w:num w:numId="24" w16cid:durableId="328560809">
    <w:abstractNumId w:val="11"/>
  </w:num>
  <w:num w:numId="25" w16cid:durableId="1800107915">
    <w:abstractNumId w:val="1"/>
  </w:num>
  <w:num w:numId="26" w16cid:durableId="755245892">
    <w:abstractNumId w:val="9"/>
  </w:num>
  <w:num w:numId="27" w16cid:durableId="1480342314">
    <w:abstractNumId w:val="0"/>
  </w:num>
  <w:num w:numId="28" w16cid:durableId="207881047">
    <w:abstractNumId w:val="5"/>
  </w:num>
  <w:num w:numId="29" w16cid:durableId="10326529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C17"/>
    <w:rsid w:val="00033BF2"/>
    <w:rsid w:val="0004371C"/>
    <w:rsid w:val="00044728"/>
    <w:rsid w:val="00075FF0"/>
    <w:rsid w:val="00097B0E"/>
    <w:rsid w:val="000A2217"/>
    <w:rsid w:val="000A7E85"/>
    <w:rsid w:val="0014727B"/>
    <w:rsid w:val="00151DC7"/>
    <w:rsid w:val="001A1001"/>
    <w:rsid w:val="001C6F0B"/>
    <w:rsid w:val="001D1133"/>
    <w:rsid w:val="001E7FF5"/>
    <w:rsid w:val="001F7107"/>
    <w:rsid w:val="00231DC6"/>
    <w:rsid w:val="00245497"/>
    <w:rsid w:val="002E0BE9"/>
    <w:rsid w:val="00316CC6"/>
    <w:rsid w:val="00353B5B"/>
    <w:rsid w:val="00367204"/>
    <w:rsid w:val="00367FEE"/>
    <w:rsid w:val="003765B7"/>
    <w:rsid w:val="00377968"/>
    <w:rsid w:val="003A5880"/>
    <w:rsid w:val="003B6A92"/>
    <w:rsid w:val="003C44FE"/>
    <w:rsid w:val="003C6872"/>
    <w:rsid w:val="004A77A0"/>
    <w:rsid w:val="00502324"/>
    <w:rsid w:val="00510455"/>
    <w:rsid w:val="00551BD8"/>
    <w:rsid w:val="00583008"/>
    <w:rsid w:val="005B132E"/>
    <w:rsid w:val="00613C5C"/>
    <w:rsid w:val="00661ECD"/>
    <w:rsid w:val="006E59BF"/>
    <w:rsid w:val="006F41A4"/>
    <w:rsid w:val="00701B1A"/>
    <w:rsid w:val="00722F2F"/>
    <w:rsid w:val="00747E47"/>
    <w:rsid w:val="007C0D65"/>
    <w:rsid w:val="007C27D5"/>
    <w:rsid w:val="007E3FA6"/>
    <w:rsid w:val="007E57DA"/>
    <w:rsid w:val="007F2EE5"/>
    <w:rsid w:val="00803B32"/>
    <w:rsid w:val="00805FDE"/>
    <w:rsid w:val="00826975"/>
    <w:rsid w:val="00830465"/>
    <w:rsid w:val="00862DFA"/>
    <w:rsid w:val="008A2C17"/>
    <w:rsid w:val="008A3E91"/>
    <w:rsid w:val="00901380"/>
    <w:rsid w:val="00907FBE"/>
    <w:rsid w:val="00930833"/>
    <w:rsid w:val="00976F11"/>
    <w:rsid w:val="009B51E9"/>
    <w:rsid w:val="00A231F1"/>
    <w:rsid w:val="00A5036E"/>
    <w:rsid w:val="00A5538E"/>
    <w:rsid w:val="00A84A62"/>
    <w:rsid w:val="00B137B1"/>
    <w:rsid w:val="00B62D2D"/>
    <w:rsid w:val="00B95B2C"/>
    <w:rsid w:val="00BD1D7C"/>
    <w:rsid w:val="00BE67CF"/>
    <w:rsid w:val="00C02D2C"/>
    <w:rsid w:val="00C0788D"/>
    <w:rsid w:val="00C34BE0"/>
    <w:rsid w:val="00C57910"/>
    <w:rsid w:val="00C66BD0"/>
    <w:rsid w:val="00CE1A3C"/>
    <w:rsid w:val="00CE35AC"/>
    <w:rsid w:val="00D12F84"/>
    <w:rsid w:val="00D2267E"/>
    <w:rsid w:val="00D2523E"/>
    <w:rsid w:val="00D51516"/>
    <w:rsid w:val="00D67BFE"/>
    <w:rsid w:val="00D71310"/>
    <w:rsid w:val="00D74890"/>
    <w:rsid w:val="00D77BE4"/>
    <w:rsid w:val="00D956BC"/>
    <w:rsid w:val="00D977B1"/>
    <w:rsid w:val="00DA019E"/>
    <w:rsid w:val="00DA4B91"/>
    <w:rsid w:val="00DC2DFE"/>
    <w:rsid w:val="00DD41A7"/>
    <w:rsid w:val="00DE0D6E"/>
    <w:rsid w:val="00E06862"/>
    <w:rsid w:val="00E25E77"/>
    <w:rsid w:val="00EB11CF"/>
    <w:rsid w:val="00EE0234"/>
    <w:rsid w:val="00EF3BFD"/>
    <w:rsid w:val="00F0356E"/>
    <w:rsid w:val="00F65960"/>
    <w:rsid w:val="00FA2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493CF"/>
  <w15:chartTrackingRefBased/>
  <w15:docId w15:val="{E6F334B8-1361-4556-A1C7-73BD2D694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F0B"/>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6E59B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E59B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6E59B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E59B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E59B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E59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59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59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59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9BF"/>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6E59BF"/>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6E59BF"/>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6E59BF"/>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6E59BF"/>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6E59BF"/>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6E59BF"/>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6E59BF"/>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6E59BF"/>
    <w:rPr>
      <w:rFonts w:eastAsiaTheme="majorEastAsia" w:cstheme="majorBidi"/>
      <w:color w:val="272727" w:themeColor="text1" w:themeTint="D8"/>
      <w:kern w:val="2"/>
      <w:sz w:val="24"/>
      <w:szCs w:val="24"/>
      <w14:ligatures w14:val="standardContextual"/>
    </w:rPr>
  </w:style>
  <w:style w:type="character" w:styleId="Strong">
    <w:name w:val="Strong"/>
    <w:basedOn w:val="DefaultParagraphFont"/>
    <w:uiPriority w:val="22"/>
    <w:qFormat/>
    <w:rsid w:val="001C6F0B"/>
    <w:rPr>
      <w:b/>
      <w:bCs/>
    </w:rPr>
  </w:style>
  <w:style w:type="paragraph" w:styleId="NormalWeb">
    <w:name w:val="Normal (Web)"/>
    <w:basedOn w:val="Normal"/>
    <w:uiPriority w:val="99"/>
    <w:unhideWhenUsed/>
    <w:rsid w:val="001C6F0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Title">
    <w:name w:val="Title"/>
    <w:basedOn w:val="Normal"/>
    <w:next w:val="Normal"/>
    <w:link w:val="TitleChar"/>
    <w:uiPriority w:val="10"/>
    <w:qFormat/>
    <w:rsid w:val="006E5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9BF"/>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6E59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9BF"/>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6E59BF"/>
    <w:pPr>
      <w:spacing w:before="160"/>
      <w:jc w:val="center"/>
    </w:pPr>
    <w:rPr>
      <w:i/>
      <w:iCs/>
      <w:color w:val="404040" w:themeColor="text1" w:themeTint="BF"/>
    </w:rPr>
  </w:style>
  <w:style w:type="character" w:customStyle="1" w:styleId="QuoteChar">
    <w:name w:val="Quote Char"/>
    <w:basedOn w:val="DefaultParagraphFont"/>
    <w:link w:val="Quote"/>
    <w:uiPriority w:val="29"/>
    <w:rsid w:val="006E59BF"/>
    <w:rPr>
      <w:i/>
      <w:iCs/>
      <w:color w:val="404040" w:themeColor="text1" w:themeTint="BF"/>
      <w:kern w:val="2"/>
      <w:sz w:val="24"/>
      <w:szCs w:val="24"/>
      <w14:ligatures w14:val="standardContextual"/>
    </w:rPr>
  </w:style>
  <w:style w:type="paragraph" w:styleId="ListParagraph">
    <w:name w:val="List Paragraph"/>
    <w:basedOn w:val="Normal"/>
    <w:uiPriority w:val="34"/>
    <w:qFormat/>
    <w:rsid w:val="006E59BF"/>
    <w:pPr>
      <w:ind w:left="720"/>
      <w:contextualSpacing/>
    </w:pPr>
  </w:style>
  <w:style w:type="character" w:styleId="IntenseEmphasis">
    <w:name w:val="Intense Emphasis"/>
    <w:basedOn w:val="DefaultParagraphFont"/>
    <w:uiPriority w:val="21"/>
    <w:qFormat/>
    <w:rsid w:val="006E59BF"/>
    <w:rPr>
      <w:i/>
      <w:iCs/>
      <w:color w:val="2E74B5" w:themeColor="accent1" w:themeShade="BF"/>
    </w:rPr>
  </w:style>
  <w:style w:type="paragraph" w:styleId="IntenseQuote">
    <w:name w:val="Intense Quote"/>
    <w:basedOn w:val="Normal"/>
    <w:next w:val="Normal"/>
    <w:link w:val="IntenseQuoteChar"/>
    <w:uiPriority w:val="30"/>
    <w:qFormat/>
    <w:rsid w:val="006E59B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E59BF"/>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6E59BF"/>
    <w:rPr>
      <w:b/>
      <w:bCs/>
      <w:smallCaps/>
      <w:color w:val="2E74B5" w:themeColor="accent1" w:themeShade="BF"/>
      <w:spacing w:val="5"/>
    </w:rPr>
  </w:style>
  <w:style w:type="paragraph" w:customStyle="1" w:styleId="pdq2pgselectionanchorcontainer">
    <w:name w:val="pdq2pg_selectionanchorcontainer"/>
    <w:basedOn w:val="Normal"/>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6E59BF"/>
    <w:rPr>
      <w:i/>
      <w:iCs/>
    </w:rPr>
  </w:style>
  <w:style w:type="paragraph" w:customStyle="1" w:styleId="isselectedend">
    <w:name w:val="isselectedend"/>
    <w:basedOn w:val="Normal"/>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token-text-primary">
    <w:name w:val="text-token-text-primary"/>
    <w:basedOn w:val="DefaultParagraphFont"/>
    <w:rsid w:val="006E59BF"/>
  </w:style>
  <w:style w:type="paragraph" w:customStyle="1" w:styleId="font-claude-response-body">
    <w:name w:val="font-claude-response-body"/>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6E59BF"/>
    <w:rPr>
      <w:color w:val="0000FF"/>
      <w:u w:val="single"/>
    </w:rPr>
  </w:style>
  <w:style w:type="character" w:customStyle="1" w:styleId="whitespace-normal">
    <w:name w:val="whitespace-normal"/>
    <w:basedOn w:val="DefaultParagraphFont"/>
    <w:rsid w:val="006E59BF"/>
  </w:style>
  <w:style w:type="paragraph" w:styleId="Header">
    <w:name w:val="header"/>
    <w:basedOn w:val="Normal"/>
    <w:link w:val="HeaderChar"/>
    <w:uiPriority w:val="99"/>
    <w:unhideWhenUsed/>
    <w:rsid w:val="006E5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9BF"/>
    <w:rPr>
      <w:kern w:val="2"/>
      <w:sz w:val="24"/>
      <w:szCs w:val="24"/>
      <w14:ligatures w14:val="standardContextual"/>
    </w:rPr>
  </w:style>
  <w:style w:type="paragraph" w:styleId="Footer">
    <w:name w:val="footer"/>
    <w:basedOn w:val="Normal"/>
    <w:link w:val="FooterChar"/>
    <w:uiPriority w:val="99"/>
    <w:unhideWhenUsed/>
    <w:rsid w:val="006E5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9BF"/>
    <w:rPr>
      <w:kern w:val="2"/>
      <w:sz w:val="24"/>
      <w:szCs w:val="24"/>
      <w14:ligatures w14:val="standardContextual"/>
    </w:rPr>
  </w:style>
  <w:style w:type="paragraph" w:customStyle="1" w:styleId="ds-markdown-paragraph">
    <w:name w:val="ds-markdown-paragraph"/>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katex-mathml">
    <w:name w:val="katex-mathml"/>
    <w:basedOn w:val="DefaultParagraphFont"/>
    <w:rsid w:val="006E59BF"/>
  </w:style>
  <w:style w:type="character" w:customStyle="1" w:styleId="mord">
    <w:name w:val="mord"/>
    <w:basedOn w:val="DefaultParagraphFont"/>
    <w:rsid w:val="006E59BF"/>
  </w:style>
  <w:style w:type="character" w:customStyle="1" w:styleId="vlist-s">
    <w:name w:val="vlist-s"/>
    <w:basedOn w:val="DefaultParagraphFont"/>
    <w:rsid w:val="006E59BF"/>
  </w:style>
  <w:style w:type="character" w:customStyle="1" w:styleId="mrel">
    <w:name w:val="mrel"/>
    <w:basedOn w:val="DefaultParagraphFont"/>
    <w:rsid w:val="006E59BF"/>
  </w:style>
  <w:style w:type="character" w:customStyle="1" w:styleId="mbin">
    <w:name w:val="mbin"/>
    <w:basedOn w:val="DefaultParagraphFont"/>
    <w:rsid w:val="006E59BF"/>
  </w:style>
  <w:style w:type="character" w:customStyle="1" w:styleId="mopen">
    <w:name w:val="mopen"/>
    <w:basedOn w:val="DefaultParagraphFont"/>
    <w:rsid w:val="006E59BF"/>
  </w:style>
  <w:style w:type="character" w:customStyle="1" w:styleId="mpunct">
    <w:name w:val="mpunct"/>
    <w:basedOn w:val="DefaultParagraphFont"/>
    <w:rsid w:val="006E59BF"/>
  </w:style>
  <w:style w:type="character" w:customStyle="1" w:styleId="mclose">
    <w:name w:val="mclose"/>
    <w:basedOn w:val="DefaultParagraphFont"/>
    <w:rsid w:val="006E59BF"/>
  </w:style>
  <w:style w:type="paragraph" w:styleId="BalloonText">
    <w:name w:val="Balloon Text"/>
    <w:basedOn w:val="Normal"/>
    <w:link w:val="BalloonTextChar"/>
    <w:uiPriority w:val="99"/>
    <w:unhideWhenUsed/>
    <w:rsid w:val="006E59BF"/>
    <w:pPr>
      <w:spacing w:after="0" w:line="240" w:lineRule="auto"/>
    </w:pPr>
    <w:rPr>
      <w:rFonts w:ascii="Tahoma" w:eastAsia="Calibri" w:hAnsi="Tahoma" w:cs="Times New Roman"/>
      <w:kern w:val="0"/>
      <w:sz w:val="16"/>
      <w:szCs w:val="16"/>
      <w:lang w:val="en-GB"/>
      <w14:ligatures w14:val="none"/>
    </w:rPr>
  </w:style>
  <w:style w:type="character" w:customStyle="1" w:styleId="BalloonTextChar">
    <w:name w:val="Balloon Text Char"/>
    <w:basedOn w:val="DefaultParagraphFont"/>
    <w:link w:val="BalloonText"/>
    <w:uiPriority w:val="99"/>
    <w:rsid w:val="006E59BF"/>
    <w:rPr>
      <w:rFonts w:ascii="Tahoma" w:eastAsia="Calibri" w:hAnsi="Tahoma" w:cs="Times New Roman"/>
      <w:sz w:val="16"/>
      <w:szCs w:val="16"/>
      <w:lang w:val="en-GB"/>
    </w:rPr>
  </w:style>
  <w:style w:type="paragraph" w:customStyle="1" w:styleId="Default">
    <w:name w:val="Default"/>
    <w:uiPriority w:val="99"/>
    <w:rsid w:val="006E59BF"/>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6E59BF"/>
    <w:pPr>
      <w:spacing w:after="0" w:line="240" w:lineRule="auto"/>
    </w:pPr>
    <w:rPr>
      <w:rFonts w:ascii="Calibri" w:eastAsia="SimSun" w:hAnsi="Calibri" w:cs="SimSun"/>
    </w:rPr>
  </w:style>
  <w:style w:type="character" w:customStyle="1" w:styleId="NoSpacingChar">
    <w:name w:val="No Spacing Char"/>
    <w:basedOn w:val="DefaultParagraphFont"/>
    <w:link w:val="NoSpacing"/>
    <w:uiPriority w:val="1"/>
    <w:rsid w:val="006E59BF"/>
    <w:rPr>
      <w:rFonts w:ascii="Calibri" w:eastAsia="SimSun" w:hAnsi="Calibri" w:cs="SimSun"/>
    </w:rPr>
  </w:style>
  <w:style w:type="table" w:styleId="TableGrid">
    <w:name w:val="Table Grid"/>
    <w:basedOn w:val="TableNormal"/>
    <w:uiPriority w:val="59"/>
    <w:rsid w:val="006E5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lineblock">
    <w:name w:val="inlineblock"/>
    <w:basedOn w:val="DefaultParagraphFont"/>
    <w:rsid w:val="006E59BF"/>
  </w:style>
  <w:style w:type="character" w:customStyle="1" w:styleId="html-italic">
    <w:name w:val="html-italic"/>
    <w:basedOn w:val="DefaultParagraphFont"/>
    <w:rsid w:val="006E59BF"/>
  </w:style>
  <w:style w:type="character" w:customStyle="1" w:styleId="name">
    <w:name w:val="name"/>
    <w:basedOn w:val="DefaultParagraphFont"/>
    <w:rsid w:val="006E59BF"/>
  </w:style>
  <w:style w:type="character" w:customStyle="1" w:styleId="affiliation">
    <w:name w:val="affiliation"/>
    <w:basedOn w:val="DefaultParagraphFont"/>
    <w:rsid w:val="006E59BF"/>
  </w:style>
  <w:style w:type="character" w:customStyle="1" w:styleId="t">
    <w:name w:val="t"/>
    <w:basedOn w:val="DefaultParagraphFont"/>
    <w:rsid w:val="006E59BF"/>
  </w:style>
  <w:style w:type="paragraph" w:customStyle="1" w:styleId="last">
    <w:name w:val="last"/>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hgkelc">
    <w:name w:val="hgkelc"/>
    <w:basedOn w:val="DefaultParagraphFont"/>
    <w:rsid w:val="006E59BF"/>
  </w:style>
  <w:style w:type="character" w:customStyle="1" w:styleId="MTConvertedEquation">
    <w:name w:val="MTConvertedEquation"/>
    <w:basedOn w:val="DefaultParagraphFont"/>
    <w:rsid w:val="006E59BF"/>
    <w:rPr>
      <w:rFonts w:ascii="Times New Roman" w:hAnsi="Times New Roman" w:cs="Times New Roman"/>
      <w:sz w:val="24"/>
      <w:szCs w:val="24"/>
    </w:rPr>
  </w:style>
  <w:style w:type="character" w:customStyle="1" w:styleId="a">
    <w:name w:val="_"/>
    <w:basedOn w:val="DefaultParagraphFont"/>
    <w:rsid w:val="006E59BF"/>
  </w:style>
  <w:style w:type="character" w:styleId="PlaceholderText">
    <w:name w:val="Placeholder Text"/>
    <w:basedOn w:val="DefaultParagraphFont"/>
    <w:uiPriority w:val="99"/>
    <w:semiHidden/>
    <w:rsid w:val="006E59BF"/>
    <w:rPr>
      <w:color w:val="808080"/>
    </w:rPr>
  </w:style>
  <w:style w:type="character" w:customStyle="1" w:styleId="ff5">
    <w:name w:val="ff5"/>
    <w:basedOn w:val="DefaultParagraphFont"/>
    <w:rsid w:val="006E59BF"/>
  </w:style>
  <w:style w:type="character" w:customStyle="1" w:styleId="ff1">
    <w:name w:val="ff1"/>
    <w:basedOn w:val="DefaultParagraphFont"/>
    <w:rsid w:val="006E59BF"/>
  </w:style>
  <w:style w:type="paragraph" w:customStyle="1" w:styleId="MTDisplayEquation">
    <w:name w:val="MTDisplayEquation"/>
    <w:basedOn w:val="Normal"/>
    <w:next w:val="Normal"/>
    <w:link w:val="MTDisplayEquationChar"/>
    <w:rsid w:val="006E59BF"/>
    <w:pPr>
      <w:tabs>
        <w:tab w:val="center" w:pos="4680"/>
        <w:tab w:val="right" w:pos="9360"/>
      </w:tabs>
      <w:spacing w:after="200" w:line="276" w:lineRule="auto"/>
      <w:jc w:val="both"/>
    </w:pPr>
    <w:rPr>
      <w:kern w:val="0"/>
      <w:sz w:val="22"/>
      <w:szCs w:val="22"/>
      <w14:ligatures w14:val="none"/>
    </w:rPr>
  </w:style>
  <w:style w:type="character" w:customStyle="1" w:styleId="MTDisplayEquationChar">
    <w:name w:val="MTDisplayEquation Char"/>
    <w:basedOn w:val="DefaultParagraphFont"/>
    <w:link w:val="MTDisplayEquation"/>
    <w:rsid w:val="006E59BF"/>
  </w:style>
  <w:style w:type="character" w:styleId="FollowedHyperlink">
    <w:name w:val="FollowedHyperlink"/>
    <w:basedOn w:val="DefaultParagraphFont"/>
    <w:uiPriority w:val="99"/>
    <w:semiHidden/>
    <w:unhideWhenUsed/>
    <w:rsid w:val="006E59BF"/>
    <w:rPr>
      <w:color w:val="954F72" w:themeColor="followedHyperlink"/>
      <w:u w:val="single"/>
    </w:rPr>
  </w:style>
  <w:style w:type="paragraph" w:styleId="FootnoteText">
    <w:name w:val="footnote text"/>
    <w:link w:val="FootnoteTextChar"/>
    <w:uiPriority w:val="99"/>
    <w:semiHidden/>
    <w:unhideWhenUsed/>
    <w:rsid w:val="006E59BF"/>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6E59BF"/>
    <w:rPr>
      <w:rFonts w:ascii="Times New Roman" w:eastAsia="Times New Roman" w:hAnsi="Times New Roman" w:cs="Times New Roman"/>
      <w:sz w:val="20"/>
      <w:szCs w:val="20"/>
      <w:lang w:val="en-GB" w:eastAsia="en-GB"/>
    </w:rPr>
  </w:style>
  <w:style w:type="paragraph" w:styleId="BodyText">
    <w:name w:val="Body Text"/>
    <w:basedOn w:val="Normal"/>
    <w:link w:val="BodyTextChar"/>
    <w:uiPriority w:val="1"/>
    <w:semiHidden/>
    <w:unhideWhenUsed/>
    <w:qFormat/>
    <w:rsid w:val="006E59BF"/>
    <w:pPr>
      <w:spacing w:before="180" w:after="180" w:line="240" w:lineRule="auto"/>
    </w:pPr>
    <w:rPr>
      <w:kern w:val="0"/>
      <w14:ligatures w14:val="none"/>
    </w:rPr>
  </w:style>
  <w:style w:type="character" w:customStyle="1" w:styleId="BodyTextChar">
    <w:name w:val="Body Text Char"/>
    <w:basedOn w:val="DefaultParagraphFont"/>
    <w:link w:val="BodyText"/>
    <w:uiPriority w:val="1"/>
    <w:semiHidden/>
    <w:rsid w:val="006E59BF"/>
    <w:rPr>
      <w:sz w:val="24"/>
      <w:szCs w:val="24"/>
    </w:rPr>
  </w:style>
  <w:style w:type="paragraph" w:styleId="DocumentMap">
    <w:name w:val="Document Map"/>
    <w:basedOn w:val="Normal"/>
    <w:link w:val="DocumentMapChar"/>
    <w:uiPriority w:val="99"/>
    <w:semiHidden/>
    <w:unhideWhenUsed/>
    <w:rsid w:val="006E59BF"/>
    <w:pPr>
      <w:spacing w:after="0" w:line="240" w:lineRule="auto"/>
    </w:pPr>
    <w:rPr>
      <w:rFonts w:ascii="Tahoma" w:hAnsi="Tahoma" w:cs="Tahoma"/>
      <w:kern w:val="0"/>
      <w:sz w:val="16"/>
      <w:szCs w:val="16"/>
      <w14:ligatures w14:val="none"/>
    </w:rPr>
  </w:style>
  <w:style w:type="character" w:customStyle="1" w:styleId="DocumentMapChar">
    <w:name w:val="Document Map Char"/>
    <w:basedOn w:val="DefaultParagraphFont"/>
    <w:link w:val="DocumentMap"/>
    <w:uiPriority w:val="99"/>
    <w:semiHidden/>
    <w:rsid w:val="006E59BF"/>
    <w:rPr>
      <w:rFonts w:ascii="Tahoma" w:hAnsi="Tahoma" w:cs="Tahoma"/>
      <w:sz w:val="16"/>
      <w:szCs w:val="16"/>
    </w:rPr>
  </w:style>
  <w:style w:type="paragraph" w:customStyle="1" w:styleId="comp">
    <w:name w:val="comp"/>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ext-align-center">
    <w:name w:val="text-align-center"/>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ospacing0">
    <w:name w:val="nospacing"/>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otnotedescriptionChar">
    <w:name w:val="footnote description Char"/>
    <w:link w:val="footnotedescription"/>
    <w:locked/>
    <w:rsid w:val="006E59BF"/>
    <w:rPr>
      <w:rFonts w:ascii="Times New Roman" w:eastAsia="Times New Roman" w:hAnsi="Times New Roman" w:cs="Times New Roman"/>
      <w:color w:val="000000"/>
      <w:sz w:val="20"/>
    </w:rPr>
  </w:style>
  <w:style w:type="paragraph" w:customStyle="1" w:styleId="footnotedescription">
    <w:name w:val="footnote description"/>
    <w:next w:val="Normal"/>
    <w:link w:val="footnotedescriptionChar"/>
    <w:rsid w:val="006E59BF"/>
    <w:pPr>
      <w:spacing w:after="0" w:line="256" w:lineRule="auto"/>
      <w:ind w:left="658"/>
    </w:pPr>
    <w:rPr>
      <w:rFonts w:ascii="Times New Roman" w:eastAsia="Times New Roman" w:hAnsi="Times New Roman" w:cs="Times New Roman"/>
      <w:color w:val="000000"/>
      <w:sz w:val="20"/>
    </w:rPr>
  </w:style>
  <w:style w:type="paragraph" w:customStyle="1" w:styleId="partialsearchresults-item-abstract">
    <w:name w:val="partialsearchresults-item-abstract"/>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tialsearchresults-item-url">
    <w:name w:val="partialsearchresults-item-url"/>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root-block-node">
    <w:name w:val="root-block-node"/>
    <w:basedOn w:val="Normal"/>
    <w:uiPriority w:val="99"/>
    <w:rsid w:val="006E59BF"/>
    <w:pPr>
      <w:spacing w:before="100" w:beforeAutospacing="1" w:after="100" w:afterAutospacing="1" w:line="240" w:lineRule="auto"/>
    </w:pPr>
    <w:rPr>
      <w:rFonts w:ascii="Times New Roman" w:eastAsiaTheme="minorEastAsia" w:hAnsi="Times New Roman" w:cs="Times New Roman"/>
      <w:kern w:val="0"/>
      <w:lang w:val="en-GB" w:eastAsia="en-GB"/>
      <w14:ligatures w14:val="none"/>
    </w:rPr>
  </w:style>
  <w:style w:type="paragraph" w:customStyle="1" w:styleId="yiv2951368979msonormal">
    <w:name w:val="yiv2951368979msonormal"/>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6E59BF"/>
    <w:pPr>
      <w:widowControl w:val="0"/>
      <w:autoSpaceDE w:val="0"/>
      <w:autoSpaceDN w:val="0"/>
      <w:spacing w:after="0" w:line="240" w:lineRule="auto"/>
    </w:pPr>
    <w:rPr>
      <w:rFonts w:ascii="Calibri" w:eastAsia="Calibri" w:hAnsi="Calibri" w:cs="Calibri"/>
      <w:kern w:val="0"/>
      <w:sz w:val="22"/>
      <w:szCs w:val="22"/>
      <w14:ligatures w14:val="none"/>
    </w:rPr>
  </w:style>
  <w:style w:type="character" w:customStyle="1" w:styleId="Heading10">
    <w:name w:val="Heading #1_"/>
    <w:basedOn w:val="DefaultParagraphFont"/>
    <w:link w:val="Heading11"/>
    <w:locked/>
    <w:rsid w:val="006E59BF"/>
    <w:rPr>
      <w:rFonts w:ascii="AngsanaUPC" w:eastAsia="AngsanaUPC" w:hAnsi="AngsanaUPC" w:cs="AngsanaUPC"/>
      <w:b/>
      <w:bCs/>
      <w:sz w:val="46"/>
      <w:szCs w:val="46"/>
      <w:shd w:val="clear" w:color="auto" w:fill="FFFFFF"/>
    </w:rPr>
  </w:style>
  <w:style w:type="paragraph" w:customStyle="1" w:styleId="Heading11">
    <w:name w:val="Heading #1"/>
    <w:basedOn w:val="Normal"/>
    <w:link w:val="Heading10"/>
    <w:rsid w:val="006E59BF"/>
    <w:pPr>
      <w:widowControl w:val="0"/>
      <w:shd w:val="clear" w:color="auto" w:fill="FFFFFF"/>
      <w:spacing w:before="840" w:after="540" w:line="0" w:lineRule="atLeast"/>
      <w:jc w:val="center"/>
      <w:outlineLvl w:val="0"/>
    </w:pPr>
    <w:rPr>
      <w:rFonts w:ascii="AngsanaUPC" w:eastAsia="AngsanaUPC" w:hAnsi="AngsanaUPC" w:cs="AngsanaUPC"/>
      <w:b/>
      <w:bCs/>
      <w:kern w:val="0"/>
      <w:sz w:val="46"/>
      <w:szCs w:val="46"/>
      <w14:ligatures w14:val="none"/>
    </w:rPr>
  </w:style>
  <w:style w:type="paragraph" w:customStyle="1" w:styleId="BodyText1">
    <w:name w:val="Body Text1"/>
    <w:basedOn w:val="Normal"/>
    <w:uiPriority w:val="99"/>
    <w:rsid w:val="006E59BF"/>
    <w:pPr>
      <w:widowControl w:val="0"/>
      <w:shd w:val="clear" w:color="auto" w:fill="FFFFFF"/>
      <w:spacing w:before="540" w:after="480" w:line="0" w:lineRule="atLeast"/>
      <w:jc w:val="center"/>
    </w:pPr>
    <w:rPr>
      <w:rFonts w:ascii="AngsanaUPC" w:eastAsia="AngsanaUPC" w:hAnsi="AngsanaUPC" w:cs="AngsanaUPC"/>
      <w:b/>
      <w:bCs/>
      <w:kern w:val="0"/>
      <w:sz w:val="34"/>
      <w:szCs w:val="34"/>
      <w14:ligatures w14:val="none"/>
    </w:rPr>
  </w:style>
  <w:style w:type="paragraph" w:customStyle="1" w:styleId="zfr3q">
    <w:name w:val="zfr3q"/>
    <w:basedOn w:val="Normal"/>
    <w:uiPriority w:val="99"/>
    <w:rsid w:val="006E59B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UnresolvedMention1">
    <w:name w:val="Unresolved Mention1"/>
    <w:basedOn w:val="DefaultParagraphFont"/>
    <w:uiPriority w:val="99"/>
    <w:semiHidden/>
    <w:rsid w:val="006E59BF"/>
    <w:rPr>
      <w:color w:val="605E5C"/>
      <w:shd w:val="clear" w:color="auto" w:fill="E1DFDD"/>
    </w:rPr>
  </w:style>
  <w:style w:type="character" w:customStyle="1" w:styleId="markedcontent">
    <w:name w:val="markedcontent"/>
    <w:basedOn w:val="DefaultParagraphFont"/>
    <w:rsid w:val="006E59BF"/>
  </w:style>
  <w:style w:type="character" w:customStyle="1" w:styleId="mntl-sc-block-headingtext">
    <w:name w:val="mntl-sc-block-heading__text"/>
    <w:basedOn w:val="DefaultParagraphFont"/>
    <w:rsid w:val="006E59BF"/>
  </w:style>
  <w:style w:type="character" w:customStyle="1" w:styleId="mntl-inline-citation">
    <w:name w:val="mntl-inline-citation"/>
    <w:basedOn w:val="DefaultParagraphFont"/>
    <w:rsid w:val="006E59BF"/>
  </w:style>
  <w:style w:type="character" w:customStyle="1" w:styleId="figure-article-caption-owner">
    <w:name w:val="figure-article-caption-owner"/>
    <w:basedOn w:val="DefaultParagraphFont"/>
    <w:rsid w:val="006E59BF"/>
  </w:style>
  <w:style w:type="character" w:customStyle="1" w:styleId="mntl-sc-block-subheadingtext">
    <w:name w:val="mntl-sc-block-subheading__text"/>
    <w:basedOn w:val="DefaultParagraphFont"/>
    <w:rsid w:val="006E59BF"/>
  </w:style>
  <w:style w:type="character" w:customStyle="1" w:styleId="field">
    <w:name w:val="field"/>
    <w:basedOn w:val="DefaultParagraphFont"/>
    <w:rsid w:val="006E59BF"/>
  </w:style>
  <w:style w:type="character" w:customStyle="1" w:styleId="linkwrapper">
    <w:name w:val="link__wrapper"/>
    <w:basedOn w:val="DefaultParagraphFont"/>
    <w:rsid w:val="006E59BF"/>
  </w:style>
  <w:style w:type="character" w:customStyle="1" w:styleId="footnotemark">
    <w:name w:val="footnote mark"/>
    <w:rsid w:val="006E59BF"/>
    <w:rPr>
      <w:rFonts w:ascii="Calibri" w:eastAsia="Calibri" w:hAnsi="Calibri" w:cs="Calibri" w:hint="default"/>
      <w:color w:val="000000"/>
      <w:sz w:val="20"/>
      <w:vertAlign w:val="superscript"/>
    </w:rPr>
  </w:style>
  <w:style w:type="character" w:customStyle="1" w:styleId="gissauthor">
    <w:name w:val="gissauthor"/>
    <w:basedOn w:val="DefaultParagraphFont"/>
    <w:rsid w:val="006E59BF"/>
  </w:style>
  <w:style w:type="character" w:customStyle="1" w:styleId="jw-volume-update">
    <w:name w:val="jw-volume-update"/>
    <w:basedOn w:val="DefaultParagraphFont"/>
    <w:rsid w:val="006E59BF"/>
  </w:style>
  <w:style w:type="character" w:customStyle="1" w:styleId="author-list">
    <w:name w:val="author-list"/>
    <w:basedOn w:val="DefaultParagraphFont"/>
    <w:rsid w:val="006E59BF"/>
  </w:style>
  <w:style w:type="character" w:customStyle="1" w:styleId="BodyTextChar1">
    <w:name w:val="Body Text Char1"/>
    <w:basedOn w:val="DefaultParagraphFont"/>
    <w:uiPriority w:val="99"/>
    <w:semiHidden/>
    <w:rsid w:val="006E59BF"/>
    <w:rPr>
      <w:rFonts w:ascii="Times New Roman" w:eastAsia="Times New Roman" w:hAnsi="Times New Roman" w:cs="Times New Roman" w:hint="default"/>
      <w:sz w:val="20"/>
      <w:szCs w:val="20"/>
      <w:lang w:val="en-GB" w:eastAsia="en-GB"/>
    </w:rPr>
  </w:style>
  <w:style w:type="character" w:customStyle="1" w:styleId="c9dxtc">
    <w:name w:val="c9dxtc"/>
    <w:basedOn w:val="DefaultParagraphFont"/>
    <w:rsid w:val="006E59BF"/>
  </w:style>
  <w:style w:type="character" w:customStyle="1" w:styleId="uv3um">
    <w:name w:val="uv3um"/>
    <w:basedOn w:val="DefaultParagraphFont"/>
    <w:rsid w:val="006E59BF"/>
  </w:style>
  <w:style w:type="character" w:customStyle="1" w:styleId="relative">
    <w:name w:val="relative"/>
    <w:basedOn w:val="DefaultParagraphFont"/>
    <w:rsid w:val="006E59BF"/>
  </w:style>
  <w:style w:type="character" w:customStyle="1" w:styleId="ms-1">
    <w:name w:val="ms-1"/>
    <w:basedOn w:val="DefaultParagraphFont"/>
    <w:rsid w:val="006E59BF"/>
  </w:style>
  <w:style w:type="character" w:customStyle="1" w:styleId="max-w-full">
    <w:name w:val="max-w-full"/>
    <w:basedOn w:val="DefaultParagraphFont"/>
    <w:rsid w:val="006E59BF"/>
  </w:style>
  <w:style w:type="character" w:customStyle="1" w:styleId="-me-1">
    <w:name w:val="-me-1"/>
    <w:basedOn w:val="DefaultParagraphFont"/>
    <w:rsid w:val="006E59BF"/>
  </w:style>
  <w:style w:type="character" w:customStyle="1" w:styleId="v9tjod">
    <w:name w:val="v9tjod"/>
    <w:basedOn w:val="DefaultParagraphFont"/>
    <w:rsid w:val="006E59BF"/>
  </w:style>
  <w:style w:type="character" w:styleId="HTMLCite">
    <w:name w:val="HTML Cite"/>
    <w:basedOn w:val="DefaultParagraphFont"/>
    <w:uiPriority w:val="99"/>
    <w:semiHidden/>
    <w:unhideWhenUsed/>
    <w:rsid w:val="006E59BF"/>
    <w:rPr>
      <w:i/>
      <w:iCs/>
    </w:rPr>
  </w:style>
  <w:style w:type="character" w:customStyle="1" w:styleId="ylgvce">
    <w:name w:val="ylgvce"/>
    <w:basedOn w:val="DefaultParagraphFont"/>
    <w:rsid w:val="006E59BF"/>
  </w:style>
  <w:style w:type="character" w:customStyle="1" w:styleId="authorname">
    <w:name w:val="authorname"/>
    <w:basedOn w:val="DefaultParagraphFont"/>
    <w:rsid w:val="006E59BF"/>
  </w:style>
  <w:style w:type="character" w:customStyle="1" w:styleId="separator">
    <w:name w:val="separator"/>
    <w:basedOn w:val="DefaultParagraphFont"/>
    <w:rsid w:val="006E59BF"/>
  </w:style>
  <w:style w:type="character" w:customStyle="1" w:styleId="Date1">
    <w:name w:val="Date1"/>
    <w:basedOn w:val="DefaultParagraphFont"/>
    <w:rsid w:val="006E59BF"/>
  </w:style>
  <w:style w:type="character" w:customStyle="1" w:styleId="arttitle">
    <w:name w:val="art_title"/>
    <w:basedOn w:val="DefaultParagraphFont"/>
    <w:rsid w:val="006E59BF"/>
  </w:style>
  <w:style w:type="character" w:customStyle="1" w:styleId="serialtitle">
    <w:name w:val="serial_title"/>
    <w:basedOn w:val="DefaultParagraphFont"/>
    <w:rsid w:val="006E59BF"/>
  </w:style>
  <w:style w:type="character" w:customStyle="1" w:styleId="volumeissue">
    <w:name w:val="volume_issue"/>
    <w:basedOn w:val="DefaultParagraphFont"/>
    <w:rsid w:val="006E59BF"/>
  </w:style>
  <w:style w:type="character" w:customStyle="1" w:styleId="pagerange">
    <w:name w:val="page_range"/>
    <w:basedOn w:val="DefaultParagraphFont"/>
    <w:rsid w:val="006E59BF"/>
  </w:style>
  <w:style w:type="character" w:customStyle="1" w:styleId="doilink">
    <w:name w:val="doi_link"/>
    <w:basedOn w:val="DefaultParagraphFont"/>
    <w:rsid w:val="006E59BF"/>
  </w:style>
  <w:style w:type="character" w:customStyle="1" w:styleId="HTMLPreformattedChar">
    <w:name w:val="HTML Preformatted Char"/>
    <w:basedOn w:val="DefaultParagraphFont"/>
    <w:link w:val="HTMLPreformatted"/>
    <w:uiPriority w:val="99"/>
    <w:semiHidden/>
    <w:rsid w:val="00B137B1"/>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B137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table" w:styleId="TableGridLight">
    <w:name w:val="Grid Table Light"/>
    <w:basedOn w:val="TableNormal"/>
    <w:uiPriority w:val="40"/>
    <w:rsid w:val="007E57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atex">
    <w:name w:val="katex"/>
    <w:basedOn w:val="DefaultParagraphFont"/>
    <w:rsid w:val="00075FF0"/>
  </w:style>
  <w:style w:type="paragraph" w:styleId="z-TopofForm">
    <w:name w:val="HTML Top of Form"/>
    <w:basedOn w:val="Normal"/>
    <w:next w:val="Normal"/>
    <w:link w:val="z-TopofFormChar"/>
    <w:hidden/>
    <w:uiPriority w:val="99"/>
    <w:semiHidden/>
    <w:unhideWhenUsed/>
    <w:rsid w:val="003765B7"/>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3765B7"/>
    <w:rPr>
      <w:rFonts w:ascii="Arial" w:eastAsia="Times New Roman" w:hAnsi="Arial" w:cs="Arial"/>
      <w:vanish/>
      <w:sz w:val="16"/>
      <w:szCs w:val="16"/>
    </w:rPr>
  </w:style>
  <w:style w:type="paragraph" w:customStyle="1" w:styleId="placeholder">
    <w:name w:val="placeholder"/>
    <w:basedOn w:val="Normal"/>
    <w:rsid w:val="003765B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z-BottomofForm">
    <w:name w:val="HTML Bottom of Form"/>
    <w:basedOn w:val="Normal"/>
    <w:next w:val="Normal"/>
    <w:link w:val="z-BottomofFormChar"/>
    <w:hidden/>
    <w:uiPriority w:val="99"/>
    <w:semiHidden/>
    <w:unhideWhenUsed/>
    <w:rsid w:val="003765B7"/>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3765B7"/>
    <w:rPr>
      <w:rFonts w:ascii="Arial" w:eastAsia="Times New Roman" w:hAnsi="Arial" w:cs="Arial"/>
      <w:vanish/>
      <w:sz w:val="16"/>
      <w:szCs w:val="16"/>
    </w:rPr>
  </w:style>
  <w:style w:type="table" w:styleId="PlainTable4">
    <w:name w:val="Plain Table 4"/>
    <w:basedOn w:val="TableNormal"/>
    <w:uiPriority w:val="44"/>
    <w:rsid w:val="00CE1A3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D71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5373">
      <w:bodyDiv w:val="1"/>
      <w:marLeft w:val="0"/>
      <w:marRight w:val="0"/>
      <w:marTop w:val="0"/>
      <w:marBottom w:val="0"/>
      <w:divBdr>
        <w:top w:val="none" w:sz="0" w:space="0" w:color="auto"/>
        <w:left w:val="none" w:sz="0" w:space="0" w:color="auto"/>
        <w:bottom w:val="none" w:sz="0" w:space="0" w:color="auto"/>
        <w:right w:val="none" w:sz="0" w:space="0" w:color="auto"/>
      </w:divBdr>
    </w:div>
    <w:div w:id="473179165">
      <w:bodyDiv w:val="1"/>
      <w:marLeft w:val="0"/>
      <w:marRight w:val="0"/>
      <w:marTop w:val="0"/>
      <w:marBottom w:val="0"/>
      <w:divBdr>
        <w:top w:val="none" w:sz="0" w:space="0" w:color="auto"/>
        <w:left w:val="none" w:sz="0" w:space="0" w:color="auto"/>
        <w:bottom w:val="none" w:sz="0" w:space="0" w:color="auto"/>
        <w:right w:val="none" w:sz="0" w:space="0" w:color="auto"/>
      </w:divBdr>
      <w:divsChild>
        <w:div w:id="928658406">
          <w:marLeft w:val="0"/>
          <w:marRight w:val="0"/>
          <w:marTop w:val="0"/>
          <w:marBottom w:val="0"/>
          <w:divBdr>
            <w:top w:val="none" w:sz="0" w:space="0" w:color="auto"/>
            <w:left w:val="none" w:sz="0" w:space="0" w:color="auto"/>
            <w:bottom w:val="none" w:sz="0" w:space="0" w:color="auto"/>
            <w:right w:val="none" w:sz="0" w:space="0" w:color="auto"/>
          </w:divBdr>
          <w:divsChild>
            <w:div w:id="1417050786">
              <w:marLeft w:val="0"/>
              <w:marRight w:val="0"/>
              <w:marTop w:val="0"/>
              <w:marBottom w:val="0"/>
              <w:divBdr>
                <w:top w:val="none" w:sz="0" w:space="0" w:color="auto"/>
                <w:left w:val="none" w:sz="0" w:space="0" w:color="auto"/>
                <w:bottom w:val="none" w:sz="0" w:space="0" w:color="auto"/>
                <w:right w:val="none" w:sz="0" w:space="0" w:color="auto"/>
              </w:divBdr>
              <w:divsChild>
                <w:div w:id="904603292">
                  <w:marLeft w:val="0"/>
                  <w:marRight w:val="0"/>
                  <w:marTop w:val="0"/>
                  <w:marBottom w:val="0"/>
                  <w:divBdr>
                    <w:top w:val="none" w:sz="0" w:space="0" w:color="auto"/>
                    <w:left w:val="none" w:sz="0" w:space="0" w:color="auto"/>
                    <w:bottom w:val="none" w:sz="0" w:space="0" w:color="auto"/>
                    <w:right w:val="none" w:sz="0" w:space="0" w:color="auto"/>
                  </w:divBdr>
                  <w:divsChild>
                    <w:div w:id="1402408765">
                      <w:marLeft w:val="0"/>
                      <w:marRight w:val="0"/>
                      <w:marTop w:val="0"/>
                      <w:marBottom w:val="0"/>
                      <w:divBdr>
                        <w:top w:val="none" w:sz="0" w:space="0" w:color="auto"/>
                        <w:left w:val="none" w:sz="0" w:space="0" w:color="auto"/>
                        <w:bottom w:val="none" w:sz="0" w:space="0" w:color="auto"/>
                        <w:right w:val="none" w:sz="0" w:space="0" w:color="auto"/>
                      </w:divBdr>
                      <w:divsChild>
                        <w:div w:id="1121455714">
                          <w:marLeft w:val="0"/>
                          <w:marRight w:val="0"/>
                          <w:marTop w:val="0"/>
                          <w:marBottom w:val="0"/>
                          <w:divBdr>
                            <w:top w:val="none" w:sz="0" w:space="0" w:color="auto"/>
                            <w:left w:val="none" w:sz="0" w:space="0" w:color="auto"/>
                            <w:bottom w:val="none" w:sz="0" w:space="0" w:color="auto"/>
                            <w:right w:val="none" w:sz="0" w:space="0" w:color="auto"/>
                          </w:divBdr>
                          <w:divsChild>
                            <w:div w:id="696587667">
                              <w:marLeft w:val="0"/>
                              <w:marRight w:val="0"/>
                              <w:marTop w:val="0"/>
                              <w:marBottom w:val="0"/>
                              <w:divBdr>
                                <w:top w:val="none" w:sz="0" w:space="0" w:color="auto"/>
                                <w:left w:val="none" w:sz="0" w:space="0" w:color="auto"/>
                                <w:bottom w:val="none" w:sz="0" w:space="0" w:color="auto"/>
                                <w:right w:val="none" w:sz="0" w:space="0" w:color="auto"/>
                              </w:divBdr>
                              <w:divsChild>
                                <w:div w:id="225840510">
                                  <w:marLeft w:val="0"/>
                                  <w:marRight w:val="0"/>
                                  <w:marTop w:val="0"/>
                                  <w:marBottom w:val="0"/>
                                  <w:divBdr>
                                    <w:top w:val="none" w:sz="0" w:space="0" w:color="auto"/>
                                    <w:left w:val="none" w:sz="0" w:space="0" w:color="auto"/>
                                    <w:bottom w:val="none" w:sz="0" w:space="0" w:color="auto"/>
                                    <w:right w:val="none" w:sz="0" w:space="0" w:color="auto"/>
                                  </w:divBdr>
                                  <w:divsChild>
                                    <w:div w:id="18174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8892168">
      <w:bodyDiv w:val="1"/>
      <w:marLeft w:val="0"/>
      <w:marRight w:val="0"/>
      <w:marTop w:val="0"/>
      <w:marBottom w:val="0"/>
      <w:divBdr>
        <w:top w:val="none" w:sz="0" w:space="0" w:color="auto"/>
        <w:left w:val="none" w:sz="0" w:space="0" w:color="auto"/>
        <w:bottom w:val="none" w:sz="0" w:space="0" w:color="auto"/>
        <w:right w:val="none" w:sz="0" w:space="0" w:color="auto"/>
      </w:divBdr>
    </w:div>
    <w:div w:id="505171846">
      <w:bodyDiv w:val="1"/>
      <w:marLeft w:val="0"/>
      <w:marRight w:val="0"/>
      <w:marTop w:val="0"/>
      <w:marBottom w:val="0"/>
      <w:divBdr>
        <w:top w:val="none" w:sz="0" w:space="0" w:color="auto"/>
        <w:left w:val="none" w:sz="0" w:space="0" w:color="auto"/>
        <w:bottom w:val="none" w:sz="0" w:space="0" w:color="auto"/>
        <w:right w:val="none" w:sz="0" w:space="0" w:color="auto"/>
      </w:divBdr>
      <w:divsChild>
        <w:div w:id="216161911">
          <w:marLeft w:val="0"/>
          <w:marRight w:val="0"/>
          <w:marTop w:val="0"/>
          <w:marBottom w:val="0"/>
          <w:divBdr>
            <w:top w:val="none" w:sz="0" w:space="0" w:color="auto"/>
            <w:left w:val="none" w:sz="0" w:space="0" w:color="auto"/>
            <w:bottom w:val="none" w:sz="0" w:space="0" w:color="auto"/>
            <w:right w:val="none" w:sz="0" w:space="0" w:color="auto"/>
          </w:divBdr>
          <w:divsChild>
            <w:div w:id="1475370444">
              <w:marLeft w:val="0"/>
              <w:marRight w:val="0"/>
              <w:marTop w:val="0"/>
              <w:marBottom w:val="0"/>
              <w:divBdr>
                <w:top w:val="none" w:sz="0" w:space="0" w:color="auto"/>
                <w:left w:val="none" w:sz="0" w:space="0" w:color="auto"/>
                <w:bottom w:val="none" w:sz="0" w:space="0" w:color="auto"/>
                <w:right w:val="none" w:sz="0" w:space="0" w:color="auto"/>
              </w:divBdr>
              <w:divsChild>
                <w:div w:id="1853912551">
                  <w:marLeft w:val="0"/>
                  <w:marRight w:val="0"/>
                  <w:marTop w:val="0"/>
                  <w:marBottom w:val="0"/>
                  <w:divBdr>
                    <w:top w:val="none" w:sz="0" w:space="0" w:color="auto"/>
                    <w:left w:val="none" w:sz="0" w:space="0" w:color="auto"/>
                    <w:bottom w:val="none" w:sz="0" w:space="0" w:color="auto"/>
                    <w:right w:val="none" w:sz="0" w:space="0" w:color="auto"/>
                  </w:divBdr>
                  <w:divsChild>
                    <w:div w:id="298148020">
                      <w:marLeft w:val="0"/>
                      <w:marRight w:val="0"/>
                      <w:marTop w:val="0"/>
                      <w:marBottom w:val="0"/>
                      <w:divBdr>
                        <w:top w:val="none" w:sz="0" w:space="0" w:color="auto"/>
                        <w:left w:val="none" w:sz="0" w:space="0" w:color="auto"/>
                        <w:bottom w:val="none" w:sz="0" w:space="0" w:color="auto"/>
                        <w:right w:val="none" w:sz="0" w:space="0" w:color="auto"/>
                      </w:divBdr>
                      <w:divsChild>
                        <w:div w:id="1264997632">
                          <w:marLeft w:val="0"/>
                          <w:marRight w:val="0"/>
                          <w:marTop w:val="0"/>
                          <w:marBottom w:val="0"/>
                          <w:divBdr>
                            <w:top w:val="none" w:sz="0" w:space="0" w:color="auto"/>
                            <w:left w:val="none" w:sz="0" w:space="0" w:color="auto"/>
                            <w:bottom w:val="none" w:sz="0" w:space="0" w:color="auto"/>
                            <w:right w:val="none" w:sz="0" w:space="0" w:color="auto"/>
                          </w:divBdr>
                          <w:divsChild>
                            <w:div w:id="1013071628">
                              <w:marLeft w:val="0"/>
                              <w:marRight w:val="0"/>
                              <w:marTop w:val="0"/>
                              <w:marBottom w:val="0"/>
                              <w:divBdr>
                                <w:top w:val="none" w:sz="0" w:space="0" w:color="auto"/>
                                <w:left w:val="none" w:sz="0" w:space="0" w:color="auto"/>
                                <w:bottom w:val="none" w:sz="0" w:space="0" w:color="auto"/>
                                <w:right w:val="none" w:sz="0" w:space="0" w:color="auto"/>
                              </w:divBdr>
                              <w:divsChild>
                                <w:div w:id="626859649">
                                  <w:marLeft w:val="0"/>
                                  <w:marRight w:val="0"/>
                                  <w:marTop w:val="0"/>
                                  <w:marBottom w:val="0"/>
                                  <w:divBdr>
                                    <w:top w:val="none" w:sz="0" w:space="0" w:color="auto"/>
                                    <w:left w:val="none" w:sz="0" w:space="0" w:color="auto"/>
                                    <w:bottom w:val="none" w:sz="0" w:space="0" w:color="auto"/>
                                    <w:right w:val="none" w:sz="0" w:space="0" w:color="auto"/>
                                  </w:divBdr>
                                  <w:divsChild>
                                    <w:div w:id="176209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606155">
      <w:bodyDiv w:val="1"/>
      <w:marLeft w:val="0"/>
      <w:marRight w:val="0"/>
      <w:marTop w:val="0"/>
      <w:marBottom w:val="0"/>
      <w:divBdr>
        <w:top w:val="none" w:sz="0" w:space="0" w:color="auto"/>
        <w:left w:val="none" w:sz="0" w:space="0" w:color="auto"/>
        <w:bottom w:val="none" w:sz="0" w:space="0" w:color="auto"/>
        <w:right w:val="none" w:sz="0" w:space="0" w:color="auto"/>
      </w:divBdr>
    </w:div>
    <w:div w:id="768543887">
      <w:bodyDiv w:val="1"/>
      <w:marLeft w:val="0"/>
      <w:marRight w:val="0"/>
      <w:marTop w:val="0"/>
      <w:marBottom w:val="0"/>
      <w:divBdr>
        <w:top w:val="none" w:sz="0" w:space="0" w:color="auto"/>
        <w:left w:val="none" w:sz="0" w:space="0" w:color="auto"/>
        <w:bottom w:val="none" w:sz="0" w:space="0" w:color="auto"/>
        <w:right w:val="none" w:sz="0" w:space="0" w:color="auto"/>
      </w:divBdr>
    </w:div>
    <w:div w:id="1227835872">
      <w:bodyDiv w:val="1"/>
      <w:marLeft w:val="0"/>
      <w:marRight w:val="0"/>
      <w:marTop w:val="0"/>
      <w:marBottom w:val="0"/>
      <w:divBdr>
        <w:top w:val="none" w:sz="0" w:space="0" w:color="auto"/>
        <w:left w:val="none" w:sz="0" w:space="0" w:color="auto"/>
        <w:bottom w:val="none" w:sz="0" w:space="0" w:color="auto"/>
        <w:right w:val="none" w:sz="0" w:space="0" w:color="auto"/>
      </w:divBdr>
    </w:div>
    <w:div w:id="1390499172">
      <w:bodyDiv w:val="1"/>
      <w:marLeft w:val="0"/>
      <w:marRight w:val="0"/>
      <w:marTop w:val="0"/>
      <w:marBottom w:val="0"/>
      <w:divBdr>
        <w:top w:val="none" w:sz="0" w:space="0" w:color="auto"/>
        <w:left w:val="none" w:sz="0" w:space="0" w:color="auto"/>
        <w:bottom w:val="none" w:sz="0" w:space="0" w:color="auto"/>
        <w:right w:val="none" w:sz="0" w:space="0" w:color="auto"/>
      </w:divBdr>
      <w:divsChild>
        <w:div w:id="1904489570">
          <w:marLeft w:val="0"/>
          <w:marRight w:val="0"/>
          <w:marTop w:val="0"/>
          <w:marBottom w:val="0"/>
          <w:divBdr>
            <w:top w:val="none" w:sz="0" w:space="0" w:color="auto"/>
            <w:left w:val="none" w:sz="0" w:space="0" w:color="auto"/>
            <w:bottom w:val="none" w:sz="0" w:space="0" w:color="auto"/>
            <w:right w:val="none" w:sz="0" w:space="0" w:color="auto"/>
          </w:divBdr>
          <w:divsChild>
            <w:div w:id="1573614039">
              <w:marLeft w:val="0"/>
              <w:marRight w:val="0"/>
              <w:marTop w:val="0"/>
              <w:marBottom w:val="0"/>
              <w:divBdr>
                <w:top w:val="none" w:sz="0" w:space="0" w:color="auto"/>
                <w:left w:val="none" w:sz="0" w:space="0" w:color="auto"/>
                <w:bottom w:val="none" w:sz="0" w:space="0" w:color="auto"/>
                <w:right w:val="none" w:sz="0" w:space="0" w:color="auto"/>
              </w:divBdr>
              <w:divsChild>
                <w:div w:id="892696453">
                  <w:marLeft w:val="0"/>
                  <w:marRight w:val="0"/>
                  <w:marTop w:val="0"/>
                  <w:marBottom w:val="0"/>
                  <w:divBdr>
                    <w:top w:val="none" w:sz="0" w:space="0" w:color="auto"/>
                    <w:left w:val="none" w:sz="0" w:space="0" w:color="auto"/>
                    <w:bottom w:val="none" w:sz="0" w:space="0" w:color="auto"/>
                    <w:right w:val="none" w:sz="0" w:space="0" w:color="auto"/>
                  </w:divBdr>
                  <w:divsChild>
                    <w:div w:id="822549745">
                      <w:marLeft w:val="0"/>
                      <w:marRight w:val="0"/>
                      <w:marTop w:val="0"/>
                      <w:marBottom w:val="0"/>
                      <w:divBdr>
                        <w:top w:val="none" w:sz="0" w:space="0" w:color="auto"/>
                        <w:left w:val="none" w:sz="0" w:space="0" w:color="auto"/>
                        <w:bottom w:val="none" w:sz="0" w:space="0" w:color="auto"/>
                        <w:right w:val="none" w:sz="0" w:space="0" w:color="auto"/>
                      </w:divBdr>
                      <w:divsChild>
                        <w:div w:id="910046596">
                          <w:marLeft w:val="0"/>
                          <w:marRight w:val="0"/>
                          <w:marTop w:val="0"/>
                          <w:marBottom w:val="0"/>
                          <w:divBdr>
                            <w:top w:val="none" w:sz="0" w:space="0" w:color="auto"/>
                            <w:left w:val="none" w:sz="0" w:space="0" w:color="auto"/>
                            <w:bottom w:val="none" w:sz="0" w:space="0" w:color="auto"/>
                            <w:right w:val="none" w:sz="0" w:space="0" w:color="auto"/>
                          </w:divBdr>
                          <w:divsChild>
                            <w:div w:id="252786927">
                              <w:marLeft w:val="0"/>
                              <w:marRight w:val="0"/>
                              <w:marTop w:val="0"/>
                              <w:marBottom w:val="0"/>
                              <w:divBdr>
                                <w:top w:val="none" w:sz="0" w:space="0" w:color="auto"/>
                                <w:left w:val="none" w:sz="0" w:space="0" w:color="auto"/>
                                <w:bottom w:val="none" w:sz="0" w:space="0" w:color="auto"/>
                                <w:right w:val="none" w:sz="0" w:space="0" w:color="auto"/>
                              </w:divBdr>
                              <w:divsChild>
                                <w:div w:id="1987466069">
                                  <w:marLeft w:val="0"/>
                                  <w:marRight w:val="0"/>
                                  <w:marTop w:val="0"/>
                                  <w:marBottom w:val="0"/>
                                  <w:divBdr>
                                    <w:top w:val="none" w:sz="0" w:space="0" w:color="auto"/>
                                    <w:left w:val="none" w:sz="0" w:space="0" w:color="auto"/>
                                    <w:bottom w:val="none" w:sz="0" w:space="0" w:color="auto"/>
                                    <w:right w:val="none" w:sz="0" w:space="0" w:color="auto"/>
                                  </w:divBdr>
                                  <w:divsChild>
                                    <w:div w:id="717556429">
                                      <w:marLeft w:val="0"/>
                                      <w:marRight w:val="0"/>
                                      <w:marTop w:val="0"/>
                                      <w:marBottom w:val="0"/>
                                      <w:divBdr>
                                        <w:top w:val="none" w:sz="0" w:space="0" w:color="auto"/>
                                        <w:left w:val="none" w:sz="0" w:space="0" w:color="auto"/>
                                        <w:bottom w:val="none" w:sz="0" w:space="0" w:color="auto"/>
                                        <w:right w:val="none" w:sz="0" w:space="0" w:color="auto"/>
                                      </w:divBdr>
                                      <w:divsChild>
                                        <w:div w:id="1508403192">
                                          <w:marLeft w:val="0"/>
                                          <w:marRight w:val="0"/>
                                          <w:marTop w:val="0"/>
                                          <w:marBottom w:val="0"/>
                                          <w:divBdr>
                                            <w:top w:val="none" w:sz="0" w:space="0" w:color="auto"/>
                                            <w:left w:val="none" w:sz="0" w:space="0" w:color="auto"/>
                                            <w:bottom w:val="none" w:sz="0" w:space="0" w:color="auto"/>
                                            <w:right w:val="none" w:sz="0" w:space="0" w:color="auto"/>
                                          </w:divBdr>
                                          <w:divsChild>
                                            <w:div w:id="17822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910277">
                      <w:marLeft w:val="0"/>
                      <w:marRight w:val="0"/>
                      <w:marTop w:val="0"/>
                      <w:marBottom w:val="0"/>
                      <w:divBdr>
                        <w:top w:val="none" w:sz="0" w:space="0" w:color="auto"/>
                        <w:left w:val="none" w:sz="0" w:space="0" w:color="auto"/>
                        <w:bottom w:val="none" w:sz="0" w:space="0" w:color="auto"/>
                        <w:right w:val="none" w:sz="0" w:space="0" w:color="auto"/>
                      </w:divBdr>
                      <w:divsChild>
                        <w:div w:id="1234973936">
                          <w:marLeft w:val="0"/>
                          <w:marRight w:val="0"/>
                          <w:marTop w:val="0"/>
                          <w:marBottom w:val="0"/>
                          <w:divBdr>
                            <w:top w:val="none" w:sz="0" w:space="0" w:color="auto"/>
                            <w:left w:val="none" w:sz="0" w:space="0" w:color="auto"/>
                            <w:bottom w:val="none" w:sz="0" w:space="0" w:color="auto"/>
                            <w:right w:val="none" w:sz="0" w:space="0" w:color="auto"/>
                          </w:divBdr>
                          <w:divsChild>
                            <w:div w:id="670183679">
                              <w:marLeft w:val="0"/>
                              <w:marRight w:val="0"/>
                              <w:marTop w:val="0"/>
                              <w:marBottom w:val="0"/>
                              <w:divBdr>
                                <w:top w:val="none" w:sz="0" w:space="0" w:color="auto"/>
                                <w:left w:val="none" w:sz="0" w:space="0" w:color="auto"/>
                                <w:bottom w:val="none" w:sz="0" w:space="0" w:color="auto"/>
                                <w:right w:val="none" w:sz="0" w:space="0" w:color="auto"/>
                              </w:divBdr>
                              <w:divsChild>
                                <w:div w:id="1573849997">
                                  <w:marLeft w:val="0"/>
                                  <w:marRight w:val="0"/>
                                  <w:marTop w:val="0"/>
                                  <w:marBottom w:val="0"/>
                                  <w:divBdr>
                                    <w:top w:val="none" w:sz="0" w:space="0" w:color="auto"/>
                                    <w:left w:val="none" w:sz="0" w:space="0" w:color="auto"/>
                                    <w:bottom w:val="none" w:sz="0" w:space="0" w:color="auto"/>
                                    <w:right w:val="none" w:sz="0" w:space="0" w:color="auto"/>
                                  </w:divBdr>
                                  <w:divsChild>
                                    <w:div w:id="1518691210">
                                      <w:marLeft w:val="0"/>
                                      <w:marRight w:val="0"/>
                                      <w:marTop w:val="0"/>
                                      <w:marBottom w:val="0"/>
                                      <w:divBdr>
                                        <w:top w:val="none" w:sz="0" w:space="0" w:color="auto"/>
                                        <w:left w:val="none" w:sz="0" w:space="0" w:color="auto"/>
                                        <w:bottom w:val="none" w:sz="0" w:space="0" w:color="auto"/>
                                        <w:right w:val="none" w:sz="0" w:space="0" w:color="auto"/>
                                      </w:divBdr>
                                      <w:divsChild>
                                        <w:div w:id="1396662534">
                                          <w:marLeft w:val="0"/>
                                          <w:marRight w:val="0"/>
                                          <w:marTop w:val="0"/>
                                          <w:marBottom w:val="0"/>
                                          <w:divBdr>
                                            <w:top w:val="none" w:sz="0" w:space="0" w:color="auto"/>
                                            <w:left w:val="none" w:sz="0" w:space="0" w:color="auto"/>
                                            <w:bottom w:val="none" w:sz="0" w:space="0" w:color="auto"/>
                                            <w:right w:val="none" w:sz="0" w:space="0" w:color="auto"/>
                                          </w:divBdr>
                                          <w:divsChild>
                                            <w:div w:id="125616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200750">
                      <w:marLeft w:val="0"/>
                      <w:marRight w:val="0"/>
                      <w:marTop w:val="0"/>
                      <w:marBottom w:val="0"/>
                      <w:divBdr>
                        <w:top w:val="none" w:sz="0" w:space="0" w:color="auto"/>
                        <w:left w:val="none" w:sz="0" w:space="0" w:color="auto"/>
                        <w:bottom w:val="none" w:sz="0" w:space="0" w:color="auto"/>
                        <w:right w:val="none" w:sz="0" w:space="0" w:color="auto"/>
                      </w:divBdr>
                      <w:divsChild>
                        <w:div w:id="1993557537">
                          <w:marLeft w:val="0"/>
                          <w:marRight w:val="0"/>
                          <w:marTop w:val="0"/>
                          <w:marBottom w:val="0"/>
                          <w:divBdr>
                            <w:top w:val="none" w:sz="0" w:space="0" w:color="auto"/>
                            <w:left w:val="none" w:sz="0" w:space="0" w:color="auto"/>
                            <w:bottom w:val="none" w:sz="0" w:space="0" w:color="auto"/>
                            <w:right w:val="none" w:sz="0" w:space="0" w:color="auto"/>
                          </w:divBdr>
                          <w:divsChild>
                            <w:div w:id="1256328416">
                              <w:marLeft w:val="0"/>
                              <w:marRight w:val="0"/>
                              <w:marTop w:val="0"/>
                              <w:marBottom w:val="0"/>
                              <w:divBdr>
                                <w:top w:val="none" w:sz="0" w:space="0" w:color="auto"/>
                                <w:left w:val="none" w:sz="0" w:space="0" w:color="auto"/>
                                <w:bottom w:val="none" w:sz="0" w:space="0" w:color="auto"/>
                                <w:right w:val="none" w:sz="0" w:space="0" w:color="auto"/>
                              </w:divBdr>
                              <w:divsChild>
                                <w:div w:id="1205173979">
                                  <w:marLeft w:val="0"/>
                                  <w:marRight w:val="0"/>
                                  <w:marTop w:val="0"/>
                                  <w:marBottom w:val="0"/>
                                  <w:divBdr>
                                    <w:top w:val="none" w:sz="0" w:space="0" w:color="auto"/>
                                    <w:left w:val="none" w:sz="0" w:space="0" w:color="auto"/>
                                    <w:bottom w:val="none" w:sz="0" w:space="0" w:color="auto"/>
                                    <w:right w:val="none" w:sz="0" w:space="0" w:color="auto"/>
                                  </w:divBdr>
                                  <w:divsChild>
                                    <w:div w:id="1463839229">
                                      <w:marLeft w:val="0"/>
                                      <w:marRight w:val="0"/>
                                      <w:marTop w:val="0"/>
                                      <w:marBottom w:val="0"/>
                                      <w:divBdr>
                                        <w:top w:val="none" w:sz="0" w:space="0" w:color="auto"/>
                                        <w:left w:val="none" w:sz="0" w:space="0" w:color="auto"/>
                                        <w:bottom w:val="none" w:sz="0" w:space="0" w:color="auto"/>
                                        <w:right w:val="none" w:sz="0" w:space="0" w:color="auto"/>
                                      </w:divBdr>
                                      <w:divsChild>
                                        <w:div w:id="1901667082">
                                          <w:marLeft w:val="0"/>
                                          <w:marRight w:val="0"/>
                                          <w:marTop w:val="0"/>
                                          <w:marBottom w:val="0"/>
                                          <w:divBdr>
                                            <w:top w:val="none" w:sz="0" w:space="0" w:color="auto"/>
                                            <w:left w:val="none" w:sz="0" w:space="0" w:color="auto"/>
                                            <w:bottom w:val="none" w:sz="0" w:space="0" w:color="auto"/>
                                            <w:right w:val="none" w:sz="0" w:space="0" w:color="auto"/>
                                          </w:divBdr>
                                          <w:divsChild>
                                            <w:div w:id="1170411110">
                                              <w:marLeft w:val="0"/>
                                              <w:marRight w:val="0"/>
                                              <w:marTop w:val="0"/>
                                              <w:marBottom w:val="0"/>
                                              <w:divBdr>
                                                <w:top w:val="none" w:sz="0" w:space="0" w:color="auto"/>
                                                <w:left w:val="none" w:sz="0" w:space="0" w:color="auto"/>
                                                <w:bottom w:val="none" w:sz="0" w:space="0" w:color="auto"/>
                                                <w:right w:val="none" w:sz="0" w:space="0" w:color="auto"/>
                                              </w:divBdr>
                                              <w:divsChild>
                                                <w:div w:id="1015614723">
                                                  <w:marLeft w:val="0"/>
                                                  <w:marRight w:val="0"/>
                                                  <w:marTop w:val="0"/>
                                                  <w:marBottom w:val="0"/>
                                                  <w:divBdr>
                                                    <w:top w:val="none" w:sz="0" w:space="0" w:color="auto"/>
                                                    <w:left w:val="none" w:sz="0" w:space="0" w:color="auto"/>
                                                    <w:bottom w:val="none" w:sz="0" w:space="0" w:color="auto"/>
                                                    <w:right w:val="none" w:sz="0" w:space="0" w:color="auto"/>
                                                  </w:divBdr>
                                                  <w:divsChild>
                                                    <w:div w:id="131899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0794401">
                      <w:marLeft w:val="0"/>
                      <w:marRight w:val="0"/>
                      <w:marTop w:val="0"/>
                      <w:marBottom w:val="0"/>
                      <w:divBdr>
                        <w:top w:val="none" w:sz="0" w:space="0" w:color="auto"/>
                        <w:left w:val="none" w:sz="0" w:space="0" w:color="auto"/>
                        <w:bottom w:val="none" w:sz="0" w:space="0" w:color="auto"/>
                        <w:right w:val="none" w:sz="0" w:space="0" w:color="auto"/>
                      </w:divBdr>
                      <w:divsChild>
                        <w:div w:id="745111284">
                          <w:marLeft w:val="0"/>
                          <w:marRight w:val="0"/>
                          <w:marTop w:val="0"/>
                          <w:marBottom w:val="0"/>
                          <w:divBdr>
                            <w:top w:val="none" w:sz="0" w:space="0" w:color="auto"/>
                            <w:left w:val="none" w:sz="0" w:space="0" w:color="auto"/>
                            <w:bottom w:val="none" w:sz="0" w:space="0" w:color="auto"/>
                            <w:right w:val="none" w:sz="0" w:space="0" w:color="auto"/>
                          </w:divBdr>
                          <w:divsChild>
                            <w:div w:id="1967850524">
                              <w:marLeft w:val="0"/>
                              <w:marRight w:val="0"/>
                              <w:marTop w:val="0"/>
                              <w:marBottom w:val="0"/>
                              <w:divBdr>
                                <w:top w:val="none" w:sz="0" w:space="0" w:color="auto"/>
                                <w:left w:val="none" w:sz="0" w:space="0" w:color="auto"/>
                                <w:bottom w:val="none" w:sz="0" w:space="0" w:color="auto"/>
                                <w:right w:val="none" w:sz="0" w:space="0" w:color="auto"/>
                              </w:divBdr>
                              <w:divsChild>
                                <w:div w:id="260645880">
                                  <w:marLeft w:val="0"/>
                                  <w:marRight w:val="0"/>
                                  <w:marTop w:val="0"/>
                                  <w:marBottom w:val="0"/>
                                  <w:divBdr>
                                    <w:top w:val="none" w:sz="0" w:space="0" w:color="auto"/>
                                    <w:left w:val="none" w:sz="0" w:space="0" w:color="auto"/>
                                    <w:bottom w:val="none" w:sz="0" w:space="0" w:color="auto"/>
                                    <w:right w:val="none" w:sz="0" w:space="0" w:color="auto"/>
                                  </w:divBdr>
                                  <w:divsChild>
                                    <w:div w:id="1723022237">
                                      <w:marLeft w:val="0"/>
                                      <w:marRight w:val="0"/>
                                      <w:marTop w:val="0"/>
                                      <w:marBottom w:val="0"/>
                                      <w:divBdr>
                                        <w:top w:val="none" w:sz="0" w:space="0" w:color="auto"/>
                                        <w:left w:val="none" w:sz="0" w:space="0" w:color="auto"/>
                                        <w:bottom w:val="none" w:sz="0" w:space="0" w:color="auto"/>
                                        <w:right w:val="none" w:sz="0" w:space="0" w:color="auto"/>
                                      </w:divBdr>
                                      <w:divsChild>
                                        <w:div w:id="783697424">
                                          <w:marLeft w:val="0"/>
                                          <w:marRight w:val="0"/>
                                          <w:marTop w:val="0"/>
                                          <w:marBottom w:val="0"/>
                                          <w:divBdr>
                                            <w:top w:val="none" w:sz="0" w:space="0" w:color="auto"/>
                                            <w:left w:val="none" w:sz="0" w:space="0" w:color="auto"/>
                                            <w:bottom w:val="none" w:sz="0" w:space="0" w:color="auto"/>
                                            <w:right w:val="none" w:sz="0" w:space="0" w:color="auto"/>
                                          </w:divBdr>
                                          <w:divsChild>
                                            <w:div w:id="80258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896533">
                      <w:marLeft w:val="0"/>
                      <w:marRight w:val="0"/>
                      <w:marTop w:val="0"/>
                      <w:marBottom w:val="0"/>
                      <w:divBdr>
                        <w:top w:val="none" w:sz="0" w:space="0" w:color="auto"/>
                        <w:left w:val="none" w:sz="0" w:space="0" w:color="auto"/>
                        <w:bottom w:val="none" w:sz="0" w:space="0" w:color="auto"/>
                        <w:right w:val="none" w:sz="0" w:space="0" w:color="auto"/>
                      </w:divBdr>
                      <w:divsChild>
                        <w:div w:id="1257638843">
                          <w:marLeft w:val="0"/>
                          <w:marRight w:val="0"/>
                          <w:marTop w:val="0"/>
                          <w:marBottom w:val="0"/>
                          <w:divBdr>
                            <w:top w:val="none" w:sz="0" w:space="0" w:color="auto"/>
                            <w:left w:val="none" w:sz="0" w:space="0" w:color="auto"/>
                            <w:bottom w:val="none" w:sz="0" w:space="0" w:color="auto"/>
                            <w:right w:val="none" w:sz="0" w:space="0" w:color="auto"/>
                          </w:divBdr>
                          <w:divsChild>
                            <w:div w:id="1732535955">
                              <w:marLeft w:val="0"/>
                              <w:marRight w:val="0"/>
                              <w:marTop w:val="0"/>
                              <w:marBottom w:val="0"/>
                              <w:divBdr>
                                <w:top w:val="none" w:sz="0" w:space="0" w:color="auto"/>
                                <w:left w:val="none" w:sz="0" w:space="0" w:color="auto"/>
                                <w:bottom w:val="none" w:sz="0" w:space="0" w:color="auto"/>
                                <w:right w:val="none" w:sz="0" w:space="0" w:color="auto"/>
                              </w:divBdr>
                              <w:divsChild>
                                <w:div w:id="861632229">
                                  <w:marLeft w:val="0"/>
                                  <w:marRight w:val="0"/>
                                  <w:marTop w:val="0"/>
                                  <w:marBottom w:val="0"/>
                                  <w:divBdr>
                                    <w:top w:val="none" w:sz="0" w:space="0" w:color="auto"/>
                                    <w:left w:val="none" w:sz="0" w:space="0" w:color="auto"/>
                                    <w:bottom w:val="none" w:sz="0" w:space="0" w:color="auto"/>
                                    <w:right w:val="none" w:sz="0" w:space="0" w:color="auto"/>
                                  </w:divBdr>
                                  <w:divsChild>
                                    <w:div w:id="1449540897">
                                      <w:marLeft w:val="0"/>
                                      <w:marRight w:val="0"/>
                                      <w:marTop w:val="0"/>
                                      <w:marBottom w:val="0"/>
                                      <w:divBdr>
                                        <w:top w:val="none" w:sz="0" w:space="0" w:color="auto"/>
                                        <w:left w:val="none" w:sz="0" w:space="0" w:color="auto"/>
                                        <w:bottom w:val="none" w:sz="0" w:space="0" w:color="auto"/>
                                        <w:right w:val="none" w:sz="0" w:space="0" w:color="auto"/>
                                      </w:divBdr>
                                      <w:divsChild>
                                        <w:div w:id="960964273">
                                          <w:marLeft w:val="0"/>
                                          <w:marRight w:val="0"/>
                                          <w:marTop w:val="0"/>
                                          <w:marBottom w:val="0"/>
                                          <w:divBdr>
                                            <w:top w:val="none" w:sz="0" w:space="0" w:color="auto"/>
                                            <w:left w:val="none" w:sz="0" w:space="0" w:color="auto"/>
                                            <w:bottom w:val="none" w:sz="0" w:space="0" w:color="auto"/>
                                            <w:right w:val="none" w:sz="0" w:space="0" w:color="auto"/>
                                          </w:divBdr>
                                          <w:divsChild>
                                            <w:div w:id="857432202">
                                              <w:marLeft w:val="0"/>
                                              <w:marRight w:val="0"/>
                                              <w:marTop w:val="0"/>
                                              <w:marBottom w:val="0"/>
                                              <w:divBdr>
                                                <w:top w:val="none" w:sz="0" w:space="0" w:color="auto"/>
                                                <w:left w:val="none" w:sz="0" w:space="0" w:color="auto"/>
                                                <w:bottom w:val="none" w:sz="0" w:space="0" w:color="auto"/>
                                                <w:right w:val="none" w:sz="0" w:space="0" w:color="auto"/>
                                              </w:divBdr>
                                              <w:divsChild>
                                                <w:div w:id="1052998085">
                                                  <w:marLeft w:val="0"/>
                                                  <w:marRight w:val="0"/>
                                                  <w:marTop w:val="0"/>
                                                  <w:marBottom w:val="0"/>
                                                  <w:divBdr>
                                                    <w:top w:val="none" w:sz="0" w:space="0" w:color="auto"/>
                                                    <w:left w:val="none" w:sz="0" w:space="0" w:color="auto"/>
                                                    <w:bottom w:val="none" w:sz="0" w:space="0" w:color="auto"/>
                                                    <w:right w:val="none" w:sz="0" w:space="0" w:color="auto"/>
                                                  </w:divBdr>
                                                  <w:divsChild>
                                                    <w:div w:id="1939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7204921">
                      <w:marLeft w:val="0"/>
                      <w:marRight w:val="0"/>
                      <w:marTop w:val="0"/>
                      <w:marBottom w:val="0"/>
                      <w:divBdr>
                        <w:top w:val="none" w:sz="0" w:space="0" w:color="auto"/>
                        <w:left w:val="none" w:sz="0" w:space="0" w:color="auto"/>
                        <w:bottom w:val="none" w:sz="0" w:space="0" w:color="auto"/>
                        <w:right w:val="none" w:sz="0" w:space="0" w:color="auto"/>
                      </w:divBdr>
                      <w:divsChild>
                        <w:div w:id="1655141643">
                          <w:marLeft w:val="0"/>
                          <w:marRight w:val="0"/>
                          <w:marTop w:val="0"/>
                          <w:marBottom w:val="0"/>
                          <w:divBdr>
                            <w:top w:val="none" w:sz="0" w:space="0" w:color="auto"/>
                            <w:left w:val="none" w:sz="0" w:space="0" w:color="auto"/>
                            <w:bottom w:val="none" w:sz="0" w:space="0" w:color="auto"/>
                            <w:right w:val="none" w:sz="0" w:space="0" w:color="auto"/>
                          </w:divBdr>
                          <w:divsChild>
                            <w:div w:id="1113554478">
                              <w:marLeft w:val="0"/>
                              <w:marRight w:val="0"/>
                              <w:marTop w:val="0"/>
                              <w:marBottom w:val="0"/>
                              <w:divBdr>
                                <w:top w:val="none" w:sz="0" w:space="0" w:color="auto"/>
                                <w:left w:val="none" w:sz="0" w:space="0" w:color="auto"/>
                                <w:bottom w:val="none" w:sz="0" w:space="0" w:color="auto"/>
                                <w:right w:val="none" w:sz="0" w:space="0" w:color="auto"/>
                              </w:divBdr>
                              <w:divsChild>
                                <w:div w:id="1031960513">
                                  <w:marLeft w:val="0"/>
                                  <w:marRight w:val="0"/>
                                  <w:marTop w:val="0"/>
                                  <w:marBottom w:val="0"/>
                                  <w:divBdr>
                                    <w:top w:val="none" w:sz="0" w:space="0" w:color="auto"/>
                                    <w:left w:val="none" w:sz="0" w:space="0" w:color="auto"/>
                                    <w:bottom w:val="none" w:sz="0" w:space="0" w:color="auto"/>
                                    <w:right w:val="none" w:sz="0" w:space="0" w:color="auto"/>
                                  </w:divBdr>
                                  <w:divsChild>
                                    <w:div w:id="909001127">
                                      <w:marLeft w:val="0"/>
                                      <w:marRight w:val="0"/>
                                      <w:marTop w:val="0"/>
                                      <w:marBottom w:val="0"/>
                                      <w:divBdr>
                                        <w:top w:val="none" w:sz="0" w:space="0" w:color="auto"/>
                                        <w:left w:val="none" w:sz="0" w:space="0" w:color="auto"/>
                                        <w:bottom w:val="none" w:sz="0" w:space="0" w:color="auto"/>
                                        <w:right w:val="none" w:sz="0" w:space="0" w:color="auto"/>
                                      </w:divBdr>
                                      <w:divsChild>
                                        <w:div w:id="1790388812">
                                          <w:marLeft w:val="0"/>
                                          <w:marRight w:val="0"/>
                                          <w:marTop w:val="0"/>
                                          <w:marBottom w:val="0"/>
                                          <w:divBdr>
                                            <w:top w:val="none" w:sz="0" w:space="0" w:color="auto"/>
                                            <w:left w:val="none" w:sz="0" w:space="0" w:color="auto"/>
                                            <w:bottom w:val="none" w:sz="0" w:space="0" w:color="auto"/>
                                            <w:right w:val="none" w:sz="0" w:space="0" w:color="auto"/>
                                          </w:divBdr>
                                          <w:divsChild>
                                            <w:div w:id="153927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4467428">
          <w:marLeft w:val="0"/>
          <w:marRight w:val="0"/>
          <w:marTop w:val="0"/>
          <w:marBottom w:val="0"/>
          <w:divBdr>
            <w:top w:val="none" w:sz="0" w:space="0" w:color="auto"/>
            <w:left w:val="none" w:sz="0" w:space="0" w:color="auto"/>
            <w:bottom w:val="none" w:sz="0" w:space="0" w:color="auto"/>
            <w:right w:val="none" w:sz="0" w:space="0" w:color="auto"/>
          </w:divBdr>
          <w:divsChild>
            <w:div w:id="849026789">
              <w:marLeft w:val="0"/>
              <w:marRight w:val="0"/>
              <w:marTop w:val="0"/>
              <w:marBottom w:val="0"/>
              <w:divBdr>
                <w:top w:val="none" w:sz="0" w:space="0" w:color="auto"/>
                <w:left w:val="none" w:sz="0" w:space="0" w:color="auto"/>
                <w:bottom w:val="none" w:sz="0" w:space="0" w:color="auto"/>
                <w:right w:val="none" w:sz="0" w:space="0" w:color="auto"/>
              </w:divBdr>
              <w:divsChild>
                <w:div w:id="446509501">
                  <w:marLeft w:val="0"/>
                  <w:marRight w:val="0"/>
                  <w:marTop w:val="0"/>
                  <w:marBottom w:val="0"/>
                  <w:divBdr>
                    <w:top w:val="none" w:sz="0" w:space="0" w:color="auto"/>
                    <w:left w:val="none" w:sz="0" w:space="0" w:color="auto"/>
                    <w:bottom w:val="none" w:sz="0" w:space="0" w:color="auto"/>
                    <w:right w:val="none" w:sz="0" w:space="0" w:color="auto"/>
                  </w:divBdr>
                  <w:divsChild>
                    <w:div w:id="620650060">
                      <w:marLeft w:val="0"/>
                      <w:marRight w:val="0"/>
                      <w:marTop w:val="0"/>
                      <w:marBottom w:val="0"/>
                      <w:divBdr>
                        <w:top w:val="none" w:sz="0" w:space="0" w:color="auto"/>
                        <w:left w:val="none" w:sz="0" w:space="0" w:color="auto"/>
                        <w:bottom w:val="none" w:sz="0" w:space="0" w:color="auto"/>
                        <w:right w:val="none" w:sz="0" w:space="0" w:color="auto"/>
                      </w:divBdr>
                      <w:divsChild>
                        <w:div w:id="1996563322">
                          <w:marLeft w:val="0"/>
                          <w:marRight w:val="0"/>
                          <w:marTop w:val="0"/>
                          <w:marBottom w:val="0"/>
                          <w:divBdr>
                            <w:top w:val="none" w:sz="0" w:space="0" w:color="auto"/>
                            <w:left w:val="none" w:sz="0" w:space="0" w:color="auto"/>
                            <w:bottom w:val="none" w:sz="0" w:space="0" w:color="auto"/>
                            <w:right w:val="none" w:sz="0" w:space="0" w:color="auto"/>
                          </w:divBdr>
                          <w:divsChild>
                            <w:div w:id="1785269315">
                              <w:marLeft w:val="0"/>
                              <w:marRight w:val="0"/>
                              <w:marTop w:val="0"/>
                              <w:marBottom w:val="0"/>
                              <w:divBdr>
                                <w:top w:val="none" w:sz="0" w:space="0" w:color="auto"/>
                                <w:left w:val="none" w:sz="0" w:space="0" w:color="auto"/>
                                <w:bottom w:val="none" w:sz="0" w:space="0" w:color="auto"/>
                                <w:right w:val="none" w:sz="0" w:space="0" w:color="auto"/>
                              </w:divBdr>
                              <w:divsChild>
                                <w:div w:id="678510506">
                                  <w:marLeft w:val="0"/>
                                  <w:marRight w:val="0"/>
                                  <w:marTop w:val="0"/>
                                  <w:marBottom w:val="0"/>
                                  <w:divBdr>
                                    <w:top w:val="none" w:sz="0" w:space="0" w:color="auto"/>
                                    <w:left w:val="none" w:sz="0" w:space="0" w:color="auto"/>
                                    <w:bottom w:val="none" w:sz="0" w:space="0" w:color="auto"/>
                                    <w:right w:val="none" w:sz="0" w:space="0" w:color="auto"/>
                                  </w:divBdr>
                                  <w:divsChild>
                                    <w:div w:id="245576422">
                                      <w:marLeft w:val="0"/>
                                      <w:marRight w:val="0"/>
                                      <w:marTop w:val="0"/>
                                      <w:marBottom w:val="0"/>
                                      <w:divBdr>
                                        <w:top w:val="none" w:sz="0" w:space="0" w:color="auto"/>
                                        <w:left w:val="none" w:sz="0" w:space="0" w:color="auto"/>
                                        <w:bottom w:val="none" w:sz="0" w:space="0" w:color="auto"/>
                                        <w:right w:val="none" w:sz="0" w:space="0" w:color="auto"/>
                                      </w:divBdr>
                                      <w:divsChild>
                                        <w:div w:id="1350253092">
                                          <w:marLeft w:val="0"/>
                                          <w:marRight w:val="0"/>
                                          <w:marTop w:val="0"/>
                                          <w:marBottom w:val="0"/>
                                          <w:divBdr>
                                            <w:top w:val="none" w:sz="0" w:space="0" w:color="auto"/>
                                            <w:left w:val="none" w:sz="0" w:space="0" w:color="auto"/>
                                            <w:bottom w:val="none" w:sz="0" w:space="0" w:color="auto"/>
                                            <w:right w:val="none" w:sz="0" w:space="0" w:color="auto"/>
                                          </w:divBdr>
                                          <w:divsChild>
                                            <w:div w:id="1151558445">
                                              <w:marLeft w:val="0"/>
                                              <w:marRight w:val="0"/>
                                              <w:marTop w:val="0"/>
                                              <w:marBottom w:val="0"/>
                                              <w:divBdr>
                                                <w:top w:val="none" w:sz="0" w:space="0" w:color="auto"/>
                                                <w:left w:val="none" w:sz="0" w:space="0" w:color="auto"/>
                                                <w:bottom w:val="none" w:sz="0" w:space="0" w:color="auto"/>
                                                <w:right w:val="none" w:sz="0" w:space="0" w:color="auto"/>
                                              </w:divBdr>
                                              <w:divsChild>
                                                <w:div w:id="773329986">
                                                  <w:marLeft w:val="0"/>
                                                  <w:marRight w:val="0"/>
                                                  <w:marTop w:val="0"/>
                                                  <w:marBottom w:val="0"/>
                                                  <w:divBdr>
                                                    <w:top w:val="none" w:sz="0" w:space="0" w:color="auto"/>
                                                    <w:left w:val="none" w:sz="0" w:space="0" w:color="auto"/>
                                                    <w:bottom w:val="none" w:sz="0" w:space="0" w:color="auto"/>
                                                    <w:right w:val="none" w:sz="0" w:space="0" w:color="auto"/>
                                                  </w:divBdr>
                                                  <w:divsChild>
                                                    <w:div w:id="1878547971">
                                                      <w:marLeft w:val="0"/>
                                                      <w:marRight w:val="0"/>
                                                      <w:marTop w:val="0"/>
                                                      <w:marBottom w:val="0"/>
                                                      <w:divBdr>
                                                        <w:top w:val="none" w:sz="0" w:space="0" w:color="auto"/>
                                                        <w:left w:val="none" w:sz="0" w:space="0" w:color="auto"/>
                                                        <w:bottom w:val="none" w:sz="0" w:space="0" w:color="auto"/>
                                                        <w:right w:val="none" w:sz="0" w:space="0" w:color="auto"/>
                                                      </w:divBdr>
                                                      <w:divsChild>
                                                        <w:div w:id="56250149">
                                                          <w:marLeft w:val="0"/>
                                                          <w:marRight w:val="0"/>
                                                          <w:marTop w:val="0"/>
                                                          <w:marBottom w:val="0"/>
                                                          <w:divBdr>
                                                            <w:top w:val="none" w:sz="0" w:space="0" w:color="auto"/>
                                                            <w:left w:val="none" w:sz="0" w:space="0" w:color="auto"/>
                                                            <w:bottom w:val="none" w:sz="0" w:space="0" w:color="auto"/>
                                                            <w:right w:val="none" w:sz="0" w:space="0" w:color="auto"/>
                                                          </w:divBdr>
                                                          <w:divsChild>
                                                            <w:div w:id="2147236114">
                                                              <w:marLeft w:val="0"/>
                                                              <w:marRight w:val="0"/>
                                                              <w:marTop w:val="0"/>
                                                              <w:marBottom w:val="0"/>
                                                              <w:divBdr>
                                                                <w:top w:val="none" w:sz="0" w:space="0" w:color="auto"/>
                                                                <w:left w:val="none" w:sz="0" w:space="0" w:color="auto"/>
                                                                <w:bottom w:val="none" w:sz="0" w:space="0" w:color="auto"/>
                                                                <w:right w:val="none" w:sz="0" w:space="0" w:color="auto"/>
                                                              </w:divBdr>
                                                              <w:divsChild>
                                                                <w:div w:id="1090152345">
                                                                  <w:marLeft w:val="0"/>
                                                                  <w:marRight w:val="0"/>
                                                                  <w:marTop w:val="0"/>
                                                                  <w:marBottom w:val="0"/>
                                                                  <w:divBdr>
                                                                    <w:top w:val="none" w:sz="0" w:space="0" w:color="auto"/>
                                                                    <w:left w:val="none" w:sz="0" w:space="0" w:color="auto"/>
                                                                    <w:bottom w:val="none" w:sz="0" w:space="0" w:color="auto"/>
                                                                    <w:right w:val="none" w:sz="0" w:space="0" w:color="auto"/>
                                                                  </w:divBdr>
                                                                  <w:divsChild>
                                                                    <w:div w:id="67896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32954243">
      <w:bodyDiv w:val="1"/>
      <w:marLeft w:val="0"/>
      <w:marRight w:val="0"/>
      <w:marTop w:val="0"/>
      <w:marBottom w:val="0"/>
      <w:divBdr>
        <w:top w:val="none" w:sz="0" w:space="0" w:color="auto"/>
        <w:left w:val="none" w:sz="0" w:space="0" w:color="auto"/>
        <w:bottom w:val="none" w:sz="0" w:space="0" w:color="auto"/>
        <w:right w:val="none" w:sz="0" w:space="0" w:color="auto"/>
      </w:divBdr>
    </w:div>
    <w:div w:id="1607425134">
      <w:bodyDiv w:val="1"/>
      <w:marLeft w:val="0"/>
      <w:marRight w:val="0"/>
      <w:marTop w:val="0"/>
      <w:marBottom w:val="0"/>
      <w:divBdr>
        <w:top w:val="none" w:sz="0" w:space="0" w:color="auto"/>
        <w:left w:val="none" w:sz="0" w:space="0" w:color="auto"/>
        <w:bottom w:val="none" w:sz="0" w:space="0" w:color="auto"/>
        <w:right w:val="none" w:sz="0" w:space="0" w:color="auto"/>
      </w:divBdr>
    </w:div>
    <w:div w:id="1672559869">
      <w:bodyDiv w:val="1"/>
      <w:marLeft w:val="0"/>
      <w:marRight w:val="0"/>
      <w:marTop w:val="0"/>
      <w:marBottom w:val="0"/>
      <w:divBdr>
        <w:top w:val="none" w:sz="0" w:space="0" w:color="auto"/>
        <w:left w:val="none" w:sz="0" w:space="0" w:color="auto"/>
        <w:bottom w:val="none" w:sz="0" w:space="0" w:color="auto"/>
        <w:right w:val="none" w:sz="0" w:space="0" w:color="auto"/>
      </w:divBdr>
    </w:div>
    <w:div w:id="1733042616">
      <w:bodyDiv w:val="1"/>
      <w:marLeft w:val="0"/>
      <w:marRight w:val="0"/>
      <w:marTop w:val="0"/>
      <w:marBottom w:val="0"/>
      <w:divBdr>
        <w:top w:val="none" w:sz="0" w:space="0" w:color="auto"/>
        <w:left w:val="none" w:sz="0" w:space="0" w:color="auto"/>
        <w:bottom w:val="none" w:sz="0" w:space="0" w:color="auto"/>
        <w:right w:val="none" w:sz="0" w:space="0" w:color="auto"/>
      </w:divBdr>
    </w:div>
    <w:div w:id="1835560843">
      <w:bodyDiv w:val="1"/>
      <w:marLeft w:val="0"/>
      <w:marRight w:val="0"/>
      <w:marTop w:val="0"/>
      <w:marBottom w:val="0"/>
      <w:divBdr>
        <w:top w:val="none" w:sz="0" w:space="0" w:color="auto"/>
        <w:left w:val="none" w:sz="0" w:space="0" w:color="auto"/>
        <w:bottom w:val="none" w:sz="0" w:space="0" w:color="auto"/>
        <w:right w:val="none" w:sz="0" w:space="0" w:color="auto"/>
      </w:divBdr>
      <w:divsChild>
        <w:div w:id="726027438">
          <w:marLeft w:val="0"/>
          <w:marRight w:val="0"/>
          <w:marTop w:val="0"/>
          <w:marBottom w:val="0"/>
          <w:divBdr>
            <w:top w:val="none" w:sz="0" w:space="0" w:color="auto"/>
            <w:left w:val="none" w:sz="0" w:space="0" w:color="auto"/>
            <w:bottom w:val="none" w:sz="0" w:space="0" w:color="auto"/>
            <w:right w:val="none" w:sz="0" w:space="0" w:color="auto"/>
          </w:divBdr>
          <w:divsChild>
            <w:div w:id="958414253">
              <w:marLeft w:val="0"/>
              <w:marRight w:val="0"/>
              <w:marTop w:val="0"/>
              <w:marBottom w:val="0"/>
              <w:divBdr>
                <w:top w:val="none" w:sz="0" w:space="0" w:color="auto"/>
                <w:left w:val="none" w:sz="0" w:space="0" w:color="auto"/>
                <w:bottom w:val="none" w:sz="0" w:space="0" w:color="auto"/>
                <w:right w:val="none" w:sz="0" w:space="0" w:color="auto"/>
              </w:divBdr>
              <w:divsChild>
                <w:div w:id="959265327">
                  <w:marLeft w:val="0"/>
                  <w:marRight w:val="0"/>
                  <w:marTop w:val="0"/>
                  <w:marBottom w:val="0"/>
                  <w:divBdr>
                    <w:top w:val="none" w:sz="0" w:space="0" w:color="auto"/>
                    <w:left w:val="none" w:sz="0" w:space="0" w:color="auto"/>
                    <w:bottom w:val="none" w:sz="0" w:space="0" w:color="auto"/>
                    <w:right w:val="none" w:sz="0" w:space="0" w:color="auto"/>
                  </w:divBdr>
                  <w:divsChild>
                    <w:div w:id="531575139">
                      <w:marLeft w:val="0"/>
                      <w:marRight w:val="0"/>
                      <w:marTop w:val="0"/>
                      <w:marBottom w:val="0"/>
                      <w:divBdr>
                        <w:top w:val="none" w:sz="0" w:space="0" w:color="auto"/>
                        <w:left w:val="none" w:sz="0" w:space="0" w:color="auto"/>
                        <w:bottom w:val="none" w:sz="0" w:space="0" w:color="auto"/>
                        <w:right w:val="none" w:sz="0" w:space="0" w:color="auto"/>
                      </w:divBdr>
                      <w:divsChild>
                        <w:div w:id="267129257">
                          <w:marLeft w:val="0"/>
                          <w:marRight w:val="0"/>
                          <w:marTop w:val="0"/>
                          <w:marBottom w:val="0"/>
                          <w:divBdr>
                            <w:top w:val="none" w:sz="0" w:space="0" w:color="auto"/>
                            <w:left w:val="none" w:sz="0" w:space="0" w:color="auto"/>
                            <w:bottom w:val="none" w:sz="0" w:space="0" w:color="auto"/>
                            <w:right w:val="none" w:sz="0" w:space="0" w:color="auto"/>
                          </w:divBdr>
                          <w:divsChild>
                            <w:div w:id="1314915806">
                              <w:marLeft w:val="0"/>
                              <w:marRight w:val="0"/>
                              <w:marTop w:val="0"/>
                              <w:marBottom w:val="0"/>
                              <w:divBdr>
                                <w:top w:val="none" w:sz="0" w:space="0" w:color="auto"/>
                                <w:left w:val="none" w:sz="0" w:space="0" w:color="auto"/>
                                <w:bottom w:val="none" w:sz="0" w:space="0" w:color="auto"/>
                                <w:right w:val="none" w:sz="0" w:space="0" w:color="auto"/>
                              </w:divBdr>
                              <w:divsChild>
                                <w:div w:id="887644722">
                                  <w:marLeft w:val="0"/>
                                  <w:marRight w:val="0"/>
                                  <w:marTop w:val="0"/>
                                  <w:marBottom w:val="0"/>
                                  <w:divBdr>
                                    <w:top w:val="none" w:sz="0" w:space="0" w:color="auto"/>
                                    <w:left w:val="none" w:sz="0" w:space="0" w:color="auto"/>
                                    <w:bottom w:val="none" w:sz="0" w:space="0" w:color="auto"/>
                                    <w:right w:val="none" w:sz="0" w:space="0" w:color="auto"/>
                                  </w:divBdr>
                                  <w:divsChild>
                                    <w:div w:id="1236937042">
                                      <w:marLeft w:val="0"/>
                                      <w:marRight w:val="0"/>
                                      <w:marTop w:val="0"/>
                                      <w:marBottom w:val="0"/>
                                      <w:divBdr>
                                        <w:top w:val="none" w:sz="0" w:space="0" w:color="auto"/>
                                        <w:left w:val="none" w:sz="0" w:space="0" w:color="auto"/>
                                        <w:bottom w:val="none" w:sz="0" w:space="0" w:color="auto"/>
                                        <w:right w:val="none" w:sz="0" w:space="0" w:color="auto"/>
                                      </w:divBdr>
                                      <w:divsChild>
                                        <w:div w:id="1373261955">
                                          <w:marLeft w:val="0"/>
                                          <w:marRight w:val="0"/>
                                          <w:marTop w:val="0"/>
                                          <w:marBottom w:val="0"/>
                                          <w:divBdr>
                                            <w:top w:val="none" w:sz="0" w:space="0" w:color="auto"/>
                                            <w:left w:val="none" w:sz="0" w:space="0" w:color="auto"/>
                                            <w:bottom w:val="none" w:sz="0" w:space="0" w:color="auto"/>
                                            <w:right w:val="none" w:sz="0" w:space="0" w:color="auto"/>
                                          </w:divBdr>
                                          <w:divsChild>
                                            <w:div w:id="95108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7768">
          <w:marLeft w:val="0"/>
          <w:marRight w:val="0"/>
          <w:marTop w:val="0"/>
          <w:marBottom w:val="0"/>
          <w:divBdr>
            <w:top w:val="none" w:sz="0" w:space="0" w:color="auto"/>
            <w:left w:val="none" w:sz="0" w:space="0" w:color="auto"/>
            <w:bottom w:val="none" w:sz="0" w:space="0" w:color="auto"/>
            <w:right w:val="none" w:sz="0" w:space="0" w:color="auto"/>
          </w:divBdr>
          <w:divsChild>
            <w:div w:id="1905411417">
              <w:marLeft w:val="0"/>
              <w:marRight w:val="0"/>
              <w:marTop w:val="0"/>
              <w:marBottom w:val="0"/>
              <w:divBdr>
                <w:top w:val="none" w:sz="0" w:space="0" w:color="auto"/>
                <w:left w:val="none" w:sz="0" w:space="0" w:color="auto"/>
                <w:bottom w:val="none" w:sz="0" w:space="0" w:color="auto"/>
                <w:right w:val="none" w:sz="0" w:space="0" w:color="auto"/>
              </w:divBdr>
              <w:divsChild>
                <w:div w:id="490949110">
                  <w:marLeft w:val="0"/>
                  <w:marRight w:val="0"/>
                  <w:marTop w:val="0"/>
                  <w:marBottom w:val="0"/>
                  <w:divBdr>
                    <w:top w:val="none" w:sz="0" w:space="0" w:color="auto"/>
                    <w:left w:val="none" w:sz="0" w:space="0" w:color="auto"/>
                    <w:bottom w:val="none" w:sz="0" w:space="0" w:color="auto"/>
                    <w:right w:val="none" w:sz="0" w:space="0" w:color="auto"/>
                  </w:divBdr>
                  <w:divsChild>
                    <w:div w:id="801121427">
                      <w:marLeft w:val="0"/>
                      <w:marRight w:val="0"/>
                      <w:marTop w:val="0"/>
                      <w:marBottom w:val="0"/>
                      <w:divBdr>
                        <w:top w:val="none" w:sz="0" w:space="0" w:color="auto"/>
                        <w:left w:val="none" w:sz="0" w:space="0" w:color="auto"/>
                        <w:bottom w:val="none" w:sz="0" w:space="0" w:color="auto"/>
                        <w:right w:val="none" w:sz="0" w:space="0" w:color="auto"/>
                      </w:divBdr>
                      <w:divsChild>
                        <w:div w:id="448622891">
                          <w:marLeft w:val="0"/>
                          <w:marRight w:val="0"/>
                          <w:marTop w:val="0"/>
                          <w:marBottom w:val="0"/>
                          <w:divBdr>
                            <w:top w:val="none" w:sz="0" w:space="0" w:color="auto"/>
                            <w:left w:val="none" w:sz="0" w:space="0" w:color="auto"/>
                            <w:bottom w:val="none" w:sz="0" w:space="0" w:color="auto"/>
                            <w:right w:val="none" w:sz="0" w:space="0" w:color="auto"/>
                          </w:divBdr>
                          <w:divsChild>
                            <w:div w:id="1893153330">
                              <w:marLeft w:val="0"/>
                              <w:marRight w:val="0"/>
                              <w:marTop w:val="0"/>
                              <w:marBottom w:val="0"/>
                              <w:divBdr>
                                <w:top w:val="none" w:sz="0" w:space="0" w:color="auto"/>
                                <w:left w:val="none" w:sz="0" w:space="0" w:color="auto"/>
                                <w:bottom w:val="none" w:sz="0" w:space="0" w:color="auto"/>
                                <w:right w:val="none" w:sz="0" w:space="0" w:color="auto"/>
                              </w:divBdr>
                              <w:divsChild>
                                <w:div w:id="2103986774">
                                  <w:marLeft w:val="0"/>
                                  <w:marRight w:val="0"/>
                                  <w:marTop w:val="0"/>
                                  <w:marBottom w:val="0"/>
                                  <w:divBdr>
                                    <w:top w:val="none" w:sz="0" w:space="0" w:color="auto"/>
                                    <w:left w:val="none" w:sz="0" w:space="0" w:color="auto"/>
                                    <w:bottom w:val="none" w:sz="0" w:space="0" w:color="auto"/>
                                    <w:right w:val="none" w:sz="0" w:space="0" w:color="auto"/>
                                  </w:divBdr>
                                  <w:divsChild>
                                    <w:div w:id="824007773">
                                      <w:marLeft w:val="0"/>
                                      <w:marRight w:val="0"/>
                                      <w:marTop w:val="0"/>
                                      <w:marBottom w:val="0"/>
                                      <w:divBdr>
                                        <w:top w:val="none" w:sz="0" w:space="0" w:color="auto"/>
                                        <w:left w:val="none" w:sz="0" w:space="0" w:color="auto"/>
                                        <w:bottom w:val="none" w:sz="0" w:space="0" w:color="auto"/>
                                        <w:right w:val="none" w:sz="0" w:space="0" w:color="auto"/>
                                      </w:divBdr>
                                      <w:divsChild>
                                        <w:div w:id="426968499">
                                          <w:marLeft w:val="0"/>
                                          <w:marRight w:val="0"/>
                                          <w:marTop w:val="0"/>
                                          <w:marBottom w:val="0"/>
                                          <w:divBdr>
                                            <w:top w:val="none" w:sz="0" w:space="0" w:color="auto"/>
                                            <w:left w:val="none" w:sz="0" w:space="0" w:color="auto"/>
                                            <w:bottom w:val="none" w:sz="0" w:space="0" w:color="auto"/>
                                            <w:right w:val="none" w:sz="0" w:space="0" w:color="auto"/>
                                          </w:divBdr>
                                          <w:divsChild>
                                            <w:div w:id="1129975319">
                                              <w:marLeft w:val="0"/>
                                              <w:marRight w:val="0"/>
                                              <w:marTop w:val="0"/>
                                              <w:marBottom w:val="0"/>
                                              <w:divBdr>
                                                <w:top w:val="none" w:sz="0" w:space="0" w:color="auto"/>
                                                <w:left w:val="none" w:sz="0" w:space="0" w:color="auto"/>
                                                <w:bottom w:val="none" w:sz="0" w:space="0" w:color="auto"/>
                                                <w:right w:val="none" w:sz="0" w:space="0" w:color="auto"/>
                                              </w:divBdr>
                                              <w:divsChild>
                                                <w:div w:id="499542989">
                                                  <w:marLeft w:val="0"/>
                                                  <w:marRight w:val="0"/>
                                                  <w:marTop w:val="0"/>
                                                  <w:marBottom w:val="0"/>
                                                  <w:divBdr>
                                                    <w:top w:val="none" w:sz="0" w:space="0" w:color="auto"/>
                                                    <w:left w:val="none" w:sz="0" w:space="0" w:color="auto"/>
                                                    <w:bottom w:val="none" w:sz="0" w:space="0" w:color="auto"/>
                                                    <w:right w:val="none" w:sz="0" w:space="0" w:color="auto"/>
                                                  </w:divBdr>
                                                  <w:divsChild>
                                                    <w:div w:id="999041878">
                                                      <w:marLeft w:val="0"/>
                                                      <w:marRight w:val="0"/>
                                                      <w:marTop w:val="0"/>
                                                      <w:marBottom w:val="0"/>
                                                      <w:divBdr>
                                                        <w:top w:val="none" w:sz="0" w:space="0" w:color="auto"/>
                                                        <w:left w:val="none" w:sz="0" w:space="0" w:color="auto"/>
                                                        <w:bottom w:val="none" w:sz="0" w:space="0" w:color="auto"/>
                                                        <w:right w:val="none" w:sz="0" w:space="0" w:color="auto"/>
                                                      </w:divBdr>
                                                      <w:divsChild>
                                                        <w:div w:id="81606141">
                                                          <w:marLeft w:val="0"/>
                                                          <w:marRight w:val="0"/>
                                                          <w:marTop w:val="0"/>
                                                          <w:marBottom w:val="0"/>
                                                          <w:divBdr>
                                                            <w:top w:val="none" w:sz="0" w:space="0" w:color="auto"/>
                                                            <w:left w:val="none" w:sz="0" w:space="0" w:color="auto"/>
                                                            <w:bottom w:val="none" w:sz="0" w:space="0" w:color="auto"/>
                                                            <w:right w:val="none" w:sz="0" w:space="0" w:color="auto"/>
                                                          </w:divBdr>
                                                          <w:divsChild>
                                                            <w:div w:id="1012993542">
                                                              <w:marLeft w:val="0"/>
                                                              <w:marRight w:val="0"/>
                                                              <w:marTop w:val="0"/>
                                                              <w:marBottom w:val="0"/>
                                                              <w:divBdr>
                                                                <w:top w:val="none" w:sz="0" w:space="0" w:color="auto"/>
                                                                <w:left w:val="none" w:sz="0" w:space="0" w:color="auto"/>
                                                                <w:bottom w:val="none" w:sz="0" w:space="0" w:color="auto"/>
                                                                <w:right w:val="none" w:sz="0" w:space="0" w:color="auto"/>
                                                              </w:divBdr>
                                                              <w:divsChild>
                                                                <w:div w:id="14617018">
                                                                  <w:marLeft w:val="0"/>
                                                                  <w:marRight w:val="0"/>
                                                                  <w:marTop w:val="0"/>
                                                                  <w:marBottom w:val="0"/>
                                                                  <w:divBdr>
                                                                    <w:top w:val="none" w:sz="0" w:space="0" w:color="auto"/>
                                                                    <w:left w:val="none" w:sz="0" w:space="0" w:color="auto"/>
                                                                    <w:bottom w:val="none" w:sz="0" w:space="0" w:color="auto"/>
                                                                    <w:right w:val="none" w:sz="0" w:space="0" w:color="auto"/>
                                                                  </w:divBdr>
                                                                  <w:divsChild>
                                                                    <w:div w:id="154660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7168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oi.org/10.2307/1912017"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756</TotalTime>
  <Pages>22</Pages>
  <Words>6660</Words>
  <Characters>37963</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SDI 1166</cp:lastModifiedBy>
  <cp:revision>47</cp:revision>
  <dcterms:created xsi:type="dcterms:W3CDTF">2026-09-18T08:29:00Z</dcterms:created>
  <dcterms:modified xsi:type="dcterms:W3CDTF">2026-10-06T09:46:00Z</dcterms:modified>
</cp:coreProperties>
</file>