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DCDA9" w14:textId="77777777" w:rsidR="00AA1A23" w:rsidRPr="00E378B5" w:rsidRDefault="00AA1A23" w:rsidP="001421D2">
      <w:pPr>
        <w:spacing w:line="360" w:lineRule="auto"/>
        <w:jc w:val="center"/>
        <w:rPr>
          <w:rFonts w:ascii="Times New Roman" w:hAnsi="Times New Roman" w:cs="Times New Roman"/>
          <w:b/>
          <w:bCs/>
          <w:sz w:val="48"/>
          <w:szCs w:val="48"/>
        </w:rPr>
      </w:pPr>
      <w:r w:rsidRPr="00F55874">
        <w:rPr>
          <w:rFonts w:ascii="Times New Roman" w:hAnsi="Times New Roman" w:cs="Times New Roman"/>
          <w:b/>
          <w:bCs/>
          <w:sz w:val="48"/>
          <w:szCs w:val="48"/>
        </w:rPr>
        <w:t>A Statistical Study on HIV/AIDS Trends in Nizamabad District</w:t>
      </w:r>
    </w:p>
    <w:p w14:paraId="18479BA8" w14:textId="77777777" w:rsidR="00F27BB4" w:rsidRPr="00F27BB4" w:rsidRDefault="00F27BB4" w:rsidP="001421D2">
      <w:pPr>
        <w:spacing w:line="360" w:lineRule="auto"/>
        <w:jc w:val="both"/>
        <w:rPr>
          <w:rFonts w:ascii="Times New Roman" w:hAnsi="Times New Roman" w:cs="Times New Roman"/>
          <w:b/>
          <w:bCs/>
          <w:sz w:val="24"/>
          <w:szCs w:val="24"/>
        </w:rPr>
      </w:pPr>
      <w:r w:rsidRPr="00F27BB4">
        <w:rPr>
          <w:rFonts w:ascii="Times New Roman" w:hAnsi="Times New Roman" w:cs="Times New Roman"/>
          <w:b/>
          <w:bCs/>
          <w:sz w:val="24"/>
          <w:szCs w:val="24"/>
        </w:rPr>
        <w:t>Abstract</w:t>
      </w:r>
    </w:p>
    <w:p w14:paraId="0E2B4B62" w14:textId="77777777" w:rsidR="00F27BB4" w:rsidRPr="00F27BB4" w:rsidRDefault="00F27BB4" w:rsidP="001421D2">
      <w:pPr>
        <w:spacing w:line="360" w:lineRule="auto"/>
        <w:jc w:val="both"/>
        <w:rPr>
          <w:rFonts w:ascii="Times New Roman" w:hAnsi="Times New Roman" w:cs="Times New Roman"/>
          <w:sz w:val="24"/>
          <w:szCs w:val="24"/>
        </w:rPr>
      </w:pPr>
      <w:r w:rsidRPr="00F27BB4">
        <w:rPr>
          <w:rFonts w:ascii="Times New Roman" w:hAnsi="Times New Roman" w:cs="Times New Roman"/>
          <w:sz w:val="24"/>
          <w:szCs w:val="24"/>
        </w:rPr>
        <w:t xml:space="preserve">HIV/AIDS remains an important public health concern, making continuous surveillance and accessible testing essential for understanding local testing outcomes and supporting prevention planning. This study examines year-wise HIV testing, detected positive cases, and test positivity in Nizamabad District, Telangana, during five academic years, from 2020–2021 to 2024–2025. Secondary data supplied by the District AIDS Prevention and Control Unit (DAPCU), Nizamabad, were </w:t>
      </w:r>
      <w:proofErr w:type="spellStart"/>
      <w:r w:rsidRPr="00F27BB4">
        <w:rPr>
          <w:rFonts w:ascii="Times New Roman" w:hAnsi="Times New Roman" w:cs="Times New Roman"/>
          <w:sz w:val="24"/>
          <w:szCs w:val="24"/>
        </w:rPr>
        <w:t>analyzed</w:t>
      </w:r>
      <w:proofErr w:type="spellEnd"/>
      <w:r w:rsidRPr="00F27BB4">
        <w:rPr>
          <w:rFonts w:ascii="Times New Roman" w:hAnsi="Times New Roman" w:cs="Times New Roman"/>
          <w:sz w:val="24"/>
          <w:szCs w:val="24"/>
        </w:rPr>
        <w:t xml:space="preserve"> using descriptive statistics, percentage calculations, and year-wise comparisons. The findings indicate that annual testing increased from 68,978 in 2020–2021 to 129,630 in 2023–2024, while detected positive cases increased from 352 to 538. Test positivity rose from approximately 0.51% in 2020–2021 to 0.54% in 2021–2022, declined to 0.39% in 2022–2023, and increased to 0.42% in 2023–2024. The partial 2024–2025 data recorded 53,245 tests and 237 positive cases, with positivity of approximately 0.45%. Overall, the study provides a descriptive overview of recorded HIV testing outcomes and highlights the importance of accurate reporting, consistent surveillance, accessible testing, and evidence-based prevention planning. The partial final-year data and reliance on secondary records require cautious interpretation.</w:t>
      </w:r>
    </w:p>
    <w:p w14:paraId="2DF7AFCA" w14:textId="77777777" w:rsidR="00F27BB4" w:rsidRPr="00F27BB4" w:rsidRDefault="00F27BB4" w:rsidP="001421D2">
      <w:pPr>
        <w:spacing w:line="360" w:lineRule="auto"/>
        <w:jc w:val="both"/>
        <w:rPr>
          <w:rFonts w:ascii="Times New Roman" w:hAnsi="Times New Roman" w:cs="Times New Roman"/>
          <w:sz w:val="24"/>
          <w:szCs w:val="24"/>
        </w:rPr>
      </w:pPr>
      <w:r w:rsidRPr="00F27BB4">
        <w:rPr>
          <w:rFonts w:ascii="Times New Roman" w:hAnsi="Times New Roman" w:cs="Times New Roman"/>
          <w:b/>
          <w:bCs/>
          <w:sz w:val="24"/>
          <w:szCs w:val="24"/>
        </w:rPr>
        <w:t>Keywords:</w:t>
      </w:r>
      <w:r w:rsidRPr="00F27BB4">
        <w:rPr>
          <w:rFonts w:ascii="Times New Roman" w:hAnsi="Times New Roman" w:cs="Times New Roman"/>
          <w:sz w:val="24"/>
          <w:szCs w:val="24"/>
        </w:rPr>
        <w:t xml:space="preserve"> HIV/AIDS; Nizamabad District; HIV testing; test positivity; secondary data; statistical analysis; public health surveillance.</w:t>
      </w:r>
    </w:p>
    <w:p w14:paraId="121FB346"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1. Introduction</w:t>
      </w:r>
    </w:p>
    <w:p w14:paraId="652D4491"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1.1 Background of HIV/AIDS</w:t>
      </w:r>
    </w:p>
    <w:p w14:paraId="14AC5B1A"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 xml:space="preserve">Human immunodeficiency virus (HIV) is a virus that attacks the immune system, particularly CD4 cells, which play an important role in protecting the body against infections. Acquired immunodeficiency syndrome (AIDS) represents the most advanced stage of HIV infection. Without appropriate treatment, HIV can progressively weaken immune function and increase susceptibility to opportunistic infections. However, effective antiretroviral therapy (ART) enables people living with HIV to maintain their health and achieve long-term viral suppression. Early diagnosis, timely treatment, preventive interventions, and continuous </w:t>
      </w:r>
      <w:r w:rsidRPr="00BB2DD4">
        <w:rPr>
          <w:rFonts w:ascii="Times New Roman" w:hAnsi="Times New Roman" w:cs="Times New Roman"/>
          <w:sz w:val="24"/>
          <w:szCs w:val="24"/>
        </w:rPr>
        <w:lastRenderedPageBreak/>
        <w:t>monitoring are essential components of the public health response to HIV/AIDS (World Health Organization [WHO], 2024).</w:t>
      </w:r>
    </w:p>
    <w:p w14:paraId="332FA18E"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1.2 HIV/AIDS: Global and Indian Context</w:t>
      </w:r>
    </w:p>
    <w:p w14:paraId="45558566"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HIV/AIDS continues to be an important global public health concern, requiring coordinated efforts in prevention, diagnosis, treatment, and surveillance. International initiatives emphasize expanding access to HIV testing, reducing stigma and discrimination, and improving treatment coverage. In India, the National AIDS Control Programme provides a framework for HIV prevention, testing, counselling, treatment, and awareness activities. National and international reports highlight the importance of accessible testing services and reliable epidemiological information for identifying service gaps and guiding public health interventions (Joint United Nations Programme on HIV/AIDS [UNAIDS], 2024; WHO, 2024). District-level analysis can complement these broader assessments by examining local testing outcomes.</w:t>
      </w:r>
    </w:p>
    <w:p w14:paraId="7CEB7876"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1.3 Importance of District-Level Analysis</w:t>
      </w:r>
    </w:p>
    <w:p w14:paraId="707941F9"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District-level statistical analysis helps identify changes in HIV testing activity, detected positive cases, and test positivity over time. Such information can support local health planning, resource allocation, and the identification of priorities for further investigation. However, the number of positive cases depends partly on testing volume and the characteristics of individuals tested. Therefore, test positivity should not be interpreted directly as population HIV prevalence or incidence.</w:t>
      </w:r>
    </w:p>
    <w:p w14:paraId="76E4D814"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1.4 Aim and Objectives</w:t>
      </w:r>
    </w:p>
    <w:p w14:paraId="44426363"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The present study aims to statistically examine HIV testing and positive-case trends in Nizamabad District, Telangana, during 2020–2021 to 2024–2025.</w:t>
      </w:r>
    </w:p>
    <w:p w14:paraId="41EBAB00"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The objectives are:</w:t>
      </w:r>
    </w:p>
    <w:p w14:paraId="090BF745" w14:textId="77777777" w:rsidR="00BB2DD4" w:rsidRPr="00BB2DD4" w:rsidRDefault="00BB2DD4" w:rsidP="001421D2">
      <w:pPr>
        <w:numPr>
          <w:ilvl w:val="0"/>
          <w:numId w:val="1"/>
        </w:num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 xml:space="preserve">To </w:t>
      </w:r>
      <w:proofErr w:type="spellStart"/>
      <w:r w:rsidRPr="00BB2DD4">
        <w:rPr>
          <w:rFonts w:ascii="Times New Roman" w:hAnsi="Times New Roman" w:cs="Times New Roman"/>
          <w:sz w:val="24"/>
          <w:szCs w:val="24"/>
        </w:rPr>
        <w:t>analyze</w:t>
      </w:r>
      <w:proofErr w:type="spellEnd"/>
      <w:r w:rsidRPr="00BB2DD4">
        <w:rPr>
          <w:rFonts w:ascii="Times New Roman" w:hAnsi="Times New Roman" w:cs="Times New Roman"/>
          <w:sz w:val="24"/>
          <w:szCs w:val="24"/>
        </w:rPr>
        <w:t xml:space="preserve"> year-wise HIV testing and detected positive cases.</w:t>
      </w:r>
    </w:p>
    <w:p w14:paraId="2B19C47F" w14:textId="77777777" w:rsidR="00BB2DD4" w:rsidRPr="00BB2DD4" w:rsidRDefault="00BB2DD4" w:rsidP="001421D2">
      <w:pPr>
        <w:numPr>
          <w:ilvl w:val="0"/>
          <w:numId w:val="1"/>
        </w:num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To calculate and compare annual HIV test positivity rates.</w:t>
      </w:r>
    </w:p>
    <w:p w14:paraId="1693F8FB" w14:textId="77777777" w:rsidR="00BB2DD4" w:rsidRPr="00BB2DD4" w:rsidRDefault="00BB2DD4" w:rsidP="001421D2">
      <w:pPr>
        <w:numPr>
          <w:ilvl w:val="0"/>
          <w:numId w:val="1"/>
        </w:num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To discuss the implications of the observed trends for HIV surveillance, prevention, and public health planning.</w:t>
      </w:r>
    </w:p>
    <w:p w14:paraId="45C37B8B"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2. Review of Literature</w:t>
      </w:r>
    </w:p>
    <w:p w14:paraId="77674C79"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2.1 Global Evidence on HIV Testing</w:t>
      </w:r>
    </w:p>
    <w:p w14:paraId="50EDBB03"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lastRenderedPageBreak/>
        <w:t>Global research emphasizes HIV testing as a fundamental component of prevention, early diagnosis, and linkage to treatment. The Joint United Nations Programme on HIV/AIDS (UNAIDS, 2024) reported that approximately 39.9 million people were living with HIV globally in 2023, highlighting continuing challenges in treatment access and prevention. Effective testing strategies can help identify previously undiagnosed infections and facilitate timely treatment. International evidence also emphasizes equitable access to health services, confidentiality, and the reduction of stigma and discrimination. Consequently, testing data are important indicators for monitoring service delivery and identifying gaps in the HIV response.</w:t>
      </w:r>
    </w:p>
    <w:p w14:paraId="4B2C4213"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2.2 HIV/AIDS in India</w:t>
      </w:r>
    </w:p>
    <w:p w14:paraId="7BEFA086" w14:textId="77777777" w:rsidR="00222641" w:rsidRPr="00553AF8" w:rsidRDefault="00BB2DD4" w:rsidP="001421D2">
      <w:pPr>
        <w:spacing w:line="360" w:lineRule="auto"/>
        <w:jc w:val="both"/>
        <w:rPr>
          <w:rFonts w:ascii="Times New Roman" w:hAnsi="Times New Roman" w:cs="Times New Roman"/>
          <w:sz w:val="24"/>
          <w:szCs w:val="24"/>
        </w:rPr>
      </w:pPr>
      <w:r>
        <w:t>These figures demonstrate the importance of interpreting positive-case counts alongside testing volume. National HIV estimation reports provide a framework for examining geographical differences in the epidemic and contextualizing district-level observations within broader state and national patterns (NACO, 2024).</w:t>
      </w:r>
    </w:p>
    <w:p w14:paraId="32EE3BC7" w14:textId="77777777" w:rsidR="00BB2DD4" w:rsidRPr="00553AF8" w:rsidRDefault="00BB2DD4" w:rsidP="001421D2">
      <w:pPr>
        <w:spacing w:line="360" w:lineRule="auto"/>
        <w:jc w:val="both"/>
        <w:rPr>
          <w:rFonts w:ascii="Times New Roman" w:hAnsi="Times New Roman" w:cs="Times New Roman"/>
          <w:sz w:val="24"/>
          <w:szCs w:val="24"/>
        </w:rPr>
      </w:pPr>
      <w:r>
        <w:t>NACO's national and district-level HIV estimates also provide an epidemiological framework for understanding geographical variation and planning appropriate interventions (NACO, 2025).</w:t>
      </w:r>
    </w:p>
    <w:p w14:paraId="787807F2" w14:textId="77777777" w:rsidR="00222641" w:rsidRPr="00655555" w:rsidRDefault="00655555" w:rsidP="001421D2">
      <w:pPr>
        <w:spacing w:line="360" w:lineRule="auto"/>
        <w:jc w:val="both"/>
        <w:rPr>
          <w:rFonts w:ascii="Times New Roman" w:hAnsi="Times New Roman" w:cs="Times New Roman"/>
          <w:sz w:val="24"/>
          <w:szCs w:val="24"/>
        </w:rPr>
      </w:pPr>
      <w:r w:rsidRPr="00655555">
        <w:rPr>
          <w:rFonts w:ascii="Times New Roman" w:hAnsi="Times New Roman" w:cs="Times New Roman"/>
          <w:sz w:val="24"/>
          <w:szCs w:val="24"/>
        </w:rPr>
        <w:t>Population-based studies in India have also demonstrated that HIV estimates derived from population surveys can differ from those based on sentinel surveillance, highlighting the importance of considering the data source and estimation method when interpreting epidemiological indicators (</w:t>
      </w:r>
      <w:proofErr w:type="spellStart"/>
      <w:r w:rsidRPr="00655555">
        <w:rPr>
          <w:rFonts w:ascii="Times New Roman" w:hAnsi="Times New Roman" w:cs="Times New Roman"/>
          <w:sz w:val="24"/>
          <w:szCs w:val="24"/>
        </w:rPr>
        <w:t>Dandona</w:t>
      </w:r>
      <w:proofErr w:type="spellEnd"/>
      <w:r w:rsidRPr="00655555">
        <w:rPr>
          <w:rFonts w:ascii="Times New Roman" w:hAnsi="Times New Roman" w:cs="Times New Roman"/>
          <w:sz w:val="24"/>
          <w:szCs w:val="24"/>
        </w:rPr>
        <w:t xml:space="preserve"> et al., 2006).</w:t>
      </w:r>
      <w:r w:rsidRPr="00553AF8">
        <w:rPr>
          <w:rFonts w:ascii="Times New Roman" w:hAnsi="Times New Roman" w:cs="Times New Roman"/>
          <w:sz w:val="24"/>
          <w:szCs w:val="24"/>
        </w:rPr>
        <w:t xml:space="preserve"> </w:t>
      </w:r>
      <w:r w:rsidRPr="00655555">
        <w:rPr>
          <w:rFonts w:ascii="Times New Roman" w:hAnsi="Times New Roman" w:cs="Times New Roman"/>
          <w:sz w:val="24"/>
          <w:szCs w:val="24"/>
        </w:rPr>
        <w:t>Integrated surveillance systems can strengthen the monitoring of HIV and related infections by supporting systematic data collection, epidemiological assessment, and evidence-based public health planning (Kumar et al., 2025).</w:t>
      </w:r>
    </w:p>
    <w:p w14:paraId="2FD5DA22"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2.3 Evidence from Telangana and Comparable Districts</w:t>
      </w:r>
    </w:p>
    <w:p w14:paraId="3A1E10B6" w14:textId="77777777" w:rsidR="00655555"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 xml:space="preserve">Official HIV estimation reports provide evidence of geographical variation in India's HIV epidemic, including differences between districts within Telangana. </w:t>
      </w:r>
      <w:r w:rsidR="00052D96" w:rsidRPr="00553AF8">
        <w:rPr>
          <w:rFonts w:ascii="Times New Roman" w:hAnsi="Times New Roman" w:cs="Times New Roman"/>
          <w:sz w:val="24"/>
          <w:szCs w:val="24"/>
        </w:rPr>
        <w:t xml:space="preserve">District-level HIV estimation research in India has demonstrated the value of geographically disaggregated analysis for understanding variations that may not be apparent from national-level estimates alone (Kumar et al., 2021). </w:t>
      </w:r>
      <w:r w:rsidRPr="00BB2DD4">
        <w:rPr>
          <w:rFonts w:ascii="Times New Roman" w:hAnsi="Times New Roman" w:cs="Times New Roman"/>
          <w:sz w:val="24"/>
          <w:szCs w:val="24"/>
        </w:rPr>
        <w:t xml:space="preserve">NACO's district-level estimates illustrate the importance of examining local epidemiological indicators rather than relying exclusively on national averages (NACO, 2025). Government reporting also identifies Telangana among the states reporting HIV positivity above the national average in the specified testing-service dataset (Ministry of </w:t>
      </w:r>
      <w:r w:rsidRPr="00BB2DD4">
        <w:rPr>
          <w:rFonts w:ascii="Times New Roman" w:hAnsi="Times New Roman" w:cs="Times New Roman"/>
          <w:sz w:val="24"/>
          <w:szCs w:val="24"/>
        </w:rPr>
        <w:lastRenderedPageBreak/>
        <w:t>Health and Family Welfare, 2024). However, state-level estimates and routine testing records represent different indicators and should not be treated as directly interchangeable. The supplied Nizamabad data provide an opportunity to examine local changes in testing activity, detected positive cases, and annual test positivity over five academic years.</w:t>
      </w:r>
    </w:p>
    <w:p w14:paraId="2E73DF19"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2.4 Research Gap</w:t>
      </w:r>
    </w:p>
    <w:p w14:paraId="2E4298C7" w14:textId="77777777"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National and state-level HIV reports provide important estimates of the epidemic, but these indicators do not necessarily describe routine testing outcomes in an individual district. The available Nizamabad records provide annual counts of tests and detected positive cases, allowing test positivity to be calculated consistently across the reporting periods.</w:t>
      </w:r>
    </w:p>
    <w:p w14:paraId="4BEBC3D6" w14:textId="77777777"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The analytical gap addressed here is the lack of a consolidated, year-wise description of the supplied district-level records for 2020–2021 through 2024–2025, including testing volume, detected positive cases, test positivity, and cases per 1,000 tests. This study does not assume that no earlier district-specific analysis exists; establishing broader novelty would require a documented search of published and administrative sources.</w:t>
      </w:r>
    </w:p>
    <w:p w14:paraId="2EC4D5C4" w14:textId="77777777"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The study contributes a transparent descriptive summary of the available local data and distinguishes changes in testing volume from changes in the proportion of positive tests. The partial 2024–2025 reporting period is identified explicitly to avoid misleading full-year comparisons.</w:t>
      </w:r>
    </w:p>
    <w:p w14:paraId="50497EB1"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3. Materials and Methods</w:t>
      </w:r>
    </w:p>
    <w:p w14:paraId="2E8E38E0"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3.1 Research Design</w:t>
      </w:r>
    </w:p>
    <w:p w14:paraId="2128A46C"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The present study adopts a literature-informed descriptive statistical design based on secondary data. It examines annual HIV testing, detected positive cases, and test positivity in Nizamabad District. Relevant government reports and published literature provide the background for interpreting the observed trends.</w:t>
      </w:r>
    </w:p>
    <w:p w14:paraId="2F387BCE"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3.2 Study Area and Period</w:t>
      </w:r>
    </w:p>
    <w:p w14:paraId="24F26CFF"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The study focuses on Nizamabad District, Telangana, India. The analysis covers five academic years, from 2020–2021 to 2024–2025. The data for 2024–2025 are partial, covering the period up to October, as indicated in the supplied records. This limitation is considered when comparing annual figures.</w:t>
      </w:r>
    </w:p>
    <w:p w14:paraId="034C4057"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3.3 Data Source and Variables</w:t>
      </w:r>
    </w:p>
    <w:p w14:paraId="1F4D0AF2"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lastRenderedPageBreak/>
        <w:t>The study uses aggregate secondary data supplied from the District AIDS Prevention and Control Unit (DAPCU), Nizamabad. The principal variables include the annual number of HIV tests conducted, the number of HIV-positive cases detected, and the corresponding positivity percentage. The figures were organized by academic year for comparison. The source records should be checked against the original administrative documents wherever available to ensure accuracy and consistency. No individual-level information was used in the analysis.</w:t>
      </w:r>
    </w:p>
    <w:p w14:paraId="69A9A860"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3.4 Statistical Analysis and Formulas</w:t>
      </w:r>
    </w:p>
    <w:p w14:paraId="2CAD6024" w14:textId="77777777"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Descriptive statistics were used to summarize annual HIV testing, detected positive cases, and test positivity in Nizamabad District. Calculations were based on aggregate counts supplied by DAPCU, Nizamabad. Rates were calculated from unrounded counts and rounded only for presentation.</w:t>
      </w:r>
    </w:p>
    <w:p w14:paraId="0B6516E8" w14:textId="3865A927" w:rsidR="000063CB" w:rsidRPr="000063CB" w:rsidRDefault="000063CB" w:rsidP="001421D2">
      <w:pPr>
        <w:spacing w:line="360" w:lineRule="auto"/>
        <w:jc w:val="both"/>
        <w:rPr>
          <w:rFonts w:ascii="Times New Roman" w:hAnsi="Times New Roman" w:cs="Times New Roman"/>
          <w:sz w:val="24"/>
          <w:szCs w:val="24"/>
        </w:rPr>
      </w:pPr>
      <m:oMathPara>
        <m:oMathParaPr>
          <m:jc m:val="center"/>
        </m:oMathParaPr>
        <m:oMath>
          <m:r>
            <w:rPr>
              <w:rFonts w:ascii="Cambria Math" w:hAnsi="Cambria Math" w:cs="Times New Roman"/>
              <w:sz w:val="24"/>
              <w:szCs w:val="24"/>
            </w:rPr>
            <m:t xml:space="preserve">Annual test Positivity </m:t>
          </m:r>
          <m:d>
            <m:dPr>
              <m:ctrlPr>
                <w:rPr>
                  <w:rFonts w:ascii="Cambria Math" w:hAnsi="Cambria Math" w:cs="Times New Roman"/>
                  <w:i/>
                  <w:sz w:val="24"/>
                  <w:szCs w:val="24"/>
                </w:rPr>
              </m:ctrlPr>
            </m:dPr>
            <m:e>
              <m:r>
                <w:rPr>
                  <w:rFonts w:ascii="Cambria Math" w:hAnsi="Cambria Math" w:cs="Times New Roman"/>
                  <w:sz w:val="24"/>
                  <w:szCs w:val="24"/>
                </w:rPr>
                <m:t>%</m:t>
              </m:r>
            </m:e>
          </m:d>
          <m:r>
            <w:rPr>
              <w:rFonts w:ascii="Cambria Math" w:hAnsi="Cambria Math"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r>
                    <m:rPr>
                      <m:sty m:val="p"/>
                    </m:rPr>
                    <w:rPr>
                      <w:rFonts w:ascii="Cambria Math" w:hAnsi="Cambria Math" w:cs="Times New Roman"/>
                      <w:sz w:val="24"/>
                      <w:szCs w:val="24"/>
                    </w:rPr>
                    <m:t xml:space="preserve">HIV-positive cases detected </m:t>
                  </m:r>
                </m:num>
                <m:den>
                  <m:r>
                    <m:rPr>
                      <m:sty m:val="p"/>
                    </m:rPr>
                    <w:rPr>
                      <w:rFonts w:ascii="Cambria Math" w:hAnsi="Cambria Math" w:cs="Times New Roman"/>
                      <w:sz w:val="24"/>
                      <w:szCs w:val="24"/>
                    </w:rPr>
                    <m:t>HIV tests conducted</m:t>
                  </m:r>
                </m:den>
              </m:f>
            </m:e>
          </m:d>
          <m:r>
            <w:rPr>
              <w:rFonts w:ascii="Cambria Math" w:hAnsi="Cambria Math" w:cs="Times New Roman"/>
              <w:sz w:val="24"/>
              <w:szCs w:val="24"/>
            </w:rPr>
            <m:t>×100</m:t>
          </m:r>
        </m:oMath>
      </m:oMathPara>
    </w:p>
    <w:p w14:paraId="124E02D2" w14:textId="2F043F51"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This is the proportion of reported tests yielding positive results; it is not a population prevalence or incidence estimate.</w:t>
      </w:r>
    </w:p>
    <w:p w14:paraId="77A0DD07" w14:textId="7621600C" w:rsidR="000063CB" w:rsidRPr="000063CB" w:rsidRDefault="000063CB" w:rsidP="001421D2">
      <w:pPr>
        <w:spacing w:line="360" w:lineRule="auto"/>
        <w:jc w:val="both"/>
        <w:rPr>
          <w:rFonts w:ascii="Times New Roman" w:hAnsi="Times New Roman" w:cs="Times New Roman"/>
          <w:sz w:val="24"/>
          <w:szCs w:val="24"/>
        </w:rPr>
      </w:pPr>
      <m:oMathPara>
        <m:oMathParaPr>
          <m:jc m:val="center"/>
        </m:oMathParaPr>
        <m:oMath>
          <m:r>
            <m:rPr>
              <m:sty m:val="p"/>
            </m:rPr>
            <w:rPr>
              <w:rFonts w:ascii="Cambria Math" w:hAnsi="Cambria Math" w:cs="Times New Roman"/>
              <w:sz w:val="24"/>
              <w:szCs w:val="24"/>
            </w:rPr>
            <m:t>Positive cases per 1,000 tests</m:t>
          </m:r>
          <m:r>
            <m:rPr>
              <m:sty m:val="p"/>
            </m:rPr>
            <w:rPr>
              <w:rFonts w:ascii="Cambria Math" w:hAnsi="Times New Roman"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r>
                    <m:rPr>
                      <m:sty m:val="p"/>
                    </m:rPr>
                    <w:rPr>
                      <w:rFonts w:ascii="Cambria Math" w:hAnsi="Cambria Math" w:cs="Times New Roman"/>
                      <w:sz w:val="24"/>
                      <w:szCs w:val="24"/>
                    </w:rPr>
                    <m:t xml:space="preserve">HIV-positive cases detected </m:t>
                  </m:r>
                </m:num>
                <m:den>
                  <m:r>
                    <m:rPr>
                      <m:sty m:val="p"/>
                    </m:rPr>
                    <w:rPr>
                      <w:rFonts w:ascii="Cambria Math" w:hAnsi="Cambria Math" w:cs="Times New Roman"/>
                      <w:sz w:val="24"/>
                      <w:szCs w:val="24"/>
                    </w:rPr>
                    <m:t>HIV tests conducted</m:t>
                  </m:r>
                </m:den>
              </m:f>
            </m:e>
          </m:d>
          <m:r>
            <w:rPr>
              <w:rFonts w:ascii="Cambria Math" w:hAnsi="Cambria Math" w:cs="Times New Roman"/>
              <w:sz w:val="24"/>
              <w:szCs w:val="24"/>
            </w:rPr>
            <m:t>×1,000</m:t>
          </m:r>
        </m:oMath>
      </m:oMathPara>
    </w:p>
    <w:p w14:paraId="55CEFF8A" w14:textId="0F513604"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This expresses the test yield on a different scale and is not an independent measure of population risk.</w:t>
      </w:r>
    </w:p>
    <w:p w14:paraId="358645D1" w14:textId="2C725DA7" w:rsidR="000063CB" w:rsidRDefault="000063CB" w:rsidP="001421D2">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 xml:space="preserve">Year on year % change </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(current year value-previous year value)</m:t>
                  </m:r>
                </m:num>
                <m:den>
                  <m:r>
                    <w:rPr>
                      <w:rFonts w:ascii="Cambria Math" w:hAnsi="Cambria Math" w:cs="Times New Roman"/>
                      <w:sz w:val="24"/>
                      <w:szCs w:val="24"/>
                    </w:rPr>
                    <m:t>previous year value</m:t>
                  </m:r>
                </m:den>
              </m:f>
            </m:e>
          </m:d>
          <m:r>
            <w:rPr>
              <w:rFonts w:ascii="Cambria Math" w:hAnsi="Cambria Math" w:cs="Times New Roman"/>
              <w:sz w:val="24"/>
              <w:szCs w:val="24"/>
            </w:rPr>
            <m:t>× 100</m:t>
          </m:r>
        </m:oMath>
      </m:oMathPara>
    </w:p>
    <w:p w14:paraId="012E3564" w14:textId="532A201E"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It was calculated for testing volume and positive-case counts only when periods were comparable. No year-on-year change is interpreted for 2024–2025 because those data cover only the period through October.</w:t>
      </w:r>
    </w:p>
    <w:p w14:paraId="64C2F227" w14:textId="77777777"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The pooled positivity rate was calculated by dividing the sum of positive cases by the sum of tests, rather than by taking the unweighted mean of annual percentages. Across the five reporting periods, 1,983 positive cases among 441,837 tests yield a pooled positivity of 0.4488%, or 0.45% rounded to two decimal places.</w:t>
      </w:r>
    </w:p>
    <w:p w14:paraId="25D09E2F" w14:textId="77777777" w:rsidR="00AB2B44" w:rsidRDefault="00000000" w:rsidP="001421D2">
      <w:pPr>
        <w:spacing w:line="360" w:lineRule="auto"/>
        <w:jc w:val="both"/>
      </w:pPr>
      <w:r w:rsidRPr="000063CB">
        <w:rPr>
          <w:rFonts w:ascii="Times New Roman" w:hAnsi="Times New Roman" w:cs="Times New Roman"/>
          <w:sz w:val="24"/>
          <w:szCs w:val="24"/>
        </w:rPr>
        <w:t>Results are presented in tables and three figures: annual testing volume, annual detected positive cases, and annual test positivity. The incomplete final reporting period is included for descriptive context but is not treated as a full-year observation.</w:t>
      </w:r>
    </w:p>
    <w:p w14:paraId="4F51321D"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lastRenderedPageBreak/>
        <w:t>3.5 Ethical Considerations and Data Protection</w:t>
      </w:r>
    </w:p>
    <w:p w14:paraId="78FC4F7C"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The analysis uses aggregate data without personal identifiers. The applicable requirements for institutional ethical approval, administrative permission, and data access should be verified before publication. Any approval or exemption statement will reflect the actual institutional decision and documented permissions. Confidentiality and responsible use of the administrative data are maintained throughout the study.</w:t>
      </w:r>
    </w:p>
    <w:p w14:paraId="028236CC"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4. Results</w:t>
      </w:r>
    </w:p>
    <w:p w14:paraId="587CCF34"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4.1 Year-Wise HIV Testing</w:t>
      </w:r>
    </w:p>
    <w:p w14:paraId="4725E658"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The annual HIV testing data indicate variations in testing activity in Nizamabad District during the study period. A total of 68,978 tests were conducted in 2020–2021, increasing to 75,171 in 2021–2022. Testing increased substantially to 114,813 in 2022–2023 and reached its highest recorded level of 129,630 in 2023–2024. In 2024–2025, 53,245 tests were recorded up to October. Because this figure represents a partial year, it should not be directly compared with the preceding complete academic years. The observed changes describe testing activity rather than population-level HIV prevalence.</w:t>
      </w:r>
    </w:p>
    <w:p w14:paraId="14029065"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4.2 Year-Wise HIV-Positive Cases</w:t>
      </w:r>
    </w:p>
    <w:p w14:paraId="416A1EAD"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The number of HIV-positive cases detected increased from 352 in 2020–2021 to 405 in 2021–2022. The recorded count rose to 451 in 2022–2023 and reached a maximum of 538 in 2023–2024. During the partial 2024–2025 reporting period, 237 positive cases were recorded. These figures describe positive cases identified through the reported testing activity. The increase observed through 2023–2024 cannot, by itself, establish an increase in HIV transmission because the number and characteristics of individuals tested may influence case detection.</w:t>
      </w:r>
    </w:p>
    <w:p w14:paraId="1F279E3A"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4.3 Changes in HIV Test Positivity</w:t>
      </w:r>
    </w:p>
    <w:p w14:paraId="4DEDE692"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Calculated from the supplied testing and positive-case counts, the positivity rate was approximately 0.51% in 2020–2021 and increased to 0.54% in 2021–2022. It subsequently declined to 0.39% in 2022–2023 before rising to 0.42% in 2023–2024. The partial 2024–2025 data indicate a positivity rate of approximately 0.45%. These results demonstrate fluctuations in the proportion of tests yielding positive results. The observed pattern should be interpreted cautiously because differences in testing coverage, population characteristics, and reporting periods may influence annual positivity.</w:t>
      </w:r>
    </w:p>
    <w:p w14:paraId="3AB33E2A"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lastRenderedPageBreak/>
        <w:t>4.4 Overall Statistical Summary</w:t>
      </w:r>
    </w:p>
    <w:p w14:paraId="0964A3E8" w14:textId="77777777" w:rsidR="00BB2DD4" w:rsidRPr="00DF0DEB" w:rsidRDefault="00BB2DD4" w:rsidP="001421D2">
      <w:pPr>
        <w:spacing w:line="360" w:lineRule="auto"/>
        <w:jc w:val="both"/>
        <w:rPr>
          <w:rFonts w:ascii="Times New Roman" w:hAnsi="Times New Roman" w:cs="Times New Roman"/>
          <w:sz w:val="24"/>
          <w:szCs w:val="24"/>
        </w:rPr>
      </w:pPr>
      <w:r w:rsidRPr="00DF0DEB">
        <w:rPr>
          <w:rFonts w:ascii="Times New Roman" w:hAnsi="Times New Roman" w:cs="Times New Roman"/>
          <w:sz w:val="24"/>
          <w:szCs w:val="24"/>
        </w:rPr>
        <w:t>The overall positivity rate, calculated by dividing total positive cases by total tests, was 0.4488% (approximately 0.45%). The mean number of tests across the five reported periods was 88,367.4, while the mean number of detected positive cases was 396.6. These averages include the partial 2024–2025 figures and do not represent average complete-year activity.</w:t>
      </w:r>
    </w:p>
    <w:p w14:paraId="74F0BC2B" w14:textId="77777777" w:rsidR="00BB2DD4" w:rsidRPr="00553AF8"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Table 1. Year-wise HIV testing, positive cases, and test positivity</w:t>
      </w:r>
    </w:p>
    <w:tbl>
      <w:tblPr>
        <w:tblStyle w:val="TableGrid"/>
        <w:tblW w:w="0" w:type="auto"/>
        <w:jc w:val="center"/>
        <w:tblLook w:val="0000" w:firstRow="0" w:lastRow="0" w:firstColumn="0" w:lastColumn="0" w:noHBand="0" w:noVBand="0"/>
      </w:tblPr>
      <w:tblGrid>
        <w:gridCol w:w="1743"/>
        <w:gridCol w:w="1863"/>
        <w:gridCol w:w="1596"/>
        <w:gridCol w:w="1636"/>
      </w:tblGrid>
      <w:tr w:rsidR="00401A3E" w:rsidRPr="00553AF8" w14:paraId="0D2D4F11" w14:textId="77777777" w:rsidTr="00401A3E">
        <w:trPr>
          <w:jc w:val="center"/>
        </w:trPr>
        <w:tc>
          <w:tcPr>
            <w:tcW w:w="0" w:type="auto"/>
            <w:vAlign w:val="center"/>
          </w:tcPr>
          <w:p w14:paraId="526FA300"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Academic year</w:t>
            </w:r>
          </w:p>
        </w:tc>
        <w:tc>
          <w:tcPr>
            <w:tcW w:w="0" w:type="auto"/>
            <w:vAlign w:val="center"/>
          </w:tcPr>
          <w:p w14:paraId="1FCD07B3"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Tests conducted</w:t>
            </w:r>
          </w:p>
        </w:tc>
        <w:tc>
          <w:tcPr>
            <w:tcW w:w="0" w:type="auto"/>
            <w:vAlign w:val="center"/>
          </w:tcPr>
          <w:p w14:paraId="17AD298F"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Positive cases</w:t>
            </w:r>
          </w:p>
        </w:tc>
        <w:tc>
          <w:tcPr>
            <w:tcW w:w="0" w:type="auto"/>
            <w:vAlign w:val="center"/>
          </w:tcPr>
          <w:p w14:paraId="69200A05"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Positivity (%)</w:t>
            </w:r>
          </w:p>
        </w:tc>
      </w:tr>
      <w:tr w:rsidR="00401A3E" w:rsidRPr="00553AF8" w14:paraId="3BB4202D" w14:textId="77777777" w:rsidTr="00401A3E">
        <w:trPr>
          <w:jc w:val="center"/>
        </w:trPr>
        <w:tc>
          <w:tcPr>
            <w:tcW w:w="0" w:type="auto"/>
            <w:vAlign w:val="center"/>
          </w:tcPr>
          <w:p w14:paraId="1E3EEC36" w14:textId="77777777" w:rsidR="00401A3E" w:rsidRPr="00553AF8" w:rsidRDefault="00401A3E"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2020–21</w:t>
            </w:r>
          </w:p>
        </w:tc>
        <w:tc>
          <w:tcPr>
            <w:tcW w:w="0" w:type="auto"/>
            <w:vAlign w:val="center"/>
          </w:tcPr>
          <w:p w14:paraId="6EF88D76" w14:textId="77777777" w:rsidR="00401A3E" w:rsidRPr="00553AF8" w:rsidRDefault="00401A3E"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68,978</w:t>
            </w:r>
          </w:p>
        </w:tc>
        <w:tc>
          <w:tcPr>
            <w:tcW w:w="0" w:type="auto"/>
            <w:vAlign w:val="center"/>
          </w:tcPr>
          <w:p w14:paraId="5057CA66" w14:textId="77777777" w:rsidR="00401A3E" w:rsidRPr="00553AF8" w:rsidRDefault="00401A3E"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352</w:t>
            </w:r>
          </w:p>
        </w:tc>
        <w:tc>
          <w:tcPr>
            <w:tcW w:w="0" w:type="auto"/>
            <w:vAlign w:val="center"/>
          </w:tcPr>
          <w:p w14:paraId="52FC7F7F" w14:textId="77777777" w:rsidR="00401A3E" w:rsidRPr="00553AF8" w:rsidRDefault="00401A3E"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0.51</w:t>
            </w:r>
          </w:p>
        </w:tc>
      </w:tr>
      <w:tr w:rsidR="00401A3E" w:rsidRPr="00553AF8" w14:paraId="5B99077D" w14:textId="77777777" w:rsidTr="00401A3E">
        <w:trPr>
          <w:jc w:val="center"/>
        </w:trPr>
        <w:tc>
          <w:tcPr>
            <w:tcW w:w="0" w:type="auto"/>
            <w:vAlign w:val="center"/>
          </w:tcPr>
          <w:p w14:paraId="08432D8D"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2021–22</w:t>
            </w:r>
          </w:p>
        </w:tc>
        <w:tc>
          <w:tcPr>
            <w:tcW w:w="0" w:type="auto"/>
            <w:vAlign w:val="center"/>
          </w:tcPr>
          <w:p w14:paraId="14372D7A"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75,171</w:t>
            </w:r>
          </w:p>
        </w:tc>
        <w:tc>
          <w:tcPr>
            <w:tcW w:w="0" w:type="auto"/>
            <w:vAlign w:val="center"/>
          </w:tcPr>
          <w:p w14:paraId="23D85E17"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405</w:t>
            </w:r>
          </w:p>
        </w:tc>
        <w:tc>
          <w:tcPr>
            <w:tcW w:w="0" w:type="auto"/>
            <w:vAlign w:val="center"/>
          </w:tcPr>
          <w:p w14:paraId="3E9E57BF"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0.54</w:t>
            </w:r>
          </w:p>
        </w:tc>
      </w:tr>
      <w:tr w:rsidR="00401A3E" w:rsidRPr="00553AF8" w14:paraId="7A71D8AD" w14:textId="77777777" w:rsidTr="00401A3E">
        <w:trPr>
          <w:jc w:val="center"/>
        </w:trPr>
        <w:tc>
          <w:tcPr>
            <w:tcW w:w="0" w:type="auto"/>
            <w:vAlign w:val="center"/>
          </w:tcPr>
          <w:p w14:paraId="18C11CBB"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2022–23</w:t>
            </w:r>
          </w:p>
        </w:tc>
        <w:tc>
          <w:tcPr>
            <w:tcW w:w="0" w:type="auto"/>
            <w:vAlign w:val="center"/>
          </w:tcPr>
          <w:p w14:paraId="4377EF00"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1,14,813</w:t>
            </w:r>
          </w:p>
        </w:tc>
        <w:tc>
          <w:tcPr>
            <w:tcW w:w="0" w:type="auto"/>
            <w:vAlign w:val="center"/>
          </w:tcPr>
          <w:p w14:paraId="6B18AE43"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451</w:t>
            </w:r>
          </w:p>
        </w:tc>
        <w:tc>
          <w:tcPr>
            <w:tcW w:w="0" w:type="auto"/>
            <w:vAlign w:val="center"/>
          </w:tcPr>
          <w:p w14:paraId="2CE22352"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0.39</w:t>
            </w:r>
          </w:p>
        </w:tc>
      </w:tr>
      <w:tr w:rsidR="00401A3E" w:rsidRPr="00553AF8" w14:paraId="63A33660" w14:textId="77777777" w:rsidTr="00401A3E">
        <w:trPr>
          <w:jc w:val="center"/>
        </w:trPr>
        <w:tc>
          <w:tcPr>
            <w:tcW w:w="0" w:type="auto"/>
            <w:vAlign w:val="center"/>
          </w:tcPr>
          <w:p w14:paraId="7C926785"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2023–24</w:t>
            </w:r>
          </w:p>
        </w:tc>
        <w:tc>
          <w:tcPr>
            <w:tcW w:w="0" w:type="auto"/>
            <w:vAlign w:val="center"/>
          </w:tcPr>
          <w:p w14:paraId="179A5121"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1,29,630</w:t>
            </w:r>
          </w:p>
        </w:tc>
        <w:tc>
          <w:tcPr>
            <w:tcW w:w="0" w:type="auto"/>
            <w:vAlign w:val="center"/>
          </w:tcPr>
          <w:p w14:paraId="1627238D"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538</w:t>
            </w:r>
          </w:p>
        </w:tc>
        <w:tc>
          <w:tcPr>
            <w:tcW w:w="0" w:type="auto"/>
            <w:vAlign w:val="center"/>
          </w:tcPr>
          <w:p w14:paraId="768B936A"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0.42</w:t>
            </w:r>
          </w:p>
        </w:tc>
      </w:tr>
      <w:tr w:rsidR="00401A3E" w:rsidRPr="00553AF8" w14:paraId="64EE4401" w14:textId="77777777" w:rsidTr="00401A3E">
        <w:trPr>
          <w:jc w:val="center"/>
        </w:trPr>
        <w:tc>
          <w:tcPr>
            <w:tcW w:w="0" w:type="auto"/>
            <w:vAlign w:val="center"/>
          </w:tcPr>
          <w:p w14:paraId="0769FE3C"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2024–25*</w:t>
            </w:r>
          </w:p>
        </w:tc>
        <w:tc>
          <w:tcPr>
            <w:tcW w:w="0" w:type="auto"/>
            <w:vAlign w:val="center"/>
          </w:tcPr>
          <w:p w14:paraId="084AF2DB"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53,245</w:t>
            </w:r>
          </w:p>
        </w:tc>
        <w:tc>
          <w:tcPr>
            <w:tcW w:w="0" w:type="auto"/>
            <w:vAlign w:val="center"/>
          </w:tcPr>
          <w:p w14:paraId="3E5371BB"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237</w:t>
            </w:r>
          </w:p>
        </w:tc>
        <w:tc>
          <w:tcPr>
            <w:tcW w:w="0" w:type="auto"/>
            <w:vAlign w:val="center"/>
          </w:tcPr>
          <w:p w14:paraId="223EF94A"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0.45</w:t>
            </w:r>
          </w:p>
        </w:tc>
      </w:tr>
      <w:tr w:rsidR="00401A3E" w:rsidRPr="00553AF8" w14:paraId="39C06160" w14:textId="77777777" w:rsidTr="00401A3E">
        <w:trPr>
          <w:jc w:val="center"/>
        </w:trPr>
        <w:tc>
          <w:tcPr>
            <w:tcW w:w="0" w:type="auto"/>
            <w:vAlign w:val="center"/>
          </w:tcPr>
          <w:p w14:paraId="23B3B614"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Total</w:t>
            </w:r>
          </w:p>
        </w:tc>
        <w:tc>
          <w:tcPr>
            <w:tcW w:w="0" w:type="auto"/>
            <w:vAlign w:val="center"/>
          </w:tcPr>
          <w:p w14:paraId="405CDD54"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4,41,837</w:t>
            </w:r>
          </w:p>
        </w:tc>
        <w:tc>
          <w:tcPr>
            <w:tcW w:w="0" w:type="auto"/>
            <w:vAlign w:val="center"/>
          </w:tcPr>
          <w:p w14:paraId="45A3C4F8"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1,983</w:t>
            </w:r>
          </w:p>
        </w:tc>
        <w:tc>
          <w:tcPr>
            <w:tcW w:w="0" w:type="auto"/>
            <w:vAlign w:val="center"/>
          </w:tcPr>
          <w:p w14:paraId="36C835B0" w14:textId="77777777" w:rsidR="00401A3E" w:rsidRPr="00553AF8" w:rsidRDefault="00401A3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0.45</w:t>
            </w:r>
          </w:p>
        </w:tc>
      </w:tr>
    </w:tbl>
    <w:p w14:paraId="246481CF"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Note. The 2024–2025 figures are partial, through October. Positivity is calculated from the supplied counts and rounded to two decimal places. Source: DAPCU, Nizamabad, records supplied for the study.</w:t>
      </w:r>
    </w:p>
    <w:p w14:paraId="3ED4A52F" w14:textId="77777777" w:rsidR="00BB2DD4" w:rsidRPr="00553AF8"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Table 2. Additional descriptive statistical indicators</w:t>
      </w:r>
    </w:p>
    <w:tbl>
      <w:tblPr>
        <w:tblStyle w:val="TableGrid"/>
        <w:tblW w:w="0" w:type="auto"/>
        <w:tblInd w:w="62" w:type="dxa"/>
        <w:tblLook w:val="0000" w:firstRow="0" w:lastRow="0" w:firstColumn="0" w:lastColumn="0" w:noHBand="0" w:noVBand="0"/>
      </w:tblPr>
      <w:tblGrid>
        <w:gridCol w:w="1688"/>
        <w:gridCol w:w="2164"/>
        <w:gridCol w:w="2142"/>
        <w:gridCol w:w="2960"/>
      </w:tblGrid>
      <w:tr w:rsidR="00E40D9E" w:rsidRPr="00553AF8" w14:paraId="595BABCC" w14:textId="77777777" w:rsidTr="00636D9B">
        <w:tc>
          <w:tcPr>
            <w:tcW w:w="0" w:type="auto"/>
            <w:vAlign w:val="center"/>
          </w:tcPr>
          <w:p w14:paraId="7ED1E4BF"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Academic year</w:t>
            </w:r>
          </w:p>
        </w:tc>
        <w:tc>
          <w:tcPr>
            <w:tcW w:w="0" w:type="auto"/>
            <w:vAlign w:val="center"/>
          </w:tcPr>
          <w:p w14:paraId="55416A12"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Cases per 1,000 tests</w:t>
            </w:r>
          </w:p>
        </w:tc>
        <w:tc>
          <w:tcPr>
            <w:tcW w:w="0" w:type="auto"/>
            <w:vAlign w:val="center"/>
          </w:tcPr>
          <w:p w14:paraId="498F29F4"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Change in tests (%)</w:t>
            </w:r>
          </w:p>
        </w:tc>
        <w:tc>
          <w:tcPr>
            <w:tcW w:w="0" w:type="auto"/>
            <w:vAlign w:val="center"/>
          </w:tcPr>
          <w:p w14:paraId="14494152"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Change in positive cases (%)</w:t>
            </w:r>
          </w:p>
        </w:tc>
      </w:tr>
      <w:tr w:rsidR="00E40D9E" w:rsidRPr="00553AF8" w14:paraId="2824DE24" w14:textId="77777777" w:rsidTr="00636D9B">
        <w:tc>
          <w:tcPr>
            <w:tcW w:w="0" w:type="auto"/>
            <w:vAlign w:val="center"/>
          </w:tcPr>
          <w:p w14:paraId="2CDA961D" w14:textId="77777777" w:rsidR="00E40D9E" w:rsidRPr="00553AF8" w:rsidRDefault="00E40D9E"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2020–21</w:t>
            </w:r>
          </w:p>
        </w:tc>
        <w:tc>
          <w:tcPr>
            <w:tcW w:w="0" w:type="auto"/>
            <w:vAlign w:val="center"/>
          </w:tcPr>
          <w:p w14:paraId="58BDAAAE" w14:textId="77777777" w:rsidR="00E40D9E" w:rsidRPr="00553AF8" w:rsidRDefault="00E40D9E"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5.10</w:t>
            </w:r>
          </w:p>
        </w:tc>
        <w:tc>
          <w:tcPr>
            <w:tcW w:w="0" w:type="auto"/>
            <w:vAlign w:val="center"/>
          </w:tcPr>
          <w:p w14:paraId="7F49AE5F" w14:textId="77777777" w:rsidR="00E40D9E" w:rsidRPr="00553AF8" w:rsidRDefault="00E40D9E"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w:t>
            </w:r>
          </w:p>
        </w:tc>
        <w:tc>
          <w:tcPr>
            <w:tcW w:w="0" w:type="auto"/>
            <w:vAlign w:val="center"/>
          </w:tcPr>
          <w:p w14:paraId="48B3788F" w14:textId="77777777" w:rsidR="00E40D9E" w:rsidRPr="00553AF8" w:rsidRDefault="00E40D9E"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w:t>
            </w:r>
          </w:p>
        </w:tc>
      </w:tr>
      <w:tr w:rsidR="00E40D9E" w:rsidRPr="00553AF8" w14:paraId="4859BB12" w14:textId="77777777" w:rsidTr="00636D9B">
        <w:tc>
          <w:tcPr>
            <w:tcW w:w="0" w:type="auto"/>
            <w:vAlign w:val="center"/>
          </w:tcPr>
          <w:p w14:paraId="296ADCE7"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2021–22</w:t>
            </w:r>
          </w:p>
        </w:tc>
        <w:tc>
          <w:tcPr>
            <w:tcW w:w="0" w:type="auto"/>
            <w:vAlign w:val="center"/>
          </w:tcPr>
          <w:p w14:paraId="03A94AE3"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5.39</w:t>
            </w:r>
          </w:p>
        </w:tc>
        <w:tc>
          <w:tcPr>
            <w:tcW w:w="0" w:type="auto"/>
            <w:vAlign w:val="center"/>
          </w:tcPr>
          <w:p w14:paraId="10AA8616"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+8.98</w:t>
            </w:r>
          </w:p>
        </w:tc>
        <w:tc>
          <w:tcPr>
            <w:tcW w:w="0" w:type="auto"/>
            <w:vAlign w:val="center"/>
          </w:tcPr>
          <w:p w14:paraId="78E6C67E"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+15.06</w:t>
            </w:r>
          </w:p>
        </w:tc>
      </w:tr>
      <w:tr w:rsidR="00E40D9E" w:rsidRPr="00553AF8" w14:paraId="3BB62C8E" w14:textId="77777777" w:rsidTr="00636D9B">
        <w:tc>
          <w:tcPr>
            <w:tcW w:w="0" w:type="auto"/>
            <w:vAlign w:val="center"/>
          </w:tcPr>
          <w:p w14:paraId="356A7F93"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2022–23</w:t>
            </w:r>
          </w:p>
        </w:tc>
        <w:tc>
          <w:tcPr>
            <w:tcW w:w="0" w:type="auto"/>
            <w:vAlign w:val="center"/>
          </w:tcPr>
          <w:p w14:paraId="51AD02AB"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3.93</w:t>
            </w:r>
          </w:p>
        </w:tc>
        <w:tc>
          <w:tcPr>
            <w:tcW w:w="0" w:type="auto"/>
            <w:vAlign w:val="center"/>
          </w:tcPr>
          <w:p w14:paraId="754C32E8"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+52.73</w:t>
            </w:r>
          </w:p>
        </w:tc>
        <w:tc>
          <w:tcPr>
            <w:tcW w:w="0" w:type="auto"/>
            <w:vAlign w:val="center"/>
          </w:tcPr>
          <w:p w14:paraId="0749F7DA"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+11.36</w:t>
            </w:r>
          </w:p>
        </w:tc>
      </w:tr>
      <w:tr w:rsidR="00E40D9E" w:rsidRPr="00553AF8" w14:paraId="435DE5AA" w14:textId="77777777" w:rsidTr="00636D9B">
        <w:tc>
          <w:tcPr>
            <w:tcW w:w="0" w:type="auto"/>
            <w:vAlign w:val="center"/>
          </w:tcPr>
          <w:p w14:paraId="56D80C91"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2023–24</w:t>
            </w:r>
          </w:p>
        </w:tc>
        <w:tc>
          <w:tcPr>
            <w:tcW w:w="0" w:type="auto"/>
            <w:vAlign w:val="center"/>
          </w:tcPr>
          <w:p w14:paraId="3966ED5E"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4.15</w:t>
            </w:r>
          </w:p>
        </w:tc>
        <w:tc>
          <w:tcPr>
            <w:tcW w:w="0" w:type="auto"/>
            <w:vAlign w:val="center"/>
          </w:tcPr>
          <w:p w14:paraId="3CAD0F0F"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+12.90</w:t>
            </w:r>
          </w:p>
        </w:tc>
        <w:tc>
          <w:tcPr>
            <w:tcW w:w="0" w:type="auto"/>
            <w:vAlign w:val="center"/>
          </w:tcPr>
          <w:p w14:paraId="5627791B"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+19.29</w:t>
            </w:r>
          </w:p>
        </w:tc>
      </w:tr>
      <w:tr w:rsidR="00E40D9E" w:rsidRPr="00553AF8" w14:paraId="7D5DB3ED" w14:textId="77777777" w:rsidTr="00636D9B">
        <w:tc>
          <w:tcPr>
            <w:tcW w:w="0" w:type="auto"/>
            <w:vAlign w:val="center"/>
          </w:tcPr>
          <w:p w14:paraId="044070F8"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2024–25*</w:t>
            </w:r>
          </w:p>
        </w:tc>
        <w:tc>
          <w:tcPr>
            <w:tcW w:w="0" w:type="auto"/>
            <w:vAlign w:val="center"/>
          </w:tcPr>
          <w:p w14:paraId="373A9523"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4.45</w:t>
            </w:r>
          </w:p>
        </w:tc>
        <w:tc>
          <w:tcPr>
            <w:tcW w:w="0" w:type="auto"/>
            <w:vAlign w:val="center"/>
          </w:tcPr>
          <w:p w14:paraId="5D783EA6"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Not comparable</w:t>
            </w:r>
          </w:p>
        </w:tc>
        <w:tc>
          <w:tcPr>
            <w:tcW w:w="0" w:type="auto"/>
            <w:vAlign w:val="center"/>
          </w:tcPr>
          <w:p w14:paraId="69084576" w14:textId="77777777" w:rsidR="00E40D9E" w:rsidRPr="00553AF8" w:rsidRDefault="00E40D9E"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Not comparable</w:t>
            </w:r>
          </w:p>
        </w:tc>
      </w:tr>
    </w:tbl>
    <w:p w14:paraId="0ECC992A" w14:textId="77777777" w:rsidR="00BB2DD4" w:rsidRPr="00553AF8"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Note. Year-on-year changes are calculated relative to the preceding reported year. Changes for 2024–2025 are not presented because its partial reporting period is not comparable with a complete academic year.</w:t>
      </w:r>
    </w:p>
    <w:p w14:paraId="5A1CA2B8" w14:textId="77777777" w:rsidR="00E40D9E" w:rsidRPr="00553AF8" w:rsidRDefault="00E40D9E" w:rsidP="001421D2">
      <w:pPr>
        <w:spacing w:line="360" w:lineRule="auto"/>
        <w:jc w:val="center"/>
        <w:rPr>
          <w:rFonts w:ascii="Times New Roman" w:hAnsi="Times New Roman" w:cs="Times New Roman"/>
          <w:sz w:val="24"/>
          <w:szCs w:val="24"/>
        </w:rPr>
      </w:pPr>
      <w:r w:rsidRPr="00553AF8">
        <w:rPr>
          <w:rFonts w:ascii="Times New Roman" w:hAnsi="Times New Roman" w:cs="Times New Roman"/>
          <w:noProof/>
          <w:sz w:val="24"/>
          <w:szCs w:val="24"/>
        </w:rPr>
        <w:lastRenderedPageBreak/>
        <w:drawing>
          <wp:inline distT="0" distB="0" distL="0" distR="0" wp14:anchorId="2D93B970" wp14:editId="173DC88B">
            <wp:extent cx="4572000" cy="2533650"/>
            <wp:effectExtent l="0" t="0" r="0" b="0"/>
            <wp:docPr id="1976129251" name="Chart 1">
              <a:extLst xmlns:a="http://schemas.openxmlformats.org/drawingml/2006/main">
                <a:ext uri="{FF2B5EF4-FFF2-40B4-BE49-F238E27FC236}">
                  <a16:creationId xmlns:a16="http://schemas.microsoft.com/office/drawing/2014/main" id="{2DB05E18-5FDB-D3DA-9F75-166E3DCCB2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79B4B1B" w14:textId="77777777" w:rsidR="00BB2DD4" w:rsidRPr="00BB2DD4" w:rsidRDefault="00BB2DD4" w:rsidP="001421D2">
      <w:pPr>
        <w:spacing w:line="360" w:lineRule="auto"/>
        <w:jc w:val="center"/>
        <w:rPr>
          <w:rFonts w:ascii="Times New Roman" w:hAnsi="Times New Roman" w:cs="Times New Roman"/>
          <w:sz w:val="24"/>
          <w:szCs w:val="24"/>
        </w:rPr>
      </w:pPr>
      <w:r w:rsidRPr="00BB2DD4">
        <w:rPr>
          <w:rFonts w:ascii="Times New Roman" w:hAnsi="Times New Roman" w:cs="Times New Roman"/>
          <w:sz w:val="24"/>
          <w:szCs w:val="24"/>
        </w:rPr>
        <w:t>Figure 1. Annual HIV testing volume in Nizamabad District</w:t>
      </w:r>
    </w:p>
    <w:p w14:paraId="3B9D119E" w14:textId="77777777" w:rsidR="00BB2DD4" w:rsidRPr="00553AF8"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Caption: Annual number of HIV tests recorded during 2020–2021 to 2024–2025. *The final year includes data only through October.</w:t>
      </w:r>
    </w:p>
    <w:p w14:paraId="13B9A6D4" w14:textId="77777777" w:rsidR="00E40D9E" w:rsidRPr="00BB2DD4" w:rsidRDefault="00E40D9E" w:rsidP="001421D2">
      <w:pPr>
        <w:spacing w:line="360" w:lineRule="auto"/>
        <w:jc w:val="center"/>
        <w:rPr>
          <w:rFonts w:ascii="Times New Roman" w:hAnsi="Times New Roman" w:cs="Times New Roman"/>
          <w:sz w:val="24"/>
          <w:szCs w:val="24"/>
        </w:rPr>
      </w:pPr>
      <w:r w:rsidRPr="00553AF8">
        <w:rPr>
          <w:rFonts w:ascii="Times New Roman" w:hAnsi="Times New Roman" w:cs="Times New Roman"/>
          <w:noProof/>
          <w:sz w:val="24"/>
          <w:szCs w:val="24"/>
        </w:rPr>
        <w:drawing>
          <wp:inline distT="0" distB="0" distL="0" distR="0" wp14:anchorId="38434195" wp14:editId="0737B6BE">
            <wp:extent cx="4572000" cy="2743200"/>
            <wp:effectExtent l="0" t="0" r="0" b="0"/>
            <wp:docPr id="1473695238" name="Chart 1">
              <a:extLst xmlns:a="http://schemas.openxmlformats.org/drawingml/2006/main">
                <a:ext uri="{FF2B5EF4-FFF2-40B4-BE49-F238E27FC236}">
                  <a16:creationId xmlns:a16="http://schemas.microsoft.com/office/drawing/2014/main" id="{8E7DC672-EE6E-9EEF-3DE8-BFBFAC828F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441D0FB" w14:textId="77777777" w:rsidR="00BB2DD4" w:rsidRPr="00BB2DD4" w:rsidRDefault="00BB2DD4" w:rsidP="001421D2">
      <w:pPr>
        <w:spacing w:line="360" w:lineRule="auto"/>
        <w:jc w:val="center"/>
        <w:rPr>
          <w:rFonts w:ascii="Times New Roman" w:hAnsi="Times New Roman" w:cs="Times New Roman"/>
          <w:sz w:val="24"/>
          <w:szCs w:val="24"/>
        </w:rPr>
      </w:pPr>
      <w:r w:rsidRPr="00BB2DD4">
        <w:rPr>
          <w:rFonts w:ascii="Times New Roman" w:hAnsi="Times New Roman" w:cs="Times New Roman"/>
          <w:sz w:val="24"/>
          <w:szCs w:val="24"/>
        </w:rPr>
        <w:t>Figure 2. Annual HIV-positive cases detected</w:t>
      </w:r>
    </w:p>
    <w:p w14:paraId="7BFB0F56" w14:textId="77777777" w:rsidR="00BB2DD4" w:rsidRPr="00553AF8"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Year-wise HIV-positive cases detected through the reported testing activity. *The final year is partial.</w:t>
      </w:r>
    </w:p>
    <w:p w14:paraId="6988547F" w14:textId="77777777" w:rsidR="00401475" w:rsidRPr="00553AF8" w:rsidRDefault="00401475" w:rsidP="001421D2">
      <w:pPr>
        <w:spacing w:line="360" w:lineRule="auto"/>
        <w:jc w:val="center"/>
        <w:rPr>
          <w:rFonts w:ascii="Times New Roman" w:hAnsi="Times New Roman" w:cs="Times New Roman"/>
          <w:sz w:val="24"/>
          <w:szCs w:val="24"/>
        </w:rPr>
      </w:pPr>
      <w:r w:rsidRPr="00553AF8">
        <w:rPr>
          <w:rFonts w:ascii="Times New Roman" w:hAnsi="Times New Roman" w:cs="Times New Roman"/>
          <w:noProof/>
          <w:sz w:val="24"/>
          <w:szCs w:val="24"/>
        </w:rPr>
        <w:lastRenderedPageBreak/>
        <w:drawing>
          <wp:inline distT="0" distB="0" distL="0" distR="0" wp14:anchorId="7F6A40AE" wp14:editId="2A40531D">
            <wp:extent cx="4572000" cy="2743200"/>
            <wp:effectExtent l="0" t="0" r="0" b="0"/>
            <wp:docPr id="260045329" name="Chart 1">
              <a:extLst xmlns:a="http://schemas.openxmlformats.org/drawingml/2006/main">
                <a:ext uri="{FF2B5EF4-FFF2-40B4-BE49-F238E27FC236}">
                  <a16:creationId xmlns:a16="http://schemas.microsoft.com/office/drawing/2014/main" id="{BDB2A908-876B-1B4D-F7A5-0D7BE65F83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E1E6886" w14:textId="77777777" w:rsidR="00BB2DD4" w:rsidRPr="00BB2DD4" w:rsidRDefault="00BB2DD4" w:rsidP="001421D2">
      <w:pPr>
        <w:spacing w:line="360" w:lineRule="auto"/>
        <w:jc w:val="center"/>
        <w:rPr>
          <w:rFonts w:ascii="Times New Roman" w:hAnsi="Times New Roman" w:cs="Times New Roman"/>
          <w:sz w:val="24"/>
          <w:szCs w:val="24"/>
        </w:rPr>
      </w:pPr>
      <w:r w:rsidRPr="00BB2DD4">
        <w:rPr>
          <w:rFonts w:ascii="Times New Roman" w:hAnsi="Times New Roman" w:cs="Times New Roman"/>
          <w:sz w:val="24"/>
          <w:szCs w:val="24"/>
        </w:rPr>
        <w:t>Figure 3. Annual HIV test positivity rate</w:t>
      </w:r>
    </w:p>
    <w:p w14:paraId="5F9CB518"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Annual HIV test positivity calculated as positive cases divided by tests conducted, multiplied by 100. *The final year is partial.</w:t>
      </w:r>
    </w:p>
    <w:p w14:paraId="19DC4073"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5. Discussion</w:t>
      </w:r>
    </w:p>
    <w:p w14:paraId="31A13061"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5.1 Interpretation of Testing Trends</w:t>
      </w:r>
    </w:p>
    <w:p w14:paraId="0FC9C059" w14:textId="77777777"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Testing volume rose from 68,978 in 2020–2021 to 129,630 in 2023–2024, an increase of 87.9%. The largest year-on-year increase occurred between 2021–2022 and 2022–2023, when testing rose by 52.7%. These figures describe service activity; they do not establish why testing increased. Service availability, outreach, screening priorities, or changes in the population tested are possible explanations, but the variables available here cannot distinguish among them.</w:t>
      </w:r>
    </w:p>
    <w:p w14:paraId="49E4D845" w14:textId="77777777"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The 53,245 tests recorded for 2024–2025 cover only the period through October. This partial count should not be read as a decline in annual testing relative to 2023–2024, nor should it be annualized without evidence that testing was evenly distributed across months. Monthly data and a clear definition of the reporting year would support stronger comparisons.</w:t>
      </w:r>
    </w:p>
    <w:p w14:paraId="6B49A2E9"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5.2 Interpretation of Detected Cases and Positivity</w:t>
      </w:r>
    </w:p>
    <w:p w14:paraId="02FBA84E" w14:textId="77777777"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 xml:space="preserve">Detected positive cases increased from 352 in 2020–2021 to 538 in 2023–2024, a rise of 52.8%. Positivity did not rise in parallel: it moved from 0.510% in 2020–2021 to 0.539% in 2021–2022, fell to 0.393% in 2022–2023, and then rose to 0.415% in 2023–2024. In 2022–2023, </w:t>
      </w:r>
      <w:r w:rsidRPr="000063CB">
        <w:rPr>
          <w:rFonts w:ascii="Times New Roman" w:hAnsi="Times New Roman" w:cs="Times New Roman"/>
          <w:sz w:val="24"/>
          <w:szCs w:val="24"/>
        </w:rPr>
        <w:lastRenderedPageBreak/>
        <w:t>testing volume increased substantially while the proportion of tests yielding a positive result decreased, demonstrating why counts and rates should be interpreted together.</w:t>
      </w:r>
    </w:p>
    <w:p w14:paraId="0B745BEE" w14:textId="77777777"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Positivity was highest in 2021–2022 (approximately 0.539%) and lowest in 2022–2023 (approximately 0.393%). In the partial 2024–2025 period, positivity was approximately 0.445%. These values are proportions among recorded tests, not estimates of HIV prevalence in the district population or incidence of new infections. The dataset does not specify repeat-testing status or whether the profile of people tested changed, and either factor could affect observed positivity.</w:t>
      </w:r>
    </w:p>
    <w:p w14:paraId="09F777A8"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5.3 Comparison with Published Literature</w:t>
      </w:r>
    </w:p>
    <w:p w14:paraId="75B6295B" w14:textId="77777777"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National and international HIV reports emphasize accessible testing, timely diagnosis, treatment linkage, and consistent surveillance (UNAIDS, 2024; NACO, 2025). This analysis complements that context by documenting district-level routine testing outcomes. However, routine testing positivity and modelled population prevalence have different denominators, methods, and interpretations and should not be directly equated. District-level estimation research supports geographically disaggregated analysis, while local administrative testing records alone cannot provide a population prevalence estimate (Kumar et al., 2021).</w:t>
      </w:r>
    </w:p>
    <w:p w14:paraId="685D87FD" w14:textId="77777777"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The findings are best interpreted as a description of recorded testing activity. They identify periods with differing test volumes and positivity, but cannot establish the effects of awareness campaigns, explain changes in service uptake, or demonstrate changes in HIV transmission. Such conclusions would require monthly activity, testing-site and referral information, demographic characteristics, repeat-testing status, confirmatory outcomes, and linkage-to-treatment indicators.</w:t>
      </w:r>
    </w:p>
    <w:p w14:paraId="6736D87D"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5.4 Public Health Interpretation</w:t>
      </w:r>
    </w:p>
    <w:p w14:paraId="3E1C1C9C" w14:textId="77777777" w:rsidR="00AB2B44" w:rsidRPr="000063CB" w:rsidRDefault="00000000" w:rsidP="001421D2">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The results support maintaining accessible, confidential testing and reliable follow-up for people with reactive screening results. District authorities could use these descriptive findings as a starting point for routine data-quality review and service planning, rather than as a stand-alone measure of epidemic burden. Monitoring should pair counts with rates and document the time period, population served, and testing strategy for each reporting interval.</w:t>
      </w:r>
    </w:p>
    <w:p w14:paraId="57826769" w14:textId="77777777" w:rsidR="00AB2B44" w:rsidRDefault="00000000" w:rsidP="001421D2">
      <w:pPr>
        <w:spacing w:line="360" w:lineRule="auto"/>
        <w:jc w:val="both"/>
      </w:pPr>
      <w:r w:rsidRPr="000063CB">
        <w:rPr>
          <w:rFonts w:ascii="Times New Roman" w:hAnsi="Times New Roman" w:cs="Times New Roman"/>
          <w:sz w:val="24"/>
          <w:szCs w:val="24"/>
        </w:rPr>
        <w:t xml:space="preserve">Future reporting would be strengthened by monthly or quarterly breakdowns, consistent annual cut-off dates, information on testing locations and referral routes, and appropriate aggregate demographic indicators where permitted. Linking testing records with confirmatory diagnosis </w:t>
      </w:r>
      <w:r w:rsidRPr="000063CB">
        <w:rPr>
          <w:rFonts w:ascii="Times New Roman" w:hAnsi="Times New Roman" w:cs="Times New Roman"/>
          <w:sz w:val="24"/>
          <w:szCs w:val="24"/>
        </w:rPr>
        <w:lastRenderedPageBreak/>
        <w:t>and treatment-entry indicators, under approved privacy and governance procedures, would provide a more informative picture of service performance.</w:t>
      </w:r>
    </w:p>
    <w:p w14:paraId="40C5FFB6"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6. Public Health Implications and Recommendations</w:t>
      </w:r>
    </w:p>
    <w:p w14:paraId="06EFB76C"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6.1 HIV Testing and Early Diagnosis</w:t>
      </w:r>
    </w:p>
    <w:p w14:paraId="355C5698" w14:textId="77777777" w:rsidR="00BB2DD4" w:rsidRPr="00553AF8"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The findings highlight the importance of maintaining accessible and confidential HIV testing services in Nizamabad District. Testing facilities should provide appropriate counselling, protect patient privacy, and ensure timely follow-up of reactive screening results.</w:t>
      </w:r>
      <w:r w:rsidR="00871FA4" w:rsidRPr="00553AF8">
        <w:rPr>
          <w:rFonts w:ascii="Times New Roman" w:eastAsia="Times New Roman" w:hAnsi="Times New Roman" w:cs="Times New Roman"/>
          <w:sz w:val="24"/>
          <w:szCs w:val="24"/>
          <w:lang w:eastAsia="en-IN"/>
        </w:rPr>
        <w:t xml:space="preserve"> </w:t>
      </w:r>
      <w:r w:rsidR="00871FA4" w:rsidRPr="00553AF8">
        <w:rPr>
          <w:rFonts w:ascii="Times New Roman" w:hAnsi="Times New Roman" w:cs="Times New Roman"/>
          <w:sz w:val="24"/>
          <w:szCs w:val="24"/>
        </w:rPr>
        <w:t>These measures are consistent with public health guidance emphasizing accessible HIV testing, appropriate linkage to care, and integrated service delivery (World Health Organization [WHO], 2021).</w:t>
      </w:r>
      <w:r w:rsidRPr="00BB2DD4">
        <w:rPr>
          <w:rFonts w:ascii="Times New Roman" w:hAnsi="Times New Roman" w:cs="Times New Roman"/>
          <w:sz w:val="24"/>
          <w:szCs w:val="24"/>
        </w:rPr>
        <w:t xml:space="preserve"> Confirmatory testing should follow the applicable national testing algorithms to support accurate diagnosis and appropriate care (World Health Organization [WHO], 2024).</w:t>
      </w:r>
    </w:p>
    <w:p w14:paraId="3272CD13"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6.2 Prevention and Awareness</w:t>
      </w:r>
    </w:p>
    <w:p w14:paraId="79323328"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Evidence-based awareness programmes should promote HIV prevention, early testing, and accurate information about transmission. Community engagement, stigma reduction, and non-discriminatory healthcare services can encourage individuals to seek testing and support. Prevention initiatives should be designed according to local needs and implemented through appropriate healthcare and community networks.</w:t>
      </w:r>
    </w:p>
    <w:p w14:paraId="15E17CE5"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6.3 Treatment Linkage</w:t>
      </w:r>
    </w:p>
    <w:p w14:paraId="06811E4F"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Individuals with a confirmed HIV diagnosis should receive timely referral to appropriate treatment services. Effective linkage to antiretroviral therapy, continued clinical monitoring, and adherence support are important for maintaining health and reducing the risk of HIV transmission. Coordination between testing facilities and treatment centres should be strengthened.</w:t>
      </w:r>
    </w:p>
    <w:p w14:paraId="22746A42"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6.4 Surveillance and Reporting</w:t>
      </w:r>
    </w:p>
    <w:p w14:paraId="671D2A3C" w14:textId="77777777" w:rsidR="00BB2DD4" w:rsidRPr="00553AF8"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District-level HIV surveillance should maintain complete, accurate, and consistent annual records. Reported testing totals and positive-case counts should be verified against original administrative records. Geographical coverage and reporting periods should remain clearly defined, while partial-year figures should be identified separately. Improved data quality can support more reliable trend analysis and evidence-based public health planning.</w:t>
      </w:r>
    </w:p>
    <w:p w14:paraId="64EA2BD7"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7. Limitations and Future Research</w:t>
      </w:r>
    </w:p>
    <w:p w14:paraId="06A0D477"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lastRenderedPageBreak/>
        <w:t>7.1 Limitations</w:t>
      </w:r>
    </w:p>
    <w:p w14:paraId="63038849"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The present study has several limitations. First, it relies on secondary administrative data supplied by the District AIDS Prevention and Control Unit (DAPCU), Nizamabad, and its findings depend on the accuracy and completeness of the available records. Second, the five-year observation period limits the assessment of long-term trends. Third, the 2024–2025 data cover only the period up to October, preventing direct comparison with complete academic years. The dataset does not provide age-, sex-, or risk-group-specific information, population denominators, repeat-testing details, testing indications, or treatment outcomes. Consequently, district-level HIV prevalence cannot be calculated from these records alone. Furthermore, the descriptive analysis cannot establish causal relationships between awareness programmes, testing activities, and observed changes in positive-case detection.</w:t>
      </w:r>
    </w:p>
    <w:p w14:paraId="1990350F"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7.2 Future Research</w:t>
      </w:r>
    </w:p>
    <w:p w14:paraId="4C504070"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Future studies should examine longer time series and compare district-level findings with verified Telangana and national HIV indicators. Where appropriate data are available, demographic and geographical patterns should be investigated to identify differences in testing outcomes. Further research could also assess linkage between diagnosis and treatment services. Once complete 2024–2025 data become available, subsequent analyses should determine whether the observed patterns persist across comparable full-year reporting periods.</w:t>
      </w:r>
    </w:p>
    <w:p w14:paraId="3DC4E72C" w14:textId="77777777" w:rsidR="00BB2DD4" w:rsidRPr="00BB2DD4"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8. Conclusion</w:t>
      </w:r>
    </w:p>
    <w:p w14:paraId="45E55EB2" w14:textId="77777777" w:rsidR="00BB2DD4" w:rsidRP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The present study examined HIV testing activity, detected positive cases, and test positivity in Nizamabad District, Telangana, over five academic years, from 2020–2021 to 2024–2025. The findings indicate that annual testing increased from 68,978 tests in 2020–2021 to 129,630 in 2023–2024, while detected positive cases increased from 352 to 538 during the same period. The positivity rate fluctuated, rising from approximately 0.51% in 2020–2021 to 0.54% in 2021–2022, declining to 0.39% in 2022–2023, and subsequently increasing to 0.42% in 2023–2024. The partial 2024–2025 data recorded 237 positive cases among 53,245 tests, with a positivity rate of approximately 0.45%.</w:t>
      </w:r>
    </w:p>
    <w:p w14:paraId="0B6EB918" w14:textId="77777777" w:rsidR="00BB2DD4" w:rsidRDefault="00BB2DD4" w:rsidP="001421D2">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 xml:space="preserve">These findings provide a descriptive overview of recorded HIV testing outcomes rather than direct measurements of population prevalence or new infections. Accurate reporting, consistent surveillance, accessible testing, timely diagnosis, and effective linkage to treatment remain important public health priorities. Further research using complete annual records and </w:t>
      </w:r>
      <w:r w:rsidRPr="00BB2DD4">
        <w:rPr>
          <w:rFonts w:ascii="Times New Roman" w:hAnsi="Times New Roman" w:cs="Times New Roman"/>
          <w:sz w:val="24"/>
          <w:szCs w:val="24"/>
        </w:rPr>
        <w:lastRenderedPageBreak/>
        <w:t>additional epidemiological indicators could provide a more comprehensive understanding of local HIV trends and support evidence-based public health planning.</w:t>
      </w:r>
    </w:p>
    <w:p w14:paraId="77174E0D" w14:textId="77777777" w:rsidR="007A0682" w:rsidRPr="007A0682" w:rsidRDefault="007A0682" w:rsidP="007A0682">
      <w:pPr>
        <w:spacing w:after="0" w:line="240" w:lineRule="auto"/>
        <w:rPr>
          <w:rFonts w:ascii="Arial" w:eastAsia="Calibri" w:hAnsi="Arial" w:cs="Arial"/>
          <w:b/>
          <w:sz w:val="20"/>
          <w:szCs w:val="20"/>
          <w:lang w:val="en-US" w:bidi="ar-SA"/>
        </w:rPr>
      </w:pPr>
      <w:bookmarkStart w:id="0" w:name="_Hlk238550938"/>
      <w:r w:rsidRPr="007A0682">
        <w:rPr>
          <w:rFonts w:ascii="Arial" w:eastAsia="Calibri" w:hAnsi="Arial" w:cs="Arial"/>
          <w:b/>
          <w:sz w:val="20"/>
          <w:szCs w:val="20"/>
          <w:lang w:val="en-US" w:bidi="ar-SA"/>
        </w:rPr>
        <w:t>Declaration of AI Use</w:t>
      </w:r>
    </w:p>
    <w:p w14:paraId="541A4EFE" w14:textId="77777777" w:rsidR="007A0682" w:rsidRPr="007A0682" w:rsidRDefault="007A0682" w:rsidP="007A0682">
      <w:pPr>
        <w:spacing w:after="0" w:line="240" w:lineRule="auto"/>
        <w:rPr>
          <w:rFonts w:ascii="Arial" w:eastAsia="Calibri" w:hAnsi="Arial" w:cs="Arial"/>
          <w:sz w:val="20"/>
          <w:szCs w:val="20"/>
          <w:lang w:val="en-US" w:bidi="ar-SA"/>
        </w:rPr>
      </w:pPr>
    </w:p>
    <w:p w14:paraId="685954AE" w14:textId="1055534C" w:rsidR="007A0682" w:rsidRPr="00BB2DD4" w:rsidRDefault="007A0682" w:rsidP="007A0682">
      <w:pPr>
        <w:spacing w:line="360" w:lineRule="auto"/>
        <w:jc w:val="both"/>
        <w:rPr>
          <w:rFonts w:ascii="Times New Roman" w:hAnsi="Times New Roman" w:cs="Times New Roman"/>
          <w:sz w:val="24"/>
          <w:szCs w:val="24"/>
        </w:rPr>
      </w:pPr>
      <w:r w:rsidRPr="007A0682">
        <w:rPr>
          <w:rFonts w:ascii="Arial" w:eastAsia="Calibri" w:hAnsi="Arial" w:cs="Arial"/>
          <w:sz w:val="20"/>
          <w:szCs w:val="20"/>
          <w:lang w:val="en-US"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p>
    <w:p w14:paraId="31BF8CCF" w14:textId="77777777" w:rsidR="00CD61AA" w:rsidRPr="00553AF8" w:rsidRDefault="00BB2DD4" w:rsidP="001421D2">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 xml:space="preserve">Reference </w:t>
      </w:r>
    </w:p>
    <w:p w14:paraId="1C89B8CB" w14:textId="77777777" w:rsidR="00CD61AA" w:rsidRPr="00553AF8" w:rsidRDefault="00CD61AA" w:rsidP="001421D2">
      <w:pPr>
        <w:pStyle w:val="ListParagraph"/>
        <w:numPr>
          <w:ilvl w:val="0"/>
          <w:numId w:val="7"/>
        </w:numPr>
        <w:spacing w:line="360" w:lineRule="auto"/>
        <w:jc w:val="both"/>
        <w:rPr>
          <w:rFonts w:ascii="Times New Roman" w:hAnsi="Times New Roman" w:cs="Times New Roman"/>
          <w:sz w:val="24"/>
          <w:szCs w:val="24"/>
        </w:rPr>
      </w:pPr>
      <w:proofErr w:type="spellStart"/>
      <w:r w:rsidRPr="00553AF8">
        <w:rPr>
          <w:rFonts w:ascii="Times New Roman" w:hAnsi="Times New Roman" w:cs="Times New Roman"/>
          <w:sz w:val="24"/>
          <w:szCs w:val="24"/>
        </w:rPr>
        <w:t>Dandona</w:t>
      </w:r>
      <w:proofErr w:type="spellEnd"/>
      <w:r w:rsidRPr="00553AF8">
        <w:rPr>
          <w:rFonts w:ascii="Times New Roman" w:hAnsi="Times New Roman" w:cs="Times New Roman"/>
          <w:sz w:val="24"/>
          <w:szCs w:val="24"/>
        </w:rPr>
        <w:t xml:space="preserve">, L., Lakshmi, V., Sudha, T., Kumar, G. A., &amp; </w:t>
      </w:r>
      <w:proofErr w:type="spellStart"/>
      <w:r w:rsidRPr="00553AF8">
        <w:rPr>
          <w:rFonts w:ascii="Times New Roman" w:hAnsi="Times New Roman" w:cs="Times New Roman"/>
          <w:sz w:val="24"/>
          <w:szCs w:val="24"/>
        </w:rPr>
        <w:t>Dandona</w:t>
      </w:r>
      <w:proofErr w:type="spellEnd"/>
      <w:r w:rsidRPr="00553AF8">
        <w:rPr>
          <w:rFonts w:ascii="Times New Roman" w:hAnsi="Times New Roman" w:cs="Times New Roman"/>
          <w:sz w:val="24"/>
          <w:szCs w:val="24"/>
        </w:rPr>
        <w:t xml:space="preserve">, R. (2006). A population-based study of human immunodeficiency virus in south India reveals major differences from sentinel surveillance-based estimates. BMC Medicine, 4, Article 31. </w:t>
      </w:r>
      <w:hyperlink r:id="rId10" w:history="1">
        <w:r w:rsidRPr="00553AF8">
          <w:rPr>
            <w:rStyle w:val="Hyperlink"/>
            <w:rFonts w:ascii="Times New Roman" w:hAnsi="Times New Roman" w:cs="Times New Roman"/>
            <w:sz w:val="24"/>
            <w:szCs w:val="24"/>
          </w:rPr>
          <w:t>https://doi.org/10.1186/1741-7015-4-31</w:t>
        </w:r>
      </w:hyperlink>
      <w:r w:rsidRPr="00553AF8">
        <w:rPr>
          <w:rFonts w:ascii="Times New Roman" w:hAnsi="Times New Roman" w:cs="Times New Roman"/>
          <w:sz w:val="24"/>
          <w:szCs w:val="24"/>
        </w:rPr>
        <w:t xml:space="preserve"> </w:t>
      </w:r>
    </w:p>
    <w:p w14:paraId="6A83042F" w14:textId="77777777" w:rsidR="00CD61AA" w:rsidRPr="00553AF8" w:rsidRDefault="00CD61AA" w:rsidP="001421D2">
      <w:pPr>
        <w:pStyle w:val="ListParagraph"/>
        <w:numPr>
          <w:ilvl w:val="0"/>
          <w:numId w:val="7"/>
        </w:numPr>
        <w:spacing w:line="360" w:lineRule="auto"/>
        <w:jc w:val="both"/>
        <w:rPr>
          <w:rFonts w:ascii="Times New Roman" w:hAnsi="Times New Roman" w:cs="Times New Roman"/>
          <w:sz w:val="24"/>
          <w:szCs w:val="24"/>
        </w:rPr>
      </w:pPr>
      <w:r w:rsidRPr="00553AF8">
        <w:rPr>
          <w:rFonts w:ascii="Times New Roman" w:hAnsi="Times New Roman" w:cs="Times New Roman"/>
          <w:sz w:val="24"/>
          <w:szCs w:val="24"/>
        </w:rPr>
        <w:t xml:space="preserve">Joint United Nations Programme on HIV/AIDS. (2024). The urgency of now: AIDS at a crossroads-2024 global AIDS update. </w:t>
      </w:r>
      <w:hyperlink r:id="rId11" w:history="1">
        <w:r w:rsidRPr="00553AF8">
          <w:rPr>
            <w:rStyle w:val="Hyperlink"/>
            <w:rFonts w:ascii="Times New Roman" w:hAnsi="Times New Roman" w:cs="Times New Roman"/>
            <w:sz w:val="24"/>
            <w:szCs w:val="24"/>
          </w:rPr>
          <w:t>https://www.unaids.org/en/resources/documents/2024/global-aids-update-2024</w:t>
        </w:r>
      </w:hyperlink>
      <w:r w:rsidRPr="00553AF8">
        <w:rPr>
          <w:rFonts w:ascii="Times New Roman" w:hAnsi="Times New Roman" w:cs="Times New Roman"/>
          <w:sz w:val="24"/>
          <w:szCs w:val="24"/>
        </w:rPr>
        <w:t xml:space="preserve"> </w:t>
      </w:r>
    </w:p>
    <w:p w14:paraId="3F446102" w14:textId="77777777" w:rsidR="00CD61AA" w:rsidRPr="00553AF8" w:rsidRDefault="00CD61AA" w:rsidP="001421D2">
      <w:pPr>
        <w:pStyle w:val="ListParagraph"/>
        <w:numPr>
          <w:ilvl w:val="0"/>
          <w:numId w:val="7"/>
        </w:numPr>
        <w:spacing w:line="360" w:lineRule="auto"/>
        <w:jc w:val="both"/>
        <w:rPr>
          <w:rFonts w:ascii="Times New Roman" w:hAnsi="Times New Roman" w:cs="Times New Roman"/>
          <w:sz w:val="24"/>
          <w:szCs w:val="24"/>
        </w:rPr>
      </w:pPr>
      <w:r w:rsidRPr="00553AF8">
        <w:rPr>
          <w:rFonts w:ascii="Times New Roman" w:hAnsi="Times New Roman" w:cs="Times New Roman"/>
          <w:sz w:val="24"/>
          <w:szCs w:val="24"/>
        </w:rPr>
        <w:t xml:space="preserve">Joint United Nations Programme on HIV/AIDS. (2024). UNAIDS data 2024. </w:t>
      </w:r>
      <w:hyperlink r:id="rId12" w:history="1">
        <w:r w:rsidRPr="00553AF8">
          <w:rPr>
            <w:rStyle w:val="Hyperlink"/>
            <w:rFonts w:ascii="Times New Roman" w:hAnsi="Times New Roman" w:cs="Times New Roman"/>
            <w:sz w:val="24"/>
            <w:szCs w:val="24"/>
          </w:rPr>
          <w:t>https://www.unaids.org/en/resources/documents/2024/2024_unaids_data</w:t>
        </w:r>
      </w:hyperlink>
    </w:p>
    <w:p w14:paraId="3D4A4CB7" w14:textId="77777777" w:rsidR="00CD61AA" w:rsidRPr="00553AF8" w:rsidRDefault="00CD61AA" w:rsidP="001421D2">
      <w:pPr>
        <w:pStyle w:val="ListParagraph"/>
        <w:numPr>
          <w:ilvl w:val="0"/>
          <w:numId w:val="7"/>
        </w:numPr>
        <w:spacing w:line="360" w:lineRule="auto"/>
        <w:jc w:val="both"/>
        <w:rPr>
          <w:rFonts w:ascii="Times New Roman" w:hAnsi="Times New Roman" w:cs="Times New Roman"/>
          <w:sz w:val="24"/>
          <w:szCs w:val="24"/>
        </w:rPr>
      </w:pPr>
      <w:r w:rsidRPr="00553AF8">
        <w:rPr>
          <w:rFonts w:ascii="Times New Roman" w:hAnsi="Times New Roman" w:cs="Times New Roman"/>
          <w:sz w:val="24"/>
          <w:szCs w:val="24"/>
        </w:rPr>
        <w:t xml:space="preserve">Kumar, P., Biswas, S., Priyam, N., </w:t>
      </w:r>
      <w:proofErr w:type="spellStart"/>
      <w:r w:rsidRPr="00553AF8">
        <w:rPr>
          <w:rFonts w:ascii="Times New Roman" w:hAnsi="Times New Roman" w:cs="Times New Roman"/>
          <w:sz w:val="24"/>
          <w:szCs w:val="24"/>
        </w:rPr>
        <w:t>Kharayat</w:t>
      </w:r>
      <w:proofErr w:type="spellEnd"/>
      <w:r w:rsidRPr="00553AF8">
        <w:rPr>
          <w:rFonts w:ascii="Times New Roman" w:hAnsi="Times New Roman" w:cs="Times New Roman"/>
          <w:sz w:val="24"/>
          <w:szCs w:val="24"/>
        </w:rPr>
        <w:t xml:space="preserve">, L. S., Deo, V., Chaturvedi, H. K., &amp; Das, C. (2025). </w:t>
      </w:r>
      <w:proofErr w:type="spellStart"/>
      <w:r w:rsidRPr="00553AF8">
        <w:rPr>
          <w:rFonts w:ascii="Times New Roman" w:hAnsi="Times New Roman" w:cs="Times New Roman"/>
          <w:sz w:val="24"/>
          <w:szCs w:val="24"/>
        </w:rPr>
        <w:t>Unraveling</w:t>
      </w:r>
      <w:proofErr w:type="spellEnd"/>
      <w:r w:rsidRPr="00553AF8">
        <w:rPr>
          <w:rFonts w:ascii="Times New Roman" w:hAnsi="Times New Roman" w:cs="Times New Roman"/>
          <w:sz w:val="24"/>
          <w:szCs w:val="24"/>
        </w:rPr>
        <w:t xml:space="preserve"> the intricacies: Integrated and enhanced surveillance and epidemiology for HIV, syphilis, and related co-infections under the National AIDS and STD Control Programme in India. Indian Journal of Community Medicine, 50(Suppl. 3), S436–S446. </w:t>
      </w:r>
      <w:hyperlink r:id="rId13" w:history="1">
        <w:r w:rsidRPr="00553AF8">
          <w:rPr>
            <w:rStyle w:val="Hyperlink"/>
            <w:rFonts w:ascii="Times New Roman" w:hAnsi="Times New Roman" w:cs="Times New Roman"/>
            <w:sz w:val="24"/>
            <w:szCs w:val="24"/>
          </w:rPr>
          <w:t>https://doi.org/10.4103/ijcm.ijcm_877_24</w:t>
        </w:r>
      </w:hyperlink>
      <w:r w:rsidRPr="00553AF8">
        <w:rPr>
          <w:rFonts w:ascii="Times New Roman" w:hAnsi="Times New Roman" w:cs="Times New Roman"/>
          <w:sz w:val="24"/>
          <w:szCs w:val="24"/>
        </w:rPr>
        <w:t xml:space="preserve"> </w:t>
      </w:r>
    </w:p>
    <w:p w14:paraId="666DCACA" w14:textId="77777777" w:rsidR="00CD61AA" w:rsidRPr="00553AF8" w:rsidRDefault="00CD61AA" w:rsidP="001421D2">
      <w:pPr>
        <w:pStyle w:val="ListParagraph"/>
        <w:numPr>
          <w:ilvl w:val="0"/>
          <w:numId w:val="7"/>
        </w:numPr>
        <w:spacing w:line="360" w:lineRule="auto"/>
        <w:jc w:val="both"/>
        <w:rPr>
          <w:rFonts w:ascii="Times New Roman" w:hAnsi="Times New Roman" w:cs="Times New Roman"/>
          <w:sz w:val="24"/>
          <w:szCs w:val="24"/>
        </w:rPr>
      </w:pPr>
      <w:r w:rsidRPr="00553AF8">
        <w:rPr>
          <w:rFonts w:ascii="Times New Roman" w:hAnsi="Times New Roman" w:cs="Times New Roman"/>
          <w:sz w:val="24"/>
          <w:szCs w:val="24"/>
        </w:rPr>
        <w:t xml:space="preserve">Kumar, P., Sahu, D., Rajan, S., </w:t>
      </w:r>
      <w:proofErr w:type="spellStart"/>
      <w:r w:rsidRPr="00553AF8">
        <w:rPr>
          <w:rFonts w:ascii="Times New Roman" w:hAnsi="Times New Roman" w:cs="Times New Roman"/>
          <w:sz w:val="24"/>
          <w:szCs w:val="24"/>
        </w:rPr>
        <w:t>Mendu</w:t>
      </w:r>
      <w:proofErr w:type="spellEnd"/>
      <w:r w:rsidRPr="00553AF8">
        <w:rPr>
          <w:rFonts w:ascii="Times New Roman" w:hAnsi="Times New Roman" w:cs="Times New Roman"/>
          <w:sz w:val="24"/>
          <w:szCs w:val="24"/>
        </w:rPr>
        <w:t xml:space="preserve">, V. V. R., Das, C., Kumar, A., Chandra, N., Camara, B., Rai, S., Arumugam, E., Godbole, S. V., Singh, S. K., Singh, S. K., Pandey, A., Reddy, D. C. S., &amp; Mehendale, S. (2021). District-level HIV estimates using the spectrum model in five states of India, 2017. Medicine, 100(28), e26578. </w:t>
      </w:r>
      <w:hyperlink r:id="rId14" w:history="1">
        <w:r w:rsidRPr="00553AF8">
          <w:rPr>
            <w:rStyle w:val="Hyperlink"/>
            <w:rFonts w:ascii="Times New Roman" w:hAnsi="Times New Roman" w:cs="Times New Roman"/>
            <w:sz w:val="24"/>
            <w:szCs w:val="24"/>
          </w:rPr>
          <w:t>https://doi.org/10.1097/MD.0000000000026578</w:t>
        </w:r>
      </w:hyperlink>
      <w:r w:rsidRPr="00553AF8">
        <w:rPr>
          <w:rFonts w:ascii="Times New Roman" w:hAnsi="Times New Roman" w:cs="Times New Roman"/>
          <w:sz w:val="24"/>
          <w:szCs w:val="24"/>
        </w:rPr>
        <w:t xml:space="preserve"> </w:t>
      </w:r>
    </w:p>
    <w:p w14:paraId="1D099E12" w14:textId="77777777" w:rsidR="00CD61AA" w:rsidRPr="00553AF8" w:rsidRDefault="00CD61AA" w:rsidP="001421D2">
      <w:pPr>
        <w:pStyle w:val="ListParagraph"/>
        <w:numPr>
          <w:ilvl w:val="0"/>
          <w:numId w:val="7"/>
        </w:numPr>
        <w:spacing w:line="360" w:lineRule="auto"/>
        <w:jc w:val="both"/>
        <w:rPr>
          <w:rFonts w:ascii="Times New Roman" w:hAnsi="Times New Roman" w:cs="Times New Roman"/>
          <w:sz w:val="24"/>
          <w:szCs w:val="24"/>
        </w:rPr>
      </w:pPr>
      <w:r w:rsidRPr="00553AF8">
        <w:rPr>
          <w:rFonts w:ascii="Times New Roman" w:hAnsi="Times New Roman" w:cs="Times New Roman"/>
          <w:sz w:val="24"/>
          <w:szCs w:val="24"/>
        </w:rPr>
        <w:t xml:space="preserve">Ministry of Health and Family Welfare. (2024). Annual report 2023–24. Government of India. </w:t>
      </w:r>
      <w:hyperlink r:id="rId15" w:history="1">
        <w:r w:rsidRPr="00553AF8">
          <w:rPr>
            <w:rStyle w:val="Hyperlink"/>
            <w:rFonts w:ascii="Times New Roman" w:hAnsi="Times New Roman" w:cs="Times New Roman"/>
            <w:sz w:val="24"/>
            <w:szCs w:val="24"/>
          </w:rPr>
          <w:t>https://www.mohfw.gov.in/sites/default/files/Annual%20Report%202023%2024%20DoHFW%20English_0.pdf</w:t>
        </w:r>
      </w:hyperlink>
      <w:r w:rsidRPr="00553AF8">
        <w:rPr>
          <w:rFonts w:ascii="Times New Roman" w:hAnsi="Times New Roman" w:cs="Times New Roman"/>
          <w:sz w:val="24"/>
          <w:szCs w:val="24"/>
        </w:rPr>
        <w:t xml:space="preserve"> </w:t>
      </w:r>
    </w:p>
    <w:p w14:paraId="1501E797" w14:textId="77777777" w:rsidR="00CD61AA" w:rsidRPr="00553AF8" w:rsidRDefault="00CD61AA" w:rsidP="001421D2">
      <w:pPr>
        <w:pStyle w:val="ListParagraph"/>
        <w:numPr>
          <w:ilvl w:val="0"/>
          <w:numId w:val="7"/>
        </w:numPr>
        <w:spacing w:line="360" w:lineRule="auto"/>
        <w:jc w:val="both"/>
        <w:rPr>
          <w:rFonts w:ascii="Times New Roman" w:hAnsi="Times New Roman" w:cs="Times New Roman"/>
          <w:sz w:val="24"/>
          <w:szCs w:val="24"/>
        </w:rPr>
      </w:pPr>
      <w:r w:rsidRPr="00553AF8">
        <w:rPr>
          <w:rFonts w:ascii="Times New Roman" w:hAnsi="Times New Roman" w:cs="Times New Roman"/>
          <w:sz w:val="24"/>
          <w:szCs w:val="24"/>
        </w:rPr>
        <w:t xml:space="preserve">National AIDS Control Organisation, &amp; ICMR–National Institute for Research in Digital Health and Data Science. (2025). India HIV estimation 2025: Technical report. </w:t>
      </w:r>
      <w:r w:rsidRPr="00553AF8">
        <w:rPr>
          <w:rFonts w:ascii="Times New Roman" w:hAnsi="Times New Roman" w:cs="Times New Roman"/>
          <w:sz w:val="24"/>
          <w:szCs w:val="24"/>
        </w:rPr>
        <w:lastRenderedPageBreak/>
        <w:t xml:space="preserve">Ministry of Health and Family Welfare, Government of India. </w:t>
      </w:r>
      <w:hyperlink r:id="rId16" w:history="1">
        <w:r w:rsidRPr="00553AF8">
          <w:rPr>
            <w:rStyle w:val="Hyperlink"/>
            <w:rFonts w:ascii="Times New Roman" w:hAnsi="Times New Roman" w:cs="Times New Roman"/>
            <w:sz w:val="24"/>
            <w:szCs w:val="24"/>
          </w:rPr>
          <w:t>https://naco.mohfw.gov.in/sites/default/files/HIV%20Estimation%202025%20Technical%20Report.pdf</w:t>
        </w:r>
      </w:hyperlink>
      <w:r w:rsidRPr="00553AF8">
        <w:rPr>
          <w:rFonts w:ascii="Times New Roman" w:hAnsi="Times New Roman" w:cs="Times New Roman"/>
          <w:sz w:val="24"/>
          <w:szCs w:val="24"/>
        </w:rPr>
        <w:t xml:space="preserve"> </w:t>
      </w:r>
    </w:p>
    <w:p w14:paraId="051E5789" w14:textId="77777777" w:rsidR="00CD61AA" w:rsidRPr="00553AF8" w:rsidRDefault="00CD61AA" w:rsidP="001421D2">
      <w:pPr>
        <w:pStyle w:val="ListParagraph"/>
        <w:numPr>
          <w:ilvl w:val="0"/>
          <w:numId w:val="7"/>
        </w:numPr>
        <w:spacing w:line="360" w:lineRule="auto"/>
        <w:jc w:val="both"/>
        <w:rPr>
          <w:rFonts w:ascii="Times New Roman" w:hAnsi="Times New Roman" w:cs="Times New Roman"/>
          <w:sz w:val="24"/>
          <w:szCs w:val="24"/>
        </w:rPr>
      </w:pPr>
      <w:r w:rsidRPr="00553AF8">
        <w:rPr>
          <w:rFonts w:ascii="Times New Roman" w:hAnsi="Times New Roman" w:cs="Times New Roman"/>
          <w:sz w:val="24"/>
          <w:szCs w:val="24"/>
        </w:rPr>
        <w:t xml:space="preserve">National AIDS Control Organisation. (2017). National strategic plan for HIV/AIDS and STI 2017–2024: Paving way for an AIDS-free India. Ministry of Health and Family Welfare, Government of India. </w:t>
      </w:r>
    </w:p>
    <w:p w14:paraId="7810E7C7" w14:textId="77777777" w:rsidR="00CD61AA" w:rsidRPr="00553AF8" w:rsidRDefault="00CD61AA" w:rsidP="001421D2">
      <w:pPr>
        <w:pStyle w:val="ListParagraph"/>
        <w:numPr>
          <w:ilvl w:val="0"/>
          <w:numId w:val="7"/>
        </w:numPr>
        <w:spacing w:line="360" w:lineRule="auto"/>
        <w:jc w:val="both"/>
        <w:rPr>
          <w:rFonts w:ascii="Times New Roman" w:hAnsi="Times New Roman" w:cs="Times New Roman"/>
          <w:sz w:val="24"/>
          <w:szCs w:val="24"/>
        </w:rPr>
      </w:pPr>
      <w:r w:rsidRPr="00553AF8">
        <w:rPr>
          <w:rFonts w:ascii="Times New Roman" w:hAnsi="Times New Roman" w:cs="Times New Roman"/>
          <w:sz w:val="24"/>
          <w:szCs w:val="24"/>
        </w:rPr>
        <w:t xml:space="preserve">National AIDS Control Organisation. (2024). India HIV estimations 2023: Technical report. Ministry of Health and Family Welfare, Government of India. </w:t>
      </w:r>
      <w:hyperlink r:id="rId17" w:history="1">
        <w:r w:rsidRPr="00553AF8">
          <w:rPr>
            <w:rStyle w:val="Hyperlink"/>
            <w:rFonts w:ascii="Times New Roman" w:hAnsi="Times New Roman" w:cs="Times New Roman"/>
            <w:sz w:val="24"/>
            <w:szCs w:val="24"/>
          </w:rPr>
          <w:t>https://naco.mohfw.gov.in/</w:t>
        </w:r>
      </w:hyperlink>
      <w:r w:rsidRPr="00553AF8">
        <w:rPr>
          <w:rFonts w:ascii="Times New Roman" w:hAnsi="Times New Roman" w:cs="Times New Roman"/>
          <w:sz w:val="24"/>
          <w:szCs w:val="24"/>
        </w:rPr>
        <w:t xml:space="preserve"> </w:t>
      </w:r>
    </w:p>
    <w:p w14:paraId="3B98A24C" w14:textId="77777777" w:rsidR="00CD61AA" w:rsidRPr="00553AF8" w:rsidRDefault="00CD61AA" w:rsidP="001421D2">
      <w:pPr>
        <w:pStyle w:val="ListParagraph"/>
        <w:numPr>
          <w:ilvl w:val="0"/>
          <w:numId w:val="7"/>
        </w:numPr>
        <w:spacing w:line="360" w:lineRule="auto"/>
        <w:jc w:val="both"/>
        <w:rPr>
          <w:rFonts w:ascii="Times New Roman" w:hAnsi="Times New Roman" w:cs="Times New Roman"/>
          <w:sz w:val="24"/>
          <w:szCs w:val="24"/>
        </w:rPr>
      </w:pPr>
      <w:r w:rsidRPr="00553AF8">
        <w:rPr>
          <w:rFonts w:ascii="Times New Roman" w:hAnsi="Times New Roman" w:cs="Times New Roman"/>
          <w:sz w:val="24"/>
          <w:szCs w:val="24"/>
        </w:rPr>
        <w:t xml:space="preserve">National AIDS Control Organisation. (2025). India HIV estimation 2025: Technical report. Ministry of Health and Family Welfare, Government of India. </w:t>
      </w:r>
      <w:hyperlink r:id="rId18" w:history="1">
        <w:r w:rsidRPr="00553AF8">
          <w:rPr>
            <w:rStyle w:val="Hyperlink"/>
            <w:rFonts w:ascii="Times New Roman" w:hAnsi="Times New Roman" w:cs="Times New Roman"/>
            <w:sz w:val="24"/>
            <w:szCs w:val="24"/>
          </w:rPr>
          <w:t>https://naco.mohfw.gov.in/sites/default/files/HIV%20Estimation%202025%20Technical%20Report.pdf</w:t>
        </w:r>
      </w:hyperlink>
      <w:r w:rsidRPr="00553AF8">
        <w:rPr>
          <w:rFonts w:ascii="Times New Roman" w:hAnsi="Times New Roman" w:cs="Times New Roman"/>
          <w:sz w:val="24"/>
          <w:szCs w:val="24"/>
        </w:rPr>
        <w:t xml:space="preserve"> </w:t>
      </w:r>
    </w:p>
    <w:p w14:paraId="699711C0" w14:textId="77777777" w:rsidR="00CD61AA" w:rsidRPr="00553AF8" w:rsidRDefault="00CD61AA" w:rsidP="001421D2">
      <w:pPr>
        <w:pStyle w:val="ListParagraph"/>
        <w:numPr>
          <w:ilvl w:val="0"/>
          <w:numId w:val="7"/>
        </w:numPr>
        <w:spacing w:line="360" w:lineRule="auto"/>
        <w:jc w:val="both"/>
        <w:rPr>
          <w:rFonts w:ascii="Times New Roman" w:hAnsi="Times New Roman" w:cs="Times New Roman"/>
          <w:sz w:val="24"/>
          <w:szCs w:val="24"/>
        </w:rPr>
      </w:pPr>
      <w:r w:rsidRPr="00553AF8">
        <w:rPr>
          <w:rFonts w:ascii="Times New Roman" w:hAnsi="Times New Roman" w:cs="Times New Roman"/>
          <w:sz w:val="24"/>
          <w:szCs w:val="24"/>
        </w:rPr>
        <w:t xml:space="preserve">Venkatesh, U., Grover, A., Santhosh, V. N., Rahaman, M., Joshi, H. S., Bera, O. P., &amp; Durga, R. (2026). Geographic heterogeneity and temporal trends in HIV prevalence, positivity, and burden in India using national surveillance data. </w:t>
      </w:r>
      <w:proofErr w:type="spellStart"/>
      <w:r w:rsidRPr="00553AF8">
        <w:rPr>
          <w:rFonts w:ascii="Times New Roman" w:hAnsi="Times New Roman" w:cs="Times New Roman"/>
          <w:sz w:val="24"/>
          <w:szCs w:val="24"/>
        </w:rPr>
        <w:t>VirusDisease</w:t>
      </w:r>
      <w:proofErr w:type="spellEnd"/>
      <w:r w:rsidRPr="00553AF8">
        <w:rPr>
          <w:rFonts w:ascii="Times New Roman" w:hAnsi="Times New Roman" w:cs="Times New Roman"/>
          <w:sz w:val="24"/>
          <w:szCs w:val="24"/>
        </w:rPr>
        <w:t xml:space="preserve">, 37(2), 158–167. </w:t>
      </w:r>
      <w:hyperlink r:id="rId19" w:history="1">
        <w:r w:rsidRPr="00553AF8">
          <w:rPr>
            <w:rStyle w:val="Hyperlink"/>
            <w:rFonts w:ascii="Times New Roman" w:hAnsi="Times New Roman" w:cs="Times New Roman"/>
            <w:sz w:val="24"/>
            <w:szCs w:val="24"/>
          </w:rPr>
          <w:t>https://doi.org/10.1007/s13337-026-00961-1</w:t>
        </w:r>
      </w:hyperlink>
      <w:r w:rsidRPr="00553AF8">
        <w:rPr>
          <w:rFonts w:ascii="Times New Roman" w:hAnsi="Times New Roman" w:cs="Times New Roman"/>
          <w:sz w:val="24"/>
          <w:szCs w:val="24"/>
        </w:rPr>
        <w:t xml:space="preserve"> </w:t>
      </w:r>
    </w:p>
    <w:p w14:paraId="6390F247" w14:textId="77777777" w:rsidR="00CD61AA" w:rsidRPr="00553AF8" w:rsidRDefault="00CD61AA" w:rsidP="001421D2">
      <w:pPr>
        <w:pStyle w:val="ListParagraph"/>
        <w:numPr>
          <w:ilvl w:val="0"/>
          <w:numId w:val="7"/>
        </w:numPr>
        <w:spacing w:line="360" w:lineRule="auto"/>
        <w:jc w:val="both"/>
        <w:rPr>
          <w:rFonts w:ascii="Times New Roman" w:hAnsi="Times New Roman" w:cs="Times New Roman"/>
          <w:sz w:val="24"/>
          <w:szCs w:val="24"/>
        </w:rPr>
      </w:pPr>
      <w:r w:rsidRPr="00553AF8">
        <w:rPr>
          <w:rFonts w:ascii="Times New Roman" w:hAnsi="Times New Roman" w:cs="Times New Roman"/>
          <w:sz w:val="24"/>
          <w:szCs w:val="24"/>
        </w:rPr>
        <w:t xml:space="preserve">World Health Organization. (2021). Consolidated guidelines on HIV prevention, testing, treatment, service delivery and monitoring: Recommendations for a public health approach. </w:t>
      </w:r>
      <w:hyperlink r:id="rId20" w:history="1">
        <w:r w:rsidRPr="00553AF8">
          <w:rPr>
            <w:rStyle w:val="Hyperlink"/>
            <w:rFonts w:ascii="Times New Roman" w:hAnsi="Times New Roman" w:cs="Times New Roman"/>
            <w:sz w:val="24"/>
            <w:szCs w:val="24"/>
          </w:rPr>
          <w:t>https://www.who.int/publications/i/item/9789240031593</w:t>
        </w:r>
      </w:hyperlink>
      <w:r w:rsidRPr="00553AF8">
        <w:rPr>
          <w:rFonts w:ascii="Times New Roman" w:hAnsi="Times New Roman" w:cs="Times New Roman"/>
          <w:sz w:val="24"/>
          <w:szCs w:val="24"/>
        </w:rPr>
        <w:t xml:space="preserve"> </w:t>
      </w:r>
    </w:p>
    <w:p w14:paraId="4AAB6D7A" w14:textId="77777777" w:rsidR="00CD61AA" w:rsidRPr="00553AF8" w:rsidRDefault="00CD61AA" w:rsidP="001421D2">
      <w:pPr>
        <w:pStyle w:val="ListParagraph"/>
        <w:numPr>
          <w:ilvl w:val="0"/>
          <w:numId w:val="7"/>
        </w:numPr>
        <w:spacing w:line="360" w:lineRule="auto"/>
        <w:jc w:val="both"/>
        <w:rPr>
          <w:rFonts w:ascii="Times New Roman" w:hAnsi="Times New Roman" w:cs="Times New Roman"/>
          <w:sz w:val="24"/>
          <w:szCs w:val="24"/>
        </w:rPr>
      </w:pPr>
      <w:r w:rsidRPr="00553AF8">
        <w:rPr>
          <w:rFonts w:ascii="Times New Roman" w:hAnsi="Times New Roman" w:cs="Times New Roman"/>
          <w:sz w:val="24"/>
          <w:szCs w:val="24"/>
        </w:rPr>
        <w:t xml:space="preserve">World Health Organization. (2024). Consolidated guidelines on differentiated HIV testing services. </w:t>
      </w:r>
      <w:hyperlink r:id="rId21" w:history="1">
        <w:r w:rsidRPr="00553AF8">
          <w:rPr>
            <w:rStyle w:val="Hyperlink"/>
            <w:rFonts w:ascii="Times New Roman" w:hAnsi="Times New Roman" w:cs="Times New Roman"/>
            <w:sz w:val="24"/>
            <w:szCs w:val="24"/>
          </w:rPr>
          <w:t>https://www.who.int/india/publications/i/item/9789240096394</w:t>
        </w:r>
      </w:hyperlink>
    </w:p>
    <w:sectPr w:rsidR="00CD61AA" w:rsidRPr="00553AF8">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182B3" w14:textId="77777777" w:rsidR="00E153D9" w:rsidRDefault="00E153D9" w:rsidP="00401475">
      <w:pPr>
        <w:spacing w:after="0" w:line="240" w:lineRule="auto"/>
      </w:pPr>
      <w:r>
        <w:separator/>
      </w:r>
    </w:p>
  </w:endnote>
  <w:endnote w:type="continuationSeparator" w:id="0">
    <w:p w14:paraId="7A0B01A8" w14:textId="77777777" w:rsidR="00E153D9" w:rsidRDefault="00E153D9" w:rsidP="00401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D2D1" w14:textId="77777777" w:rsidR="0024377F" w:rsidRDefault="002437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F6E91" w14:textId="77777777" w:rsidR="0024377F" w:rsidRDefault="002437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BDEE1" w14:textId="77777777" w:rsidR="0024377F" w:rsidRDefault="002437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06357" w14:textId="77777777" w:rsidR="00E153D9" w:rsidRDefault="00E153D9" w:rsidP="00401475">
      <w:pPr>
        <w:spacing w:after="0" w:line="240" w:lineRule="auto"/>
      </w:pPr>
      <w:r>
        <w:separator/>
      </w:r>
    </w:p>
  </w:footnote>
  <w:footnote w:type="continuationSeparator" w:id="0">
    <w:p w14:paraId="2D8B7319" w14:textId="77777777" w:rsidR="00E153D9" w:rsidRDefault="00E153D9" w:rsidP="00401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9E7D" w14:textId="7C7FD4DC" w:rsidR="0024377F" w:rsidRDefault="0024377F">
    <w:pPr>
      <w:pStyle w:val="Header"/>
    </w:pPr>
    <w:r>
      <w:rPr>
        <w:noProof/>
      </w:rPr>
      <w:pict w14:anchorId="7902D3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1706407"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FCBA6" w14:textId="153CF3FD" w:rsidR="0024377F" w:rsidRDefault="0024377F">
    <w:pPr>
      <w:pStyle w:val="Header"/>
    </w:pPr>
    <w:r>
      <w:rPr>
        <w:noProof/>
      </w:rPr>
      <w:pict w14:anchorId="7CC7BA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1706408"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0FBB" w14:textId="2E6AA4FD" w:rsidR="0024377F" w:rsidRDefault="0024377F">
    <w:pPr>
      <w:pStyle w:val="Header"/>
    </w:pPr>
    <w:r>
      <w:rPr>
        <w:noProof/>
      </w:rPr>
      <w:pict w14:anchorId="491E67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1706406"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90099"/>
    <w:multiLevelType w:val="multilevel"/>
    <w:tmpl w:val="169CB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7D7F31"/>
    <w:multiLevelType w:val="multilevel"/>
    <w:tmpl w:val="7D92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D362DB"/>
    <w:multiLevelType w:val="multilevel"/>
    <w:tmpl w:val="6AD28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53454C"/>
    <w:multiLevelType w:val="hybridMultilevel"/>
    <w:tmpl w:val="553C2FEC"/>
    <w:lvl w:ilvl="0" w:tplc="797C30A0">
      <w:start w:val="1"/>
      <w:numFmt w:val="decimal"/>
      <w:lvlText w:val="%1."/>
      <w:lvlJc w:val="left"/>
      <w:pPr>
        <w:ind w:left="720" w:hanging="360"/>
      </w:pPr>
      <w:rPr>
        <w:rFonts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60D107B2"/>
    <w:multiLevelType w:val="hybridMultilevel"/>
    <w:tmpl w:val="3CA4E054"/>
    <w:lvl w:ilvl="0" w:tplc="70000C0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68A37BB1"/>
    <w:multiLevelType w:val="multilevel"/>
    <w:tmpl w:val="1236F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4C0027"/>
    <w:multiLevelType w:val="hybridMultilevel"/>
    <w:tmpl w:val="7CAC5218"/>
    <w:lvl w:ilvl="0" w:tplc="B84A9E9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680113344">
    <w:abstractNumId w:val="2"/>
  </w:num>
  <w:num w:numId="2" w16cid:durableId="1378580741">
    <w:abstractNumId w:val="5"/>
  </w:num>
  <w:num w:numId="3" w16cid:durableId="635986046">
    <w:abstractNumId w:val="0"/>
  </w:num>
  <w:num w:numId="4" w16cid:durableId="952902139">
    <w:abstractNumId w:val="3"/>
  </w:num>
  <w:num w:numId="5" w16cid:durableId="1423405619">
    <w:abstractNumId w:val="6"/>
  </w:num>
  <w:num w:numId="6" w16cid:durableId="1083448964">
    <w:abstractNumId w:val="1"/>
  </w:num>
  <w:num w:numId="7" w16cid:durableId="405966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DD4"/>
    <w:rsid w:val="000063CB"/>
    <w:rsid w:val="00023ED0"/>
    <w:rsid w:val="00052D96"/>
    <w:rsid w:val="001421D2"/>
    <w:rsid w:val="001C7C43"/>
    <w:rsid w:val="001F58AC"/>
    <w:rsid w:val="00222641"/>
    <w:rsid w:val="0024377F"/>
    <w:rsid w:val="00270DF6"/>
    <w:rsid w:val="0030216E"/>
    <w:rsid w:val="003F32CA"/>
    <w:rsid w:val="00401475"/>
    <w:rsid w:val="00401A3E"/>
    <w:rsid w:val="004E245D"/>
    <w:rsid w:val="004E7B3B"/>
    <w:rsid w:val="00553AF8"/>
    <w:rsid w:val="005B5A09"/>
    <w:rsid w:val="006455C1"/>
    <w:rsid w:val="00655555"/>
    <w:rsid w:val="006D30B1"/>
    <w:rsid w:val="0073520E"/>
    <w:rsid w:val="007A0682"/>
    <w:rsid w:val="00827FCE"/>
    <w:rsid w:val="00871FA4"/>
    <w:rsid w:val="008B56CB"/>
    <w:rsid w:val="009602B0"/>
    <w:rsid w:val="00A83F8B"/>
    <w:rsid w:val="00AA1A23"/>
    <w:rsid w:val="00AA6FF0"/>
    <w:rsid w:val="00AB2B44"/>
    <w:rsid w:val="00B66578"/>
    <w:rsid w:val="00BB2DD4"/>
    <w:rsid w:val="00C35D72"/>
    <w:rsid w:val="00C9125A"/>
    <w:rsid w:val="00C94296"/>
    <w:rsid w:val="00CD61AA"/>
    <w:rsid w:val="00D51C97"/>
    <w:rsid w:val="00DB45E8"/>
    <w:rsid w:val="00DF0DEB"/>
    <w:rsid w:val="00E0579A"/>
    <w:rsid w:val="00E153D9"/>
    <w:rsid w:val="00E21553"/>
    <w:rsid w:val="00E378B5"/>
    <w:rsid w:val="00E40D9E"/>
    <w:rsid w:val="00ED4704"/>
    <w:rsid w:val="00F01CF8"/>
    <w:rsid w:val="00F27BB4"/>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5A01B"/>
  <w15:chartTrackingRefBased/>
  <w15:docId w15:val="{8A578DA2-AE47-45E2-A0BC-E9098EED0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te-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2D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2D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2D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2D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2D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2D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D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D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D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D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2D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2D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2D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2D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2D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D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D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DD4"/>
    <w:rPr>
      <w:rFonts w:eastAsiaTheme="majorEastAsia" w:cstheme="majorBidi"/>
      <w:color w:val="272727" w:themeColor="text1" w:themeTint="D8"/>
    </w:rPr>
  </w:style>
  <w:style w:type="paragraph" w:styleId="Title">
    <w:name w:val="Title"/>
    <w:basedOn w:val="Normal"/>
    <w:next w:val="Normal"/>
    <w:link w:val="TitleChar"/>
    <w:uiPriority w:val="10"/>
    <w:qFormat/>
    <w:rsid w:val="00BB2D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D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D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D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DD4"/>
    <w:pPr>
      <w:spacing w:before="160"/>
      <w:jc w:val="center"/>
    </w:pPr>
    <w:rPr>
      <w:i/>
      <w:iCs/>
      <w:color w:val="404040" w:themeColor="text1" w:themeTint="BF"/>
    </w:rPr>
  </w:style>
  <w:style w:type="character" w:customStyle="1" w:styleId="QuoteChar">
    <w:name w:val="Quote Char"/>
    <w:basedOn w:val="DefaultParagraphFont"/>
    <w:link w:val="Quote"/>
    <w:uiPriority w:val="29"/>
    <w:rsid w:val="00BB2DD4"/>
    <w:rPr>
      <w:i/>
      <w:iCs/>
      <w:color w:val="404040" w:themeColor="text1" w:themeTint="BF"/>
    </w:rPr>
  </w:style>
  <w:style w:type="paragraph" w:styleId="ListParagraph">
    <w:name w:val="List Paragraph"/>
    <w:basedOn w:val="Normal"/>
    <w:uiPriority w:val="34"/>
    <w:qFormat/>
    <w:rsid w:val="00BB2DD4"/>
    <w:pPr>
      <w:ind w:left="720"/>
      <w:contextualSpacing/>
    </w:pPr>
  </w:style>
  <w:style w:type="character" w:styleId="IntenseEmphasis">
    <w:name w:val="Intense Emphasis"/>
    <w:basedOn w:val="DefaultParagraphFont"/>
    <w:uiPriority w:val="21"/>
    <w:qFormat/>
    <w:rsid w:val="00BB2DD4"/>
    <w:rPr>
      <w:i/>
      <w:iCs/>
      <w:color w:val="2F5496" w:themeColor="accent1" w:themeShade="BF"/>
    </w:rPr>
  </w:style>
  <w:style w:type="paragraph" w:styleId="IntenseQuote">
    <w:name w:val="Intense Quote"/>
    <w:basedOn w:val="Normal"/>
    <w:next w:val="Normal"/>
    <w:link w:val="IntenseQuoteChar"/>
    <w:uiPriority w:val="30"/>
    <w:qFormat/>
    <w:rsid w:val="00BB2D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2DD4"/>
    <w:rPr>
      <w:i/>
      <w:iCs/>
      <w:color w:val="2F5496" w:themeColor="accent1" w:themeShade="BF"/>
    </w:rPr>
  </w:style>
  <w:style w:type="character" w:styleId="IntenseReference">
    <w:name w:val="Intense Reference"/>
    <w:basedOn w:val="DefaultParagraphFont"/>
    <w:uiPriority w:val="32"/>
    <w:qFormat/>
    <w:rsid w:val="00BB2DD4"/>
    <w:rPr>
      <w:b/>
      <w:bCs/>
      <w:smallCaps/>
      <w:color w:val="2F5496" w:themeColor="accent1" w:themeShade="BF"/>
      <w:spacing w:val="5"/>
    </w:rPr>
  </w:style>
  <w:style w:type="character" w:styleId="Hyperlink">
    <w:name w:val="Hyperlink"/>
    <w:basedOn w:val="DefaultParagraphFont"/>
    <w:uiPriority w:val="99"/>
    <w:unhideWhenUsed/>
    <w:rsid w:val="00BB2DD4"/>
    <w:rPr>
      <w:color w:val="0563C1" w:themeColor="hyperlink"/>
      <w:u w:val="single"/>
    </w:rPr>
  </w:style>
  <w:style w:type="character" w:styleId="UnresolvedMention">
    <w:name w:val="Unresolved Mention"/>
    <w:basedOn w:val="DefaultParagraphFont"/>
    <w:uiPriority w:val="99"/>
    <w:semiHidden/>
    <w:unhideWhenUsed/>
    <w:rsid w:val="00BB2DD4"/>
    <w:rPr>
      <w:color w:val="605E5C"/>
      <w:shd w:val="clear" w:color="auto" w:fill="E1DFDD"/>
    </w:rPr>
  </w:style>
  <w:style w:type="character" w:styleId="PlaceholderText">
    <w:name w:val="Placeholder Text"/>
    <w:basedOn w:val="DefaultParagraphFont"/>
    <w:uiPriority w:val="99"/>
    <w:semiHidden/>
    <w:rsid w:val="00F27BB4"/>
    <w:rPr>
      <w:color w:val="666666"/>
    </w:rPr>
  </w:style>
  <w:style w:type="table" w:styleId="TableGrid">
    <w:name w:val="Table Grid"/>
    <w:basedOn w:val="TableNormal"/>
    <w:uiPriority w:val="39"/>
    <w:rsid w:val="00C94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1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1475"/>
  </w:style>
  <w:style w:type="paragraph" w:styleId="Footer">
    <w:name w:val="footer"/>
    <w:basedOn w:val="Normal"/>
    <w:link w:val="FooterChar"/>
    <w:uiPriority w:val="99"/>
    <w:unhideWhenUsed/>
    <w:rsid w:val="00401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1475"/>
  </w:style>
  <w:style w:type="character" w:styleId="FollowedHyperlink">
    <w:name w:val="FollowedHyperlink"/>
    <w:basedOn w:val="DefaultParagraphFont"/>
    <w:uiPriority w:val="99"/>
    <w:semiHidden/>
    <w:unhideWhenUsed/>
    <w:rsid w:val="001F58AC"/>
    <w:rPr>
      <w:color w:val="954F72" w:themeColor="followedHyperlink"/>
      <w:u w:val="single"/>
    </w:rPr>
  </w:style>
  <w:style w:type="paragraph" w:styleId="NormalWeb">
    <w:name w:val="Normal (Web)"/>
    <w:basedOn w:val="Normal"/>
    <w:uiPriority w:val="99"/>
    <w:semiHidden/>
    <w:unhideWhenUsed/>
    <w:rsid w:val="0022264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doi.org/10.4103/ijcm.ijcm_877_24" TargetMode="External"/><Relationship Id="rId18" Type="http://schemas.openxmlformats.org/officeDocument/2006/relationships/hyperlink" Target="https://naco.mohfw.gov.in/sites/default/files/HIV%20Estimation%202025%20Technical%20Report.pdf"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who.int/india/publications/i/item/9789240096394" TargetMode="External"/><Relationship Id="rId7" Type="http://schemas.openxmlformats.org/officeDocument/2006/relationships/chart" Target="charts/chart1.xml"/><Relationship Id="rId12" Type="http://schemas.openxmlformats.org/officeDocument/2006/relationships/hyperlink" Target="https://www.unaids.org/en/resources/documents/2024/2024_unaids_data" TargetMode="External"/><Relationship Id="rId17" Type="http://schemas.openxmlformats.org/officeDocument/2006/relationships/hyperlink" Target="https://naco.mohfw.gov.in/"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naco.mohfw.gov.in/sites/default/files/HIV%20Estimation%202025%20Technical%20Report.pdf" TargetMode="External"/><Relationship Id="rId20" Type="http://schemas.openxmlformats.org/officeDocument/2006/relationships/hyperlink" Target="https://www.who.int/publications/i/item/9789240031593"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naids.org/en/resources/documents/2024/global-aids-update-2024"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mohfw.gov.in/sites/default/files/Annual%20Report%202023%2024%20DoHFW%20English_0.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oi.org/10.1186/1741-7015-4-31" TargetMode="External"/><Relationship Id="rId19" Type="http://schemas.openxmlformats.org/officeDocument/2006/relationships/hyperlink" Target="https://doi.org/10.1007/s13337-026-00961-1" TargetMode="Externa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s://doi.org/10.1097/MD.0000000000026578" TargetMode="External"/><Relationship Id="rId22" Type="http://schemas.openxmlformats.org/officeDocument/2006/relationships/header" Target="header1.xml"/><Relationship Id="rId27"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 of HIV Tests conducted</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2020–21</c:v>
                </c:pt>
                <c:pt idx="1">
                  <c:v>2021–22</c:v>
                </c:pt>
                <c:pt idx="2">
                  <c:v>2022–23</c:v>
                </c:pt>
                <c:pt idx="3">
                  <c:v>2023–24</c:v>
                </c:pt>
                <c:pt idx="4">
                  <c:v>2024–25*</c:v>
                </c:pt>
              </c:strCache>
            </c:strRef>
          </c:cat>
          <c:val>
            <c:numRef>
              <c:f>Sheet1!$B$2:$B$6</c:f>
              <c:numCache>
                <c:formatCode>#,##0</c:formatCode>
                <c:ptCount val="5"/>
                <c:pt idx="0">
                  <c:v>68978</c:v>
                </c:pt>
                <c:pt idx="1">
                  <c:v>75171</c:v>
                </c:pt>
                <c:pt idx="2">
                  <c:v>114813</c:v>
                </c:pt>
                <c:pt idx="3">
                  <c:v>129630</c:v>
                </c:pt>
                <c:pt idx="4">
                  <c:v>53245</c:v>
                </c:pt>
              </c:numCache>
            </c:numRef>
          </c:val>
          <c:extLst>
            <c:ext xmlns:c16="http://schemas.microsoft.com/office/drawing/2014/chart" uri="{C3380CC4-5D6E-409C-BE32-E72D297353CC}">
              <c16:uniqueId val="{00000000-B915-45CD-B7AC-A4CDEF6338C2}"/>
            </c:ext>
          </c:extLst>
        </c:ser>
        <c:dLbls>
          <c:dLblPos val="outEnd"/>
          <c:showLegendKey val="0"/>
          <c:showVal val="1"/>
          <c:showCatName val="0"/>
          <c:showSerName val="0"/>
          <c:showPercent val="0"/>
          <c:showBubbleSize val="0"/>
        </c:dLbls>
        <c:gapWidth val="70"/>
        <c:overlap val="-100"/>
        <c:axId val="454362143"/>
        <c:axId val="454356863"/>
      </c:barChart>
      <c:catAx>
        <c:axId val="454362143"/>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Academic Year</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4356863"/>
        <c:crosses val="autoZero"/>
        <c:auto val="1"/>
        <c:lblAlgn val="ctr"/>
        <c:lblOffset val="100"/>
        <c:noMultiLvlLbl val="0"/>
      </c:catAx>
      <c:valAx>
        <c:axId val="4543568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solidFill>
                      <a:sysClr val="windowText" lastClr="000000"/>
                    </a:solidFill>
                  </a:rPr>
                  <a:t>No. of HIV Tests conducted</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436214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400">
                <a:effectLst/>
              </a:rPr>
              <a:t>HIV-Positive Cases Detected</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Sheet2!$B$1</c:f>
              <c:strCache>
                <c:ptCount val="1"/>
                <c:pt idx="0">
                  <c:v>Positive cases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Sheet2!$A$2:$A$6</c:f>
              <c:strCache>
                <c:ptCount val="5"/>
                <c:pt idx="0">
                  <c:v>2020–21</c:v>
                </c:pt>
                <c:pt idx="1">
                  <c:v>2021–22</c:v>
                </c:pt>
                <c:pt idx="2">
                  <c:v>2022–23</c:v>
                </c:pt>
                <c:pt idx="3">
                  <c:v>2023–24</c:v>
                </c:pt>
                <c:pt idx="4">
                  <c:v>2024–25*</c:v>
                </c:pt>
              </c:strCache>
            </c:strRef>
          </c:cat>
          <c:val>
            <c:numRef>
              <c:f>Sheet2!$B$2:$B$6</c:f>
              <c:numCache>
                <c:formatCode>General</c:formatCode>
                <c:ptCount val="5"/>
                <c:pt idx="0">
                  <c:v>352</c:v>
                </c:pt>
                <c:pt idx="1">
                  <c:v>405</c:v>
                </c:pt>
                <c:pt idx="2">
                  <c:v>451</c:v>
                </c:pt>
                <c:pt idx="3">
                  <c:v>538</c:v>
                </c:pt>
                <c:pt idx="4">
                  <c:v>237</c:v>
                </c:pt>
              </c:numCache>
            </c:numRef>
          </c:val>
          <c:extLst>
            <c:ext xmlns:c16="http://schemas.microsoft.com/office/drawing/2014/chart" uri="{C3380CC4-5D6E-409C-BE32-E72D297353CC}">
              <c16:uniqueId val="{00000000-7748-4D9F-B34D-F78193E71A6D}"/>
            </c:ext>
          </c:extLst>
        </c:ser>
        <c:dLbls>
          <c:dLblPos val="outEnd"/>
          <c:showLegendKey val="0"/>
          <c:showVal val="1"/>
          <c:showCatName val="0"/>
          <c:showSerName val="0"/>
          <c:showPercent val="0"/>
          <c:showBubbleSize val="0"/>
        </c:dLbls>
        <c:gapWidth val="89"/>
        <c:overlap val="-27"/>
        <c:axId val="454352543"/>
        <c:axId val="454359263"/>
      </c:barChart>
      <c:catAx>
        <c:axId val="454352543"/>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Academic Year</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4359263"/>
        <c:crosses val="autoZero"/>
        <c:auto val="1"/>
        <c:lblAlgn val="ctr"/>
        <c:lblOffset val="100"/>
        <c:noMultiLvlLbl val="0"/>
      </c:catAx>
      <c:valAx>
        <c:axId val="4543592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No. of HIV Positive Cases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435254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Sheet3!$B$1</c:f>
              <c:strCache>
                <c:ptCount val="1"/>
                <c:pt idx="0">
                  <c:v>Cases per 1,000 tests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Sheet3!$A$2:$A$6</c:f>
              <c:strCache>
                <c:ptCount val="5"/>
                <c:pt idx="0">
                  <c:v>2020–21</c:v>
                </c:pt>
                <c:pt idx="1">
                  <c:v>2021–22</c:v>
                </c:pt>
                <c:pt idx="2">
                  <c:v>2022–23</c:v>
                </c:pt>
                <c:pt idx="3">
                  <c:v>2023–24</c:v>
                </c:pt>
                <c:pt idx="4">
                  <c:v>2024–25*</c:v>
                </c:pt>
              </c:strCache>
            </c:strRef>
          </c:cat>
          <c:val>
            <c:numRef>
              <c:f>Sheet3!$B$2:$B$6</c:f>
              <c:numCache>
                <c:formatCode>General</c:formatCode>
                <c:ptCount val="5"/>
                <c:pt idx="0">
                  <c:v>0.51</c:v>
                </c:pt>
                <c:pt idx="1">
                  <c:v>0.53899999999999992</c:v>
                </c:pt>
                <c:pt idx="2">
                  <c:v>0.39300000000000002</c:v>
                </c:pt>
                <c:pt idx="3">
                  <c:v>0.41500000000000004</c:v>
                </c:pt>
                <c:pt idx="4">
                  <c:v>0.44500000000000001</c:v>
                </c:pt>
              </c:numCache>
            </c:numRef>
          </c:val>
          <c:smooth val="0"/>
          <c:extLst>
            <c:ext xmlns:c16="http://schemas.microsoft.com/office/drawing/2014/chart" uri="{C3380CC4-5D6E-409C-BE32-E72D297353CC}">
              <c16:uniqueId val="{00000000-F24F-4F0F-BEF9-82E8AFF3469C}"/>
            </c:ext>
          </c:extLst>
        </c:ser>
        <c:dLbls>
          <c:dLblPos val="t"/>
          <c:showLegendKey val="0"/>
          <c:showVal val="1"/>
          <c:showCatName val="0"/>
          <c:showSerName val="0"/>
          <c:showPercent val="0"/>
          <c:showBubbleSize val="0"/>
        </c:dLbls>
        <c:smooth val="0"/>
        <c:axId val="454388063"/>
        <c:axId val="454388543"/>
      </c:lineChart>
      <c:catAx>
        <c:axId val="454388063"/>
        <c:scaling>
          <c:orientation val="minMax"/>
        </c:scaling>
        <c:delete val="0"/>
        <c:axPos val="b"/>
        <c:title>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4388543"/>
        <c:crosses val="autoZero"/>
        <c:auto val="1"/>
        <c:lblAlgn val="ctr"/>
        <c:lblOffset val="100"/>
        <c:noMultiLvlLbl val="0"/>
      </c:catAx>
      <c:valAx>
        <c:axId val="4543885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HIV test positivity rate</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438806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4261</Words>
  <Characters>24288</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GAJANAN ANKATWAR</dc:creator>
  <cp:keywords/>
  <dc:description/>
  <cp:lastModifiedBy>SDI 1166</cp:lastModifiedBy>
  <cp:revision>7</cp:revision>
  <cp:lastPrinted>2026-10-21T07:16:00Z</cp:lastPrinted>
  <dcterms:created xsi:type="dcterms:W3CDTF">2026-10-21T07:15:00Z</dcterms:created>
  <dcterms:modified xsi:type="dcterms:W3CDTF">2026-10-22T12:08:00Z</dcterms:modified>
</cp:coreProperties>
</file>