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9E8EF" w14:textId="6CBA3D5E" w:rsidR="00A510CF" w:rsidRDefault="00A510CF">
      <w:pPr>
        <w:rPr>
          <w:rFonts w:ascii="Times New Roman" w:hAnsi="Times New Roman" w:cs="Times New Roman"/>
          <w:b/>
          <w:bCs/>
        </w:rPr>
      </w:pPr>
      <w:r w:rsidRPr="00EE665C">
        <w:rPr>
          <w:rFonts w:ascii="Times New Roman" w:hAnsi="Times New Roman" w:cs="Times New Roman"/>
          <w:b/>
          <w:bCs/>
        </w:rPr>
        <w:t>The Influence of Mobile Money and Fin</w:t>
      </w:r>
      <w:r w:rsidR="00921367" w:rsidRPr="00EE665C">
        <w:rPr>
          <w:rFonts w:ascii="Times New Roman" w:hAnsi="Times New Roman" w:cs="Times New Roman"/>
          <w:b/>
          <w:bCs/>
        </w:rPr>
        <w:t>T</w:t>
      </w:r>
      <w:r w:rsidRPr="00EE665C">
        <w:rPr>
          <w:rFonts w:ascii="Times New Roman" w:hAnsi="Times New Roman" w:cs="Times New Roman"/>
          <w:b/>
          <w:bCs/>
        </w:rPr>
        <w:t>ech Apps on Consumer Spending Habits in Nigeria</w:t>
      </w:r>
    </w:p>
    <w:p w14:paraId="3FD141E6" w14:textId="77777777" w:rsidR="00F977C9" w:rsidRDefault="00F977C9">
      <w:pPr>
        <w:rPr>
          <w:rFonts w:ascii="Times New Roman" w:hAnsi="Times New Roman" w:cs="Times New Roman"/>
          <w:b/>
          <w:bCs/>
        </w:rPr>
      </w:pPr>
    </w:p>
    <w:p w14:paraId="7B339AFB" w14:textId="77777777" w:rsidR="00DC6777" w:rsidRDefault="00DC6777" w:rsidP="00F977C9">
      <w:pPr>
        <w:jc w:val="center"/>
        <w:rPr>
          <w:rFonts w:ascii="Times New Roman" w:hAnsi="Times New Roman" w:cs="Times New Roman"/>
          <w:i/>
        </w:rPr>
      </w:pPr>
    </w:p>
    <w:p w14:paraId="2F8575CC" w14:textId="320815A8" w:rsidR="00EE3B26" w:rsidRPr="0041715D" w:rsidRDefault="00EE3B26" w:rsidP="00F977C9">
      <w:pPr>
        <w:jc w:val="center"/>
        <w:rPr>
          <w:rFonts w:ascii="Times New Roman" w:hAnsi="Times New Roman" w:cs="Times New Roman"/>
          <w:i/>
        </w:rPr>
      </w:pPr>
      <w:r>
        <w:rPr>
          <w:rFonts w:ascii="Times New Roman" w:hAnsi="Times New Roman" w:cs="Times New Roman"/>
          <w:i/>
        </w:rPr>
        <w:t xml:space="preserve"> </w:t>
      </w:r>
    </w:p>
    <w:p w14:paraId="39021959" w14:textId="77777777" w:rsidR="00F977C9" w:rsidRPr="00F977C9" w:rsidRDefault="00F977C9" w:rsidP="00F977C9">
      <w:pPr>
        <w:jc w:val="center"/>
        <w:rPr>
          <w:rFonts w:ascii="Times New Roman" w:hAnsi="Times New Roman" w:cs="Times New Roman"/>
          <w:bCs/>
        </w:rPr>
      </w:pPr>
    </w:p>
    <w:p w14:paraId="0D892B4A" w14:textId="77777777" w:rsidR="005A2920" w:rsidRPr="00EE665C" w:rsidRDefault="005A2920" w:rsidP="003F6B49">
      <w:pPr>
        <w:spacing w:before="100" w:beforeAutospacing="1" w:after="100" w:afterAutospacing="1" w:line="240" w:lineRule="auto"/>
        <w:jc w:val="center"/>
        <w:rPr>
          <w:rFonts w:ascii="Times New Roman" w:eastAsia="Times New Roman" w:hAnsi="Times New Roman" w:cs="Times New Roman"/>
          <w:kern w:val="0"/>
          <w14:ligatures w14:val="none"/>
        </w:rPr>
      </w:pPr>
      <w:r w:rsidRPr="00EE665C">
        <w:rPr>
          <w:rFonts w:ascii="Times New Roman" w:eastAsia="Times New Roman" w:hAnsi="Times New Roman" w:cs="Times New Roman"/>
          <w:b/>
          <w:bCs/>
          <w:kern w:val="0"/>
          <w14:ligatures w14:val="none"/>
        </w:rPr>
        <w:t>Abstract</w:t>
      </w:r>
    </w:p>
    <w:p w14:paraId="624E6F34" w14:textId="77777777" w:rsidR="005A2920" w:rsidRPr="00EE665C" w:rsidRDefault="005A2920" w:rsidP="005A2920">
      <w:pPr>
        <w:spacing w:before="100" w:beforeAutospacing="1" w:after="100" w:afterAutospacing="1" w:line="240" w:lineRule="auto"/>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As digital financial services rapidly expand across emerging markets, understanding the determinants of mobile money usage is critical for deepening economic inclusion. Grounded in the Technology Acceptance Model (TAM), this study investigates the impact of Perceived Convenience, Perceived Security, and Perceived Usefulness on the Consumer Spending Habits of FinTech users. A positivist, cross-sectional research design was employed, utilizing purposive sampling to survey 294 semi-literate female traders across three major open-air markets in Obio Akpor Local Government Area, Rivers State, Nigeria. Data were validated and analyzed using Partial Least Squares Structural Equation Modeling (PLS-SEM). The findings reveal that Perceived Convenience is the strongest positive driver of consumer spending habits, followed by a moderate positive influence from Perceived Usefulness. Notably, while Perceived Security established robust internal reliability, it exerted the weakest direct effect on transaction volume, suggesting it functions as a baseline expectation rather than an active catalyst for usage. The study concludes that while secure infrastructure is necessary to establish initial trust, frictionless user experiences and tangible daily utility are the primary engines of sustained digital financial engagement. Consequently, FinTech developers and policymakers are advised to prioritize seamless ecosystem integrations tailored to middle-aged demographics to accelerate digital economy participation.</w:t>
      </w:r>
    </w:p>
    <w:p w14:paraId="760CF601" w14:textId="77777777" w:rsidR="005A2920" w:rsidRPr="00EE665C" w:rsidRDefault="005A2920" w:rsidP="005A2920">
      <w:pPr>
        <w:spacing w:before="100" w:beforeAutospacing="1" w:after="100" w:afterAutospacing="1" w:line="240" w:lineRule="auto"/>
        <w:rPr>
          <w:rFonts w:ascii="Times New Roman" w:eastAsia="Times New Roman" w:hAnsi="Times New Roman" w:cs="Times New Roman"/>
          <w:kern w:val="0"/>
          <w14:ligatures w14:val="none"/>
        </w:rPr>
      </w:pPr>
      <w:r w:rsidRPr="00EE665C">
        <w:rPr>
          <w:rFonts w:ascii="Times New Roman" w:eastAsia="Times New Roman" w:hAnsi="Times New Roman" w:cs="Times New Roman"/>
          <w:b/>
          <w:bCs/>
          <w:kern w:val="0"/>
          <w14:ligatures w14:val="none"/>
        </w:rPr>
        <w:t>Keywords:</w:t>
      </w:r>
      <w:r w:rsidRPr="00EE665C">
        <w:rPr>
          <w:rFonts w:ascii="Times New Roman" w:eastAsia="Times New Roman" w:hAnsi="Times New Roman" w:cs="Times New Roman"/>
          <w:kern w:val="0"/>
          <w14:ligatures w14:val="none"/>
        </w:rPr>
        <w:t xml:space="preserve"> </w:t>
      </w:r>
      <w:r w:rsidRPr="00EE665C">
        <w:rPr>
          <w:rFonts w:ascii="Times New Roman" w:eastAsia="Times New Roman" w:hAnsi="Times New Roman" w:cs="Times New Roman"/>
          <w:i/>
          <w:iCs/>
          <w:kern w:val="0"/>
          <w14:ligatures w14:val="none"/>
        </w:rPr>
        <w:t>FinTech Adoption, Mobile Money, Consumer Spending Habits, Technology Acceptance Model (TAM), Financial Inclusion, Emerging Markets.</w:t>
      </w:r>
    </w:p>
    <w:p w14:paraId="6E105533" w14:textId="6C4C9D44" w:rsidR="00925DC5" w:rsidRPr="00EE665C" w:rsidRDefault="00925DC5">
      <w:pPr>
        <w:rPr>
          <w:rFonts w:ascii="Times New Roman" w:hAnsi="Times New Roman" w:cs="Times New Roman"/>
          <w:b/>
          <w:bCs/>
        </w:rPr>
      </w:pPr>
    </w:p>
    <w:p w14:paraId="715381DA" w14:textId="64DB11DC" w:rsidR="001B62EF" w:rsidRPr="00EE665C" w:rsidRDefault="004329D2">
      <w:pPr>
        <w:rPr>
          <w:rFonts w:ascii="Times New Roman" w:hAnsi="Times New Roman" w:cs="Times New Roman"/>
          <w:b/>
          <w:bCs/>
        </w:rPr>
      </w:pPr>
      <w:r w:rsidRPr="00EE665C">
        <w:rPr>
          <w:rFonts w:ascii="Times New Roman" w:hAnsi="Times New Roman" w:cs="Times New Roman"/>
          <w:b/>
          <w:bCs/>
        </w:rPr>
        <w:t xml:space="preserve">1.0 </w:t>
      </w:r>
      <w:r w:rsidR="00925DC5" w:rsidRPr="00EE665C">
        <w:rPr>
          <w:rFonts w:ascii="Times New Roman" w:hAnsi="Times New Roman" w:cs="Times New Roman"/>
          <w:b/>
          <w:bCs/>
        </w:rPr>
        <w:t>Introduction</w:t>
      </w:r>
    </w:p>
    <w:p w14:paraId="2C8A055D" w14:textId="74F54E24" w:rsidR="00925DC5" w:rsidRPr="00EE665C" w:rsidRDefault="00925DC5" w:rsidP="00925DC5">
      <w:pPr>
        <w:spacing w:line="480" w:lineRule="auto"/>
        <w:jc w:val="both"/>
        <w:rPr>
          <w:rFonts w:ascii="Times New Roman" w:hAnsi="Times New Roman" w:cs="Times New Roman"/>
        </w:rPr>
      </w:pPr>
      <w:r w:rsidRPr="00EE665C">
        <w:rPr>
          <w:rFonts w:ascii="Times New Roman" w:hAnsi="Times New Roman" w:cs="Times New Roman"/>
        </w:rPr>
        <w:t>Over the past decade, Nigeria’s financial landscape has undergone a remarkable transformation, mainly driven by the proliferation of digital technologies and the steady evolution of its financial regulatory architecture. The accelerated adoption of Fin</w:t>
      </w:r>
      <w:r w:rsidR="00921367" w:rsidRPr="00EE665C">
        <w:rPr>
          <w:rFonts w:ascii="Times New Roman" w:hAnsi="Times New Roman" w:cs="Times New Roman"/>
        </w:rPr>
        <w:t>T</w:t>
      </w:r>
      <w:r w:rsidRPr="00EE665C">
        <w:rPr>
          <w:rFonts w:ascii="Times New Roman" w:hAnsi="Times New Roman" w:cs="Times New Roman"/>
        </w:rPr>
        <w:t xml:space="preserve">ech solutions, particularly mobile-based financial services, reflects a broader structural shift toward digitalization across sectors. This momentum has been significantly reinforced by the convergence of mobile money platforms and the growth of the e-commerce sector which have positioned Nigeria at the forefront of Africa’s digital </w:t>
      </w:r>
      <w:r w:rsidRPr="00EE665C">
        <w:rPr>
          <w:rFonts w:ascii="Times New Roman" w:hAnsi="Times New Roman" w:cs="Times New Roman"/>
        </w:rPr>
        <w:lastRenderedPageBreak/>
        <w:t xml:space="preserve">finance evolution (PwC Nigeria, 2023; </w:t>
      </w:r>
      <w:proofErr w:type="spellStart"/>
      <w:r w:rsidRPr="00EE665C">
        <w:rPr>
          <w:rFonts w:ascii="Times New Roman" w:hAnsi="Times New Roman" w:cs="Times New Roman"/>
        </w:rPr>
        <w:t>EFInA</w:t>
      </w:r>
      <w:proofErr w:type="spellEnd"/>
      <w:r w:rsidRPr="00EE665C">
        <w:rPr>
          <w:rFonts w:ascii="Times New Roman" w:hAnsi="Times New Roman" w:cs="Times New Roman"/>
        </w:rPr>
        <w:t>, 2023). As Africa’s most populous country, Nigeria is the hub for financial innovation and adoption. With a population exceeding 200 million and an estimated 38 million unbanked adults (</w:t>
      </w:r>
      <w:proofErr w:type="spellStart"/>
      <w:r w:rsidRPr="00EE665C">
        <w:rPr>
          <w:rFonts w:ascii="Times New Roman" w:hAnsi="Times New Roman" w:cs="Times New Roman"/>
        </w:rPr>
        <w:t>EFInA</w:t>
      </w:r>
      <w:proofErr w:type="spellEnd"/>
      <w:r w:rsidRPr="00EE665C">
        <w:rPr>
          <w:rFonts w:ascii="Times New Roman" w:hAnsi="Times New Roman" w:cs="Times New Roman"/>
        </w:rPr>
        <w:t>, 2023), the demand for inclusive, scalable financial solutions remains acute. Hence, Mobile money has emerged as a vital mechanism for extending financial services to this segment, evidenced by the exponential growth of registered mobile money agents and users in recent years (CBN, 2023). Notably, the rise in agent banking has bridged access gaps in peri-urban and rural areas and has supported informal economic transactions and micro-entrepreneurship (</w:t>
      </w:r>
      <w:proofErr w:type="spellStart"/>
      <w:r w:rsidRPr="00EE665C">
        <w:rPr>
          <w:rFonts w:ascii="Times New Roman" w:hAnsi="Times New Roman" w:cs="Times New Roman"/>
        </w:rPr>
        <w:t>Nwobu</w:t>
      </w:r>
      <w:proofErr w:type="spellEnd"/>
      <w:r w:rsidRPr="00EE665C">
        <w:rPr>
          <w:rFonts w:ascii="Times New Roman" w:hAnsi="Times New Roman" w:cs="Times New Roman"/>
        </w:rPr>
        <w:t>, 2022).</w:t>
      </w:r>
    </w:p>
    <w:p w14:paraId="035AE51E" w14:textId="09A85F11" w:rsidR="00925DC5" w:rsidRPr="00EE665C" w:rsidRDefault="00925DC5" w:rsidP="00925DC5">
      <w:pPr>
        <w:spacing w:line="480" w:lineRule="auto"/>
        <w:jc w:val="both"/>
        <w:rPr>
          <w:rFonts w:ascii="Times New Roman" w:hAnsi="Times New Roman" w:cs="Times New Roman"/>
        </w:rPr>
      </w:pPr>
      <w:r w:rsidRPr="00EE665C">
        <w:rPr>
          <w:rFonts w:ascii="Times New Roman" w:hAnsi="Times New Roman" w:cs="Times New Roman"/>
        </w:rPr>
        <w:t xml:space="preserve">The evolution of e-commerce platforms has played a complementary role in this transformation. Firms such as Jumia and Konga have expanded the digital marketplace by integrating seamless checkout processes, thereby intensifying demand for efficient, real-time payment systems. </w:t>
      </w:r>
      <w:r w:rsidR="00926BE9" w:rsidRPr="00EE665C">
        <w:rPr>
          <w:rFonts w:ascii="Times New Roman" w:hAnsi="Times New Roman" w:cs="Times New Roman"/>
        </w:rPr>
        <w:t xml:space="preserve">Also, </w:t>
      </w:r>
      <w:r w:rsidRPr="00EE665C">
        <w:rPr>
          <w:rFonts w:ascii="Times New Roman" w:hAnsi="Times New Roman" w:cs="Times New Roman"/>
        </w:rPr>
        <w:t>Fin</w:t>
      </w:r>
      <w:r w:rsidR="00921367" w:rsidRPr="00EE665C">
        <w:rPr>
          <w:rFonts w:ascii="Times New Roman" w:hAnsi="Times New Roman" w:cs="Times New Roman"/>
        </w:rPr>
        <w:t>T</w:t>
      </w:r>
      <w:r w:rsidRPr="00EE665C">
        <w:rPr>
          <w:rFonts w:ascii="Times New Roman" w:hAnsi="Times New Roman" w:cs="Times New Roman"/>
        </w:rPr>
        <w:t>ech startups</w:t>
      </w:r>
      <w:r w:rsidR="00926BE9" w:rsidRPr="00EE665C">
        <w:rPr>
          <w:rFonts w:ascii="Times New Roman" w:hAnsi="Times New Roman" w:cs="Times New Roman"/>
        </w:rPr>
        <w:t xml:space="preserve"> </w:t>
      </w:r>
      <w:r w:rsidRPr="00EE665C">
        <w:rPr>
          <w:rFonts w:ascii="Times New Roman" w:hAnsi="Times New Roman" w:cs="Times New Roman"/>
        </w:rPr>
        <w:t xml:space="preserve">like </w:t>
      </w:r>
      <w:proofErr w:type="spellStart"/>
      <w:r w:rsidRPr="00EE665C">
        <w:rPr>
          <w:rFonts w:ascii="Times New Roman" w:hAnsi="Times New Roman" w:cs="Times New Roman"/>
        </w:rPr>
        <w:t>Paystack</w:t>
      </w:r>
      <w:proofErr w:type="spellEnd"/>
      <w:r w:rsidRPr="00EE665C">
        <w:rPr>
          <w:rFonts w:ascii="Times New Roman" w:hAnsi="Times New Roman" w:cs="Times New Roman"/>
        </w:rPr>
        <w:t xml:space="preserve">, </w:t>
      </w:r>
      <w:proofErr w:type="spellStart"/>
      <w:r w:rsidRPr="00EE665C">
        <w:rPr>
          <w:rFonts w:ascii="Times New Roman" w:hAnsi="Times New Roman" w:cs="Times New Roman"/>
        </w:rPr>
        <w:t>Flutterwave</w:t>
      </w:r>
      <w:proofErr w:type="spellEnd"/>
      <w:r w:rsidRPr="00EE665C">
        <w:rPr>
          <w:rFonts w:ascii="Times New Roman" w:hAnsi="Times New Roman" w:cs="Times New Roman"/>
        </w:rPr>
        <w:t xml:space="preserve">, </w:t>
      </w:r>
      <w:proofErr w:type="spellStart"/>
      <w:r w:rsidR="00926BE9" w:rsidRPr="00EE665C">
        <w:rPr>
          <w:rFonts w:ascii="Times New Roman" w:hAnsi="Times New Roman" w:cs="Times New Roman"/>
        </w:rPr>
        <w:t>Opay</w:t>
      </w:r>
      <w:proofErr w:type="spellEnd"/>
      <w:r w:rsidR="00926BE9" w:rsidRPr="00EE665C">
        <w:rPr>
          <w:rFonts w:ascii="Times New Roman" w:hAnsi="Times New Roman" w:cs="Times New Roman"/>
        </w:rPr>
        <w:t xml:space="preserve">, </w:t>
      </w:r>
      <w:proofErr w:type="spellStart"/>
      <w:r w:rsidR="00926BE9" w:rsidRPr="00EE665C">
        <w:rPr>
          <w:rFonts w:ascii="Times New Roman" w:hAnsi="Times New Roman" w:cs="Times New Roman"/>
        </w:rPr>
        <w:t>Moniepoint</w:t>
      </w:r>
      <w:proofErr w:type="spellEnd"/>
      <w:r w:rsidR="00926BE9" w:rsidRPr="00EE665C">
        <w:rPr>
          <w:rFonts w:ascii="Times New Roman" w:hAnsi="Times New Roman" w:cs="Times New Roman"/>
        </w:rPr>
        <w:t xml:space="preserve">, </w:t>
      </w:r>
      <w:r w:rsidRPr="00EE665C">
        <w:rPr>
          <w:rFonts w:ascii="Times New Roman" w:hAnsi="Times New Roman" w:cs="Times New Roman"/>
        </w:rPr>
        <w:t xml:space="preserve">and </w:t>
      </w:r>
      <w:proofErr w:type="spellStart"/>
      <w:r w:rsidRPr="00EE665C">
        <w:rPr>
          <w:rFonts w:ascii="Times New Roman" w:hAnsi="Times New Roman" w:cs="Times New Roman"/>
        </w:rPr>
        <w:t>PalmPay</w:t>
      </w:r>
      <w:proofErr w:type="spellEnd"/>
      <w:r w:rsidR="00926BE9" w:rsidRPr="00EE665C">
        <w:rPr>
          <w:rFonts w:ascii="Times New Roman" w:hAnsi="Times New Roman" w:cs="Times New Roman"/>
        </w:rPr>
        <w:t xml:space="preserve"> </w:t>
      </w:r>
      <w:r w:rsidRPr="00EE665C">
        <w:rPr>
          <w:rFonts w:ascii="Times New Roman" w:hAnsi="Times New Roman" w:cs="Times New Roman"/>
        </w:rPr>
        <w:t xml:space="preserve">have responded </w:t>
      </w:r>
      <w:r w:rsidR="00926BE9" w:rsidRPr="00EE665C">
        <w:rPr>
          <w:rFonts w:ascii="Times New Roman" w:hAnsi="Times New Roman" w:cs="Times New Roman"/>
        </w:rPr>
        <w:t xml:space="preserve">by integrating </w:t>
      </w:r>
      <w:r w:rsidRPr="00EE665C">
        <w:rPr>
          <w:rFonts w:ascii="Times New Roman" w:hAnsi="Times New Roman" w:cs="Times New Roman"/>
        </w:rPr>
        <w:t xml:space="preserve">robust APIs, real-time payment engines, and merchant-focused platforms that facilitate secure and scalable transactions (Jacob &amp; Umoh, 2024). </w:t>
      </w:r>
      <w:r w:rsidR="00926BE9" w:rsidRPr="00EE665C">
        <w:rPr>
          <w:rFonts w:ascii="Times New Roman" w:hAnsi="Times New Roman" w:cs="Times New Roman"/>
        </w:rPr>
        <w:t>These Fin</w:t>
      </w:r>
      <w:r w:rsidR="00921367" w:rsidRPr="00EE665C">
        <w:rPr>
          <w:rFonts w:ascii="Times New Roman" w:hAnsi="Times New Roman" w:cs="Times New Roman"/>
        </w:rPr>
        <w:t>T</w:t>
      </w:r>
      <w:r w:rsidR="00926BE9" w:rsidRPr="00EE665C">
        <w:rPr>
          <w:rFonts w:ascii="Times New Roman" w:hAnsi="Times New Roman" w:cs="Times New Roman"/>
        </w:rPr>
        <w:t>ech</w:t>
      </w:r>
      <w:r w:rsidR="001957F8" w:rsidRPr="00EE665C">
        <w:rPr>
          <w:rFonts w:ascii="Times New Roman" w:hAnsi="Times New Roman" w:cs="Times New Roman"/>
        </w:rPr>
        <w:t xml:space="preserve"> </w:t>
      </w:r>
      <w:r w:rsidR="00926BE9" w:rsidRPr="00EE665C">
        <w:rPr>
          <w:rFonts w:ascii="Times New Roman" w:hAnsi="Times New Roman" w:cs="Times New Roman"/>
        </w:rPr>
        <w:t xml:space="preserve">Apps have facial recognition and user authentication processes, and these </w:t>
      </w:r>
      <w:r w:rsidRPr="00EE665C">
        <w:rPr>
          <w:rFonts w:ascii="Times New Roman" w:hAnsi="Times New Roman" w:cs="Times New Roman"/>
        </w:rPr>
        <w:t>innovations have reduced frictions in payment processing,</w:t>
      </w:r>
      <w:r w:rsidR="00926BE9" w:rsidRPr="00EE665C">
        <w:rPr>
          <w:rFonts w:ascii="Times New Roman" w:hAnsi="Times New Roman" w:cs="Times New Roman"/>
        </w:rPr>
        <w:t xml:space="preserve"> which has</w:t>
      </w:r>
      <w:r w:rsidRPr="00EE665C">
        <w:rPr>
          <w:rFonts w:ascii="Times New Roman" w:hAnsi="Times New Roman" w:cs="Times New Roman"/>
        </w:rPr>
        <w:t xml:space="preserve"> supported SME growth, and catalyzed broader financial engagement (Adesola &amp; Essien, 2025).</w:t>
      </w:r>
      <w:r w:rsidR="00926BE9" w:rsidRPr="00EE665C">
        <w:rPr>
          <w:rFonts w:ascii="Times New Roman" w:hAnsi="Times New Roman" w:cs="Times New Roman"/>
        </w:rPr>
        <w:t xml:space="preserve"> </w:t>
      </w:r>
      <w:r w:rsidRPr="00EE665C">
        <w:rPr>
          <w:rFonts w:ascii="Times New Roman" w:hAnsi="Times New Roman" w:cs="Times New Roman"/>
        </w:rPr>
        <w:t>These platforms often bypass traditional credit assessments, instead</w:t>
      </w:r>
      <w:r w:rsidR="00926BE9" w:rsidRPr="00EE665C">
        <w:rPr>
          <w:rFonts w:ascii="Times New Roman" w:hAnsi="Times New Roman" w:cs="Times New Roman"/>
        </w:rPr>
        <w:t>,</w:t>
      </w:r>
      <w:r w:rsidRPr="00EE665C">
        <w:rPr>
          <w:rFonts w:ascii="Times New Roman" w:hAnsi="Times New Roman" w:cs="Times New Roman"/>
        </w:rPr>
        <w:t xml:space="preserve"> </w:t>
      </w:r>
      <w:r w:rsidR="00926BE9" w:rsidRPr="00EE665C">
        <w:rPr>
          <w:rFonts w:ascii="Times New Roman" w:hAnsi="Times New Roman" w:cs="Times New Roman"/>
        </w:rPr>
        <w:t xml:space="preserve">they </w:t>
      </w:r>
      <w:r w:rsidRPr="00EE665C">
        <w:rPr>
          <w:rFonts w:ascii="Times New Roman" w:hAnsi="Times New Roman" w:cs="Times New Roman"/>
        </w:rPr>
        <w:t>rely</w:t>
      </w:r>
      <w:r w:rsidR="00926BE9" w:rsidRPr="00EE665C">
        <w:rPr>
          <w:rFonts w:ascii="Times New Roman" w:hAnsi="Times New Roman" w:cs="Times New Roman"/>
        </w:rPr>
        <w:t xml:space="preserve"> </w:t>
      </w:r>
      <w:r w:rsidRPr="00EE665C">
        <w:rPr>
          <w:rFonts w:ascii="Times New Roman" w:hAnsi="Times New Roman" w:cs="Times New Roman"/>
        </w:rPr>
        <w:t xml:space="preserve">on algorithmic scoring, </w:t>
      </w:r>
      <w:r w:rsidR="00926BE9" w:rsidRPr="00EE665C">
        <w:rPr>
          <w:rFonts w:ascii="Times New Roman" w:hAnsi="Times New Roman" w:cs="Times New Roman"/>
        </w:rPr>
        <w:t>thereby</w:t>
      </w:r>
      <w:r w:rsidRPr="00EE665C">
        <w:rPr>
          <w:rFonts w:ascii="Times New Roman" w:hAnsi="Times New Roman" w:cs="Times New Roman"/>
        </w:rPr>
        <w:t xml:space="preserve"> offering microcredit and payments to previously underserved demographics (</w:t>
      </w:r>
      <w:proofErr w:type="spellStart"/>
      <w:r w:rsidRPr="00EE665C">
        <w:rPr>
          <w:rFonts w:ascii="Times New Roman" w:hAnsi="Times New Roman" w:cs="Times New Roman"/>
        </w:rPr>
        <w:t>Otopah</w:t>
      </w:r>
      <w:proofErr w:type="spellEnd"/>
      <w:r w:rsidRPr="00EE665C">
        <w:rPr>
          <w:rFonts w:ascii="Times New Roman" w:hAnsi="Times New Roman" w:cs="Times New Roman"/>
        </w:rPr>
        <w:t xml:space="preserve"> et al., 2024).</w:t>
      </w:r>
    </w:p>
    <w:p w14:paraId="511455BD" w14:textId="76226C1B" w:rsidR="00925DC5" w:rsidRPr="00EE665C" w:rsidRDefault="00925DC5" w:rsidP="00925DC5">
      <w:pPr>
        <w:spacing w:line="480" w:lineRule="auto"/>
        <w:jc w:val="both"/>
        <w:rPr>
          <w:rFonts w:ascii="Times New Roman" w:hAnsi="Times New Roman" w:cs="Times New Roman"/>
        </w:rPr>
      </w:pPr>
      <w:r w:rsidRPr="00EE665C">
        <w:rPr>
          <w:rFonts w:ascii="Times New Roman" w:hAnsi="Times New Roman" w:cs="Times New Roman"/>
        </w:rPr>
        <w:t xml:space="preserve">Institutional support has further enhanced this ecosystem. Since the issuance of Nigeria’s mobile money regulatory framework in 2011, and subsequent policies including the cashless policy and Open Banking guidelines, the Central Bank of Nigeria (CBN) has played a pivotal role in fostering a conducive environment for digital financial innovation (CBN, 2011; Ifechukwu, 2022). Initiatives </w:t>
      </w:r>
      <w:r w:rsidRPr="00EE665C">
        <w:rPr>
          <w:rFonts w:ascii="Times New Roman" w:hAnsi="Times New Roman" w:cs="Times New Roman"/>
        </w:rPr>
        <w:lastRenderedPageBreak/>
        <w:t>such as the Fin</w:t>
      </w:r>
      <w:r w:rsidR="00921367" w:rsidRPr="00EE665C">
        <w:rPr>
          <w:rFonts w:ascii="Times New Roman" w:hAnsi="Times New Roman" w:cs="Times New Roman"/>
        </w:rPr>
        <w:t>T</w:t>
      </w:r>
      <w:r w:rsidRPr="00EE665C">
        <w:rPr>
          <w:rFonts w:ascii="Times New Roman" w:hAnsi="Times New Roman" w:cs="Times New Roman"/>
        </w:rPr>
        <w:t>ech sandbox, licensing of Payment Service Banks (PSBs), and modernization of the Nigeria Inter-Bank Settlement System (NIBSS) have facilitated greater interoperability, enhanced trust, and broadened service availability across economic classes (</w:t>
      </w:r>
      <w:proofErr w:type="spellStart"/>
      <w:r w:rsidRPr="00EE665C">
        <w:rPr>
          <w:rFonts w:ascii="Times New Roman" w:hAnsi="Times New Roman" w:cs="Times New Roman"/>
        </w:rPr>
        <w:t>Isiaku</w:t>
      </w:r>
      <w:proofErr w:type="spellEnd"/>
      <w:r w:rsidRPr="00EE665C">
        <w:rPr>
          <w:rFonts w:ascii="Times New Roman" w:hAnsi="Times New Roman" w:cs="Times New Roman"/>
        </w:rPr>
        <w:t xml:space="preserve"> et al., 2024).</w:t>
      </w:r>
    </w:p>
    <w:p w14:paraId="2AC52B26" w14:textId="1686CB2C" w:rsidR="00925DC5" w:rsidRPr="00EE665C" w:rsidRDefault="00925DC5" w:rsidP="00925DC5">
      <w:pPr>
        <w:spacing w:line="480" w:lineRule="auto"/>
        <w:jc w:val="both"/>
        <w:rPr>
          <w:rFonts w:ascii="Times New Roman" w:hAnsi="Times New Roman" w:cs="Times New Roman"/>
        </w:rPr>
      </w:pPr>
      <w:r w:rsidRPr="00EE665C">
        <w:rPr>
          <w:rFonts w:ascii="Times New Roman" w:hAnsi="Times New Roman" w:cs="Times New Roman"/>
        </w:rPr>
        <w:t>Quantitative indicators illustrate the scale of this growth. In 2023, mobile transactions processed through NIBSS platforms reached ₦19.4 trillion, reflecting a 143% increase over the previous year (NIBSS, 2023)</w:t>
      </w:r>
      <w:r w:rsidR="00926BE9" w:rsidRPr="00EE665C">
        <w:rPr>
          <w:rFonts w:ascii="Times New Roman" w:hAnsi="Times New Roman" w:cs="Times New Roman"/>
        </w:rPr>
        <w:t xml:space="preserve"> with a projected compound annual growth rate (CAGR) exceeding 20% through 2026. Hence, the sector is poised to deepen its impact as a model for regional digital financial integration (Statista, 2024).</w:t>
      </w:r>
      <w:r w:rsidRPr="00EE665C">
        <w:rPr>
          <w:rFonts w:ascii="Times New Roman" w:hAnsi="Times New Roman" w:cs="Times New Roman"/>
        </w:rPr>
        <w:t xml:space="preserve"> This surge indicates heightened digital confidence among users </w:t>
      </w:r>
      <w:r w:rsidR="00926BE9" w:rsidRPr="00EE665C">
        <w:rPr>
          <w:rFonts w:ascii="Times New Roman" w:hAnsi="Times New Roman" w:cs="Times New Roman"/>
        </w:rPr>
        <w:t xml:space="preserve">and </w:t>
      </w:r>
      <w:r w:rsidRPr="00EE665C">
        <w:rPr>
          <w:rFonts w:ascii="Times New Roman" w:hAnsi="Times New Roman" w:cs="Times New Roman"/>
        </w:rPr>
        <w:t>also reflects the increasing role of Fin</w:t>
      </w:r>
      <w:r w:rsidR="00921367" w:rsidRPr="00EE665C">
        <w:rPr>
          <w:rFonts w:ascii="Times New Roman" w:hAnsi="Times New Roman" w:cs="Times New Roman"/>
        </w:rPr>
        <w:t>T</w:t>
      </w:r>
      <w:r w:rsidRPr="00EE665C">
        <w:rPr>
          <w:rFonts w:ascii="Times New Roman" w:hAnsi="Times New Roman" w:cs="Times New Roman"/>
        </w:rPr>
        <w:t xml:space="preserve">ech in formalizing the informal economy. Mobile money has also expanded the financial reach to women, youth, and micro-entrepreneurs, offering access to savings, insurance, and payment services without the need for physical banking infrastructure (Abiola &amp; </w:t>
      </w:r>
      <w:proofErr w:type="spellStart"/>
      <w:r w:rsidRPr="00EE665C">
        <w:rPr>
          <w:rFonts w:ascii="Times New Roman" w:hAnsi="Times New Roman" w:cs="Times New Roman"/>
        </w:rPr>
        <w:t>Osinubi</w:t>
      </w:r>
      <w:proofErr w:type="spellEnd"/>
      <w:r w:rsidRPr="00EE665C">
        <w:rPr>
          <w:rFonts w:ascii="Times New Roman" w:hAnsi="Times New Roman" w:cs="Times New Roman"/>
        </w:rPr>
        <w:t>, 2020). In a multi-country study, Pervez (2022) observes that Nigeria’s digital finance expansion is driven by a distinctive blend of entrepreneurial agility, demographic advantages, and responsive regulation. Similarly, Abdul et al. (2024) emphasize that the success of Fin</w:t>
      </w:r>
      <w:r w:rsidR="00921367" w:rsidRPr="00EE665C">
        <w:rPr>
          <w:rFonts w:ascii="Times New Roman" w:hAnsi="Times New Roman" w:cs="Times New Roman"/>
        </w:rPr>
        <w:t>T</w:t>
      </w:r>
      <w:r w:rsidRPr="00EE665C">
        <w:rPr>
          <w:rFonts w:ascii="Times New Roman" w:hAnsi="Times New Roman" w:cs="Times New Roman"/>
        </w:rPr>
        <w:t>ech in emerging markets hinges not merely on technological advancement, but on contextual adaptation, user-centric design, and inclusive regulatory practices.</w:t>
      </w:r>
    </w:p>
    <w:p w14:paraId="69152792" w14:textId="61C8C7DD" w:rsidR="00925DC5" w:rsidRPr="00EE665C" w:rsidRDefault="00925DC5" w:rsidP="00925DC5">
      <w:pPr>
        <w:spacing w:line="480" w:lineRule="auto"/>
        <w:jc w:val="both"/>
        <w:rPr>
          <w:rFonts w:ascii="Times New Roman" w:hAnsi="Times New Roman" w:cs="Times New Roman"/>
        </w:rPr>
      </w:pPr>
      <w:r w:rsidRPr="00EE665C">
        <w:rPr>
          <w:rFonts w:ascii="Times New Roman" w:hAnsi="Times New Roman" w:cs="Times New Roman"/>
        </w:rPr>
        <w:t>Despite these advancements, persistent structural barriers remain. Poor network coverage in rural areas, low levels of digital literacy, and ongoing concerns around data security continue to hinder full adoption (</w:t>
      </w:r>
      <w:proofErr w:type="spellStart"/>
      <w:r w:rsidRPr="00EE665C">
        <w:rPr>
          <w:rFonts w:ascii="Times New Roman" w:hAnsi="Times New Roman" w:cs="Times New Roman"/>
        </w:rPr>
        <w:t>Onyeiwu</w:t>
      </w:r>
      <w:proofErr w:type="spellEnd"/>
      <w:r w:rsidRPr="00EE665C">
        <w:rPr>
          <w:rFonts w:ascii="Times New Roman" w:hAnsi="Times New Roman" w:cs="Times New Roman"/>
        </w:rPr>
        <w:t xml:space="preserve"> &amp; Igbokwe, 2023; Ogunyemi, 2021)</w:t>
      </w:r>
      <w:r w:rsidR="00926BE9" w:rsidRPr="00EE665C">
        <w:rPr>
          <w:rFonts w:ascii="Times New Roman" w:hAnsi="Times New Roman" w:cs="Times New Roman"/>
        </w:rPr>
        <w:t xml:space="preserve"> and consumer spending habits</w:t>
      </w:r>
      <w:r w:rsidRPr="00EE665C">
        <w:rPr>
          <w:rFonts w:ascii="Times New Roman" w:hAnsi="Times New Roman" w:cs="Times New Roman"/>
        </w:rPr>
        <w:t>. Furthermore, affordability constraints related to internet access, combined with institutional trust deficits in underserved regions, underscore the need for continuous investment in infrastructure, public education, and cybersecurity resilience (</w:t>
      </w:r>
      <w:proofErr w:type="spellStart"/>
      <w:r w:rsidRPr="00EE665C">
        <w:rPr>
          <w:rFonts w:ascii="Times New Roman" w:hAnsi="Times New Roman" w:cs="Times New Roman"/>
        </w:rPr>
        <w:t>Ladagu</w:t>
      </w:r>
      <w:proofErr w:type="spellEnd"/>
      <w:r w:rsidRPr="00EE665C">
        <w:rPr>
          <w:rFonts w:ascii="Times New Roman" w:hAnsi="Times New Roman" w:cs="Times New Roman"/>
        </w:rPr>
        <w:t>, 2020).</w:t>
      </w:r>
      <w:r w:rsidR="00094BA1" w:rsidRPr="00EE665C">
        <w:rPr>
          <w:rFonts w:ascii="Times New Roman" w:hAnsi="Times New Roman" w:cs="Times New Roman"/>
        </w:rPr>
        <w:t xml:space="preserve"> Although the adoption of Fin</w:t>
      </w:r>
      <w:r w:rsidR="00921367" w:rsidRPr="00EE665C">
        <w:rPr>
          <w:rFonts w:ascii="Times New Roman" w:hAnsi="Times New Roman" w:cs="Times New Roman"/>
        </w:rPr>
        <w:t>T</w:t>
      </w:r>
      <w:r w:rsidR="00094BA1" w:rsidRPr="00EE665C">
        <w:rPr>
          <w:rFonts w:ascii="Times New Roman" w:hAnsi="Times New Roman" w:cs="Times New Roman"/>
        </w:rPr>
        <w:t>ech and mobile money services among women and youth ha</w:t>
      </w:r>
      <w:r w:rsidR="00427132" w:rsidRPr="00EE665C">
        <w:rPr>
          <w:rFonts w:ascii="Times New Roman" w:hAnsi="Times New Roman" w:cs="Times New Roman"/>
        </w:rPr>
        <w:t>ve</w:t>
      </w:r>
      <w:r w:rsidR="00094BA1" w:rsidRPr="00EE665C">
        <w:rPr>
          <w:rFonts w:ascii="Times New Roman" w:hAnsi="Times New Roman" w:cs="Times New Roman"/>
        </w:rPr>
        <w:t xml:space="preserve"> received considerable attention in the existing </w:t>
      </w:r>
      <w:r w:rsidR="00094BA1" w:rsidRPr="00EE665C">
        <w:rPr>
          <w:rFonts w:ascii="Times New Roman" w:hAnsi="Times New Roman" w:cs="Times New Roman"/>
        </w:rPr>
        <w:lastRenderedPageBreak/>
        <w:t xml:space="preserve">literature, (Lyons et al., 2022; Danladi et al., 2023; Hoque et al., 2024; Abiola &amp; </w:t>
      </w:r>
      <w:proofErr w:type="spellStart"/>
      <w:r w:rsidR="00094BA1" w:rsidRPr="00EE665C">
        <w:rPr>
          <w:rFonts w:ascii="Times New Roman" w:hAnsi="Times New Roman" w:cs="Times New Roman"/>
        </w:rPr>
        <w:t>Osinubi</w:t>
      </w:r>
      <w:proofErr w:type="spellEnd"/>
      <w:r w:rsidR="00094BA1" w:rsidRPr="00EE665C">
        <w:rPr>
          <w:rFonts w:ascii="Times New Roman" w:hAnsi="Times New Roman" w:cs="Times New Roman"/>
        </w:rPr>
        <w:t xml:space="preserve">, 2020) there remains a notable absence of empirical studies focusing specifically on semi-literate female populations. This gap is particularly evident among women traders in Obio Akpor Local Government Area (LGA) of Rivers State, Nigeria. Given the economic significance of informal trade and the </w:t>
      </w:r>
      <w:r w:rsidR="0041689C" w:rsidRPr="00EE665C">
        <w:rPr>
          <w:rFonts w:ascii="Times New Roman" w:hAnsi="Times New Roman" w:cs="Times New Roman"/>
        </w:rPr>
        <w:t>prevalent</w:t>
      </w:r>
      <w:r w:rsidR="00094BA1" w:rsidRPr="00EE665C">
        <w:rPr>
          <w:rFonts w:ascii="Times New Roman" w:hAnsi="Times New Roman" w:cs="Times New Roman"/>
        </w:rPr>
        <w:t xml:space="preserve"> digital divide </w:t>
      </w:r>
      <w:r w:rsidR="007D62F6" w:rsidRPr="00EE665C">
        <w:rPr>
          <w:rFonts w:ascii="Times New Roman" w:hAnsi="Times New Roman" w:cs="Times New Roman"/>
        </w:rPr>
        <w:t>among these women</w:t>
      </w:r>
      <w:r w:rsidR="00094BA1" w:rsidRPr="00EE665C">
        <w:rPr>
          <w:rFonts w:ascii="Times New Roman" w:hAnsi="Times New Roman" w:cs="Times New Roman"/>
        </w:rPr>
        <w:t>, understanding the adoption patterns, constraints, and behavioral tendencies of this demographic is essential for advancing inclusive digital financial systems in developing economies.</w:t>
      </w:r>
    </w:p>
    <w:p w14:paraId="745957FD" w14:textId="6B33D2B3" w:rsidR="00237DAD" w:rsidRPr="00EE665C" w:rsidRDefault="00237DAD" w:rsidP="00237DAD">
      <w:pPr>
        <w:jc w:val="both"/>
        <w:rPr>
          <w:rFonts w:ascii="Times New Roman" w:hAnsi="Times New Roman" w:cs="Times New Roman"/>
          <w:b/>
          <w:bCs/>
        </w:rPr>
      </w:pPr>
      <w:r w:rsidRPr="00EE665C">
        <w:rPr>
          <w:rFonts w:ascii="Times New Roman" w:hAnsi="Times New Roman" w:cs="Times New Roman"/>
          <w:b/>
          <w:bCs/>
        </w:rPr>
        <w:t xml:space="preserve">2. Literature </w:t>
      </w:r>
      <w:r w:rsidR="00B33650" w:rsidRPr="00EE665C">
        <w:rPr>
          <w:rFonts w:ascii="Times New Roman" w:hAnsi="Times New Roman" w:cs="Times New Roman"/>
          <w:b/>
          <w:bCs/>
        </w:rPr>
        <w:t>R</w:t>
      </w:r>
      <w:r w:rsidRPr="00EE665C">
        <w:rPr>
          <w:rFonts w:ascii="Times New Roman" w:hAnsi="Times New Roman" w:cs="Times New Roman"/>
          <w:b/>
          <w:bCs/>
        </w:rPr>
        <w:t>eview</w:t>
      </w:r>
    </w:p>
    <w:p w14:paraId="2D3235F5" w14:textId="1D2398FA" w:rsidR="000C2A52" w:rsidRPr="00EE665C" w:rsidRDefault="00237DAD" w:rsidP="00237DAD">
      <w:pPr>
        <w:jc w:val="both"/>
        <w:rPr>
          <w:rFonts w:ascii="Times New Roman" w:hAnsi="Times New Roman" w:cs="Times New Roman"/>
          <w:b/>
          <w:bCs/>
        </w:rPr>
      </w:pPr>
      <w:r w:rsidRPr="00EE665C">
        <w:rPr>
          <w:rFonts w:ascii="Times New Roman" w:hAnsi="Times New Roman" w:cs="Times New Roman"/>
          <w:b/>
          <w:bCs/>
        </w:rPr>
        <w:t xml:space="preserve">2.1 Theoretical </w:t>
      </w:r>
      <w:r w:rsidR="006974C1" w:rsidRPr="00EE665C">
        <w:rPr>
          <w:rFonts w:ascii="Times New Roman" w:hAnsi="Times New Roman" w:cs="Times New Roman"/>
          <w:b/>
          <w:bCs/>
        </w:rPr>
        <w:t>Background and Concept Development</w:t>
      </w:r>
    </w:p>
    <w:p w14:paraId="5F067C49" w14:textId="77777777" w:rsidR="00237DAD" w:rsidRPr="00EE665C" w:rsidRDefault="00237DAD" w:rsidP="006963C0">
      <w:pPr>
        <w:spacing w:line="480" w:lineRule="auto"/>
        <w:rPr>
          <w:rFonts w:ascii="Times New Roman" w:hAnsi="Times New Roman" w:cs="Times New Roman"/>
        </w:rPr>
      </w:pPr>
    </w:p>
    <w:p w14:paraId="39AA055E" w14:textId="55D47EB3" w:rsidR="00BC2624" w:rsidRPr="00EE665C" w:rsidRDefault="006963C0" w:rsidP="006963C0">
      <w:pPr>
        <w:spacing w:line="480" w:lineRule="auto"/>
        <w:jc w:val="both"/>
        <w:rPr>
          <w:rFonts w:ascii="Times New Roman" w:hAnsi="Times New Roman" w:cs="Times New Roman"/>
        </w:rPr>
      </w:pPr>
      <w:r w:rsidRPr="00EE665C">
        <w:rPr>
          <w:rFonts w:ascii="Times New Roman" w:hAnsi="Times New Roman" w:cs="Times New Roman"/>
        </w:rPr>
        <w:t>This study is underpinned by two theories: the Uses and Gratification (U&amp;G) theory and the Technology Acceptance Model (TAM). The U&amp;G theory explains how and why individuals actively seek out specific media and communication channels to satisfy particular needs (Maslowska et al., 2016). These needs range from utilitarian motives such as information-seeking and transactional efficiency to hedonic or emotional drivers, which include entertainment, social interaction, and identity reinforcement. In this study, U&amp;G offers insight into the diverse psychological motivations that influence mobile money and Fin</w:t>
      </w:r>
      <w:r w:rsidR="00921367" w:rsidRPr="00EE665C">
        <w:rPr>
          <w:rFonts w:ascii="Times New Roman" w:hAnsi="Times New Roman" w:cs="Times New Roman"/>
        </w:rPr>
        <w:t>T</w:t>
      </w:r>
      <w:r w:rsidRPr="00EE665C">
        <w:rPr>
          <w:rFonts w:ascii="Times New Roman" w:hAnsi="Times New Roman" w:cs="Times New Roman"/>
        </w:rPr>
        <w:t>ech engagement and repeat use by women traders. On the other hand, the TAM, developed by Davis (1989) and grounded in the Theory of Reasoned Action (TRA) by Fishbein and Ajzen (1975). It focuses on cognitive evaluations of technology. Specifically, it posits that perceived usefulness (the belief that a technology enhances performance) and perceived ease of use (the belief that using it will be free of effort) are primary predictors of technology acceptance. By integrating TAM, the study accounts for the rational decision-making processes behind users’ initial and sustained adoption of mobile-based financial services.</w:t>
      </w:r>
    </w:p>
    <w:p w14:paraId="0F939729" w14:textId="610F6D1D" w:rsidR="00E115F0" w:rsidRPr="00EE665C" w:rsidRDefault="004329D2" w:rsidP="000C2A52">
      <w:pPr>
        <w:jc w:val="both"/>
        <w:rPr>
          <w:rFonts w:ascii="Times New Roman" w:hAnsi="Times New Roman" w:cs="Times New Roman"/>
          <w:b/>
          <w:bCs/>
        </w:rPr>
      </w:pPr>
      <w:r w:rsidRPr="00EE665C">
        <w:rPr>
          <w:rFonts w:ascii="Times New Roman" w:hAnsi="Times New Roman" w:cs="Times New Roman"/>
          <w:b/>
          <w:bCs/>
        </w:rPr>
        <w:lastRenderedPageBreak/>
        <w:t xml:space="preserve">2.2 </w:t>
      </w:r>
      <w:r w:rsidR="00E115F0" w:rsidRPr="00EE665C">
        <w:rPr>
          <w:rFonts w:ascii="Times New Roman" w:hAnsi="Times New Roman" w:cs="Times New Roman"/>
          <w:b/>
          <w:bCs/>
        </w:rPr>
        <w:t>Consumer Spending Habit</w:t>
      </w:r>
    </w:p>
    <w:p w14:paraId="6380E1CD" w14:textId="77777777" w:rsidR="00E115F0" w:rsidRPr="00EE665C" w:rsidRDefault="00E115F0" w:rsidP="000C2A52">
      <w:pPr>
        <w:jc w:val="both"/>
        <w:rPr>
          <w:rFonts w:ascii="Times New Roman" w:hAnsi="Times New Roman" w:cs="Times New Roman"/>
          <w:b/>
          <w:bCs/>
        </w:rPr>
      </w:pPr>
    </w:p>
    <w:p w14:paraId="287E7E63" w14:textId="1F0A1BA0" w:rsidR="00E115F0" w:rsidRPr="00EE665C" w:rsidRDefault="00E115F0" w:rsidP="00E115F0">
      <w:pPr>
        <w:spacing w:line="480" w:lineRule="auto"/>
        <w:jc w:val="both"/>
        <w:rPr>
          <w:rFonts w:ascii="Times New Roman" w:hAnsi="Times New Roman" w:cs="Times New Roman"/>
        </w:rPr>
      </w:pPr>
      <w:r w:rsidRPr="00EE665C">
        <w:rPr>
          <w:rFonts w:ascii="Times New Roman" w:hAnsi="Times New Roman" w:cs="Times New Roman"/>
        </w:rPr>
        <w:t>Consumer spending habit refers to the routine or behavioral patterns through which individuals allocate their financial resources toward consumption, savings, or investment. It is influenced by economic, psychological, and technological factors, particularly where access to financial services is mediated by mobile or digital platforms (</w:t>
      </w:r>
      <w:proofErr w:type="spellStart"/>
      <w:r w:rsidRPr="00EE665C">
        <w:rPr>
          <w:rFonts w:ascii="Times New Roman" w:hAnsi="Times New Roman" w:cs="Times New Roman"/>
        </w:rPr>
        <w:t>Cobla</w:t>
      </w:r>
      <w:proofErr w:type="spellEnd"/>
      <w:r w:rsidRPr="00EE665C">
        <w:rPr>
          <w:rFonts w:ascii="Times New Roman" w:hAnsi="Times New Roman" w:cs="Times New Roman"/>
        </w:rPr>
        <w:t xml:space="preserve"> &amp; Osei-</w:t>
      </w:r>
      <w:proofErr w:type="spellStart"/>
      <w:r w:rsidRPr="00EE665C">
        <w:rPr>
          <w:rFonts w:ascii="Times New Roman" w:hAnsi="Times New Roman" w:cs="Times New Roman"/>
        </w:rPr>
        <w:t>Assibey</w:t>
      </w:r>
      <w:proofErr w:type="spellEnd"/>
      <w:r w:rsidRPr="00EE665C">
        <w:rPr>
          <w:rFonts w:ascii="Times New Roman" w:hAnsi="Times New Roman" w:cs="Times New Roman"/>
        </w:rPr>
        <w:t>, 2018). The proliferation of Fin</w:t>
      </w:r>
      <w:r w:rsidR="00921367" w:rsidRPr="00EE665C">
        <w:rPr>
          <w:rFonts w:ascii="Times New Roman" w:hAnsi="Times New Roman" w:cs="Times New Roman"/>
        </w:rPr>
        <w:t>T</w:t>
      </w:r>
      <w:r w:rsidRPr="00EE665C">
        <w:rPr>
          <w:rFonts w:ascii="Times New Roman" w:hAnsi="Times New Roman" w:cs="Times New Roman"/>
        </w:rPr>
        <w:t>ech and mobile money technologies in developing economies has triggered a visible shift in these patterns. Recent evidence suggests that mobile money adoption has lowered transactional barriers, making purchases faster, more frequent, and less cognitively constrained. Consumers are increasingly influenced by the speed and immediacy of digital payments, which reduce the "pain of paying" typically associated with cash (Damian-Okoro, 2025; Agarwal et al., 2020). As a result, impulse spending and transaction frequency are rising, especially among mobile-savvy youth and informal sector traders (</w:t>
      </w:r>
      <w:proofErr w:type="spellStart"/>
      <w:r w:rsidRPr="00EE665C">
        <w:rPr>
          <w:rFonts w:ascii="Times New Roman" w:hAnsi="Times New Roman" w:cs="Times New Roman"/>
        </w:rPr>
        <w:t>Museba</w:t>
      </w:r>
      <w:proofErr w:type="spellEnd"/>
      <w:r w:rsidRPr="00EE665C">
        <w:rPr>
          <w:rFonts w:ascii="Times New Roman" w:hAnsi="Times New Roman" w:cs="Times New Roman"/>
        </w:rPr>
        <w:t xml:space="preserve"> et al., 2021) thereby influencing spending decisions by creating buffers against impulsive consumption (Ogunyemi, 2021; </w:t>
      </w:r>
      <w:proofErr w:type="spellStart"/>
      <w:r w:rsidRPr="00EE665C">
        <w:rPr>
          <w:rFonts w:ascii="Times New Roman" w:hAnsi="Times New Roman" w:cs="Times New Roman"/>
        </w:rPr>
        <w:t>Guermond</w:t>
      </w:r>
      <w:proofErr w:type="spellEnd"/>
      <w:r w:rsidRPr="00EE665C">
        <w:rPr>
          <w:rFonts w:ascii="Times New Roman" w:hAnsi="Times New Roman" w:cs="Times New Roman"/>
        </w:rPr>
        <w:t xml:space="preserve">, 2022). This phenomenon has also been observed among women in informal trading, where mobile apps double as financial planning tools (Kalinga &amp; Senarathna, 2023). While mobile money and </w:t>
      </w:r>
      <w:r w:rsidR="00921367" w:rsidRPr="00EE665C">
        <w:rPr>
          <w:rFonts w:ascii="Times New Roman" w:hAnsi="Times New Roman" w:cs="Times New Roman"/>
        </w:rPr>
        <w:t>F</w:t>
      </w:r>
      <w:r w:rsidRPr="00EE665C">
        <w:rPr>
          <w:rFonts w:ascii="Times New Roman" w:hAnsi="Times New Roman" w:cs="Times New Roman"/>
        </w:rPr>
        <w:t>in</w:t>
      </w:r>
      <w:r w:rsidR="00921367" w:rsidRPr="00EE665C">
        <w:rPr>
          <w:rFonts w:ascii="Times New Roman" w:hAnsi="Times New Roman" w:cs="Times New Roman"/>
        </w:rPr>
        <w:t>T</w:t>
      </w:r>
      <w:r w:rsidRPr="00EE665C">
        <w:rPr>
          <w:rFonts w:ascii="Times New Roman" w:hAnsi="Times New Roman" w:cs="Times New Roman"/>
        </w:rPr>
        <w:t xml:space="preserve">ech Apps expand access to capital, they can also promote credit-fueled over-expenditure (Charles &amp; Hayford, 2024). </w:t>
      </w:r>
      <w:proofErr w:type="spellStart"/>
      <w:r w:rsidRPr="00EE665C">
        <w:rPr>
          <w:rFonts w:ascii="Times New Roman" w:hAnsi="Times New Roman" w:cs="Times New Roman"/>
        </w:rPr>
        <w:t>Centellegher</w:t>
      </w:r>
      <w:proofErr w:type="spellEnd"/>
      <w:r w:rsidRPr="00EE665C">
        <w:rPr>
          <w:rFonts w:ascii="Times New Roman" w:hAnsi="Times New Roman" w:cs="Times New Roman"/>
        </w:rPr>
        <w:t xml:space="preserve"> et al. (2018) note that mobile credit features can restructure spending patterns over time, decoupling them from traditional income-based planning.</w:t>
      </w:r>
    </w:p>
    <w:p w14:paraId="681A27A6" w14:textId="77777777" w:rsidR="0052628E" w:rsidRPr="00EE665C" w:rsidRDefault="0052628E" w:rsidP="0052628E">
      <w:pPr>
        <w:jc w:val="both"/>
        <w:rPr>
          <w:rFonts w:ascii="Times New Roman" w:hAnsi="Times New Roman" w:cs="Times New Roman"/>
        </w:rPr>
      </w:pPr>
    </w:p>
    <w:p w14:paraId="5613FE19" w14:textId="66F2142E" w:rsidR="00D956B3" w:rsidRPr="00EE665C" w:rsidRDefault="004329D2" w:rsidP="00283325">
      <w:pPr>
        <w:jc w:val="both"/>
        <w:rPr>
          <w:rFonts w:ascii="Times New Roman" w:hAnsi="Times New Roman" w:cs="Times New Roman"/>
          <w:b/>
          <w:bCs/>
        </w:rPr>
      </w:pPr>
      <w:r w:rsidRPr="00EE665C">
        <w:rPr>
          <w:rFonts w:ascii="Times New Roman" w:hAnsi="Times New Roman" w:cs="Times New Roman"/>
          <w:b/>
          <w:bCs/>
        </w:rPr>
        <w:t xml:space="preserve">2.3 </w:t>
      </w:r>
      <w:r w:rsidR="00D956B3" w:rsidRPr="00EE665C">
        <w:rPr>
          <w:rFonts w:ascii="Times New Roman" w:hAnsi="Times New Roman" w:cs="Times New Roman"/>
          <w:b/>
          <w:bCs/>
        </w:rPr>
        <w:t xml:space="preserve">Perceived Convenience </w:t>
      </w:r>
      <w:r w:rsidR="00327E2D" w:rsidRPr="00EE665C">
        <w:rPr>
          <w:rFonts w:ascii="Times New Roman" w:hAnsi="Times New Roman" w:cs="Times New Roman"/>
          <w:b/>
          <w:bCs/>
        </w:rPr>
        <w:t>and Consumer Spending Habit</w:t>
      </w:r>
    </w:p>
    <w:p w14:paraId="0AA7CBA9" w14:textId="77777777" w:rsidR="0052628E" w:rsidRPr="00EE665C" w:rsidRDefault="0052628E" w:rsidP="00283325">
      <w:pPr>
        <w:jc w:val="both"/>
        <w:rPr>
          <w:rFonts w:ascii="Times New Roman" w:hAnsi="Times New Roman" w:cs="Times New Roman"/>
          <w:b/>
          <w:bCs/>
        </w:rPr>
      </w:pPr>
    </w:p>
    <w:p w14:paraId="0EFEB7FE" w14:textId="10865D23" w:rsidR="0054662C" w:rsidRPr="00EE665C" w:rsidRDefault="0054662C" w:rsidP="0054662C">
      <w:pPr>
        <w:spacing w:line="480" w:lineRule="auto"/>
        <w:jc w:val="both"/>
        <w:rPr>
          <w:rFonts w:ascii="Times New Roman" w:hAnsi="Times New Roman" w:cs="Times New Roman"/>
        </w:rPr>
      </w:pPr>
      <w:r w:rsidRPr="00EE665C">
        <w:rPr>
          <w:rFonts w:ascii="Times New Roman" w:hAnsi="Times New Roman" w:cs="Times New Roman"/>
        </w:rPr>
        <w:t>Perceived convenience is broadly understood as the user’s evaluation of how seamless, accessible, and efficient a service or technology is in facilitating routine activities (Zhang &amp; Kim, 2020</w:t>
      </w:r>
      <w:r w:rsidR="00305B0B" w:rsidRPr="00EE665C">
        <w:rPr>
          <w:rFonts w:ascii="Times New Roman" w:hAnsi="Times New Roman" w:cs="Times New Roman"/>
        </w:rPr>
        <w:t xml:space="preserve">; Bong et al., </w:t>
      </w:r>
      <w:r w:rsidR="00305B0B" w:rsidRPr="00EE665C">
        <w:rPr>
          <w:rFonts w:ascii="Times New Roman" w:hAnsi="Times New Roman" w:cs="Times New Roman"/>
        </w:rPr>
        <w:lastRenderedPageBreak/>
        <w:t>20</w:t>
      </w:r>
      <w:r w:rsidR="00084026" w:rsidRPr="00EE665C">
        <w:rPr>
          <w:rFonts w:ascii="Times New Roman" w:hAnsi="Times New Roman" w:cs="Times New Roman"/>
        </w:rPr>
        <w:t>19</w:t>
      </w:r>
      <w:r w:rsidR="009B3039" w:rsidRPr="00EE665C">
        <w:rPr>
          <w:rFonts w:ascii="Times New Roman" w:hAnsi="Times New Roman" w:cs="Times New Roman"/>
        </w:rPr>
        <w:t>). It includes features like real-time access, intuitive interfaces, and integrated services (Zhang &amp; Kim, 2020)</w:t>
      </w:r>
      <w:r w:rsidR="003B2DFD" w:rsidRPr="00EE665C">
        <w:rPr>
          <w:rFonts w:ascii="Times New Roman" w:hAnsi="Times New Roman" w:cs="Times New Roman"/>
        </w:rPr>
        <w:t xml:space="preserve"> and the integration of various functionalities that collectively reduce traditional barriers </w:t>
      </w:r>
      <w:r w:rsidR="00F216A5" w:rsidRPr="00EE665C">
        <w:rPr>
          <w:rFonts w:ascii="Times New Roman" w:hAnsi="Times New Roman" w:cs="Times New Roman"/>
        </w:rPr>
        <w:t>people</w:t>
      </w:r>
      <w:r w:rsidR="003B2DFD" w:rsidRPr="00EE665C">
        <w:rPr>
          <w:rFonts w:ascii="Times New Roman" w:hAnsi="Times New Roman" w:cs="Times New Roman"/>
        </w:rPr>
        <w:t xml:space="preserve"> face when engaging with these technologies (Bong et al., 2019)</w:t>
      </w:r>
      <w:r w:rsidR="009B3039" w:rsidRPr="00EE665C">
        <w:rPr>
          <w:rFonts w:ascii="Times New Roman" w:hAnsi="Times New Roman" w:cs="Times New Roman"/>
        </w:rPr>
        <w:t>. Convenience has been identified as a key driver of increased digital spending</w:t>
      </w:r>
      <w:r w:rsidR="002E2F48" w:rsidRPr="00EE665C">
        <w:rPr>
          <w:rFonts w:ascii="Times New Roman" w:hAnsi="Times New Roman" w:cs="Times New Roman"/>
        </w:rPr>
        <w:t>. Studies (</w:t>
      </w:r>
      <w:proofErr w:type="spellStart"/>
      <w:r w:rsidR="002E2F48" w:rsidRPr="00EE665C">
        <w:rPr>
          <w:rFonts w:ascii="Times New Roman" w:hAnsi="Times New Roman" w:cs="Times New Roman"/>
        </w:rPr>
        <w:t>Slazus</w:t>
      </w:r>
      <w:proofErr w:type="spellEnd"/>
      <w:r w:rsidR="002E2F48" w:rsidRPr="00EE665C">
        <w:rPr>
          <w:rFonts w:ascii="Times New Roman" w:hAnsi="Times New Roman" w:cs="Times New Roman"/>
        </w:rPr>
        <w:t xml:space="preserve"> &amp; Bick, 2022; Kang, 2018) </w:t>
      </w:r>
      <w:r w:rsidR="009B3039" w:rsidRPr="00EE665C">
        <w:rPr>
          <w:rFonts w:ascii="Times New Roman" w:hAnsi="Times New Roman" w:cs="Times New Roman"/>
        </w:rPr>
        <w:t>show a rise in purchase frequency and impulse buying, particularly among younger, tech-oriented users. Enhanced user experience through personalization and 24/7 service further strengthens consumer engagement and loyalty (Alwi et al., 2019). In Nigeria, mobile platforms have accelerated transaction speed and reduced dependence on physical banks</w:t>
      </w:r>
      <w:r w:rsidR="00E82F8E" w:rsidRPr="00EE665C">
        <w:rPr>
          <w:rFonts w:ascii="Times New Roman" w:hAnsi="Times New Roman" w:cs="Times New Roman"/>
        </w:rPr>
        <w:t xml:space="preserve"> which has caused a </w:t>
      </w:r>
      <w:r w:rsidR="009B3039" w:rsidRPr="00EE665C">
        <w:rPr>
          <w:rFonts w:ascii="Times New Roman" w:hAnsi="Times New Roman" w:cs="Times New Roman"/>
        </w:rPr>
        <w:t xml:space="preserve">higher user participation (Adebayo &amp; Adedeji, 2022; Smith &amp; Onyekwere, 2020). </w:t>
      </w:r>
      <w:r w:rsidR="00E82F8E" w:rsidRPr="00EE665C">
        <w:rPr>
          <w:rFonts w:ascii="Times New Roman" w:hAnsi="Times New Roman" w:cs="Times New Roman"/>
        </w:rPr>
        <w:t xml:space="preserve">Also, </w:t>
      </w:r>
      <w:r w:rsidR="009B3039" w:rsidRPr="00EE665C">
        <w:rPr>
          <w:rFonts w:ascii="Times New Roman" w:hAnsi="Times New Roman" w:cs="Times New Roman"/>
        </w:rPr>
        <w:t xml:space="preserve">Fintech systems </w:t>
      </w:r>
      <w:r w:rsidR="00E82F8E" w:rsidRPr="00EE665C">
        <w:rPr>
          <w:rFonts w:ascii="Times New Roman" w:hAnsi="Times New Roman" w:cs="Times New Roman"/>
        </w:rPr>
        <w:t xml:space="preserve">that </w:t>
      </w:r>
      <w:r w:rsidR="009B3039" w:rsidRPr="00EE665C">
        <w:rPr>
          <w:rFonts w:ascii="Times New Roman" w:hAnsi="Times New Roman" w:cs="Times New Roman"/>
        </w:rPr>
        <w:t>offer multifunctional services like instant credit and digital wallets also contribute to a more streamlined and satisfying consumer experience (Adebayo et al., 2020).</w:t>
      </w:r>
      <w:r w:rsidR="006E7D00" w:rsidRPr="00EE665C">
        <w:rPr>
          <w:rFonts w:ascii="Times New Roman" w:hAnsi="Times New Roman" w:cs="Times New Roman"/>
        </w:rPr>
        <w:t xml:space="preserve"> That is, when individuals perceive shopping platforms as easy to navigate, time-saving, and accessible, they are more likely to make spontaneous purchases without extensive deliberation. Fook and McNeill (2020) submitted that impulsive consumer behavior are intertwined with the convenience offered by digital environments. Similarly, </w:t>
      </w:r>
      <w:proofErr w:type="spellStart"/>
      <w:r w:rsidR="006E7D00" w:rsidRPr="00EE665C">
        <w:rPr>
          <w:rFonts w:ascii="Times New Roman" w:hAnsi="Times New Roman" w:cs="Times New Roman"/>
          <w:bCs/>
        </w:rPr>
        <w:t>Noviasari</w:t>
      </w:r>
      <w:proofErr w:type="spellEnd"/>
      <w:r w:rsidR="006E7D00" w:rsidRPr="00EE665C">
        <w:rPr>
          <w:rFonts w:ascii="Times New Roman" w:hAnsi="Times New Roman" w:cs="Times New Roman"/>
          <w:bCs/>
        </w:rPr>
        <w:t xml:space="preserve"> et al. (2023)</w:t>
      </w:r>
      <w:r w:rsidR="006E7D00" w:rsidRPr="00EE665C">
        <w:rPr>
          <w:rFonts w:ascii="Times New Roman" w:hAnsi="Times New Roman" w:cs="Times New Roman"/>
        </w:rPr>
        <w:t xml:space="preserve"> found that the positive emotions generated by effortless shopping experiences intensify the tendency toward impulse buying. Furthermore, perceived convenience within the online environment enhances user satisfaction and also amplifies user gratification</w:t>
      </w:r>
      <w:r w:rsidR="00681F66" w:rsidRPr="00EE665C">
        <w:rPr>
          <w:rFonts w:ascii="Times New Roman" w:hAnsi="Times New Roman" w:cs="Times New Roman"/>
        </w:rPr>
        <w:t>,</w:t>
      </w:r>
      <w:r w:rsidR="006E7D00" w:rsidRPr="00EE665C">
        <w:rPr>
          <w:rFonts w:ascii="Times New Roman" w:hAnsi="Times New Roman" w:cs="Times New Roman"/>
        </w:rPr>
        <w:t xml:space="preserve"> impulsive purchasing tendencies, and purchase intentions (Liu et al., 2022; Chen &amp; Yao, 2018; Verhagen &amp; van Dolen, 2011; </w:t>
      </w:r>
      <w:proofErr w:type="spellStart"/>
      <w:r w:rsidR="00E82F8E" w:rsidRPr="00EE665C">
        <w:rPr>
          <w:rFonts w:ascii="Times New Roman" w:hAnsi="Times New Roman" w:cs="Times New Roman"/>
        </w:rPr>
        <w:t>Isanawikrama</w:t>
      </w:r>
      <w:proofErr w:type="spellEnd"/>
      <w:r w:rsidR="00E82F8E" w:rsidRPr="00EE665C">
        <w:rPr>
          <w:rFonts w:ascii="Times New Roman" w:hAnsi="Times New Roman" w:cs="Times New Roman"/>
        </w:rPr>
        <w:t xml:space="preserve"> et al., 2023; </w:t>
      </w:r>
      <w:proofErr w:type="spellStart"/>
      <w:r w:rsidR="00E82F8E" w:rsidRPr="00EE665C">
        <w:rPr>
          <w:rFonts w:ascii="Times New Roman" w:hAnsi="Times New Roman" w:cs="Times New Roman"/>
        </w:rPr>
        <w:t>Yo</w:t>
      </w:r>
      <w:proofErr w:type="spellEnd"/>
      <w:r w:rsidR="00E82F8E" w:rsidRPr="00EE665C">
        <w:rPr>
          <w:rFonts w:ascii="Times New Roman" w:hAnsi="Times New Roman" w:cs="Times New Roman"/>
        </w:rPr>
        <w:t xml:space="preserve"> et al., 2021)</w:t>
      </w:r>
      <w:r w:rsidR="006E7D00" w:rsidRPr="00EE665C">
        <w:rPr>
          <w:rFonts w:ascii="Times New Roman" w:hAnsi="Times New Roman" w:cs="Times New Roman"/>
        </w:rPr>
        <w:t xml:space="preserve">. </w:t>
      </w:r>
    </w:p>
    <w:p w14:paraId="3974A507" w14:textId="77777777" w:rsidR="00D2604F" w:rsidRPr="00EE665C" w:rsidRDefault="00D2604F" w:rsidP="00D2604F">
      <w:pPr>
        <w:jc w:val="both"/>
        <w:rPr>
          <w:rFonts w:ascii="Times New Roman" w:hAnsi="Times New Roman" w:cs="Times New Roman"/>
          <w:b/>
          <w:bCs/>
        </w:rPr>
      </w:pPr>
    </w:p>
    <w:p w14:paraId="0BF96BFA" w14:textId="7EFF3D4C" w:rsidR="00D2604F" w:rsidRPr="00EE665C" w:rsidRDefault="00413BFA" w:rsidP="00D2604F">
      <w:pPr>
        <w:jc w:val="both"/>
        <w:rPr>
          <w:rFonts w:ascii="Times New Roman" w:hAnsi="Times New Roman" w:cs="Times New Roman"/>
          <w:b/>
          <w:bCs/>
        </w:rPr>
      </w:pPr>
      <w:r w:rsidRPr="00EE665C">
        <w:rPr>
          <w:rFonts w:ascii="Times New Roman" w:hAnsi="Times New Roman" w:cs="Times New Roman"/>
          <w:b/>
          <w:bCs/>
        </w:rPr>
        <w:t xml:space="preserve">2.4 </w:t>
      </w:r>
      <w:r w:rsidR="00D2604F" w:rsidRPr="00EE665C">
        <w:rPr>
          <w:rFonts w:ascii="Times New Roman" w:hAnsi="Times New Roman" w:cs="Times New Roman"/>
          <w:b/>
          <w:bCs/>
        </w:rPr>
        <w:t>Perceived Security</w:t>
      </w:r>
      <w:r w:rsidR="006974C1" w:rsidRPr="00EE665C">
        <w:rPr>
          <w:rFonts w:ascii="Times New Roman" w:hAnsi="Times New Roman" w:cs="Times New Roman"/>
          <w:b/>
          <w:bCs/>
        </w:rPr>
        <w:t xml:space="preserve"> and Consumer Spending Habit</w:t>
      </w:r>
    </w:p>
    <w:p w14:paraId="1CC04646" w14:textId="77777777" w:rsidR="00A50BB4" w:rsidRPr="00EE665C" w:rsidRDefault="00A50BB4" w:rsidP="00D2604F">
      <w:pPr>
        <w:jc w:val="both"/>
        <w:rPr>
          <w:rFonts w:ascii="Times New Roman" w:hAnsi="Times New Roman" w:cs="Times New Roman"/>
          <w:b/>
          <w:bCs/>
        </w:rPr>
      </w:pPr>
    </w:p>
    <w:p w14:paraId="527B428C" w14:textId="3EAD372E" w:rsidR="00A50BB4" w:rsidRPr="00EE665C" w:rsidRDefault="00A50BB4" w:rsidP="00A50BB4">
      <w:pPr>
        <w:spacing w:line="480" w:lineRule="auto"/>
        <w:jc w:val="both"/>
        <w:rPr>
          <w:rFonts w:ascii="Times New Roman" w:hAnsi="Times New Roman" w:cs="Times New Roman"/>
        </w:rPr>
      </w:pPr>
      <w:r w:rsidRPr="00EE665C">
        <w:rPr>
          <w:rFonts w:ascii="Times New Roman" w:hAnsi="Times New Roman" w:cs="Times New Roman"/>
        </w:rPr>
        <w:t xml:space="preserve">Perceived security refers to the degree to which consumers believe that using a digital financial platform is safe, reliable, and protected against fraud or misuse (Ismail et al., 2018). It includes both </w:t>
      </w:r>
      <w:r w:rsidRPr="00EE665C">
        <w:rPr>
          <w:rFonts w:ascii="Times New Roman" w:hAnsi="Times New Roman" w:cs="Times New Roman"/>
        </w:rPr>
        <w:lastRenderedPageBreak/>
        <w:t xml:space="preserve">technical safeguards like encryption and biometric verification and institutional guarantees, such as consumer protection policies. Research shows that security-enhancing features enhance confidence and increase user participation. For instance, users are more likely to adopt and frequently use platforms that offer visible, transparent, and reliable security mechanisms (Adebayo et al., 2020; Ogunyemi, 2021). Trust is further encouraged by services such as dispute resolution and fraud alerts (Abdul-Rahim et al., 2022), which help solidify long-term consumer loyalty. Studies (Nayak et al., 2021; </w:t>
      </w:r>
      <w:proofErr w:type="spellStart"/>
      <w:r w:rsidRPr="00EE665C">
        <w:rPr>
          <w:rFonts w:ascii="Times New Roman" w:hAnsi="Times New Roman" w:cs="Times New Roman"/>
        </w:rPr>
        <w:t>Almaiah</w:t>
      </w:r>
      <w:proofErr w:type="spellEnd"/>
      <w:r w:rsidRPr="00EE665C">
        <w:rPr>
          <w:rFonts w:ascii="Times New Roman" w:hAnsi="Times New Roman" w:cs="Times New Roman"/>
        </w:rPr>
        <w:t xml:space="preserve"> et al., 2023) confirm that trust in data security is vital for sustained usage. For entrepreneurs and micro-enterprises, strong security perceptions translate into</w:t>
      </w:r>
      <w:r w:rsidR="00D62994" w:rsidRPr="00EE665C">
        <w:rPr>
          <w:rFonts w:ascii="Times New Roman" w:hAnsi="Times New Roman" w:cs="Times New Roman"/>
        </w:rPr>
        <w:t xml:space="preserve"> </w:t>
      </w:r>
      <w:r w:rsidR="00413BFA" w:rsidRPr="00EE665C">
        <w:rPr>
          <w:rFonts w:ascii="Times New Roman" w:hAnsi="Times New Roman" w:cs="Times New Roman"/>
        </w:rPr>
        <w:t xml:space="preserve">a </w:t>
      </w:r>
      <w:r w:rsidR="00D62994" w:rsidRPr="00EE665C">
        <w:rPr>
          <w:rFonts w:ascii="Times New Roman" w:hAnsi="Times New Roman" w:cs="Times New Roman"/>
        </w:rPr>
        <w:t xml:space="preserve">greater </w:t>
      </w:r>
      <w:r w:rsidRPr="00EE665C">
        <w:rPr>
          <w:rFonts w:ascii="Times New Roman" w:hAnsi="Times New Roman" w:cs="Times New Roman"/>
        </w:rPr>
        <w:t>willingness to transact digitally and integrate FinTech into business operations (</w:t>
      </w:r>
      <w:proofErr w:type="spellStart"/>
      <w:r w:rsidRPr="00EE665C">
        <w:rPr>
          <w:rFonts w:ascii="Times New Roman" w:hAnsi="Times New Roman" w:cs="Times New Roman"/>
        </w:rPr>
        <w:t>Purwantini</w:t>
      </w:r>
      <w:proofErr w:type="spellEnd"/>
      <w:r w:rsidRPr="00EE665C">
        <w:rPr>
          <w:rFonts w:ascii="Times New Roman" w:hAnsi="Times New Roman" w:cs="Times New Roman"/>
        </w:rPr>
        <w:t xml:space="preserve"> &amp; Anisa, 2021).</w:t>
      </w:r>
    </w:p>
    <w:p w14:paraId="7101ADAB" w14:textId="3E8D9E10" w:rsidR="00D2604F" w:rsidRPr="00EE665C" w:rsidRDefault="00413BFA" w:rsidP="00D2604F">
      <w:pPr>
        <w:jc w:val="both"/>
        <w:rPr>
          <w:rFonts w:ascii="Times New Roman" w:hAnsi="Times New Roman" w:cs="Times New Roman"/>
          <w:b/>
          <w:bCs/>
        </w:rPr>
      </w:pPr>
      <w:r w:rsidRPr="00EE665C">
        <w:rPr>
          <w:rFonts w:ascii="Times New Roman" w:hAnsi="Times New Roman" w:cs="Times New Roman"/>
          <w:b/>
          <w:bCs/>
        </w:rPr>
        <w:t xml:space="preserve">2.5 </w:t>
      </w:r>
      <w:r w:rsidR="00D2604F" w:rsidRPr="00EE665C">
        <w:rPr>
          <w:rFonts w:ascii="Times New Roman" w:hAnsi="Times New Roman" w:cs="Times New Roman"/>
          <w:b/>
          <w:bCs/>
        </w:rPr>
        <w:t>Perceived Usefulness</w:t>
      </w:r>
      <w:r w:rsidR="009C164A" w:rsidRPr="00EE665C">
        <w:rPr>
          <w:rFonts w:ascii="Times New Roman" w:hAnsi="Times New Roman" w:cs="Times New Roman"/>
          <w:b/>
          <w:bCs/>
        </w:rPr>
        <w:t xml:space="preserve"> and Consumer Spending Habit</w:t>
      </w:r>
    </w:p>
    <w:p w14:paraId="381B9039" w14:textId="77777777" w:rsidR="00D2604F" w:rsidRPr="00EE665C" w:rsidRDefault="00D2604F" w:rsidP="009C164A">
      <w:pPr>
        <w:spacing w:line="480" w:lineRule="auto"/>
        <w:jc w:val="both"/>
        <w:rPr>
          <w:rFonts w:ascii="Times New Roman" w:hAnsi="Times New Roman" w:cs="Times New Roman"/>
        </w:rPr>
      </w:pPr>
    </w:p>
    <w:p w14:paraId="75E22897" w14:textId="34BC1559" w:rsidR="00751F08" w:rsidRPr="00EE665C" w:rsidRDefault="009C164A" w:rsidP="009C164A">
      <w:pPr>
        <w:spacing w:line="480" w:lineRule="auto"/>
        <w:jc w:val="both"/>
        <w:rPr>
          <w:rFonts w:ascii="Times New Roman" w:hAnsi="Times New Roman" w:cs="Times New Roman"/>
        </w:rPr>
      </w:pPr>
      <w:r w:rsidRPr="00EE665C">
        <w:rPr>
          <w:rFonts w:ascii="Times New Roman" w:hAnsi="Times New Roman" w:cs="Times New Roman"/>
        </w:rPr>
        <w:t xml:space="preserve">Perceived usefulness (PE) is defined as the degree to which an individual believes that using a particular system or technology will enhance their task performance or efficiency (Davis, 1989). It reflects a user's judgment that a platform offers practical value, whether by simplifying transactions, improving financial control, or saving time and effort in daily activities. Perceived usefulness is widely acknowledged as a core driver of technology adoption. In FinTech and e-commerce, PE significantly shapes consumer behavior and trust. Studies (Daud et al. 2018; Balci 2021) confirm its strong influence on repurchase intentions, while </w:t>
      </w:r>
      <w:proofErr w:type="spellStart"/>
      <w:r w:rsidRPr="00EE665C">
        <w:rPr>
          <w:rFonts w:ascii="Times New Roman" w:hAnsi="Times New Roman" w:cs="Times New Roman"/>
        </w:rPr>
        <w:t>Maryanto</w:t>
      </w:r>
      <w:proofErr w:type="spellEnd"/>
      <w:r w:rsidRPr="00EE665C">
        <w:rPr>
          <w:rFonts w:ascii="Times New Roman" w:hAnsi="Times New Roman" w:cs="Times New Roman"/>
        </w:rPr>
        <w:t xml:space="preserve"> and </w:t>
      </w:r>
      <w:proofErr w:type="spellStart"/>
      <w:r w:rsidRPr="00EE665C">
        <w:rPr>
          <w:rFonts w:ascii="Times New Roman" w:hAnsi="Times New Roman" w:cs="Times New Roman"/>
        </w:rPr>
        <w:t>Kaihatu</w:t>
      </w:r>
      <w:proofErr w:type="spellEnd"/>
      <w:r w:rsidRPr="00EE665C">
        <w:rPr>
          <w:rFonts w:ascii="Times New Roman" w:hAnsi="Times New Roman" w:cs="Times New Roman"/>
        </w:rPr>
        <w:t xml:space="preserve"> (2021) demonstrated that it enhances loyalty through trust. Similarly, </w:t>
      </w:r>
      <w:proofErr w:type="spellStart"/>
      <w:r w:rsidRPr="00EE665C">
        <w:rPr>
          <w:rFonts w:ascii="Times New Roman" w:hAnsi="Times New Roman" w:cs="Times New Roman"/>
        </w:rPr>
        <w:t>Mulyaningsih</w:t>
      </w:r>
      <w:proofErr w:type="spellEnd"/>
      <w:r w:rsidRPr="00EE665C">
        <w:rPr>
          <w:rFonts w:ascii="Times New Roman" w:hAnsi="Times New Roman" w:cs="Times New Roman"/>
        </w:rPr>
        <w:t xml:space="preserve"> (2022) found that perceived usefulness enhances system trust and sustained user commitment. Also, among younger users, Nur et al. (2024) asserted that PE is crucial to mobile payment adoption. Magdalena et al. (2024) further emphasize its importance in supporting the shift from traditional to digital banking and overall spending habits in emerging markets.</w:t>
      </w:r>
    </w:p>
    <w:p w14:paraId="43ACE21E" w14:textId="77777777" w:rsidR="009C164A" w:rsidRPr="00EE665C" w:rsidRDefault="009C164A" w:rsidP="00237DAD">
      <w:pPr>
        <w:jc w:val="both"/>
        <w:rPr>
          <w:rFonts w:ascii="Times New Roman" w:hAnsi="Times New Roman" w:cs="Times New Roman"/>
          <w:b/>
          <w:bCs/>
        </w:rPr>
      </w:pPr>
    </w:p>
    <w:p w14:paraId="3146AD24" w14:textId="77777777" w:rsidR="0078084A" w:rsidRPr="00EE665C" w:rsidRDefault="0078084A" w:rsidP="0078084A">
      <w:pPr>
        <w:jc w:val="both"/>
        <w:rPr>
          <w:rFonts w:ascii="Times New Roman" w:hAnsi="Times New Roman" w:cs="Times New Roman"/>
          <w:b/>
          <w:bCs/>
        </w:rPr>
      </w:pPr>
      <w:r w:rsidRPr="00EE665C">
        <w:rPr>
          <w:rFonts w:ascii="Times New Roman" w:hAnsi="Times New Roman" w:cs="Times New Roman"/>
          <w:b/>
          <w:bCs/>
        </w:rPr>
        <w:t>3. Methodology</w:t>
      </w:r>
    </w:p>
    <w:p w14:paraId="7F6D07BB" w14:textId="77777777" w:rsidR="0078084A" w:rsidRPr="00EE665C" w:rsidRDefault="0078084A" w:rsidP="0078084A">
      <w:pPr>
        <w:jc w:val="both"/>
        <w:rPr>
          <w:rFonts w:ascii="Times New Roman" w:hAnsi="Times New Roman" w:cs="Times New Roman"/>
          <w:b/>
          <w:bCs/>
        </w:rPr>
      </w:pPr>
      <w:r w:rsidRPr="00EE665C">
        <w:rPr>
          <w:rFonts w:ascii="Times New Roman" w:hAnsi="Times New Roman" w:cs="Times New Roman"/>
          <w:b/>
          <w:bCs/>
        </w:rPr>
        <w:t>3.1 Study Design</w:t>
      </w:r>
    </w:p>
    <w:p w14:paraId="4CBB7EA2" w14:textId="27A0F689" w:rsidR="0078084A" w:rsidRPr="00EE665C" w:rsidRDefault="0078084A" w:rsidP="0078084A">
      <w:pPr>
        <w:spacing w:line="480" w:lineRule="auto"/>
        <w:jc w:val="both"/>
        <w:rPr>
          <w:rFonts w:ascii="Times New Roman" w:hAnsi="Times New Roman" w:cs="Times New Roman"/>
        </w:rPr>
      </w:pPr>
      <w:r w:rsidRPr="00EE665C">
        <w:rPr>
          <w:rFonts w:ascii="Times New Roman" w:hAnsi="Times New Roman" w:cs="Times New Roman"/>
        </w:rPr>
        <w:t>This study adopted a positivist research philosophy, which emphasizes objective measurement and hypothesis testing based on observable phenomena. A cross-sectional design was employed, allowing data to be collected at a single point in time from multiple respondents. The research followed a deductive approach, beginning with theory-driven hypotheses derived from the Technology Acceptance Model (TAM) and related frameworks. The study focused on semi-literate women traders operating in three prominent open-air markets in Obio Akpor Local Government Area (LGA), Rivers State, Nigeria: Mile One Market, Mile Three Market, and Oil Mill Market. These markets were purposefully selected due to their high density of female traders and the increased adoption of FinTech and mobile money services in these economic hubs. To ensure the relevance of the data, screening criteria were applied: only women with prior or ongoing experience using mobile money or FinTech platforms were included. An initial eligibility question was administered to confirm usage experience before participants were given the full questionnaire. This formed part of a purposive sampling strategy, enabling the selection of respondents who met the predefined inclusion criteria based on the study’s objectives.</w:t>
      </w:r>
    </w:p>
    <w:p w14:paraId="4FF5DA2E" w14:textId="77777777" w:rsidR="0078084A" w:rsidRPr="00EE665C" w:rsidRDefault="0078084A" w:rsidP="0078084A">
      <w:pPr>
        <w:spacing w:line="480" w:lineRule="auto"/>
        <w:jc w:val="both"/>
        <w:rPr>
          <w:rFonts w:ascii="Times New Roman" w:hAnsi="Times New Roman" w:cs="Times New Roman"/>
          <w:b/>
          <w:bCs/>
        </w:rPr>
      </w:pPr>
      <w:r w:rsidRPr="00EE665C">
        <w:rPr>
          <w:rFonts w:ascii="Times New Roman" w:hAnsi="Times New Roman" w:cs="Times New Roman"/>
          <w:b/>
          <w:bCs/>
        </w:rPr>
        <w:t>3.2 Sampling Procedures</w:t>
      </w:r>
    </w:p>
    <w:p w14:paraId="4E7F2E46" w14:textId="175F6D3E" w:rsidR="0078084A" w:rsidRPr="00EE665C" w:rsidRDefault="0078084A" w:rsidP="0078084A">
      <w:pPr>
        <w:spacing w:line="480" w:lineRule="auto"/>
        <w:jc w:val="both"/>
        <w:rPr>
          <w:rFonts w:ascii="Times New Roman" w:hAnsi="Times New Roman" w:cs="Times New Roman"/>
        </w:rPr>
      </w:pPr>
      <w:r w:rsidRPr="00EE665C">
        <w:rPr>
          <w:rFonts w:ascii="Times New Roman" w:hAnsi="Times New Roman" w:cs="Times New Roman"/>
        </w:rPr>
        <w:t xml:space="preserve">As part of this quantitative research, a self-administered structured questionnaire was distributed to a total of 300 women (100 from each of the market) traders identified through purposive sampling. The questionnaire was enclosed in a sealed envelope and provided with a pencil to encourage formal, independent responses. Each participant was briefed on the study’s purpose, and only those who expressed interest and were willing to commit 10–15 minutes to complete the instrument were </w:t>
      </w:r>
      <w:r w:rsidRPr="00EE665C">
        <w:rPr>
          <w:rFonts w:ascii="Times New Roman" w:hAnsi="Times New Roman" w:cs="Times New Roman"/>
        </w:rPr>
        <w:lastRenderedPageBreak/>
        <w:t xml:space="preserve">engaged. To reduce bias and non-response error, researchers directly distributed and retrieved the questionnaires on-site, ensuring confidentiality and anonymity. Out of the 300 questionnaires distributed, 294 valid responses were retrieved and used for analysis. This sample size aligns with the recommendations of Hair et al. (2014), who suggest that a minimum of 100–200 observations </w:t>
      </w:r>
      <w:proofErr w:type="gramStart"/>
      <w:r w:rsidRPr="00EE665C">
        <w:rPr>
          <w:rFonts w:ascii="Times New Roman" w:hAnsi="Times New Roman" w:cs="Times New Roman"/>
        </w:rPr>
        <w:t>is</w:t>
      </w:r>
      <w:proofErr w:type="gramEnd"/>
      <w:r w:rsidRPr="00EE665C">
        <w:rPr>
          <w:rFonts w:ascii="Times New Roman" w:hAnsi="Times New Roman" w:cs="Times New Roman"/>
        </w:rPr>
        <w:t xml:space="preserve"> appropriate for structural equation modeling, especially when latent constructs are involved.</w:t>
      </w:r>
    </w:p>
    <w:p w14:paraId="47063ECF" w14:textId="6F403ED0" w:rsidR="00586789" w:rsidRPr="00EE665C" w:rsidRDefault="00586789" w:rsidP="0078084A">
      <w:pPr>
        <w:spacing w:line="480" w:lineRule="auto"/>
        <w:jc w:val="both"/>
        <w:rPr>
          <w:rFonts w:ascii="Times New Roman" w:hAnsi="Times New Roman" w:cs="Times New Roman"/>
          <w:b/>
          <w:bCs/>
        </w:rPr>
      </w:pPr>
      <w:r w:rsidRPr="00EE665C">
        <w:rPr>
          <w:rFonts w:ascii="Times New Roman" w:hAnsi="Times New Roman" w:cs="Times New Roman"/>
          <w:b/>
          <w:bCs/>
        </w:rPr>
        <w:t>3.3 Validity and Reliability</w:t>
      </w:r>
    </w:p>
    <w:p w14:paraId="69071983" w14:textId="2CE193CC" w:rsidR="008717D1" w:rsidRPr="00BB42E5" w:rsidRDefault="008717D1" w:rsidP="00BB42E5">
      <w:pPr>
        <w:spacing w:line="480" w:lineRule="auto"/>
        <w:jc w:val="both"/>
        <w:rPr>
          <w:rFonts w:ascii="Times New Roman" w:hAnsi="Times New Roman" w:cs="Times New Roman"/>
        </w:rPr>
      </w:pPr>
      <w:r w:rsidRPr="00EE665C">
        <w:rPr>
          <w:rFonts w:ascii="Times New Roman" w:hAnsi="Times New Roman" w:cs="Times New Roman"/>
        </w:rPr>
        <w:t xml:space="preserve">The analysis followed a two-stage process. First, the measurement model was assessed to evaluate construct reliability and validity. Internal consistency reliability was confirmed through Cronbach’s Alpha and Composite Reliability (CR) values, both of which exceeded the recommended threshold of 0.70 for all constructs. Convergent validity was verified using Average Variance Extracted (AVE), where all constructs achieved AVE values above 0.50, indicating adequate variance captured by each latent variable. Discriminant validity was established using both the Fornell–Larcker criterion and </w:t>
      </w:r>
      <w:proofErr w:type="spellStart"/>
      <w:r w:rsidRPr="00EE665C">
        <w:rPr>
          <w:rFonts w:ascii="Times New Roman" w:hAnsi="Times New Roman" w:cs="Times New Roman"/>
        </w:rPr>
        <w:t>Heterotrait</w:t>
      </w:r>
      <w:proofErr w:type="spellEnd"/>
      <w:r w:rsidRPr="00EE665C">
        <w:rPr>
          <w:rFonts w:ascii="Times New Roman" w:hAnsi="Times New Roman" w:cs="Times New Roman"/>
        </w:rPr>
        <w:t>–</w:t>
      </w:r>
      <w:proofErr w:type="spellStart"/>
      <w:r w:rsidRPr="00EE665C">
        <w:rPr>
          <w:rFonts w:ascii="Times New Roman" w:hAnsi="Times New Roman" w:cs="Times New Roman"/>
        </w:rPr>
        <w:t>Monotrait</w:t>
      </w:r>
      <w:proofErr w:type="spellEnd"/>
      <w:r w:rsidRPr="00EE665C">
        <w:rPr>
          <w:rFonts w:ascii="Times New Roman" w:hAnsi="Times New Roman" w:cs="Times New Roman"/>
        </w:rPr>
        <w:t xml:space="preserve"> Ratio (HTMT); all values met the required standards, in other words, each construct was empirically distinct from the others.</w:t>
      </w:r>
    </w:p>
    <w:p w14:paraId="31361853" w14:textId="2119776B" w:rsidR="00586789" w:rsidRPr="00EE665C" w:rsidRDefault="00586789" w:rsidP="00586789">
      <w:pPr>
        <w:jc w:val="both"/>
        <w:rPr>
          <w:rFonts w:ascii="Times New Roman" w:hAnsi="Times New Roman" w:cs="Times New Roman"/>
          <w:b/>
          <w:bCs/>
        </w:rPr>
      </w:pPr>
      <w:r w:rsidRPr="00EE665C">
        <w:rPr>
          <w:rFonts w:ascii="Times New Roman" w:hAnsi="Times New Roman" w:cs="Times New Roman"/>
          <w:b/>
          <w:bCs/>
        </w:rPr>
        <w:t>4. Data Analysis</w:t>
      </w:r>
    </w:p>
    <w:p w14:paraId="034FF542" w14:textId="77777777" w:rsidR="00586789" w:rsidRPr="00EE665C" w:rsidRDefault="00586789" w:rsidP="00586789">
      <w:pPr>
        <w:jc w:val="both"/>
        <w:rPr>
          <w:rFonts w:ascii="Times New Roman" w:hAnsi="Times New Roman" w:cs="Times New Roman"/>
          <w:b/>
          <w:bCs/>
        </w:rPr>
      </w:pPr>
      <w:r w:rsidRPr="00EE665C">
        <w:rPr>
          <w:rFonts w:ascii="Times New Roman" w:hAnsi="Times New Roman" w:cs="Times New Roman"/>
          <w:b/>
          <w:bCs/>
        </w:rPr>
        <w:t>4.1 Partial Least Squares Structural Equation Modeling (PLS-SEM)</w:t>
      </w:r>
    </w:p>
    <w:p w14:paraId="68434A1A" w14:textId="5D8BF7F8" w:rsidR="00473C5C" w:rsidRPr="00EE665C" w:rsidRDefault="00586789" w:rsidP="00A27417">
      <w:pPr>
        <w:spacing w:line="480" w:lineRule="auto"/>
        <w:jc w:val="both"/>
        <w:rPr>
          <w:rFonts w:ascii="Times New Roman" w:hAnsi="Times New Roman" w:cs="Times New Roman"/>
          <w:b/>
          <w:bCs/>
        </w:rPr>
      </w:pPr>
      <w:r w:rsidRPr="00EE665C">
        <w:rPr>
          <w:rFonts w:ascii="Times New Roman" w:hAnsi="Times New Roman" w:cs="Times New Roman"/>
        </w:rPr>
        <w:t xml:space="preserve">The data were analyzed using Partial Least Squares Structural Equation Modeling (PLS-SEM), executed via </w:t>
      </w:r>
      <w:proofErr w:type="spellStart"/>
      <w:r w:rsidRPr="00EE665C">
        <w:rPr>
          <w:rFonts w:ascii="Times New Roman" w:hAnsi="Times New Roman" w:cs="Times New Roman"/>
        </w:rPr>
        <w:t>SmartPLS</w:t>
      </w:r>
      <w:proofErr w:type="spellEnd"/>
      <w:r w:rsidRPr="00EE665C">
        <w:rPr>
          <w:rFonts w:ascii="Times New Roman" w:hAnsi="Times New Roman" w:cs="Times New Roman"/>
        </w:rPr>
        <w:t xml:space="preserve"> 4.0. PLS-SEM was selected due to its suitability for exploratory models and its robustness in handling complex relationships with relatively small sample sizes.</w:t>
      </w:r>
    </w:p>
    <w:p w14:paraId="318D4AB0" w14:textId="649FB566" w:rsidR="00473C5C" w:rsidRDefault="007A3543" w:rsidP="00751F08">
      <w:pPr>
        <w:jc w:val="both"/>
        <w:rPr>
          <w:rFonts w:ascii="Times New Roman" w:hAnsi="Times New Roman" w:cs="Times New Roman"/>
          <w:b/>
          <w:bCs/>
        </w:rPr>
      </w:pPr>
      <w:r>
        <w:rPr>
          <w:rFonts w:ascii="Times New Roman" w:hAnsi="Times New Roman" w:cs="Times New Roman"/>
          <w:b/>
          <w:bCs/>
        </w:rPr>
        <w:t>Fig 1-</w:t>
      </w:r>
      <w:r w:rsidR="00753D84">
        <w:rPr>
          <w:rFonts w:ascii="Times New Roman" w:hAnsi="Times New Roman" w:cs="Times New Roman"/>
          <w:b/>
          <w:bCs/>
        </w:rPr>
        <w:t xml:space="preserve"> </w:t>
      </w:r>
      <w:r w:rsidR="00753D84" w:rsidRPr="00753D84">
        <w:rPr>
          <w:rFonts w:ascii="Times New Roman" w:hAnsi="Times New Roman" w:cs="Times New Roman"/>
          <w:b/>
          <w:bCs/>
        </w:rPr>
        <w:t>PLS-SEM structural model showing the relationships among perceived convenience, perceived security, perceived usefulness, and consumer spending habits</w:t>
      </w:r>
    </w:p>
    <w:p w14:paraId="66D99850" w14:textId="77777777" w:rsidR="00753D84" w:rsidRDefault="00753D84" w:rsidP="00751F08">
      <w:pPr>
        <w:jc w:val="both"/>
        <w:rPr>
          <w:rFonts w:ascii="Times New Roman" w:hAnsi="Times New Roman" w:cs="Times New Roman"/>
          <w:b/>
          <w:bCs/>
        </w:rPr>
      </w:pPr>
    </w:p>
    <w:p w14:paraId="76D4C2DB" w14:textId="77777777" w:rsidR="00753D84" w:rsidRPr="00EE665C" w:rsidRDefault="00753D84" w:rsidP="00751F08">
      <w:pPr>
        <w:jc w:val="both"/>
        <w:rPr>
          <w:rFonts w:ascii="Times New Roman" w:hAnsi="Times New Roman" w:cs="Times New Roman"/>
          <w:b/>
          <w:bCs/>
        </w:rPr>
      </w:pPr>
    </w:p>
    <w:p w14:paraId="34D99C5A" w14:textId="6C30A272" w:rsidR="00473C5C" w:rsidRPr="00EE665C" w:rsidRDefault="002C7A50" w:rsidP="00BA0470">
      <w:pPr>
        <w:rPr>
          <w:rFonts w:ascii="Times New Roman" w:hAnsi="Times New Roman" w:cs="Times New Roman"/>
          <w:b/>
          <w:bCs/>
        </w:rPr>
      </w:pPr>
      <w:r w:rsidRPr="00EE665C">
        <w:rPr>
          <w:rFonts w:ascii="Times New Roman" w:hAnsi="Times New Roman" w:cs="Times New Roman"/>
          <w:b/>
          <w:bCs/>
          <w:noProof/>
        </w:rPr>
        <w:lastRenderedPageBreak/>
        <w:drawing>
          <wp:inline distT="0" distB="0" distL="0" distR="0" wp14:anchorId="3BF2FC86" wp14:editId="1DE0283C">
            <wp:extent cx="6171938" cy="4046855"/>
            <wp:effectExtent l="0" t="0" r="635" b="0"/>
            <wp:docPr id="7" name="Picture 7" descr="C:\Users\BARBS\Downloads\SEM_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BS\Downloads\SEM_Model.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7972"/>
                    <a:stretch/>
                  </pic:blipFill>
                  <pic:spPr bwMode="auto">
                    <a:xfrm>
                      <a:off x="0" y="0"/>
                      <a:ext cx="6172200" cy="4047027"/>
                    </a:xfrm>
                    <a:prstGeom prst="rect">
                      <a:avLst/>
                    </a:prstGeom>
                    <a:noFill/>
                    <a:ln>
                      <a:noFill/>
                    </a:ln>
                    <a:extLst>
                      <a:ext uri="{53640926-AAD7-44D8-BBD7-CCE9431645EC}">
                        <a14:shadowObscured xmlns:a14="http://schemas.microsoft.com/office/drawing/2010/main"/>
                      </a:ext>
                    </a:extLst>
                  </pic:spPr>
                </pic:pic>
              </a:graphicData>
            </a:graphic>
          </wp:inline>
        </w:drawing>
      </w:r>
    </w:p>
    <w:p w14:paraId="156ABCBD" w14:textId="2A3402EE" w:rsidR="001B462A" w:rsidRPr="00EE665C" w:rsidRDefault="00AE15BA" w:rsidP="00AB77B4">
      <w:pPr>
        <w:spacing w:line="480" w:lineRule="auto"/>
        <w:jc w:val="both"/>
        <w:rPr>
          <w:rFonts w:ascii="Times New Roman" w:hAnsi="Times New Roman" w:cs="Times New Roman"/>
        </w:rPr>
      </w:pPr>
      <w:r w:rsidRPr="00EE665C">
        <w:rPr>
          <w:rFonts w:ascii="Times New Roman" w:hAnsi="Times New Roman" w:cs="Times New Roman"/>
        </w:rPr>
        <w:t xml:space="preserve">The result shows that Perceived Convenience has the strongest positive relationship with Consumer Spending Habits, with a coefficient of 0.561. This means that when consumers perceive a service, product, or payment system as convenient, their spending habits are more likely to be influenced positively. In practical terms, convenience appears to be the most important factor affecting how consumers spend. Perceived Usefulness also has a positive relationship with Consumer Spending Habits, with a coefficient of 0.409. This indicates that consumers are more likely to spend when they believe the system or service is useful to them. The relationship is moderate, meaning usefulness matters, but it is not as strong as convenience. Perceived Security has a very weak positive relationship with Consumer Spending Habits, with a coefficient of 0.046. This suggests that security does not strongly influence consumer spending habits in this model. Although security is important generally, the result shows that it contributes very little to changes in consumer spending </w:t>
      </w:r>
      <w:proofErr w:type="spellStart"/>
      <w:r w:rsidRPr="00EE665C">
        <w:rPr>
          <w:rFonts w:ascii="Times New Roman" w:hAnsi="Times New Roman" w:cs="Times New Roman"/>
        </w:rPr>
        <w:t>behaviour</w:t>
      </w:r>
      <w:proofErr w:type="spellEnd"/>
      <w:r w:rsidRPr="00EE665C">
        <w:rPr>
          <w:rFonts w:ascii="Times New Roman" w:hAnsi="Times New Roman" w:cs="Times New Roman"/>
        </w:rPr>
        <w:t xml:space="preserve"> in the present analysis. Therefore, the strongest predictor of Consumer Spending Habits is Perceived Convenience, </w:t>
      </w:r>
      <w:r w:rsidRPr="00EE665C">
        <w:rPr>
          <w:rFonts w:ascii="Times New Roman" w:hAnsi="Times New Roman" w:cs="Times New Roman"/>
        </w:rPr>
        <w:lastRenderedPageBreak/>
        <w:t>followed by Perceived Usefulness, while Perceived Security has the weakest influence. The correlation between Perceived Convenience and Perceived Usefulness is 0.362, showing a moderate positive relationship. This means that consumers who perceive a system as convenient may also tend to see it as useful. The relationship between Perceived Convenience and Perceived Security is negative and very weak, with a value of -0.045. This means there is almost no meaningful relationship between convenience and security in the model. The relationship between Perceived Security and Perceived Usefulness is also almost zero, with a value of -0.005. This indicates that perceived security and perceived usefulness are practically unrelated in this result.</w:t>
      </w:r>
    </w:p>
    <w:p w14:paraId="779EBCD7" w14:textId="0DD73DCE" w:rsidR="000F7E84" w:rsidRPr="00EE665C" w:rsidRDefault="000F7E84" w:rsidP="000F7E84">
      <w:pPr>
        <w:shd w:val="clear" w:color="auto" w:fill="FFFFFF"/>
        <w:spacing w:before="375" w:after="150" w:line="240" w:lineRule="auto"/>
        <w:outlineLvl w:val="2"/>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Discriminant Validity</w:t>
      </w:r>
    </w:p>
    <w:p w14:paraId="1EE346FF" w14:textId="22AD9424" w:rsidR="000F7E84" w:rsidRPr="00EE665C" w:rsidRDefault="000F7E84" w:rsidP="000F7E84">
      <w:pPr>
        <w:pBdr>
          <w:bottom w:val="single" w:sz="6" w:space="0" w:color="DDDDDD"/>
        </w:pBdr>
        <w:shd w:val="clear" w:color="auto" w:fill="FFFFFF"/>
        <w:spacing w:before="100" w:beforeAutospacing="1" w:after="0" w:line="240" w:lineRule="auto"/>
        <w:rPr>
          <w:rFonts w:ascii="Times New Roman" w:eastAsia="Times New Roman" w:hAnsi="Times New Roman" w:cs="Times New Roman"/>
          <w:kern w:val="0"/>
          <w14:ligatures w14:val="none"/>
        </w:rPr>
      </w:pPr>
      <w:hyperlink r:id="rId8" w:anchor="matrix_QUALITY_0_3_0" w:history="1">
        <w:r w:rsidRPr="00EE665C">
          <w:rPr>
            <w:rFonts w:ascii="Times New Roman" w:eastAsia="Times New Roman" w:hAnsi="Times New Roman" w:cs="Times New Roman"/>
            <w:kern w:val="0"/>
            <w:u w:val="single"/>
            <w:bdr w:val="single" w:sz="6" w:space="8" w:color="auto" w:frame="1"/>
            <w:shd w:val="clear" w:color="auto" w:fill="FFFFFF"/>
            <w14:ligatures w14:val="none"/>
          </w:rPr>
          <w:t>Fornell-Larcker Criterion</w:t>
        </w:r>
      </w:hyperlink>
    </w:p>
    <w:tbl>
      <w:tblPr>
        <w:tblStyle w:val="TableGrid"/>
        <w:tblW w:w="10072" w:type="dxa"/>
        <w:tblLook w:val="04A0" w:firstRow="1" w:lastRow="0" w:firstColumn="1" w:lastColumn="0" w:noHBand="0" w:noVBand="1"/>
      </w:tblPr>
      <w:tblGrid>
        <w:gridCol w:w="3246"/>
        <w:gridCol w:w="1606"/>
        <w:gridCol w:w="2003"/>
        <w:gridCol w:w="1256"/>
        <w:gridCol w:w="2250"/>
      </w:tblGrid>
      <w:tr w:rsidR="00EE665C" w:rsidRPr="00EE665C" w14:paraId="3F25F67F" w14:textId="77777777" w:rsidTr="000F7E84">
        <w:tc>
          <w:tcPr>
            <w:tcW w:w="3246" w:type="dxa"/>
            <w:noWrap/>
            <w:hideMark/>
          </w:tcPr>
          <w:p w14:paraId="10275F9C" w14:textId="77777777" w:rsidR="000F7E84" w:rsidRPr="00EE665C" w:rsidRDefault="000F7E84" w:rsidP="000F7E84">
            <w:pPr>
              <w:numPr>
                <w:ilvl w:val="0"/>
                <w:numId w:val="4"/>
              </w:numPr>
              <w:pBdr>
                <w:bottom w:val="single" w:sz="6" w:space="0" w:color="DDDDDD"/>
              </w:pBdr>
              <w:shd w:val="clear" w:color="auto" w:fill="FFFFFF"/>
              <w:spacing w:before="100" w:beforeAutospacing="1"/>
              <w:rPr>
                <w:rFonts w:ascii="Times New Roman" w:eastAsia="Times New Roman" w:hAnsi="Times New Roman" w:cs="Times New Roman"/>
                <w:kern w:val="0"/>
                <w14:ligatures w14:val="none"/>
              </w:rPr>
            </w:pPr>
          </w:p>
        </w:tc>
        <w:tc>
          <w:tcPr>
            <w:tcW w:w="1606" w:type="dxa"/>
            <w:noWrap/>
            <w:hideMark/>
          </w:tcPr>
          <w:p w14:paraId="518B9546" w14:textId="77777777" w:rsidR="000F7E84" w:rsidRPr="00EE665C" w:rsidRDefault="000F7E84" w:rsidP="000F7E84">
            <w:pPr>
              <w:spacing w:after="300"/>
              <w:jc w:val="right"/>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Consumer Spending Habits (CSH)</w:t>
            </w:r>
          </w:p>
        </w:tc>
        <w:tc>
          <w:tcPr>
            <w:tcW w:w="1714" w:type="dxa"/>
            <w:noWrap/>
            <w:hideMark/>
          </w:tcPr>
          <w:p w14:paraId="72EA81B5" w14:textId="77777777" w:rsidR="000F7E84" w:rsidRPr="00EE665C" w:rsidRDefault="000F7E84" w:rsidP="000F7E84">
            <w:pPr>
              <w:spacing w:after="300"/>
              <w:jc w:val="right"/>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 xml:space="preserve">Perceived </w:t>
            </w:r>
            <w:proofErr w:type="gramStart"/>
            <w:r w:rsidRPr="00EE665C">
              <w:rPr>
                <w:rFonts w:ascii="Times New Roman" w:eastAsia="Times New Roman" w:hAnsi="Times New Roman" w:cs="Times New Roman"/>
                <w:b/>
                <w:bCs/>
                <w:kern w:val="0"/>
                <w14:ligatures w14:val="none"/>
              </w:rPr>
              <w:t>Convenience(</w:t>
            </w:r>
            <w:proofErr w:type="gramEnd"/>
            <w:r w:rsidRPr="00EE665C">
              <w:rPr>
                <w:rFonts w:ascii="Times New Roman" w:eastAsia="Times New Roman" w:hAnsi="Times New Roman" w:cs="Times New Roman"/>
                <w:b/>
                <w:bCs/>
                <w:kern w:val="0"/>
                <w14:ligatures w14:val="none"/>
              </w:rPr>
              <w:t>PC)</w:t>
            </w:r>
          </w:p>
        </w:tc>
        <w:tc>
          <w:tcPr>
            <w:tcW w:w="1256" w:type="dxa"/>
            <w:noWrap/>
            <w:hideMark/>
          </w:tcPr>
          <w:p w14:paraId="297EF072" w14:textId="77777777" w:rsidR="000F7E84" w:rsidRPr="00EE665C" w:rsidRDefault="000F7E84" w:rsidP="000F7E84">
            <w:pPr>
              <w:spacing w:after="300"/>
              <w:jc w:val="right"/>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Perceived Security (PS)</w:t>
            </w:r>
          </w:p>
        </w:tc>
        <w:tc>
          <w:tcPr>
            <w:tcW w:w="2250" w:type="dxa"/>
            <w:noWrap/>
            <w:hideMark/>
          </w:tcPr>
          <w:p w14:paraId="05DB0A47" w14:textId="77777777" w:rsidR="000F7E84" w:rsidRPr="00EE665C" w:rsidRDefault="000F7E84" w:rsidP="000F7E84">
            <w:pPr>
              <w:spacing w:after="300"/>
              <w:jc w:val="right"/>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 xml:space="preserve">Perceived </w:t>
            </w:r>
            <w:proofErr w:type="gramStart"/>
            <w:r w:rsidRPr="00EE665C">
              <w:rPr>
                <w:rFonts w:ascii="Times New Roman" w:eastAsia="Times New Roman" w:hAnsi="Times New Roman" w:cs="Times New Roman"/>
                <w:b/>
                <w:bCs/>
                <w:kern w:val="0"/>
                <w14:ligatures w14:val="none"/>
              </w:rPr>
              <w:t>Usefulness(</w:t>
            </w:r>
            <w:proofErr w:type="gramEnd"/>
            <w:r w:rsidRPr="00EE665C">
              <w:rPr>
                <w:rFonts w:ascii="Times New Roman" w:eastAsia="Times New Roman" w:hAnsi="Times New Roman" w:cs="Times New Roman"/>
                <w:b/>
                <w:bCs/>
                <w:kern w:val="0"/>
                <w14:ligatures w14:val="none"/>
              </w:rPr>
              <w:t>PU)</w:t>
            </w:r>
          </w:p>
        </w:tc>
      </w:tr>
      <w:tr w:rsidR="00EE665C" w:rsidRPr="00EE665C" w14:paraId="63EF6A02" w14:textId="77777777" w:rsidTr="000F7E84">
        <w:tc>
          <w:tcPr>
            <w:tcW w:w="3246" w:type="dxa"/>
            <w:noWrap/>
            <w:hideMark/>
          </w:tcPr>
          <w:p w14:paraId="2E6E4286" w14:textId="77777777" w:rsidR="000F7E84" w:rsidRPr="00EE665C" w:rsidRDefault="000F7E84" w:rsidP="000F7E84">
            <w:pPr>
              <w:spacing w:after="300"/>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Consumer Spending Habits (CSH)</w:t>
            </w:r>
          </w:p>
        </w:tc>
        <w:tc>
          <w:tcPr>
            <w:tcW w:w="1606" w:type="dxa"/>
            <w:hideMark/>
          </w:tcPr>
          <w:p w14:paraId="56FAE718"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0.671</w:t>
            </w:r>
          </w:p>
        </w:tc>
        <w:tc>
          <w:tcPr>
            <w:tcW w:w="1714" w:type="dxa"/>
            <w:hideMark/>
          </w:tcPr>
          <w:p w14:paraId="72806A71"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 </w:t>
            </w:r>
          </w:p>
        </w:tc>
        <w:tc>
          <w:tcPr>
            <w:tcW w:w="1256" w:type="dxa"/>
            <w:hideMark/>
          </w:tcPr>
          <w:p w14:paraId="43807261"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 </w:t>
            </w:r>
          </w:p>
        </w:tc>
        <w:tc>
          <w:tcPr>
            <w:tcW w:w="2250" w:type="dxa"/>
            <w:hideMark/>
          </w:tcPr>
          <w:p w14:paraId="31B0BA7F"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 </w:t>
            </w:r>
          </w:p>
        </w:tc>
      </w:tr>
      <w:tr w:rsidR="00EE665C" w:rsidRPr="00EE665C" w14:paraId="039066DD" w14:textId="77777777" w:rsidTr="000F7E84">
        <w:tc>
          <w:tcPr>
            <w:tcW w:w="3246" w:type="dxa"/>
            <w:noWrap/>
            <w:hideMark/>
          </w:tcPr>
          <w:p w14:paraId="72C2C0B1" w14:textId="77777777" w:rsidR="000F7E84" w:rsidRPr="00EE665C" w:rsidRDefault="000F7E84" w:rsidP="000F7E84">
            <w:pPr>
              <w:spacing w:after="300"/>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 xml:space="preserve">Perceived </w:t>
            </w:r>
            <w:proofErr w:type="gramStart"/>
            <w:r w:rsidRPr="00EE665C">
              <w:rPr>
                <w:rFonts w:ascii="Times New Roman" w:eastAsia="Times New Roman" w:hAnsi="Times New Roman" w:cs="Times New Roman"/>
                <w:b/>
                <w:bCs/>
                <w:kern w:val="0"/>
                <w14:ligatures w14:val="none"/>
              </w:rPr>
              <w:t>Convenience(</w:t>
            </w:r>
            <w:proofErr w:type="gramEnd"/>
            <w:r w:rsidRPr="00EE665C">
              <w:rPr>
                <w:rFonts w:ascii="Times New Roman" w:eastAsia="Times New Roman" w:hAnsi="Times New Roman" w:cs="Times New Roman"/>
                <w:b/>
                <w:bCs/>
                <w:kern w:val="0"/>
                <w14:ligatures w14:val="none"/>
              </w:rPr>
              <w:t>PC)</w:t>
            </w:r>
          </w:p>
        </w:tc>
        <w:tc>
          <w:tcPr>
            <w:tcW w:w="1606" w:type="dxa"/>
            <w:hideMark/>
          </w:tcPr>
          <w:p w14:paraId="34672AB5"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0.561</w:t>
            </w:r>
          </w:p>
        </w:tc>
        <w:tc>
          <w:tcPr>
            <w:tcW w:w="1714" w:type="dxa"/>
            <w:hideMark/>
          </w:tcPr>
          <w:p w14:paraId="74DE2483"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0.705</w:t>
            </w:r>
          </w:p>
        </w:tc>
        <w:tc>
          <w:tcPr>
            <w:tcW w:w="1256" w:type="dxa"/>
            <w:hideMark/>
          </w:tcPr>
          <w:p w14:paraId="092BAFBA"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 </w:t>
            </w:r>
          </w:p>
        </w:tc>
        <w:tc>
          <w:tcPr>
            <w:tcW w:w="2250" w:type="dxa"/>
            <w:hideMark/>
          </w:tcPr>
          <w:p w14:paraId="6C01290A"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 </w:t>
            </w:r>
          </w:p>
        </w:tc>
      </w:tr>
      <w:tr w:rsidR="00EE665C" w:rsidRPr="00EE665C" w14:paraId="4E058B34" w14:textId="77777777" w:rsidTr="000F7E84">
        <w:tc>
          <w:tcPr>
            <w:tcW w:w="3246" w:type="dxa"/>
            <w:noWrap/>
            <w:hideMark/>
          </w:tcPr>
          <w:p w14:paraId="55C6D412" w14:textId="77777777" w:rsidR="000F7E84" w:rsidRPr="00EE665C" w:rsidRDefault="000F7E84" w:rsidP="000F7E84">
            <w:pPr>
              <w:spacing w:after="300"/>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Perceived Security (PS)</w:t>
            </w:r>
          </w:p>
        </w:tc>
        <w:tc>
          <w:tcPr>
            <w:tcW w:w="1606" w:type="dxa"/>
            <w:hideMark/>
          </w:tcPr>
          <w:p w14:paraId="47C2A1B0"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0.046</w:t>
            </w:r>
          </w:p>
        </w:tc>
        <w:tc>
          <w:tcPr>
            <w:tcW w:w="1714" w:type="dxa"/>
            <w:hideMark/>
          </w:tcPr>
          <w:p w14:paraId="10C1AD0A"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-0.045</w:t>
            </w:r>
          </w:p>
        </w:tc>
        <w:tc>
          <w:tcPr>
            <w:tcW w:w="1256" w:type="dxa"/>
            <w:hideMark/>
          </w:tcPr>
          <w:p w14:paraId="711812C6"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0.581</w:t>
            </w:r>
          </w:p>
        </w:tc>
        <w:tc>
          <w:tcPr>
            <w:tcW w:w="2250" w:type="dxa"/>
            <w:hideMark/>
          </w:tcPr>
          <w:p w14:paraId="43953455"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 </w:t>
            </w:r>
          </w:p>
        </w:tc>
      </w:tr>
      <w:tr w:rsidR="000F7E84" w:rsidRPr="00EE665C" w14:paraId="657EA631" w14:textId="77777777" w:rsidTr="000F7E84">
        <w:tc>
          <w:tcPr>
            <w:tcW w:w="3246" w:type="dxa"/>
            <w:noWrap/>
            <w:hideMark/>
          </w:tcPr>
          <w:p w14:paraId="45BA1A10" w14:textId="77777777" w:rsidR="000F7E84" w:rsidRPr="00EE665C" w:rsidRDefault="000F7E84" w:rsidP="000F7E84">
            <w:pPr>
              <w:spacing w:after="300"/>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 xml:space="preserve">Perceived </w:t>
            </w:r>
            <w:proofErr w:type="gramStart"/>
            <w:r w:rsidRPr="00EE665C">
              <w:rPr>
                <w:rFonts w:ascii="Times New Roman" w:eastAsia="Times New Roman" w:hAnsi="Times New Roman" w:cs="Times New Roman"/>
                <w:b/>
                <w:bCs/>
                <w:kern w:val="0"/>
                <w14:ligatures w14:val="none"/>
              </w:rPr>
              <w:t>Usefulness(</w:t>
            </w:r>
            <w:proofErr w:type="gramEnd"/>
            <w:r w:rsidRPr="00EE665C">
              <w:rPr>
                <w:rFonts w:ascii="Times New Roman" w:eastAsia="Times New Roman" w:hAnsi="Times New Roman" w:cs="Times New Roman"/>
                <w:b/>
                <w:bCs/>
                <w:kern w:val="0"/>
                <w14:ligatures w14:val="none"/>
              </w:rPr>
              <w:t>PU)</w:t>
            </w:r>
          </w:p>
        </w:tc>
        <w:tc>
          <w:tcPr>
            <w:tcW w:w="1606" w:type="dxa"/>
            <w:hideMark/>
          </w:tcPr>
          <w:p w14:paraId="0F86BF4B"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0.409</w:t>
            </w:r>
          </w:p>
        </w:tc>
        <w:tc>
          <w:tcPr>
            <w:tcW w:w="1714" w:type="dxa"/>
            <w:hideMark/>
          </w:tcPr>
          <w:p w14:paraId="3F654DCE"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0.362</w:t>
            </w:r>
          </w:p>
        </w:tc>
        <w:tc>
          <w:tcPr>
            <w:tcW w:w="1256" w:type="dxa"/>
            <w:hideMark/>
          </w:tcPr>
          <w:p w14:paraId="2C669C19"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-0.005</w:t>
            </w:r>
          </w:p>
        </w:tc>
        <w:tc>
          <w:tcPr>
            <w:tcW w:w="2250" w:type="dxa"/>
            <w:hideMark/>
          </w:tcPr>
          <w:p w14:paraId="777F30C3" w14:textId="77777777" w:rsidR="000F7E84" w:rsidRPr="00EE665C" w:rsidRDefault="000F7E84" w:rsidP="000F7E84">
            <w:pPr>
              <w:spacing w:after="300"/>
              <w:jc w:val="right"/>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0.651</w:t>
            </w:r>
          </w:p>
        </w:tc>
      </w:tr>
    </w:tbl>
    <w:p w14:paraId="0D286964" w14:textId="4D74D40E" w:rsidR="00FD24BF" w:rsidRPr="00EE665C" w:rsidRDefault="00AA2D6E" w:rsidP="00753D84">
      <w:pPr>
        <w:tabs>
          <w:tab w:val="left" w:pos="1250"/>
        </w:tabs>
        <w:jc w:val="both"/>
        <w:rPr>
          <w:rFonts w:ascii="Times New Roman" w:hAnsi="Times New Roman" w:cs="Times New Roman"/>
          <w:b/>
          <w:bCs/>
        </w:rPr>
      </w:pPr>
      <w:r>
        <w:rPr>
          <w:rFonts w:ascii="Times New Roman" w:hAnsi="Times New Roman" w:cs="Times New Roman"/>
          <w:b/>
          <w:bCs/>
        </w:rPr>
        <w:t>Table 1-</w:t>
      </w:r>
      <w:r w:rsidR="00753D84">
        <w:rPr>
          <w:rFonts w:ascii="Times New Roman" w:hAnsi="Times New Roman" w:cs="Times New Roman"/>
          <w:b/>
          <w:bCs/>
        </w:rPr>
        <w:tab/>
        <w:t xml:space="preserve"> </w:t>
      </w:r>
      <w:r w:rsidR="00753D84" w:rsidRPr="00753D84">
        <w:rPr>
          <w:rFonts w:ascii="Times New Roman" w:hAnsi="Times New Roman" w:cs="Times New Roman"/>
          <w:b/>
          <w:bCs/>
        </w:rPr>
        <w:t>Fornell–Larcker criterion for discriminant validity of the study constructs</w:t>
      </w:r>
    </w:p>
    <w:p w14:paraId="11797441" w14:textId="0277BB9A" w:rsidR="00FD24BF" w:rsidRPr="00EE665C" w:rsidRDefault="00386684" w:rsidP="00751F08">
      <w:pPr>
        <w:jc w:val="both"/>
        <w:rPr>
          <w:rFonts w:ascii="Times New Roman" w:hAnsi="Times New Roman" w:cs="Times New Roman"/>
          <w:b/>
          <w:bCs/>
        </w:rPr>
      </w:pPr>
      <w:r w:rsidRPr="00EE665C">
        <w:rPr>
          <w:rFonts w:ascii="Times New Roman" w:hAnsi="Times New Roman" w:cs="Times New Roman"/>
        </w:rPr>
        <w:t xml:space="preserve">The provided table assesses discriminant validity using the Fornell-Larcker criterion. Discriminant validity is successfully established, as the square root of the Average Variance Extracted for each construct, located on the diagonal, is greater than its correlations with any other construct. These diagonal values are 0.671 for Consumer Spending Habits, 0.705 for Perceived Convenience, 0.581 for Perceived Security, and 0.651 for Perceived Usefulness. Examining the relationships between the constructs, Perceived Convenience exhibits the strongest positive correlation with Consumer Spending Habits at 0.561. Perceived Usefulness demonstrates moderate positive correlations with both </w:t>
      </w:r>
      <w:r w:rsidRPr="00EE665C">
        <w:rPr>
          <w:rFonts w:ascii="Times New Roman" w:hAnsi="Times New Roman" w:cs="Times New Roman"/>
        </w:rPr>
        <w:lastRenderedPageBreak/>
        <w:t>Consumer Spending Habits at 0.409 and Perceived Convenience at 0.362. Conversely, Perceived Security shows negligible relationships with the other variables, presenting a weak positive correlation of 0.046 with Consumer Spending Habits, a correlation of -0.045 with Perceived Convenience, and a near-zero correlation of -0.005 with Perceived Usefulness.</w:t>
      </w:r>
    </w:p>
    <w:p w14:paraId="34AFF408" w14:textId="17443893" w:rsidR="00FD24BF" w:rsidRPr="00EE665C" w:rsidRDefault="000F7E84" w:rsidP="00751F08">
      <w:pPr>
        <w:jc w:val="both"/>
        <w:rPr>
          <w:rFonts w:ascii="Times New Roman" w:hAnsi="Times New Roman" w:cs="Times New Roman"/>
          <w:b/>
          <w:bCs/>
        </w:rPr>
      </w:pPr>
      <w:r w:rsidRPr="00EE665C">
        <w:rPr>
          <w:rFonts w:ascii="Times New Roman" w:hAnsi="Times New Roman" w:cs="Times New Roman"/>
          <w:noProof/>
        </w:rPr>
        <w:drawing>
          <wp:inline distT="0" distB="0" distL="0" distR="0" wp14:anchorId="2F3B247D" wp14:editId="1A7D3EB8">
            <wp:extent cx="6203950" cy="2857500"/>
            <wp:effectExtent l="0" t="0" r="6350" b="0"/>
            <wp:docPr id="6" name="Picture 1" descr="C:\Users\pc\OneDrive\Documents\iha2.html-files\graph_QUALITY_graph_QUALITY_0_3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OneDrive\Documents\iha2.html-files\graph_QUALITY_graph_QUALITY_0_3_0_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3950" cy="2857500"/>
                    </a:xfrm>
                    <a:prstGeom prst="rect">
                      <a:avLst/>
                    </a:prstGeom>
                    <a:noFill/>
                    <a:ln>
                      <a:noFill/>
                    </a:ln>
                  </pic:spPr>
                </pic:pic>
              </a:graphicData>
            </a:graphic>
          </wp:inline>
        </w:drawing>
      </w:r>
    </w:p>
    <w:p w14:paraId="50D33B6E" w14:textId="32F3152A" w:rsidR="0090167D" w:rsidRDefault="0090167D" w:rsidP="00751F08">
      <w:pPr>
        <w:jc w:val="both"/>
        <w:rPr>
          <w:rFonts w:ascii="Times New Roman" w:hAnsi="Times New Roman" w:cs="Times New Roman"/>
        </w:rPr>
      </w:pPr>
      <w:r>
        <w:rPr>
          <w:rFonts w:ascii="Times New Roman" w:hAnsi="Times New Roman" w:cs="Times New Roman"/>
        </w:rPr>
        <w:t>Fig 2-</w:t>
      </w:r>
      <w:r w:rsidR="00753D84" w:rsidRPr="00753D84">
        <w:t xml:space="preserve"> </w:t>
      </w:r>
      <w:proofErr w:type="spellStart"/>
      <w:r w:rsidR="00753D84" w:rsidRPr="00753D84">
        <w:rPr>
          <w:rFonts w:ascii="Times New Roman" w:hAnsi="Times New Roman" w:cs="Times New Roman"/>
        </w:rPr>
        <w:t>Heterotrait</w:t>
      </w:r>
      <w:proofErr w:type="spellEnd"/>
      <w:r w:rsidR="00753D84" w:rsidRPr="00753D84">
        <w:rPr>
          <w:rFonts w:ascii="Times New Roman" w:hAnsi="Times New Roman" w:cs="Times New Roman"/>
        </w:rPr>
        <w:t>–</w:t>
      </w:r>
      <w:proofErr w:type="spellStart"/>
      <w:r w:rsidR="00753D84" w:rsidRPr="00753D84">
        <w:rPr>
          <w:rFonts w:ascii="Times New Roman" w:hAnsi="Times New Roman" w:cs="Times New Roman"/>
        </w:rPr>
        <w:t>Monotrait</w:t>
      </w:r>
      <w:proofErr w:type="spellEnd"/>
      <w:r w:rsidR="00753D84" w:rsidRPr="00753D84">
        <w:rPr>
          <w:rFonts w:ascii="Times New Roman" w:hAnsi="Times New Roman" w:cs="Times New Roman"/>
        </w:rPr>
        <w:t xml:space="preserve"> Ratio (HTMT) values for assessing discriminant validity among the study constructs</w:t>
      </w:r>
    </w:p>
    <w:p w14:paraId="53318545" w14:textId="69B145E4" w:rsidR="00FD24BF" w:rsidRPr="00EE665C" w:rsidRDefault="00386684" w:rsidP="00751F08">
      <w:pPr>
        <w:jc w:val="both"/>
        <w:rPr>
          <w:rFonts w:ascii="Times New Roman" w:hAnsi="Times New Roman" w:cs="Times New Roman"/>
          <w:b/>
          <w:bCs/>
        </w:rPr>
      </w:pPr>
      <w:r w:rsidRPr="00EE665C">
        <w:rPr>
          <w:rFonts w:ascii="Times New Roman" w:hAnsi="Times New Roman" w:cs="Times New Roman"/>
        </w:rPr>
        <w:t xml:space="preserve">The provided file, image_098f80.png, presents a bar chart illustrating the </w:t>
      </w:r>
      <w:proofErr w:type="spellStart"/>
      <w:r w:rsidRPr="00EE665C">
        <w:rPr>
          <w:rFonts w:ascii="Times New Roman" w:hAnsi="Times New Roman" w:cs="Times New Roman"/>
        </w:rPr>
        <w:t>Heterotrait-Monotrait</w:t>
      </w:r>
      <w:proofErr w:type="spellEnd"/>
      <w:r w:rsidRPr="00EE665C">
        <w:rPr>
          <w:rFonts w:ascii="Times New Roman" w:hAnsi="Times New Roman" w:cs="Times New Roman"/>
        </w:rPr>
        <w:t xml:space="preserve"> Ratio (HTMT), which is an advanced metric used to assess discriminant validity among the study's constructs. The vertical axis measures the HTMT ratio on a scale from 0 to 0.7, while the horizontal axis displays the relationships between pairs of variables, specifically involving Perceived Convenience, Perceived Security, and Perceived Usefulness. The chart displays six bars with varying heights; the highest observed HTMT value is approximately 0.68, while the lowest drops to near 0.11. Because all recorded HTMT ratios fall substantially below the conservative threshold of 0.85, discriminant validity is robustly established for the model. This finding further confirms that each construct is empirically distinct and independently measures a unique concept without problematic overlap.</w:t>
      </w:r>
    </w:p>
    <w:p w14:paraId="1759EA48" w14:textId="45C2EFB5" w:rsidR="000F7E84" w:rsidRPr="00EE665C" w:rsidRDefault="008402A5" w:rsidP="000F7E84">
      <w:pPr>
        <w:shd w:val="clear" w:color="auto" w:fill="FFFFFF"/>
        <w:spacing w:before="375" w:after="150" w:line="240" w:lineRule="auto"/>
        <w:outlineLvl w:val="2"/>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Table 2- </w:t>
      </w:r>
      <w:r w:rsidR="000F7E84" w:rsidRPr="00EE665C">
        <w:rPr>
          <w:rFonts w:ascii="Times New Roman" w:eastAsia="Times New Roman" w:hAnsi="Times New Roman" w:cs="Times New Roman"/>
          <w:kern w:val="0"/>
          <w14:ligatures w14:val="none"/>
        </w:rPr>
        <w:t>Construct Reliability and Validity</w:t>
      </w:r>
    </w:p>
    <w:tbl>
      <w:tblPr>
        <w:tblStyle w:val="TableGrid"/>
        <w:tblW w:w="10305" w:type="dxa"/>
        <w:tblLook w:val="04A0" w:firstRow="1" w:lastRow="0" w:firstColumn="1" w:lastColumn="0" w:noHBand="0" w:noVBand="1"/>
      </w:tblPr>
      <w:tblGrid>
        <w:gridCol w:w="3612"/>
        <w:gridCol w:w="1513"/>
        <w:gridCol w:w="840"/>
        <w:gridCol w:w="1630"/>
        <w:gridCol w:w="2710"/>
      </w:tblGrid>
      <w:tr w:rsidR="00EE665C" w:rsidRPr="00EE665C" w14:paraId="2A9E0F5B" w14:textId="77777777" w:rsidTr="00020878">
        <w:tc>
          <w:tcPr>
            <w:tcW w:w="3612" w:type="dxa"/>
            <w:noWrap/>
            <w:hideMark/>
          </w:tcPr>
          <w:p w14:paraId="6F7D968F" w14:textId="77777777" w:rsidR="00020878" w:rsidRPr="00EE665C" w:rsidRDefault="00020878" w:rsidP="000F7E84">
            <w:pPr>
              <w:rPr>
                <w:rFonts w:ascii="Times New Roman" w:eastAsia="Times New Roman" w:hAnsi="Times New Roman" w:cs="Times New Roman"/>
                <w:b/>
                <w:bCs/>
                <w:kern w:val="0"/>
                <w14:ligatures w14:val="none"/>
              </w:rPr>
            </w:pPr>
          </w:p>
        </w:tc>
        <w:tc>
          <w:tcPr>
            <w:tcW w:w="2353" w:type="dxa"/>
            <w:gridSpan w:val="2"/>
            <w:noWrap/>
            <w:hideMark/>
          </w:tcPr>
          <w:p w14:paraId="4005D3F3" w14:textId="77777777" w:rsidR="00020878" w:rsidRPr="00EE665C" w:rsidRDefault="00020878" w:rsidP="000F7E84">
            <w:pPr>
              <w:spacing w:after="300"/>
              <w:jc w:val="right"/>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Cronbach's Alpha</w:t>
            </w:r>
          </w:p>
        </w:tc>
        <w:tc>
          <w:tcPr>
            <w:tcW w:w="1630" w:type="dxa"/>
            <w:noWrap/>
            <w:hideMark/>
          </w:tcPr>
          <w:p w14:paraId="3AA0EF9D" w14:textId="77777777" w:rsidR="00020878" w:rsidRPr="00EE665C" w:rsidRDefault="00020878" w:rsidP="000F7E84">
            <w:pPr>
              <w:spacing w:after="300"/>
              <w:jc w:val="right"/>
              <w:rPr>
                <w:rFonts w:ascii="Times New Roman" w:eastAsia="Times New Roman" w:hAnsi="Times New Roman" w:cs="Times New Roman"/>
                <w:b/>
                <w:bCs/>
                <w:kern w:val="0"/>
                <w14:ligatures w14:val="none"/>
              </w:rPr>
            </w:pPr>
            <w:proofErr w:type="spellStart"/>
            <w:r w:rsidRPr="00EE665C">
              <w:rPr>
                <w:rFonts w:ascii="Times New Roman" w:eastAsia="Times New Roman" w:hAnsi="Times New Roman" w:cs="Times New Roman"/>
                <w:b/>
                <w:bCs/>
                <w:kern w:val="0"/>
                <w14:ligatures w14:val="none"/>
              </w:rPr>
              <w:t>rho_A</w:t>
            </w:r>
            <w:proofErr w:type="spellEnd"/>
          </w:p>
        </w:tc>
        <w:tc>
          <w:tcPr>
            <w:tcW w:w="2710" w:type="dxa"/>
            <w:noWrap/>
            <w:hideMark/>
          </w:tcPr>
          <w:p w14:paraId="4B1527CF" w14:textId="77777777" w:rsidR="00020878" w:rsidRPr="00EE665C" w:rsidRDefault="00020878" w:rsidP="000F7E84">
            <w:pPr>
              <w:spacing w:after="300"/>
              <w:jc w:val="right"/>
              <w:rPr>
                <w:rFonts w:ascii="Times New Roman" w:eastAsia="Times New Roman" w:hAnsi="Times New Roman" w:cs="Times New Roman"/>
                <w:b/>
                <w:bCs/>
                <w:kern w:val="0"/>
                <w14:ligatures w14:val="none"/>
              </w:rPr>
            </w:pPr>
            <w:r w:rsidRPr="00EE665C">
              <w:rPr>
                <w:rFonts w:ascii="Times New Roman" w:eastAsia="Times New Roman" w:hAnsi="Times New Roman" w:cs="Times New Roman"/>
                <w:b/>
                <w:bCs/>
                <w:kern w:val="0"/>
                <w14:ligatures w14:val="none"/>
              </w:rPr>
              <w:t>Composite Reliability</w:t>
            </w:r>
          </w:p>
        </w:tc>
      </w:tr>
      <w:tr w:rsidR="00EE665C" w:rsidRPr="00EE665C" w14:paraId="6098DED9" w14:textId="77777777" w:rsidTr="00020878">
        <w:tc>
          <w:tcPr>
            <w:tcW w:w="3612" w:type="dxa"/>
            <w:noWrap/>
            <w:hideMark/>
          </w:tcPr>
          <w:p w14:paraId="0CBFCE55" w14:textId="77777777" w:rsidR="00020878" w:rsidRPr="00EE665C" w:rsidRDefault="00020878" w:rsidP="000F7E84">
            <w:pPr>
              <w:spacing w:after="300"/>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Consumer Spending Habits (CSH)</w:t>
            </w:r>
          </w:p>
        </w:tc>
        <w:tc>
          <w:tcPr>
            <w:tcW w:w="1513" w:type="dxa"/>
            <w:hideMark/>
          </w:tcPr>
          <w:p w14:paraId="355B562A" w14:textId="77777777" w:rsidR="00020878" w:rsidRPr="00EE665C" w:rsidRDefault="00020878"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0.725</w:t>
            </w:r>
          </w:p>
        </w:tc>
        <w:tc>
          <w:tcPr>
            <w:tcW w:w="840" w:type="dxa"/>
            <w:hideMark/>
          </w:tcPr>
          <w:p w14:paraId="0C056772" w14:textId="77777777" w:rsidR="00020878" w:rsidRPr="00EE665C" w:rsidRDefault="00020878"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0.868</w:t>
            </w:r>
          </w:p>
        </w:tc>
        <w:tc>
          <w:tcPr>
            <w:tcW w:w="0" w:type="auto"/>
            <w:hideMark/>
          </w:tcPr>
          <w:p w14:paraId="465E4041" w14:textId="77777777" w:rsidR="00020878" w:rsidRPr="00EE665C" w:rsidRDefault="00020878"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0.813</w:t>
            </w:r>
          </w:p>
        </w:tc>
        <w:tc>
          <w:tcPr>
            <w:tcW w:w="0" w:type="auto"/>
            <w:hideMark/>
          </w:tcPr>
          <w:p w14:paraId="28D3CE2A" w14:textId="643BE7D4" w:rsidR="00020878" w:rsidRPr="00EE665C" w:rsidRDefault="00020878"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0.751</w:t>
            </w:r>
          </w:p>
        </w:tc>
      </w:tr>
      <w:tr w:rsidR="00EE665C" w:rsidRPr="00EE665C" w14:paraId="0535E376" w14:textId="77777777" w:rsidTr="00020878">
        <w:tc>
          <w:tcPr>
            <w:tcW w:w="3612" w:type="dxa"/>
            <w:noWrap/>
            <w:hideMark/>
          </w:tcPr>
          <w:p w14:paraId="63AA1082" w14:textId="77777777" w:rsidR="00020878" w:rsidRPr="00EE665C" w:rsidRDefault="00020878" w:rsidP="000F7E84">
            <w:pPr>
              <w:spacing w:after="300"/>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 xml:space="preserve">Perceived </w:t>
            </w:r>
            <w:proofErr w:type="gramStart"/>
            <w:r w:rsidRPr="00EE665C">
              <w:rPr>
                <w:rFonts w:ascii="Times New Roman" w:eastAsia="Times New Roman" w:hAnsi="Times New Roman" w:cs="Times New Roman"/>
                <w:bCs/>
                <w:kern w:val="0"/>
                <w14:ligatures w14:val="none"/>
              </w:rPr>
              <w:t>Convenience(</w:t>
            </w:r>
            <w:proofErr w:type="gramEnd"/>
            <w:r w:rsidRPr="00EE665C">
              <w:rPr>
                <w:rFonts w:ascii="Times New Roman" w:eastAsia="Times New Roman" w:hAnsi="Times New Roman" w:cs="Times New Roman"/>
                <w:bCs/>
                <w:kern w:val="0"/>
                <w14:ligatures w14:val="none"/>
              </w:rPr>
              <w:t>PC)</w:t>
            </w:r>
          </w:p>
        </w:tc>
        <w:tc>
          <w:tcPr>
            <w:tcW w:w="1513" w:type="dxa"/>
            <w:hideMark/>
          </w:tcPr>
          <w:p w14:paraId="0E4837BA" w14:textId="6E72E6E6" w:rsidR="00020878" w:rsidRPr="00EE665C" w:rsidRDefault="00020878"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0.888</w:t>
            </w:r>
          </w:p>
        </w:tc>
        <w:tc>
          <w:tcPr>
            <w:tcW w:w="840" w:type="dxa"/>
            <w:hideMark/>
          </w:tcPr>
          <w:p w14:paraId="038E8EA6" w14:textId="77777777" w:rsidR="00020878" w:rsidRPr="00EE665C" w:rsidRDefault="00020878"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0.818</w:t>
            </w:r>
          </w:p>
        </w:tc>
        <w:tc>
          <w:tcPr>
            <w:tcW w:w="0" w:type="auto"/>
            <w:hideMark/>
          </w:tcPr>
          <w:p w14:paraId="0F033300" w14:textId="77777777" w:rsidR="00020878" w:rsidRPr="00EE665C" w:rsidRDefault="00020878"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0.804</w:t>
            </w:r>
          </w:p>
        </w:tc>
        <w:tc>
          <w:tcPr>
            <w:tcW w:w="0" w:type="auto"/>
            <w:hideMark/>
          </w:tcPr>
          <w:p w14:paraId="08C83F6D" w14:textId="3B933ECF" w:rsidR="00020878" w:rsidRPr="00EE665C" w:rsidRDefault="00020878"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0.797</w:t>
            </w:r>
          </w:p>
        </w:tc>
      </w:tr>
      <w:tr w:rsidR="00EE665C" w:rsidRPr="00EE665C" w14:paraId="040BD4D3" w14:textId="77777777" w:rsidTr="00020878">
        <w:tc>
          <w:tcPr>
            <w:tcW w:w="3612" w:type="dxa"/>
            <w:noWrap/>
            <w:hideMark/>
          </w:tcPr>
          <w:p w14:paraId="7F63D571" w14:textId="77777777" w:rsidR="000F7E84" w:rsidRPr="00EE665C" w:rsidRDefault="000F7E84" w:rsidP="000F7E84">
            <w:pPr>
              <w:spacing w:after="300"/>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lastRenderedPageBreak/>
              <w:t>Perceived Security (PS)</w:t>
            </w:r>
          </w:p>
        </w:tc>
        <w:tc>
          <w:tcPr>
            <w:tcW w:w="1513" w:type="dxa"/>
            <w:hideMark/>
          </w:tcPr>
          <w:p w14:paraId="34005D5E" w14:textId="2888DF56" w:rsidR="000F7E84" w:rsidRPr="00EE665C" w:rsidRDefault="000F7E84"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0.891</w:t>
            </w:r>
          </w:p>
        </w:tc>
        <w:tc>
          <w:tcPr>
            <w:tcW w:w="840" w:type="dxa"/>
            <w:hideMark/>
          </w:tcPr>
          <w:p w14:paraId="0D0AA8CE" w14:textId="57A19222" w:rsidR="000F7E84" w:rsidRPr="00EE665C" w:rsidRDefault="000F7E84"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0.878</w:t>
            </w:r>
          </w:p>
        </w:tc>
        <w:tc>
          <w:tcPr>
            <w:tcW w:w="0" w:type="auto"/>
            <w:hideMark/>
          </w:tcPr>
          <w:p w14:paraId="6CFAAF84" w14:textId="3D3274BF" w:rsidR="000F7E84" w:rsidRPr="00EE665C" w:rsidRDefault="000F7E84"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0.821</w:t>
            </w:r>
          </w:p>
        </w:tc>
        <w:tc>
          <w:tcPr>
            <w:tcW w:w="0" w:type="auto"/>
            <w:hideMark/>
          </w:tcPr>
          <w:p w14:paraId="682C3C22" w14:textId="0DCA2056" w:rsidR="000F7E84" w:rsidRPr="00EE665C" w:rsidRDefault="000F7E84"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0.738</w:t>
            </w:r>
          </w:p>
        </w:tc>
      </w:tr>
      <w:tr w:rsidR="00EE665C" w:rsidRPr="00EE665C" w14:paraId="297019AE" w14:textId="77777777" w:rsidTr="00020878">
        <w:tc>
          <w:tcPr>
            <w:tcW w:w="3612" w:type="dxa"/>
            <w:noWrap/>
            <w:hideMark/>
          </w:tcPr>
          <w:p w14:paraId="54F0486A" w14:textId="77777777" w:rsidR="000F7E84" w:rsidRPr="00EE665C" w:rsidRDefault="000F7E84" w:rsidP="000F7E84">
            <w:pPr>
              <w:spacing w:after="300"/>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 xml:space="preserve">Perceived </w:t>
            </w:r>
            <w:proofErr w:type="gramStart"/>
            <w:r w:rsidRPr="00EE665C">
              <w:rPr>
                <w:rFonts w:ascii="Times New Roman" w:eastAsia="Times New Roman" w:hAnsi="Times New Roman" w:cs="Times New Roman"/>
                <w:bCs/>
                <w:kern w:val="0"/>
                <w14:ligatures w14:val="none"/>
              </w:rPr>
              <w:t>Usefulness(</w:t>
            </w:r>
            <w:proofErr w:type="gramEnd"/>
            <w:r w:rsidRPr="00EE665C">
              <w:rPr>
                <w:rFonts w:ascii="Times New Roman" w:eastAsia="Times New Roman" w:hAnsi="Times New Roman" w:cs="Times New Roman"/>
                <w:bCs/>
                <w:kern w:val="0"/>
                <w14:ligatures w14:val="none"/>
              </w:rPr>
              <w:t>PU)</w:t>
            </w:r>
          </w:p>
        </w:tc>
        <w:tc>
          <w:tcPr>
            <w:tcW w:w="1513" w:type="dxa"/>
            <w:hideMark/>
          </w:tcPr>
          <w:p w14:paraId="2116F954" w14:textId="5296D9BB" w:rsidR="000F7E84" w:rsidRPr="00EE665C" w:rsidRDefault="000F7E84"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0.873</w:t>
            </w:r>
          </w:p>
        </w:tc>
        <w:tc>
          <w:tcPr>
            <w:tcW w:w="840" w:type="dxa"/>
            <w:hideMark/>
          </w:tcPr>
          <w:p w14:paraId="0967D7CC" w14:textId="3082EB01" w:rsidR="000F7E84" w:rsidRPr="00EE665C" w:rsidRDefault="000F7E84"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0.885</w:t>
            </w:r>
          </w:p>
        </w:tc>
        <w:tc>
          <w:tcPr>
            <w:tcW w:w="0" w:type="auto"/>
            <w:hideMark/>
          </w:tcPr>
          <w:p w14:paraId="6FCE5D23" w14:textId="77777777" w:rsidR="000F7E84" w:rsidRPr="00EE665C" w:rsidRDefault="000F7E84"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0.719</w:t>
            </w:r>
          </w:p>
        </w:tc>
        <w:tc>
          <w:tcPr>
            <w:tcW w:w="0" w:type="auto"/>
            <w:hideMark/>
          </w:tcPr>
          <w:p w14:paraId="5AD7F21D" w14:textId="3031F3CB" w:rsidR="000F7E84" w:rsidRPr="00EE665C" w:rsidRDefault="000F7E84" w:rsidP="000F7E84">
            <w:pPr>
              <w:spacing w:after="300"/>
              <w:jc w:val="right"/>
              <w:rPr>
                <w:rFonts w:ascii="Times New Roman" w:eastAsia="Times New Roman" w:hAnsi="Times New Roman" w:cs="Times New Roman"/>
                <w:bCs/>
                <w:kern w:val="0"/>
                <w14:ligatures w14:val="none"/>
              </w:rPr>
            </w:pPr>
            <w:r w:rsidRPr="00EE665C">
              <w:rPr>
                <w:rFonts w:ascii="Times New Roman" w:eastAsia="Times New Roman" w:hAnsi="Times New Roman" w:cs="Times New Roman"/>
                <w:bCs/>
                <w:kern w:val="0"/>
                <w14:ligatures w14:val="none"/>
              </w:rPr>
              <w:t>0.724</w:t>
            </w:r>
          </w:p>
        </w:tc>
      </w:tr>
    </w:tbl>
    <w:p w14:paraId="0DF21801" w14:textId="280B6AD0" w:rsidR="00617B31" w:rsidRPr="00EE665C" w:rsidRDefault="00617B31" w:rsidP="00617B31">
      <w:pPr>
        <w:spacing w:before="100" w:beforeAutospacing="1" w:after="100" w:afterAutospacing="1" w:line="480" w:lineRule="auto"/>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 xml:space="preserve">The provided table evaluates the internal consistency reliability and convergent validity of the measurement model using Cronbach's Alpha, </w:t>
      </w:r>
      <w:proofErr w:type="spellStart"/>
      <w:r w:rsidRPr="00EE665C">
        <w:rPr>
          <w:rFonts w:ascii="Times New Roman" w:eastAsia="Times New Roman" w:hAnsi="Times New Roman" w:cs="Times New Roman"/>
          <w:kern w:val="0"/>
          <w14:ligatures w14:val="none"/>
        </w:rPr>
        <w:t>rho_A</w:t>
      </w:r>
      <w:proofErr w:type="spellEnd"/>
      <w:r w:rsidRPr="00EE665C">
        <w:rPr>
          <w:rFonts w:ascii="Times New Roman" w:eastAsia="Times New Roman" w:hAnsi="Times New Roman" w:cs="Times New Roman"/>
          <w:kern w:val="0"/>
          <w14:ligatures w14:val="none"/>
        </w:rPr>
        <w:t xml:space="preserve">, Composite Reliability, and Average Variance Extracted (AVE). All four constructs demonstrate robust internal consistency, as their Cronbach's Alpha, </w:t>
      </w:r>
      <w:proofErr w:type="spellStart"/>
      <w:r w:rsidRPr="00EE665C">
        <w:rPr>
          <w:rFonts w:ascii="Times New Roman" w:eastAsia="Times New Roman" w:hAnsi="Times New Roman" w:cs="Times New Roman"/>
          <w:kern w:val="0"/>
          <w14:ligatures w14:val="none"/>
        </w:rPr>
        <w:t>rho_A</w:t>
      </w:r>
      <w:proofErr w:type="spellEnd"/>
      <w:r w:rsidRPr="00EE665C">
        <w:rPr>
          <w:rFonts w:ascii="Times New Roman" w:eastAsia="Times New Roman" w:hAnsi="Times New Roman" w:cs="Times New Roman"/>
          <w:kern w:val="0"/>
          <w14:ligatures w14:val="none"/>
        </w:rPr>
        <w:t xml:space="preserve">, and Composite Reliability values all exceed the standard acceptable threshold of 0.70. Specifically, Perceived Security shows the highest internal reliability based on Cronbach's Alpha (0.891), while Perceived Usefulness and Perceived Convenience also exhibit very strong reliability scores across all </w:t>
      </w:r>
      <w:proofErr w:type="gramStart"/>
      <w:r w:rsidRPr="00EE665C">
        <w:rPr>
          <w:rFonts w:ascii="Times New Roman" w:eastAsia="Times New Roman" w:hAnsi="Times New Roman" w:cs="Times New Roman"/>
          <w:kern w:val="0"/>
          <w14:ligatures w14:val="none"/>
        </w:rPr>
        <w:t>three consistency</w:t>
      </w:r>
      <w:proofErr w:type="gramEnd"/>
      <w:r w:rsidRPr="00EE665C">
        <w:rPr>
          <w:rFonts w:ascii="Times New Roman" w:eastAsia="Times New Roman" w:hAnsi="Times New Roman" w:cs="Times New Roman"/>
          <w:kern w:val="0"/>
          <w14:ligatures w14:val="none"/>
        </w:rPr>
        <w:t xml:space="preserve"> metrics. Even Consumer Spending Habits, which has the lowest Cronbach's Alpha (0.725), comfortably meets the requirement for a reliable scale. Furthermore, convergent validity is firmly established for every construct, as all Average Variance Extracted (AVE) values are well above the recommended 0.50 threshold. This indicates that each construct explains a significant majority of the variance in its underlying indicators. Perceived Convenience has the highest AVE at 0.797, meaning it accounts for nearly 80% of the variance of its survey items. Even the lowest AVE, Perceived Usefulness at 0.724, indicates that over 72% of the indicator variance is successfully captured by the construct.</w:t>
      </w:r>
    </w:p>
    <w:p w14:paraId="607E8605" w14:textId="4834497D" w:rsidR="00F93C81" w:rsidRPr="00EE665C" w:rsidRDefault="00F93C81">
      <w:pPr>
        <w:rPr>
          <w:rFonts w:ascii="Times New Roman" w:hAnsi="Times New Roman" w:cs="Times New Roman"/>
          <w:b/>
          <w:bCs/>
        </w:rPr>
      </w:pPr>
      <w:r w:rsidRPr="00EE665C">
        <w:rPr>
          <w:rFonts w:ascii="Times New Roman" w:hAnsi="Times New Roman" w:cs="Times New Roman"/>
          <w:b/>
          <w:bCs/>
        </w:rPr>
        <w:t xml:space="preserve">Discussion of Findings </w:t>
      </w:r>
    </w:p>
    <w:p w14:paraId="560E9B32" w14:textId="77777777" w:rsidR="007E35D8" w:rsidRPr="00EE665C" w:rsidRDefault="007E35D8" w:rsidP="007E35D8">
      <w:pPr>
        <w:pStyle w:val="Heading3"/>
        <w:rPr>
          <w:rFonts w:ascii="Times New Roman" w:hAnsi="Times New Roman" w:cs="Times New Roman"/>
          <w:b/>
          <w:color w:val="auto"/>
          <w:sz w:val="24"/>
          <w:szCs w:val="24"/>
        </w:rPr>
      </w:pPr>
      <w:r w:rsidRPr="00EE665C">
        <w:rPr>
          <w:rFonts w:ascii="Times New Roman" w:hAnsi="Times New Roman" w:cs="Times New Roman"/>
          <w:b/>
          <w:color w:val="auto"/>
          <w:sz w:val="24"/>
          <w:szCs w:val="24"/>
        </w:rPr>
        <w:t>Perceived Convenience and Consumer Spending Habit</w:t>
      </w:r>
    </w:p>
    <w:p w14:paraId="77D48719" w14:textId="4225B2E1" w:rsidR="007E35D8" w:rsidRPr="00EE665C" w:rsidRDefault="007E35D8" w:rsidP="007E35D8">
      <w:pPr>
        <w:pStyle w:val="NormalWeb"/>
        <w:spacing w:line="480" w:lineRule="auto"/>
        <w:jc w:val="both"/>
      </w:pPr>
      <w:r w:rsidRPr="00EE665C">
        <w:t xml:space="preserve">This study found that Perceived Convenience has the strongest positive and most significant influence on Consumer Spending Habits among the variables tested. When users find mobile money and FinTech services easy and accessible to use, their frequency and volume of spending noticeably increase. These findings are in line with Liu, Liu, and Li (2022), who established that perceived convenience is a primary driver of purchasing behavior and instant gratification in digital platforms. </w:t>
      </w:r>
      <w:r w:rsidRPr="00EE665C">
        <w:lastRenderedPageBreak/>
        <w:t xml:space="preserve">Furthermore, this supports the assertions of Chen and Yao (2018) and </w:t>
      </w:r>
      <w:proofErr w:type="spellStart"/>
      <w:r w:rsidRPr="00EE665C">
        <w:t>Noviasari</w:t>
      </w:r>
      <w:proofErr w:type="spellEnd"/>
      <w:r w:rsidRPr="00EE665C">
        <w:t xml:space="preserve">, Putri, and </w:t>
      </w:r>
      <w:proofErr w:type="spellStart"/>
      <w:r w:rsidRPr="00EE665C">
        <w:t>Rachmawati</w:t>
      </w:r>
      <w:proofErr w:type="spellEnd"/>
      <w:r w:rsidRPr="00EE665C">
        <w:t xml:space="preserve"> (2023), who noted that online shopping convenience significantly heightens consumer emotional arousal and subsequent spending intentions. In the specific context of digital finance in emerging markets, these results strongly echo the findings of Adebayo, Adedeji, and Olaniyi (2020) and Magdalena, </w:t>
      </w:r>
      <w:proofErr w:type="spellStart"/>
      <w:r w:rsidRPr="00EE665C">
        <w:t>Majoul</w:t>
      </w:r>
      <w:proofErr w:type="spellEnd"/>
      <w:r w:rsidRPr="00EE665C">
        <w:t xml:space="preserve">, and </w:t>
      </w:r>
      <w:proofErr w:type="spellStart"/>
      <w:r w:rsidRPr="00EE665C">
        <w:t>Naray</w:t>
      </w:r>
      <w:proofErr w:type="spellEnd"/>
      <w:r w:rsidRPr="00EE665C">
        <w:t xml:space="preserve"> (2024), demonstrating that FinTech convenience directly stimulates higher spending adoption and engagement in the e-commerce retail industry.</w:t>
      </w:r>
    </w:p>
    <w:p w14:paraId="2F4FC20B" w14:textId="77777777" w:rsidR="007E35D8" w:rsidRPr="00EE665C" w:rsidRDefault="007E35D8" w:rsidP="007E35D8">
      <w:pPr>
        <w:pStyle w:val="Heading3"/>
        <w:rPr>
          <w:rFonts w:ascii="Times New Roman" w:hAnsi="Times New Roman" w:cs="Times New Roman"/>
          <w:b/>
          <w:color w:val="auto"/>
          <w:sz w:val="24"/>
          <w:szCs w:val="24"/>
        </w:rPr>
      </w:pPr>
      <w:r w:rsidRPr="00EE665C">
        <w:rPr>
          <w:rFonts w:ascii="Times New Roman" w:hAnsi="Times New Roman" w:cs="Times New Roman"/>
          <w:b/>
          <w:color w:val="auto"/>
          <w:sz w:val="24"/>
          <w:szCs w:val="24"/>
        </w:rPr>
        <w:t>Perceived Security and Consumer Spending Habit</w:t>
      </w:r>
    </w:p>
    <w:p w14:paraId="5B0AA516" w14:textId="00FD7BD4" w:rsidR="007E35D8" w:rsidRPr="00EE665C" w:rsidRDefault="007E35D8" w:rsidP="007E35D8">
      <w:pPr>
        <w:pStyle w:val="NormalWeb"/>
        <w:spacing w:line="480" w:lineRule="auto"/>
        <w:jc w:val="both"/>
      </w:pPr>
      <w:r w:rsidRPr="00EE665C">
        <w:t xml:space="preserve">This study found that Perceived Security has a positive, yet relatively weak, direct impact on Consumer Spending Habits compared to convenience and usefulness. While security remains a factor in the overall model, it appears to function more as a baseline requirement for usage rather than an active multiplier for spending volume. These findings are in line with Kang (2018) and Ogunyemi (2021), who suggest that while security is a foundational necessity for mobile banking and digital payments, consumers often view it as a standard expectation rather than a trigger for impulsive or increased spending. However, the positive relationship still aligns with the research of Ismail, Roslan, and Fauzi (2018) and </w:t>
      </w:r>
      <w:proofErr w:type="spellStart"/>
      <w:r w:rsidRPr="00EE665C">
        <w:t>Almaiah</w:t>
      </w:r>
      <w:proofErr w:type="spellEnd"/>
      <w:r w:rsidRPr="00EE665C">
        <w:t xml:space="preserve"> et al. (2023), who emphasize that perceived risk mitigation and security are essential to building the initial consumer trust necessary for any financial transaction to occur. As noted by Nayak, Singh, and Dave (2021), data security affects trust, which is a prerequisite for engagement, even if it does not directly drive the volume of consumer spending habits.</w:t>
      </w:r>
    </w:p>
    <w:p w14:paraId="426C2A9D" w14:textId="77777777" w:rsidR="007E35D8" w:rsidRPr="00EE665C" w:rsidRDefault="007E35D8" w:rsidP="007E35D8">
      <w:pPr>
        <w:pStyle w:val="Heading3"/>
        <w:rPr>
          <w:rFonts w:ascii="Times New Roman" w:hAnsi="Times New Roman" w:cs="Times New Roman"/>
          <w:b/>
          <w:color w:val="auto"/>
          <w:sz w:val="24"/>
          <w:szCs w:val="24"/>
        </w:rPr>
      </w:pPr>
      <w:r w:rsidRPr="00EE665C">
        <w:rPr>
          <w:rFonts w:ascii="Times New Roman" w:hAnsi="Times New Roman" w:cs="Times New Roman"/>
          <w:b/>
          <w:color w:val="auto"/>
          <w:sz w:val="24"/>
          <w:szCs w:val="24"/>
        </w:rPr>
        <w:t>Perceived Usefulness and Consumer Spending Habit</w:t>
      </w:r>
    </w:p>
    <w:p w14:paraId="3415EE40" w14:textId="6AC0BF01" w:rsidR="007E35D8" w:rsidRPr="00EE665C" w:rsidRDefault="007E35D8" w:rsidP="007E35D8">
      <w:pPr>
        <w:pStyle w:val="NormalWeb"/>
        <w:spacing w:line="480" w:lineRule="auto"/>
        <w:jc w:val="both"/>
      </w:pPr>
      <w:r w:rsidRPr="00EE665C">
        <w:t xml:space="preserve">This study found that Perceived Usefulness moderately and positively influences Consumer Spending Habits. When consumers believe that digital payment platforms enhance their financial efficiency and provide tangible benefits to their daily lives, their likelihood to continuously utilize these services for spending increases. These findings are in line with the foundational principles of the Technology </w:t>
      </w:r>
      <w:r w:rsidRPr="00EE665C">
        <w:lastRenderedPageBreak/>
        <w:t xml:space="preserve">Acceptance Model (Davis, 1989; Venkatesh &amp; Davis, 2000), which posits that perceived usefulness is a core determinant of technology adoption and continuous behavioral intent. </w:t>
      </w:r>
      <w:proofErr w:type="gramStart"/>
      <w:r w:rsidRPr="00EE665C">
        <w:t>Specifically</w:t>
      </w:r>
      <w:proofErr w:type="gramEnd"/>
      <w:r w:rsidRPr="00EE665C">
        <w:t xml:space="preserve"> within the realm of e-commerce and FinTech, these results are consistent with Balci (2021) and </w:t>
      </w:r>
      <w:proofErr w:type="spellStart"/>
      <w:r w:rsidRPr="00EE665C">
        <w:t>Maryanto</w:t>
      </w:r>
      <w:proofErr w:type="spellEnd"/>
      <w:r w:rsidRPr="00EE665C">
        <w:t xml:space="preserve"> and </w:t>
      </w:r>
      <w:proofErr w:type="spellStart"/>
      <w:r w:rsidRPr="00EE665C">
        <w:t>Kaihatu</w:t>
      </w:r>
      <w:proofErr w:type="spellEnd"/>
      <w:r w:rsidRPr="00EE665C">
        <w:t xml:space="preserve"> (2021), who found that when users perceive mobile payment services as beneficial, their loyalty to the platform and their transaction habits significantly improve. This also corroborates the work of </w:t>
      </w:r>
      <w:proofErr w:type="spellStart"/>
      <w:r w:rsidRPr="00EE665C">
        <w:t>Mulyaningsih</w:t>
      </w:r>
      <w:proofErr w:type="spellEnd"/>
      <w:r w:rsidRPr="00EE665C">
        <w:t xml:space="preserve"> (2022), highlighting that perceived usefulness is a critical antecedent for sustained user engagement and spending behavior in digital financial applications.</w:t>
      </w:r>
    </w:p>
    <w:p w14:paraId="0DEDFBEE" w14:textId="609B197A" w:rsidR="003945AD" w:rsidRPr="00EE665C" w:rsidRDefault="007E35D8">
      <w:pPr>
        <w:rPr>
          <w:rFonts w:ascii="Times New Roman" w:hAnsi="Times New Roman" w:cs="Times New Roman"/>
          <w:b/>
          <w:bCs/>
        </w:rPr>
      </w:pPr>
      <w:r w:rsidRPr="00EE665C">
        <w:rPr>
          <w:rFonts w:ascii="Times New Roman" w:hAnsi="Times New Roman" w:cs="Times New Roman"/>
          <w:b/>
          <w:bCs/>
        </w:rPr>
        <w:t>Conclusion</w:t>
      </w:r>
    </w:p>
    <w:p w14:paraId="4F191EB3" w14:textId="77777777" w:rsidR="008B559A" w:rsidRPr="00EE665C" w:rsidRDefault="008B559A" w:rsidP="008B559A">
      <w:pPr>
        <w:spacing w:before="100" w:beforeAutospacing="1" w:after="100" w:afterAutospacing="1" w:line="480" w:lineRule="auto"/>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This study aimed to investigate the primary drivers of Consumer Spending Habits within the context of mobile money and FinTech services in emerging markets. By examining the structural relationships between Perceived Convenience, Perceived Security, Perceived Usefulness, and spending behaviors, this research provides vital insights into what motivates digital financial engagement among users. The demographic profile of the respondents—predominantly middle-aged individuals utilizing these platforms primarily for personal transactions—highlights a maturing user base that prioritizes practical, everyday utility.</w:t>
      </w:r>
    </w:p>
    <w:p w14:paraId="11BB8D7A" w14:textId="77777777" w:rsidR="008B559A" w:rsidRPr="00EE665C" w:rsidRDefault="008B559A" w:rsidP="008B559A">
      <w:pPr>
        <w:spacing w:before="100" w:beforeAutospacing="1" w:after="100" w:afterAutospacing="1" w:line="480" w:lineRule="auto"/>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 xml:space="preserve">The findings establish that Perceived Convenience is the most significant and influential factor driving Consumer Spending Habits. When mobile money platforms offer frictionless, accessible, and user-friendly experiences, consumers are highly likely to increase their transaction frequency and volume. Perceived Usefulness also emerged as a vital, moderate predictor, confirming that platforms must provide tangible, real-world benefits and financial efficiency to sustain user engagement. Conversely, while Perceived Security demonstrated strong internal reliability and discriminant validity, it exerted the weakest direct influence on actual spending habits. This suggests a paradigm where security is </w:t>
      </w:r>
      <w:r w:rsidRPr="00EE665C">
        <w:rPr>
          <w:rFonts w:ascii="Times New Roman" w:eastAsia="Times New Roman" w:hAnsi="Times New Roman" w:cs="Times New Roman"/>
          <w:kern w:val="0"/>
          <w14:ligatures w14:val="none"/>
        </w:rPr>
        <w:lastRenderedPageBreak/>
        <w:t>treated by consumers as a non-negotiable baseline expectation rather than an active catalyst for increased spending.</w:t>
      </w:r>
    </w:p>
    <w:p w14:paraId="632F29A1" w14:textId="77777777" w:rsidR="008B559A" w:rsidRPr="00EE665C" w:rsidRDefault="008B559A" w:rsidP="008B559A">
      <w:pPr>
        <w:spacing w:before="100" w:beforeAutospacing="1" w:after="100" w:afterAutospacing="1" w:line="480" w:lineRule="auto"/>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For FinTech developers, financial institutions, and policymakers, these results chart a clear strategic path. While maintaining robust, zero-compromise security infrastructure is essential to establish initial trust, it is not sufficient to drive market growth on its own. To actively stimulate digital economy participation and increase transaction volumes, stakeholders must aggressively prioritize user experience (UX) design. Innovations should focus on minimizing transaction steps, enhancing platform interoperability, and seamlessly integrating mobile money into the daily retail and e-commerce ecosystems. Ultimately, the future of digital financial inclusion and sustained consumer engagement in emerging markets will belong to the platforms that master the balance of invisible security and unparalleled convenience.</w:t>
      </w:r>
    </w:p>
    <w:p w14:paraId="392D3DC1" w14:textId="77777777" w:rsidR="007E35D8" w:rsidRPr="00EE665C" w:rsidRDefault="007E35D8">
      <w:pPr>
        <w:rPr>
          <w:rFonts w:ascii="Times New Roman" w:hAnsi="Times New Roman" w:cs="Times New Roman"/>
          <w:b/>
          <w:bCs/>
        </w:rPr>
      </w:pPr>
    </w:p>
    <w:p w14:paraId="113D1928" w14:textId="77777777" w:rsidR="00115BFE" w:rsidRPr="00EE665C" w:rsidRDefault="00115BFE" w:rsidP="00FA53C2">
      <w:pPr>
        <w:jc w:val="center"/>
        <w:rPr>
          <w:rFonts w:ascii="Times New Roman" w:hAnsi="Times New Roman" w:cs="Times New Roman"/>
          <w:b/>
          <w:bCs/>
        </w:rPr>
      </w:pPr>
    </w:p>
    <w:p w14:paraId="042158D9" w14:textId="24C50345" w:rsidR="00115BFE" w:rsidRPr="00EE665C" w:rsidRDefault="00115BFE" w:rsidP="00115BFE">
      <w:pPr>
        <w:rPr>
          <w:rFonts w:ascii="Times New Roman" w:hAnsi="Times New Roman" w:cs="Times New Roman"/>
          <w:b/>
          <w:bCs/>
        </w:rPr>
      </w:pPr>
      <w:r w:rsidRPr="00EE665C">
        <w:rPr>
          <w:rFonts w:ascii="Times New Roman" w:hAnsi="Times New Roman" w:cs="Times New Roman"/>
          <w:b/>
          <w:bCs/>
        </w:rPr>
        <w:t>Recommendations</w:t>
      </w:r>
    </w:p>
    <w:p w14:paraId="351B27FD" w14:textId="668E2664" w:rsidR="00AB51C1" w:rsidRPr="00EE665C" w:rsidRDefault="00AB51C1" w:rsidP="00115BFE">
      <w:pPr>
        <w:rPr>
          <w:rFonts w:ascii="Times New Roman" w:hAnsi="Times New Roman" w:cs="Times New Roman"/>
          <w:bCs/>
        </w:rPr>
      </w:pPr>
      <w:r w:rsidRPr="00EE665C">
        <w:rPr>
          <w:rFonts w:ascii="Times New Roman" w:hAnsi="Times New Roman" w:cs="Times New Roman"/>
          <w:bCs/>
        </w:rPr>
        <w:t>The recommend that;</w:t>
      </w:r>
    </w:p>
    <w:p w14:paraId="65A432CF" w14:textId="5D18B218" w:rsidR="00A933B5" w:rsidRPr="00EE665C" w:rsidRDefault="00A933B5" w:rsidP="00F729F1">
      <w:pPr>
        <w:pStyle w:val="ListParagraph"/>
        <w:numPr>
          <w:ilvl w:val="0"/>
          <w:numId w:val="7"/>
        </w:numPr>
        <w:spacing w:before="100" w:beforeAutospacing="1" w:after="100" w:afterAutospacing="1" w:line="480" w:lineRule="auto"/>
        <w:ind w:hanging="720"/>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FinTech platforms must prioritize seamless, user-friendly interfaces to directly stimulate increased transaction frequency and consumer spending volume.</w:t>
      </w:r>
    </w:p>
    <w:p w14:paraId="673E1D44" w14:textId="17752853" w:rsidR="00A933B5" w:rsidRPr="00EE665C" w:rsidRDefault="00A933B5" w:rsidP="00F729F1">
      <w:pPr>
        <w:pStyle w:val="ListParagraph"/>
        <w:numPr>
          <w:ilvl w:val="0"/>
          <w:numId w:val="7"/>
        </w:numPr>
        <w:spacing w:before="100" w:beforeAutospacing="1" w:after="100" w:afterAutospacing="1" w:line="480" w:lineRule="auto"/>
        <w:ind w:hanging="720"/>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Companies should build robust security as an essential, silent foundation rather than relying on it as a primary marketing driver for growth.</w:t>
      </w:r>
    </w:p>
    <w:p w14:paraId="54F5B363" w14:textId="0498B752" w:rsidR="00A933B5" w:rsidRPr="00EE665C" w:rsidRDefault="00A933B5" w:rsidP="00F729F1">
      <w:pPr>
        <w:pStyle w:val="ListParagraph"/>
        <w:numPr>
          <w:ilvl w:val="0"/>
          <w:numId w:val="7"/>
        </w:numPr>
        <w:spacing w:before="100" w:beforeAutospacing="1" w:after="100" w:afterAutospacing="1" w:line="480" w:lineRule="auto"/>
        <w:ind w:hanging="720"/>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Providers need to expand their ecosystem's utility by integrating comprehensive features like bill payments and budgeting tools to sustain continuous user engagement.</w:t>
      </w:r>
    </w:p>
    <w:p w14:paraId="70EFB634" w14:textId="71BD7CFC" w:rsidR="00A933B5" w:rsidRDefault="00A933B5" w:rsidP="00F729F1">
      <w:pPr>
        <w:pStyle w:val="ListParagraph"/>
        <w:numPr>
          <w:ilvl w:val="0"/>
          <w:numId w:val="7"/>
        </w:numPr>
        <w:spacing w:before="100" w:beforeAutospacing="1" w:after="100" w:afterAutospacing="1" w:line="480" w:lineRule="auto"/>
        <w:ind w:hanging="720"/>
        <w:jc w:val="both"/>
        <w:rPr>
          <w:rFonts w:ascii="Times New Roman" w:eastAsia="Times New Roman" w:hAnsi="Times New Roman" w:cs="Times New Roman"/>
          <w:kern w:val="0"/>
          <w14:ligatures w14:val="none"/>
        </w:rPr>
      </w:pPr>
      <w:r w:rsidRPr="00EE665C">
        <w:rPr>
          <w:rFonts w:ascii="Times New Roman" w:eastAsia="Times New Roman" w:hAnsi="Times New Roman" w:cs="Times New Roman"/>
          <w:kern w:val="0"/>
          <w14:ligatures w14:val="none"/>
        </w:rPr>
        <w:t>Interventions and product features should be explicitly tailored to address the daily financial pain points of the core 31-to-50-year-old user base.</w:t>
      </w:r>
    </w:p>
    <w:p w14:paraId="1397DDB3" w14:textId="77777777" w:rsidR="008402A5" w:rsidRDefault="008402A5" w:rsidP="008402A5">
      <w:pPr>
        <w:spacing w:before="100" w:beforeAutospacing="1" w:after="100" w:afterAutospacing="1" w:line="480" w:lineRule="auto"/>
        <w:jc w:val="both"/>
        <w:rPr>
          <w:rFonts w:ascii="Times New Roman" w:eastAsia="Times New Roman" w:hAnsi="Times New Roman" w:cs="Times New Roman"/>
          <w:kern w:val="0"/>
          <w14:ligatures w14:val="none"/>
        </w:rPr>
      </w:pPr>
    </w:p>
    <w:p w14:paraId="79BF9674" w14:textId="77777777" w:rsidR="008402A5" w:rsidRPr="008402A5" w:rsidRDefault="008402A5" w:rsidP="008402A5">
      <w:pPr>
        <w:shd w:val="clear" w:color="auto" w:fill="FFFFFF"/>
        <w:spacing w:after="0" w:line="240" w:lineRule="auto"/>
        <w:rPr>
          <w:rFonts w:ascii="Arial" w:eastAsia="Times New Roman" w:hAnsi="Arial" w:cs="Arial"/>
          <w:color w:val="222222"/>
          <w:kern w:val="0"/>
          <w:lang w:val="en-IN" w:eastAsia="en-IN"/>
          <w14:ligatures w14:val="none"/>
        </w:rPr>
      </w:pPr>
      <w:bookmarkStart w:id="0" w:name="_Hlk232854992"/>
      <w:bookmarkStart w:id="1" w:name="_Hlk238909442"/>
      <w:bookmarkStart w:id="2" w:name="_Hlk237857116"/>
      <w:bookmarkStart w:id="3" w:name="_Hlk240540980"/>
      <w:bookmarkStart w:id="4" w:name="_Hlk240284289"/>
    </w:p>
    <w:p w14:paraId="45FBC991" w14:textId="77777777" w:rsidR="008402A5" w:rsidRPr="008402A5" w:rsidRDefault="008402A5" w:rsidP="008402A5">
      <w:pPr>
        <w:spacing w:after="0" w:line="240" w:lineRule="auto"/>
        <w:rPr>
          <w:rFonts w:ascii="Arial" w:eastAsia="Calibri" w:hAnsi="Arial" w:cs="Arial"/>
          <w:b/>
          <w:kern w:val="0"/>
          <w:sz w:val="20"/>
          <w:szCs w:val="20"/>
          <w14:ligatures w14:val="none"/>
        </w:rPr>
      </w:pPr>
      <w:bookmarkStart w:id="5" w:name="_Hlk238550938"/>
      <w:bookmarkStart w:id="6" w:name="_Hlk237856463"/>
      <w:bookmarkEnd w:id="0"/>
      <w:bookmarkEnd w:id="1"/>
      <w:bookmarkEnd w:id="2"/>
      <w:r w:rsidRPr="008402A5">
        <w:rPr>
          <w:rFonts w:ascii="Arial" w:eastAsia="Calibri" w:hAnsi="Arial" w:cs="Arial"/>
          <w:b/>
          <w:kern w:val="0"/>
          <w:sz w:val="20"/>
          <w:szCs w:val="20"/>
          <w14:ligatures w14:val="none"/>
        </w:rPr>
        <w:t>Declaration of AI Use</w:t>
      </w:r>
    </w:p>
    <w:p w14:paraId="67708907" w14:textId="77777777" w:rsidR="008402A5" w:rsidRPr="008402A5" w:rsidRDefault="008402A5" w:rsidP="008402A5">
      <w:pPr>
        <w:spacing w:after="0" w:line="240" w:lineRule="auto"/>
        <w:rPr>
          <w:rFonts w:ascii="Arial" w:eastAsia="Calibri" w:hAnsi="Arial" w:cs="Arial"/>
          <w:kern w:val="0"/>
          <w:sz w:val="20"/>
          <w:szCs w:val="20"/>
          <w14:ligatures w14:val="none"/>
        </w:rPr>
      </w:pPr>
      <w:bookmarkStart w:id="7" w:name="_Hlk239068730"/>
    </w:p>
    <w:p w14:paraId="6345CB13" w14:textId="77777777" w:rsidR="008402A5" w:rsidRDefault="008402A5" w:rsidP="008402A5">
      <w:pPr>
        <w:spacing w:after="0" w:line="240" w:lineRule="auto"/>
        <w:rPr>
          <w:rFonts w:ascii="Arial" w:eastAsia="Calibri" w:hAnsi="Arial" w:cs="Arial"/>
          <w:kern w:val="0"/>
          <w:sz w:val="20"/>
          <w:szCs w:val="20"/>
          <w14:ligatures w14:val="none"/>
        </w:rPr>
      </w:pPr>
      <w:bookmarkStart w:id="8" w:name="_Hlk237862032"/>
      <w:r w:rsidRPr="008402A5">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3"/>
      <w:bookmarkEnd w:id="5"/>
      <w:r w:rsidRPr="008402A5">
        <w:rPr>
          <w:rFonts w:ascii="Arial" w:eastAsia="Calibri" w:hAnsi="Arial" w:cs="Arial"/>
          <w:kern w:val="0"/>
          <w:sz w:val="20"/>
          <w:szCs w:val="20"/>
          <w14:ligatures w14:val="none"/>
        </w:rPr>
        <w:t>.</w:t>
      </w:r>
    </w:p>
    <w:p w14:paraId="34215762" w14:textId="77777777" w:rsidR="00F31EAB" w:rsidRDefault="00F31EAB" w:rsidP="008402A5">
      <w:pPr>
        <w:spacing w:after="0" w:line="240" w:lineRule="auto"/>
        <w:rPr>
          <w:rFonts w:ascii="Arial" w:eastAsia="Calibri" w:hAnsi="Arial" w:cs="Arial"/>
          <w:kern w:val="0"/>
          <w:sz w:val="20"/>
          <w:szCs w:val="20"/>
          <w14:ligatures w14:val="none"/>
        </w:rPr>
      </w:pPr>
    </w:p>
    <w:p w14:paraId="56C90E41" w14:textId="77777777" w:rsidR="00F31EAB" w:rsidRPr="00F31EAB" w:rsidRDefault="00F31EAB" w:rsidP="00F31EAB">
      <w:pPr>
        <w:spacing w:after="0" w:line="240" w:lineRule="auto"/>
        <w:rPr>
          <w:rFonts w:ascii="Arial" w:eastAsia="Calibri" w:hAnsi="Arial" w:cs="Arial"/>
          <w:kern w:val="0"/>
          <w:sz w:val="20"/>
          <w:szCs w:val="20"/>
          <w14:ligatures w14:val="none"/>
        </w:rPr>
      </w:pPr>
      <w:r w:rsidRPr="00F31EAB">
        <w:rPr>
          <w:rFonts w:ascii="Arial" w:eastAsia="Calibri" w:hAnsi="Arial" w:cs="Arial"/>
          <w:kern w:val="0"/>
          <w:sz w:val="20"/>
          <w:szCs w:val="20"/>
          <w14:ligatures w14:val="none"/>
        </w:rPr>
        <w:t>COMPETING INTERESTS DISCLAIMER:</w:t>
      </w:r>
    </w:p>
    <w:p w14:paraId="7A34A4FB" w14:textId="77777777" w:rsidR="00F31EAB" w:rsidRPr="00F31EAB" w:rsidRDefault="00F31EAB" w:rsidP="00F31EAB">
      <w:pPr>
        <w:spacing w:after="0" w:line="240" w:lineRule="auto"/>
        <w:rPr>
          <w:rFonts w:ascii="Arial" w:eastAsia="Calibri" w:hAnsi="Arial" w:cs="Arial"/>
          <w:kern w:val="0"/>
          <w:sz w:val="20"/>
          <w:szCs w:val="20"/>
          <w14:ligatures w14:val="none"/>
        </w:rPr>
      </w:pPr>
      <w:r w:rsidRPr="00F31EAB">
        <w:rPr>
          <w:rFonts w:ascii="Arial" w:eastAsia="Calibri" w:hAnsi="Arial" w:cs="Arial"/>
          <w:kern w:val="0"/>
          <w:sz w:val="20"/>
          <w:szCs w:val="20"/>
          <w14:ligatures w14:val="none"/>
        </w:rPr>
        <w:t>Authors have declared that they have no known competing financial interests OR non-financial interests OR personal relationships that could have appeared to influence the work reported in this paper.</w:t>
      </w:r>
    </w:p>
    <w:p w14:paraId="50AA3B6D" w14:textId="77777777" w:rsidR="00F31EAB" w:rsidRPr="00F31EAB" w:rsidRDefault="00F31EAB" w:rsidP="00F31EAB">
      <w:pPr>
        <w:spacing w:after="0" w:line="240" w:lineRule="auto"/>
        <w:rPr>
          <w:rFonts w:ascii="Arial" w:eastAsia="Calibri" w:hAnsi="Arial" w:cs="Arial"/>
          <w:kern w:val="0"/>
          <w:sz w:val="20"/>
          <w:szCs w:val="20"/>
          <w14:ligatures w14:val="none"/>
        </w:rPr>
      </w:pPr>
    </w:p>
    <w:p w14:paraId="27B705AA" w14:textId="77777777" w:rsidR="00F31EAB" w:rsidRPr="008402A5" w:rsidRDefault="00F31EAB" w:rsidP="008402A5">
      <w:pPr>
        <w:spacing w:after="0" w:line="240" w:lineRule="auto"/>
        <w:rPr>
          <w:rFonts w:ascii="Arial" w:eastAsia="Calibri" w:hAnsi="Arial" w:cs="Arial"/>
          <w:kern w:val="0"/>
          <w:sz w:val="20"/>
          <w:szCs w:val="20"/>
          <w14:ligatures w14:val="none"/>
        </w:rPr>
      </w:pPr>
    </w:p>
    <w:bookmarkEnd w:id="4"/>
    <w:bookmarkEnd w:id="6"/>
    <w:bookmarkEnd w:id="7"/>
    <w:bookmarkEnd w:id="8"/>
    <w:p w14:paraId="172949BB" w14:textId="6A7EAD1A" w:rsidR="00A933B5" w:rsidRPr="00EE665C" w:rsidRDefault="00A933B5">
      <w:pPr>
        <w:rPr>
          <w:rFonts w:ascii="Times New Roman" w:hAnsi="Times New Roman" w:cs="Times New Roman"/>
          <w:b/>
          <w:bCs/>
        </w:rPr>
      </w:pPr>
    </w:p>
    <w:p w14:paraId="70CACF04" w14:textId="6FFAD098" w:rsidR="00FA53C2" w:rsidRPr="00EE665C" w:rsidRDefault="00926BE9" w:rsidP="00FA53C2">
      <w:pPr>
        <w:jc w:val="center"/>
        <w:rPr>
          <w:rFonts w:ascii="Times New Roman" w:hAnsi="Times New Roman" w:cs="Times New Roman"/>
          <w:b/>
          <w:bCs/>
        </w:rPr>
      </w:pPr>
      <w:r w:rsidRPr="00EE665C">
        <w:rPr>
          <w:rFonts w:ascii="Times New Roman" w:hAnsi="Times New Roman" w:cs="Times New Roman"/>
          <w:b/>
          <w:bCs/>
        </w:rPr>
        <w:t>References</w:t>
      </w:r>
    </w:p>
    <w:p w14:paraId="2F74B295"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Abdul, R., Fatima, L., &amp; Musa, I. (2024). Financial innovation in emerging markets: Drivers and disruptors. </w:t>
      </w:r>
      <w:r w:rsidRPr="00EE665C">
        <w:rPr>
          <w:rFonts w:ascii="Times New Roman" w:hAnsi="Times New Roman" w:cs="Times New Roman"/>
          <w:i/>
          <w:iCs/>
        </w:rPr>
        <w:t>Emerald Emerging Markets Case Studies</w:t>
      </w:r>
      <w:r w:rsidRPr="00EE665C">
        <w:rPr>
          <w:rFonts w:ascii="Times New Roman" w:hAnsi="Times New Roman" w:cs="Times New Roman"/>
        </w:rPr>
        <w:t>, 14(1), 75–94.</w:t>
      </w:r>
    </w:p>
    <w:p w14:paraId="2AF3C7C9"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Abdul-Rahim, R., Bohari, S. A., Aman, A., &amp; Awang, Z. (2022). Benefit-risk perceptions of FinTech adoption from bank consumers’ perspective. </w:t>
      </w:r>
      <w:r w:rsidRPr="00EE665C">
        <w:rPr>
          <w:rFonts w:ascii="Times New Roman" w:hAnsi="Times New Roman" w:cs="Times New Roman"/>
          <w:i/>
          <w:iCs/>
        </w:rPr>
        <w:t>Sustainability</w:t>
      </w:r>
      <w:r w:rsidRPr="00EE665C">
        <w:rPr>
          <w:rFonts w:ascii="Times New Roman" w:hAnsi="Times New Roman" w:cs="Times New Roman"/>
        </w:rPr>
        <w:t xml:space="preserve">, 14(14), 8357. </w:t>
      </w:r>
    </w:p>
    <w:p w14:paraId="654432B3"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Abiola, B., &amp; </w:t>
      </w:r>
      <w:proofErr w:type="spellStart"/>
      <w:r w:rsidRPr="00EE665C">
        <w:rPr>
          <w:rFonts w:ascii="Times New Roman" w:hAnsi="Times New Roman" w:cs="Times New Roman"/>
        </w:rPr>
        <w:t>Osinubi</w:t>
      </w:r>
      <w:proofErr w:type="spellEnd"/>
      <w:r w:rsidRPr="00EE665C">
        <w:rPr>
          <w:rFonts w:ascii="Times New Roman" w:hAnsi="Times New Roman" w:cs="Times New Roman"/>
        </w:rPr>
        <w:t xml:space="preserve">, T. (2020). Mobile money and financial inclusion in Nigeria. </w:t>
      </w:r>
      <w:r w:rsidRPr="00EE665C">
        <w:rPr>
          <w:rFonts w:ascii="Times New Roman" w:hAnsi="Times New Roman" w:cs="Times New Roman"/>
          <w:i/>
          <w:iCs/>
        </w:rPr>
        <w:t>Journal of African Financial Studies</w:t>
      </w:r>
      <w:r w:rsidRPr="00EE665C">
        <w:rPr>
          <w:rFonts w:ascii="Times New Roman" w:hAnsi="Times New Roman" w:cs="Times New Roman"/>
        </w:rPr>
        <w:t>, 12(1), 47–63.</w:t>
      </w:r>
    </w:p>
    <w:p w14:paraId="0459DE37"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Adebayo, A., &amp; Adedeji, K. (2022). Digital payment systems and consumer financial behavior in Nigeria. </w:t>
      </w:r>
      <w:r w:rsidRPr="00EE665C">
        <w:rPr>
          <w:rFonts w:ascii="Times New Roman" w:hAnsi="Times New Roman" w:cs="Times New Roman"/>
          <w:i/>
          <w:iCs/>
        </w:rPr>
        <w:t>Nigerian Journal of Finance and Innovation</w:t>
      </w:r>
      <w:r w:rsidRPr="00EE665C">
        <w:rPr>
          <w:rFonts w:ascii="Times New Roman" w:hAnsi="Times New Roman" w:cs="Times New Roman"/>
        </w:rPr>
        <w:t>, 7(2), 45–61.</w:t>
      </w:r>
    </w:p>
    <w:p w14:paraId="06AE87A6"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Adebayo, A., Adedeji, K., &amp; Olaniyi, T. (2020). The convenience and security of mobile money: Perspectives from Nigerian users. </w:t>
      </w:r>
      <w:r w:rsidRPr="00EE665C">
        <w:rPr>
          <w:rFonts w:ascii="Times New Roman" w:hAnsi="Times New Roman" w:cs="Times New Roman"/>
          <w:i/>
          <w:iCs/>
        </w:rPr>
        <w:t>West African Journal of Business Research</w:t>
      </w:r>
      <w:r w:rsidRPr="00EE665C">
        <w:rPr>
          <w:rFonts w:ascii="Times New Roman" w:hAnsi="Times New Roman" w:cs="Times New Roman"/>
        </w:rPr>
        <w:t>, 5(1), 33–50.</w:t>
      </w:r>
    </w:p>
    <w:p w14:paraId="5FFC91CE"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Adesola, T., &amp; Essien, J. (2025). Mobile finance and platform inclusivity in West Africa. </w:t>
      </w:r>
      <w:r w:rsidRPr="00EE665C">
        <w:rPr>
          <w:rFonts w:ascii="Times New Roman" w:hAnsi="Times New Roman" w:cs="Times New Roman"/>
          <w:i/>
          <w:iCs/>
        </w:rPr>
        <w:t>African Journal of Digital Economics</w:t>
      </w:r>
      <w:r w:rsidRPr="00EE665C">
        <w:rPr>
          <w:rFonts w:ascii="Times New Roman" w:hAnsi="Times New Roman" w:cs="Times New Roman"/>
        </w:rPr>
        <w:t>, 4(2), 28–46.</w:t>
      </w:r>
    </w:p>
    <w:p w14:paraId="77727E40"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Agarwal, S., Qian, W., Ren, Y., &amp; Tsai, H. T. T. (2020). The real impact of FinTech: Evidence from mobile payment technology. </w:t>
      </w:r>
      <w:r w:rsidRPr="00EE665C">
        <w:rPr>
          <w:rFonts w:ascii="Times New Roman" w:hAnsi="Times New Roman" w:cs="Times New Roman"/>
          <w:i/>
          <w:iCs/>
        </w:rPr>
        <w:t>Working Paper</w:t>
      </w:r>
      <w:r w:rsidRPr="00EE665C">
        <w:rPr>
          <w:rFonts w:ascii="Times New Roman" w:hAnsi="Times New Roman" w:cs="Times New Roman"/>
        </w:rPr>
        <w:t>.</w:t>
      </w:r>
    </w:p>
    <w:p w14:paraId="7E624519"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Almaiah, M. A., Al-Otaibi, S., </w:t>
      </w:r>
      <w:proofErr w:type="spellStart"/>
      <w:r w:rsidRPr="00EE665C">
        <w:rPr>
          <w:rFonts w:ascii="Times New Roman" w:hAnsi="Times New Roman" w:cs="Times New Roman"/>
        </w:rPr>
        <w:t>Shishakly</w:t>
      </w:r>
      <w:proofErr w:type="spellEnd"/>
      <w:r w:rsidRPr="00EE665C">
        <w:rPr>
          <w:rFonts w:ascii="Times New Roman" w:hAnsi="Times New Roman" w:cs="Times New Roman"/>
        </w:rPr>
        <w:t xml:space="preserve">, R., Hassan, L., &amp; Lutfi, A. (2023). Investigating the role of perceived risk, security, and trust on mobile banking adoption. </w:t>
      </w:r>
      <w:r w:rsidRPr="00EE665C">
        <w:rPr>
          <w:rFonts w:ascii="Times New Roman" w:hAnsi="Times New Roman" w:cs="Times New Roman"/>
          <w:i/>
          <w:iCs/>
        </w:rPr>
        <w:t>Sustainability</w:t>
      </w:r>
      <w:r w:rsidRPr="00EE665C">
        <w:rPr>
          <w:rFonts w:ascii="Times New Roman" w:hAnsi="Times New Roman" w:cs="Times New Roman"/>
        </w:rPr>
        <w:t xml:space="preserve">, 15(13), 9908. </w:t>
      </w:r>
    </w:p>
    <w:p w14:paraId="4A65909E"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Alwi, S., </w:t>
      </w:r>
      <w:proofErr w:type="spellStart"/>
      <w:r w:rsidRPr="00EE665C">
        <w:rPr>
          <w:rFonts w:ascii="Times New Roman" w:hAnsi="Times New Roman" w:cs="Times New Roman"/>
        </w:rPr>
        <w:t>Alpandi</w:t>
      </w:r>
      <w:proofErr w:type="spellEnd"/>
      <w:r w:rsidRPr="00EE665C">
        <w:rPr>
          <w:rFonts w:ascii="Times New Roman" w:hAnsi="Times New Roman" w:cs="Times New Roman"/>
        </w:rPr>
        <w:t xml:space="preserve">, R. M., &amp; Salleh, M. N. M. (2019). An empirical study on customers' satisfaction with FinTech mobile payment services in Malaysia. </w:t>
      </w:r>
      <w:r w:rsidRPr="00EE665C">
        <w:rPr>
          <w:rFonts w:ascii="Times New Roman" w:hAnsi="Times New Roman" w:cs="Times New Roman"/>
          <w:i/>
          <w:iCs/>
        </w:rPr>
        <w:t>Journal of Advanced Science and Engineering Research</w:t>
      </w:r>
      <w:r w:rsidRPr="00EE665C">
        <w:rPr>
          <w:rFonts w:ascii="Times New Roman" w:hAnsi="Times New Roman" w:cs="Times New Roman"/>
        </w:rPr>
        <w:t>, 9(1), 44–53.</w:t>
      </w:r>
    </w:p>
    <w:p w14:paraId="3569E5C6"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Balci, M. (2021). The influence of perceived usefulness on online repurchase intention: An empirical study of e-commerce users. </w:t>
      </w:r>
      <w:r w:rsidRPr="00EE665C">
        <w:rPr>
          <w:rFonts w:ascii="Times New Roman" w:hAnsi="Times New Roman" w:cs="Times New Roman"/>
          <w:i/>
          <w:iCs/>
        </w:rPr>
        <w:t>Journal of Internet Commerce</w:t>
      </w:r>
      <w:r w:rsidRPr="00EE665C">
        <w:rPr>
          <w:rFonts w:ascii="Times New Roman" w:hAnsi="Times New Roman" w:cs="Times New Roman"/>
        </w:rPr>
        <w:t>, 20(3), 177–195.</w:t>
      </w:r>
    </w:p>
    <w:p w14:paraId="3AA0B7BE"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lastRenderedPageBreak/>
        <w:t>Bongomin</w:t>
      </w:r>
      <w:proofErr w:type="spellEnd"/>
      <w:r w:rsidRPr="00EE665C">
        <w:rPr>
          <w:rFonts w:ascii="Times New Roman" w:hAnsi="Times New Roman" w:cs="Times New Roman"/>
        </w:rPr>
        <w:t xml:space="preserve">, G. O. C., &amp; </w:t>
      </w:r>
      <w:proofErr w:type="spellStart"/>
      <w:r w:rsidRPr="00EE665C">
        <w:rPr>
          <w:rFonts w:ascii="Times New Roman" w:hAnsi="Times New Roman" w:cs="Times New Roman"/>
        </w:rPr>
        <w:t>Ntayi</w:t>
      </w:r>
      <w:proofErr w:type="spellEnd"/>
      <w:r w:rsidRPr="00EE665C">
        <w:rPr>
          <w:rFonts w:ascii="Times New Roman" w:hAnsi="Times New Roman" w:cs="Times New Roman"/>
        </w:rPr>
        <w:t xml:space="preserve">, J. (2020). Trust: Mediator between mobile money usage and financial inclusion. </w:t>
      </w:r>
      <w:r w:rsidRPr="00EE665C">
        <w:rPr>
          <w:rFonts w:ascii="Times New Roman" w:hAnsi="Times New Roman" w:cs="Times New Roman"/>
          <w:i/>
          <w:iCs/>
        </w:rPr>
        <w:t>Social Responsibility Journal</w:t>
      </w:r>
      <w:r w:rsidRPr="00EE665C">
        <w:rPr>
          <w:rFonts w:ascii="Times New Roman" w:hAnsi="Times New Roman" w:cs="Times New Roman"/>
        </w:rPr>
        <w:t>, 16(5), 777–800.</w:t>
      </w:r>
    </w:p>
    <w:p w14:paraId="42B5D38F"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Centellegher</w:t>
      </w:r>
      <w:proofErr w:type="spellEnd"/>
      <w:r w:rsidRPr="00EE665C">
        <w:rPr>
          <w:rFonts w:ascii="Times New Roman" w:hAnsi="Times New Roman" w:cs="Times New Roman"/>
        </w:rPr>
        <w:t xml:space="preserve">, S., Miritello, G., &amp; Villatoro, D. (2018). Mobile money: Understanding and predicting adoption in a developing economy. </w:t>
      </w:r>
      <w:r w:rsidRPr="00EE665C">
        <w:rPr>
          <w:rFonts w:ascii="Times New Roman" w:hAnsi="Times New Roman" w:cs="Times New Roman"/>
          <w:i/>
          <w:iCs/>
        </w:rPr>
        <w:t>Proceedings of the ACM on Interactive, Mobile, Wearable and Ubiquitous Technologies (IMWUT)</w:t>
      </w:r>
      <w:r w:rsidRPr="00EE665C">
        <w:rPr>
          <w:rFonts w:ascii="Times New Roman" w:hAnsi="Times New Roman" w:cs="Times New Roman"/>
        </w:rPr>
        <w:t>, 2(3).</w:t>
      </w:r>
    </w:p>
    <w:p w14:paraId="5481DF21"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Central Bank of Nigeria. (2023). </w:t>
      </w:r>
      <w:r w:rsidRPr="00EE665C">
        <w:rPr>
          <w:rFonts w:ascii="Times New Roman" w:hAnsi="Times New Roman" w:cs="Times New Roman"/>
          <w:i/>
          <w:iCs/>
        </w:rPr>
        <w:t>Mobile Money Statistics and Agent Framework Report</w:t>
      </w:r>
      <w:r w:rsidRPr="00EE665C">
        <w:rPr>
          <w:rFonts w:ascii="Times New Roman" w:hAnsi="Times New Roman" w:cs="Times New Roman"/>
        </w:rPr>
        <w:t xml:space="preserve">. </w:t>
      </w:r>
      <w:hyperlink r:id="rId10" w:tgtFrame="_new" w:history="1">
        <w:r w:rsidRPr="00EE665C">
          <w:rPr>
            <w:rStyle w:val="Hyperlink"/>
            <w:rFonts w:ascii="Times New Roman" w:hAnsi="Times New Roman" w:cs="Times New Roman"/>
            <w:color w:val="auto"/>
          </w:rPr>
          <w:t>https://www.cbn.gov.ng</w:t>
        </w:r>
      </w:hyperlink>
    </w:p>
    <w:p w14:paraId="1559C816"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Charles, H., &amp; Hayford, A. (2024). Understanding consumers’ continuous use of Fintech solutions in emerging economies. </w:t>
      </w:r>
      <w:r w:rsidRPr="00EE665C">
        <w:rPr>
          <w:rFonts w:ascii="Times New Roman" w:hAnsi="Times New Roman" w:cs="Times New Roman"/>
          <w:i/>
          <w:iCs/>
        </w:rPr>
        <w:t>IEEE Transactions on Engineering Management</w:t>
      </w:r>
      <w:r w:rsidRPr="00EE665C">
        <w:rPr>
          <w:rFonts w:ascii="Times New Roman" w:hAnsi="Times New Roman" w:cs="Times New Roman"/>
        </w:rPr>
        <w:t>.</w:t>
      </w:r>
    </w:p>
    <w:p w14:paraId="16753B2C" w14:textId="240BF323"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Cobla</w:t>
      </w:r>
      <w:proofErr w:type="spellEnd"/>
      <w:r w:rsidRPr="00EE665C">
        <w:rPr>
          <w:rFonts w:ascii="Times New Roman" w:hAnsi="Times New Roman" w:cs="Times New Roman"/>
        </w:rPr>
        <w:t>, G. M., &amp; Osei-</w:t>
      </w:r>
      <w:proofErr w:type="spellStart"/>
      <w:r w:rsidRPr="00EE665C">
        <w:rPr>
          <w:rFonts w:ascii="Times New Roman" w:hAnsi="Times New Roman" w:cs="Times New Roman"/>
        </w:rPr>
        <w:t>Assibey</w:t>
      </w:r>
      <w:proofErr w:type="spellEnd"/>
      <w:r w:rsidRPr="00EE665C">
        <w:rPr>
          <w:rFonts w:ascii="Times New Roman" w:hAnsi="Times New Roman" w:cs="Times New Roman"/>
        </w:rPr>
        <w:t xml:space="preserve">, E. (2018). Mobile money adoption and spending </w:t>
      </w:r>
      <w:proofErr w:type="spellStart"/>
      <w:r w:rsidRPr="00EE665C">
        <w:rPr>
          <w:rFonts w:ascii="Times New Roman" w:hAnsi="Times New Roman" w:cs="Times New Roman"/>
        </w:rPr>
        <w:t>behaviour</w:t>
      </w:r>
      <w:proofErr w:type="spellEnd"/>
      <w:r w:rsidRPr="00EE665C">
        <w:rPr>
          <w:rFonts w:ascii="Times New Roman" w:hAnsi="Times New Roman" w:cs="Times New Roman"/>
        </w:rPr>
        <w:t xml:space="preserve">: The case of students in Ghana. </w:t>
      </w:r>
      <w:r w:rsidRPr="00EE665C">
        <w:rPr>
          <w:rFonts w:ascii="Times New Roman" w:hAnsi="Times New Roman" w:cs="Times New Roman"/>
          <w:i/>
          <w:iCs/>
        </w:rPr>
        <w:t>International Journal of Social Economics</w:t>
      </w:r>
      <w:r w:rsidRPr="00EE665C">
        <w:rPr>
          <w:rFonts w:ascii="Times New Roman" w:hAnsi="Times New Roman" w:cs="Times New Roman"/>
        </w:rPr>
        <w:t>, 45(1), 29–42.</w:t>
      </w:r>
    </w:p>
    <w:p w14:paraId="2A6BB37E"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Damian-Okoro, I. R. P. D. (2025). Effectiveness of mobile money and digital payment systems in shaping consumer spending in Nigeria. </w:t>
      </w:r>
      <w:r w:rsidRPr="00EE665C">
        <w:rPr>
          <w:rFonts w:ascii="Times New Roman" w:hAnsi="Times New Roman" w:cs="Times New Roman"/>
          <w:i/>
          <w:iCs/>
        </w:rPr>
        <w:t>BW Academic Journal</w:t>
      </w:r>
      <w:r w:rsidRPr="00EE665C">
        <w:rPr>
          <w:rFonts w:ascii="Times New Roman" w:hAnsi="Times New Roman" w:cs="Times New Roman"/>
        </w:rPr>
        <w:t>.</w:t>
      </w:r>
    </w:p>
    <w:p w14:paraId="098899B2"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Danladi, S., Prasad, M.S.V., &amp; Modibbo, U.M. (2023). </w:t>
      </w:r>
      <w:r w:rsidRPr="00EE665C">
        <w:rPr>
          <w:rFonts w:ascii="Times New Roman" w:hAnsi="Times New Roman" w:cs="Times New Roman"/>
          <w:i/>
          <w:iCs/>
        </w:rPr>
        <w:t>Gender-inclusive development through Fintech: Studying gender-based digital financial inclusion in a cross-country setting.</w:t>
      </w:r>
      <w:r w:rsidRPr="00EE665C">
        <w:rPr>
          <w:rFonts w:ascii="Times New Roman" w:hAnsi="Times New Roman" w:cs="Times New Roman"/>
        </w:rPr>
        <w:t xml:space="preserve"> </w:t>
      </w:r>
      <w:r w:rsidRPr="00EE665C">
        <w:rPr>
          <w:rFonts w:ascii="Times New Roman" w:hAnsi="Times New Roman" w:cs="Times New Roman"/>
          <w:i/>
          <w:iCs/>
        </w:rPr>
        <w:t>Sustainability, 15(13),</w:t>
      </w:r>
      <w:r w:rsidRPr="00EE665C">
        <w:rPr>
          <w:rFonts w:ascii="Times New Roman" w:hAnsi="Times New Roman" w:cs="Times New Roman"/>
        </w:rPr>
        <w:t xml:space="preserve"> 10253. </w:t>
      </w:r>
    </w:p>
    <w:p w14:paraId="587CED0C"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Daud, N. M., Kassim, N. A., Said, W. M., &amp; Noor, M. M. (2018). Determining critical success factors of e-loyalty in e-commerce platforms. </w:t>
      </w:r>
      <w:r w:rsidRPr="00EE665C">
        <w:rPr>
          <w:rFonts w:ascii="Times New Roman" w:hAnsi="Times New Roman" w:cs="Times New Roman"/>
          <w:i/>
          <w:iCs/>
        </w:rPr>
        <w:t>International Journal of Supply Chain Management</w:t>
      </w:r>
      <w:r w:rsidRPr="00EE665C">
        <w:rPr>
          <w:rFonts w:ascii="Times New Roman" w:hAnsi="Times New Roman" w:cs="Times New Roman"/>
        </w:rPr>
        <w:t>, 7(2), 84–92.</w:t>
      </w:r>
    </w:p>
    <w:p w14:paraId="4B9ED138"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Davis, F. D. (1989). </w:t>
      </w:r>
      <w:r w:rsidRPr="00EE665C">
        <w:rPr>
          <w:rFonts w:ascii="Times New Roman" w:hAnsi="Times New Roman" w:cs="Times New Roman"/>
          <w:i/>
          <w:iCs/>
        </w:rPr>
        <w:t>Perceived usefulness, perceived ease of use, and user acceptance of information technology</w:t>
      </w:r>
      <w:r w:rsidRPr="00EE665C">
        <w:rPr>
          <w:rFonts w:ascii="Times New Roman" w:hAnsi="Times New Roman" w:cs="Times New Roman"/>
        </w:rPr>
        <w:t>. MIS Quarterly, 13(3), 319–340.</w:t>
      </w:r>
    </w:p>
    <w:p w14:paraId="72BDF36A"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EFInA</w:t>
      </w:r>
      <w:proofErr w:type="spellEnd"/>
      <w:r w:rsidRPr="00EE665C">
        <w:rPr>
          <w:rFonts w:ascii="Times New Roman" w:hAnsi="Times New Roman" w:cs="Times New Roman"/>
        </w:rPr>
        <w:t xml:space="preserve">. (2023). </w:t>
      </w:r>
      <w:r w:rsidRPr="00EE665C">
        <w:rPr>
          <w:rFonts w:ascii="Times New Roman" w:hAnsi="Times New Roman" w:cs="Times New Roman"/>
          <w:i/>
          <w:iCs/>
        </w:rPr>
        <w:t>Access to Financial Services in Nigeria Survey</w:t>
      </w:r>
      <w:r w:rsidRPr="00EE665C">
        <w:rPr>
          <w:rFonts w:ascii="Times New Roman" w:hAnsi="Times New Roman" w:cs="Times New Roman"/>
        </w:rPr>
        <w:t>. https://efina.org.ng/research/</w:t>
      </w:r>
    </w:p>
    <w:p w14:paraId="7C301879"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Fishbein, M., &amp; Ajzen, I. (1975). </w:t>
      </w:r>
      <w:r w:rsidRPr="00EE665C">
        <w:rPr>
          <w:rFonts w:ascii="Times New Roman" w:hAnsi="Times New Roman" w:cs="Times New Roman"/>
          <w:i/>
          <w:iCs/>
        </w:rPr>
        <w:t>Belief, attitude, intention, and behavior: An introduction to theory and research</w:t>
      </w:r>
      <w:r w:rsidRPr="00EE665C">
        <w:rPr>
          <w:rFonts w:ascii="Times New Roman" w:hAnsi="Times New Roman" w:cs="Times New Roman"/>
        </w:rPr>
        <w:t>. Reading, MA: Addison-Wesley.</w:t>
      </w:r>
    </w:p>
    <w:p w14:paraId="5C27DA9C"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Guermond</w:t>
      </w:r>
      <w:proofErr w:type="spellEnd"/>
      <w:r w:rsidRPr="00EE665C">
        <w:rPr>
          <w:rFonts w:ascii="Times New Roman" w:hAnsi="Times New Roman" w:cs="Times New Roman"/>
        </w:rPr>
        <w:t xml:space="preserve">, V. (2022). Digital remittances and mobile finance in Ghana. </w:t>
      </w:r>
      <w:r w:rsidRPr="00EE665C">
        <w:rPr>
          <w:rFonts w:ascii="Times New Roman" w:hAnsi="Times New Roman" w:cs="Times New Roman"/>
          <w:i/>
          <w:iCs/>
        </w:rPr>
        <w:t>Journal of Cultural Economy</w:t>
      </w:r>
      <w:r w:rsidRPr="00EE665C">
        <w:rPr>
          <w:rFonts w:ascii="Times New Roman" w:hAnsi="Times New Roman" w:cs="Times New Roman"/>
        </w:rPr>
        <w:t>, 15(4), 387–403.</w:t>
      </w:r>
    </w:p>
    <w:p w14:paraId="7FFA67DD"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Hair, J. F., Hult, G. T. M., Ringle, C. M., &amp; Sarstedt, M. (2014). </w:t>
      </w:r>
      <w:r w:rsidRPr="00EE665C">
        <w:rPr>
          <w:rFonts w:ascii="Times New Roman" w:hAnsi="Times New Roman" w:cs="Times New Roman"/>
          <w:i/>
          <w:iCs/>
        </w:rPr>
        <w:t>A primer on partial least squares structural equation modeling (PLS-SEM)</w:t>
      </w:r>
      <w:r w:rsidRPr="00EE665C">
        <w:rPr>
          <w:rFonts w:ascii="Times New Roman" w:hAnsi="Times New Roman" w:cs="Times New Roman"/>
        </w:rPr>
        <w:t>. Thousand Oaks, CA: Sage Publications.</w:t>
      </w:r>
    </w:p>
    <w:p w14:paraId="446F7748"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Hoque, M.Z., Chowdhury, N.J., Hossain, A.A., &amp; Tabassum, T. (2024). </w:t>
      </w:r>
      <w:r w:rsidRPr="00EE665C">
        <w:rPr>
          <w:rFonts w:ascii="Times New Roman" w:hAnsi="Times New Roman" w:cs="Times New Roman"/>
          <w:i/>
          <w:iCs/>
        </w:rPr>
        <w:t>Social and facilitating influences in fintech user intention and the fintech gender gap.</w:t>
      </w:r>
      <w:r w:rsidRPr="00EE665C">
        <w:rPr>
          <w:rFonts w:ascii="Times New Roman" w:hAnsi="Times New Roman" w:cs="Times New Roman"/>
        </w:rPr>
        <w:t xml:space="preserve"> </w:t>
      </w:r>
      <w:proofErr w:type="spellStart"/>
      <w:r w:rsidRPr="00EE665C">
        <w:rPr>
          <w:rFonts w:ascii="Times New Roman" w:hAnsi="Times New Roman" w:cs="Times New Roman"/>
          <w:i/>
          <w:iCs/>
        </w:rPr>
        <w:t>Heliyon</w:t>
      </w:r>
      <w:proofErr w:type="spellEnd"/>
      <w:r w:rsidRPr="00EE665C">
        <w:rPr>
          <w:rFonts w:ascii="Times New Roman" w:hAnsi="Times New Roman" w:cs="Times New Roman"/>
          <w:i/>
          <w:iCs/>
        </w:rPr>
        <w:t>, 10(3),</w:t>
      </w:r>
      <w:r w:rsidRPr="00EE665C">
        <w:rPr>
          <w:rFonts w:ascii="Times New Roman" w:hAnsi="Times New Roman" w:cs="Times New Roman"/>
        </w:rPr>
        <w:t xml:space="preserve"> e18533</w:t>
      </w:r>
    </w:p>
    <w:p w14:paraId="033FD183"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Ifechukwu, N. (2022). The promise of open banking: A Nigerian perspective. </w:t>
      </w:r>
      <w:r w:rsidRPr="00EE665C">
        <w:rPr>
          <w:rFonts w:ascii="Times New Roman" w:hAnsi="Times New Roman" w:cs="Times New Roman"/>
          <w:i/>
          <w:iCs/>
        </w:rPr>
        <w:t>Digital Policy, Regulation and Governance</w:t>
      </w:r>
      <w:r w:rsidRPr="00EE665C">
        <w:rPr>
          <w:rFonts w:ascii="Times New Roman" w:hAnsi="Times New Roman" w:cs="Times New Roman"/>
        </w:rPr>
        <w:t>, 24(3), 203–218.</w:t>
      </w:r>
    </w:p>
    <w:p w14:paraId="42554596"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lastRenderedPageBreak/>
        <w:t xml:space="preserve">Isiaku, H., Nwodo, E., &amp; Bala, Y. (2024). Interoperability and trust in digital payments. </w:t>
      </w:r>
      <w:r w:rsidRPr="00EE665C">
        <w:rPr>
          <w:rFonts w:ascii="Times New Roman" w:hAnsi="Times New Roman" w:cs="Times New Roman"/>
          <w:i/>
          <w:iCs/>
        </w:rPr>
        <w:t>Journal of Fintech Regulation</w:t>
      </w:r>
      <w:r w:rsidRPr="00EE665C">
        <w:rPr>
          <w:rFonts w:ascii="Times New Roman" w:hAnsi="Times New Roman" w:cs="Times New Roman"/>
        </w:rPr>
        <w:t>, 6(1), 41–59.</w:t>
      </w:r>
    </w:p>
    <w:p w14:paraId="5C5B71C5"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Ismail, N., Roslan, N. A., &amp; Fauzi, N. A. M. (2018). Perceived security and consumer trust in adoption of FinTech services. </w:t>
      </w:r>
      <w:r w:rsidRPr="00EE665C">
        <w:rPr>
          <w:rFonts w:ascii="Times New Roman" w:hAnsi="Times New Roman" w:cs="Times New Roman"/>
          <w:i/>
          <w:iCs/>
        </w:rPr>
        <w:t xml:space="preserve">European Proceedings of Social and </w:t>
      </w:r>
      <w:proofErr w:type="spellStart"/>
      <w:r w:rsidRPr="00EE665C">
        <w:rPr>
          <w:rFonts w:ascii="Times New Roman" w:hAnsi="Times New Roman" w:cs="Times New Roman"/>
          <w:i/>
          <w:iCs/>
        </w:rPr>
        <w:t>Behavioural</w:t>
      </w:r>
      <w:proofErr w:type="spellEnd"/>
      <w:r w:rsidRPr="00EE665C">
        <w:rPr>
          <w:rFonts w:ascii="Times New Roman" w:hAnsi="Times New Roman" w:cs="Times New Roman"/>
          <w:i/>
          <w:iCs/>
        </w:rPr>
        <w:t xml:space="preserve"> Sciences</w:t>
      </w:r>
      <w:r w:rsidRPr="00EE665C">
        <w:rPr>
          <w:rFonts w:ascii="Times New Roman" w:hAnsi="Times New Roman" w:cs="Times New Roman"/>
        </w:rPr>
        <w:t xml:space="preserve">, 84, 338–347. </w:t>
      </w:r>
    </w:p>
    <w:p w14:paraId="1BECFFC3"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Jacob, F., &amp; Umoh, U. (2024). Digital commerce and payment convergence in Nigeria. </w:t>
      </w:r>
      <w:r w:rsidRPr="00EE665C">
        <w:rPr>
          <w:rFonts w:ascii="Times New Roman" w:hAnsi="Times New Roman" w:cs="Times New Roman"/>
          <w:i/>
          <w:iCs/>
        </w:rPr>
        <w:t>International Journal of Bank Marketing</w:t>
      </w:r>
      <w:r w:rsidRPr="00EE665C">
        <w:rPr>
          <w:rFonts w:ascii="Times New Roman" w:hAnsi="Times New Roman" w:cs="Times New Roman"/>
        </w:rPr>
        <w:t>, 42(1), 88–105.</w:t>
      </w:r>
    </w:p>
    <w:p w14:paraId="6E1C9C5A"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Kalinga, M. L., &amp; Senarathna, E. C. K. (2023). Fintech adoption among underbanked populations. </w:t>
      </w:r>
      <w:r w:rsidRPr="00EE665C">
        <w:rPr>
          <w:rFonts w:ascii="Times New Roman" w:hAnsi="Times New Roman" w:cs="Times New Roman"/>
          <w:i/>
          <w:iCs/>
        </w:rPr>
        <w:t>Journal of Business Studies</w:t>
      </w:r>
      <w:r w:rsidRPr="00EE665C">
        <w:rPr>
          <w:rFonts w:ascii="Times New Roman" w:hAnsi="Times New Roman" w:cs="Times New Roman"/>
        </w:rPr>
        <w:t>, 10(2), 45–67.</w:t>
      </w:r>
    </w:p>
    <w:p w14:paraId="5AA71198"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Kang, J. (2018). Mobile payment in FinTech environment: Trends, security challenges, and services. </w:t>
      </w:r>
      <w:r w:rsidRPr="00EE665C">
        <w:rPr>
          <w:rFonts w:ascii="Times New Roman" w:hAnsi="Times New Roman" w:cs="Times New Roman"/>
          <w:i/>
          <w:iCs/>
        </w:rPr>
        <w:t>Human-centric Computing and Information Sciences</w:t>
      </w:r>
      <w:r w:rsidRPr="00EE665C">
        <w:rPr>
          <w:rFonts w:ascii="Times New Roman" w:hAnsi="Times New Roman" w:cs="Times New Roman"/>
        </w:rPr>
        <w:t>, 8(1), 1–16.</w:t>
      </w:r>
    </w:p>
    <w:p w14:paraId="565AD972"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Ladagu</w:t>
      </w:r>
      <w:proofErr w:type="spellEnd"/>
      <w:r w:rsidRPr="00EE665C">
        <w:rPr>
          <w:rFonts w:ascii="Times New Roman" w:hAnsi="Times New Roman" w:cs="Times New Roman"/>
        </w:rPr>
        <w:t xml:space="preserve">, I. (2020). The future of Fintech in Nigeria: Trust and ecosystem coordination. </w:t>
      </w:r>
      <w:r w:rsidRPr="00EE665C">
        <w:rPr>
          <w:rFonts w:ascii="Times New Roman" w:hAnsi="Times New Roman" w:cs="Times New Roman"/>
          <w:i/>
          <w:iCs/>
        </w:rPr>
        <w:t>Journal of Enterprise Information Management</w:t>
      </w:r>
      <w:r w:rsidRPr="00EE665C">
        <w:rPr>
          <w:rFonts w:ascii="Times New Roman" w:hAnsi="Times New Roman" w:cs="Times New Roman"/>
        </w:rPr>
        <w:t>, 33(4), 633–648.</w:t>
      </w:r>
    </w:p>
    <w:p w14:paraId="7654D376"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Lyons, A.C., Kass-Hanna, J., &amp; Fava, A. (2022). </w:t>
      </w:r>
      <w:r w:rsidRPr="00EE665C">
        <w:rPr>
          <w:rFonts w:ascii="Times New Roman" w:hAnsi="Times New Roman" w:cs="Times New Roman"/>
          <w:i/>
          <w:iCs/>
        </w:rPr>
        <w:t>Fintech development and savings, borrowing, and remittances: A comparative study of emerging economies.</w:t>
      </w:r>
      <w:r w:rsidRPr="00EE665C">
        <w:rPr>
          <w:rFonts w:ascii="Times New Roman" w:hAnsi="Times New Roman" w:cs="Times New Roman"/>
        </w:rPr>
        <w:t xml:space="preserve"> </w:t>
      </w:r>
      <w:r w:rsidRPr="00EE665C">
        <w:rPr>
          <w:rFonts w:ascii="Times New Roman" w:hAnsi="Times New Roman" w:cs="Times New Roman"/>
          <w:i/>
          <w:iCs/>
        </w:rPr>
        <w:t>Emerging Markets Review, 52,</w:t>
      </w:r>
      <w:r w:rsidRPr="00EE665C">
        <w:rPr>
          <w:rFonts w:ascii="Times New Roman" w:hAnsi="Times New Roman" w:cs="Times New Roman"/>
        </w:rPr>
        <w:t xml:space="preserve"> 100833. </w:t>
      </w:r>
    </w:p>
    <w:p w14:paraId="2F414909"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Magdalena, R., </w:t>
      </w:r>
      <w:proofErr w:type="spellStart"/>
      <w:r w:rsidRPr="00EE665C">
        <w:rPr>
          <w:rFonts w:ascii="Times New Roman" w:hAnsi="Times New Roman" w:cs="Times New Roman"/>
        </w:rPr>
        <w:t>Majoul</w:t>
      </w:r>
      <w:proofErr w:type="spellEnd"/>
      <w:r w:rsidRPr="00EE665C">
        <w:rPr>
          <w:rFonts w:ascii="Times New Roman" w:hAnsi="Times New Roman" w:cs="Times New Roman"/>
        </w:rPr>
        <w:t xml:space="preserve">, B., &amp; </w:t>
      </w:r>
      <w:proofErr w:type="spellStart"/>
      <w:r w:rsidRPr="00EE665C">
        <w:rPr>
          <w:rFonts w:ascii="Times New Roman" w:hAnsi="Times New Roman" w:cs="Times New Roman"/>
        </w:rPr>
        <w:t>Naray</w:t>
      </w:r>
      <w:proofErr w:type="spellEnd"/>
      <w:r w:rsidRPr="00EE665C">
        <w:rPr>
          <w:rFonts w:ascii="Times New Roman" w:hAnsi="Times New Roman" w:cs="Times New Roman"/>
        </w:rPr>
        <w:t xml:space="preserve">, S. (2024). FinTech convenience and digital trust in Africa’s e-commerce retail industry. </w:t>
      </w:r>
      <w:r w:rsidRPr="00EE665C">
        <w:rPr>
          <w:rFonts w:ascii="Times New Roman" w:hAnsi="Times New Roman" w:cs="Times New Roman"/>
          <w:i/>
          <w:iCs/>
        </w:rPr>
        <w:t>Proceedings of the 9th International Conference on Social Sciences and Economic Development (ICSSED 2024)</w:t>
      </w:r>
      <w:r w:rsidRPr="00EE665C">
        <w:rPr>
          <w:rFonts w:ascii="Times New Roman" w:hAnsi="Times New Roman" w:cs="Times New Roman"/>
        </w:rPr>
        <w:t>.</w:t>
      </w:r>
    </w:p>
    <w:p w14:paraId="769B98C9"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Maryanto</w:t>
      </w:r>
      <w:proofErr w:type="spellEnd"/>
      <w:r w:rsidRPr="00EE665C">
        <w:rPr>
          <w:rFonts w:ascii="Times New Roman" w:hAnsi="Times New Roman" w:cs="Times New Roman"/>
        </w:rPr>
        <w:t xml:space="preserve">, D., &amp; </w:t>
      </w:r>
      <w:proofErr w:type="spellStart"/>
      <w:r w:rsidRPr="00EE665C">
        <w:rPr>
          <w:rFonts w:ascii="Times New Roman" w:hAnsi="Times New Roman" w:cs="Times New Roman"/>
        </w:rPr>
        <w:t>Kaihatu</w:t>
      </w:r>
      <w:proofErr w:type="spellEnd"/>
      <w:r w:rsidRPr="00EE665C">
        <w:rPr>
          <w:rFonts w:ascii="Times New Roman" w:hAnsi="Times New Roman" w:cs="Times New Roman"/>
        </w:rPr>
        <w:t xml:space="preserve">, T. S. (2021). The mediating role of trust in the relationship between perceived usefulness and customer loyalty in mobile payment services. </w:t>
      </w:r>
      <w:r w:rsidRPr="00EE665C">
        <w:rPr>
          <w:rFonts w:ascii="Times New Roman" w:hAnsi="Times New Roman" w:cs="Times New Roman"/>
          <w:i/>
          <w:iCs/>
        </w:rPr>
        <w:t>International Journal of Business and Management Invention</w:t>
      </w:r>
      <w:r w:rsidRPr="00EE665C">
        <w:rPr>
          <w:rFonts w:ascii="Times New Roman" w:hAnsi="Times New Roman" w:cs="Times New Roman"/>
        </w:rPr>
        <w:t>, 10(4), 18–25.</w:t>
      </w:r>
    </w:p>
    <w:p w14:paraId="4A4151E7"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Maslowska, E., Malthouse, E. C., &amp; </w:t>
      </w:r>
      <w:proofErr w:type="spellStart"/>
      <w:r w:rsidRPr="00EE665C">
        <w:rPr>
          <w:rFonts w:ascii="Times New Roman" w:hAnsi="Times New Roman" w:cs="Times New Roman"/>
        </w:rPr>
        <w:t>Collinger</w:t>
      </w:r>
      <w:proofErr w:type="spellEnd"/>
      <w:r w:rsidRPr="00EE665C">
        <w:rPr>
          <w:rFonts w:ascii="Times New Roman" w:hAnsi="Times New Roman" w:cs="Times New Roman"/>
        </w:rPr>
        <w:t xml:space="preserve">, T. (2016). </w:t>
      </w:r>
      <w:r w:rsidRPr="00EE665C">
        <w:rPr>
          <w:rFonts w:ascii="Times New Roman" w:hAnsi="Times New Roman" w:cs="Times New Roman"/>
          <w:i/>
          <w:iCs/>
        </w:rPr>
        <w:t>The customer engagement ecosystem</w:t>
      </w:r>
      <w:r w:rsidRPr="00EE665C">
        <w:rPr>
          <w:rFonts w:ascii="Times New Roman" w:hAnsi="Times New Roman" w:cs="Times New Roman"/>
        </w:rPr>
        <w:t>. Journal of Marketing Management, 32(5–6), 469–501.</w:t>
      </w:r>
    </w:p>
    <w:p w14:paraId="46EFE090"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Mulyaningsih</w:t>
      </w:r>
      <w:proofErr w:type="spellEnd"/>
      <w:r w:rsidRPr="00EE665C">
        <w:rPr>
          <w:rFonts w:ascii="Times New Roman" w:hAnsi="Times New Roman" w:cs="Times New Roman"/>
        </w:rPr>
        <w:t xml:space="preserve">, E. (2022). The effect of perceived ease of use and perceived usefulness on loyalty mediated by trust in FinTech applications. </w:t>
      </w:r>
      <w:proofErr w:type="spellStart"/>
      <w:r w:rsidRPr="00EE665C">
        <w:rPr>
          <w:rFonts w:ascii="Times New Roman" w:hAnsi="Times New Roman" w:cs="Times New Roman"/>
          <w:i/>
          <w:iCs/>
        </w:rPr>
        <w:t>Jurnal</w:t>
      </w:r>
      <w:proofErr w:type="spellEnd"/>
      <w:r w:rsidRPr="00EE665C">
        <w:rPr>
          <w:rFonts w:ascii="Times New Roman" w:hAnsi="Times New Roman" w:cs="Times New Roman"/>
          <w:i/>
          <w:iCs/>
        </w:rPr>
        <w:t xml:space="preserve"> </w:t>
      </w:r>
      <w:proofErr w:type="spellStart"/>
      <w:r w:rsidRPr="00EE665C">
        <w:rPr>
          <w:rFonts w:ascii="Times New Roman" w:hAnsi="Times New Roman" w:cs="Times New Roman"/>
          <w:i/>
          <w:iCs/>
        </w:rPr>
        <w:t>Manajemen</w:t>
      </w:r>
      <w:proofErr w:type="spellEnd"/>
      <w:r w:rsidRPr="00EE665C">
        <w:rPr>
          <w:rFonts w:ascii="Times New Roman" w:hAnsi="Times New Roman" w:cs="Times New Roman"/>
          <w:i/>
          <w:iCs/>
        </w:rPr>
        <w:t xml:space="preserve"> dan </w:t>
      </w:r>
      <w:proofErr w:type="spellStart"/>
      <w:r w:rsidRPr="00EE665C">
        <w:rPr>
          <w:rFonts w:ascii="Times New Roman" w:hAnsi="Times New Roman" w:cs="Times New Roman"/>
          <w:i/>
          <w:iCs/>
        </w:rPr>
        <w:t>Kewirausahaan</w:t>
      </w:r>
      <w:proofErr w:type="spellEnd"/>
      <w:r w:rsidRPr="00EE665C">
        <w:rPr>
          <w:rFonts w:ascii="Times New Roman" w:hAnsi="Times New Roman" w:cs="Times New Roman"/>
        </w:rPr>
        <w:t>, 10(2), 23–33.</w:t>
      </w:r>
    </w:p>
    <w:p w14:paraId="7B86BF63"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Museba</w:t>
      </w:r>
      <w:proofErr w:type="spellEnd"/>
      <w:r w:rsidRPr="00EE665C">
        <w:rPr>
          <w:rFonts w:ascii="Times New Roman" w:hAnsi="Times New Roman" w:cs="Times New Roman"/>
        </w:rPr>
        <w:t xml:space="preserve">, T. J., Ranganai, E., &amp; </w:t>
      </w:r>
      <w:proofErr w:type="spellStart"/>
      <w:r w:rsidRPr="00EE665C">
        <w:rPr>
          <w:rFonts w:ascii="Times New Roman" w:hAnsi="Times New Roman" w:cs="Times New Roman"/>
        </w:rPr>
        <w:t>Gianfrate</w:t>
      </w:r>
      <w:proofErr w:type="spellEnd"/>
      <w:r w:rsidRPr="00EE665C">
        <w:rPr>
          <w:rFonts w:ascii="Times New Roman" w:hAnsi="Times New Roman" w:cs="Times New Roman"/>
        </w:rPr>
        <w:t xml:space="preserve">, G. (2021). Customer perception of digital financial services in Uganda. </w:t>
      </w:r>
      <w:r w:rsidRPr="00EE665C">
        <w:rPr>
          <w:rFonts w:ascii="Times New Roman" w:hAnsi="Times New Roman" w:cs="Times New Roman"/>
          <w:i/>
          <w:iCs/>
        </w:rPr>
        <w:t>Journal of Enterprising Communities</w:t>
      </w:r>
      <w:r w:rsidRPr="00EE665C">
        <w:rPr>
          <w:rFonts w:ascii="Times New Roman" w:hAnsi="Times New Roman" w:cs="Times New Roman"/>
        </w:rPr>
        <w:t>, 15(1), 112–130.</w:t>
      </w:r>
    </w:p>
    <w:p w14:paraId="7B693950"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Nayak, K., Singh, P., &amp; Dave, P. (2021). </w:t>
      </w:r>
      <w:proofErr w:type="gramStart"/>
      <w:r w:rsidRPr="00EE665C">
        <w:rPr>
          <w:rFonts w:ascii="Times New Roman" w:hAnsi="Times New Roman" w:cs="Times New Roman"/>
        </w:rPr>
        <w:t>Does</w:t>
      </w:r>
      <w:proofErr w:type="gramEnd"/>
      <w:r w:rsidRPr="00EE665C">
        <w:rPr>
          <w:rFonts w:ascii="Times New Roman" w:hAnsi="Times New Roman" w:cs="Times New Roman"/>
        </w:rPr>
        <w:t xml:space="preserve"> data security and trust affect the users of FinTech? </w:t>
      </w:r>
      <w:r w:rsidRPr="00EE665C">
        <w:rPr>
          <w:rFonts w:ascii="Times New Roman" w:hAnsi="Times New Roman" w:cs="Times New Roman"/>
          <w:i/>
          <w:iCs/>
        </w:rPr>
        <w:t>International Journal of Management</w:t>
      </w:r>
      <w:r w:rsidRPr="00EE665C">
        <w:rPr>
          <w:rFonts w:ascii="Times New Roman" w:hAnsi="Times New Roman" w:cs="Times New Roman"/>
        </w:rPr>
        <w:t xml:space="preserve">, 12(1), 126–137. </w:t>
      </w:r>
    </w:p>
    <w:p w14:paraId="0EC8B81D"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NIBSS. (2023). </w:t>
      </w:r>
      <w:r w:rsidRPr="00EE665C">
        <w:rPr>
          <w:rFonts w:ascii="Times New Roman" w:hAnsi="Times New Roman" w:cs="Times New Roman"/>
          <w:i/>
          <w:iCs/>
        </w:rPr>
        <w:t>Electronic Payment Factsheet: Full-Year Report</w:t>
      </w:r>
      <w:r w:rsidRPr="00EE665C">
        <w:rPr>
          <w:rFonts w:ascii="Times New Roman" w:hAnsi="Times New Roman" w:cs="Times New Roman"/>
        </w:rPr>
        <w:t xml:space="preserve">. Nigeria Inter-Bank Settlement System. </w:t>
      </w:r>
      <w:hyperlink r:id="rId11" w:tgtFrame="_new" w:history="1">
        <w:r w:rsidRPr="00EE665C">
          <w:rPr>
            <w:rStyle w:val="Hyperlink"/>
            <w:rFonts w:ascii="Times New Roman" w:hAnsi="Times New Roman" w:cs="Times New Roman"/>
            <w:color w:val="auto"/>
          </w:rPr>
          <w:t>https://nibss-plc.com.ng</w:t>
        </w:r>
      </w:hyperlink>
    </w:p>
    <w:p w14:paraId="454BE25D"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lastRenderedPageBreak/>
        <w:t xml:space="preserve">Nur, T., </w:t>
      </w:r>
      <w:proofErr w:type="spellStart"/>
      <w:r w:rsidRPr="00EE665C">
        <w:rPr>
          <w:rFonts w:ascii="Times New Roman" w:hAnsi="Times New Roman" w:cs="Times New Roman"/>
        </w:rPr>
        <w:t>Sukamto</w:t>
      </w:r>
      <w:proofErr w:type="spellEnd"/>
      <w:r w:rsidRPr="00EE665C">
        <w:rPr>
          <w:rFonts w:ascii="Times New Roman" w:hAnsi="Times New Roman" w:cs="Times New Roman"/>
        </w:rPr>
        <w:t xml:space="preserve">, A. O., &amp; </w:t>
      </w:r>
      <w:proofErr w:type="spellStart"/>
      <w:r w:rsidRPr="00EE665C">
        <w:rPr>
          <w:rFonts w:ascii="Times New Roman" w:hAnsi="Times New Roman" w:cs="Times New Roman"/>
        </w:rPr>
        <w:t>Chainanda</w:t>
      </w:r>
      <w:proofErr w:type="spellEnd"/>
      <w:r w:rsidRPr="00EE665C">
        <w:rPr>
          <w:rFonts w:ascii="Times New Roman" w:hAnsi="Times New Roman" w:cs="Times New Roman"/>
        </w:rPr>
        <w:t xml:space="preserve">, J. (2024). Empowering Generation Z digitally: The role of financial literacy, social media, and trust in embracing mobile payment. </w:t>
      </w:r>
      <w:r w:rsidRPr="00EE665C">
        <w:rPr>
          <w:rFonts w:ascii="Times New Roman" w:hAnsi="Times New Roman" w:cs="Times New Roman"/>
          <w:i/>
          <w:iCs/>
        </w:rPr>
        <w:t>2024 3rd International Conference on Innovation in Engineering and Technology (ICIET)</w:t>
      </w:r>
      <w:r w:rsidRPr="00EE665C">
        <w:rPr>
          <w:rFonts w:ascii="Times New Roman" w:hAnsi="Times New Roman" w:cs="Times New Roman"/>
        </w:rPr>
        <w:t xml:space="preserve">. </w:t>
      </w:r>
    </w:p>
    <w:p w14:paraId="0B37DB9C"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Nwobu, G. (2022). Expanding digital finance through agency banking in Nigeria. </w:t>
      </w:r>
      <w:r w:rsidRPr="00EE665C">
        <w:rPr>
          <w:rFonts w:ascii="Times New Roman" w:hAnsi="Times New Roman" w:cs="Times New Roman"/>
          <w:i/>
          <w:iCs/>
        </w:rPr>
        <w:t>Journal of Financial Inclusion Strategies</w:t>
      </w:r>
      <w:r w:rsidRPr="00EE665C">
        <w:rPr>
          <w:rFonts w:ascii="Times New Roman" w:hAnsi="Times New Roman" w:cs="Times New Roman"/>
        </w:rPr>
        <w:t>, 5(3), 122–137.</w:t>
      </w:r>
    </w:p>
    <w:p w14:paraId="78F0B0A2"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Ogunyemi, A. (2021). Consumer perception of digital security in Nigeria's mobile banking landscape. </w:t>
      </w:r>
      <w:r w:rsidRPr="00EE665C">
        <w:rPr>
          <w:rFonts w:ascii="Times New Roman" w:hAnsi="Times New Roman" w:cs="Times New Roman"/>
          <w:i/>
          <w:iCs/>
        </w:rPr>
        <w:t>West African Journal of Information Security</w:t>
      </w:r>
      <w:r w:rsidRPr="00EE665C">
        <w:rPr>
          <w:rFonts w:ascii="Times New Roman" w:hAnsi="Times New Roman" w:cs="Times New Roman"/>
        </w:rPr>
        <w:t>, 6(1), 22–39.</w:t>
      </w:r>
    </w:p>
    <w:p w14:paraId="44B52333"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Ogunyemi, B. (2021). Internet infrastructure and mobile money uptake in Nigeria. </w:t>
      </w:r>
      <w:r w:rsidRPr="00EE665C">
        <w:rPr>
          <w:rFonts w:ascii="Times New Roman" w:hAnsi="Times New Roman" w:cs="Times New Roman"/>
          <w:i/>
          <w:iCs/>
        </w:rPr>
        <w:t>Journal of African ICT Development</w:t>
      </w:r>
      <w:r w:rsidRPr="00EE665C">
        <w:rPr>
          <w:rFonts w:ascii="Times New Roman" w:hAnsi="Times New Roman" w:cs="Times New Roman"/>
        </w:rPr>
        <w:t>, 9(2), 54–70.</w:t>
      </w:r>
    </w:p>
    <w:p w14:paraId="7414282D"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Onyeiwu</w:t>
      </w:r>
      <w:proofErr w:type="spellEnd"/>
      <w:r w:rsidRPr="00EE665C">
        <w:rPr>
          <w:rFonts w:ascii="Times New Roman" w:hAnsi="Times New Roman" w:cs="Times New Roman"/>
        </w:rPr>
        <w:t xml:space="preserve">, C., &amp; Igbokwe, E. (2023). Mobile money and digital divide in rural Nigeria. </w:t>
      </w:r>
      <w:r w:rsidRPr="00EE665C">
        <w:rPr>
          <w:rFonts w:ascii="Times New Roman" w:hAnsi="Times New Roman" w:cs="Times New Roman"/>
          <w:i/>
          <w:iCs/>
        </w:rPr>
        <w:t>Journal of Information Technology &amp; People</w:t>
      </w:r>
      <w:r w:rsidRPr="00EE665C">
        <w:rPr>
          <w:rFonts w:ascii="Times New Roman" w:hAnsi="Times New Roman" w:cs="Times New Roman"/>
        </w:rPr>
        <w:t>, 36(2), 178–194.</w:t>
      </w:r>
    </w:p>
    <w:p w14:paraId="44563F95"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Otopah, V., Durojaiye, R., &amp; Musa, A. (2024). Drivers of mobile banking loyalty in Nigeria. </w:t>
      </w:r>
      <w:r w:rsidRPr="00EE665C">
        <w:rPr>
          <w:rFonts w:ascii="Times New Roman" w:hAnsi="Times New Roman" w:cs="Times New Roman"/>
          <w:i/>
          <w:iCs/>
        </w:rPr>
        <w:t>Journal of Retail and Consumer Services</w:t>
      </w:r>
      <w:r w:rsidRPr="00EE665C">
        <w:rPr>
          <w:rFonts w:ascii="Times New Roman" w:hAnsi="Times New Roman" w:cs="Times New Roman"/>
        </w:rPr>
        <w:t>, 81, 103333.</w:t>
      </w:r>
    </w:p>
    <w:p w14:paraId="3BD20D12"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Pervez, S. (2022). Comparative digital finance ecosystems: Insights from India and Africa. </w:t>
      </w:r>
      <w:r w:rsidRPr="00EE665C">
        <w:rPr>
          <w:rFonts w:ascii="Times New Roman" w:hAnsi="Times New Roman" w:cs="Times New Roman"/>
          <w:i/>
          <w:iCs/>
        </w:rPr>
        <w:t>Global South Digital Finance Review</w:t>
      </w:r>
      <w:r w:rsidRPr="00EE665C">
        <w:rPr>
          <w:rFonts w:ascii="Times New Roman" w:hAnsi="Times New Roman" w:cs="Times New Roman"/>
        </w:rPr>
        <w:t>, 11(3), 91–109.</w:t>
      </w:r>
    </w:p>
    <w:p w14:paraId="044C527F" w14:textId="77777777" w:rsidR="00FA53C2" w:rsidRPr="00EE665C" w:rsidRDefault="00FA53C2" w:rsidP="00FA53C2">
      <w:pPr>
        <w:tabs>
          <w:tab w:val="num" w:pos="720"/>
        </w:tabs>
        <w:ind w:left="720" w:hanging="630"/>
        <w:jc w:val="both"/>
        <w:rPr>
          <w:rFonts w:ascii="Times New Roman" w:hAnsi="Times New Roman" w:cs="Times New Roman"/>
        </w:rPr>
      </w:pPr>
      <w:proofErr w:type="spellStart"/>
      <w:r w:rsidRPr="00EE665C">
        <w:rPr>
          <w:rFonts w:ascii="Times New Roman" w:hAnsi="Times New Roman" w:cs="Times New Roman"/>
        </w:rPr>
        <w:t>Purwantini</w:t>
      </w:r>
      <w:proofErr w:type="spellEnd"/>
      <w:r w:rsidRPr="00EE665C">
        <w:rPr>
          <w:rFonts w:ascii="Times New Roman" w:hAnsi="Times New Roman" w:cs="Times New Roman"/>
        </w:rPr>
        <w:t xml:space="preserve">, A. H., &amp; Anisa, F. (2021). FinTech payment adoption among micro-enterprises: The role of perceived risk and trust. </w:t>
      </w:r>
      <w:proofErr w:type="spellStart"/>
      <w:r w:rsidRPr="00EE665C">
        <w:rPr>
          <w:rFonts w:ascii="Times New Roman" w:hAnsi="Times New Roman" w:cs="Times New Roman"/>
          <w:i/>
          <w:iCs/>
        </w:rPr>
        <w:t>Jurnal</w:t>
      </w:r>
      <w:proofErr w:type="spellEnd"/>
      <w:r w:rsidRPr="00EE665C">
        <w:rPr>
          <w:rFonts w:ascii="Times New Roman" w:hAnsi="Times New Roman" w:cs="Times New Roman"/>
          <w:i/>
          <w:iCs/>
        </w:rPr>
        <w:t xml:space="preserve"> Aset (</w:t>
      </w:r>
      <w:proofErr w:type="spellStart"/>
      <w:r w:rsidRPr="00EE665C">
        <w:rPr>
          <w:rFonts w:ascii="Times New Roman" w:hAnsi="Times New Roman" w:cs="Times New Roman"/>
          <w:i/>
          <w:iCs/>
        </w:rPr>
        <w:t>Akuntansi</w:t>
      </w:r>
      <w:proofErr w:type="spellEnd"/>
      <w:r w:rsidRPr="00EE665C">
        <w:rPr>
          <w:rFonts w:ascii="Times New Roman" w:hAnsi="Times New Roman" w:cs="Times New Roman"/>
          <w:i/>
          <w:iCs/>
        </w:rPr>
        <w:t xml:space="preserve"> Riset)</w:t>
      </w:r>
      <w:r w:rsidRPr="00EE665C">
        <w:rPr>
          <w:rFonts w:ascii="Times New Roman" w:hAnsi="Times New Roman" w:cs="Times New Roman"/>
        </w:rPr>
        <w:t xml:space="preserve">, 13(2), 87–98. </w:t>
      </w:r>
    </w:p>
    <w:p w14:paraId="7F057546"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PwC Nigeria. (2023). </w:t>
      </w:r>
      <w:r w:rsidRPr="00EE665C">
        <w:rPr>
          <w:rFonts w:ascii="Times New Roman" w:hAnsi="Times New Roman" w:cs="Times New Roman"/>
          <w:i/>
          <w:iCs/>
        </w:rPr>
        <w:t xml:space="preserve">Nigeria Fintech Outlook: 2023 and </w:t>
      </w:r>
      <w:proofErr w:type="gramStart"/>
      <w:r w:rsidRPr="00EE665C">
        <w:rPr>
          <w:rFonts w:ascii="Times New Roman" w:hAnsi="Times New Roman" w:cs="Times New Roman"/>
          <w:i/>
          <w:iCs/>
        </w:rPr>
        <w:t>Beyond</w:t>
      </w:r>
      <w:proofErr w:type="gramEnd"/>
      <w:r w:rsidRPr="00EE665C">
        <w:rPr>
          <w:rFonts w:ascii="Times New Roman" w:hAnsi="Times New Roman" w:cs="Times New Roman"/>
        </w:rPr>
        <w:t>. https://www.pwc.com/ng</w:t>
      </w:r>
    </w:p>
    <w:p w14:paraId="0F7105E7" w14:textId="77777777" w:rsidR="00FA53C2" w:rsidRPr="00EE665C" w:rsidRDefault="00FA53C2" w:rsidP="00FA53C2">
      <w:pPr>
        <w:ind w:left="720" w:hanging="630"/>
        <w:jc w:val="both"/>
        <w:rPr>
          <w:rFonts w:ascii="Times New Roman" w:hAnsi="Times New Roman" w:cs="Times New Roman"/>
        </w:rPr>
      </w:pPr>
      <w:proofErr w:type="spellStart"/>
      <w:r w:rsidRPr="00EE665C">
        <w:rPr>
          <w:rFonts w:ascii="Times New Roman" w:hAnsi="Times New Roman" w:cs="Times New Roman"/>
        </w:rPr>
        <w:t>Slazus</w:t>
      </w:r>
      <w:proofErr w:type="spellEnd"/>
      <w:r w:rsidRPr="00EE665C">
        <w:rPr>
          <w:rFonts w:ascii="Times New Roman" w:hAnsi="Times New Roman" w:cs="Times New Roman"/>
        </w:rPr>
        <w:t xml:space="preserve">, B. J., &amp; Bick, G. (2022). Factors that influence FinTech adoption in South Africa: A study of consumer </w:t>
      </w:r>
      <w:proofErr w:type="spellStart"/>
      <w:r w:rsidRPr="00EE665C">
        <w:rPr>
          <w:rFonts w:ascii="Times New Roman" w:hAnsi="Times New Roman" w:cs="Times New Roman"/>
        </w:rPr>
        <w:t>behaviour</w:t>
      </w:r>
      <w:proofErr w:type="spellEnd"/>
      <w:r w:rsidRPr="00EE665C">
        <w:rPr>
          <w:rFonts w:ascii="Times New Roman" w:hAnsi="Times New Roman" w:cs="Times New Roman"/>
        </w:rPr>
        <w:t xml:space="preserve"> towards branchless mobile banking. </w:t>
      </w:r>
      <w:r w:rsidRPr="00EE665C">
        <w:rPr>
          <w:rFonts w:ascii="Times New Roman" w:hAnsi="Times New Roman" w:cs="Times New Roman"/>
          <w:i/>
          <w:iCs/>
        </w:rPr>
        <w:t>Athens Journal of Business &amp; Economics</w:t>
      </w:r>
      <w:r w:rsidRPr="00EE665C">
        <w:rPr>
          <w:rFonts w:ascii="Times New Roman" w:hAnsi="Times New Roman" w:cs="Times New Roman"/>
        </w:rPr>
        <w:t>, 8(3), 177–200.</w:t>
      </w:r>
    </w:p>
    <w:p w14:paraId="7DFC31FA"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Smith, L., &amp; Onyekwere, T. (2020). Mobile payments and behavioral shifts in consumer finance: Evidence from Nigeria. </w:t>
      </w:r>
      <w:r w:rsidRPr="00EE665C">
        <w:rPr>
          <w:rFonts w:ascii="Times New Roman" w:hAnsi="Times New Roman" w:cs="Times New Roman"/>
          <w:i/>
          <w:iCs/>
        </w:rPr>
        <w:t>Journal of Financial Technology &amp; Development</w:t>
      </w:r>
      <w:r w:rsidRPr="00EE665C">
        <w:rPr>
          <w:rFonts w:ascii="Times New Roman" w:hAnsi="Times New Roman" w:cs="Times New Roman"/>
        </w:rPr>
        <w:t>, 8(2), 101–118.</w:t>
      </w:r>
    </w:p>
    <w:p w14:paraId="4F163376"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Statista. (2024). </w:t>
      </w:r>
      <w:r w:rsidRPr="00EE665C">
        <w:rPr>
          <w:rFonts w:ascii="Times New Roman" w:hAnsi="Times New Roman" w:cs="Times New Roman"/>
          <w:i/>
          <w:iCs/>
        </w:rPr>
        <w:t>Digital Payments - Nigeria Market Overview</w:t>
      </w:r>
      <w:r w:rsidRPr="00EE665C">
        <w:rPr>
          <w:rFonts w:ascii="Times New Roman" w:hAnsi="Times New Roman" w:cs="Times New Roman"/>
        </w:rPr>
        <w:t xml:space="preserve">. </w:t>
      </w:r>
      <w:hyperlink r:id="rId12" w:tgtFrame="_new" w:history="1">
        <w:r w:rsidRPr="00EE665C">
          <w:rPr>
            <w:rStyle w:val="Hyperlink"/>
            <w:rFonts w:ascii="Times New Roman" w:hAnsi="Times New Roman" w:cs="Times New Roman"/>
            <w:color w:val="auto"/>
          </w:rPr>
          <w:t>https://www.statista.com</w:t>
        </w:r>
      </w:hyperlink>
    </w:p>
    <w:p w14:paraId="21C12896"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Venkatesh, V., &amp; Davis, F. D. (2000). A theoretical extension of the technology acceptance model: Four longitudinal field studies. </w:t>
      </w:r>
      <w:r w:rsidRPr="00EE665C">
        <w:rPr>
          <w:rFonts w:ascii="Times New Roman" w:hAnsi="Times New Roman" w:cs="Times New Roman"/>
          <w:i/>
          <w:iCs/>
        </w:rPr>
        <w:t>Management Science</w:t>
      </w:r>
      <w:r w:rsidRPr="00EE665C">
        <w:rPr>
          <w:rFonts w:ascii="Times New Roman" w:hAnsi="Times New Roman" w:cs="Times New Roman"/>
        </w:rPr>
        <w:t>, 46(2), 186–204.</w:t>
      </w:r>
    </w:p>
    <w:p w14:paraId="0A3EB97E" w14:textId="77777777" w:rsidR="00FA53C2" w:rsidRPr="00EE665C" w:rsidRDefault="00FA53C2" w:rsidP="00FA53C2">
      <w:pPr>
        <w:ind w:left="720" w:hanging="630"/>
        <w:jc w:val="both"/>
        <w:rPr>
          <w:rFonts w:ascii="Times New Roman" w:hAnsi="Times New Roman" w:cs="Times New Roman"/>
        </w:rPr>
      </w:pPr>
      <w:r w:rsidRPr="00EE665C">
        <w:rPr>
          <w:rFonts w:ascii="Times New Roman" w:hAnsi="Times New Roman" w:cs="Times New Roman"/>
        </w:rPr>
        <w:t xml:space="preserve">Yoon, B., Kim, J., You, Y. Y., &amp; Kim, S. (2016). A study on user behaviors for consulting of FinTech companies. </w:t>
      </w:r>
      <w:r w:rsidRPr="00EE665C">
        <w:rPr>
          <w:rFonts w:ascii="Times New Roman" w:hAnsi="Times New Roman" w:cs="Times New Roman"/>
          <w:i/>
          <w:iCs/>
        </w:rPr>
        <w:t>International Journal of Science and Technology</w:t>
      </w:r>
      <w:r w:rsidRPr="00EE665C">
        <w:rPr>
          <w:rFonts w:ascii="Times New Roman" w:hAnsi="Times New Roman" w:cs="Times New Roman"/>
        </w:rPr>
        <w:t>, 26(12), 87–95.</w:t>
      </w:r>
    </w:p>
    <w:p w14:paraId="4EBEB6E9" w14:textId="77777777" w:rsidR="00E16193" w:rsidRPr="00EE665C" w:rsidRDefault="00FA53C2" w:rsidP="00E16193">
      <w:pPr>
        <w:ind w:left="720" w:hanging="630"/>
        <w:jc w:val="both"/>
        <w:rPr>
          <w:rFonts w:ascii="Times New Roman" w:hAnsi="Times New Roman" w:cs="Times New Roman"/>
        </w:rPr>
      </w:pPr>
      <w:r w:rsidRPr="00EE665C">
        <w:rPr>
          <w:rFonts w:ascii="Times New Roman" w:hAnsi="Times New Roman" w:cs="Times New Roman"/>
        </w:rPr>
        <w:t xml:space="preserve">Zhang, L. L., &amp; Kim, H. (2020). The influence of financial service characteristics on use intention through customer satisfaction with mobile FinTech. </w:t>
      </w:r>
      <w:r w:rsidRPr="00EE665C">
        <w:rPr>
          <w:rFonts w:ascii="Times New Roman" w:hAnsi="Times New Roman" w:cs="Times New Roman"/>
          <w:i/>
          <w:iCs/>
        </w:rPr>
        <w:t>Journal of System and Management Sciences</w:t>
      </w:r>
      <w:r w:rsidRPr="00EE665C">
        <w:rPr>
          <w:rFonts w:ascii="Times New Roman" w:hAnsi="Times New Roman" w:cs="Times New Roman"/>
        </w:rPr>
        <w:t>, 10(2), 93–104.</w:t>
      </w:r>
    </w:p>
    <w:p w14:paraId="62690B4D" w14:textId="77777777" w:rsidR="00E16193" w:rsidRPr="00EE665C" w:rsidRDefault="00102B76" w:rsidP="00E16193">
      <w:pPr>
        <w:ind w:left="720" w:hanging="630"/>
        <w:jc w:val="both"/>
        <w:rPr>
          <w:rFonts w:ascii="Times New Roman" w:hAnsi="Times New Roman" w:cs="Times New Roman"/>
        </w:rPr>
      </w:pPr>
      <w:r w:rsidRPr="00EE665C">
        <w:rPr>
          <w:rFonts w:ascii="Times New Roman" w:hAnsi="Times New Roman" w:cs="Times New Roman"/>
        </w:rPr>
        <w:t xml:space="preserve">Chen, T., &amp; Yao, Y. (2018). </w:t>
      </w:r>
      <w:r w:rsidRPr="00EE665C">
        <w:rPr>
          <w:rFonts w:ascii="Times New Roman" w:hAnsi="Times New Roman" w:cs="Times New Roman"/>
          <w:i/>
          <w:iCs/>
        </w:rPr>
        <w:t>Impulsive buying behavior: The role of perceived enjoyment and convenience in mobile shopping</w:t>
      </w:r>
      <w:r w:rsidRPr="00EE665C">
        <w:rPr>
          <w:rFonts w:ascii="Times New Roman" w:hAnsi="Times New Roman" w:cs="Times New Roman"/>
        </w:rPr>
        <w:t xml:space="preserve">. </w:t>
      </w:r>
      <w:r w:rsidRPr="00EE665C">
        <w:rPr>
          <w:rFonts w:ascii="Times New Roman" w:hAnsi="Times New Roman" w:cs="Times New Roman"/>
          <w:i/>
          <w:iCs/>
        </w:rPr>
        <w:t>Journal of Retailing and Consumer Services, 43, 215–223.</w:t>
      </w:r>
    </w:p>
    <w:p w14:paraId="05EFD1BE" w14:textId="77777777" w:rsidR="00E16193" w:rsidRPr="00EE665C" w:rsidRDefault="00102B76" w:rsidP="00E16193">
      <w:pPr>
        <w:ind w:left="720" w:hanging="630"/>
        <w:jc w:val="both"/>
        <w:rPr>
          <w:rFonts w:ascii="Times New Roman" w:hAnsi="Times New Roman" w:cs="Times New Roman"/>
        </w:rPr>
      </w:pPr>
      <w:r w:rsidRPr="00EE665C">
        <w:rPr>
          <w:rFonts w:ascii="Times New Roman" w:hAnsi="Times New Roman" w:cs="Times New Roman"/>
        </w:rPr>
        <w:lastRenderedPageBreak/>
        <w:t xml:space="preserve">Fook, C. Y., &amp; McNeill, L. (2020). </w:t>
      </w:r>
      <w:r w:rsidRPr="00EE665C">
        <w:rPr>
          <w:rFonts w:ascii="Times New Roman" w:hAnsi="Times New Roman" w:cs="Times New Roman"/>
          <w:i/>
          <w:iCs/>
        </w:rPr>
        <w:t>Exploring the role of impulsivity and convenience in online consumption among young adult females</w:t>
      </w:r>
      <w:r w:rsidRPr="00EE665C">
        <w:rPr>
          <w:rFonts w:ascii="Times New Roman" w:hAnsi="Times New Roman" w:cs="Times New Roman"/>
        </w:rPr>
        <w:t xml:space="preserve">. </w:t>
      </w:r>
      <w:r w:rsidRPr="00EE665C">
        <w:rPr>
          <w:rFonts w:ascii="Times New Roman" w:hAnsi="Times New Roman" w:cs="Times New Roman"/>
          <w:i/>
          <w:iCs/>
        </w:rPr>
        <w:t xml:space="preserve">Journal of Consumer </w:t>
      </w:r>
      <w:proofErr w:type="spellStart"/>
      <w:r w:rsidRPr="00EE665C">
        <w:rPr>
          <w:rFonts w:ascii="Times New Roman" w:hAnsi="Times New Roman" w:cs="Times New Roman"/>
          <w:i/>
          <w:iCs/>
        </w:rPr>
        <w:t>Behaviour</w:t>
      </w:r>
      <w:proofErr w:type="spellEnd"/>
      <w:r w:rsidRPr="00EE665C">
        <w:rPr>
          <w:rFonts w:ascii="Times New Roman" w:hAnsi="Times New Roman" w:cs="Times New Roman"/>
          <w:i/>
          <w:iCs/>
        </w:rPr>
        <w:t>, 19(5), 431–445.</w:t>
      </w:r>
    </w:p>
    <w:p w14:paraId="7E1E90EC" w14:textId="77777777" w:rsidR="00E16193" w:rsidRPr="00EE665C" w:rsidRDefault="00102B76" w:rsidP="00E16193">
      <w:pPr>
        <w:ind w:left="720" w:hanging="630"/>
        <w:jc w:val="both"/>
        <w:rPr>
          <w:rFonts w:ascii="Times New Roman" w:hAnsi="Times New Roman" w:cs="Times New Roman"/>
        </w:rPr>
      </w:pPr>
      <w:r w:rsidRPr="00EE665C">
        <w:rPr>
          <w:rFonts w:ascii="Times New Roman" w:hAnsi="Times New Roman" w:cs="Times New Roman"/>
        </w:rPr>
        <w:t xml:space="preserve">Liu, Z., Liu, Y., &amp; Li, M. (2022). </w:t>
      </w:r>
      <w:r w:rsidRPr="00EE665C">
        <w:rPr>
          <w:rFonts w:ascii="Times New Roman" w:hAnsi="Times New Roman" w:cs="Times New Roman"/>
          <w:i/>
          <w:iCs/>
        </w:rPr>
        <w:t>Perceived convenience and instant gratification: Drivers of impulsive buying in e-commerce</w:t>
      </w:r>
      <w:r w:rsidRPr="00EE665C">
        <w:rPr>
          <w:rFonts w:ascii="Times New Roman" w:hAnsi="Times New Roman" w:cs="Times New Roman"/>
        </w:rPr>
        <w:t xml:space="preserve">. </w:t>
      </w:r>
      <w:r w:rsidRPr="00EE665C">
        <w:rPr>
          <w:rFonts w:ascii="Times New Roman" w:hAnsi="Times New Roman" w:cs="Times New Roman"/>
          <w:i/>
          <w:iCs/>
        </w:rPr>
        <w:t>Electronic Commerce Research and Applications, 54, 101170.</w:t>
      </w:r>
    </w:p>
    <w:p w14:paraId="37C38EAA" w14:textId="77777777" w:rsidR="00E16193" w:rsidRPr="00EE665C" w:rsidRDefault="00102B76" w:rsidP="00E16193">
      <w:pPr>
        <w:ind w:left="720" w:hanging="630"/>
        <w:jc w:val="both"/>
        <w:rPr>
          <w:rFonts w:ascii="Times New Roman" w:hAnsi="Times New Roman" w:cs="Times New Roman"/>
        </w:rPr>
      </w:pPr>
      <w:proofErr w:type="spellStart"/>
      <w:r w:rsidRPr="00EE665C">
        <w:rPr>
          <w:rFonts w:ascii="Times New Roman" w:hAnsi="Times New Roman" w:cs="Times New Roman"/>
        </w:rPr>
        <w:t>Noviasari</w:t>
      </w:r>
      <w:proofErr w:type="spellEnd"/>
      <w:r w:rsidRPr="00EE665C">
        <w:rPr>
          <w:rFonts w:ascii="Times New Roman" w:hAnsi="Times New Roman" w:cs="Times New Roman"/>
        </w:rPr>
        <w:t xml:space="preserve">, S., Putri, D., &amp; </w:t>
      </w:r>
      <w:proofErr w:type="spellStart"/>
      <w:r w:rsidRPr="00EE665C">
        <w:rPr>
          <w:rFonts w:ascii="Times New Roman" w:hAnsi="Times New Roman" w:cs="Times New Roman"/>
        </w:rPr>
        <w:t>Rachmawati</w:t>
      </w:r>
      <w:proofErr w:type="spellEnd"/>
      <w:r w:rsidRPr="00EE665C">
        <w:rPr>
          <w:rFonts w:ascii="Times New Roman" w:hAnsi="Times New Roman" w:cs="Times New Roman"/>
        </w:rPr>
        <w:t xml:space="preserve">, F. (2023). </w:t>
      </w:r>
      <w:r w:rsidRPr="00EE665C">
        <w:rPr>
          <w:rFonts w:ascii="Times New Roman" w:hAnsi="Times New Roman" w:cs="Times New Roman"/>
          <w:i/>
          <w:iCs/>
        </w:rPr>
        <w:t>The influence of online shopping convenience on emotional arousal and impulse buying intention</w:t>
      </w:r>
      <w:r w:rsidRPr="00EE665C">
        <w:rPr>
          <w:rFonts w:ascii="Times New Roman" w:hAnsi="Times New Roman" w:cs="Times New Roman"/>
        </w:rPr>
        <w:t>.</w:t>
      </w:r>
      <w:r w:rsidRPr="00EE665C">
        <w:rPr>
          <w:rFonts w:ascii="Times New Roman" w:hAnsi="Times New Roman" w:cs="Times New Roman"/>
          <w:i/>
          <w:iCs/>
        </w:rPr>
        <w:t xml:space="preserve"> International Journal of Business and Society, 24(1), 45–59.</w:t>
      </w:r>
    </w:p>
    <w:p w14:paraId="3AB66A1B" w14:textId="62D24590" w:rsidR="00102B76" w:rsidRPr="00EE665C" w:rsidRDefault="00102B76" w:rsidP="00E16193">
      <w:pPr>
        <w:ind w:left="720" w:hanging="630"/>
        <w:jc w:val="both"/>
        <w:rPr>
          <w:rFonts w:ascii="Times New Roman" w:hAnsi="Times New Roman" w:cs="Times New Roman"/>
        </w:rPr>
      </w:pPr>
      <w:r w:rsidRPr="00EE665C">
        <w:rPr>
          <w:rFonts w:ascii="Times New Roman" w:hAnsi="Times New Roman" w:cs="Times New Roman"/>
        </w:rPr>
        <w:t xml:space="preserve">Verhagen, T., &amp; van Dolen, W. (2011). </w:t>
      </w:r>
      <w:r w:rsidRPr="00EE665C">
        <w:rPr>
          <w:rFonts w:ascii="Times New Roman" w:hAnsi="Times New Roman" w:cs="Times New Roman"/>
          <w:i/>
          <w:iCs/>
        </w:rPr>
        <w:t>The influence of online store beliefs on consumer online impulse buying: A model and empirical application</w:t>
      </w:r>
      <w:r w:rsidRPr="00EE665C">
        <w:rPr>
          <w:rFonts w:ascii="Times New Roman" w:hAnsi="Times New Roman" w:cs="Times New Roman"/>
        </w:rPr>
        <w:t xml:space="preserve">. </w:t>
      </w:r>
      <w:r w:rsidRPr="00EE665C">
        <w:rPr>
          <w:rFonts w:ascii="Times New Roman" w:hAnsi="Times New Roman" w:cs="Times New Roman"/>
          <w:i/>
          <w:iCs/>
        </w:rPr>
        <w:t>Information &amp; Management, 48(8), 320–327.</w:t>
      </w:r>
    </w:p>
    <w:p w14:paraId="1F89D0EB" w14:textId="5000461E" w:rsidR="00B827E3" w:rsidRPr="00EE665C" w:rsidRDefault="00B827E3" w:rsidP="006963C0">
      <w:pPr>
        <w:rPr>
          <w:rFonts w:ascii="Times New Roman" w:hAnsi="Times New Roman" w:cs="Times New Roman"/>
          <w:b/>
          <w:bCs/>
        </w:rPr>
      </w:pPr>
    </w:p>
    <w:sectPr w:rsidR="00B827E3" w:rsidRPr="00EE665C" w:rsidSect="000F7E84">
      <w:headerReference w:type="even" r:id="rId13"/>
      <w:headerReference w:type="default" r:id="rId14"/>
      <w:footerReference w:type="even" r:id="rId15"/>
      <w:footerReference w:type="default" r:id="rId16"/>
      <w:headerReference w:type="first" r:id="rId17"/>
      <w:footerReference w:type="first" r:id="rId18"/>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739FB" w14:textId="77777777" w:rsidR="008F3DED" w:rsidRDefault="008F3DED" w:rsidP="00DC6777">
      <w:pPr>
        <w:spacing w:after="0" w:line="240" w:lineRule="auto"/>
      </w:pPr>
      <w:r>
        <w:separator/>
      </w:r>
    </w:p>
  </w:endnote>
  <w:endnote w:type="continuationSeparator" w:id="0">
    <w:p w14:paraId="0DE07EEC" w14:textId="77777777" w:rsidR="008F3DED" w:rsidRDefault="008F3DED" w:rsidP="00DC6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B0AF" w14:textId="77777777" w:rsidR="00DC6777" w:rsidRDefault="00DC6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003E" w14:textId="77777777" w:rsidR="00DC6777" w:rsidRDefault="00DC6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633D" w14:textId="77777777" w:rsidR="00DC6777" w:rsidRDefault="00DC6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3EA60" w14:textId="77777777" w:rsidR="008F3DED" w:rsidRDefault="008F3DED" w:rsidP="00DC6777">
      <w:pPr>
        <w:spacing w:after="0" w:line="240" w:lineRule="auto"/>
      </w:pPr>
      <w:r>
        <w:separator/>
      </w:r>
    </w:p>
  </w:footnote>
  <w:footnote w:type="continuationSeparator" w:id="0">
    <w:p w14:paraId="62DE598C" w14:textId="77777777" w:rsidR="008F3DED" w:rsidRDefault="008F3DED" w:rsidP="00DC6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6F20C" w14:textId="594585AB" w:rsidR="00DC6777" w:rsidRDefault="00DC6777">
    <w:pPr>
      <w:pStyle w:val="Header"/>
    </w:pPr>
    <w:r>
      <w:rPr>
        <w:noProof/>
      </w:rPr>
      <w:pict w14:anchorId="5FAF0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570766" o:spid="_x0000_s1026" type="#_x0000_t136" style="position:absolute;margin-left:0;margin-top:0;width:576.95pt;height:108.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E74F" w14:textId="1FC9A0D0" w:rsidR="00DC6777" w:rsidRDefault="00DC6777">
    <w:pPr>
      <w:pStyle w:val="Header"/>
    </w:pPr>
    <w:r>
      <w:rPr>
        <w:noProof/>
      </w:rPr>
      <w:pict w14:anchorId="03564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570767" o:spid="_x0000_s1027" type="#_x0000_t136" style="position:absolute;margin-left:0;margin-top:0;width:576.95pt;height:108.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53C2B" w14:textId="44672CAB" w:rsidR="00DC6777" w:rsidRDefault="00DC6777">
    <w:pPr>
      <w:pStyle w:val="Header"/>
    </w:pPr>
    <w:r>
      <w:rPr>
        <w:noProof/>
      </w:rPr>
      <w:pict w14:anchorId="58B575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570765" o:spid="_x0000_s1025" type="#_x0000_t136" style="position:absolute;margin-left:0;margin-top:0;width:576.95pt;height:108.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64BC"/>
    <w:multiLevelType w:val="multilevel"/>
    <w:tmpl w:val="AF76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31D61"/>
    <w:multiLevelType w:val="multilevel"/>
    <w:tmpl w:val="8138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053B8"/>
    <w:multiLevelType w:val="hybridMultilevel"/>
    <w:tmpl w:val="136800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F3DCD"/>
    <w:multiLevelType w:val="multilevel"/>
    <w:tmpl w:val="4978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1E5168"/>
    <w:multiLevelType w:val="hybridMultilevel"/>
    <w:tmpl w:val="422AD75A"/>
    <w:lvl w:ilvl="0" w:tplc="629EDE5E">
      <w:start w:val="1"/>
      <w:numFmt w:val="lowerLetter"/>
      <w:lvlText w:val="%1."/>
      <w:lvlJc w:val="left"/>
      <w:pPr>
        <w:ind w:left="420" w:hanging="360"/>
      </w:pPr>
      <w:rPr>
        <w:rFonts w:ascii="Arial" w:hAnsi="Arial" w:cs="Arial" w:hint="default"/>
        <w:color w:val="010205"/>
        <w:sz w:val="1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757E2F5D"/>
    <w:multiLevelType w:val="multilevel"/>
    <w:tmpl w:val="61989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7C1EEC"/>
    <w:multiLevelType w:val="multilevel"/>
    <w:tmpl w:val="0D2E2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2952342">
    <w:abstractNumId w:val="0"/>
  </w:num>
  <w:num w:numId="2" w16cid:durableId="1684016497">
    <w:abstractNumId w:val="5"/>
  </w:num>
  <w:num w:numId="3" w16cid:durableId="84229013">
    <w:abstractNumId w:val="3"/>
  </w:num>
  <w:num w:numId="4" w16cid:durableId="1717851370">
    <w:abstractNumId w:val="1"/>
  </w:num>
  <w:num w:numId="5" w16cid:durableId="269090816">
    <w:abstractNumId w:val="6"/>
  </w:num>
  <w:num w:numId="6" w16cid:durableId="1254901800">
    <w:abstractNumId w:val="4"/>
  </w:num>
  <w:num w:numId="7" w16cid:durableId="120343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0CF"/>
    <w:rsid w:val="00020878"/>
    <w:rsid w:val="00084026"/>
    <w:rsid w:val="00094BA1"/>
    <w:rsid w:val="000B7E5E"/>
    <w:rsid w:val="000C2A52"/>
    <w:rsid w:val="000E7B3D"/>
    <w:rsid w:val="000F7E84"/>
    <w:rsid w:val="00102B76"/>
    <w:rsid w:val="00115BFE"/>
    <w:rsid w:val="00157DE7"/>
    <w:rsid w:val="00166705"/>
    <w:rsid w:val="00186E38"/>
    <w:rsid w:val="00191CA9"/>
    <w:rsid w:val="001957F8"/>
    <w:rsid w:val="001B462A"/>
    <w:rsid w:val="001B62EF"/>
    <w:rsid w:val="002274FD"/>
    <w:rsid w:val="00237DAD"/>
    <w:rsid w:val="00256CBB"/>
    <w:rsid w:val="00283325"/>
    <w:rsid w:val="002B5248"/>
    <w:rsid w:val="002C7A50"/>
    <w:rsid w:val="002E18DA"/>
    <w:rsid w:val="002E2F48"/>
    <w:rsid w:val="002E4B85"/>
    <w:rsid w:val="00305B0B"/>
    <w:rsid w:val="00327E2D"/>
    <w:rsid w:val="00386684"/>
    <w:rsid w:val="003945AD"/>
    <w:rsid w:val="003B2DFD"/>
    <w:rsid w:val="003C0DF4"/>
    <w:rsid w:val="003E1DAF"/>
    <w:rsid w:val="003F6B49"/>
    <w:rsid w:val="00413350"/>
    <w:rsid w:val="00413BFA"/>
    <w:rsid w:val="0041689C"/>
    <w:rsid w:val="00427132"/>
    <w:rsid w:val="004329D2"/>
    <w:rsid w:val="00473C5C"/>
    <w:rsid w:val="004864BA"/>
    <w:rsid w:val="004C1508"/>
    <w:rsid w:val="0052628E"/>
    <w:rsid w:val="0053613F"/>
    <w:rsid w:val="0054433E"/>
    <w:rsid w:val="0054662C"/>
    <w:rsid w:val="00586789"/>
    <w:rsid w:val="005974FF"/>
    <w:rsid w:val="005A2920"/>
    <w:rsid w:val="005C576A"/>
    <w:rsid w:val="00600DC6"/>
    <w:rsid w:val="00601EE2"/>
    <w:rsid w:val="00613DB2"/>
    <w:rsid w:val="00617B31"/>
    <w:rsid w:val="00635DA8"/>
    <w:rsid w:val="006615D4"/>
    <w:rsid w:val="00681F66"/>
    <w:rsid w:val="006963C0"/>
    <w:rsid w:val="006974C1"/>
    <w:rsid w:val="006C399B"/>
    <w:rsid w:val="006D6584"/>
    <w:rsid w:val="006E7D00"/>
    <w:rsid w:val="006F3624"/>
    <w:rsid w:val="00724191"/>
    <w:rsid w:val="00735D01"/>
    <w:rsid w:val="007377F2"/>
    <w:rsid w:val="00751F08"/>
    <w:rsid w:val="00753D84"/>
    <w:rsid w:val="0078084A"/>
    <w:rsid w:val="007A3543"/>
    <w:rsid w:val="007D62F6"/>
    <w:rsid w:val="007E00BB"/>
    <w:rsid w:val="007E35D8"/>
    <w:rsid w:val="0080462D"/>
    <w:rsid w:val="00822C02"/>
    <w:rsid w:val="008337A0"/>
    <w:rsid w:val="008402A5"/>
    <w:rsid w:val="008717D1"/>
    <w:rsid w:val="00891CBB"/>
    <w:rsid w:val="008B559A"/>
    <w:rsid w:val="008D4BC9"/>
    <w:rsid w:val="008F3DED"/>
    <w:rsid w:val="0090167D"/>
    <w:rsid w:val="009164D1"/>
    <w:rsid w:val="00921367"/>
    <w:rsid w:val="00921C7C"/>
    <w:rsid w:val="00925DC5"/>
    <w:rsid w:val="009260FB"/>
    <w:rsid w:val="00926BE9"/>
    <w:rsid w:val="00947456"/>
    <w:rsid w:val="00957CFA"/>
    <w:rsid w:val="009B3039"/>
    <w:rsid w:val="009C164A"/>
    <w:rsid w:val="009C1C08"/>
    <w:rsid w:val="009D65F7"/>
    <w:rsid w:val="00A27417"/>
    <w:rsid w:val="00A50BB4"/>
    <w:rsid w:val="00A510CF"/>
    <w:rsid w:val="00A64FB6"/>
    <w:rsid w:val="00A933B5"/>
    <w:rsid w:val="00AA2D6E"/>
    <w:rsid w:val="00AB51C1"/>
    <w:rsid w:val="00AB77B4"/>
    <w:rsid w:val="00AE15BA"/>
    <w:rsid w:val="00AF675A"/>
    <w:rsid w:val="00B33650"/>
    <w:rsid w:val="00B827E3"/>
    <w:rsid w:val="00BA0470"/>
    <w:rsid w:val="00BB42E5"/>
    <w:rsid w:val="00BC2624"/>
    <w:rsid w:val="00C57C8D"/>
    <w:rsid w:val="00C93440"/>
    <w:rsid w:val="00CC2C5A"/>
    <w:rsid w:val="00D07EA3"/>
    <w:rsid w:val="00D2604F"/>
    <w:rsid w:val="00D432B5"/>
    <w:rsid w:val="00D62994"/>
    <w:rsid w:val="00D775A7"/>
    <w:rsid w:val="00D81A5C"/>
    <w:rsid w:val="00D956B3"/>
    <w:rsid w:val="00DC2D42"/>
    <w:rsid w:val="00DC6777"/>
    <w:rsid w:val="00E115F0"/>
    <w:rsid w:val="00E16193"/>
    <w:rsid w:val="00E165F2"/>
    <w:rsid w:val="00E5652D"/>
    <w:rsid w:val="00E607FA"/>
    <w:rsid w:val="00E65D3C"/>
    <w:rsid w:val="00E82F8E"/>
    <w:rsid w:val="00EE3B26"/>
    <w:rsid w:val="00EE665C"/>
    <w:rsid w:val="00F216A5"/>
    <w:rsid w:val="00F24EEB"/>
    <w:rsid w:val="00F31EAB"/>
    <w:rsid w:val="00F342C0"/>
    <w:rsid w:val="00F44565"/>
    <w:rsid w:val="00F51BFF"/>
    <w:rsid w:val="00F729F1"/>
    <w:rsid w:val="00F93C81"/>
    <w:rsid w:val="00F94332"/>
    <w:rsid w:val="00F977C9"/>
    <w:rsid w:val="00FA53C2"/>
    <w:rsid w:val="00FD2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154803"/>
  <w15:chartTrackingRefBased/>
  <w15:docId w15:val="{6C934A40-7EDC-4236-A5B1-FD52C569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10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10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10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10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10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1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0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10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10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10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10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1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0CF"/>
    <w:rPr>
      <w:rFonts w:eastAsiaTheme="majorEastAsia" w:cstheme="majorBidi"/>
      <w:color w:val="272727" w:themeColor="text1" w:themeTint="D8"/>
    </w:rPr>
  </w:style>
  <w:style w:type="paragraph" w:styleId="Title">
    <w:name w:val="Title"/>
    <w:basedOn w:val="Normal"/>
    <w:next w:val="Normal"/>
    <w:link w:val="TitleChar"/>
    <w:uiPriority w:val="10"/>
    <w:qFormat/>
    <w:rsid w:val="00A51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0CF"/>
    <w:pPr>
      <w:spacing w:before="160"/>
      <w:jc w:val="center"/>
    </w:pPr>
    <w:rPr>
      <w:i/>
      <w:iCs/>
      <w:color w:val="404040" w:themeColor="text1" w:themeTint="BF"/>
    </w:rPr>
  </w:style>
  <w:style w:type="character" w:customStyle="1" w:styleId="QuoteChar">
    <w:name w:val="Quote Char"/>
    <w:basedOn w:val="DefaultParagraphFont"/>
    <w:link w:val="Quote"/>
    <w:uiPriority w:val="29"/>
    <w:rsid w:val="00A510CF"/>
    <w:rPr>
      <w:i/>
      <w:iCs/>
      <w:color w:val="404040" w:themeColor="text1" w:themeTint="BF"/>
    </w:rPr>
  </w:style>
  <w:style w:type="paragraph" w:styleId="ListParagraph">
    <w:name w:val="List Paragraph"/>
    <w:basedOn w:val="Normal"/>
    <w:uiPriority w:val="34"/>
    <w:qFormat/>
    <w:rsid w:val="00A510CF"/>
    <w:pPr>
      <w:ind w:left="720"/>
      <w:contextualSpacing/>
    </w:pPr>
  </w:style>
  <w:style w:type="character" w:styleId="IntenseEmphasis">
    <w:name w:val="Intense Emphasis"/>
    <w:basedOn w:val="DefaultParagraphFont"/>
    <w:uiPriority w:val="21"/>
    <w:qFormat/>
    <w:rsid w:val="00A510CF"/>
    <w:rPr>
      <w:i/>
      <w:iCs/>
      <w:color w:val="2F5496" w:themeColor="accent1" w:themeShade="BF"/>
    </w:rPr>
  </w:style>
  <w:style w:type="paragraph" w:styleId="IntenseQuote">
    <w:name w:val="Intense Quote"/>
    <w:basedOn w:val="Normal"/>
    <w:next w:val="Normal"/>
    <w:link w:val="IntenseQuoteChar"/>
    <w:uiPriority w:val="30"/>
    <w:qFormat/>
    <w:rsid w:val="00A510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10CF"/>
    <w:rPr>
      <w:i/>
      <w:iCs/>
      <w:color w:val="2F5496" w:themeColor="accent1" w:themeShade="BF"/>
    </w:rPr>
  </w:style>
  <w:style w:type="character" w:styleId="IntenseReference">
    <w:name w:val="Intense Reference"/>
    <w:basedOn w:val="DefaultParagraphFont"/>
    <w:uiPriority w:val="32"/>
    <w:qFormat/>
    <w:rsid w:val="00A510CF"/>
    <w:rPr>
      <w:b/>
      <w:bCs/>
      <w:smallCaps/>
      <w:color w:val="2F5496" w:themeColor="accent1" w:themeShade="BF"/>
      <w:spacing w:val="5"/>
    </w:rPr>
  </w:style>
  <w:style w:type="character" w:styleId="Hyperlink">
    <w:name w:val="Hyperlink"/>
    <w:basedOn w:val="DefaultParagraphFont"/>
    <w:uiPriority w:val="99"/>
    <w:unhideWhenUsed/>
    <w:rsid w:val="00926BE9"/>
    <w:rPr>
      <w:color w:val="0563C1" w:themeColor="hyperlink"/>
      <w:u w:val="single"/>
    </w:rPr>
  </w:style>
  <w:style w:type="character" w:customStyle="1" w:styleId="UnresolvedMention1">
    <w:name w:val="Unresolved Mention1"/>
    <w:basedOn w:val="DefaultParagraphFont"/>
    <w:uiPriority w:val="99"/>
    <w:semiHidden/>
    <w:unhideWhenUsed/>
    <w:rsid w:val="00926BE9"/>
    <w:rPr>
      <w:color w:val="605E5C"/>
      <w:shd w:val="clear" w:color="auto" w:fill="E1DFDD"/>
    </w:rPr>
  </w:style>
  <w:style w:type="paragraph" w:styleId="NormalWeb">
    <w:name w:val="Normal (Web)"/>
    <w:basedOn w:val="Normal"/>
    <w:uiPriority w:val="99"/>
    <w:semiHidden/>
    <w:unhideWhenUsed/>
    <w:rsid w:val="00A50BB4"/>
    <w:rPr>
      <w:rFonts w:ascii="Times New Roman" w:hAnsi="Times New Roman" w:cs="Times New Roman"/>
    </w:rPr>
  </w:style>
  <w:style w:type="table" w:styleId="TableGrid">
    <w:name w:val="Table Grid"/>
    <w:basedOn w:val="TableNormal"/>
    <w:uiPriority w:val="39"/>
    <w:rsid w:val="000F7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h-inline">
    <w:name w:val="math-inline"/>
    <w:basedOn w:val="DefaultParagraphFont"/>
    <w:rsid w:val="00D81A5C"/>
  </w:style>
  <w:style w:type="paragraph" w:customStyle="1" w:styleId="pdq2pgselectionanchorcontainer">
    <w:name w:val="pdq2pg_selectionanchorcontainer"/>
    <w:basedOn w:val="Normal"/>
    <w:rsid w:val="00AE15B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E15BA"/>
    <w:rPr>
      <w:b/>
      <w:bCs/>
    </w:rPr>
  </w:style>
  <w:style w:type="character" w:styleId="UnresolvedMention">
    <w:name w:val="Unresolved Mention"/>
    <w:basedOn w:val="DefaultParagraphFont"/>
    <w:uiPriority w:val="99"/>
    <w:semiHidden/>
    <w:unhideWhenUsed/>
    <w:rsid w:val="00EE3B26"/>
    <w:rPr>
      <w:color w:val="605E5C"/>
      <w:shd w:val="clear" w:color="auto" w:fill="E1DFDD"/>
    </w:rPr>
  </w:style>
  <w:style w:type="paragraph" w:styleId="Header">
    <w:name w:val="header"/>
    <w:basedOn w:val="Normal"/>
    <w:link w:val="HeaderChar"/>
    <w:uiPriority w:val="99"/>
    <w:unhideWhenUsed/>
    <w:rsid w:val="00DC6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777"/>
  </w:style>
  <w:style w:type="paragraph" w:styleId="Footer">
    <w:name w:val="footer"/>
    <w:basedOn w:val="Normal"/>
    <w:link w:val="FooterChar"/>
    <w:uiPriority w:val="99"/>
    <w:unhideWhenUsed/>
    <w:rsid w:val="00DC6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8988">
      <w:bodyDiv w:val="1"/>
      <w:marLeft w:val="0"/>
      <w:marRight w:val="0"/>
      <w:marTop w:val="0"/>
      <w:marBottom w:val="0"/>
      <w:divBdr>
        <w:top w:val="none" w:sz="0" w:space="0" w:color="auto"/>
        <w:left w:val="none" w:sz="0" w:space="0" w:color="auto"/>
        <w:bottom w:val="none" w:sz="0" w:space="0" w:color="auto"/>
        <w:right w:val="none" w:sz="0" w:space="0" w:color="auto"/>
      </w:divBdr>
    </w:div>
    <w:div w:id="48697475">
      <w:bodyDiv w:val="1"/>
      <w:marLeft w:val="0"/>
      <w:marRight w:val="0"/>
      <w:marTop w:val="0"/>
      <w:marBottom w:val="0"/>
      <w:divBdr>
        <w:top w:val="none" w:sz="0" w:space="0" w:color="auto"/>
        <w:left w:val="none" w:sz="0" w:space="0" w:color="auto"/>
        <w:bottom w:val="none" w:sz="0" w:space="0" w:color="auto"/>
        <w:right w:val="none" w:sz="0" w:space="0" w:color="auto"/>
      </w:divBdr>
    </w:div>
    <w:div w:id="153449670">
      <w:bodyDiv w:val="1"/>
      <w:marLeft w:val="0"/>
      <w:marRight w:val="0"/>
      <w:marTop w:val="0"/>
      <w:marBottom w:val="0"/>
      <w:divBdr>
        <w:top w:val="none" w:sz="0" w:space="0" w:color="auto"/>
        <w:left w:val="none" w:sz="0" w:space="0" w:color="auto"/>
        <w:bottom w:val="none" w:sz="0" w:space="0" w:color="auto"/>
        <w:right w:val="none" w:sz="0" w:space="0" w:color="auto"/>
      </w:divBdr>
    </w:div>
    <w:div w:id="269364777">
      <w:bodyDiv w:val="1"/>
      <w:marLeft w:val="0"/>
      <w:marRight w:val="0"/>
      <w:marTop w:val="0"/>
      <w:marBottom w:val="0"/>
      <w:divBdr>
        <w:top w:val="none" w:sz="0" w:space="0" w:color="auto"/>
        <w:left w:val="none" w:sz="0" w:space="0" w:color="auto"/>
        <w:bottom w:val="none" w:sz="0" w:space="0" w:color="auto"/>
        <w:right w:val="none" w:sz="0" w:space="0" w:color="auto"/>
      </w:divBdr>
    </w:div>
    <w:div w:id="313728209">
      <w:bodyDiv w:val="1"/>
      <w:marLeft w:val="0"/>
      <w:marRight w:val="0"/>
      <w:marTop w:val="0"/>
      <w:marBottom w:val="0"/>
      <w:divBdr>
        <w:top w:val="none" w:sz="0" w:space="0" w:color="auto"/>
        <w:left w:val="none" w:sz="0" w:space="0" w:color="auto"/>
        <w:bottom w:val="none" w:sz="0" w:space="0" w:color="auto"/>
        <w:right w:val="none" w:sz="0" w:space="0" w:color="auto"/>
      </w:divBdr>
    </w:div>
    <w:div w:id="320088963">
      <w:bodyDiv w:val="1"/>
      <w:marLeft w:val="0"/>
      <w:marRight w:val="0"/>
      <w:marTop w:val="0"/>
      <w:marBottom w:val="0"/>
      <w:divBdr>
        <w:top w:val="none" w:sz="0" w:space="0" w:color="auto"/>
        <w:left w:val="none" w:sz="0" w:space="0" w:color="auto"/>
        <w:bottom w:val="none" w:sz="0" w:space="0" w:color="auto"/>
        <w:right w:val="none" w:sz="0" w:space="0" w:color="auto"/>
      </w:divBdr>
    </w:div>
    <w:div w:id="331375398">
      <w:bodyDiv w:val="1"/>
      <w:marLeft w:val="0"/>
      <w:marRight w:val="0"/>
      <w:marTop w:val="0"/>
      <w:marBottom w:val="0"/>
      <w:divBdr>
        <w:top w:val="none" w:sz="0" w:space="0" w:color="auto"/>
        <w:left w:val="none" w:sz="0" w:space="0" w:color="auto"/>
        <w:bottom w:val="none" w:sz="0" w:space="0" w:color="auto"/>
        <w:right w:val="none" w:sz="0" w:space="0" w:color="auto"/>
      </w:divBdr>
    </w:div>
    <w:div w:id="365257687">
      <w:bodyDiv w:val="1"/>
      <w:marLeft w:val="0"/>
      <w:marRight w:val="0"/>
      <w:marTop w:val="0"/>
      <w:marBottom w:val="0"/>
      <w:divBdr>
        <w:top w:val="none" w:sz="0" w:space="0" w:color="auto"/>
        <w:left w:val="none" w:sz="0" w:space="0" w:color="auto"/>
        <w:bottom w:val="none" w:sz="0" w:space="0" w:color="auto"/>
        <w:right w:val="none" w:sz="0" w:space="0" w:color="auto"/>
      </w:divBdr>
    </w:div>
    <w:div w:id="407114841">
      <w:bodyDiv w:val="1"/>
      <w:marLeft w:val="0"/>
      <w:marRight w:val="0"/>
      <w:marTop w:val="0"/>
      <w:marBottom w:val="0"/>
      <w:divBdr>
        <w:top w:val="none" w:sz="0" w:space="0" w:color="auto"/>
        <w:left w:val="none" w:sz="0" w:space="0" w:color="auto"/>
        <w:bottom w:val="none" w:sz="0" w:space="0" w:color="auto"/>
        <w:right w:val="none" w:sz="0" w:space="0" w:color="auto"/>
      </w:divBdr>
    </w:div>
    <w:div w:id="478616783">
      <w:bodyDiv w:val="1"/>
      <w:marLeft w:val="0"/>
      <w:marRight w:val="0"/>
      <w:marTop w:val="0"/>
      <w:marBottom w:val="0"/>
      <w:divBdr>
        <w:top w:val="none" w:sz="0" w:space="0" w:color="auto"/>
        <w:left w:val="none" w:sz="0" w:space="0" w:color="auto"/>
        <w:bottom w:val="none" w:sz="0" w:space="0" w:color="auto"/>
        <w:right w:val="none" w:sz="0" w:space="0" w:color="auto"/>
      </w:divBdr>
    </w:div>
    <w:div w:id="516040940">
      <w:bodyDiv w:val="1"/>
      <w:marLeft w:val="0"/>
      <w:marRight w:val="0"/>
      <w:marTop w:val="0"/>
      <w:marBottom w:val="0"/>
      <w:divBdr>
        <w:top w:val="none" w:sz="0" w:space="0" w:color="auto"/>
        <w:left w:val="none" w:sz="0" w:space="0" w:color="auto"/>
        <w:bottom w:val="none" w:sz="0" w:space="0" w:color="auto"/>
        <w:right w:val="none" w:sz="0" w:space="0" w:color="auto"/>
      </w:divBdr>
    </w:div>
    <w:div w:id="562717168">
      <w:bodyDiv w:val="1"/>
      <w:marLeft w:val="0"/>
      <w:marRight w:val="0"/>
      <w:marTop w:val="0"/>
      <w:marBottom w:val="0"/>
      <w:divBdr>
        <w:top w:val="none" w:sz="0" w:space="0" w:color="auto"/>
        <w:left w:val="none" w:sz="0" w:space="0" w:color="auto"/>
        <w:bottom w:val="none" w:sz="0" w:space="0" w:color="auto"/>
        <w:right w:val="none" w:sz="0" w:space="0" w:color="auto"/>
      </w:divBdr>
    </w:div>
    <w:div w:id="575668671">
      <w:bodyDiv w:val="1"/>
      <w:marLeft w:val="0"/>
      <w:marRight w:val="0"/>
      <w:marTop w:val="0"/>
      <w:marBottom w:val="0"/>
      <w:divBdr>
        <w:top w:val="none" w:sz="0" w:space="0" w:color="auto"/>
        <w:left w:val="none" w:sz="0" w:space="0" w:color="auto"/>
        <w:bottom w:val="none" w:sz="0" w:space="0" w:color="auto"/>
        <w:right w:val="none" w:sz="0" w:space="0" w:color="auto"/>
      </w:divBdr>
      <w:divsChild>
        <w:div w:id="1515415924">
          <w:marLeft w:val="0"/>
          <w:marRight w:val="0"/>
          <w:marTop w:val="0"/>
          <w:marBottom w:val="0"/>
          <w:divBdr>
            <w:top w:val="none" w:sz="0" w:space="0" w:color="auto"/>
            <w:left w:val="none" w:sz="0" w:space="0" w:color="auto"/>
            <w:bottom w:val="none" w:sz="0" w:space="0" w:color="auto"/>
            <w:right w:val="none" w:sz="0" w:space="0" w:color="auto"/>
          </w:divBdr>
          <w:divsChild>
            <w:div w:id="1746411831">
              <w:marLeft w:val="0"/>
              <w:marRight w:val="0"/>
              <w:marTop w:val="0"/>
              <w:marBottom w:val="0"/>
              <w:divBdr>
                <w:top w:val="single" w:sz="6" w:space="4" w:color="DDDDDD"/>
                <w:left w:val="single" w:sz="6" w:space="4" w:color="DDDDDD"/>
                <w:bottom w:val="single" w:sz="6" w:space="4" w:color="DDDDDD"/>
                <w:right w:val="single" w:sz="6" w:space="4" w:color="DDDDDD"/>
              </w:divBdr>
              <w:divsChild>
                <w:div w:id="186096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239908">
      <w:bodyDiv w:val="1"/>
      <w:marLeft w:val="0"/>
      <w:marRight w:val="0"/>
      <w:marTop w:val="0"/>
      <w:marBottom w:val="0"/>
      <w:divBdr>
        <w:top w:val="none" w:sz="0" w:space="0" w:color="auto"/>
        <w:left w:val="none" w:sz="0" w:space="0" w:color="auto"/>
        <w:bottom w:val="none" w:sz="0" w:space="0" w:color="auto"/>
        <w:right w:val="none" w:sz="0" w:space="0" w:color="auto"/>
      </w:divBdr>
    </w:div>
    <w:div w:id="712578922">
      <w:bodyDiv w:val="1"/>
      <w:marLeft w:val="0"/>
      <w:marRight w:val="0"/>
      <w:marTop w:val="0"/>
      <w:marBottom w:val="0"/>
      <w:divBdr>
        <w:top w:val="none" w:sz="0" w:space="0" w:color="auto"/>
        <w:left w:val="none" w:sz="0" w:space="0" w:color="auto"/>
        <w:bottom w:val="none" w:sz="0" w:space="0" w:color="auto"/>
        <w:right w:val="none" w:sz="0" w:space="0" w:color="auto"/>
      </w:divBdr>
    </w:div>
    <w:div w:id="785344713">
      <w:bodyDiv w:val="1"/>
      <w:marLeft w:val="0"/>
      <w:marRight w:val="0"/>
      <w:marTop w:val="0"/>
      <w:marBottom w:val="0"/>
      <w:divBdr>
        <w:top w:val="none" w:sz="0" w:space="0" w:color="auto"/>
        <w:left w:val="none" w:sz="0" w:space="0" w:color="auto"/>
        <w:bottom w:val="none" w:sz="0" w:space="0" w:color="auto"/>
        <w:right w:val="none" w:sz="0" w:space="0" w:color="auto"/>
      </w:divBdr>
    </w:div>
    <w:div w:id="808397013">
      <w:bodyDiv w:val="1"/>
      <w:marLeft w:val="0"/>
      <w:marRight w:val="0"/>
      <w:marTop w:val="0"/>
      <w:marBottom w:val="0"/>
      <w:divBdr>
        <w:top w:val="none" w:sz="0" w:space="0" w:color="auto"/>
        <w:left w:val="none" w:sz="0" w:space="0" w:color="auto"/>
        <w:bottom w:val="none" w:sz="0" w:space="0" w:color="auto"/>
        <w:right w:val="none" w:sz="0" w:space="0" w:color="auto"/>
      </w:divBdr>
    </w:div>
    <w:div w:id="880093386">
      <w:bodyDiv w:val="1"/>
      <w:marLeft w:val="0"/>
      <w:marRight w:val="0"/>
      <w:marTop w:val="0"/>
      <w:marBottom w:val="0"/>
      <w:divBdr>
        <w:top w:val="none" w:sz="0" w:space="0" w:color="auto"/>
        <w:left w:val="none" w:sz="0" w:space="0" w:color="auto"/>
        <w:bottom w:val="none" w:sz="0" w:space="0" w:color="auto"/>
        <w:right w:val="none" w:sz="0" w:space="0" w:color="auto"/>
      </w:divBdr>
    </w:div>
    <w:div w:id="901137585">
      <w:bodyDiv w:val="1"/>
      <w:marLeft w:val="0"/>
      <w:marRight w:val="0"/>
      <w:marTop w:val="0"/>
      <w:marBottom w:val="0"/>
      <w:divBdr>
        <w:top w:val="none" w:sz="0" w:space="0" w:color="auto"/>
        <w:left w:val="none" w:sz="0" w:space="0" w:color="auto"/>
        <w:bottom w:val="none" w:sz="0" w:space="0" w:color="auto"/>
        <w:right w:val="none" w:sz="0" w:space="0" w:color="auto"/>
      </w:divBdr>
    </w:div>
    <w:div w:id="947002465">
      <w:bodyDiv w:val="1"/>
      <w:marLeft w:val="0"/>
      <w:marRight w:val="0"/>
      <w:marTop w:val="0"/>
      <w:marBottom w:val="0"/>
      <w:divBdr>
        <w:top w:val="none" w:sz="0" w:space="0" w:color="auto"/>
        <w:left w:val="none" w:sz="0" w:space="0" w:color="auto"/>
        <w:bottom w:val="none" w:sz="0" w:space="0" w:color="auto"/>
        <w:right w:val="none" w:sz="0" w:space="0" w:color="auto"/>
      </w:divBdr>
    </w:div>
    <w:div w:id="976029019">
      <w:bodyDiv w:val="1"/>
      <w:marLeft w:val="0"/>
      <w:marRight w:val="0"/>
      <w:marTop w:val="0"/>
      <w:marBottom w:val="0"/>
      <w:divBdr>
        <w:top w:val="none" w:sz="0" w:space="0" w:color="auto"/>
        <w:left w:val="none" w:sz="0" w:space="0" w:color="auto"/>
        <w:bottom w:val="none" w:sz="0" w:space="0" w:color="auto"/>
        <w:right w:val="none" w:sz="0" w:space="0" w:color="auto"/>
      </w:divBdr>
    </w:div>
    <w:div w:id="1024090773">
      <w:bodyDiv w:val="1"/>
      <w:marLeft w:val="0"/>
      <w:marRight w:val="0"/>
      <w:marTop w:val="0"/>
      <w:marBottom w:val="0"/>
      <w:divBdr>
        <w:top w:val="none" w:sz="0" w:space="0" w:color="auto"/>
        <w:left w:val="none" w:sz="0" w:space="0" w:color="auto"/>
        <w:bottom w:val="none" w:sz="0" w:space="0" w:color="auto"/>
        <w:right w:val="none" w:sz="0" w:space="0" w:color="auto"/>
      </w:divBdr>
    </w:div>
    <w:div w:id="1038623986">
      <w:bodyDiv w:val="1"/>
      <w:marLeft w:val="0"/>
      <w:marRight w:val="0"/>
      <w:marTop w:val="0"/>
      <w:marBottom w:val="0"/>
      <w:divBdr>
        <w:top w:val="none" w:sz="0" w:space="0" w:color="auto"/>
        <w:left w:val="none" w:sz="0" w:space="0" w:color="auto"/>
        <w:bottom w:val="none" w:sz="0" w:space="0" w:color="auto"/>
        <w:right w:val="none" w:sz="0" w:space="0" w:color="auto"/>
      </w:divBdr>
    </w:div>
    <w:div w:id="1075858095">
      <w:bodyDiv w:val="1"/>
      <w:marLeft w:val="0"/>
      <w:marRight w:val="0"/>
      <w:marTop w:val="0"/>
      <w:marBottom w:val="0"/>
      <w:divBdr>
        <w:top w:val="none" w:sz="0" w:space="0" w:color="auto"/>
        <w:left w:val="none" w:sz="0" w:space="0" w:color="auto"/>
        <w:bottom w:val="none" w:sz="0" w:space="0" w:color="auto"/>
        <w:right w:val="none" w:sz="0" w:space="0" w:color="auto"/>
      </w:divBdr>
    </w:div>
    <w:div w:id="1079211432">
      <w:bodyDiv w:val="1"/>
      <w:marLeft w:val="0"/>
      <w:marRight w:val="0"/>
      <w:marTop w:val="0"/>
      <w:marBottom w:val="0"/>
      <w:divBdr>
        <w:top w:val="none" w:sz="0" w:space="0" w:color="auto"/>
        <w:left w:val="none" w:sz="0" w:space="0" w:color="auto"/>
        <w:bottom w:val="none" w:sz="0" w:space="0" w:color="auto"/>
        <w:right w:val="none" w:sz="0" w:space="0" w:color="auto"/>
      </w:divBdr>
    </w:div>
    <w:div w:id="1083718403">
      <w:bodyDiv w:val="1"/>
      <w:marLeft w:val="0"/>
      <w:marRight w:val="0"/>
      <w:marTop w:val="0"/>
      <w:marBottom w:val="0"/>
      <w:divBdr>
        <w:top w:val="none" w:sz="0" w:space="0" w:color="auto"/>
        <w:left w:val="none" w:sz="0" w:space="0" w:color="auto"/>
        <w:bottom w:val="none" w:sz="0" w:space="0" w:color="auto"/>
        <w:right w:val="none" w:sz="0" w:space="0" w:color="auto"/>
      </w:divBdr>
    </w:div>
    <w:div w:id="1138374383">
      <w:bodyDiv w:val="1"/>
      <w:marLeft w:val="0"/>
      <w:marRight w:val="0"/>
      <w:marTop w:val="0"/>
      <w:marBottom w:val="0"/>
      <w:divBdr>
        <w:top w:val="none" w:sz="0" w:space="0" w:color="auto"/>
        <w:left w:val="none" w:sz="0" w:space="0" w:color="auto"/>
        <w:bottom w:val="none" w:sz="0" w:space="0" w:color="auto"/>
        <w:right w:val="none" w:sz="0" w:space="0" w:color="auto"/>
      </w:divBdr>
    </w:div>
    <w:div w:id="1253974398">
      <w:bodyDiv w:val="1"/>
      <w:marLeft w:val="0"/>
      <w:marRight w:val="0"/>
      <w:marTop w:val="0"/>
      <w:marBottom w:val="0"/>
      <w:divBdr>
        <w:top w:val="none" w:sz="0" w:space="0" w:color="auto"/>
        <w:left w:val="none" w:sz="0" w:space="0" w:color="auto"/>
        <w:bottom w:val="none" w:sz="0" w:space="0" w:color="auto"/>
        <w:right w:val="none" w:sz="0" w:space="0" w:color="auto"/>
      </w:divBdr>
    </w:div>
    <w:div w:id="1261253970">
      <w:bodyDiv w:val="1"/>
      <w:marLeft w:val="0"/>
      <w:marRight w:val="0"/>
      <w:marTop w:val="0"/>
      <w:marBottom w:val="0"/>
      <w:divBdr>
        <w:top w:val="none" w:sz="0" w:space="0" w:color="auto"/>
        <w:left w:val="none" w:sz="0" w:space="0" w:color="auto"/>
        <w:bottom w:val="none" w:sz="0" w:space="0" w:color="auto"/>
        <w:right w:val="none" w:sz="0" w:space="0" w:color="auto"/>
      </w:divBdr>
    </w:div>
    <w:div w:id="1286038767">
      <w:bodyDiv w:val="1"/>
      <w:marLeft w:val="0"/>
      <w:marRight w:val="0"/>
      <w:marTop w:val="0"/>
      <w:marBottom w:val="0"/>
      <w:divBdr>
        <w:top w:val="none" w:sz="0" w:space="0" w:color="auto"/>
        <w:left w:val="none" w:sz="0" w:space="0" w:color="auto"/>
        <w:bottom w:val="none" w:sz="0" w:space="0" w:color="auto"/>
        <w:right w:val="none" w:sz="0" w:space="0" w:color="auto"/>
      </w:divBdr>
    </w:div>
    <w:div w:id="1290479108">
      <w:bodyDiv w:val="1"/>
      <w:marLeft w:val="0"/>
      <w:marRight w:val="0"/>
      <w:marTop w:val="0"/>
      <w:marBottom w:val="0"/>
      <w:divBdr>
        <w:top w:val="none" w:sz="0" w:space="0" w:color="auto"/>
        <w:left w:val="none" w:sz="0" w:space="0" w:color="auto"/>
        <w:bottom w:val="none" w:sz="0" w:space="0" w:color="auto"/>
        <w:right w:val="none" w:sz="0" w:space="0" w:color="auto"/>
      </w:divBdr>
    </w:div>
    <w:div w:id="1395740670">
      <w:bodyDiv w:val="1"/>
      <w:marLeft w:val="0"/>
      <w:marRight w:val="0"/>
      <w:marTop w:val="0"/>
      <w:marBottom w:val="0"/>
      <w:divBdr>
        <w:top w:val="none" w:sz="0" w:space="0" w:color="auto"/>
        <w:left w:val="none" w:sz="0" w:space="0" w:color="auto"/>
        <w:bottom w:val="none" w:sz="0" w:space="0" w:color="auto"/>
        <w:right w:val="none" w:sz="0" w:space="0" w:color="auto"/>
      </w:divBdr>
    </w:div>
    <w:div w:id="1420639093">
      <w:bodyDiv w:val="1"/>
      <w:marLeft w:val="0"/>
      <w:marRight w:val="0"/>
      <w:marTop w:val="0"/>
      <w:marBottom w:val="0"/>
      <w:divBdr>
        <w:top w:val="none" w:sz="0" w:space="0" w:color="auto"/>
        <w:left w:val="none" w:sz="0" w:space="0" w:color="auto"/>
        <w:bottom w:val="none" w:sz="0" w:space="0" w:color="auto"/>
        <w:right w:val="none" w:sz="0" w:space="0" w:color="auto"/>
      </w:divBdr>
    </w:div>
    <w:div w:id="1445149185">
      <w:bodyDiv w:val="1"/>
      <w:marLeft w:val="0"/>
      <w:marRight w:val="0"/>
      <w:marTop w:val="0"/>
      <w:marBottom w:val="0"/>
      <w:divBdr>
        <w:top w:val="none" w:sz="0" w:space="0" w:color="auto"/>
        <w:left w:val="none" w:sz="0" w:space="0" w:color="auto"/>
        <w:bottom w:val="none" w:sz="0" w:space="0" w:color="auto"/>
        <w:right w:val="none" w:sz="0" w:space="0" w:color="auto"/>
      </w:divBdr>
    </w:div>
    <w:div w:id="1459303456">
      <w:bodyDiv w:val="1"/>
      <w:marLeft w:val="0"/>
      <w:marRight w:val="0"/>
      <w:marTop w:val="0"/>
      <w:marBottom w:val="0"/>
      <w:divBdr>
        <w:top w:val="none" w:sz="0" w:space="0" w:color="auto"/>
        <w:left w:val="none" w:sz="0" w:space="0" w:color="auto"/>
        <w:bottom w:val="none" w:sz="0" w:space="0" w:color="auto"/>
        <w:right w:val="none" w:sz="0" w:space="0" w:color="auto"/>
      </w:divBdr>
    </w:div>
    <w:div w:id="1625111904">
      <w:bodyDiv w:val="1"/>
      <w:marLeft w:val="0"/>
      <w:marRight w:val="0"/>
      <w:marTop w:val="0"/>
      <w:marBottom w:val="0"/>
      <w:divBdr>
        <w:top w:val="none" w:sz="0" w:space="0" w:color="auto"/>
        <w:left w:val="none" w:sz="0" w:space="0" w:color="auto"/>
        <w:bottom w:val="none" w:sz="0" w:space="0" w:color="auto"/>
        <w:right w:val="none" w:sz="0" w:space="0" w:color="auto"/>
      </w:divBdr>
    </w:div>
    <w:div w:id="1663316115">
      <w:bodyDiv w:val="1"/>
      <w:marLeft w:val="0"/>
      <w:marRight w:val="0"/>
      <w:marTop w:val="0"/>
      <w:marBottom w:val="0"/>
      <w:divBdr>
        <w:top w:val="none" w:sz="0" w:space="0" w:color="auto"/>
        <w:left w:val="none" w:sz="0" w:space="0" w:color="auto"/>
        <w:bottom w:val="none" w:sz="0" w:space="0" w:color="auto"/>
        <w:right w:val="none" w:sz="0" w:space="0" w:color="auto"/>
      </w:divBdr>
    </w:div>
    <w:div w:id="1750420451">
      <w:bodyDiv w:val="1"/>
      <w:marLeft w:val="0"/>
      <w:marRight w:val="0"/>
      <w:marTop w:val="0"/>
      <w:marBottom w:val="0"/>
      <w:divBdr>
        <w:top w:val="none" w:sz="0" w:space="0" w:color="auto"/>
        <w:left w:val="none" w:sz="0" w:space="0" w:color="auto"/>
        <w:bottom w:val="none" w:sz="0" w:space="0" w:color="auto"/>
        <w:right w:val="none" w:sz="0" w:space="0" w:color="auto"/>
      </w:divBdr>
    </w:div>
    <w:div w:id="1865090066">
      <w:bodyDiv w:val="1"/>
      <w:marLeft w:val="0"/>
      <w:marRight w:val="0"/>
      <w:marTop w:val="0"/>
      <w:marBottom w:val="0"/>
      <w:divBdr>
        <w:top w:val="none" w:sz="0" w:space="0" w:color="auto"/>
        <w:left w:val="none" w:sz="0" w:space="0" w:color="auto"/>
        <w:bottom w:val="none" w:sz="0" w:space="0" w:color="auto"/>
        <w:right w:val="none" w:sz="0" w:space="0" w:color="auto"/>
      </w:divBdr>
    </w:div>
    <w:div w:id="1886211420">
      <w:bodyDiv w:val="1"/>
      <w:marLeft w:val="0"/>
      <w:marRight w:val="0"/>
      <w:marTop w:val="0"/>
      <w:marBottom w:val="0"/>
      <w:divBdr>
        <w:top w:val="none" w:sz="0" w:space="0" w:color="auto"/>
        <w:left w:val="none" w:sz="0" w:space="0" w:color="auto"/>
        <w:bottom w:val="none" w:sz="0" w:space="0" w:color="auto"/>
        <w:right w:val="none" w:sz="0" w:space="0" w:color="auto"/>
      </w:divBdr>
    </w:div>
    <w:div w:id="1887180558">
      <w:bodyDiv w:val="1"/>
      <w:marLeft w:val="0"/>
      <w:marRight w:val="0"/>
      <w:marTop w:val="0"/>
      <w:marBottom w:val="0"/>
      <w:divBdr>
        <w:top w:val="none" w:sz="0" w:space="0" w:color="auto"/>
        <w:left w:val="none" w:sz="0" w:space="0" w:color="auto"/>
        <w:bottom w:val="none" w:sz="0" w:space="0" w:color="auto"/>
        <w:right w:val="none" w:sz="0" w:space="0" w:color="auto"/>
      </w:divBdr>
    </w:div>
    <w:div w:id="1894542947">
      <w:bodyDiv w:val="1"/>
      <w:marLeft w:val="0"/>
      <w:marRight w:val="0"/>
      <w:marTop w:val="0"/>
      <w:marBottom w:val="0"/>
      <w:divBdr>
        <w:top w:val="none" w:sz="0" w:space="0" w:color="auto"/>
        <w:left w:val="none" w:sz="0" w:space="0" w:color="auto"/>
        <w:bottom w:val="none" w:sz="0" w:space="0" w:color="auto"/>
        <w:right w:val="none" w:sz="0" w:space="0" w:color="auto"/>
      </w:divBdr>
    </w:div>
    <w:div w:id="1922762280">
      <w:bodyDiv w:val="1"/>
      <w:marLeft w:val="0"/>
      <w:marRight w:val="0"/>
      <w:marTop w:val="0"/>
      <w:marBottom w:val="0"/>
      <w:divBdr>
        <w:top w:val="none" w:sz="0" w:space="0" w:color="auto"/>
        <w:left w:val="none" w:sz="0" w:space="0" w:color="auto"/>
        <w:bottom w:val="none" w:sz="0" w:space="0" w:color="auto"/>
        <w:right w:val="none" w:sz="0" w:space="0" w:color="auto"/>
      </w:divBdr>
    </w:div>
    <w:div w:id="1955014923">
      <w:bodyDiv w:val="1"/>
      <w:marLeft w:val="0"/>
      <w:marRight w:val="0"/>
      <w:marTop w:val="0"/>
      <w:marBottom w:val="0"/>
      <w:divBdr>
        <w:top w:val="none" w:sz="0" w:space="0" w:color="auto"/>
        <w:left w:val="none" w:sz="0" w:space="0" w:color="auto"/>
        <w:bottom w:val="none" w:sz="0" w:space="0" w:color="auto"/>
        <w:right w:val="none" w:sz="0" w:space="0" w:color="auto"/>
      </w:divBdr>
    </w:div>
    <w:div w:id="2074622104">
      <w:bodyDiv w:val="1"/>
      <w:marLeft w:val="0"/>
      <w:marRight w:val="0"/>
      <w:marTop w:val="0"/>
      <w:marBottom w:val="0"/>
      <w:divBdr>
        <w:top w:val="none" w:sz="0" w:space="0" w:color="auto"/>
        <w:left w:val="none" w:sz="0" w:space="0" w:color="auto"/>
        <w:bottom w:val="none" w:sz="0" w:space="0" w:color="auto"/>
        <w:right w:val="none" w:sz="0" w:space="0" w:color="auto"/>
      </w:divBdr>
    </w:div>
    <w:div w:id="2086369449">
      <w:bodyDiv w:val="1"/>
      <w:marLeft w:val="0"/>
      <w:marRight w:val="0"/>
      <w:marTop w:val="0"/>
      <w:marBottom w:val="0"/>
      <w:divBdr>
        <w:top w:val="none" w:sz="0" w:space="0" w:color="auto"/>
        <w:left w:val="none" w:sz="0" w:space="0" w:color="auto"/>
        <w:bottom w:val="none" w:sz="0" w:space="0" w:color="auto"/>
        <w:right w:val="none" w:sz="0" w:space="0" w:color="auto"/>
      </w:divBdr>
    </w:div>
    <w:div w:id="209154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pc\OneDrive\Documents\iha2.htm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statista.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ibss-plc.com.n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bn.gov.n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371</TotalTime>
  <Pages>21</Pages>
  <Words>6150</Words>
  <Characters>35056</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85</cp:revision>
  <dcterms:created xsi:type="dcterms:W3CDTF">2025-10-18T04:48:00Z</dcterms:created>
  <dcterms:modified xsi:type="dcterms:W3CDTF">2026-09-29T12:44:00Z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7ab2d61f-3b8a-4a1e-95ce-e91d0d667338</vt:lpwstr>
  </property>
</Properties>
</file>