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9031F" w14:textId="4DBE7B9E" w:rsidR="009E04F9" w:rsidRDefault="00000000">
      <w:pPr>
        <w:jc w:val="center"/>
        <w:rPr>
          <w:b/>
        </w:rPr>
      </w:pPr>
      <w:r>
        <w:rPr>
          <w:b/>
        </w:rPr>
        <w:t>DETERMINANTS OF FINANCIAL SHENANIGANS AMONG LISTED MANUFACTURING COMPANIES IN NIGERIA</w:t>
      </w:r>
    </w:p>
    <w:p w14:paraId="2905BC73" w14:textId="77777777" w:rsidR="00833A6C" w:rsidRDefault="00833A6C">
      <w:pPr>
        <w:spacing w:before="120"/>
        <w:rPr>
          <w:b/>
        </w:rPr>
      </w:pPr>
    </w:p>
    <w:p w14:paraId="1E048F89" w14:textId="77777777" w:rsidR="00833A6C" w:rsidRDefault="00833A6C">
      <w:pPr>
        <w:spacing w:before="120"/>
        <w:rPr>
          <w:b/>
        </w:rPr>
      </w:pPr>
    </w:p>
    <w:p w14:paraId="41098B16" w14:textId="5C1B4A77" w:rsidR="009E04F9" w:rsidRDefault="00000000">
      <w:pPr>
        <w:spacing w:before="120"/>
      </w:pPr>
      <w:r>
        <w:rPr>
          <w:b/>
        </w:rPr>
        <w:t>Abstract</w:t>
      </w:r>
    </w:p>
    <w:p w14:paraId="2629A821" w14:textId="77777777" w:rsidR="009E04F9" w:rsidRPr="007F2ABD" w:rsidRDefault="00000000" w:rsidP="007F2ABD">
      <w:pPr>
        <w:spacing w:line="240" w:lineRule="auto"/>
        <w:contextualSpacing/>
        <w:jc w:val="both"/>
        <w:rPr>
          <w:i/>
          <w:iCs/>
        </w:rPr>
      </w:pPr>
      <w:r w:rsidRPr="007F2ABD">
        <w:rPr>
          <w:i/>
          <w:iCs/>
        </w:rPr>
        <w:t xml:space="preserve">This study examines the determinants of financial shenanigans among listed manufacturing companies in Nigeria, with financial shenanigans </w:t>
      </w:r>
      <w:proofErr w:type="spellStart"/>
      <w:r w:rsidRPr="007F2ABD">
        <w:rPr>
          <w:i/>
          <w:iCs/>
        </w:rPr>
        <w:t>operationalised</w:t>
      </w:r>
      <w:proofErr w:type="spellEnd"/>
      <w:r w:rsidRPr="007F2ABD">
        <w:rPr>
          <w:i/>
          <w:iCs/>
        </w:rPr>
        <w:t xml:space="preserve"> as </w:t>
      </w:r>
      <w:proofErr w:type="spellStart"/>
      <w:r w:rsidRPr="007F2ABD">
        <w:rPr>
          <w:i/>
          <w:iCs/>
        </w:rPr>
        <w:t>Beneish</w:t>
      </w:r>
      <w:proofErr w:type="spellEnd"/>
      <w:r w:rsidRPr="007F2ABD">
        <w:rPr>
          <w:i/>
          <w:iCs/>
        </w:rPr>
        <w:t xml:space="preserve"> M-Score-indicated earnings-manipulation risk. Drawing on Fraud Diamond Theory, the study evaluates the roles of asset change, board independence, managerial ownership, auditor change and chief executive officer (CEO) financial expertise. The analysis uses 340 firm-year observations for 40 listed manufacturing companies over 2014–2022 and estimates population-averaged logistic models through </w:t>
      </w:r>
      <w:proofErr w:type="spellStart"/>
      <w:r w:rsidRPr="007F2ABD">
        <w:rPr>
          <w:i/>
          <w:iCs/>
        </w:rPr>
        <w:t>generalised</w:t>
      </w:r>
      <w:proofErr w:type="spellEnd"/>
      <w:r w:rsidRPr="007F2ABD">
        <w:rPr>
          <w:i/>
          <w:iCs/>
        </w:rPr>
        <w:t xml:space="preserve"> estimating equations (GEE), incorporating year effects and bias-reduced robust covariance to account for within-firm dependence. The contemporaneous results show that asset growth is positively associated with financial shenanigans (odds ratio = 1.52, p = .047), while auditor change is associated with 2.53 times the odds of being flagged (p = .014). Board independence exhibits a negative association at the 10% level (odds ratio = 0.82, p = .073), whereas managerial ownership and CEO financial expertise are not statistically significant. The significant contemporaneous relationships do not persist in the one-year-lagged GEE and conditional firm fixed-effects logit models, indicating that asset growth and auditor change are more informative as contemporaneous red flags than as one-year-ahead predictors. The main model records moderate in-sample discrimination (AUC = 0.703). The findings show that Fraud Diamond indicators differ materially in their empirical informativeness and underscore the distinction between detecting current financial-reporting risk and predicting future manipulation.</w:t>
      </w:r>
    </w:p>
    <w:p w14:paraId="2723CB5D" w14:textId="1C225FDB" w:rsidR="009E04F9" w:rsidRDefault="00000000">
      <w:pPr>
        <w:jc w:val="both"/>
      </w:pPr>
      <w:r>
        <w:rPr>
          <w:b/>
        </w:rPr>
        <w:t xml:space="preserve">Keywords: </w:t>
      </w:r>
      <w:proofErr w:type="spellStart"/>
      <w:r>
        <w:t>Beneish</w:t>
      </w:r>
      <w:proofErr w:type="spellEnd"/>
      <w:r>
        <w:t xml:space="preserve"> M-Score; </w:t>
      </w:r>
      <w:r w:rsidR="00A260D0">
        <w:t>E</w:t>
      </w:r>
      <w:r>
        <w:t xml:space="preserve">arnings </w:t>
      </w:r>
      <w:r w:rsidR="00A260D0">
        <w:t>M</w:t>
      </w:r>
      <w:r>
        <w:t xml:space="preserve">anipulation; Fraud Diamond Theory; </w:t>
      </w:r>
      <w:r w:rsidR="00A260D0">
        <w:t>A</w:t>
      </w:r>
      <w:r>
        <w:t xml:space="preserve">uditor </w:t>
      </w:r>
      <w:r w:rsidR="00A260D0">
        <w:t>C</w:t>
      </w:r>
      <w:r>
        <w:t xml:space="preserve">hange; </w:t>
      </w:r>
      <w:r w:rsidR="00A260D0">
        <w:t>B</w:t>
      </w:r>
      <w:r>
        <w:t xml:space="preserve">oard </w:t>
      </w:r>
      <w:r w:rsidR="00A260D0">
        <w:t>I</w:t>
      </w:r>
      <w:r>
        <w:t xml:space="preserve">ndependence; Nigeria; </w:t>
      </w:r>
      <w:proofErr w:type="spellStart"/>
      <w:r w:rsidR="00A260D0">
        <w:t>G</w:t>
      </w:r>
      <w:r>
        <w:t>eneralised</w:t>
      </w:r>
      <w:proofErr w:type="spellEnd"/>
      <w:r>
        <w:t xml:space="preserve"> </w:t>
      </w:r>
      <w:r w:rsidR="00A260D0">
        <w:t>E</w:t>
      </w:r>
      <w:r>
        <w:t xml:space="preserve">stimating </w:t>
      </w:r>
      <w:r w:rsidR="00A260D0">
        <w:t>E</w:t>
      </w:r>
      <w:r>
        <w:t>quations</w:t>
      </w:r>
    </w:p>
    <w:p w14:paraId="233D6C4E" w14:textId="77777777" w:rsidR="009E04F9" w:rsidRDefault="00000000">
      <w:pPr>
        <w:spacing w:before="120"/>
        <w:jc w:val="both"/>
      </w:pPr>
      <w:r>
        <w:rPr>
          <w:b/>
        </w:rPr>
        <w:t>1. Introduction</w:t>
      </w:r>
    </w:p>
    <w:p w14:paraId="0670A4B0" w14:textId="77777777" w:rsidR="009E04F9" w:rsidRDefault="00000000">
      <w:pPr>
        <w:jc w:val="both"/>
      </w:pPr>
      <w:r>
        <w:t xml:space="preserve">The credibility of corporate financial reporting is fundamental to the efficient allocation of capital. Investors, creditors, regulators and other stakeholders rely on published financial statements to assess profitability, solvency, risk and firm value. Yet financial reporting necessarily involves managerial judgement, and the same discretion that permits managers to communicate private information can also be used opportunistically. </w:t>
      </w:r>
      <w:hyperlink w:anchor="ref_Healy_1999" w:history="1">
        <w:r w:rsidR="009E04F9">
          <w:rPr>
            <w:szCs w:val="24"/>
          </w:rPr>
          <w:t>Healy and Wahlen (1999)</w:t>
        </w:r>
      </w:hyperlink>
      <w:r>
        <w:t xml:space="preserve"> </w:t>
      </w:r>
      <w:proofErr w:type="spellStart"/>
      <w:r>
        <w:t>characterise</w:t>
      </w:r>
      <w:proofErr w:type="spellEnd"/>
      <w:r>
        <w:t xml:space="preserve"> earnings management as the use of judgement in financial reporting or transaction structuring to alter reports in ways that may mislead stakeholders or influence contractual outcomes, while </w:t>
      </w:r>
      <w:hyperlink w:anchor="ref_Dechow_1995" w:history="1">
        <w:r w:rsidR="009E04F9">
          <w:rPr>
            <w:szCs w:val="24"/>
          </w:rPr>
          <w:t>Dechow et al. (1995)</w:t>
        </w:r>
      </w:hyperlink>
      <w:r>
        <w:t xml:space="preserve"> demonstrate that empirical identification of discretionary accruals is itself sensitive to model specification. This reliance creates strong incentives for managers to present </w:t>
      </w:r>
      <w:proofErr w:type="spellStart"/>
      <w:r>
        <w:t>organisational</w:t>
      </w:r>
      <w:proofErr w:type="spellEnd"/>
      <w:r>
        <w:t xml:space="preserve"> performance </w:t>
      </w:r>
      <w:proofErr w:type="spellStart"/>
      <w:r>
        <w:t>favourably</w:t>
      </w:r>
      <w:proofErr w:type="spellEnd"/>
      <w:r>
        <w:t xml:space="preserve">, particularly where firms face financing constraints, deteriorating performance, debt obligations or pressures to </w:t>
      </w:r>
      <w:r>
        <w:lastRenderedPageBreak/>
        <w:t xml:space="preserve">meet market expectations. At the extreme, managerial discretion over accounting recognition, measurement and disclosure may be used to obscure underlying economic conditions, creating what </w:t>
      </w:r>
      <w:hyperlink w:anchor="ref_Schilit_2018" w:history="1">
        <w:r w:rsidR="009E04F9">
          <w:rPr>
            <w:szCs w:val="24"/>
          </w:rPr>
          <w:t>Schilit (2018)</w:t>
        </w:r>
      </w:hyperlink>
      <w:r>
        <w:t xml:space="preserve"> describes broadly as financial shenanigans. Such practices encompass a spectrum ranging from aggressive but permissible accounting choices to deliberate earnings manipulation and fraudulent financial reporting.</w:t>
      </w:r>
    </w:p>
    <w:p w14:paraId="2A6A97D4" w14:textId="77777777" w:rsidR="009E04F9" w:rsidRDefault="00000000">
      <w:pPr>
        <w:jc w:val="both"/>
      </w:pPr>
      <w:r>
        <w:t xml:space="preserve">The distinction between these concepts is important. Earnings manipulation detected from accounting ratios is not equivalent to legally established financial statement fraud. </w:t>
      </w:r>
      <w:hyperlink w:anchor="ref_Beneish_1999" w:history="1">
        <w:proofErr w:type="spellStart"/>
        <w:r w:rsidR="009E04F9">
          <w:rPr>
            <w:szCs w:val="24"/>
          </w:rPr>
          <w:t>Beneish's</w:t>
        </w:r>
        <w:proofErr w:type="spellEnd"/>
        <w:r w:rsidR="009E04F9">
          <w:rPr>
            <w:szCs w:val="24"/>
          </w:rPr>
          <w:t xml:space="preserve"> (1999)</w:t>
        </w:r>
      </w:hyperlink>
      <w:r>
        <w:t xml:space="preserve"> M-Score was developed as a screening model that identifies financial characteristics associated with companies subsequently found to have manipulated earnings. It is therefore better interpreted as an indicator of elevated manipulation risk than as definitive evidence that a company committed fraud. This distinction is reinforced by </w:t>
      </w:r>
      <w:hyperlink w:anchor="ref_Perols_2011" w:history="1">
        <w:proofErr w:type="spellStart"/>
        <w:r w:rsidR="009E04F9">
          <w:rPr>
            <w:szCs w:val="24"/>
          </w:rPr>
          <w:t>Perols</w:t>
        </w:r>
        <w:proofErr w:type="spellEnd"/>
        <w:r w:rsidR="009E04F9">
          <w:rPr>
            <w:szCs w:val="24"/>
          </w:rPr>
          <w:t xml:space="preserve"> and Lougee (2011)</w:t>
        </w:r>
      </w:hyperlink>
      <w:r>
        <w:t xml:space="preserve">, who show that prior earnings-management </w:t>
      </w:r>
      <w:proofErr w:type="spellStart"/>
      <w:r>
        <w:t>behaviour</w:t>
      </w:r>
      <w:proofErr w:type="spellEnd"/>
      <w:r>
        <w:t xml:space="preserve"> is more prevalent among fraud firms but remains analytically distinct from the subsequent occurrence of financial statement fraud. </w:t>
      </w:r>
      <w:proofErr w:type="spellStart"/>
      <w:r>
        <w:t>Beneish</w:t>
      </w:r>
      <w:proofErr w:type="spellEnd"/>
      <w:r>
        <w:t xml:space="preserve"> similarly cautions that financial-statement distortions captured by the model may originate from structural or economic factors rather than manipulation itself. Accordingly, this study uses the term </w:t>
      </w:r>
      <w:proofErr w:type="spellStart"/>
      <w:r>
        <w:t>Beneish</w:t>
      </w:r>
      <w:proofErr w:type="spellEnd"/>
      <w:r>
        <w:t>-flagged earnings manipulation to describe firm-year observations exceeding the conventional M-Score threshold and reserves the term 'fraud' for misconduct independently established through enforcement, restatement or other external evidence.</w:t>
      </w:r>
    </w:p>
    <w:p w14:paraId="564F7A14" w14:textId="77777777" w:rsidR="009E04F9" w:rsidRDefault="00000000">
      <w:pPr>
        <w:jc w:val="both"/>
      </w:pPr>
      <w:r>
        <w:t xml:space="preserve">The problem is particularly important in emerging capital markets, where information asymmetry, ownership concentration, institutional weaknesses and enforcement constraints may increase the difficulty of distinguishing genuine performance from opportunistic financial reporting. Nigeria provides an important setting in this respect. The Nigerian Exchange Group (NGX) includes manufacturing firms operating within an environment </w:t>
      </w:r>
      <w:proofErr w:type="spellStart"/>
      <w:r>
        <w:t>characterised</w:t>
      </w:r>
      <w:proofErr w:type="spellEnd"/>
      <w:r>
        <w:t xml:space="preserve"> by macroeconomic volatility, exchange-rate pressures, inflation, financing constraints and evolving corporate-governance regulation. At the same time, the Nigerian Code of Corporate Governance places considerable emphasis on board independence, audit oversight, risk management, internal audit and external assurance as mechanisms for strengthening corporate accountability. These characteristics make Nigerian listed manufacturing companies an informative setting for examining whether observable </w:t>
      </w:r>
      <w:proofErr w:type="spellStart"/>
      <w:r>
        <w:t>organisational</w:t>
      </w:r>
      <w:proofErr w:type="spellEnd"/>
      <w:r>
        <w:t xml:space="preserve"> and governance conditions are associated with elevated financial-reporting manipulation risk.</w:t>
      </w:r>
    </w:p>
    <w:p w14:paraId="420B37D8" w14:textId="77777777" w:rsidR="009E04F9" w:rsidRDefault="00000000">
      <w:pPr>
        <w:jc w:val="both"/>
      </w:pPr>
      <w:r>
        <w:t xml:space="preserve">Existing Nigerian evidence confirms the relevance of the issue but remains methodologically fragmented. </w:t>
      </w:r>
      <w:hyperlink w:anchor="ref_Gbadebo_2023" w:history="1">
        <w:r w:rsidR="009E04F9">
          <w:rPr>
            <w:szCs w:val="24"/>
          </w:rPr>
          <w:t>Gbadebo et al. (2023)</w:t>
        </w:r>
      </w:hyperlink>
      <w:r>
        <w:t xml:space="preserve"> apply the </w:t>
      </w:r>
      <w:proofErr w:type="spellStart"/>
      <w:r>
        <w:t>Beneish</w:t>
      </w:r>
      <w:proofErr w:type="spellEnd"/>
      <w:r>
        <w:t xml:space="preserve"> M-Score to Nigerian banks and other </w:t>
      </w:r>
      <w:r>
        <w:lastRenderedPageBreak/>
        <w:t xml:space="preserve">financial institutions and document material variation in manipulation risk, while </w:t>
      </w:r>
      <w:hyperlink w:anchor="ref_Ogbodo_2023" w:history="1">
        <w:r w:rsidR="009E04F9">
          <w:rPr>
            <w:szCs w:val="24"/>
          </w:rPr>
          <w:t>Ogbodo et al. (2023)</w:t>
        </w:r>
      </w:hyperlink>
      <w:r>
        <w:t xml:space="preserve"> report that ownership structure is associated with financial statement fraud measures among NGX-listed non-financial firms. </w:t>
      </w:r>
      <w:hyperlink w:anchor="ref_Oluwagbade_2023" w:history="1">
        <w:proofErr w:type="spellStart"/>
        <w:r w:rsidR="009E04F9">
          <w:rPr>
            <w:szCs w:val="24"/>
          </w:rPr>
          <w:t>Oluwagbade</w:t>
        </w:r>
        <w:proofErr w:type="spellEnd"/>
        <w:r w:rsidR="009E04F9">
          <w:rPr>
            <w:szCs w:val="24"/>
          </w:rPr>
          <w:t xml:space="preserve"> et al. (2023)</w:t>
        </w:r>
      </w:hyperlink>
      <w:r>
        <w:t xml:space="preserve"> likewise obtain mixed evidence across Fraud Diamond proxies in Nigerian deposit money banks. Collectively, this literature shows that financial manipulation risk is relevant to Nigerian capital-market research, but the reported effects remain sensitive to proxy choice, institutional context and empirical specification. In particular, relatively little Nigerian evidence distinguishes contemporaneous fraud-risk signals from variables that provide genuine forward-looking predictive information.</w:t>
      </w:r>
    </w:p>
    <w:p w14:paraId="436A267F" w14:textId="77777777" w:rsidR="009E04F9" w:rsidRDefault="00000000">
      <w:pPr>
        <w:jc w:val="both"/>
      </w:pPr>
      <w:r>
        <w:t xml:space="preserve">The Fraud Diamond framework provides a useful theoretical lens through which to </w:t>
      </w:r>
      <w:proofErr w:type="spellStart"/>
      <w:r>
        <w:t>organise</w:t>
      </w:r>
      <w:proofErr w:type="spellEnd"/>
      <w:r>
        <w:t xml:space="preserve"> these determinants. Building on Cressey's fraud triangle, </w:t>
      </w:r>
      <w:hyperlink w:anchor="ref_Wolfe_2004" w:history="1">
        <w:r w:rsidR="009E04F9">
          <w:rPr>
            <w:szCs w:val="24"/>
          </w:rPr>
          <w:t>Wolfe and Hermanson (2004)</w:t>
        </w:r>
      </w:hyperlink>
      <w:r>
        <w:t xml:space="preserve"> argue that fraud requires not only pressure, opportunity and </w:t>
      </w:r>
      <w:proofErr w:type="spellStart"/>
      <w:r>
        <w:t>rationalisation</w:t>
      </w:r>
      <w:proofErr w:type="spellEnd"/>
      <w:r>
        <w:t xml:space="preserve">, but also the capability to </w:t>
      </w:r>
      <w:proofErr w:type="spellStart"/>
      <w:r>
        <w:t>recognise</w:t>
      </w:r>
      <w:proofErr w:type="spellEnd"/>
      <w:r>
        <w:t xml:space="preserve"> and exploit an opportunity and to sustain concealment. Capability includes position, knowledge, confidence, persuasive ability and the capacity to manage the stress associated with fraudulent </w:t>
      </w:r>
      <w:proofErr w:type="spellStart"/>
      <w:r>
        <w:t>behaviour</w:t>
      </w:r>
      <w:proofErr w:type="spellEnd"/>
      <w:r>
        <w:t xml:space="preserve">. The framework is especially attractive for archival accounting research because each dimension can be represented by observable </w:t>
      </w:r>
      <w:proofErr w:type="spellStart"/>
      <w:r>
        <w:t>organisational</w:t>
      </w:r>
      <w:proofErr w:type="spellEnd"/>
      <w:r>
        <w:t xml:space="preserve"> indicators, although such proxies should not be treated as direct measurements of managers' psychological states.</w:t>
      </w:r>
    </w:p>
    <w:p w14:paraId="5A53A57C" w14:textId="77777777" w:rsidR="009E04F9" w:rsidRDefault="00000000">
      <w:pPr>
        <w:jc w:val="both"/>
      </w:pPr>
      <w:r>
        <w:t xml:space="preserve">The extant empirical literature nevertheless presents three unresolved issues. First, the evidence concerning individual Fraud Diamond components is mixed. Financial pressure and financial instability often increase reporting incentives, but governance and ownership variables do not consistently constrain manipulation across countries. </w:t>
      </w:r>
      <w:hyperlink w:anchor="ref_Skousen_2009" w:history="1">
        <w:r w:rsidR="009E04F9">
          <w:rPr>
            <w:szCs w:val="24"/>
          </w:rPr>
          <w:t>Skousen et al. (2009)</w:t>
        </w:r>
      </w:hyperlink>
      <w:r>
        <w:t>, for instance, find that several measures related to financial pressure, ownership structure and board control distinguish fraudulent from non-fraudulent firms. Earlier fraud research also links weak board and audit-committee structures to fraudulent financial reporting (</w:t>
      </w:r>
      <w:hyperlink w:anchor="ref_Beasley_2000" w:history="1">
        <w:r w:rsidR="009E04F9">
          <w:rPr>
            <w:szCs w:val="24"/>
          </w:rPr>
          <w:t>Beasley et al., 2000</w:t>
        </w:r>
      </w:hyperlink>
      <w:r>
        <w:t>), whereas broader restatement evidence shows that the effectiveness of formal independence can depend on board expertise and institutional context (</w:t>
      </w:r>
      <w:hyperlink w:anchor="ref_Klein_2002" w:history="1">
        <w:r w:rsidR="009E04F9">
          <w:rPr>
            <w:szCs w:val="24"/>
          </w:rPr>
          <w:t>Klein, 2002</w:t>
        </w:r>
      </w:hyperlink>
      <w:r>
        <w:t xml:space="preserve">; </w:t>
      </w:r>
      <w:hyperlink w:anchor="ref_Xie_2003" w:history="1">
        <w:r w:rsidR="009E04F9">
          <w:rPr>
            <w:szCs w:val="24"/>
          </w:rPr>
          <w:t>Xie et al., 2003</w:t>
        </w:r>
      </w:hyperlink>
      <w:r>
        <w:t xml:space="preserve">). Whether </w:t>
      </w:r>
      <w:proofErr w:type="gramStart"/>
      <w:r>
        <w:t>these governance</w:t>
      </w:r>
      <w:proofErr w:type="gramEnd"/>
      <w:r>
        <w:t xml:space="preserve"> relationships operate similarly in Nigeria remains an empirical question.</w:t>
      </w:r>
    </w:p>
    <w:p w14:paraId="56006D99" w14:textId="77777777" w:rsidR="009E04F9" w:rsidRDefault="00000000">
      <w:pPr>
        <w:jc w:val="both"/>
      </w:pPr>
      <w:r>
        <w:t xml:space="preserve">Second, managerial capability is conceptually more complex than is often acknowledged. Financial expertise may improve monitoring, financial literacy and reporting quality, but the same expertise can potentially give an executive greater capacity to exploit accounting discretion. Empirical findings support both possibilities. </w:t>
      </w:r>
      <w:hyperlink w:anchor="ref_Jiang_2013" w:history="1">
        <w:r w:rsidR="009E04F9">
          <w:rPr>
            <w:szCs w:val="24"/>
          </w:rPr>
          <w:t>Jiang et al. (2013)</w:t>
        </w:r>
      </w:hyperlink>
      <w:r>
        <w:t xml:space="preserve"> find that CEOs with financial experience engage in less real earnings management, while other evidence </w:t>
      </w:r>
      <w:r>
        <w:lastRenderedPageBreak/>
        <w:t>suggests that CEO accounting and financial expertise may increase managerial intervention in earnings reporting. The direction of this association may therefore depend on the institutional environment and the incentives confronting management.</w:t>
      </w:r>
    </w:p>
    <w:p w14:paraId="69796178" w14:textId="77777777" w:rsidR="009E04F9" w:rsidRDefault="00000000">
      <w:pPr>
        <w:jc w:val="both"/>
      </w:pPr>
      <w:r>
        <w:t>Third, much of the archival fraud literature relies on contemporaneous pooled specifications even though firm-year observations are longitudinal and potentially correlated within companies. This matters because a variable can be associated with a manipulation signal in the same reporting period without necessarily predicting subsequent misreporting. Distinguishing contemporaneous detection from forward prediction is therefore important for both theoretical interpretation and practical use. A panel-aware design that accounts for within-firm dependence and examines temporal robustness can provide stronger evidence on whether Fraud Diamond indicators are persistent determinants or merely same-period warning signals.</w:t>
      </w:r>
    </w:p>
    <w:p w14:paraId="709D1F18" w14:textId="77777777" w:rsidR="009E04F9" w:rsidRDefault="00000000">
      <w:pPr>
        <w:jc w:val="both"/>
      </w:pPr>
      <w:r>
        <w:t>This study addresses these gaps by examining whether five observable Fraud Diamond indicators—asset change, board independence, managerial ownership, auditor change and CEO financial expertise—are associated with financial shenanigans among listed Nigerian manufacturing companies. The empirical design treats the contemporaneous model as a test of current risk association and supplements it with one-year-lagged and firm fixed-effects specifications to evaluate whether the relationships persist when temporal ordering and time-invariant firm heterogeneity are taken into account.</w:t>
      </w:r>
    </w:p>
    <w:p w14:paraId="56BEC824" w14:textId="77777777" w:rsidR="009E04F9" w:rsidRDefault="00000000">
      <w:pPr>
        <w:jc w:val="both"/>
      </w:pPr>
      <w:r>
        <w:t xml:space="preserve">The study draws on audited financial-statement and governance information covering 2013–2022, with 2013 information used where necessary to construct prior-year </w:t>
      </w:r>
      <w:proofErr w:type="spellStart"/>
      <w:r>
        <w:t>Beneish</w:t>
      </w:r>
      <w:proofErr w:type="spellEnd"/>
      <w:r>
        <w:t xml:space="preserve"> components. The analytical panel spans 2014–2022. The population comprises 45 listed manufacturing companies, of which 40 satisfy the data requirements for the study. The final analytical dataset contains 340 usable firm-year observations, of which 115 (33.8%) exceed the </w:t>
      </w:r>
      <w:proofErr w:type="spellStart"/>
      <w:r>
        <w:t>Beneish</w:t>
      </w:r>
      <w:proofErr w:type="spellEnd"/>
      <w:r>
        <w:t xml:space="preserve"> manipulation threshold.</w:t>
      </w:r>
    </w:p>
    <w:p w14:paraId="7010E09F" w14:textId="77777777" w:rsidR="009E04F9" w:rsidRDefault="00000000">
      <w:pPr>
        <w:jc w:val="both"/>
      </w:pPr>
      <w:r>
        <w:t xml:space="preserve">The study makes three contributions. First, it extends evidence on financial shenanigans to listed manufacturing companies in Nigeria, an important emerging-market setting </w:t>
      </w:r>
      <w:proofErr w:type="spellStart"/>
      <w:r>
        <w:t>characterised</w:t>
      </w:r>
      <w:proofErr w:type="spellEnd"/>
      <w:r>
        <w:t xml:space="preserve"> by macroeconomic volatility and evolving corporate-governance institutions. Second, it provides a panel-based examination of Fraud Diamond indicators rather than relying solely on pooled cross-sectional inference. Third, it distinguishes contemporaneous warning signals from one-year-ahead predictive relationships, thereby clarifying the extent to which observable pressure, opportunity, </w:t>
      </w:r>
      <w:proofErr w:type="spellStart"/>
      <w:r>
        <w:t>rationalisation</w:t>
      </w:r>
      <w:proofErr w:type="spellEnd"/>
      <w:r>
        <w:t xml:space="preserve"> and capability indicators can support practical monitoring of financial-reporting risk.</w:t>
      </w:r>
    </w:p>
    <w:p w14:paraId="528621E8" w14:textId="77777777" w:rsidR="009E04F9" w:rsidRDefault="00000000">
      <w:pPr>
        <w:jc w:val="both"/>
      </w:pPr>
      <w:r>
        <w:lastRenderedPageBreak/>
        <w:t>The remainder of the paper is structured as follows. Section 2 develops the theoretical framework and hypotheses. Section 3 explains the research design, measurement and estimation strategy. Section 4 presents the empirical results, Section 5 discusses the findings and their implications, and Section 6 concludes.</w:t>
      </w:r>
    </w:p>
    <w:p w14:paraId="7ECF9BB7" w14:textId="77777777" w:rsidR="009E04F9" w:rsidRDefault="00000000">
      <w:pPr>
        <w:spacing w:before="120"/>
        <w:jc w:val="both"/>
      </w:pPr>
      <w:r>
        <w:rPr>
          <w:b/>
        </w:rPr>
        <w:t>2. Literature Review and Hypothesis Development</w:t>
      </w:r>
    </w:p>
    <w:p w14:paraId="7D95C4E5" w14:textId="77777777" w:rsidR="009E04F9" w:rsidRDefault="00000000">
      <w:pPr>
        <w:spacing w:before="80"/>
      </w:pPr>
      <w:r>
        <w:rPr>
          <w:b/>
        </w:rPr>
        <w:t>2.1 Financial shenanigans, earnings manipulation and fraudulent reporting</w:t>
      </w:r>
    </w:p>
    <w:p w14:paraId="75AF8A7C" w14:textId="77777777" w:rsidR="009E04F9" w:rsidRDefault="00000000">
      <w:pPr>
        <w:jc w:val="both"/>
      </w:pPr>
      <w:r>
        <w:t>Financial reporting exists within an environment of information asymmetry in which corporate managers normally possess superior information about the firm's operations, prospects and financial condition. Although accounting standards constrain reporting discretion, they cannot eliminate managerial judgement. Estimates concerning impairment, useful lives, provisions, revenue recognition and accruals inevitably provide room for managerial discretion. Such discretion can improve reporting when used to communicate private information, but it may also be employed opportunistically.</w:t>
      </w:r>
    </w:p>
    <w:p w14:paraId="6A60BCA4" w14:textId="77777777" w:rsidR="009E04F9" w:rsidRDefault="009E04F9">
      <w:pPr>
        <w:jc w:val="both"/>
      </w:pPr>
      <w:hyperlink w:anchor="ref_Schilit_2018" w:history="1">
        <w:r>
          <w:rPr>
            <w:szCs w:val="24"/>
          </w:rPr>
          <w:t>Schilit (2018)</w:t>
        </w:r>
      </w:hyperlink>
      <w:r>
        <w:t xml:space="preserve"> uses the term financial shenanigans to describe accounting and disclosure practices that distort stakeholders' perceptions of corporate performance. The concept is broader than fraudulent reporting and includes earnings manipulation, cash-flow classification practices and distortions of key performance metrics. In this study, financial shenanigans are </w:t>
      </w:r>
      <w:proofErr w:type="spellStart"/>
      <w:r>
        <w:t>operationalised</w:t>
      </w:r>
      <w:proofErr w:type="spellEnd"/>
      <w:r>
        <w:t xml:space="preserve"> through the </w:t>
      </w:r>
      <w:proofErr w:type="spellStart"/>
      <w:r>
        <w:t>Beneish</w:t>
      </w:r>
      <w:proofErr w:type="spellEnd"/>
      <w:r>
        <w:t xml:space="preserve"> M-Score as an accounting-based indication of elevated earnings-manipulation risk. This </w:t>
      </w:r>
      <w:proofErr w:type="spellStart"/>
      <w:r>
        <w:t>operationalisation</w:t>
      </w:r>
      <w:proofErr w:type="spellEnd"/>
      <w:r>
        <w:t xml:space="preserve"> permits systematic firm-year classification while </w:t>
      </w:r>
      <w:proofErr w:type="spellStart"/>
      <w:r>
        <w:t>recognising</w:t>
      </w:r>
      <w:proofErr w:type="spellEnd"/>
      <w:r>
        <w:t xml:space="preserve"> that a screening signal is not equivalent to legally established fraud.</w:t>
      </w:r>
    </w:p>
    <w:p w14:paraId="1C31DAB0" w14:textId="77777777" w:rsidR="009E04F9" w:rsidRDefault="009E04F9">
      <w:pPr>
        <w:jc w:val="both"/>
      </w:pPr>
      <w:hyperlink w:anchor="ref_Beneish_1999" w:history="1">
        <w:proofErr w:type="spellStart"/>
        <w:r>
          <w:rPr>
            <w:szCs w:val="24"/>
          </w:rPr>
          <w:t>Beneish</w:t>
        </w:r>
        <w:proofErr w:type="spellEnd"/>
        <w:r>
          <w:rPr>
            <w:szCs w:val="24"/>
          </w:rPr>
          <w:t xml:space="preserve"> (1999)</w:t>
        </w:r>
      </w:hyperlink>
      <w:r>
        <w:t xml:space="preserve"> develops an eight-variable probabilistic model using financial-statement relationships expected to differ systematically between manipulators and non-manipulators. The model incorporates unusual receivables growth, deteriorating gross margins, asset quality, sales growth, depreciation changes, selling and administrative expenditure, leverage and accruals. Its purpose is not to pronounce guilt but to identify firms whose reported accounting relationships warrant closer examination. The model identified a meaningful proportion of manipulators before public discovery, but </w:t>
      </w:r>
      <w:proofErr w:type="spellStart"/>
      <w:r>
        <w:t>Beneish</w:t>
      </w:r>
      <w:proofErr w:type="spellEnd"/>
      <w:r>
        <w:t xml:space="preserve"> stresses the need to determine whether observed accounting distortions arise from manipulation or from legitimate structural factors.</w:t>
      </w:r>
    </w:p>
    <w:p w14:paraId="3F9F561F" w14:textId="77777777" w:rsidR="009E04F9" w:rsidRDefault="009E04F9">
      <w:pPr>
        <w:jc w:val="both"/>
      </w:pPr>
      <w:hyperlink w:anchor="ref_Dechow_2011" w:history="1">
        <w:r>
          <w:rPr>
            <w:szCs w:val="24"/>
          </w:rPr>
          <w:t>Dechow et al. (2011)</w:t>
        </w:r>
      </w:hyperlink>
      <w:r>
        <w:t xml:space="preserve"> reinforce the wider proposition that financial characteristics can help identify material misstatement risk. Their F-Score framework combines accrual quality, changes in receivables, inventories, cash sales and other measures to identify periods with </w:t>
      </w:r>
      <w:r>
        <w:lastRenderedPageBreak/>
        <w:t>higher likelihood of material misstatement. Related evidence indicates that inconsistencies between financial performance and non-financial operating measures can provide incremental fraud-risk information (</w:t>
      </w:r>
      <w:hyperlink w:anchor="ref_Brazel_2009" w:history="1">
        <w:r>
          <w:rPr>
            <w:szCs w:val="24"/>
          </w:rPr>
          <w:t>Brazel et al., 2009</w:t>
        </w:r>
      </w:hyperlink>
      <w:r>
        <w:t>). Together with the evidence that prior earnings management is more common among fraud firms (</w:t>
      </w:r>
      <w:proofErr w:type="spellStart"/>
      <w:r>
        <w:fldChar w:fldCharType="begin"/>
      </w:r>
      <w:r>
        <w:instrText>HYPERLINK \l "ref_Perols_2011"</w:instrText>
      </w:r>
      <w:r>
        <w:fldChar w:fldCharType="separate"/>
      </w:r>
      <w:r>
        <w:rPr>
          <w:szCs w:val="24"/>
        </w:rPr>
        <w:t>Perols</w:t>
      </w:r>
      <w:proofErr w:type="spellEnd"/>
      <w:r>
        <w:rPr>
          <w:szCs w:val="24"/>
        </w:rPr>
        <w:t xml:space="preserve"> &amp; Lougee, 2011</w:t>
      </w:r>
      <w:r>
        <w:fldChar w:fldCharType="end"/>
      </w:r>
      <w:r>
        <w:t>), these studies support the usefulness of multi-indicator screening models while cautioning against interpreting a statistical flag as equivalent to confirmed misconduct.</w:t>
      </w:r>
    </w:p>
    <w:p w14:paraId="5EB7C857" w14:textId="77777777" w:rsidR="009E04F9" w:rsidRDefault="00000000">
      <w:pPr>
        <w:jc w:val="both"/>
      </w:pPr>
      <w:r>
        <w:t>This distinction is especially important in the present study. The dependent variable identifies whether a company's annual financial statements exhibit a combination of characteristics associated with earnings manipulation. The study therefore investigates conditions associated with being flagged as a likely manipulator, rather than determinants of legally proven fraud.</w:t>
      </w:r>
    </w:p>
    <w:p w14:paraId="4B8D8CB8" w14:textId="77777777" w:rsidR="009E04F9" w:rsidRDefault="00000000">
      <w:pPr>
        <w:spacing w:before="80"/>
      </w:pPr>
      <w:r>
        <w:rPr>
          <w:b/>
        </w:rPr>
        <w:t>2.2 Fraud Diamond Theory</w:t>
      </w:r>
    </w:p>
    <w:p w14:paraId="105C43E4" w14:textId="77777777" w:rsidR="009E04F9" w:rsidRDefault="00000000">
      <w:pPr>
        <w:jc w:val="both"/>
      </w:pPr>
      <w:r>
        <w:t xml:space="preserve">The theoretical foundation of the study is Fraud Diamond Theory. Cressey's original fraud triangle proposes that occupational fraud becomes more likely where an individual experiences non-shareable pressure, perceives an opportunity to commit the act and develops a </w:t>
      </w:r>
      <w:proofErr w:type="spellStart"/>
      <w:r>
        <w:t>rationalisation</w:t>
      </w:r>
      <w:proofErr w:type="spellEnd"/>
      <w:r>
        <w:t xml:space="preserve"> that enables the </w:t>
      </w:r>
      <w:proofErr w:type="spellStart"/>
      <w:r>
        <w:t>behaviour</w:t>
      </w:r>
      <w:proofErr w:type="spellEnd"/>
      <w:r>
        <w:t xml:space="preserve"> to remain compatible with the individual's self-conception. </w:t>
      </w:r>
      <w:hyperlink w:anchor="ref_Wolfe_2004" w:history="1">
        <w:r w:rsidR="009E04F9">
          <w:rPr>
            <w:szCs w:val="24"/>
          </w:rPr>
          <w:t>Wolfe and Hermanson (2004)</w:t>
        </w:r>
      </w:hyperlink>
      <w:r>
        <w:t xml:space="preserve"> extend this framework by arguing that the first three elements may be present without fraud occurring unless an individual possesses sufficient capability to exploit the opportunity.</w:t>
      </w:r>
    </w:p>
    <w:p w14:paraId="3EA53B86" w14:textId="77777777" w:rsidR="009E04F9" w:rsidRDefault="00000000">
      <w:pPr>
        <w:jc w:val="both"/>
      </w:pPr>
      <w:r>
        <w:t xml:space="preserve">The four dimensions therefore represent distinct mechanisms. Pressure concerns incentives or strains that make financial manipulation attractive. Opportunity concerns governance, control or monitoring weaknesses that reduce the expected probability of detection. </w:t>
      </w:r>
      <w:proofErr w:type="spellStart"/>
      <w:r>
        <w:t>Rationalisation</w:t>
      </w:r>
      <w:proofErr w:type="spellEnd"/>
      <w:r>
        <w:t xml:space="preserve"> concerns the cognitive justification through which questionable conduct is </w:t>
      </w:r>
      <w:proofErr w:type="spellStart"/>
      <w:r>
        <w:t>normalised</w:t>
      </w:r>
      <w:proofErr w:type="spellEnd"/>
      <w:r>
        <w:t>. Capability concerns the personal authority, knowledge and skill necessary to initiate, execute and conceal complex manipulation.</w:t>
      </w:r>
    </w:p>
    <w:p w14:paraId="63E95846" w14:textId="77777777" w:rsidR="009E04F9" w:rsidRDefault="00000000">
      <w:pPr>
        <w:jc w:val="both"/>
      </w:pPr>
      <w:r>
        <w:t xml:space="preserve">An important methodological implication follows. Archival financial data do not directly observe psychological pressure, </w:t>
      </w:r>
      <w:proofErr w:type="spellStart"/>
      <w:r>
        <w:t>rationalisation</w:t>
      </w:r>
      <w:proofErr w:type="spellEnd"/>
      <w:r>
        <w:t xml:space="preserve"> or capability. Rather, observable firm characteristics serve as risk indicators or proxies. High asset instability may indicate performance pressure; weak board monitoring may indicate opportunity; auditor turnover may signal conflict or </w:t>
      </w:r>
      <w:proofErr w:type="spellStart"/>
      <w:r>
        <w:t>rationalisation</w:t>
      </w:r>
      <w:proofErr w:type="spellEnd"/>
      <w:r>
        <w:t xml:space="preserve"> surrounding reporting choices; and CEO financial expertise may indicate capability. The interpretation should therefore be probabilistic rather than deterministic.</w:t>
      </w:r>
    </w:p>
    <w:p w14:paraId="09EC520B" w14:textId="77777777" w:rsidR="009E04F9" w:rsidRDefault="00000000">
      <w:pPr>
        <w:jc w:val="both"/>
      </w:pPr>
      <w:r>
        <w:lastRenderedPageBreak/>
        <w:t>This caveat is particularly important because prior fraud-diamond studies frequently equate proxies with the latent constructs themselves. The present study instead interprets each observable variable as an indicator consistent with a particular theoretical pathway.</w:t>
      </w:r>
    </w:p>
    <w:p w14:paraId="4A1436F4" w14:textId="77777777" w:rsidR="009E04F9" w:rsidRDefault="00000000">
      <w:pPr>
        <w:spacing w:before="80"/>
      </w:pPr>
      <w:r>
        <w:rPr>
          <w:b/>
        </w:rPr>
        <w:t>2.3 Pressure: financial instability and earnings manipulation risk</w:t>
      </w:r>
    </w:p>
    <w:p w14:paraId="048D0902" w14:textId="77777777" w:rsidR="009E04F9" w:rsidRDefault="00000000">
      <w:pPr>
        <w:jc w:val="both"/>
      </w:pPr>
      <w:r>
        <w:t xml:space="preserve">Pressure is commonly treated as an important precursor to financial reporting manipulation. Managers may face pressure to maintain creditworthiness, avoid covenant violations, achieve earnings targets, preserve access to external financing or prevent deterioration in market perceptions. </w:t>
      </w:r>
      <w:hyperlink w:anchor="ref_Skousen_2009" w:history="1">
        <w:r w:rsidR="009E04F9">
          <w:rPr>
            <w:szCs w:val="24"/>
          </w:rPr>
          <w:t>Skousen et al. (2009)</w:t>
        </w:r>
      </w:hyperlink>
      <w:r>
        <w:t xml:space="preserve"> document evidence that variables representing financial stability, external financing needs and performance pressures discriminate between fraud and non-fraud firms. High-quality archival evidence similarly connects executive incentives and financing constraints to misreporting risk. </w:t>
      </w:r>
      <w:hyperlink w:anchor="ref_Burns_2006" w:history="1">
        <w:r w:rsidR="009E04F9">
          <w:rPr>
            <w:szCs w:val="24"/>
          </w:rPr>
          <w:t>Burns and Kedia (2006)</w:t>
        </w:r>
      </w:hyperlink>
      <w:r>
        <w:t xml:space="preserve"> show that the sensitivity of CEO option portfolios to stock price is positively related to the propensity to misreport, while </w:t>
      </w:r>
      <w:hyperlink w:anchor="ref_Efendi_2007" w:history="1">
        <w:r w:rsidR="009E04F9">
          <w:rPr>
            <w:szCs w:val="24"/>
          </w:rPr>
          <w:t>Efendi et al. (2007)</w:t>
        </w:r>
      </w:hyperlink>
      <w:r>
        <w:t xml:space="preserve"> report greater misstatement likelihood where firms face debt-covenant constraints, capital-raising pressures and strong option-related incentives. These findings support the broader Fraud Diamond proposition that financial and performance pressures can heighten incentives for reporting manipulation.</w:t>
      </w:r>
    </w:p>
    <w:p w14:paraId="319F4774" w14:textId="77777777" w:rsidR="009E04F9" w:rsidRDefault="00000000">
      <w:pPr>
        <w:jc w:val="both"/>
      </w:pPr>
      <w:r>
        <w:t xml:space="preserve">Financial instability is represented by asset change (ACHANGE), measured as the annual change in total assets relative to prior-year total assets. Rapid expansion may increase financing needs, </w:t>
      </w:r>
      <w:proofErr w:type="spellStart"/>
      <w:r>
        <w:t>organisational</w:t>
      </w:r>
      <w:proofErr w:type="spellEnd"/>
      <w:r>
        <w:t xml:space="preserve"> complexity and expectations that management will sustain historical performance, while sharp contraction may signal distress and create pressure to present financial conditions more </w:t>
      </w:r>
      <w:proofErr w:type="spellStart"/>
      <w:r>
        <w:t>favourably</w:t>
      </w:r>
      <w:proofErr w:type="spellEnd"/>
      <w:r>
        <w:t>. Asset growth therefore provides an observable firm-level indicator of the pressure dimension of Fraud Diamond Theory.</w:t>
      </w:r>
    </w:p>
    <w:p w14:paraId="4684E9AF" w14:textId="77777777" w:rsidR="009E04F9" w:rsidRDefault="00000000">
      <w:pPr>
        <w:jc w:val="both"/>
      </w:pPr>
      <w:r>
        <w:t>Asset change captures instability or unusually rapid shifts in the scale of the firm. Rapid expansion can create pressure to maintain historical growth rates, support external financing requirements and justify optimistic valuations. Conversely, sharp contraction may indicate deteriorating financial health and increase incentives to mask poor performance. The source data show substantial dispersion in asset change across the sampled firms, supporting its use as a meaningful measure of financial instability.</w:t>
      </w:r>
    </w:p>
    <w:p w14:paraId="7405AF6B" w14:textId="77777777" w:rsidR="009E04F9" w:rsidRDefault="00000000">
      <w:pPr>
        <w:jc w:val="both"/>
      </w:pPr>
      <w:r>
        <w:t xml:space="preserve">The relevant theoretical prediction is that larger positive changes in assets, particularly rapid expansion, are associated with greater pressure to sustain </w:t>
      </w:r>
      <w:proofErr w:type="spellStart"/>
      <w:r>
        <w:t>favourable</w:t>
      </w:r>
      <w:proofErr w:type="spellEnd"/>
      <w:r>
        <w:t xml:space="preserve"> financial reporting. Consistent with Fraud Diamond Theory and prior archival evidence, the first hypothesis is:</w:t>
      </w:r>
    </w:p>
    <w:p w14:paraId="19279BB4" w14:textId="77777777" w:rsidR="009E04F9" w:rsidRDefault="00000000">
      <w:pPr>
        <w:jc w:val="both"/>
      </w:pPr>
      <w:r>
        <w:rPr>
          <w:b/>
        </w:rPr>
        <w:t xml:space="preserve">H1: Greater asset growth is positively associated with the likelihood that a listed Nigerian manufacturing firm is classified as a </w:t>
      </w:r>
      <w:proofErr w:type="spellStart"/>
      <w:r>
        <w:rPr>
          <w:b/>
        </w:rPr>
        <w:t>Beneish</w:t>
      </w:r>
      <w:proofErr w:type="spellEnd"/>
      <w:r>
        <w:rPr>
          <w:b/>
        </w:rPr>
        <w:t>-flagged earnings manipulator.</w:t>
      </w:r>
    </w:p>
    <w:p w14:paraId="1F8CF75F" w14:textId="77777777" w:rsidR="009E04F9" w:rsidRDefault="00000000">
      <w:pPr>
        <w:spacing w:before="80"/>
      </w:pPr>
      <w:r>
        <w:rPr>
          <w:b/>
        </w:rPr>
        <w:lastRenderedPageBreak/>
        <w:t>2.4 Opportunity and board independence</w:t>
      </w:r>
    </w:p>
    <w:p w14:paraId="7DFACD14" w14:textId="77777777" w:rsidR="009E04F9" w:rsidRDefault="00000000">
      <w:pPr>
        <w:jc w:val="both"/>
      </w:pPr>
      <w:r>
        <w:t xml:space="preserve">Opportunity concerns the </w:t>
      </w:r>
      <w:proofErr w:type="spellStart"/>
      <w:r>
        <w:t>organisational</w:t>
      </w:r>
      <w:proofErr w:type="spellEnd"/>
      <w:r>
        <w:t xml:space="preserve"> conditions that allow manipulation to occur with a lower perceived probability of detection. Weak board oversight, ineffective internal control, managerial dominance and insufficiently independent monitoring can expand such opportunities. </w:t>
      </w:r>
      <w:hyperlink w:anchor="ref_Donelson_2017" w:history="1">
        <w:r w:rsidR="009E04F9">
          <w:rPr>
            <w:szCs w:val="24"/>
          </w:rPr>
          <w:t>Donelson et al. (2017)</w:t>
        </w:r>
      </w:hyperlink>
      <w:r>
        <w:t xml:space="preserve"> provide particularly relevant evidence: material internal-control weaknesses are associated with a greater likelihood of future financial reporting fraud, with the evidence supporting an opportunity-based mechanism rather than merely </w:t>
      </w:r>
      <w:proofErr w:type="spellStart"/>
      <w:r>
        <w:t>signalling</w:t>
      </w:r>
      <w:proofErr w:type="spellEnd"/>
      <w:r>
        <w:t xml:space="preserve"> poor reporting quality. This suggests that opportunity should be understood as a substantive control environment, not simply as a formal governance characteristic.</w:t>
      </w:r>
    </w:p>
    <w:p w14:paraId="199A62BE" w14:textId="77777777" w:rsidR="009E04F9" w:rsidRDefault="00000000">
      <w:pPr>
        <w:jc w:val="both"/>
      </w:pPr>
      <w:r>
        <w:t xml:space="preserve">Board independence is therefore an important governance mechanism, but the evidence indicates that independence is most effective when accompanied by active and financially competent oversight. </w:t>
      </w:r>
      <w:hyperlink w:anchor="ref_Beasley_1996" w:history="1">
        <w:r w:rsidR="009E04F9">
          <w:rPr>
            <w:szCs w:val="24"/>
          </w:rPr>
          <w:t>Beasley (1996)</w:t>
        </w:r>
      </w:hyperlink>
      <w:r>
        <w:t xml:space="preserve"> reports that firms without identified financial statement fraud have significantly higher proportions of outside directors, and </w:t>
      </w:r>
      <w:hyperlink w:anchor="ref_Beasley_2000" w:history="1">
        <w:r w:rsidR="009E04F9">
          <w:rPr>
            <w:szCs w:val="24"/>
          </w:rPr>
          <w:t>Beasley et al. (2000)</w:t>
        </w:r>
      </w:hyperlink>
      <w:r>
        <w:t xml:space="preserve"> find weaker board and audit-committee independence among fraud firms across several industries. </w:t>
      </w:r>
      <w:hyperlink w:anchor="ref_Klein_2002" w:history="1">
        <w:r w:rsidR="009E04F9">
          <w:rPr>
            <w:szCs w:val="24"/>
          </w:rPr>
          <w:t>Klein (2002)</w:t>
        </w:r>
      </w:hyperlink>
      <w:r>
        <w:t xml:space="preserve"> documents a negative relation between board and audit-committee independence and abnormal accruals, while </w:t>
      </w:r>
      <w:hyperlink w:anchor="ref_Xie_2003" w:history="1">
        <w:r w:rsidR="009E04F9">
          <w:rPr>
            <w:szCs w:val="24"/>
          </w:rPr>
          <w:t>Xie et al. (2003)</w:t>
        </w:r>
      </w:hyperlink>
      <w:r>
        <w:t xml:space="preserve"> show that financially sophisticated and more active boards and audit committees are associated with lower discretionary accruals. </w:t>
      </w:r>
      <w:hyperlink w:anchor="ref_Abbott_2004" w:history="1">
        <w:r w:rsidR="009E04F9">
          <w:rPr>
            <w:szCs w:val="24"/>
          </w:rPr>
          <w:t>Abbott et al. (2004)</w:t>
        </w:r>
      </w:hyperlink>
      <w:r>
        <w:t xml:space="preserve"> similarly find that audit-committee independence, activity and financial expertise are negatively associated with financial restatements. </w:t>
      </w:r>
      <w:hyperlink w:anchor="ref_Farber_2005" w:history="1">
        <w:r w:rsidR="009E04F9">
          <w:rPr>
            <w:szCs w:val="24"/>
          </w:rPr>
          <w:t>Farber (2005)</w:t>
        </w:r>
      </w:hyperlink>
      <w:r>
        <w:t xml:space="preserve"> further shows that firms identified with fraud subsequently strengthen governance structures, suggesting that markets and boards treat weak governance as a credibility problem. Taken together, these studies support the monitoring role of independent governance while also cautioning against equating formal independence with effective oversight.</w:t>
      </w:r>
    </w:p>
    <w:p w14:paraId="52CACAD8" w14:textId="77777777" w:rsidR="009E04F9" w:rsidRDefault="00000000">
      <w:pPr>
        <w:jc w:val="both"/>
      </w:pPr>
      <w:r>
        <w:t>The Nigerian governance environment reinforces this theoretical role. The Nigerian Code of Corporate Governance explicitly distinguishes independent non-executive directors and assigns important oversight functions to board committees, risk management, internal audit and external assurance. Formal independence, however, may not necessarily translate into substantive monitoring where directors lack information, expertise or willingness to challenge dominant management.</w:t>
      </w:r>
    </w:p>
    <w:p w14:paraId="48D4A6AC" w14:textId="77777777" w:rsidR="009E04F9" w:rsidRDefault="00000000">
      <w:pPr>
        <w:jc w:val="both"/>
      </w:pPr>
      <w:r>
        <w:t>Board independence (BDOUT) is measured as the proportion of independent board members to total board membership. A higher proportion of independent directors is expected to strengthen objective monitoring of executive decisions and reduce opportunities for opportunistic financial reporting. Accordingly:</w:t>
      </w:r>
    </w:p>
    <w:p w14:paraId="210AE509" w14:textId="77777777" w:rsidR="009E04F9" w:rsidRDefault="00000000">
      <w:pPr>
        <w:jc w:val="both"/>
      </w:pPr>
      <w:r>
        <w:rPr>
          <w:b/>
        </w:rPr>
        <w:lastRenderedPageBreak/>
        <w:t xml:space="preserve">H2: Board independence is negatively associated with the likelihood that a listed Nigerian manufacturing firm is classified as a </w:t>
      </w:r>
      <w:proofErr w:type="spellStart"/>
      <w:r>
        <w:rPr>
          <w:b/>
        </w:rPr>
        <w:t>Beneish</w:t>
      </w:r>
      <w:proofErr w:type="spellEnd"/>
      <w:r>
        <w:rPr>
          <w:b/>
        </w:rPr>
        <w:t>-flagged earnings manipulator.</w:t>
      </w:r>
    </w:p>
    <w:p w14:paraId="3A0147DC" w14:textId="77777777" w:rsidR="009E04F9" w:rsidRDefault="00000000">
      <w:pPr>
        <w:spacing w:before="80"/>
      </w:pPr>
      <w:r>
        <w:rPr>
          <w:b/>
        </w:rPr>
        <w:t>2.5 Opportunity and managerial ownership</w:t>
      </w:r>
    </w:p>
    <w:p w14:paraId="5E2EA899" w14:textId="77777777" w:rsidR="009E04F9" w:rsidRDefault="00000000">
      <w:pPr>
        <w:jc w:val="both"/>
      </w:pPr>
      <w:r>
        <w:t xml:space="preserve">Ownership structure may influence manipulation through two competing mechanisms. The alignment argument suggests that managerial share ownership aligns managers' wealth with shareholder value and reduces incentives for opportunistic reporting. </w:t>
      </w:r>
      <w:hyperlink w:anchor="ref_Warfield_1995" w:history="1">
        <w:r w:rsidR="009E04F9">
          <w:rPr>
            <w:szCs w:val="24"/>
          </w:rPr>
          <w:t>Warfield et al. (1995)</w:t>
        </w:r>
      </w:hyperlink>
      <w:r>
        <w:t xml:space="preserve"> provide evidence consistent with this view: managerial ownership is positively associated with earnings informativeness and negatively associated with the magnitude of discretionary accounting accrual adjustments. In contrast, the entrenchment argument proposes that substantial insider or controlling ownership strengthens managerial control, weakens external discipline and increases managers' capacity to resist monitoring. </w:t>
      </w:r>
      <w:hyperlink w:anchor="ref_Fan_2002" w:history="1">
        <w:r w:rsidR="009E04F9">
          <w:rPr>
            <w:szCs w:val="24"/>
          </w:rPr>
          <w:t>Fan and Wong (2002)</w:t>
        </w:r>
      </w:hyperlink>
      <w:r>
        <w:t>, studying East Asian firms, show that concentrated control can reduce the informativeness of reported earnings where controlling owners possess incentives to report accounting information for private purposes. These competing mechanisms make the sign of managerial ownership an empirical issue rather than a foregone conclusion.</w:t>
      </w:r>
    </w:p>
    <w:p w14:paraId="3F06E214" w14:textId="77777777" w:rsidR="009E04F9" w:rsidRDefault="00000000">
      <w:pPr>
        <w:jc w:val="both"/>
      </w:pPr>
      <w:r>
        <w:t xml:space="preserve">Fraud-risk research provides additional support for the importance of ownership structure. </w:t>
      </w:r>
      <w:hyperlink w:anchor="ref_Skousen_2009" w:history="1">
        <w:r w:rsidR="009E04F9">
          <w:rPr>
            <w:szCs w:val="24"/>
          </w:rPr>
          <w:t>Skousen et al. (2009)</w:t>
        </w:r>
      </w:hyperlink>
      <w:r>
        <w:t xml:space="preserve"> report that internal and external ownership characteristics are associated with the incidence of fraudulent financial reporting. Nigerian evidence similarly indicates that ownership structure can be relevant to financial reporting outcomes (</w:t>
      </w:r>
      <w:hyperlink w:anchor="ref_Ogbodo_2023" w:history="1">
        <w:r w:rsidR="009E04F9">
          <w:rPr>
            <w:szCs w:val="24"/>
          </w:rPr>
          <w:t>Ogbodo et al., 2023</w:t>
        </w:r>
      </w:hyperlink>
      <w:r>
        <w:t>). Accordingly, managerial ownership in the present study is interpreted as a governance condition with potentially competing alignment and entrenchment effects rather than as an unambiguous proxy for fraud opportunity.</w:t>
      </w:r>
    </w:p>
    <w:p w14:paraId="061BF3B5" w14:textId="77777777" w:rsidR="009E04F9" w:rsidRDefault="00000000">
      <w:pPr>
        <w:jc w:val="both"/>
      </w:pPr>
      <w:r>
        <w:t>Managerial ownership is measured as the proportion of outstanding ordinary shares held by management or directors. The sample exhibits substantial dispersion in insider ownership, making the Nigerian manufacturing sector useful for examining whether ownership functions primarily as an alignment or entrenchment mechanism.</w:t>
      </w:r>
    </w:p>
    <w:p w14:paraId="79612371" w14:textId="77777777" w:rsidR="009E04F9" w:rsidRDefault="00000000">
      <w:pPr>
        <w:jc w:val="both"/>
      </w:pPr>
      <w:r>
        <w:t>Within the Fraud Diamond's opportunity logic, concentrated managerial ownership may increase the ability of powerful insiders to influence reporting processes and weaken effective challenge. The study therefore adopts the entrenchment prediction:</w:t>
      </w:r>
    </w:p>
    <w:p w14:paraId="1E99AB33" w14:textId="77777777" w:rsidR="009E04F9" w:rsidRDefault="00000000">
      <w:pPr>
        <w:jc w:val="both"/>
      </w:pPr>
      <w:r>
        <w:rPr>
          <w:b/>
        </w:rPr>
        <w:t xml:space="preserve">H3: Managerial ownership is positively associated with the likelihood that a listed Nigerian manufacturing firm is classified as a </w:t>
      </w:r>
      <w:proofErr w:type="spellStart"/>
      <w:r>
        <w:rPr>
          <w:b/>
        </w:rPr>
        <w:t>Beneish</w:t>
      </w:r>
      <w:proofErr w:type="spellEnd"/>
      <w:r>
        <w:rPr>
          <w:b/>
        </w:rPr>
        <w:t>-flagged earnings manipulator.</w:t>
      </w:r>
    </w:p>
    <w:p w14:paraId="084994D4" w14:textId="77777777" w:rsidR="009E04F9" w:rsidRDefault="00000000">
      <w:pPr>
        <w:jc w:val="both"/>
      </w:pPr>
      <w:r>
        <w:t>This directional prediction does not rule out the possibility that the empirical evidence will instead support the competing alignment mechanism.</w:t>
      </w:r>
    </w:p>
    <w:p w14:paraId="09DF3F91" w14:textId="77777777" w:rsidR="009E04F9" w:rsidRDefault="00000000">
      <w:pPr>
        <w:spacing w:before="80"/>
      </w:pPr>
      <w:r>
        <w:rPr>
          <w:b/>
        </w:rPr>
        <w:lastRenderedPageBreak/>
        <w:t xml:space="preserve">2.6 </w:t>
      </w:r>
      <w:proofErr w:type="spellStart"/>
      <w:r>
        <w:rPr>
          <w:b/>
        </w:rPr>
        <w:t>Rationalisation</w:t>
      </w:r>
      <w:proofErr w:type="spellEnd"/>
      <w:r>
        <w:rPr>
          <w:b/>
        </w:rPr>
        <w:t xml:space="preserve"> and auditor change</w:t>
      </w:r>
    </w:p>
    <w:p w14:paraId="54965A24" w14:textId="77777777" w:rsidR="009E04F9" w:rsidRDefault="00000000">
      <w:pPr>
        <w:jc w:val="both"/>
      </w:pPr>
      <w:proofErr w:type="spellStart"/>
      <w:r>
        <w:t>Rationalisation</w:t>
      </w:r>
      <w:proofErr w:type="spellEnd"/>
      <w:r>
        <w:t xml:space="preserve"> is the most difficult Fraud Diamond dimension to observe using archival data because it concerns an individual's cognitive justification for misconduct. Auditor change does not directly measure </w:t>
      </w:r>
      <w:proofErr w:type="spellStart"/>
      <w:r>
        <w:t>rationalisation</w:t>
      </w:r>
      <w:proofErr w:type="spellEnd"/>
      <w:r>
        <w:t>. Rather, it may function as an observable red flag associated with disagreements over reporting judgements, attempts to obtain more accommodating audit treatment, or changes in the firm's reporting environment.</w:t>
      </w:r>
    </w:p>
    <w:p w14:paraId="270D0753" w14:textId="77777777" w:rsidR="009E04F9" w:rsidRDefault="00000000">
      <w:pPr>
        <w:jc w:val="both"/>
      </w:pPr>
      <w:r>
        <w:t xml:space="preserve">Auditor turnover may arise for entirely legitimate reasons, including mandatory rotation, procurement processes, fee disputes or changes in company requirements. Consequently, an auditor change should never itself be interpreted as evidence of manipulation. Nevertheless, changes in the auditor-client relationship can be informative where financial-reporting conflicts are present. </w:t>
      </w:r>
      <w:hyperlink w:anchor="ref_Lennox_2000" w:history="1">
        <w:r w:rsidR="009E04F9">
          <w:rPr>
            <w:szCs w:val="24"/>
          </w:rPr>
          <w:t>Lennox (2000)</w:t>
        </w:r>
      </w:hyperlink>
      <w:r>
        <w:t xml:space="preserve"> finds evidence consistent with successful audit opinion-shopping in the United Kingdom, demonstrating that auditor-switch decisions can be associated with the audit opinion a company expects to receive. This does not imply that every switch is opportunistic, but it supports treating auditor change as a red-flag variable whose meaning depends on context. Auditor turnover is therefore interpreted cautiously as an observable change in the reporting environment rather than a direct measure of </w:t>
      </w:r>
      <w:proofErr w:type="spellStart"/>
      <w:r>
        <w:t>rationalisation</w:t>
      </w:r>
      <w:proofErr w:type="spellEnd"/>
      <w:r>
        <w:t>.</w:t>
      </w:r>
    </w:p>
    <w:p w14:paraId="39DEB260" w14:textId="77777777" w:rsidR="009E04F9" w:rsidRDefault="00000000">
      <w:pPr>
        <w:jc w:val="both"/>
      </w:pPr>
      <w:r>
        <w:t xml:space="preserve">Auditor change (AC) is coded one where the external auditor changes in a firm-year and zero otherwise. Within the Fraud Diamond framework, auditor turnover is treated as an observable reporting-environment red flag rather than direct evidence of </w:t>
      </w:r>
      <w:proofErr w:type="spellStart"/>
      <w:r>
        <w:t>rationalisation</w:t>
      </w:r>
      <w:proofErr w:type="spellEnd"/>
      <w:r>
        <w:t xml:space="preserve"> or manipulation.</w:t>
      </w:r>
    </w:p>
    <w:p w14:paraId="2F6DE1B2" w14:textId="77777777" w:rsidR="009E04F9" w:rsidRDefault="00000000">
      <w:pPr>
        <w:jc w:val="both"/>
      </w:pPr>
      <w:r>
        <w:t>The Nigerian context makes the variable additionally relevant because external audit forms an explicit component of the country's corporate-governance assurance architecture. However, the expected association should be interpreted as a red-flag relationship rather than a causal statement that changing auditors produces manipulation. Accordingly:</w:t>
      </w:r>
    </w:p>
    <w:p w14:paraId="257834D2" w14:textId="77777777" w:rsidR="009E04F9" w:rsidRDefault="00000000">
      <w:pPr>
        <w:jc w:val="both"/>
      </w:pPr>
      <w:r>
        <w:rPr>
          <w:b/>
        </w:rPr>
        <w:t xml:space="preserve">H4: Auditor change is positively associated with the likelihood that a listed Nigerian manufacturing firm is classified as a </w:t>
      </w:r>
      <w:proofErr w:type="spellStart"/>
      <w:r>
        <w:rPr>
          <w:b/>
        </w:rPr>
        <w:t>Beneish</w:t>
      </w:r>
      <w:proofErr w:type="spellEnd"/>
      <w:r>
        <w:rPr>
          <w:b/>
        </w:rPr>
        <w:t>-flagged earnings manipulator.</w:t>
      </w:r>
    </w:p>
    <w:p w14:paraId="0F8F16E3" w14:textId="77777777" w:rsidR="009E04F9" w:rsidRDefault="00000000">
      <w:pPr>
        <w:spacing w:before="80"/>
      </w:pPr>
      <w:r>
        <w:rPr>
          <w:b/>
        </w:rPr>
        <w:t>2.7 Capability and CEO financial expertise</w:t>
      </w:r>
    </w:p>
    <w:p w14:paraId="7F6DB796" w14:textId="77777777" w:rsidR="009E04F9" w:rsidRDefault="009E04F9">
      <w:pPr>
        <w:jc w:val="both"/>
      </w:pPr>
      <w:hyperlink w:anchor="ref_Wolfe_2004" w:history="1">
        <w:r>
          <w:rPr>
            <w:szCs w:val="24"/>
          </w:rPr>
          <w:t>Wolfe and Hermanson's</w:t>
        </w:r>
      </w:hyperlink>
      <w:r>
        <w:t xml:space="preserve"> principal contribution to the fraud triangle is the proposition that fraud requires an individual who possesses sufficient capability to exploit the combination of pressure, opportunity and </w:t>
      </w:r>
      <w:proofErr w:type="spellStart"/>
      <w:r>
        <w:t>rationalisation</w:t>
      </w:r>
      <w:proofErr w:type="spellEnd"/>
      <w:r>
        <w:t xml:space="preserve">. Capability involves more than technical education. It includes </w:t>
      </w:r>
      <w:proofErr w:type="spellStart"/>
      <w:r>
        <w:t>organisational</w:t>
      </w:r>
      <w:proofErr w:type="spellEnd"/>
      <w:r>
        <w:t xml:space="preserve"> position, intelligence, confidence, coercive capacity, persuasive ability and the psychological capacity to cope with concealment.</w:t>
      </w:r>
    </w:p>
    <w:p w14:paraId="2F28ED61" w14:textId="77777777" w:rsidR="009E04F9" w:rsidRDefault="00000000">
      <w:pPr>
        <w:jc w:val="both"/>
      </w:pPr>
      <w:r>
        <w:lastRenderedPageBreak/>
        <w:t>CEO financial expertise is therefore an imperfect but theoretically relevant archival proxy. Financially knowledgeable executives may better understand complex accounting rules, estimates and disclosure requirements. Under the capability mechanism, such knowledge could increase an executive's ability to structure difficult-to-detect manipulation. Yet the same expertise could improve reporting quality through stronger financial understanding and monitoring.</w:t>
      </w:r>
    </w:p>
    <w:p w14:paraId="50276DB1" w14:textId="77777777" w:rsidR="009E04F9" w:rsidRDefault="00000000">
      <w:pPr>
        <w:jc w:val="both"/>
      </w:pPr>
      <w:r>
        <w:t xml:space="preserve">Existing empirical evidence reflects this ambiguity. </w:t>
      </w:r>
      <w:hyperlink w:anchor="ref_Jiang_2013" w:history="1">
        <w:r w:rsidR="009E04F9">
          <w:rPr>
            <w:szCs w:val="24"/>
          </w:rPr>
          <w:t>Jiang et al. (2013)</w:t>
        </w:r>
      </w:hyperlink>
      <w:r>
        <w:t xml:space="preserve"> find that CEOs with financial experience engage in less real earnings management, suggesting a financial-reporting-quality effect. More broadly, governance research indicates that financial expertise can strengthen monitoring: </w:t>
      </w:r>
      <w:hyperlink w:anchor="ref_Abbott_2004" w:history="1">
        <w:r w:rsidR="009E04F9">
          <w:rPr>
            <w:szCs w:val="24"/>
          </w:rPr>
          <w:t>Abbott et al. (2004)</w:t>
        </w:r>
      </w:hyperlink>
      <w:r>
        <w:t xml:space="preserve"> find that audit committees containing financial expertise are associated with a lower likelihood of restatement. At the same time, technical accounting knowledge can increase an executive's capacity to understand and exploit complex reporting choices when incentives </w:t>
      </w:r>
      <w:proofErr w:type="spellStart"/>
      <w:r>
        <w:t>favour</w:t>
      </w:r>
      <w:proofErr w:type="spellEnd"/>
      <w:r>
        <w:t xml:space="preserve"> manipulation. Related evidence on material accounting manipulation demonstrates that executive power and incentives can be important in explaining senior financial officers' participation in reporting manipulation (</w:t>
      </w:r>
      <w:hyperlink w:anchor="ref_Feng_2011" w:history="1">
        <w:r w:rsidR="009E04F9">
          <w:rPr>
            <w:szCs w:val="24"/>
          </w:rPr>
          <w:t>Feng et al., 2011</w:t>
        </w:r>
      </w:hyperlink>
      <w:r>
        <w:t>). CEO financial expertise is therefore treated as a capability indicator whose empirical sign remains theoretically ambiguous.</w:t>
      </w:r>
    </w:p>
    <w:p w14:paraId="13A7F5C5" w14:textId="77777777" w:rsidR="009E04F9" w:rsidRDefault="00000000">
      <w:pPr>
        <w:jc w:val="both"/>
      </w:pPr>
      <w:r>
        <w:t xml:space="preserve">The present study uses CEO financial expertise as an observable capability indicator. Because Fraud Diamond Theory </w:t>
      </w:r>
      <w:proofErr w:type="spellStart"/>
      <w:r>
        <w:t>emphasises</w:t>
      </w:r>
      <w:proofErr w:type="spellEnd"/>
      <w:r>
        <w:t xml:space="preserve"> ability to execute manipulation rather than the governance benefits of financial competence, the theoretical prediction is:</w:t>
      </w:r>
    </w:p>
    <w:p w14:paraId="2D8C5192" w14:textId="77777777" w:rsidR="009E04F9" w:rsidRDefault="00000000">
      <w:pPr>
        <w:jc w:val="both"/>
      </w:pPr>
      <w:r>
        <w:rPr>
          <w:b/>
        </w:rPr>
        <w:t xml:space="preserve">H5: CEO financial expertise is positively associated with the likelihood that a listed Nigerian manufacturing firm is classified as a </w:t>
      </w:r>
      <w:proofErr w:type="spellStart"/>
      <w:r>
        <w:rPr>
          <w:b/>
        </w:rPr>
        <w:t>Beneish</w:t>
      </w:r>
      <w:proofErr w:type="spellEnd"/>
      <w:r>
        <w:rPr>
          <w:b/>
        </w:rPr>
        <w:t>-flagged earnings manipulator.</w:t>
      </w:r>
    </w:p>
    <w:p w14:paraId="7B22210E" w14:textId="77777777" w:rsidR="009E04F9" w:rsidRDefault="00000000">
      <w:pPr>
        <w:jc w:val="both"/>
      </w:pPr>
      <w:r>
        <w:t>A non-significant or negative result would support the competing interpretation that financial expertise improves rather than compromises reporting quality.</w:t>
      </w:r>
    </w:p>
    <w:p w14:paraId="675B202D" w14:textId="77777777" w:rsidR="009E04F9" w:rsidRDefault="00000000">
      <w:pPr>
        <w:spacing w:before="80"/>
      </w:pPr>
      <w:r>
        <w:rPr>
          <w:b/>
        </w:rPr>
        <w:t>2.8 Research gap and conceptual synthesis</w:t>
      </w:r>
    </w:p>
    <w:p w14:paraId="2DEE558F" w14:textId="77777777" w:rsidR="009E04F9" w:rsidRDefault="00000000">
      <w:pPr>
        <w:jc w:val="both"/>
      </w:pPr>
      <w:r>
        <w:t>The literature therefore provides plausible theoretical mechanisms linking financial instability, monitoring, ownership, auditor relationships and managerial capability to financial-reporting manipulation, but the empirical evidence is far from uniform. This inconsistency may partly arise from institutional differences, proxy choice and, importantly, measurement design.</w:t>
      </w:r>
    </w:p>
    <w:p w14:paraId="2B55286A" w14:textId="77777777" w:rsidR="009E04F9" w:rsidRDefault="00000000">
      <w:pPr>
        <w:jc w:val="both"/>
      </w:pPr>
      <w:r>
        <w:t xml:space="preserve">Taken together, the literature suggests that the four Fraud Diamond dimensions need not have equal empirical relevance. Financial instability may intensify reporting pressure; board independence and ownership structure may alter the opportunity environment; auditor change </w:t>
      </w:r>
      <w:r>
        <w:lastRenderedPageBreak/>
        <w:t>may capture reporting tension surrounding the audit relationship; and CEO financial expertise may affect managerial capability. The empirical analysis therefore evaluates five observable indicators corresponding to these theoretical channels:</w:t>
      </w:r>
    </w:p>
    <w:p w14:paraId="7CFC3FB3" w14:textId="77777777" w:rsidR="009E04F9" w:rsidRDefault="00000000">
      <w:pPr>
        <w:jc w:val="both"/>
      </w:pPr>
      <w:r>
        <w:t xml:space="preserve">Pressure: ACHANGE; Opportunity: board independence and managerial ownership; </w:t>
      </w:r>
      <w:proofErr w:type="spellStart"/>
      <w:r>
        <w:t>Rationalisation</w:t>
      </w:r>
      <w:proofErr w:type="spellEnd"/>
      <w:r>
        <w:t xml:space="preserve"> indicator: auditor change; Capability: CEO financial expertise.</w:t>
      </w:r>
    </w:p>
    <w:p w14:paraId="7424A405" w14:textId="77777777" w:rsidR="009E04F9" w:rsidRDefault="00000000">
      <w:pPr>
        <w:jc w:val="both"/>
      </w:pPr>
      <w:r>
        <w:t>The resulting framework permits the study to assess the relative empirical informativeness of the Fraud Diamond dimensions while also examining whether any observed associations persist beyond the contemporaneous reporting period.</w:t>
      </w:r>
    </w:p>
    <w:p w14:paraId="3CB54688" w14:textId="77777777" w:rsidR="009E04F9" w:rsidRDefault="00000000">
      <w:pPr>
        <w:spacing w:before="120"/>
        <w:jc w:val="both"/>
      </w:pPr>
      <w:r>
        <w:rPr>
          <w:b/>
        </w:rPr>
        <w:t>3. Methodology</w:t>
      </w:r>
    </w:p>
    <w:p w14:paraId="115FACD8" w14:textId="77777777" w:rsidR="009E04F9" w:rsidRDefault="00000000">
      <w:pPr>
        <w:spacing w:before="80"/>
      </w:pPr>
      <w:r>
        <w:rPr>
          <w:b/>
        </w:rPr>
        <w:t>3.1 Research design and analytical sample</w:t>
      </w:r>
    </w:p>
    <w:p w14:paraId="1E76A15A" w14:textId="77777777" w:rsidR="009E04F9" w:rsidRDefault="00000000">
      <w:pPr>
        <w:jc w:val="both"/>
      </w:pPr>
      <w:r>
        <w:t xml:space="preserve">The study adopts an archival longitudinal design based on audited annual reports and governance disclosures of listed Nigerian manufacturing companies. The underlying financial statements cover 2013–2022 so that prior-year information required by the </w:t>
      </w:r>
      <w:proofErr w:type="spellStart"/>
      <w:r>
        <w:t>Beneish</w:t>
      </w:r>
      <w:proofErr w:type="spellEnd"/>
      <w:r>
        <w:t xml:space="preserve"> indices can be constructed, while the analytical panel spans 2014–2022. The population comprises 45 manufacturing firms, of which 40 have sufficient data for inclusion. The final contemporaneous sample contains 340 firm-year observations. The panel is mildly unbalanced, with annual observations ranging from 31 in 2022 to 40 in 2014 and 2015. The unit of analysis is the firm-year.</w:t>
      </w:r>
    </w:p>
    <w:p w14:paraId="4818CD17" w14:textId="77777777" w:rsidR="009E04F9" w:rsidRDefault="00000000">
      <w:pPr>
        <w:jc w:val="both"/>
      </w:pPr>
      <w:r>
        <w:t xml:space="preserve">The repeated-observation structure requires an estimator that accounts for within-firm dependence. The primary model therefore uses population-averaged logistic regression estimated through </w:t>
      </w:r>
      <w:proofErr w:type="spellStart"/>
      <w:r>
        <w:t>generalised</w:t>
      </w:r>
      <w:proofErr w:type="spellEnd"/>
      <w:r>
        <w:t xml:space="preserve"> estimating equations (GEE). </w:t>
      </w:r>
      <w:hyperlink w:anchor="ref_Liang_1986" w:history="1">
        <w:r w:rsidR="009E04F9">
          <w:rPr>
            <w:szCs w:val="24"/>
          </w:rPr>
          <w:t>Liang and Zeger (1986)</w:t>
        </w:r>
      </w:hyperlink>
      <w:r>
        <w:t xml:space="preserve"> show that GEE provides consistent estimation of marginal regression parameters for longitudinal outcomes under mild assumptions regarding the within-cluster dependence structure. An exchangeable working-correlation structure is used because observations from the same firm are expected to share persistent reporting, governance and </w:t>
      </w:r>
      <w:proofErr w:type="spellStart"/>
      <w:r>
        <w:t>organisational</w:t>
      </w:r>
      <w:proofErr w:type="spellEnd"/>
      <w:r>
        <w:t xml:space="preserve"> characteristics. With 40 firms, conventional sandwich covariance estimates may understate uncertainty; consequently, the principal inference uses the bias-reduced covariance estimator proposed by </w:t>
      </w:r>
      <w:hyperlink w:anchor="ref_Mancl_2001" w:history="1">
        <w:r w:rsidR="009E04F9">
          <w:rPr>
            <w:szCs w:val="24"/>
          </w:rPr>
          <w:t>Mancl and DeRouen (2001)</w:t>
        </w:r>
      </w:hyperlink>
      <w:r>
        <w:t>, which improves small-sample properties when the number of independent clusters is modest.</w:t>
      </w:r>
    </w:p>
    <w:p w14:paraId="7A80CB8F" w14:textId="77777777" w:rsidR="009E04F9" w:rsidRDefault="00000000">
      <w:pPr>
        <w:spacing w:before="80"/>
      </w:pPr>
      <w:r>
        <w:rPr>
          <w:b/>
        </w:rPr>
        <w:t xml:space="preserve">3.2 Measurement of </w:t>
      </w:r>
      <w:proofErr w:type="spellStart"/>
      <w:r>
        <w:rPr>
          <w:b/>
        </w:rPr>
        <w:t>Beneish</w:t>
      </w:r>
      <w:proofErr w:type="spellEnd"/>
      <w:r>
        <w:rPr>
          <w:b/>
        </w:rPr>
        <w:t>-flagged earnings manipulation</w:t>
      </w:r>
    </w:p>
    <w:p w14:paraId="3A0E35D8" w14:textId="77777777" w:rsidR="009E04F9" w:rsidRDefault="00000000">
      <w:pPr>
        <w:jc w:val="both"/>
      </w:pPr>
      <w:r>
        <w:t xml:space="preserve">The dependent variable is derived from the eight-variable </w:t>
      </w:r>
      <w:proofErr w:type="spellStart"/>
      <w:r>
        <w:t>Beneish</w:t>
      </w:r>
      <w:proofErr w:type="spellEnd"/>
      <w:r>
        <w:t xml:space="preserve"> M-Score (</w:t>
      </w:r>
      <w:proofErr w:type="spellStart"/>
      <w:r w:rsidR="009E04F9">
        <w:fldChar w:fldCharType="begin"/>
      </w:r>
      <w:r w:rsidR="009E04F9">
        <w:instrText>HYPERLINK \l "ref_Beneish_1999"</w:instrText>
      </w:r>
      <w:r w:rsidR="009E04F9">
        <w:fldChar w:fldCharType="separate"/>
      </w:r>
      <w:r w:rsidR="009E04F9">
        <w:rPr>
          <w:szCs w:val="24"/>
        </w:rPr>
        <w:t>Beneish</w:t>
      </w:r>
      <w:proofErr w:type="spellEnd"/>
      <w:r w:rsidR="009E04F9">
        <w:rPr>
          <w:szCs w:val="24"/>
        </w:rPr>
        <w:t>, 1999</w:t>
      </w:r>
      <w:r w:rsidR="009E04F9">
        <w:fldChar w:fldCharType="end"/>
      </w:r>
      <w:r>
        <w:t>):</w:t>
      </w:r>
    </w:p>
    <w:p w14:paraId="4E3473EA" w14:textId="77777777" w:rsidR="009E04F9" w:rsidRDefault="00000000">
      <w:pPr>
        <w:jc w:val="center"/>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it</m:t>
              </m:r>
            </m:sub>
          </m:sSub>
          <m:r>
            <w:rPr>
              <w:rFonts w:ascii="Cambria Math" w:hAnsi="Cambria Math"/>
            </w:rPr>
            <m:t xml:space="preserve"> = -4.840 + 0.920 </m:t>
          </m:r>
          <m:sSub>
            <m:sSubPr>
              <m:ctrlPr>
                <w:rPr>
                  <w:rFonts w:ascii="Cambria Math" w:hAnsi="Cambria Math"/>
                </w:rPr>
              </m:ctrlPr>
            </m:sSubPr>
            <m:e>
              <m:r>
                <w:rPr>
                  <w:rFonts w:ascii="Cambria Math" w:hAnsi="Cambria Math"/>
                </w:rPr>
                <m:t>DSRI</m:t>
              </m:r>
            </m:e>
            <m:sub>
              <m:r>
                <w:rPr>
                  <w:rFonts w:ascii="Cambria Math" w:hAnsi="Cambria Math"/>
                </w:rPr>
                <m:t>it</m:t>
              </m:r>
            </m:sub>
          </m:sSub>
          <m:r>
            <w:rPr>
              <w:rFonts w:ascii="Cambria Math" w:hAnsi="Cambria Math"/>
            </w:rPr>
            <m:t xml:space="preserve"> + 0.528 </m:t>
          </m:r>
          <m:sSub>
            <m:sSubPr>
              <m:ctrlPr>
                <w:rPr>
                  <w:rFonts w:ascii="Cambria Math" w:hAnsi="Cambria Math"/>
                </w:rPr>
              </m:ctrlPr>
            </m:sSubPr>
            <m:e>
              <m:r>
                <w:rPr>
                  <w:rFonts w:ascii="Cambria Math" w:hAnsi="Cambria Math"/>
                </w:rPr>
                <m:t>GMI</m:t>
              </m:r>
            </m:e>
            <m:sub>
              <m:r>
                <w:rPr>
                  <w:rFonts w:ascii="Cambria Math" w:hAnsi="Cambria Math"/>
                </w:rPr>
                <m:t>it</m:t>
              </m:r>
            </m:sub>
          </m:sSub>
          <m:r>
            <w:rPr>
              <w:rFonts w:ascii="Cambria Math" w:hAnsi="Cambria Math"/>
            </w:rPr>
            <m:t xml:space="preserve"> + 0.404 </m:t>
          </m:r>
          <m:sSub>
            <m:sSubPr>
              <m:ctrlPr>
                <w:rPr>
                  <w:rFonts w:ascii="Cambria Math" w:hAnsi="Cambria Math"/>
                </w:rPr>
              </m:ctrlPr>
            </m:sSubPr>
            <m:e>
              <m:r>
                <w:rPr>
                  <w:rFonts w:ascii="Cambria Math" w:hAnsi="Cambria Math"/>
                </w:rPr>
                <m:t>AQI</m:t>
              </m:r>
            </m:e>
            <m:sub>
              <m:r>
                <w:rPr>
                  <w:rFonts w:ascii="Cambria Math" w:hAnsi="Cambria Math"/>
                </w:rPr>
                <m:t>it</m:t>
              </m:r>
            </m:sub>
          </m:sSub>
          <m:r>
            <w:rPr>
              <w:rFonts w:ascii="Cambria Math" w:hAnsi="Cambria Math"/>
            </w:rPr>
            <m:t xml:space="preserve"> + 0.892 </m:t>
          </m:r>
          <m:sSub>
            <m:sSubPr>
              <m:ctrlPr>
                <w:rPr>
                  <w:rFonts w:ascii="Cambria Math" w:hAnsi="Cambria Math"/>
                </w:rPr>
              </m:ctrlPr>
            </m:sSubPr>
            <m:e>
              <m:r>
                <w:rPr>
                  <w:rFonts w:ascii="Cambria Math" w:hAnsi="Cambria Math"/>
                </w:rPr>
                <m:t>SGI</m:t>
              </m:r>
            </m:e>
            <m:sub>
              <m:r>
                <w:rPr>
                  <w:rFonts w:ascii="Cambria Math" w:hAnsi="Cambria Math"/>
                </w:rPr>
                <m:t>it</m:t>
              </m:r>
            </m:sub>
          </m:sSub>
        </m:oMath>
      </m:oMathPara>
    </w:p>
    <w:p w14:paraId="4D4FA6AF" w14:textId="77777777" w:rsidR="009E04F9" w:rsidRDefault="00000000">
      <w:pPr>
        <w:jc w:val="center"/>
      </w:pPr>
      <m:oMathPara>
        <m:oMathParaPr>
          <m:jc m:val="center"/>
        </m:oMathParaPr>
        <m:oMath>
          <m:r>
            <w:rPr>
              <w:rFonts w:ascii="Cambria Math" w:hAnsi="Cambria Math"/>
            </w:rPr>
            <m:t xml:space="preserve">+ 0.115 </m:t>
          </m:r>
          <m:sSub>
            <m:sSubPr>
              <m:ctrlPr>
                <w:rPr>
                  <w:rFonts w:ascii="Cambria Math" w:hAnsi="Cambria Math"/>
                </w:rPr>
              </m:ctrlPr>
            </m:sSubPr>
            <m:e>
              <m:r>
                <w:rPr>
                  <w:rFonts w:ascii="Cambria Math" w:hAnsi="Cambria Math"/>
                </w:rPr>
                <m:t>DEPI</m:t>
              </m:r>
            </m:e>
            <m:sub>
              <m:r>
                <w:rPr>
                  <w:rFonts w:ascii="Cambria Math" w:hAnsi="Cambria Math"/>
                </w:rPr>
                <m:t>it</m:t>
              </m:r>
            </m:sub>
          </m:sSub>
          <m:r>
            <w:rPr>
              <w:rFonts w:ascii="Cambria Math" w:hAnsi="Cambria Math"/>
            </w:rPr>
            <m:t xml:space="preserve"> - 0.172 </m:t>
          </m:r>
          <m:sSub>
            <m:sSubPr>
              <m:ctrlPr>
                <w:rPr>
                  <w:rFonts w:ascii="Cambria Math" w:hAnsi="Cambria Math"/>
                </w:rPr>
              </m:ctrlPr>
            </m:sSubPr>
            <m:e>
              <m:r>
                <w:rPr>
                  <w:rFonts w:ascii="Cambria Math" w:hAnsi="Cambria Math"/>
                </w:rPr>
                <m:t>SGAI</m:t>
              </m:r>
            </m:e>
            <m:sub>
              <m:r>
                <w:rPr>
                  <w:rFonts w:ascii="Cambria Math" w:hAnsi="Cambria Math"/>
                </w:rPr>
                <m:t>it</m:t>
              </m:r>
            </m:sub>
          </m:sSub>
          <m:r>
            <w:rPr>
              <w:rFonts w:ascii="Cambria Math" w:hAnsi="Cambria Math"/>
            </w:rPr>
            <m:t xml:space="preserve"> + 4.679 </m:t>
          </m:r>
          <m:sSub>
            <m:sSubPr>
              <m:ctrlPr>
                <w:rPr>
                  <w:rFonts w:ascii="Cambria Math" w:hAnsi="Cambria Math"/>
                </w:rPr>
              </m:ctrlPr>
            </m:sSubPr>
            <m:e>
              <m:r>
                <w:rPr>
                  <w:rFonts w:ascii="Cambria Math" w:hAnsi="Cambria Math"/>
                </w:rPr>
                <m:t>TATA</m:t>
              </m:r>
            </m:e>
            <m:sub>
              <m:r>
                <w:rPr>
                  <w:rFonts w:ascii="Cambria Math" w:hAnsi="Cambria Math"/>
                </w:rPr>
                <m:t>it</m:t>
              </m:r>
            </m:sub>
          </m:sSub>
          <m:r>
            <w:rPr>
              <w:rFonts w:ascii="Cambria Math" w:hAnsi="Cambria Math"/>
            </w:rPr>
            <m:t xml:space="preserve"> - 0.327 </m:t>
          </m:r>
          <m:sSub>
            <m:sSubPr>
              <m:ctrlPr>
                <w:rPr>
                  <w:rFonts w:ascii="Cambria Math" w:hAnsi="Cambria Math"/>
                </w:rPr>
              </m:ctrlPr>
            </m:sSubPr>
            <m:e>
              <m:r>
                <w:rPr>
                  <w:rFonts w:ascii="Cambria Math" w:hAnsi="Cambria Math"/>
                </w:rPr>
                <m:t>LVGI</m:t>
              </m:r>
            </m:e>
            <m:sub>
              <m:r>
                <w:rPr>
                  <w:rFonts w:ascii="Cambria Math" w:hAnsi="Cambria Math"/>
                </w:rPr>
                <m:t>it</m:t>
              </m:r>
            </m:sub>
          </m:sSub>
        </m:oMath>
      </m:oMathPara>
    </w:p>
    <w:p w14:paraId="03BA56C7" w14:textId="77777777" w:rsidR="009E04F9" w:rsidRDefault="00000000">
      <w:pPr>
        <w:jc w:val="both"/>
      </w:pPr>
      <w:r>
        <w:lastRenderedPageBreak/>
        <w:t xml:space="preserve">The components are the Days Sales in Receivables Index (DSRI), Gross Margin Index (GMI), Asset Quality Index (AQI), Sales Growth Index (SGI), Depreciation Index (DEPI), Sales, General and Administrative Expenses Index (SGAI), Total Accruals to Total Assets (TATA) and Leverage Index (LVGI). Financial shenanigans are coded as a binary variable (FSH/MFLAG), taking the value one where the M-Score exceeds -2.22 and zero otherwise. The </w:t>
      </w:r>
      <w:proofErr w:type="spellStart"/>
      <w:r>
        <w:t>Beneish</w:t>
      </w:r>
      <w:proofErr w:type="spellEnd"/>
      <w:r>
        <w:t xml:space="preserve"> classification is interpreted as an accounting-based manipulation-risk signal rather than a legal determination of fraud.</w:t>
      </w:r>
    </w:p>
    <w:p w14:paraId="1E9FC38C" w14:textId="77777777" w:rsidR="009E04F9" w:rsidRDefault="00000000">
      <w:pPr>
        <w:spacing w:before="80"/>
      </w:pPr>
      <w:r>
        <w:rPr>
          <w:b/>
        </w:rPr>
        <w:t>3.3 Explanatory variables and controls</w:t>
      </w:r>
    </w:p>
    <w:p w14:paraId="721D8EA0" w14:textId="77777777" w:rsidR="009E04F9" w:rsidRDefault="00000000">
      <w:pPr>
        <w:jc w:val="both"/>
      </w:pPr>
      <w:r>
        <w:t xml:space="preserve">Five Fraud Diamond indicators form the core explanatory set. Asset change (ACHANGE) represents financial pressure or instability; BDOUT captures board independence and monitoring; IOSHIP is the proportion of ordinary shares held by management or directors; AC is a dummy variable equal to one in a year in which the external auditor changes; and Cap is a binary indicator of CEO financial expertise. The control variables are return on assets (ROA), the natural logarithm of total assets (SIZE), and audit quality (AQ), coded one for a Big Four auditor and zero otherwise. The controls capture profitability, </w:t>
      </w:r>
      <w:proofErr w:type="spellStart"/>
      <w:r>
        <w:t>organisational</w:t>
      </w:r>
      <w:proofErr w:type="spellEnd"/>
      <w:r>
        <w:t xml:space="preserve"> scale and external-audit quality, respectively. </w:t>
      </w:r>
      <w:hyperlink w:anchor="ref_Becker_1998" w:history="1">
        <w:r w:rsidR="009E04F9">
          <w:rPr>
            <w:szCs w:val="24"/>
          </w:rPr>
          <w:t>Becker et al. (1998)</w:t>
        </w:r>
      </w:hyperlink>
      <w:r>
        <w:t xml:space="preserve"> provide classic evidence supporting the relevance of large-auditor quality to earnings-management outcomes.</w:t>
      </w:r>
    </w:p>
    <w:p w14:paraId="72F575E0" w14:textId="77777777" w:rsidR="009E04F9" w:rsidRDefault="00000000">
      <w:pPr>
        <w:spacing w:before="80"/>
        <w:jc w:val="both"/>
      </w:pPr>
      <w:r>
        <w:rPr>
          <w:b/>
        </w:rPr>
        <w:t>Table 1. Variable measurement and expected associations</w:t>
      </w:r>
    </w:p>
    <w:tbl>
      <w:tblPr>
        <w:tblStyle w:val="TableGrid"/>
        <w:tblW w:w="0" w:type="auto"/>
        <w:jc w:val="center"/>
        <w:tblLayout w:type="fixed"/>
        <w:tblLook w:val="04A0" w:firstRow="1" w:lastRow="0" w:firstColumn="1" w:lastColumn="0" w:noHBand="0" w:noVBand="1"/>
      </w:tblPr>
      <w:tblGrid>
        <w:gridCol w:w="2256"/>
        <w:gridCol w:w="2256"/>
        <w:gridCol w:w="4680"/>
        <w:gridCol w:w="2256"/>
      </w:tblGrid>
      <w:tr w:rsidR="009E04F9" w14:paraId="4953FFBD" w14:textId="77777777">
        <w:trPr>
          <w:cantSplit/>
          <w:jc w:val="center"/>
        </w:trPr>
        <w:tc>
          <w:tcPr>
            <w:tcW w:w="1944" w:type="dxa"/>
            <w:shd w:val="clear" w:color="auto" w:fill="D9EAF7"/>
            <w:vAlign w:val="center"/>
          </w:tcPr>
          <w:p w14:paraId="4DB805FD" w14:textId="77777777" w:rsidR="009E04F9" w:rsidRDefault="00000000">
            <w:pPr>
              <w:jc w:val="center"/>
            </w:pPr>
            <w:r>
              <w:rPr>
                <w:b/>
              </w:rPr>
              <w:t>Construct / role</w:t>
            </w:r>
          </w:p>
        </w:tc>
        <w:tc>
          <w:tcPr>
            <w:tcW w:w="1224" w:type="dxa"/>
            <w:shd w:val="clear" w:color="auto" w:fill="D9EAF7"/>
            <w:vAlign w:val="center"/>
          </w:tcPr>
          <w:p w14:paraId="27CA9F3E" w14:textId="77777777" w:rsidR="009E04F9" w:rsidRDefault="00000000">
            <w:pPr>
              <w:jc w:val="center"/>
            </w:pPr>
            <w:r>
              <w:rPr>
                <w:b/>
              </w:rPr>
              <w:t>Variable</w:t>
            </w:r>
          </w:p>
        </w:tc>
        <w:tc>
          <w:tcPr>
            <w:tcW w:w="4680" w:type="dxa"/>
            <w:shd w:val="clear" w:color="auto" w:fill="D9EAF7"/>
            <w:vAlign w:val="center"/>
          </w:tcPr>
          <w:p w14:paraId="234BC951" w14:textId="77777777" w:rsidR="009E04F9" w:rsidRDefault="00000000">
            <w:pPr>
              <w:jc w:val="center"/>
            </w:pPr>
            <w:r>
              <w:rPr>
                <w:b/>
              </w:rPr>
              <w:t>Measurement</w:t>
            </w:r>
          </w:p>
        </w:tc>
        <w:tc>
          <w:tcPr>
            <w:tcW w:w="1007" w:type="dxa"/>
            <w:shd w:val="clear" w:color="auto" w:fill="D9EAF7"/>
            <w:vAlign w:val="center"/>
          </w:tcPr>
          <w:p w14:paraId="2D770051" w14:textId="77777777" w:rsidR="009E04F9" w:rsidRDefault="00000000">
            <w:pPr>
              <w:jc w:val="center"/>
            </w:pPr>
            <w:r>
              <w:rPr>
                <w:b/>
              </w:rPr>
              <w:t>Expected sign</w:t>
            </w:r>
          </w:p>
        </w:tc>
      </w:tr>
      <w:tr w:rsidR="009E04F9" w14:paraId="2B84DCBE" w14:textId="77777777">
        <w:trPr>
          <w:cantSplit/>
          <w:jc w:val="center"/>
        </w:trPr>
        <w:tc>
          <w:tcPr>
            <w:tcW w:w="2256" w:type="dxa"/>
            <w:vAlign w:val="center"/>
          </w:tcPr>
          <w:p w14:paraId="3686C71C" w14:textId="77777777" w:rsidR="009E04F9" w:rsidRDefault="00000000">
            <w:r>
              <w:t>Pressure</w:t>
            </w:r>
          </w:p>
        </w:tc>
        <w:tc>
          <w:tcPr>
            <w:tcW w:w="2256" w:type="dxa"/>
            <w:vAlign w:val="center"/>
          </w:tcPr>
          <w:p w14:paraId="6B9141A7" w14:textId="77777777" w:rsidR="009E04F9" w:rsidRDefault="00000000">
            <w:r>
              <w:t>ACHANGE</w:t>
            </w:r>
          </w:p>
        </w:tc>
        <w:tc>
          <w:tcPr>
            <w:tcW w:w="2256" w:type="dxa"/>
            <w:vAlign w:val="center"/>
          </w:tcPr>
          <w:p w14:paraId="3E90A49F" w14:textId="77777777" w:rsidR="009E04F9" w:rsidRDefault="00000000">
            <w:r>
              <w:t xml:space="preserve">(Total </w:t>
            </w:r>
            <w:proofErr w:type="spellStart"/>
            <w:r>
              <w:t>assets_t</w:t>
            </w:r>
            <w:proofErr w:type="spellEnd"/>
            <w:r>
              <w:t xml:space="preserve"> - Total assets_t-1) / Total assets_t-1</w:t>
            </w:r>
          </w:p>
        </w:tc>
        <w:tc>
          <w:tcPr>
            <w:tcW w:w="2256" w:type="dxa"/>
            <w:vAlign w:val="center"/>
          </w:tcPr>
          <w:p w14:paraId="4E083277" w14:textId="77777777" w:rsidR="009E04F9" w:rsidRDefault="00000000">
            <w:pPr>
              <w:jc w:val="center"/>
            </w:pPr>
            <w:r>
              <w:t>+</w:t>
            </w:r>
          </w:p>
        </w:tc>
      </w:tr>
      <w:tr w:rsidR="009E04F9" w14:paraId="2E93D0F5" w14:textId="77777777">
        <w:trPr>
          <w:cantSplit/>
          <w:jc w:val="center"/>
        </w:trPr>
        <w:tc>
          <w:tcPr>
            <w:tcW w:w="2256" w:type="dxa"/>
            <w:vAlign w:val="center"/>
          </w:tcPr>
          <w:p w14:paraId="231532E0" w14:textId="77777777" w:rsidR="009E04F9" w:rsidRDefault="00000000">
            <w:r>
              <w:t>Opportunity / monitoring</w:t>
            </w:r>
          </w:p>
        </w:tc>
        <w:tc>
          <w:tcPr>
            <w:tcW w:w="2256" w:type="dxa"/>
            <w:vAlign w:val="center"/>
          </w:tcPr>
          <w:p w14:paraId="7F4D8AA5" w14:textId="77777777" w:rsidR="009E04F9" w:rsidRDefault="00000000">
            <w:r>
              <w:t>BDOUT</w:t>
            </w:r>
          </w:p>
        </w:tc>
        <w:tc>
          <w:tcPr>
            <w:tcW w:w="2256" w:type="dxa"/>
            <w:vAlign w:val="center"/>
          </w:tcPr>
          <w:p w14:paraId="5CCCE2E3" w14:textId="77777777" w:rsidR="009E04F9" w:rsidRDefault="00000000">
            <w:r>
              <w:t>Board-independence/monitoring ratio in source database</w:t>
            </w:r>
          </w:p>
        </w:tc>
        <w:tc>
          <w:tcPr>
            <w:tcW w:w="2256" w:type="dxa"/>
            <w:vAlign w:val="center"/>
          </w:tcPr>
          <w:p w14:paraId="3B28FD8D" w14:textId="77777777" w:rsidR="009E04F9" w:rsidRDefault="00000000">
            <w:pPr>
              <w:jc w:val="center"/>
            </w:pPr>
            <w:r>
              <w:t>-</w:t>
            </w:r>
          </w:p>
        </w:tc>
      </w:tr>
      <w:tr w:rsidR="009E04F9" w14:paraId="69520674" w14:textId="77777777">
        <w:trPr>
          <w:cantSplit/>
          <w:jc w:val="center"/>
        </w:trPr>
        <w:tc>
          <w:tcPr>
            <w:tcW w:w="2256" w:type="dxa"/>
            <w:vAlign w:val="center"/>
          </w:tcPr>
          <w:p w14:paraId="77C40C76" w14:textId="77777777" w:rsidR="009E04F9" w:rsidRDefault="00000000">
            <w:r>
              <w:t>Opportunity / ownership</w:t>
            </w:r>
          </w:p>
        </w:tc>
        <w:tc>
          <w:tcPr>
            <w:tcW w:w="2256" w:type="dxa"/>
            <w:vAlign w:val="center"/>
          </w:tcPr>
          <w:p w14:paraId="371EF351" w14:textId="77777777" w:rsidR="009E04F9" w:rsidRDefault="00000000">
            <w:r>
              <w:t>IOSHIP</w:t>
            </w:r>
          </w:p>
        </w:tc>
        <w:tc>
          <w:tcPr>
            <w:tcW w:w="2256" w:type="dxa"/>
            <w:vAlign w:val="center"/>
          </w:tcPr>
          <w:p w14:paraId="39694C5C" w14:textId="77777777" w:rsidR="009E04F9" w:rsidRDefault="00000000">
            <w:r>
              <w:t>Management/director shares / ordinary shares outstanding</w:t>
            </w:r>
          </w:p>
        </w:tc>
        <w:tc>
          <w:tcPr>
            <w:tcW w:w="2256" w:type="dxa"/>
            <w:vAlign w:val="center"/>
          </w:tcPr>
          <w:p w14:paraId="17A32869" w14:textId="77777777" w:rsidR="009E04F9" w:rsidRDefault="00000000">
            <w:pPr>
              <w:jc w:val="center"/>
            </w:pPr>
            <w:r>
              <w:t>+</w:t>
            </w:r>
          </w:p>
        </w:tc>
      </w:tr>
      <w:tr w:rsidR="009E04F9" w14:paraId="3C40B6AE" w14:textId="77777777">
        <w:trPr>
          <w:cantSplit/>
          <w:jc w:val="center"/>
        </w:trPr>
        <w:tc>
          <w:tcPr>
            <w:tcW w:w="2256" w:type="dxa"/>
            <w:vAlign w:val="center"/>
          </w:tcPr>
          <w:p w14:paraId="0ACE86D5" w14:textId="77777777" w:rsidR="009E04F9" w:rsidRDefault="00000000">
            <w:proofErr w:type="spellStart"/>
            <w:r>
              <w:t>Rationalisation</w:t>
            </w:r>
            <w:proofErr w:type="spellEnd"/>
            <w:r>
              <w:t xml:space="preserve"> red flag</w:t>
            </w:r>
          </w:p>
        </w:tc>
        <w:tc>
          <w:tcPr>
            <w:tcW w:w="2256" w:type="dxa"/>
            <w:vAlign w:val="center"/>
          </w:tcPr>
          <w:p w14:paraId="30174211" w14:textId="77777777" w:rsidR="009E04F9" w:rsidRDefault="00000000">
            <w:r>
              <w:t>AC</w:t>
            </w:r>
          </w:p>
        </w:tc>
        <w:tc>
          <w:tcPr>
            <w:tcW w:w="2256" w:type="dxa"/>
            <w:vAlign w:val="center"/>
          </w:tcPr>
          <w:p w14:paraId="074E51DB" w14:textId="77777777" w:rsidR="009E04F9" w:rsidRDefault="00000000">
            <w:r>
              <w:t>1 = auditor changes; 0 = otherwise</w:t>
            </w:r>
          </w:p>
        </w:tc>
        <w:tc>
          <w:tcPr>
            <w:tcW w:w="2256" w:type="dxa"/>
            <w:vAlign w:val="center"/>
          </w:tcPr>
          <w:p w14:paraId="62A70391" w14:textId="77777777" w:rsidR="009E04F9" w:rsidRDefault="00000000">
            <w:pPr>
              <w:jc w:val="center"/>
            </w:pPr>
            <w:r>
              <w:t>+</w:t>
            </w:r>
          </w:p>
        </w:tc>
      </w:tr>
      <w:tr w:rsidR="009E04F9" w14:paraId="5E6C9F45" w14:textId="77777777">
        <w:trPr>
          <w:cantSplit/>
          <w:jc w:val="center"/>
        </w:trPr>
        <w:tc>
          <w:tcPr>
            <w:tcW w:w="2256" w:type="dxa"/>
            <w:vAlign w:val="center"/>
          </w:tcPr>
          <w:p w14:paraId="19AD055C" w14:textId="77777777" w:rsidR="009E04F9" w:rsidRDefault="00000000">
            <w:r>
              <w:t>Capability</w:t>
            </w:r>
          </w:p>
        </w:tc>
        <w:tc>
          <w:tcPr>
            <w:tcW w:w="2256" w:type="dxa"/>
            <w:vAlign w:val="center"/>
          </w:tcPr>
          <w:p w14:paraId="1DB34D3A" w14:textId="77777777" w:rsidR="009E04F9" w:rsidRDefault="00000000">
            <w:r>
              <w:t>Cap</w:t>
            </w:r>
          </w:p>
        </w:tc>
        <w:tc>
          <w:tcPr>
            <w:tcW w:w="2256" w:type="dxa"/>
            <w:vAlign w:val="center"/>
          </w:tcPr>
          <w:p w14:paraId="02A66365" w14:textId="77777777" w:rsidR="009E04F9" w:rsidRDefault="00000000">
            <w:r>
              <w:t>1 = CEO financial expertise; 0 = otherwise</w:t>
            </w:r>
          </w:p>
        </w:tc>
        <w:tc>
          <w:tcPr>
            <w:tcW w:w="2256" w:type="dxa"/>
            <w:vAlign w:val="center"/>
          </w:tcPr>
          <w:p w14:paraId="443FCB72" w14:textId="77777777" w:rsidR="009E04F9" w:rsidRDefault="00000000">
            <w:pPr>
              <w:jc w:val="center"/>
            </w:pPr>
            <w:r>
              <w:t>+</w:t>
            </w:r>
          </w:p>
        </w:tc>
      </w:tr>
      <w:tr w:rsidR="009E04F9" w14:paraId="6C1D0452" w14:textId="77777777">
        <w:trPr>
          <w:cantSplit/>
          <w:jc w:val="center"/>
        </w:trPr>
        <w:tc>
          <w:tcPr>
            <w:tcW w:w="2256" w:type="dxa"/>
            <w:vAlign w:val="center"/>
          </w:tcPr>
          <w:p w14:paraId="0826F628" w14:textId="77777777" w:rsidR="009E04F9" w:rsidRDefault="00000000">
            <w:r>
              <w:t>Control</w:t>
            </w:r>
          </w:p>
        </w:tc>
        <w:tc>
          <w:tcPr>
            <w:tcW w:w="2256" w:type="dxa"/>
            <w:vAlign w:val="center"/>
          </w:tcPr>
          <w:p w14:paraId="59BE1912" w14:textId="77777777" w:rsidR="009E04F9" w:rsidRDefault="00000000">
            <w:r>
              <w:t>ROA</w:t>
            </w:r>
          </w:p>
        </w:tc>
        <w:tc>
          <w:tcPr>
            <w:tcW w:w="2256" w:type="dxa"/>
            <w:vAlign w:val="center"/>
          </w:tcPr>
          <w:p w14:paraId="6CD4BEBF" w14:textId="77777777" w:rsidR="009E04F9" w:rsidRDefault="00000000">
            <w:r>
              <w:t>Profit after tax / total assets</w:t>
            </w:r>
          </w:p>
        </w:tc>
        <w:tc>
          <w:tcPr>
            <w:tcW w:w="2256" w:type="dxa"/>
            <w:vAlign w:val="center"/>
          </w:tcPr>
          <w:p w14:paraId="38A6A537" w14:textId="77777777" w:rsidR="009E04F9" w:rsidRDefault="009E04F9">
            <w:pPr>
              <w:jc w:val="center"/>
            </w:pPr>
          </w:p>
        </w:tc>
      </w:tr>
      <w:tr w:rsidR="009E04F9" w14:paraId="261A0942" w14:textId="77777777">
        <w:trPr>
          <w:cantSplit/>
          <w:jc w:val="center"/>
        </w:trPr>
        <w:tc>
          <w:tcPr>
            <w:tcW w:w="2256" w:type="dxa"/>
            <w:vAlign w:val="center"/>
          </w:tcPr>
          <w:p w14:paraId="303BB9B9" w14:textId="77777777" w:rsidR="009E04F9" w:rsidRDefault="00000000">
            <w:r>
              <w:t>Control</w:t>
            </w:r>
          </w:p>
        </w:tc>
        <w:tc>
          <w:tcPr>
            <w:tcW w:w="2256" w:type="dxa"/>
            <w:vAlign w:val="center"/>
          </w:tcPr>
          <w:p w14:paraId="7E50B277" w14:textId="77777777" w:rsidR="009E04F9" w:rsidRDefault="00000000">
            <w:r>
              <w:t>SIZE</w:t>
            </w:r>
          </w:p>
        </w:tc>
        <w:tc>
          <w:tcPr>
            <w:tcW w:w="2256" w:type="dxa"/>
            <w:vAlign w:val="center"/>
          </w:tcPr>
          <w:p w14:paraId="78DB6B46" w14:textId="77777777" w:rsidR="009E04F9" w:rsidRDefault="00000000">
            <w:r>
              <w:t>Natural log of total assets</w:t>
            </w:r>
          </w:p>
        </w:tc>
        <w:tc>
          <w:tcPr>
            <w:tcW w:w="2256" w:type="dxa"/>
            <w:vAlign w:val="center"/>
          </w:tcPr>
          <w:p w14:paraId="14AF59F0" w14:textId="77777777" w:rsidR="009E04F9" w:rsidRDefault="009E04F9">
            <w:pPr>
              <w:jc w:val="center"/>
            </w:pPr>
          </w:p>
        </w:tc>
      </w:tr>
      <w:tr w:rsidR="009E04F9" w14:paraId="5DDBF169" w14:textId="77777777">
        <w:trPr>
          <w:cantSplit/>
          <w:jc w:val="center"/>
        </w:trPr>
        <w:tc>
          <w:tcPr>
            <w:tcW w:w="2256" w:type="dxa"/>
            <w:vAlign w:val="center"/>
          </w:tcPr>
          <w:p w14:paraId="4FE1DDE0" w14:textId="77777777" w:rsidR="009E04F9" w:rsidRDefault="00000000">
            <w:r>
              <w:t>Control</w:t>
            </w:r>
          </w:p>
        </w:tc>
        <w:tc>
          <w:tcPr>
            <w:tcW w:w="2256" w:type="dxa"/>
            <w:vAlign w:val="center"/>
          </w:tcPr>
          <w:p w14:paraId="2709BD5B" w14:textId="77777777" w:rsidR="009E04F9" w:rsidRDefault="00000000">
            <w:r>
              <w:t>AQ</w:t>
            </w:r>
          </w:p>
        </w:tc>
        <w:tc>
          <w:tcPr>
            <w:tcW w:w="2256" w:type="dxa"/>
            <w:vAlign w:val="center"/>
          </w:tcPr>
          <w:p w14:paraId="3BB223E0" w14:textId="77777777" w:rsidR="009E04F9" w:rsidRDefault="00000000">
            <w:r>
              <w:t>1 = Big Four auditor; 0 = otherwise</w:t>
            </w:r>
          </w:p>
        </w:tc>
        <w:tc>
          <w:tcPr>
            <w:tcW w:w="2256" w:type="dxa"/>
            <w:vAlign w:val="center"/>
          </w:tcPr>
          <w:p w14:paraId="3C171DB8" w14:textId="77777777" w:rsidR="009E04F9" w:rsidRDefault="009E04F9">
            <w:pPr>
              <w:jc w:val="center"/>
            </w:pPr>
          </w:p>
        </w:tc>
      </w:tr>
    </w:tbl>
    <w:p w14:paraId="59C9339E" w14:textId="77777777" w:rsidR="009E04F9" w:rsidRDefault="00000000">
      <w:pPr>
        <w:spacing w:before="80"/>
      </w:pPr>
      <w:r>
        <w:t>3.4 Data treatment and econometric specification</w:t>
      </w:r>
    </w:p>
    <w:p w14:paraId="16CE1283" w14:textId="77777777" w:rsidR="009E04F9" w:rsidRDefault="00000000">
      <w:pPr>
        <w:jc w:val="both"/>
      </w:pPr>
      <w:r>
        <w:lastRenderedPageBreak/>
        <w:t xml:space="preserve">The raw data contain several extreme values, notably in asset growth and profitability. All continuous explanatory variables are therefore </w:t>
      </w:r>
      <w:proofErr w:type="spellStart"/>
      <w:r>
        <w:t>winsorised</w:t>
      </w:r>
      <w:proofErr w:type="spellEnd"/>
      <w:r>
        <w:t xml:space="preserve"> at the 1st and 99th percentiles. The continuous regressors are subsequently </w:t>
      </w:r>
      <w:proofErr w:type="spellStart"/>
      <w:r>
        <w:t>standardised</w:t>
      </w:r>
      <w:proofErr w:type="spellEnd"/>
      <w:r>
        <w:t xml:space="preserve"> to mean zero and unit standard deviation, allowing odds ratios to be interpreted for a one-standard-deviation change and avoiding misleading one-unit interpretations for ratios whose natural range is substantially below one. Binary variables are retained in their original metric. Year fixed effects are included to absorb shocks common to Nigerian manufacturing firms in each year.</w:t>
      </w:r>
    </w:p>
    <w:p w14:paraId="7AA8E475" w14:textId="77777777" w:rsidR="009E04F9" w:rsidRDefault="00000000">
      <w:pPr>
        <w:jc w:val="both"/>
      </w:pPr>
      <w:r>
        <w:t>The primary contemporaneous population-averaged model is:</w:t>
      </w:r>
    </w:p>
    <w:p w14:paraId="3C515789" w14:textId="77777777" w:rsidR="009E04F9" w:rsidRDefault="00000000">
      <w:pPr>
        <w:jc w:val="center"/>
      </w:pPr>
      <m:oMathPara>
        <m:oMathParaPr>
          <m:jc m:val="center"/>
        </m:oMathParaPr>
        <m:oMath>
          <m:r>
            <w:rPr>
              <w:rFonts w:ascii="Cambria Math" w:hAnsi="Cambria Math"/>
            </w:rPr>
            <m:t>Pr(</m:t>
          </m:r>
          <m:sSub>
            <m:sSubPr>
              <m:ctrlPr>
                <w:rPr>
                  <w:rFonts w:ascii="Cambria Math" w:hAnsi="Cambria Math"/>
                </w:rPr>
              </m:ctrlPr>
            </m:sSubPr>
            <m:e>
              <m:r>
                <w:rPr>
                  <w:rFonts w:ascii="Cambria Math" w:hAnsi="Cambria Math"/>
                </w:rPr>
                <m:t>MFLAG</m:t>
              </m:r>
            </m:e>
            <m:sub>
              <m:r>
                <w:rPr>
                  <w:rFonts w:ascii="Cambria Math" w:hAnsi="Cambria Math"/>
                </w:rPr>
                <m:t>it</m:t>
              </m:r>
            </m:sub>
          </m:sSub>
          <m:r>
            <w:rPr>
              <w:rFonts w:ascii="Cambria Math" w:hAnsi="Cambria Math"/>
            </w:rPr>
            <m:t xml:space="preserve"> = 1) = Λ(α + </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rPr>
                <m:t>ACHANGE</m:t>
              </m:r>
            </m:e>
            <m:sub>
              <m:r>
                <w:rPr>
                  <w:rFonts w:ascii="Cambria Math" w:hAnsi="Cambria Math"/>
                </w:rPr>
                <m:t>it</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rPr>
                <m:t>BDOUT</m:t>
              </m:r>
            </m:e>
            <m:sub>
              <m:r>
                <w:rPr>
                  <w:rFonts w:ascii="Cambria Math" w:hAnsi="Cambria Math"/>
                </w:rPr>
                <m:t>it</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3</m:t>
              </m:r>
            </m:sub>
          </m:sSub>
          <m:r>
            <w:rPr>
              <w:rFonts w:ascii="Cambria Math" w:hAnsi="Cambria Math"/>
            </w:rPr>
            <m:t xml:space="preserve"> </m:t>
          </m:r>
          <m:sSub>
            <m:sSubPr>
              <m:ctrlPr>
                <w:rPr>
                  <w:rFonts w:ascii="Cambria Math" w:hAnsi="Cambria Math"/>
                </w:rPr>
              </m:ctrlPr>
            </m:sSubPr>
            <m:e>
              <m:r>
                <w:rPr>
                  <w:rFonts w:ascii="Cambria Math" w:hAnsi="Cambria Math"/>
                </w:rPr>
                <m:t>IOSHIP</m:t>
              </m:r>
            </m:e>
            <m:sub>
              <m:r>
                <w:rPr>
                  <w:rFonts w:ascii="Cambria Math" w:hAnsi="Cambria Math"/>
                </w:rPr>
                <m:t>it</m:t>
              </m:r>
            </m:sub>
          </m:sSub>
        </m:oMath>
      </m:oMathPara>
    </w:p>
    <w:p w14:paraId="17980680" w14:textId="77777777" w:rsidR="009E04F9" w:rsidRDefault="00000000">
      <w:pPr>
        <w:jc w:val="center"/>
      </w:pPr>
      <m:oMathPara>
        <m:oMathParaPr>
          <m:jc m:val="center"/>
        </m:oMathParaPr>
        <m:oMath>
          <m:r>
            <w:rPr>
              <w:rFonts w:ascii="Cambria Math" w:hAnsi="Cambria Math"/>
            </w:rPr>
            <m:t xml:space="preserve">+ </m:t>
          </m:r>
          <m:sSub>
            <m:sSubPr>
              <m:ctrlPr>
                <w:rPr>
                  <w:rFonts w:ascii="Cambria Math" w:hAnsi="Cambria Math"/>
                </w:rPr>
              </m:ctrlPr>
            </m:sSubPr>
            <m:e>
              <m:r>
                <w:rPr>
                  <w:rFonts w:ascii="Cambria Math" w:hAnsi="Cambria Math"/>
                </w:rPr>
                <m:t>β</m:t>
              </m:r>
            </m:e>
            <m:sub>
              <m:r>
                <w:rPr>
                  <w:rFonts w:ascii="Cambria Math" w:hAnsi="Cambria Math"/>
                </w:rPr>
                <m:t>4</m:t>
              </m:r>
            </m:sub>
          </m:sSub>
          <m:r>
            <w:rPr>
              <w:rFonts w:ascii="Cambria Math" w:hAnsi="Cambria Math"/>
            </w:rPr>
            <m:t xml:space="preserve"> </m:t>
          </m:r>
          <m:sSub>
            <m:sSubPr>
              <m:ctrlPr>
                <w:rPr>
                  <w:rFonts w:ascii="Cambria Math" w:hAnsi="Cambria Math"/>
                </w:rPr>
              </m:ctrlPr>
            </m:sSubPr>
            <m:e>
              <m:r>
                <w:rPr>
                  <w:rFonts w:ascii="Cambria Math" w:hAnsi="Cambria Math"/>
                </w:rPr>
                <m:t>AC</m:t>
              </m:r>
            </m:e>
            <m:sub>
              <m:r>
                <w:rPr>
                  <w:rFonts w:ascii="Cambria Math" w:hAnsi="Cambria Math"/>
                </w:rPr>
                <m:t>it</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5</m:t>
              </m:r>
            </m:sub>
          </m:sSub>
          <m:r>
            <w:rPr>
              <w:rFonts w:ascii="Cambria Math" w:hAnsi="Cambria Math"/>
            </w:rPr>
            <m:t xml:space="preserve"> </m:t>
          </m:r>
          <m:sSub>
            <m:sSubPr>
              <m:ctrlPr>
                <w:rPr>
                  <w:rFonts w:ascii="Cambria Math" w:hAnsi="Cambria Math"/>
                </w:rPr>
              </m:ctrlPr>
            </m:sSubPr>
            <m:e>
              <m:r>
                <w:rPr>
                  <w:rFonts w:ascii="Cambria Math" w:hAnsi="Cambria Math"/>
                </w:rPr>
                <m:t>Cap</m:t>
              </m:r>
            </m:e>
            <m:sub>
              <m:r>
                <w:rPr>
                  <w:rFonts w:ascii="Cambria Math" w:hAnsi="Cambria Math"/>
                </w:rPr>
                <m:t>it</m:t>
              </m:r>
            </m:sub>
          </m:sSub>
          <m:r>
            <w:rPr>
              <w:rFonts w:ascii="Cambria Math" w:hAnsi="Cambria Math"/>
            </w:rPr>
            <m:t xml:space="preserve"> + γ </m:t>
          </m:r>
          <m:sSub>
            <m:sSubPr>
              <m:ctrlPr>
                <w:rPr>
                  <w:rFonts w:ascii="Cambria Math" w:hAnsi="Cambria Math"/>
                </w:rPr>
              </m:ctrlPr>
            </m:sSubPr>
            <m:e>
              <m:r>
                <w:rPr>
                  <w:rFonts w:ascii="Cambria Math" w:hAnsi="Cambria Math"/>
                </w:rPr>
                <m:t>Controls</m:t>
              </m:r>
            </m:e>
            <m:sub>
              <m:r>
                <w:rPr>
                  <w:rFonts w:ascii="Cambria Math" w:hAnsi="Cambria Math"/>
                </w:rPr>
                <m:t>it</m:t>
              </m:r>
            </m:sub>
          </m:sSub>
          <m:r>
            <w:rPr>
              <w:rFonts w:ascii="Cambria Math" w:hAnsi="Cambria Math"/>
            </w:rPr>
            <m:t xml:space="preserve"> + </m:t>
          </m:r>
          <m:sSub>
            <m:sSubPr>
              <m:ctrlPr>
                <w:rPr>
                  <w:rFonts w:ascii="Cambria Math" w:hAnsi="Cambria Math"/>
                </w:rPr>
              </m:ctrlPr>
            </m:sSubPr>
            <m:e>
              <m:r>
                <w:rPr>
                  <w:rFonts w:ascii="Cambria Math" w:hAnsi="Cambria Math"/>
                </w:rPr>
                <m:t>δ</m:t>
              </m:r>
            </m:e>
            <m:sub>
              <m:r>
                <w:rPr>
                  <w:rFonts w:ascii="Cambria Math" w:hAnsi="Cambria Math"/>
                </w:rPr>
                <m:t>t</m:t>
              </m:r>
            </m:sub>
          </m:sSub>
          <m:r>
            <w:rPr>
              <w:rFonts w:ascii="Cambria Math" w:hAnsi="Cambria Math"/>
            </w:rPr>
            <m:t>)</m:t>
          </m:r>
        </m:oMath>
      </m:oMathPara>
    </w:p>
    <w:p w14:paraId="3E3E2D46" w14:textId="77777777" w:rsidR="009E04F9" w:rsidRDefault="00000000">
      <w:pPr>
        <w:jc w:val="both"/>
      </w:pPr>
      <w:r>
        <w:t xml:space="preserve">where Lambda denotes the logistic cumulative distribution function, </w:t>
      </w:r>
      <w:proofErr w:type="spellStart"/>
      <w:r>
        <w:t>i</w:t>
      </w:r>
      <w:proofErr w:type="spellEnd"/>
      <w:r>
        <w:t xml:space="preserve"> </w:t>
      </w:r>
      <w:proofErr w:type="gramStart"/>
      <w:r>
        <w:t>indexes</w:t>
      </w:r>
      <w:proofErr w:type="gramEnd"/>
      <w:r>
        <w:t xml:space="preserve"> firms, t indexes years, Controls comprises ROA, SIZE and AQ, and </w:t>
      </w:r>
      <w:proofErr w:type="spellStart"/>
      <w:r>
        <w:t>delta_t</w:t>
      </w:r>
      <w:proofErr w:type="spellEnd"/>
      <w:r>
        <w:t xml:space="preserve"> denotes year effects. The contemporaneous GEE is treated as the principal association model because the research question concerns whether observable Fraud Diamond indicators coincide with a </w:t>
      </w:r>
      <w:proofErr w:type="spellStart"/>
      <w:r>
        <w:t>Beneish</w:t>
      </w:r>
      <w:proofErr w:type="spellEnd"/>
      <w:r>
        <w:t xml:space="preserve"> manipulation-risk signal. A separate one-year-lagged GEE relates X_</w:t>
      </w:r>
      <w:proofErr w:type="gramStart"/>
      <w:r>
        <w:t>i,t</w:t>
      </w:r>
      <w:proofErr w:type="gramEnd"/>
      <w:r>
        <w:t xml:space="preserve">-1 to </w:t>
      </w:r>
      <w:proofErr w:type="spellStart"/>
      <w:r>
        <w:t>MFLAG_it</w:t>
      </w:r>
      <w:proofErr w:type="spellEnd"/>
      <w:r>
        <w:t xml:space="preserve"> and is interpreted as a stricter test of forward-looking predictive content. Only genuine one-year transitions are retained in the lagged analysis; two observations separated by multi-year gaps are excluded, producing 298 firm-year observations across the same 40 firms.</w:t>
      </w:r>
    </w:p>
    <w:p w14:paraId="725BA8EC" w14:textId="77777777" w:rsidR="009E04F9" w:rsidRDefault="00000000">
      <w:r>
        <w:t>The one-year-lagged robustness specification is:</w:t>
      </w:r>
    </w:p>
    <w:p w14:paraId="416C656A" w14:textId="77777777" w:rsidR="009E04F9" w:rsidRDefault="00000000">
      <w:pPr>
        <w:jc w:val="center"/>
      </w:pPr>
      <m:oMathPara>
        <m:oMathParaPr>
          <m:jc m:val="center"/>
        </m:oMathParaPr>
        <m:oMath>
          <m:r>
            <w:rPr>
              <w:rFonts w:ascii="Cambria Math" w:hAnsi="Cambria Math"/>
            </w:rPr>
            <m:t>Pr(</m:t>
          </m:r>
          <m:sSub>
            <m:sSubPr>
              <m:ctrlPr>
                <w:rPr>
                  <w:rFonts w:ascii="Cambria Math" w:hAnsi="Cambria Math"/>
                </w:rPr>
              </m:ctrlPr>
            </m:sSubPr>
            <m:e>
              <m:r>
                <w:rPr>
                  <w:rFonts w:ascii="Cambria Math" w:hAnsi="Cambria Math"/>
                </w:rPr>
                <m:t>MFLAG</m:t>
              </m:r>
            </m:e>
            <m:sub>
              <m:r>
                <w:rPr>
                  <w:rFonts w:ascii="Cambria Math" w:hAnsi="Cambria Math"/>
                </w:rPr>
                <m:t>it</m:t>
              </m:r>
            </m:sub>
          </m:sSub>
          <m:r>
            <w:rPr>
              <w:rFonts w:ascii="Cambria Math" w:hAnsi="Cambria Math"/>
            </w:rPr>
            <m:t xml:space="preserve"> = 1) = Λ(α + </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rPr>
                <m:t>ACHANGE</m:t>
              </m:r>
            </m:e>
            <m:sub>
              <m:r>
                <w:rPr>
                  <w:rFonts w:ascii="Cambria Math" w:hAnsi="Cambria Math"/>
                </w:rPr>
                <m:t>i,t-1</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rPr>
                <m:t>BDOUT</m:t>
              </m:r>
            </m:e>
            <m:sub>
              <m:r>
                <w:rPr>
                  <w:rFonts w:ascii="Cambria Math" w:hAnsi="Cambria Math"/>
                </w:rPr>
                <m:t>i,t-1</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3</m:t>
              </m:r>
            </m:sub>
          </m:sSub>
          <m:r>
            <w:rPr>
              <w:rFonts w:ascii="Cambria Math" w:hAnsi="Cambria Math"/>
            </w:rPr>
            <m:t xml:space="preserve"> </m:t>
          </m:r>
          <m:sSub>
            <m:sSubPr>
              <m:ctrlPr>
                <w:rPr>
                  <w:rFonts w:ascii="Cambria Math" w:hAnsi="Cambria Math"/>
                </w:rPr>
              </m:ctrlPr>
            </m:sSubPr>
            <m:e>
              <m:r>
                <w:rPr>
                  <w:rFonts w:ascii="Cambria Math" w:hAnsi="Cambria Math"/>
                </w:rPr>
                <m:t>IOSHIP</m:t>
              </m:r>
            </m:e>
            <m:sub>
              <m:r>
                <w:rPr>
                  <w:rFonts w:ascii="Cambria Math" w:hAnsi="Cambria Math"/>
                </w:rPr>
                <m:t>i,t-1</m:t>
              </m:r>
            </m:sub>
          </m:sSub>
        </m:oMath>
      </m:oMathPara>
    </w:p>
    <w:p w14:paraId="767B5AC3" w14:textId="77777777" w:rsidR="009E04F9" w:rsidRDefault="00000000">
      <w:pPr>
        <w:jc w:val="center"/>
      </w:pPr>
      <m:oMathPara>
        <m:oMathParaPr>
          <m:jc m:val="center"/>
        </m:oMathParaPr>
        <m:oMath>
          <m:r>
            <w:rPr>
              <w:rFonts w:ascii="Cambria Math" w:hAnsi="Cambria Math"/>
            </w:rPr>
            <m:t xml:space="preserve">+ </m:t>
          </m:r>
          <m:sSub>
            <m:sSubPr>
              <m:ctrlPr>
                <w:rPr>
                  <w:rFonts w:ascii="Cambria Math" w:hAnsi="Cambria Math"/>
                </w:rPr>
              </m:ctrlPr>
            </m:sSubPr>
            <m:e>
              <m:r>
                <w:rPr>
                  <w:rFonts w:ascii="Cambria Math" w:hAnsi="Cambria Math"/>
                </w:rPr>
                <m:t>β</m:t>
              </m:r>
            </m:e>
            <m:sub>
              <m:r>
                <w:rPr>
                  <w:rFonts w:ascii="Cambria Math" w:hAnsi="Cambria Math"/>
                </w:rPr>
                <m:t>4</m:t>
              </m:r>
            </m:sub>
          </m:sSub>
          <m:r>
            <w:rPr>
              <w:rFonts w:ascii="Cambria Math" w:hAnsi="Cambria Math"/>
            </w:rPr>
            <m:t xml:space="preserve"> </m:t>
          </m:r>
          <m:sSub>
            <m:sSubPr>
              <m:ctrlPr>
                <w:rPr>
                  <w:rFonts w:ascii="Cambria Math" w:hAnsi="Cambria Math"/>
                </w:rPr>
              </m:ctrlPr>
            </m:sSubPr>
            <m:e>
              <m:r>
                <w:rPr>
                  <w:rFonts w:ascii="Cambria Math" w:hAnsi="Cambria Math"/>
                </w:rPr>
                <m:t>AC</m:t>
              </m:r>
            </m:e>
            <m:sub>
              <m:r>
                <w:rPr>
                  <w:rFonts w:ascii="Cambria Math" w:hAnsi="Cambria Math"/>
                </w:rPr>
                <m:t>i,t-1</m:t>
              </m:r>
            </m:sub>
          </m:sSub>
          <m:r>
            <w:rPr>
              <w:rFonts w:ascii="Cambria Math" w:hAnsi="Cambria Math"/>
            </w:rPr>
            <m:t xml:space="preserve"> + </m:t>
          </m:r>
          <m:sSub>
            <m:sSubPr>
              <m:ctrlPr>
                <w:rPr>
                  <w:rFonts w:ascii="Cambria Math" w:hAnsi="Cambria Math"/>
                </w:rPr>
              </m:ctrlPr>
            </m:sSubPr>
            <m:e>
              <m:r>
                <w:rPr>
                  <w:rFonts w:ascii="Cambria Math" w:hAnsi="Cambria Math"/>
                </w:rPr>
                <m:t>β</m:t>
              </m:r>
            </m:e>
            <m:sub>
              <m:r>
                <w:rPr>
                  <w:rFonts w:ascii="Cambria Math" w:hAnsi="Cambria Math"/>
                </w:rPr>
                <m:t>5</m:t>
              </m:r>
            </m:sub>
          </m:sSub>
          <m:r>
            <w:rPr>
              <w:rFonts w:ascii="Cambria Math" w:hAnsi="Cambria Math"/>
            </w:rPr>
            <m:t xml:space="preserve"> </m:t>
          </m:r>
          <m:sSub>
            <m:sSubPr>
              <m:ctrlPr>
                <w:rPr>
                  <w:rFonts w:ascii="Cambria Math" w:hAnsi="Cambria Math"/>
                </w:rPr>
              </m:ctrlPr>
            </m:sSubPr>
            <m:e>
              <m:r>
                <w:rPr>
                  <w:rFonts w:ascii="Cambria Math" w:hAnsi="Cambria Math"/>
                </w:rPr>
                <m:t>Cap</m:t>
              </m:r>
            </m:e>
            <m:sub>
              <m:r>
                <w:rPr>
                  <w:rFonts w:ascii="Cambria Math" w:hAnsi="Cambria Math"/>
                </w:rPr>
                <m:t>i,t-1</m:t>
              </m:r>
            </m:sub>
          </m:sSub>
          <m:r>
            <w:rPr>
              <w:rFonts w:ascii="Cambria Math" w:hAnsi="Cambria Math"/>
            </w:rPr>
            <m:t xml:space="preserve"> + γ </m:t>
          </m:r>
          <m:sSub>
            <m:sSubPr>
              <m:ctrlPr>
                <w:rPr>
                  <w:rFonts w:ascii="Cambria Math" w:hAnsi="Cambria Math"/>
                </w:rPr>
              </m:ctrlPr>
            </m:sSubPr>
            <m:e>
              <m:r>
                <w:rPr>
                  <w:rFonts w:ascii="Cambria Math" w:hAnsi="Cambria Math"/>
                </w:rPr>
                <m:t>Controls</m:t>
              </m:r>
            </m:e>
            <m:sub>
              <m:r>
                <w:rPr>
                  <w:rFonts w:ascii="Cambria Math" w:hAnsi="Cambria Math"/>
                </w:rPr>
                <m:t>i,t-1</m:t>
              </m:r>
            </m:sub>
          </m:sSub>
          <m:r>
            <w:rPr>
              <w:rFonts w:ascii="Cambria Math" w:hAnsi="Cambria Math"/>
            </w:rPr>
            <m:t xml:space="preserve"> + </m:t>
          </m:r>
          <m:sSub>
            <m:sSubPr>
              <m:ctrlPr>
                <w:rPr>
                  <w:rFonts w:ascii="Cambria Math" w:hAnsi="Cambria Math"/>
                </w:rPr>
              </m:ctrlPr>
            </m:sSubPr>
            <m:e>
              <m:r>
                <w:rPr>
                  <w:rFonts w:ascii="Cambria Math" w:hAnsi="Cambria Math"/>
                </w:rPr>
                <m:t>δ</m:t>
              </m:r>
            </m:e>
            <m:sub>
              <m:r>
                <w:rPr>
                  <w:rFonts w:ascii="Cambria Math" w:hAnsi="Cambria Math"/>
                </w:rPr>
                <m:t>t</m:t>
              </m:r>
            </m:sub>
          </m:sSub>
          <m:r>
            <w:rPr>
              <w:rFonts w:ascii="Cambria Math" w:hAnsi="Cambria Math"/>
            </w:rPr>
            <m:t>)</m:t>
          </m:r>
        </m:oMath>
      </m:oMathPara>
    </w:p>
    <w:p w14:paraId="7555E113" w14:textId="77777777" w:rsidR="009E04F9" w:rsidRDefault="00000000">
      <w:pPr>
        <w:spacing w:before="80"/>
      </w:pPr>
      <w:r>
        <w:t>3.5 Robustness, fixed effects and model assessment</w:t>
      </w:r>
    </w:p>
    <w:p w14:paraId="7AA88804" w14:textId="77777777" w:rsidR="009E04F9" w:rsidRDefault="00000000">
      <w:pPr>
        <w:jc w:val="both"/>
      </w:pPr>
      <w:r>
        <w:t>Three robustness exercises are used. First, a conventional pooled logistic model with firm-clustered standard errors assesses whether the main GEE conclusions depend on the marginal-correlation framework. Second, a conditional firm fixed-effects logit model is estimated on lagged covariates, thereby controlling for all time-invariant firm characteristics through conditional likelihood (</w:t>
      </w:r>
      <w:hyperlink w:anchor="ref_Chamberlain_1980" w:history="1">
        <w:r w:rsidR="009E04F9">
          <w:rPr>
            <w:szCs w:val="24"/>
          </w:rPr>
          <w:t>Chamberlain, 1980</w:t>
        </w:r>
      </w:hyperlink>
      <w:r>
        <w:t xml:space="preserve">). Firms with no within-firm variation in the binary dependent variable are necessarily omitted by this estimator. The CEO financial-expertise variable is also omitted from the fixed-effects specification because it exhibits no within-firm variation over the study period. Third, the continuous </w:t>
      </w:r>
      <w:proofErr w:type="spellStart"/>
      <w:r>
        <w:t>Beneish</w:t>
      </w:r>
      <w:proofErr w:type="spellEnd"/>
      <w:r>
        <w:t xml:space="preserve"> M-Score, </w:t>
      </w:r>
      <w:proofErr w:type="spellStart"/>
      <w:r>
        <w:t>winsorised</w:t>
      </w:r>
      <w:proofErr w:type="spellEnd"/>
      <w:r>
        <w:t xml:space="preserve"> at the 1st and 99th percentiles, is </w:t>
      </w:r>
      <w:proofErr w:type="spellStart"/>
      <w:r>
        <w:t>analysed</w:t>
      </w:r>
      <w:proofErr w:type="spellEnd"/>
      <w:r>
        <w:t xml:space="preserve"> through Gaussian GEE to determine whether the directional findings depend on the </w:t>
      </w:r>
      <w:proofErr w:type="gramStart"/>
      <w:r>
        <w:t xml:space="preserve">-2.22 </w:t>
      </w:r>
      <w:proofErr w:type="spellStart"/>
      <w:r>
        <w:t>dichotomisation</w:t>
      </w:r>
      <w:proofErr w:type="spellEnd"/>
      <w:proofErr w:type="gramEnd"/>
      <w:r>
        <w:t xml:space="preserve"> threshold. As a </w:t>
      </w:r>
      <w:r>
        <w:lastRenderedPageBreak/>
        <w:t>measurement sensitivity check, the board variable is also reconstructed directly as non-executive directors divided by board size (BDOUT2) from the governance data.</w:t>
      </w:r>
    </w:p>
    <w:p w14:paraId="2E76F3DF" w14:textId="77777777" w:rsidR="009E04F9" w:rsidRDefault="00000000">
      <w:pPr>
        <w:jc w:val="both"/>
      </w:pPr>
      <w:r>
        <w:t xml:space="preserve">Multicollinearity is assessed using pairwise correlations and variance inflation factors (VIFs). Discrimination of the binary GEE model is assessed through the area under the receiver-operating-characteristic curve (AUC), while the Brier score </w:t>
      </w:r>
      <w:proofErr w:type="spellStart"/>
      <w:r>
        <w:t>summarises</w:t>
      </w:r>
      <w:proofErr w:type="spellEnd"/>
      <w:r>
        <w:t xml:space="preserve"> probability calibration and accuracy. The study focuses on effect direction, odds ratios, confidence intervals and consistency across specifications rather than statistical significance alone.</w:t>
      </w:r>
    </w:p>
    <w:p w14:paraId="24767393" w14:textId="77777777" w:rsidR="009E04F9" w:rsidRDefault="00000000">
      <w:pPr>
        <w:spacing w:before="120"/>
        <w:jc w:val="both"/>
      </w:pPr>
      <w:r>
        <w:rPr>
          <w:b/>
        </w:rPr>
        <w:t>4. Results</w:t>
      </w:r>
    </w:p>
    <w:p w14:paraId="6F3CA5C4" w14:textId="77777777" w:rsidR="009E04F9" w:rsidRDefault="00000000">
      <w:pPr>
        <w:spacing w:before="80"/>
      </w:pPr>
      <w:r>
        <w:rPr>
          <w:b/>
        </w:rPr>
        <w:t xml:space="preserve">4.1 Descriptive statistics and incidence of </w:t>
      </w:r>
      <w:proofErr w:type="spellStart"/>
      <w:r>
        <w:rPr>
          <w:b/>
        </w:rPr>
        <w:t>Beneish</w:t>
      </w:r>
      <w:proofErr w:type="spellEnd"/>
      <w:r>
        <w:rPr>
          <w:b/>
        </w:rPr>
        <w:t xml:space="preserve"> flags</w:t>
      </w:r>
    </w:p>
    <w:p w14:paraId="04B04878" w14:textId="77777777" w:rsidR="009E04F9" w:rsidRDefault="00000000">
      <w:pPr>
        <w:jc w:val="both"/>
      </w:pPr>
      <w:r>
        <w:t xml:space="preserve">Of the 340 firm-year observations, 115 are classified above the </w:t>
      </w:r>
      <w:proofErr w:type="spellStart"/>
      <w:r>
        <w:t>Beneish</w:t>
      </w:r>
      <w:proofErr w:type="spellEnd"/>
      <w:r>
        <w:t xml:space="preserve"> threshold, yielding an overall manipulation-flag rate of 33.8%. The annual rate varies substantially, from 22.5% in 2015 to 58.1% in 2022. The pattern indicates that the prevalence of the accounting-based signal is not constant through time, which supports the inclusion of year fixed effects rather than attributing common macroeconomic or reporting shocks to firm-level characteristics.</w:t>
      </w:r>
    </w:p>
    <w:p w14:paraId="79D8C53C" w14:textId="77777777" w:rsidR="009E04F9" w:rsidRDefault="00000000">
      <w:pPr>
        <w:spacing w:before="80"/>
        <w:jc w:val="both"/>
      </w:pPr>
      <w:r>
        <w:rPr>
          <w:b/>
        </w:rPr>
        <w:t>Table 2. Descriptive statistics</w:t>
      </w:r>
    </w:p>
    <w:tbl>
      <w:tblPr>
        <w:tblStyle w:val="TableGrid"/>
        <w:tblW w:w="0" w:type="auto"/>
        <w:jc w:val="center"/>
        <w:tblLayout w:type="fixed"/>
        <w:tblLook w:val="04A0" w:firstRow="1" w:lastRow="0" w:firstColumn="1" w:lastColumn="0" w:noHBand="0" w:noVBand="1"/>
      </w:tblPr>
      <w:tblGrid>
        <w:gridCol w:w="3311"/>
        <w:gridCol w:w="1504"/>
        <w:gridCol w:w="1504"/>
        <w:gridCol w:w="1504"/>
        <w:gridCol w:w="1504"/>
        <w:gridCol w:w="1504"/>
      </w:tblGrid>
      <w:tr w:rsidR="009E04F9" w14:paraId="65859C2F" w14:textId="77777777">
        <w:trPr>
          <w:cantSplit/>
          <w:jc w:val="center"/>
        </w:trPr>
        <w:tc>
          <w:tcPr>
            <w:tcW w:w="3311" w:type="dxa"/>
            <w:shd w:val="clear" w:color="auto" w:fill="D9EAF7"/>
            <w:vAlign w:val="center"/>
          </w:tcPr>
          <w:p w14:paraId="0C137DFE" w14:textId="77777777" w:rsidR="009E04F9" w:rsidRDefault="00000000">
            <w:pPr>
              <w:jc w:val="center"/>
            </w:pPr>
            <w:r>
              <w:rPr>
                <w:b/>
              </w:rPr>
              <w:t>Variable</w:t>
            </w:r>
          </w:p>
        </w:tc>
        <w:tc>
          <w:tcPr>
            <w:tcW w:w="691" w:type="dxa"/>
            <w:shd w:val="clear" w:color="auto" w:fill="D9EAF7"/>
            <w:vAlign w:val="center"/>
          </w:tcPr>
          <w:p w14:paraId="62D54207" w14:textId="77777777" w:rsidR="009E04F9" w:rsidRDefault="00000000">
            <w:pPr>
              <w:jc w:val="center"/>
            </w:pPr>
            <w:r>
              <w:rPr>
                <w:b/>
              </w:rPr>
              <w:t>N</w:t>
            </w:r>
          </w:p>
        </w:tc>
        <w:tc>
          <w:tcPr>
            <w:tcW w:w="1195" w:type="dxa"/>
            <w:shd w:val="clear" w:color="auto" w:fill="D9EAF7"/>
            <w:vAlign w:val="center"/>
          </w:tcPr>
          <w:p w14:paraId="2A52EEB2" w14:textId="77777777" w:rsidR="009E04F9" w:rsidRDefault="00000000">
            <w:pPr>
              <w:jc w:val="center"/>
            </w:pPr>
            <w:r>
              <w:rPr>
                <w:b/>
              </w:rPr>
              <w:t>Mean</w:t>
            </w:r>
          </w:p>
        </w:tc>
        <w:tc>
          <w:tcPr>
            <w:tcW w:w="1195" w:type="dxa"/>
            <w:shd w:val="clear" w:color="auto" w:fill="D9EAF7"/>
            <w:vAlign w:val="center"/>
          </w:tcPr>
          <w:p w14:paraId="4A9BE892" w14:textId="77777777" w:rsidR="009E04F9" w:rsidRDefault="00000000">
            <w:pPr>
              <w:jc w:val="center"/>
            </w:pPr>
            <w:r>
              <w:rPr>
                <w:b/>
              </w:rPr>
              <w:t>SD</w:t>
            </w:r>
          </w:p>
        </w:tc>
        <w:tc>
          <w:tcPr>
            <w:tcW w:w="1195" w:type="dxa"/>
            <w:shd w:val="clear" w:color="auto" w:fill="D9EAF7"/>
            <w:vAlign w:val="center"/>
          </w:tcPr>
          <w:p w14:paraId="5A3614EF" w14:textId="77777777" w:rsidR="009E04F9" w:rsidRDefault="00000000">
            <w:pPr>
              <w:jc w:val="center"/>
            </w:pPr>
            <w:r>
              <w:rPr>
                <w:b/>
              </w:rPr>
              <w:t>Min.</w:t>
            </w:r>
          </w:p>
        </w:tc>
        <w:tc>
          <w:tcPr>
            <w:tcW w:w="1195" w:type="dxa"/>
            <w:shd w:val="clear" w:color="auto" w:fill="D9EAF7"/>
            <w:vAlign w:val="center"/>
          </w:tcPr>
          <w:p w14:paraId="67CE043E" w14:textId="77777777" w:rsidR="009E04F9" w:rsidRDefault="00000000">
            <w:pPr>
              <w:jc w:val="center"/>
            </w:pPr>
            <w:r>
              <w:rPr>
                <w:b/>
              </w:rPr>
              <w:t>Max.</w:t>
            </w:r>
          </w:p>
        </w:tc>
      </w:tr>
      <w:tr w:rsidR="009E04F9" w14:paraId="6F89D31C" w14:textId="77777777">
        <w:trPr>
          <w:cantSplit/>
          <w:jc w:val="center"/>
        </w:trPr>
        <w:tc>
          <w:tcPr>
            <w:tcW w:w="1504" w:type="dxa"/>
            <w:vAlign w:val="center"/>
          </w:tcPr>
          <w:p w14:paraId="51C592DC" w14:textId="77777777" w:rsidR="009E04F9" w:rsidRDefault="00000000">
            <w:r>
              <w:t>MFLAG</w:t>
            </w:r>
          </w:p>
        </w:tc>
        <w:tc>
          <w:tcPr>
            <w:tcW w:w="1504" w:type="dxa"/>
            <w:vAlign w:val="center"/>
          </w:tcPr>
          <w:p w14:paraId="239FEF52" w14:textId="77777777" w:rsidR="009E04F9" w:rsidRDefault="00000000">
            <w:pPr>
              <w:jc w:val="center"/>
            </w:pPr>
            <w:r>
              <w:t>340</w:t>
            </w:r>
          </w:p>
        </w:tc>
        <w:tc>
          <w:tcPr>
            <w:tcW w:w="1504" w:type="dxa"/>
            <w:vAlign w:val="center"/>
          </w:tcPr>
          <w:p w14:paraId="49ACD7C2" w14:textId="77777777" w:rsidR="009E04F9" w:rsidRDefault="00000000">
            <w:pPr>
              <w:jc w:val="center"/>
            </w:pPr>
            <w:r>
              <w:t>0.338</w:t>
            </w:r>
          </w:p>
        </w:tc>
        <w:tc>
          <w:tcPr>
            <w:tcW w:w="1504" w:type="dxa"/>
            <w:vAlign w:val="center"/>
          </w:tcPr>
          <w:p w14:paraId="06DE0572" w14:textId="77777777" w:rsidR="009E04F9" w:rsidRDefault="00000000">
            <w:pPr>
              <w:jc w:val="center"/>
            </w:pPr>
            <w:r>
              <w:t>0.474</w:t>
            </w:r>
          </w:p>
        </w:tc>
        <w:tc>
          <w:tcPr>
            <w:tcW w:w="1504" w:type="dxa"/>
            <w:vAlign w:val="center"/>
          </w:tcPr>
          <w:p w14:paraId="0E83A356" w14:textId="77777777" w:rsidR="009E04F9" w:rsidRDefault="00000000">
            <w:pPr>
              <w:jc w:val="center"/>
            </w:pPr>
            <w:r>
              <w:t>0.000</w:t>
            </w:r>
          </w:p>
        </w:tc>
        <w:tc>
          <w:tcPr>
            <w:tcW w:w="1504" w:type="dxa"/>
            <w:vAlign w:val="center"/>
          </w:tcPr>
          <w:p w14:paraId="6B1DC134" w14:textId="77777777" w:rsidR="009E04F9" w:rsidRDefault="00000000">
            <w:pPr>
              <w:jc w:val="center"/>
            </w:pPr>
            <w:r>
              <w:t>1.000</w:t>
            </w:r>
          </w:p>
        </w:tc>
      </w:tr>
      <w:tr w:rsidR="009E04F9" w14:paraId="0B7BE9DC" w14:textId="77777777">
        <w:trPr>
          <w:cantSplit/>
          <w:jc w:val="center"/>
        </w:trPr>
        <w:tc>
          <w:tcPr>
            <w:tcW w:w="1504" w:type="dxa"/>
            <w:vAlign w:val="center"/>
          </w:tcPr>
          <w:p w14:paraId="1574D6AE" w14:textId="77777777" w:rsidR="009E04F9" w:rsidRDefault="00000000">
            <w:r>
              <w:t>ACHANGE</w:t>
            </w:r>
          </w:p>
        </w:tc>
        <w:tc>
          <w:tcPr>
            <w:tcW w:w="1504" w:type="dxa"/>
            <w:vAlign w:val="center"/>
          </w:tcPr>
          <w:p w14:paraId="3E5C8E47" w14:textId="77777777" w:rsidR="009E04F9" w:rsidRDefault="00000000">
            <w:pPr>
              <w:jc w:val="center"/>
            </w:pPr>
            <w:r>
              <w:t>340</w:t>
            </w:r>
          </w:p>
        </w:tc>
        <w:tc>
          <w:tcPr>
            <w:tcW w:w="1504" w:type="dxa"/>
            <w:vAlign w:val="center"/>
          </w:tcPr>
          <w:p w14:paraId="7FCB150D" w14:textId="77777777" w:rsidR="009E04F9" w:rsidRDefault="00000000">
            <w:pPr>
              <w:jc w:val="center"/>
            </w:pPr>
            <w:r>
              <w:t>0.124</w:t>
            </w:r>
          </w:p>
        </w:tc>
        <w:tc>
          <w:tcPr>
            <w:tcW w:w="1504" w:type="dxa"/>
            <w:vAlign w:val="center"/>
          </w:tcPr>
          <w:p w14:paraId="2CF39D11" w14:textId="77777777" w:rsidR="009E04F9" w:rsidRDefault="00000000">
            <w:pPr>
              <w:jc w:val="center"/>
            </w:pPr>
            <w:r>
              <w:t>0.424</w:t>
            </w:r>
          </w:p>
        </w:tc>
        <w:tc>
          <w:tcPr>
            <w:tcW w:w="1504" w:type="dxa"/>
            <w:vAlign w:val="center"/>
          </w:tcPr>
          <w:p w14:paraId="18DD6D12" w14:textId="77777777" w:rsidR="009E04F9" w:rsidRDefault="00000000">
            <w:pPr>
              <w:jc w:val="center"/>
            </w:pPr>
            <w:r>
              <w:t>-0.698</w:t>
            </w:r>
          </w:p>
        </w:tc>
        <w:tc>
          <w:tcPr>
            <w:tcW w:w="1504" w:type="dxa"/>
            <w:vAlign w:val="center"/>
          </w:tcPr>
          <w:p w14:paraId="01AE017E" w14:textId="77777777" w:rsidR="009E04F9" w:rsidRDefault="00000000">
            <w:pPr>
              <w:jc w:val="center"/>
            </w:pPr>
            <w:r>
              <w:t>5.901</w:t>
            </w:r>
          </w:p>
        </w:tc>
      </w:tr>
      <w:tr w:rsidR="009E04F9" w14:paraId="1E6AB438" w14:textId="77777777">
        <w:trPr>
          <w:cantSplit/>
          <w:jc w:val="center"/>
        </w:trPr>
        <w:tc>
          <w:tcPr>
            <w:tcW w:w="1504" w:type="dxa"/>
            <w:vAlign w:val="center"/>
          </w:tcPr>
          <w:p w14:paraId="2BC76169" w14:textId="77777777" w:rsidR="009E04F9" w:rsidRDefault="00000000">
            <w:r>
              <w:t>BDOUT</w:t>
            </w:r>
          </w:p>
        </w:tc>
        <w:tc>
          <w:tcPr>
            <w:tcW w:w="1504" w:type="dxa"/>
            <w:vAlign w:val="center"/>
          </w:tcPr>
          <w:p w14:paraId="1AF0C45E" w14:textId="77777777" w:rsidR="009E04F9" w:rsidRDefault="00000000">
            <w:pPr>
              <w:jc w:val="center"/>
            </w:pPr>
            <w:r>
              <w:t>340</w:t>
            </w:r>
          </w:p>
        </w:tc>
        <w:tc>
          <w:tcPr>
            <w:tcW w:w="1504" w:type="dxa"/>
            <w:vAlign w:val="center"/>
          </w:tcPr>
          <w:p w14:paraId="21A9FC77" w14:textId="77777777" w:rsidR="009E04F9" w:rsidRDefault="00000000">
            <w:pPr>
              <w:jc w:val="center"/>
            </w:pPr>
            <w:r>
              <w:t>0.712</w:t>
            </w:r>
          </w:p>
        </w:tc>
        <w:tc>
          <w:tcPr>
            <w:tcW w:w="1504" w:type="dxa"/>
            <w:vAlign w:val="center"/>
          </w:tcPr>
          <w:p w14:paraId="114726CE" w14:textId="77777777" w:rsidR="009E04F9" w:rsidRDefault="00000000">
            <w:pPr>
              <w:jc w:val="center"/>
            </w:pPr>
            <w:r>
              <w:t>0.108</w:t>
            </w:r>
          </w:p>
        </w:tc>
        <w:tc>
          <w:tcPr>
            <w:tcW w:w="1504" w:type="dxa"/>
            <w:vAlign w:val="center"/>
          </w:tcPr>
          <w:p w14:paraId="71A86631" w14:textId="77777777" w:rsidR="009E04F9" w:rsidRDefault="00000000">
            <w:pPr>
              <w:jc w:val="center"/>
            </w:pPr>
            <w:r>
              <w:t>0.333</w:t>
            </w:r>
          </w:p>
        </w:tc>
        <w:tc>
          <w:tcPr>
            <w:tcW w:w="1504" w:type="dxa"/>
            <w:vAlign w:val="center"/>
          </w:tcPr>
          <w:p w14:paraId="64655495" w14:textId="77777777" w:rsidR="009E04F9" w:rsidRDefault="00000000">
            <w:pPr>
              <w:jc w:val="center"/>
            </w:pPr>
            <w:r>
              <w:t>0.875</w:t>
            </w:r>
          </w:p>
        </w:tc>
      </w:tr>
      <w:tr w:rsidR="009E04F9" w14:paraId="28A03D98" w14:textId="77777777">
        <w:trPr>
          <w:cantSplit/>
          <w:jc w:val="center"/>
        </w:trPr>
        <w:tc>
          <w:tcPr>
            <w:tcW w:w="1504" w:type="dxa"/>
            <w:vAlign w:val="center"/>
          </w:tcPr>
          <w:p w14:paraId="7E9084E2" w14:textId="77777777" w:rsidR="009E04F9" w:rsidRDefault="00000000">
            <w:r>
              <w:t>IOSHIP</w:t>
            </w:r>
          </w:p>
        </w:tc>
        <w:tc>
          <w:tcPr>
            <w:tcW w:w="1504" w:type="dxa"/>
            <w:vAlign w:val="center"/>
          </w:tcPr>
          <w:p w14:paraId="0946C951" w14:textId="77777777" w:rsidR="009E04F9" w:rsidRDefault="00000000">
            <w:pPr>
              <w:jc w:val="center"/>
            </w:pPr>
            <w:r>
              <w:t>340</w:t>
            </w:r>
          </w:p>
        </w:tc>
        <w:tc>
          <w:tcPr>
            <w:tcW w:w="1504" w:type="dxa"/>
            <w:vAlign w:val="center"/>
          </w:tcPr>
          <w:p w14:paraId="7BA5DB99" w14:textId="77777777" w:rsidR="009E04F9" w:rsidRDefault="00000000">
            <w:pPr>
              <w:jc w:val="center"/>
            </w:pPr>
            <w:r>
              <w:t>0.174</w:t>
            </w:r>
          </w:p>
        </w:tc>
        <w:tc>
          <w:tcPr>
            <w:tcW w:w="1504" w:type="dxa"/>
            <w:vAlign w:val="center"/>
          </w:tcPr>
          <w:p w14:paraId="24E67F1C" w14:textId="77777777" w:rsidR="009E04F9" w:rsidRDefault="00000000">
            <w:pPr>
              <w:jc w:val="center"/>
            </w:pPr>
            <w:r>
              <w:t>0.268</w:t>
            </w:r>
          </w:p>
        </w:tc>
        <w:tc>
          <w:tcPr>
            <w:tcW w:w="1504" w:type="dxa"/>
            <w:vAlign w:val="center"/>
          </w:tcPr>
          <w:p w14:paraId="39A718D5" w14:textId="77777777" w:rsidR="009E04F9" w:rsidRDefault="00000000">
            <w:pPr>
              <w:jc w:val="center"/>
            </w:pPr>
            <w:r>
              <w:t>0.000</w:t>
            </w:r>
          </w:p>
        </w:tc>
        <w:tc>
          <w:tcPr>
            <w:tcW w:w="1504" w:type="dxa"/>
            <w:vAlign w:val="center"/>
          </w:tcPr>
          <w:p w14:paraId="5A707E0A" w14:textId="77777777" w:rsidR="009E04F9" w:rsidRDefault="00000000">
            <w:pPr>
              <w:jc w:val="center"/>
            </w:pPr>
            <w:r>
              <w:t>0.882</w:t>
            </w:r>
          </w:p>
        </w:tc>
      </w:tr>
      <w:tr w:rsidR="009E04F9" w14:paraId="1B7F44D4" w14:textId="77777777">
        <w:trPr>
          <w:cantSplit/>
          <w:jc w:val="center"/>
        </w:trPr>
        <w:tc>
          <w:tcPr>
            <w:tcW w:w="1504" w:type="dxa"/>
            <w:vAlign w:val="center"/>
          </w:tcPr>
          <w:p w14:paraId="2667C2A4" w14:textId="77777777" w:rsidR="009E04F9" w:rsidRDefault="00000000">
            <w:r>
              <w:t>AC</w:t>
            </w:r>
          </w:p>
        </w:tc>
        <w:tc>
          <w:tcPr>
            <w:tcW w:w="1504" w:type="dxa"/>
            <w:vAlign w:val="center"/>
          </w:tcPr>
          <w:p w14:paraId="75A2DFEC" w14:textId="77777777" w:rsidR="009E04F9" w:rsidRDefault="00000000">
            <w:pPr>
              <w:jc w:val="center"/>
            </w:pPr>
            <w:r>
              <w:t>340</w:t>
            </w:r>
          </w:p>
        </w:tc>
        <w:tc>
          <w:tcPr>
            <w:tcW w:w="1504" w:type="dxa"/>
            <w:vAlign w:val="center"/>
          </w:tcPr>
          <w:p w14:paraId="0475527B" w14:textId="77777777" w:rsidR="009E04F9" w:rsidRDefault="00000000">
            <w:pPr>
              <w:jc w:val="center"/>
            </w:pPr>
            <w:r>
              <w:t>0.135</w:t>
            </w:r>
          </w:p>
        </w:tc>
        <w:tc>
          <w:tcPr>
            <w:tcW w:w="1504" w:type="dxa"/>
            <w:vAlign w:val="center"/>
          </w:tcPr>
          <w:p w14:paraId="23E9E1F9" w14:textId="77777777" w:rsidR="009E04F9" w:rsidRDefault="00000000">
            <w:pPr>
              <w:jc w:val="center"/>
            </w:pPr>
            <w:r>
              <w:t>0.343</w:t>
            </w:r>
          </w:p>
        </w:tc>
        <w:tc>
          <w:tcPr>
            <w:tcW w:w="1504" w:type="dxa"/>
            <w:vAlign w:val="center"/>
          </w:tcPr>
          <w:p w14:paraId="5E8EC427" w14:textId="77777777" w:rsidR="009E04F9" w:rsidRDefault="00000000">
            <w:pPr>
              <w:jc w:val="center"/>
            </w:pPr>
            <w:r>
              <w:t>0.000</w:t>
            </w:r>
          </w:p>
        </w:tc>
        <w:tc>
          <w:tcPr>
            <w:tcW w:w="1504" w:type="dxa"/>
            <w:vAlign w:val="center"/>
          </w:tcPr>
          <w:p w14:paraId="2607FCF0" w14:textId="77777777" w:rsidR="009E04F9" w:rsidRDefault="00000000">
            <w:pPr>
              <w:jc w:val="center"/>
            </w:pPr>
            <w:r>
              <w:t>1.000</w:t>
            </w:r>
          </w:p>
        </w:tc>
      </w:tr>
      <w:tr w:rsidR="009E04F9" w14:paraId="6412788E" w14:textId="77777777">
        <w:trPr>
          <w:cantSplit/>
          <w:jc w:val="center"/>
        </w:trPr>
        <w:tc>
          <w:tcPr>
            <w:tcW w:w="1504" w:type="dxa"/>
            <w:vAlign w:val="center"/>
          </w:tcPr>
          <w:p w14:paraId="7C8030FC" w14:textId="77777777" w:rsidR="009E04F9" w:rsidRDefault="00000000">
            <w:r>
              <w:t>Cap</w:t>
            </w:r>
          </w:p>
        </w:tc>
        <w:tc>
          <w:tcPr>
            <w:tcW w:w="1504" w:type="dxa"/>
            <w:vAlign w:val="center"/>
          </w:tcPr>
          <w:p w14:paraId="5CE427AF" w14:textId="77777777" w:rsidR="009E04F9" w:rsidRDefault="00000000">
            <w:pPr>
              <w:jc w:val="center"/>
            </w:pPr>
            <w:r>
              <w:t>340</w:t>
            </w:r>
          </w:p>
        </w:tc>
        <w:tc>
          <w:tcPr>
            <w:tcW w:w="1504" w:type="dxa"/>
            <w:vAlign w:val="center"/>
          </w:tcPr>
          <w:p w14:paraId="37D35365" w14:textId="77777777" w:rsidR="009E04F9" w:rsidRDefault="00000000">
            <w:pPr>
              <w:jc w:val="center"/>
            </w:pPr>
            <w:r>
              <w:t>0.132</w:t>
            </w:r>
          </w:p>
        </w:tc>
        <w:tc>
          <w:tcPr>
            <w:tcW w:w="1504" w:type="dxa"/>
            <w:vAlign w:val="center"/>
          </w:tcPr>
          <w:p w14:paraId="413315F8" w14:textId="77777777" w:rsidR="009E04F9" w:rsidRDefault="00000000">
            <w:pPr>
              <w:jc w:val="center"/>
            </w:pPr>
            <w:r>
              <w:t>0.339</w:t>
            </w:r>
          </w:p>
        </w:tc>
        <w:tc>
          <w:tcPr>
            <w:tcW w:w="1504" w:type="dxa"/>
            <w:vAlign w:val="center"/>
          </w:tcPr>
          <w:p w14:paraId="5FDEA17C" w14:textId="77777777" w:rsidR="009E04F9" w:rsidRDefault="00000000">
            <w:pPr>
              <w:jc w:val="center"/>
            </w:pPr>
            <w:r>
              <w:t>0.000</w:t>
            </w:r>
          </w:p>
        </w:tc>
        <w:tc>
          <w:tcPr>
            <w:tcW w:w="1504" w:type="dxa"/>
            <w:vAlign w:val="center"/>
          </w:tcPr>
          <w:p w14:paraId="7AE5FC71" w14:textId="77777777" w:rsidR="009E04F9" w:rsidRDefault="00000000">
            <w:pPr>
              <w:jc w:val="center"/>
            </w:pPr>
            <w:r>
              <w:t>1.000</w:t>
            </w:r>
          </w:p>
        </w:tc>
      </w:tr>
      <w:tr w:rsidR="009E04F9" w14:paraId="39E0A788" w14:textId="77777777">
        <w:trPr>
          <w:cantSplit/>
          <w:jc w:val="center"/>
        </w:trPr>
        <w:tc>
          <w:tcPr>
            <w:tcW w:w="1504" w:type="dxa"/>
            <w:vAlign w:val="center"/>
          </w:tcPr>
          <w:p w14:paraId="33A7C304" w14:textId="77777777" w:rsidR="009E04F9" w:rsidRDefault="00000000">
            <w:r>
              <w:t>ROA</w:t>
            </w:r>
          </w:p>
        </w:tc>
        <w:tc>
          <w:tcPr>
            <w:tcW w:w="1504" w:type="dxa"/>
            <w:vAlign w:val="center"/>
          </w:tcPr>
          <w:p w14:paraId="45F14BB7" w14:textId="77777777" w:rsidR="009E04F9" w:rsidRDefault="00000000">
            <w:pPr>
              <w:jc w:val="center"/>
            </w:pPr>
            <w:r>
              <w:t>340</w:t>
            </w:r>
          </w:p>
        </w:tc>
        <w:tc>
          <w:tcPr>
            <w:tcW w:w="1504" w:type="dxa"/>
            <w:vAlign w:val="center"/>
          </w:tcPr>
          <w:p w14:paraId="54F28E76" w14:textId="77777777" w:rsidR="009E04F9" w:rsidRDefault="00000000">
            <w:pPr>
              <w:jc w:val="center"/>
            </w:pPr>
            <w:r>
              <w:t>0.023</w:t>
            </w:r>
          </w:p>
        </w:tc>
        <w:tc>
          <w:tcPr>
            <w:tcW w:w="1504" w:type="dxa"/>
            <w:vAlign w:val="center"/>
          </w:tcPr>
          <w:p w14:paraId="78501CAE" w14:textId="77777777" w:rsidR="009E04F9" w:rsidRDefault="00000000">
            <w:pPr>
              <w:jc w:val="center"/>
            </w:pPr>
            <w:r>
              <w:t>0.154</w:t>
            </w:r>
          </w:p>
        </w:tc>
        <w:tc>
          <w:tcPr>
            <w:tcW w:w="1504" w:type="dxa"/>
            <w:vAlign w:val="center"/>
          </w:tcPr>
          <w:p w14:paraId="34693AEB" w14:textId="77777777" w:rsidR="009E04F9" w:rsidRDefault="00000000">
            <w:pPr>
              <w:jc w:val="center"/>
            </w:pPr>
            <w:r>
              <w:t>-1.799</w:t>
            </w:r>
          </w:p>
        </w:tc>
        <w:tc>
          <w:tcPr>
            <w:tcW w:w="1504" w:type="dxa"/>
            <w:vAlign w:val="center"/>
          </w:tcPr>
          <w:p w14:paraId="44061F04" w14:textId="77777777" w:rsidR="009E04F9" w:rsidRDefault="00000000">
            <w:pPr>
              <w:jc w:val="center"/>
            </w:pPr>
            <w:r>
              <w:t>0.540</w:t>
            </w:r>
          </w:p>
        </w:tc>
      </w:tr>
      <w:tr w:rsidR="009E04F9" w14:paraId="571034B5" w14:textId="77777777">
        <w:trPr>
          <w:cantSplit/>
          <w:jc w:val="center"/>
        </w:trPr>
        <w:tc>
          <w:tcPr>
            <w:tcW w:w="1504" w:type="dxa"/>
            <w:vAlign w:val="center"/>
          </w:tcPr>
          <w:p w14:paraId="7A87E664" w14:textId="77777777" w:rsidR="009E04F9" w:rsidRDefault="00000000">
            <w:r>
              <w:t>SIZE</w:t>
            </w:r>
          </w:p>
        </w:tc>
        <w:tc>
          <w:tcPr>
            <w:tcW w:w="1504" w:type="dxa"/>
            <w:vAlign w:val="center"/>
          </w:tcPr>
          <w:p w14:paraId="4A9E904D" w14:textId="77777777" w:rsidR="009E04F9" w:rsidRDefault="00000000">
            <w:pPr>
              <w:jc w:val="center"/>
            </w:pPr>
            <w:r>
              <w:t>340</w:t>
            </w:r>
          </w:p>
        </w:tc>
        <w:tc>
          <w:tcPr>
            <w:tcW w:w="1504" w:type="dxa"/>
            <w:vAlign w:val="center"/>
          </w:tcPr>
          <w:p w14:paraId="4012AB1F" w14:textId="77777777" w:rsidR="009E04F9" w:rsidRDefault="00000000">
            <w:pPr>
              <w:jc w:val="center"/>
            </w:pPr>
            <w:r>
              <w:t>16.674</w:t>
            </w:r>
          </w:p>
        </w:tc>
        <w:tc>
          <w:tcPr>
            <w:tcW w:w="1504" w:type="dxa"/>
            <w:vAlign w:val="center"/>
          </w:tcPr>
          <w:p w14:paraId="273B933D" w14:textId="77777777" w:rsidR="009E04F9" w:rsidRDefault="00000000">
            <w:pPr>
              <w:jc w:val="center"/>
            </w:pPr>
            <w:r>
              <w:t>2.173</w:t>
            </w:r>
          </w:p>
        </w:tc>
        <w:tc>
          <w:tcPr>
            <w:tcW w:w="1504" w:type="dxa"/>
            <w:vAlign w:val="center"/>
          </w:tcPr>
          <w:p w14:paraId="338C4FDF" w14:textId="77777777" w:rsidR="009E04F9" w:rsidRDefault="00000000">
            <w:pPr>
              <w:jc w:val="center"/>
            </w:pPr>
            <w:r>
              <w:t>12.064</w:t>
            </w:r>
          </w:p>
        </w:tc>
        <w:tc>
          <w:tcPr>
            <w:tcW w:w="1504" w:type="dxa"/>
            <w:vAlign w:val="center"/>
          </w:tcPr>
          <w:p w14:paraId="28E0E725" w14:textId="77777777" w:rsidR="009E04F9" w:rsidRDefault="00000000">
            <w:pPr>
              <w:jc w:val="center"/>
            </w:pPr>
            <w:r>
              <w:t>21.428</w:t>
            </w:r>
          </w:p>
        </w:tc>
      </w:tr>
      <w:tr w:rsidR="009E04F9" w14:paraId="4C84679C" w14:textId="77777777">
        <w:trPr>
          <w:cantSplit/>
          <w:jc w:val="center"/>
        </w:trPr>
        <w:tc>
          <w:tcPr>
            <w:tcW w:w="1504" w:type="dxa"/>
            <w:vAlign w:val="center"/>
          </w:tcPr>
          <w:p w14:paraId="23C2DB6C" w14:textId="77777777" w:rsidR="009E04F9" w:rsidRDefault="00000000">
            <w:r>
              <w:t>AQ</w:t>
            </w:r>
          </w:p>
        </w:tc>
        <w:tc>
          <w:tcPr>
            <w:tcW w:w="1504" w:type="dxa"/>
            <w:vAlign w:val="center"/>
          </w:tcPr>
          <w:p w14:paraId="056885A5" w14:textId="77777777" w:rsidR="009E04F9" w:rsidRDefault="00000000">
            <w:pPr>
              <w:jc w:val="center"/>
            </w:pPr>
            <w:r>
              <w:t>340</w:t>
            </w:r>
          </w:p>
        </w:tc>
        <w:tc>
          <w:tcPr>
            <w:tcW w:w="1504" w:type="dxa"/>
            <w:vAlign w:val="center"/>
          </w:tcPr>
          <w:p w14:paraId="15DBC264" w14:textId="77777777" w:rsidR="009E04F9" w:rsidRDefault="00000000">
            <w:pPr>
              <w:jc w:val="center"/>
            </w:pPr>
            <w:r>
              <w:t>0.556</w:t>
            </w:r>
          </w:p>
        </w:tc>
        <w:tc>
          <w:tcPr>
            <w:tcW w:w="1504" w:type="dxa"/>
            <w:vAlign w:val="center"/>
          </w:tcPr>
          <w:p w14:paraId="2ABD39B1" w14:textId="77777777" w:rsidR="009E04F9" w:rsidRDefault="00000000">
            <w:pPr>
              <w:jc w:val="center"/>
            </w:pPr>
            <w:r>
              <w:t>0.498</w:t>
            </w:r>
          </w:p>
        </w:tc>
        <w:tc>
          <w:tcPr>
            <w:tcW w:w="1504" w:type="dxa"/>
            <w:vAlign w:val="center"/>
          </w:tcPr>
          <w:p w14:paraId="385AFA17" w14:textId="77777777" w:rsidR="009E04F9" w:rsidRDefault="00000000">
            <w:pPr>
              <w:jc w:val="center"/>
            </w:pPr>
            <w:r>
              <w:t>0.000</w:t>
            </w:r>
          </w:p>
        </w:tc>
        <w:tc>
          <w:tcPr>
            <w:tcW w:w="1504" w:type="dxa"/>
            <w:vAlign w:val="center"/>
          </w:tcPr>
          <w:p w14:paraId="15392671" w14:textId="77777777" w:rsidR="009E04F9" w:rsidRDefault="00000000">
            <w:pPr>
              <w:jc w:val="center"/>
            </w:pPr>
            <w:r>
              <w:t>1.000</w:t>
            </w:r>
          </w:p>
        </w:tc>
      </w:tr>
    </w:tbl>
    <w:p w14:paraId="0E87AC1C" w14:textId="77777777" w:rsidR="009E04F9" w:rsidRDefault="00000000">
      <w:pPr>
        <w:jc w:val="center"/>
      </w:pPr>
      <w:r>
        <w:rPr>
          <w:noProof/>
        </w:rPr>
        <w:lastRenderedPageBreak/>
        <w:drawing>
          <wp:inline distT="0" distB="0" distL="0" distR="0" wp14:anchorId="03F8EC29" wp14:editId="7F88987D">
            <wp:extent cx="5486400" cy="31581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_beneish_flag_rate.png"/>
                    <pic:cNvPicPr/>
                  </pic:nvPicPr>
                  <pic:blipFill>
                    <a:blip r:embed="rId8"/>
                    <a:stretch>
                      <a:fillRect/>
                    </a:stretch>
                  </pic:blipFill>
                  <pic:spPr>
                    <a:xfrm>
                      <a:off x="0" y="0"/>
                      <a:ext cx="5486400" cy="3158197"/>
                    </a:xfrm>
                    <a:prstGeom prst="rect">
                      <a:avLst/>
                    </a:prstGeom>
                  </pic:spPr>
                </pic:pic>
              </a:graphicData>
            </a:graphic>
          </wp:inline>
        </w:drawing>
      </w:r>
    </w:p>
    <w:p w14:paraId="05E258E3" w14:textId="77777777" w:rsidR="009E04F9" w:rsidRDefault="00000000">
      <w:pPr>
        <w:jc w:val="both"/>
      </w:pPr>
      <w:r>
        <w:rPr>
          <w:i/>
        </w:rPr>
        <w:t xml:space="preserve">Figure 1. Annual proportion of firm-years classified above the </w:t>
      </w:r>
      <w:proofErr w:type="spellStart"/>
      <w:r>
        <w:rPr>
          <w:i/>
        </w:rPr>
        <w:t>Beneish</w:t>
      </w:r>
      <w:proofErr w:type="spellEnd"/>
      <w:r>
        <w:rPr>
          <w:i/>
        </w:rPr>
        <w:t xml:space="preserve"> M-Score threshold.</w:t>
      </w:r>
    </w:p>
    <w:p w14:paraId="57789E1B" w14:textId="77777777" w:rsidR="009E04F9" w:rsidRDefault="00000000">
      <w:pPr>
        <w:spacing w:before="80"/>
      </w:pPr>
      <w:r>
        <w:rPr>
          <w:b/>
        </w:rPr>
        <w:t>4.2 Correlation structure and multicollinearity</w:t>
      </w:r>
    </w:p>
    <w:p w14:paraId="49566100" w14:textId="77777777" w:rsidR="009E04F9" w:rsidRDefault="00000000">
      <w:pPr>
        <w:jc w:val="both"/>
      </w:pPr>
      <w:r>
        <w:t>The bivariate correlations with MFLAG are modest. Asset change has the largest positive correlation with the manipulation flag (r = 0.189), followed by ROA (r = 0.125) and auditor change (r = 0.117). Board independence is weakly negatively correlated with MFLAG (r = -0.056), while managerial ownership and CEO financial expertise are close to zero. VIFs for the explanatory variables range from approximately 1.01 to 1.75, far below conventional thresholds for problematic multicollinearity.</w:t>
      </w:r>
    </w:p>
    <w:p w14:paraId="11D42C1F" w14:textId="77777777" w:rsidR="009E04F9" w:rsidRDefault="00000000">
      <w:pPr>
        <w:spacing w:before="80"/>
        <w:jc w:val="both"/>
      </w:pPr>
      <w:r>
        <w:rPr>
          <w:b/>
        </w:rPr>
        <w:t>Table 3. Correlation with MFLAG and variance inflation factors</w:t>
      </w:r>
    </w:p>
    <w:tbl>
      <w:tblPr>
        <w:tblStyle w:val="TableGrid"/>
        <w:tblW w:w="0" w:type="auto"/>
        <w:jc w:val="center"/>
        <w:tblLayout w:type="fixed"/>
        <w:tblLook w:val="04A0" w:firstRow="1" w:lastRow="0" w:firstColumn="1" w:lastColumn="0" w:noHBand="0" w:noVBand="1"/>
      </w:tblPr>
      <w:tblGrid>
        <w:gridCol w:w="3009"/>
        <w:gridCol w:w="4176"/>
        <w:gridCol w:w="3009"/>
      </w:tblGrid>
      <w:tr w:rsidR="009E04F9" w14:paraId="4C7A6205" w14:textId="77777777">
        <w:trPr>
          <w:cantSplit/>
          <w:jc w:val="center"/>
        </w:trPr>
        <w:tc>
          <w:tcPr>
            <w:tcW w:w="2160" w:type="dxa"/>
            <w:shd w:val="clear" w:color="auto" w:fill="D9EAF7"/>
            <w:vAlign w:val="center"/>
          </w:tcPr>
          <w:p w14:paraId="13AD630D" w14:textId="77777777" w:rsidR="009E04F9" w:rsidRDefault="00000000">
            <w:pPr>
              <w:jc w:val="center"/>
            </w:pPr>
            <w:r>
              <w:rPr>
                <w:b/>
              </w:rPr>
              <w:t>Variable</w:t>
            </w:r>
          </w:p>
        </w:tc>
        <w:tc>
          <w:tcPr>
            <w:tcW w:w="4176" w:type="dxa"/>
            <w:shd w:val="clear" w:color="auto" w:fill="D9EAF7"/>
            <w:vAlign w:val="center"/>
          </w:tcPr>
          <w:p w14:paraId="7DBDAFA1" w14:textId="77777777" w:rsidR="009E04F9" w:rsidRDefault="00000000">
            <w:pPr>
              <w:jc w:val="center"/>
            </w:pPr>
            <w:r>
              <w:rPr>
                <w:b/>
              </w:rPr>
              <w:t>Correlation with MFLAG</w:t>
            </w:r>
          </w:p>
        </w:tc>
        <w:tc>
          <w:tcPr>
            <w:tcW w:w="2448" w:type="dxa"/>
            <w:shd w:val="clear" w:color="auto" w:fill="D9EAF7"/>
            <w:vAlign w:val="center"/>
          </w:tcPr>
          <w:p w14:paraId="71079F62" w14:textId="77777777" w:rsidR="009E04F9" w:rsidRDefault="00000000">
            <w:pPr>
              <w:jc w:val="center"/>
            </w:pPr>
            <w:r>
              <w:rPr>
                <w:b/>
              </w:rPr>
              <w:t>VIF</w:t>
            </w:r>
          </w:p>
        </w:tc>
      </w:tr>
      <w:tr w:rsidR="009E04F9" w14:paraId="1BCCC881" w14:textId="77777777">
        <w:trPr>
          <w:cantSplit/>
          <w:jc w:val="center"/>
        </w:trPr>
        <w:tc>
          <w:tcPr>
            <w:tcW w:w="3009" w:type="dxa"/>
            <w:vAlign w:val="center"/>
          </w:tcPr>
          <w:p w14:paraId="0E0F378E" w14:textId="77777777" w:rsidR="009E04F9" w:rsidRDefault="00000000">
            <w:r>
              <w:t>ACHANGE</w:t>
            </w:r>
          </w:p>
        </w:tc>
        <w:tc>
          <w:tcPr>
            <w:tcW w:w="3009" w:type="dxa"/>
            <w:vAlign w:val="center"/>
          </w:tcPr>
          <w:p w14:paraId="78D2FEFA" w14:textId="77777777" w:rsidR="009E04F9" w:rsidRDefault="00000000">
            <w:pPr>
              <w:jc w:val="center"/>
            </w:pPr>
            <w:r>
              <w:t>0.189</w:t>
            </w:r>
          </w:p>
        </w:tc>
        <w:tc>
          <w:tcPr>
            <w:tcW w:w="3009" w:type="dxa"/>
            <w:vAlign w:val="center"/>
          </w:tcPr>
          <w:p w14:paraId="518CA618" w14:textId="77777777" w:rsidR="009E04F9" w:rsidRDefault="00000000">
            <w:pPr>
              <w:jc w:val="center"/>
            </w:pPr>
            <w:r>
              <w:t>1.11</w:t>
            </w:r>
          </w:p>
        </w:tc>
      </w:tr>
      <w:tr w:rsidR="009E04F9" w14:paraId="33F039B5" w14:textId="77777777">
        <w:trPr>
          <w:cantSplit/>
          <w:jc w:val="center"/>
        </w:trPr>
        <w:tc>
          <w:tcPr>
            <w:tcW w:w="3009" w:type="dxa"/>
            <w:vAlign w:val="center"/>
          </w:tcPr>
          <w:p w14:paraId="1A34B1EA" w14:textId="77777777" w:rsidR="009E04F9" w:rsidRDefault="00000000">
            <w:r>
              <w:t>BDOUT</w:t>
            </w:r>
          </w:p>
        </w:tc>
        <w:tc>
          <w:tcPr>
            <w:tcW w:w="3009" w:type="dxa"/>
            <w:vAlign w:val="center"/>
          </w:tcPr>
          <w:p w14:paraId="729A288F" w14:textId="77777777" w:rsidR="009E04F9" w:rsidRDefault="00000000">
            <w:pPr>
              <w:jc w:val="center"/>
            </w:pPr>
            <w:r>
              <w:t>-0.056</w:t>
            </w:r>
          </w:p>
        </w:tc>
        <w:tc>
          <w:tcPr>
            <w:tcW w:w="3009" w:type="dxa"/>
            <w:vAlign w:val="center"/>
          </w:tcPr>
          <w:p w14:paraId="1F12EBE4" w14:textId="77777777" w:rsidR="009E04F9" w:rsidRDefault="00000000">
            <w:pPr>
              <w:jc w:val="center"/>
            </w:pPr>
            <w:r>
              <w:t>1.02</w:t>
            </w:r>
          </w:p>
        </w:tc>
      </w:tr>
      <w:tr w:rsidR="009E04F9" w14:paraId="12B85BAB" w14:textId="77777777">
        <w:trPr>
          <w:cantSplit/>
          <w:jc w:val="center"/>
        </w:trPr>
        <w:tc>
          <w:tcPr>
            <w:tcW w:w="3009" w:type="dxa"/>
            <w:vAlign w:val="center"/>
          </w:tcPr>
          <w:p w14:paraId="21E2B138" w14:textId="77777777" w:rsidR="009E04F9" w:rsidRDefault="00000000">
            <w:r>
              <w:t>IOSHIP</w:t>
            </w:r>
          </w:p>
        </w:tc>
        <w:tc>
          <w:tcPr>
            <w:tcW w:w="3009" w:type="dxa"/>
            <w:vAlign w:val="center"/>
          </w:tcPr>
          <w:p w14:paraId="10B56A5E" w14:textId="77777777" w:rsidR="009E04F9" w:rsidRDefault="00000000">
            <w:pPr>
              <w:jc w:val="center"/>
            </w:pPr>
            <w:r>
              <w:t>0.035</w:t>
            </w:r>
          </w:p>
        </w:tc>
        <w:tc>
          <w:tcPr>
            <w:tcW w:w="3009" w:type="dxa"/>
            <w:vAlign w:val="center"/>
          </w:tcPr>
          <w:p w14:paraId="1ABE5465" w14:textId="77777777" w:rsidR="009E04F9" w:rsidRDefault="00000000">
            <w:pPr>
              <w:jc w:val="center"/>
            </w:pPr>
            <w:r>
              <w:t>1.31</w:t>
            </w:r>
          </w:p>
        </w:tc>
      </w:tr>
      <w:tr w:rsidR="009E04F9" w14:paraId="7C8E0C2E" w14:textId="77777777">
        <w:trPr>
          <w:cantSplit/>
          <w:jc w:val="center"/>
        </w:trPr>
        <w:tc>
          <w:tcPr>
            <w:tcW w:w="3009" w:type="dxa"/>
            <w:vAlign w:val="center"/>
          </w:tcPr>
          <w:p w14:paraId="45A172B5" w14:textId="77777777" w:rsidR="009E04F9" w:rsidRDefault="00000000">
            <w:r>
              <w:t>AC</w:t>
            </w:r>
          </w:p>
        </w:tc>
        <w:tc>
          <w:tcPr>
            <w:tcW w:w="3009" w:type="dxa"/>
            <w:vAlign w:val="center"/>
          </w:tcPr>
          <w:p w14:paraId="5DBA5D73" w14:textId="77777777" w:rsidR="009E04F9" w:rsidRDefault="00000000">
            <w:pPr>
              <w:jc w:val="center"/>
            </w:pPr>
            <w:r>
              <w:t>0.117</w:t>
            </w:r>
          </w:p>
        </w:tc>
        <w:tc>
          <w:tcPr>
            <w:tcW w:w="3009" w:type="dxa"/>
            <w:vAlign w:val="center"/>
          </w:tcPr>
          <w:p w14:paraId="519FDA7F" w14:textId="77777777" w:rsidR="009E04F9" w:rsidRDefault="00000000">
            <w:pPr>
              <w:jc w:val="center"/>
            </w:pPr>
            <w:r>
              <w:t>1.01</w:t>
            </w:r>
          </w:p>
        </w:tc>
      </w:tr>
      <w:tr w:rsidR="009E04F9" w14:paraId="11D46915" w14:textId="77777777">
        <w:trPr>
          <w:cantSplit/>
          <w:jc w:val="center"/>
        </w:trPr>
        <w:tc>
          <w:tcPr>
            <w:tcW w:w="3009" w:type="dxa"/>
            <w:vAlign w:val="center"/>
          </w:tcPr>
          <w:p w14:paraId="70763CF0" w14:textId="77777777" w:rsidR="009E04F9" w:rsidRDefault="00000000">
            <w:r>
              <w:t>Cap</w:t>
            </w:r>
          </w:p>
        </w:tc>
        <w:tc>
          <w:tcPr>
            <w:tcW w:w="3009" w:type="dxa"/>
            <w:vAlign w:val="center"/>
          </w:tcPr>
          <w:p w14:paraId="030CC9B0" w14:textId="77777777" w:rsidR="009E04F9" w:rsidRDefault="00000000">
            <w:pPr>
              <w:jc w:val="center"/>
            </w:pPr>
            <w:r>
              <w:t>-0.004</w:t>
            </w:r>
          </w:p>
        </w:tc>
        <w:tc>
          <w:tcPr>
            <w:tcW w:w="3009" w:type="dxa"/>
            <w:vAlign w:val="center"/>
          </w:tcPr>
          <w:p w14:paraId="1CA21A37" w14:textId="77777777" w:rsidR="009E04F9" w:rsidRDefault="00000000">
            <w:pPr>
              <w:jc w:val="center"/>
            </w:pPr>
            <w:r>
              <w:t>1.16</w:t>
            </w:r>
          </w:p>
        </w:tc>
      </w:tr>
      <w:tr w:rsidR="009E04F9" w14:paraId="2980DB4B" w14:textId="77777777">
        <w:trPr>
          <w:cantSplit/>
          <w:jc w:val="center"/>
        </w:trPr>
        <w:tc>
          <w:tcPr>
            <w:tcW w:w="3009" w:type="dxa"/>
            <w:vAlign w:val="center"/>
          </w:tcPr>
          <w:p w14:paraId="1CCFFE7B" w14:textId="77777777" w:rsidR="009E04F9" w:rsidRDefault="00000000">
            <w:r>
              <w:t>ROA</w:t>
            </w:r>
          </w:p>
        </w:tc>
        <w:tc>
          <w:tcPr>
            <w:tcW w:w="3009" w:type="dxa"/>
            <w:vAlign w:val="center"/>
          </w:tcPr>
          <w:p w14:paraId="726282D5" w14:textId="77777777" w:rsidR="009E04F9" w:rsidRDefault="00000000">
            <w:pPr>
              <w:jc w:val="center"/>
            </w:pPr>
            <w:r>
              <w:t>0.125</w:t>
            </w:r>
          </w:p>
        </w:tc>
        <w:tc>
          <w:tcPr>
            <w:tcW w:w="3009" w:type="dxa"/>
            <w:vAlign w:val="center"/>
          </w:tcPr>
          <w:p w14:paraId="48421087" w14:textId="77777777" w:rsidR="009E04F9" w:rsidRDefault="00000000">
            <w:pPr>
              <w:jc w:val="center"/>
            </w:pPr>
            <w:r>
              <w:t>1.21</w:t>
            </w:r>
          </w:p>
        </w:tc>
      </w:tr>
      <w:tr w:rsidR="009E04F9" w14:paraId="4B7A69F9" w14:textId="77777777">
        <w:trPr>
          <w:cantSplit/>
          <w:jc w:val="center"/>
        </w:trPr>
        <w:tc>
          <w:tcPr>
            <w:tcW w:w="3009" w:type="dxa"/>
            <w:vAlign w:val="center"/>
          </w:tcPr>
          <w:p w14:paraId="4F699454" w14:textId="77777777" w:rsidR="009E04F9" w:rsidRDefault="00000000">
            <w:r>
              <w:t>SIZE</w:t>
            </w:r>
          </w:p>
        </w:tc>
        <w:tc>
          <w:tcPr>
            <w:tcW w:w="3009" w:type="dxa"/>
            <w:vAlign w:val="center"/>
          </w:tcPr>
          <w:p w14:paraId="206C2A51" w14:textId="77777777" w:rsidR="009E04F9" w:rsidRDefault="00000000">
            <w:pPr>
              <w:jc w:val="center"/>
            </w:pPr>
            <w:r>
              <w:t>-0.002</w:t>
            </w:r>
          </w:p>
        </w:tc>
        <w:tc>
          <w:tcPr>
            <w:tcW w:w="3009" w:type="dxa"/>
            <w:vAlign w:val="center"/>
          </w:tcPr>
          <w:p w14:paraId="70A02A0F" w14:textId="77777777" w:rsidR="009E04F9" w:rsidRDefault="00000000">
            <w:pPr>
              <w:jc w:val="center"/>
            </w:pPr>
            <w:r>
              <w:t>1.52</w:t>
            </w:r>
          </w:p>
        </w:tc>
      </w:tr>
      <w:tr w:rsidR="009E04F9" w14:paraId="0EA4D0A4" w14:textId="77777777">
        <w:trPr>
          <w:cantSplit/>
          <w:jc w:val="center"/>
        </w:trPr>
        <w:tc>
          <w:tcPr>
            <w:tcW w:w="3009" w:type="dxa"/>
            <w:vAlign w:val="center"/>
          </w:tcPr>
          <w:p w14:paraId="32405E48" w14:textId="77777777" w:rsidR="009E04F9" w:rsidRDefault="00000000">
            <w:r>
              <w:t>AQ</w:t>
            </w:r>
          </w:p>
        </w:tc>
        <w:tc>
          <w:tcPr>
            <w:tcW w:w="3009" w:type="dxa"/>
            <w:vAlign w:val="center"/>
          </w:tcPr>
          <w:p w14:paraId="6A6DCE6A" w14:textId="77777777" w:rsidR="009E04F9" w:rsidRDefault="00000000">
            <w:pPr>
              <w:jc w:val="center"/>
            </w:pPr>
            <w:r>
              <w:t>-0.037</w:t>
            </w:r>
          </w:p>
        </w:tc>
        <w:tc>
          <w:tcPr>
            <w:tcW w:w="3009" w:type="dxa"/>
            <w:vAlign w:val="center"/>
          </w:tcPr>
          <w:p w14:paraId="1194A5AE" w14:textId="77777777" w:rsidR="009E04F9" w:rsidRDefault="00000000">
            <w:pPr>
              <w:jc w:val="center"/>
            </w:pPr>
            <w:r>
              <w:t>1.75</w:t>
            </w:r>
          </w:p>
        </w:tc>
      </w:tr>
    </w:tbl>
    <w:p w14:paraId="63E4E18B" w14:textId="77777777" w:rsidR="009E04F9" w:rsidRDefault="00000000">
      <w:pPr>
        <w:spacing w:before="80"/>
      </w:pPr>
      <w:r>
        <w:rPr>
          <w:b/>
        </w:rPr>
        <w:t>4.3 Main population-averaged GEE estimates</w:t>
      </w:r>
    </w:p>
    <w:p w14:paraId="5EAD73A7" w14:textId="77777777" w:rsidR="009E04F9" w:rsidRDefault="00000000">
      <w:pPr>
        <w:jc w:val="both"/>
      </w:pPr>
      <w:r>
        <w:lastRenderedPageBreak/>
        <w:t xml:space="preserve">Table 4 presents the principal contemporaneous GEE estimates. Asset change is positively associated with </w:t>
      </w:r>
      <w:proofErr w:type="spellStart"/>
      <w:r>
        <w:t>Beneish</w:t>
      </w:r>
      <w:proofErr w:type="spellEnd"/>
      <w:r>
        <w:t xml:space="preserve">-flagged manipulation risk. A one-standard-deviation increase in </w:t>
      </w:r>
      <w:proofErr w:type="spellStart"/>
      <w:r>
        <w:t>winsorised</w:t>
      </w:r>
      <w:proofErr w:type="spellEnd"/>
      <w:r>
        <w:t xml:space="preserve"> asset growth is associated with an odds ratio of 1.52 (95% CI: 1.01–2.29; p = .047), equivalent to approximately 51.7% higher odds. In probability terms, increasing ACHANGE by one standard deviation raises the model-implied probability of a manipulation flag by an average of approximately 8.6 percentage points, holding the remaining observed characteristics constant.</w:t>
      </w:r>
    </w:p>
    <w:p w14:paraId="3F3AA58F" w14:textId="77777777" w:rsidR="009E04F9" w:rsidRDefault="00000000">
      <w:pPr>
        <w:jc w:val="both"/>
      </w:pPr>
      <w:r>
        <w:t xml:space="preserve">Auditor change is the strongest result. Firm-years in which the external auditor changes have 2.53 times the odds of being </w:t>
      </w:r>
      <w:proofErr w:type="spellStart"/>
      <w:r>
        <w:t>Beneish</w:t>
      </w:r>
      <w:proofErr w:type="spellEnd"/>
      <w:r>
        <w:t>-flagged relative to observations without a change (95% CI: 1.20–5.31; p = .014). The average discrete change in predicted probability is approximately 19.6 percentage points. Board independence has the expected negative sign, with an odds ratio of 0.82, but is significant only at the 10% level (p = .073); a one-standard-deviation increase corresponds to an average 3.8-percentage-point reduction in predicted manipulation probability. Managerial ownership and CEO financial expertise are not statistically significant. None of the three controls—ROA, firm size and Big Four audit—is significant in the population-averaged contemporaneous model.</w:t>
      </w:r>
    </w:p>
    <w:p w14:paraId="47EE3B43" w14:textId="77777777" w:rsidR="009E04F9" w:rsidRDefault="00000000">
      <w:pPr>
        <w:spacing w:before="80"/>
        <w:jc w:val="both"/>
      </w:pPr>
      <w:r>
        <w:rPr>
          <w:b/>
        </w:rPr>
        <w:t xml:space="preserve">Table 4. GEE estimates of </w:t>
      </w:r>
      <w:proofErr w:type="spellStart"/>
      <w:r>
        <w:rPr>
          <w:b/>
        </w:rPr>
        <w:t>Beneish</w:t>
      </w:r>
      <w:proofErr w:type="spellEnd"/>
      <w:r>
        <w:rPr>
          <w:b/>
        </w:rPr>
        <w:t>-flagged earnings-manipulation risk</w:t>
      </w:r>
    </w:p>
    <w:tbl>
      <w:tblPr>
        <w:tblStyle w:val="TableGrid"/>
        <w:tblW w:w="0" w:type="auto"/>
        <w:jc w:val="center"/>
        <w:tblLayout w:type="fixed"/>
        <w:tblLook w:val="04A0" w:firstRow="1" w:lastRow="0" w:firstColumn="1" w:lastColumn="0" w:noHBand="0" w:noVBand="1"/>
      </w:tblPr>
      <w:tblGrid>
        <w:gridCol w:w="2332"/>
        <w:gridCol w:w="1289"/>
        <w:gridCol w:w="1289"/>
        <w:gridCol w:w="1289"/>
        <w:gridCol w:w="1468"/>
        <w:gridCol w:w="1289"/>
        <w:gridCol w:w="1800"/>
      </w:tblGrid>
      <w:tr w:rsidR="009E04F9" w14:paraId="7140F4AE" w14:textId="77777777">
        <w:trPr>
          <w:cantSplit/>
          <w:jc w:val="center"/>
        </w:trPr>
        <w:tc>
          <w:tcPr>
            <w:tcW w:w="2332" w:type="dxa"/>
            <w:shd w:val="clear" w:color="auto" w:fill="D9EAF7"/>
            <w:vAlign w:val="center"/>
          </w:tcPr>
          <w:p w14:paraId="19644ACA" w14:textId="77777777" w:rsidR="009E04F9" w:rsidRDefault="00000000">
            <w:pPr>
              <w:jc w:val="center"/>
            </w:pPr>
            <w:r>
              <w:rPr>
                <w:b/>
              </w:rPr>
              <w:t>Variable</w:t>
            </w:r>
          </w:p>
        </w:tc>
        <w:tc>
          <w:tcPr>
            <w:tcW w:w="835" w:type="dxa"/>
            <w:shd w:val="clear" w:color="auto" w:fill="D9EAF7"/>
            <w:vAlign w:val="center"/>
          </w:tcPr>
          <w:p w14:paraId="3795EBDE" w14:textId="77777777" w:rsidR="009E04F9" w:rsidRDefault="00000000">
            <w:pPr>
              <w:jc w:val="center"/>
            </w:pPr>
            <w:r>
              <w:rPr>
                <w:b/>
              </w:rPr>
              <w:t>Coef.</w:t>
            </w:r>
          </w:p>
        </w:tc>
        <w:tc>
          <w:tcPr>
            <w:tcW w:w="835" w:type="dxa"/>
            <w:shd w:val="clear" w:color="auto" w:fill="D9EAF7"/>
            <w:vAlign w:val="center"/>
          </w:tcPr>
          <w:p w14:paraId="0D867E3D" w14:textId="77777777" w:rsidR="009E04F9" w:rsidRDefault="00000000">
            <w:pPr>
              <w:jc w:val="center"/>
            </w:pPr>
            <w:r>
              <w:rPr>
                <w:b/>
              </w:rPr>
              <w:t>BR-SE</w:t>
            </w:r>
          </w:p>
        </w:tc>
        <w:tc>
          <w:tcPr>
            <w:tcW w:w="792" w:type="dxa"/>
            <w:shd w:val="clear" w:color="auto" w:fill="D9EAF7"/>
            <w:vAlign w:val="center"/>
          </w:tcPr>
          <w:p w14:paraId="7BA5B4C9" w14:textId="77777777" w:rsidR="009E04F9" w:rsidRDefault="00000000">
            <w:pPr>
              <w:jc w:val="center"/>
            </w:pPr>
            <w:r>
              <w:rPr>
                <w:b/>
              </w:rPr>
              <w:t>OR</w:t>
            </w:r>
          </w:p>
        </w:tc>
        <w:tc>
          <w:tcPr>
            <w:tcW w:w="1468" w:type="dxa"/>
            <w:shd w:val="clear" w:color="auto" w:fill="D9EAF7"/>
            <w:vAlign w:val="center"/>
          </w:tcPr>
          <w:p w14:paraId="1F157FED" w14:textId="77777777" w:rsidR="009E04F9" w:rsidRDefault="00000000">
            <w:pPr>
              <w:jc w:val="center"/>
            </w:pPr>
            <w:r>
              <w:rPr>
                <w:b/>
              </w:rPr>
              <w:t>95% CI</w:t>
            </w:r>
          </w:p>
        </w:tc>
        <w:tc>
          <w:tcPr>
            <w:tcW w:w="748" w:type="dxa"/>
            <w:shd w:val="clear" w:color="auto" w:fill="D9EAF7"/>
            <w:vAlign w:val="center"/>
          </w:tcPr>
          <w:p w14:paraId="16D97926" w14:textId="77777777" w:rsidR="009E04F9" w:rsidRDefault="00000000">
            <w:pPr>
              <w:jc w:val="center"/>
            </w:pPr>
            <w:r>
              <w:rPr>
                <w:b/>
              </w:rPr>
              <w:t>p</w:t>
            </w:r>
          </w:p>
        </w:tc>
        <w:tc>
          <w:tcPr>
            <w:tcW w:w="1800" w:type="dxa"/>
            <w:shd w:val="clear" w:color="auto" w:fill="D9EAF7"/>
            <w:vAlign w:val="center"/>
          </w:tcPr>
          <w:p w14:paraId="3009564F" w14:textId="77777777" w:rsidR="009E04F9" w:rsidRDefault="00000000">
            <w:pPr>
              <w:jc w:val="center"/>
            </w:pPr>
            <w:r>
              <w:rPr>
                <w:b/>
              </w:rPr>
              <w:t>Inference</w:t>
            </w:r>
          </w:p>
        </w:tc>
      </w:tr>
      <w:tr w:rsidR="009E04F9" w14:paraId="62E0D4A2" w14:textId="77777777">
        <w:trPr>
          <w:cantSplit/>
          <w:jc w:val="center"/>
        </w:trPr>
        <w:tc>
          <w:tcPr>
            <w:tcW w:w="1289" w:type="dxa"/>
            <w:vAlign w:val="center"/>
          </w:tcPr>
          <w:p w14:paraId="63F7AB33" w14:textId="77777777" w:rsidR="009E04F9" w:rsidRDefault="00000000">
            <w:r>
              <w:t>ACHG</w:t>
            </w:r>
          </w:p>
        </w:tc>
        <w:tc>
          <w:tcPr>
            <w:tcW w:w="1289" w:type="dxa"/>
            <w:vAlign w:val="center"/>
          </w:tcPr>
          <w:p w14:paraId="2F6FA443" w14:textId="77777777" w:rsidR="009E04F9" w:rsidRDefault="00000000">
            <w:pPr>
              <w:jc w:val="center"/>
            </w:pPr>
            <w:r>
              <w:t>0.417</w:t>
            </w:r>
          </w:p>
        </w:tc>
        <w:tc>
          <w:tcPr>
            <w:tcW w:w="1289" w:type="dxa"/>
            <w:vAlign w:val="center"/>
          </w:tcPr>
          <w:p w14:paraId="68FD64EC" w14:textId="77777777" w:rsidR="009E04F9" w:rsidRDefault="00000000">
            <w:pPr>
              <w:jc w:val="center"/>
            </w:pPr>
            <w:r>
              <w:t>0.210</w:t>
            </w:r>
          </w:p>
        </w:tc>
        <w:tc>
          <w:tcPr>
            <w:tcW w:w="1289" w:type="dxa"/>
            <w:vAlign w:val="center"/>
          </w:tcPr>
          <w:p w14:paraId="5C158F9E" w14:textId="77777777" w:rsidR="009E04F9" w:rsidRDefault="00000000">
            <w:pPr>
              <w:jc w:val="center"/>
            </w:pPr>
            <w:r>
              <w:t>1.517</w:t>
            </w:r>
          </w:p>
        </w:tc>
        <w:tc>
          <w:tcPr>
            <w:tcW w:w="1289" w:type="dxa"/>
            <w:vAlign w:val="center"/>
          </w:tcPr>
          <w:p w14:paraId="42339117" w14:textId="77777777" w:rsidR="009E04F9" w:rsidRDefault="00000000">
            <w:pPr>
              <w:jc w:val="center"/>
            </w:pPr>
            <w:r>
              <w:t>1.005–2.290</w:t>
            </w:r>
          </w:p>
        </w:tc>
        <w:tc>
          <w:tcPr>
            <w:tcW w:w="1289" w:type="dxa"/>
            <w:vAlign w:val="center"/>
          </w:tcPr>
          <w:p w14:paraId="4F520063" w14:textId="77777777" w:rsidR="009E04F9" w:rsidRDefault="00000000">
            <w:pPr>
              <w:jc w:val="center"/>
            </w:pPr>
            <w:r>
              <w:t>0.047</w:t>
            </w:r>
          </w:p>
        </w:tc>
        <w:tc>
          <w:tcPr>
            <w:tcW w:w="1289" w:type="dxa"/>
            <w:vAlign w:val="center"/>
          </w:tcPr>
          <w:p w14:paraId="17E5B86C" w14:textId="77777777" w:rsidR="009E04F9" w:rsidRDefault="00000000">
            <w:pPr>
              <w:jc w:val="center"/>
            </w:pPr>
            <w:r>
              <w:t>Significant</w:t>
            </w:r>
          </w:p>
        </w:tc>
      </w:tr>
      <w:tr w:rsidR="009E04F9" w14:paraId="1BBE56F0" w14:textId="77777777">
        <w:trPr>
          <w:cantSplit/>
          <w:jc w:val="center"/>
        </w:trPr>
        <w:tc>
          <w:tcPr>
            <w:tcW w:w="1289" w:type="dxa"/>
            <w:vAlign w:val="center"/>
          </w:tcPr>
          <w:p w14:paraId="664A3D0A" w14:textId="77777777" w:rsidR="009E04F9" w:rsidRDefault="00000000">
            <w:r>
              <w:t>BDOUT</w:t>
            </w:r>
          </w:p>
        </w:tc>
        <w:tc>
          <w:tcPr>
            <w:tcW w:w="1289" w:type="dxa"/>
            <w:vAlign w:val="center"/>
          </w:tcPr>
          <w:p w14:paraId="4914A1F1" w14:textId="77777777" w:rsidR="009E04F9" w:rsidRDefault="00000000">
            <w:pPr>
              <w:jc w:val="center"/>
            </w:pPr>
            <w:r>
              <w:t>-0.198</w:t>
            </w:r>
          </w:p>
        </w:tc>
        <w:tc>
          <w:tcPr>
            <w:tcW w:w="1289" w:type="dxa"/>
            <w:vAlign w:val="center"/>
          </w:tcPr>
          <w:p w14:paraId="37957750" w14:textId="77777777" w:rsidR="009E04F9" w:rsidRDefault="00000000">
            <w:pPr>
              <w:jc w:val="center"/>
            </w:pPr>
            <w:r>
              <w:t>0.110</w:t>
            </w:r>
          </w:p>
        </w:tc>
        <w:tc>
          <w:tcPr>
            <w:tcW w:w="1289" w:type="dxa"/>
            <w:vAlign w:val="center"/>
          </w:tcPr>
          <w:p w14:paraId="7C0F0CF4" w14:textId="77777777" w:rsidR="009E04F9" w:rsidRDefault="00000000">
            <w:pPr>
              <w:jc w:val="center"/>
            </w:pPr>
            <w:r>
              <w:t>0.820</w:t>
            </w:r>
          </w:p>
        </w:tc>
        <w:tc>
          <w:tcPr>
            <w:tcW w:w="1289" w:type="dxa"/>
            <w:vAlign w:val="center"/>
          </w:tcPr>
          <w:p w14:paraId="6870E520" w14:textId="77777777" w:rsidR="009E04F9" w:rsidRDefault="00000000">
            <w:pPr>
              <w:jc w:val="center"/>
            </w:pPr>
            <w:r>
              <w:t>0.661–1.018</w:t>
            </w:r>
          </w:p>
        </w:tc>
        <w:tc>
          <w:tcPr>
            <w:tcW w:w="1289" w:type="dxa"/>
            <w:vAlign w:val="center"/>
          </w:tcPr>
          <w:p w14:paraId="4E12D976" w14:textId="77777777" w:rsidR="009E04F9" w:rsidRDefault="00000000">
            <w:pPr>
              <w:jc w:val="center"/>
            </w:pPr>
            <w:r>
              <w:t>0.073</w:t>
            </w:r>
          </w:p>
        </w:tc>
        <w:tc>
          <w:tcPr>
            <w:tcW w:w="1289" w:type="dxa"/>
            <w:vAlign w:val="center"/>
          </w:tcPr>
          <w:p w14:paraId="442D5FBB" w14:textId="77777777" w:rsidR="009E04F9" w:rsidRDefault="00000000">
            <w:pPr>
              <w:jc w:val="center"/>
            </w:pPr>
            <w:r>
              <w:t>Marginal</w:t>
            </w:r>
          </w:p>
        </w:tc>
      </w:tr>
      <w:tr w:rsidR="009E04F9" w14:paraId="140461CD" w14:textId="77777777">
        <w:trPr>
          <w:cantSplit/>
          <w:jc w:val="center"/>
        </w:trPr>
        <w:tc>
          <w:tcPr>
            <w:tcW w:w="1289" w:type="dxa"/>
            <w:vAlign w:val="center"/>
          </w:tcPr>
          <w:p w14:paraId="7019EC08" w14:textId="77777777" w:rsidR="009E04F9" w:rsidRDefault="00000000">
            <w:r>
              <w:t>IOSHIP</w:t>
            </w:r>
          </w:p>
        </w:tc>
        <w:tc>
          <w:tcPr>
            <w:tcW w:w="1289" w:type="dxa"/>
            <w:vAlign w:val="center"/>
          </w:tcPr>
          <w:p w14:paraId="2D80ED9D" w14:textId="77777777" w:rsidR="009E04F9" w:rsidRDefault="00000000">
            <w:pPr>
              <w:jc w:val="center"/>
            </w:pPr>
            <w:r>
              <w:t>0.143</w:t>
            </w:r>
          </w:p>
        </w:tc>
        <w:tc>
          <w:tcPr>
            <w:tcW w:w="1289" w:type="dxa"/>
            <w:vAlign w:val="center"/>
          </w:tcPr>
          <w:p w14:paraId="46285981" w14:textId="77777777" w:rsidR="009E04F9" w:rsidRDefault="00000000">
            <w:pPr>
              <w:jc w:val="center"/>
            </w:pPr>
            <w:r>
              <w:t>0.162</w:t>
            </w:r>
          </w:p>
        </w:tc>
        <w:tc>
          <w:tcPr>
            <w:tcW w:w="1289" w:type="dxa"/>
            <w:vAlign w:val="center"/>
          </w:tcPr>
          <w:p w14:paraId="14FE8FEB" w14:textId="77777777" w:rsidR="009E04F9" w:rsidRDefault="00000000">
            <w:pPr>
              <w:jc w:val="center"/>
            </w:pPr>
            <w:r>
              <w:t>1.154</w:t>
            </w:r>
          </w:p>
        </w:tc>
        <w:tc>
          <w:tcPr>
            <w:tcW w:w="1289" w:type="dxa"/>
            <w:vAlign w:val="center"/>
          </w:tcPr>
          <w:p w14:paraId="04E3ECFC" w14:textId="77777777" w:rsidR="009E04F9" w:rsidRDefault="00000000">
            <w:pPr>
              <w:jc w:val="center"/>
            </w:pPr>
            <w:r>
              <w:t>0.841–1.584</w:t>
            </w:r>
          </w:p>
        </w:tc>
        <w:tc>
          <w:tcPr>
            <w:tcW w:w="1289" w:type="dxa"/>
            <w:vAlign w:val="center"/>
          </w:tcPr>
          <w:p w14:paraId="37074562" w14:textId="77777777" w:rsidR="009E04F9" w:rsidRDefault="00000000">
            <w:pPr>
              <w:jc w:val="center"/>
            </w:pPr>
            <w:r>
              <w:t>0.375</w:t>
            </w:r>
          </w:p>
        </w:tc>
        <w:tc>
          <w:tcPr>
            <w:tcW w:w="1289" w:type="dxa"/>
            <w:vAlign w:val="center"/>
          </w:tcPr>
          <w:p w14:paraId="2CFD7F2B" w14:textId="77777777" w:rsidR="009E04F9" w:rsidRDefault="00000000">
            <w:pPr>
              <w:jc w:val="center"/>
            </w:pPr>
            <w:r>
              <w:t>Not sig.</w:t>
            </w:r>
          </w:p>
        </w:tc>
      </w:tr>
      <w:tr w:rsidR="009E04F9" w14:paraId="4C0082B1" w14:textId="77777777">
        <w:trPr>
          <w:cantSplit/>
          <w:jc w:val="center"/>
        </w:trPr>
        <w:tc>
          <w:tcPr>
            <w:tcW w:w="1289" w:type="dxa"/>
            <w:vAlign w:val="center"/>
          </w:tcPr>
          <w:p w14:paraId="0728AC66" w14:textId="77777777" w:rsidR="009E04F9" w:rsidRDefault="00000000">
            <w:r>
              <w:t>AC</w:t>
            </w:r>
          </w:p>
        </w:tc>
        <w:tc>
          <w:tcPr>
            <w:tcW w:w="1289" w:type="dxa"/>
            <w:vAlign w:val="center"/>
          </w:tcPr>
          <w:p w14:paraId="3E6A7E00" w14:textId="77777777" w:rsidR="009E04F9" w:rsidRDefault="00000000">
            <w:pPr>
              <w:jc w:val="center"/>
            </w:pPr>
            <w:r>
              <w:t>0.927</w:t>
            </w:r>
          </w:p>
        </w:tc>
        <w:tc>
          <w:tcPr>
            <w:tcW w:w="1289" w:type="dxa"/>
            <w:vAlign w:val="center"/>
          </w:tcPr>
          <w:p w14:paraId="1670A1A4" w14:textId="77777777" w:rsidR="009E04F9" w:rsidRDefault="00000000">
            <w:pPr>
              <w:jc w:val="center"/>
            </w:pPr>
            <w:r>
              <w:t>0.378</w:t>
            </w:r>
          </w:p>
        </w:tc>
        <w:tc>
          <w:tcPr>
            <w:tcW w:w="1289" w:type="dxa"/>
            <w:vAlign w:val="center"/>
          </w:tcPr>
          <w:p w14:paraId="79F5C9AC" w14:textId="77777777" w:rsidR="009E04F9" w:rsidRDefault="00000000">
            <w:pPr>
              <w:jc w:val="center"/>
            </w:pPr>
            <w:r>
              <w:t>2.528</w:t>
            </w:r>
          </w:p>
        </w:tc>
        <w:tc>
          <w:tcPr>
            <w:tcW w:w="1289" w:type="dxa"/>
            <w:vAlign w:val="center"/>
          </w:tcPr>
          <w:p w14:paraId="6546B50E" w14:textId="77777777" w:rsidR="009E04F9" w:rsidRDefault="00000000">
            <w:pPr>
              <w:jc w:val="center"/>
            </w:pPr>
            <w:r>
              <w:t>1.204–5.308</w:t>
            </w:r>
          </w:p>
        </w:tc>
        <w:tc>
          <w:tcPr>
            <w:tcW w:w="1289" w:type="dxa"/>
            <w:vAlign w:val="center"/>
          </w:tcPr>
          <w:p w14:paraId="649CD7BD" w14:textId="77777777" w:rsidR="009E04F9" w:rsidRDefault="00000000">
            <w:pPr>
              <w:jc w:val="center"/>
            </w:pPr>
            <w:r>
              <w:t>0.014</w:t>
            </w:r>
          </w:p>
        </w:tc>
        <w:tc>
          <w:tcPr>
            <w:tcW w:w="1289" w:type="dxa"/>
            <w:vAlign w:val="center"/>
          </w:tcPr>
          <w:p w14:paraId="700D5EF3" w14:textId="77777777" w:rsidR="009E04F9" w:rsidRDefault="00000000">
            <w:pPr>
              <w:jc w:val="center"/>
            </w:pPr>
            <w:r>
              <w:t>Significant</w:t>
            </w:r>
          </w:p>
        </w:tc>
      </w:tr>
      <w:tr w:rsidR="009E04F9" w14:paraId="0AA155F2" w14:textId="77777777">
        <w:trPr>
          <w:cantSplit/>
          <w:jc w:val="center"/>
        </w:trPr>
        <w:tc>
          <w:tcPr>
            <w:tcW w:w="1289" w:type="dxa"/>
            <w:vAlign w:val="center"/>
          </w:tcPr>
          <w:p w14:paraId="4AA2A83A" w14:textId="77777777" w:rsidR="009E04F9" w:rsidRDefault="00000000">
            <w:r>
              <w:t>Cap</w:t>
            </w:r>
          </w:p>
        </w:tc>
        <w:tc>
          <w:tcPr>
            <w:tcW w:w="1289" w:type="dxa"/>
            <w:vAlign w:val="center"/>
          </w:tcPr>
          <w:p w14:paraId="5D1C906F" w14:textId="77777777" w:rsidR="009E04F9" w:rsidRDefault="00000000">
            <w:pPr>
              <w:jc w:val="center"/>
            </w:pPr>
            <w:r>
              <w:t>-0.084</w:t>
            </w:r>
          </w:p>
        </w:tc>
        <w:tc>
          <w:tcPr>
            <w:tcW w:w="1289" w:type="dxa"/>
            <w:vAlign w:val="center"/>
          </w:tcPr>
          <w:p w14:paraId="2BDDEA96" w14:textId="77777777" w:rsidR="009E04F9" w:rsidRDefault="00000000">
            <w:pPr>
              <w:jc w:val="center"/>
            </w:pPr>
            <w:r>
              <w:t>0.372</w:t>
            </w:r>
          </w:p>
        </w:tc>
        <w:tc>
          <w:tcPr>
            <w:tcW w:w="1289" w:type="dxa"/>
            <w:vAlign w:val="center"/>
          </w:tcPr>
          <w:p w14:paraId="7B7D446C" w14:textId="77777777" w:rsidR="009E04F9" w:rsidRDefault="00000000">
            <w:pPr>
              <w:jc w:val="center"/>
            </w:pPr>
            <w:r>
              <w:t>0.919</w:t>
            </w:r>
          </w:p>
        </w:tc>
        <w:tc>
          <w:tcPr>
            <w:tcW w:w="1289" w:type="dxa"/>
            <w:vAlign w:val="center"/>
          </w:tcPr>
          <w:p w14:paraId="0FB6CB77" w14:textId="77777777" w:rsidR="009E04F9" w:rsidRDefault="00000000">
            <w:pPr>
              <w:jc w:val="center"/>
            </w:pPr>
            <w:r>
              <w:t>0.443–1.905</w:t>
            </w:r>
          </w:p>
        </w:tc>
        <w:tc>
          <w:tcPr>
            <w:tcW w:w="1289" w:type="dxa"/>
            <w:vAlign w:val="center"/>
          </w:tcPr>
          <w:p w14:paraId="72A83AD1" w14:textId="77777777" w:rsidR="009E04F9" w:rsidRDefault="00000000">
            <w:pPr>
              <w:jc w:val="center"/>
            </w:pPr>
            <w:r>
              <w:t>0.820</w:t>
            </w:r>
          </w:p>
        </w:tc>
        <w:tc>
          <w:tcPr>
            <w:tcW w:w="1289" w:type="dxa"/>
            <w:vAlign w:val="center"/>
          </w:tcPr>
          <w:p w14:paraId="3AE552AC" w14:textId="77777777" w:rsidR="009E04F9" w:rsidRDefault="00000000">
            <w:pPr>
              <w:jc w:val="center"/>
            </w:pPr>
            <w:r>
              <w:t>Not sig.</w:t>
            </w:r>
          </w:p>
        </w:tc>
      </w:tr>
      <w:tr w:rsidR="009E04F9" w14:paraId="4CF8558B" w14:textId="77777777">
        <w:trPr>
          <w:cantSplit/>
          <w:jc w:val="center"/>
        </w:trPr>
        <w:tc>
          <w:tcPr>
            <w:tcW w:w="1289" w:type="dxa"/>
            <w:vAlign w:val="center"/>
          </w:tcPr>
          <w:p w14:paraId="6A6AE700" w14:textId="77777777" w:rsidR="009E04F9" w:rsidRDefault="00000000">
            <w:r>
              <w:t>ROA</w:t>
            </w:r>
          </w:p>
        </w:tc>
        <w:tc>
          <w:tcPr>
            <w:tcW w:w="1289" w:type="dxa"/>
            <w:vAlign w:val="center"/>
          </w:tcPr>
          <w:p w14:paraId="222CCCC9" w14:textId="77777777" w:rsidR="009E04F9" w:rsidRDefault="00000000">
            <w:pPr>
              <w:jc w:val="center"/>
            </w:pPr>
            <w:r>
              <w:t>0.283</w:t>
            </w:r>
          </w:p>
        </w:tc>
        <w:tc>
          <w:tcPr>
            <w:tcW w:w="1289" w:type="dxa"/>
            <w:vAlign w:val="center"/>
          </w:tcPr>
          <w:p w14:paraId="2BB8F012" w14:textId="77777777" w:rsidR="009E04F9" w:rsidRDefault="00000000">
            <w:pPr>
              <w:jc w:val="center"/>
            </w:pPr>
            <w:r>
              <w:t>0.305</w:t>
            </w:r>
          </w:p>
        </w:tc>
        <w:tc>
          <w:tcPr>
            <w:tcW w:w="1289" w:type="dxa"/>
            <w:vAlign w:val="center"/>
          </w:tcPr>
          <w:p w14:paraId="70DEAD17" w14:textId="77777777" w:rsidR="009E04F9" w:rsidRDefault="00000000">
            <w:pPr>
              <w:jc w:val="center"/>
            </w:pPr>
            <w:r>
              <w:t>1.327</w:t>
            </w:r>
          </w:p>
        </w:tc>
        <w:tc>
          <w:tcPr>
            <w:tcW w:w="1289" w:type="dxa"/>
            <w:vAlign w:val="center"/>
          </w:tcPr>
          <w:p w14:paraId="29A3414B" w14:textId="77777777" w:rsidR="009E04F9" w:rsidRDefault="00000000">
            <w:pPr>
              <w:jc w:val="center"/>
            </w:pPr>
            <w:r>
              <w:t>0.729–2.414</w:t>
            </w:r>
          </w:p>
        </w:tc>
        <w:tc>
          <w:tcPr>
            <w:tcW w:w="1289" w:type="dxa"/>
            <w:vAlign w:val="center"/>
          </w:tcPr>
          <w:p w14:paraId="770CB07C" w14:textId="77777777" w:rsidR="009E04F9" w:rsidRDefault="00000000">
            <w:pPr>
              <w:jc w:val="center"/>
            </w:pPr>
            <w:r>
              <w:t>0.354</w:t>
            </w:r>
          </w:p>
        </w:tc>
        <w:tc>
          <w:tcPr>
            <w:tcW w:w="1289" w:type="dxa"/>
            <w:vAlign w:val="center"/>
          </w:tcPr>
          <w:p w14:paraId="3CDB87DF" w14:textId="77777777" w:rsidR="009E04F9" w:rsidRDefault="00000000">
            <w:pPr>
              <w:jc w:val="center"/>
            </w:pPr>
            <w:r>
              <w:t>Not sig.</w:t>
            </w:r>
          </w:p>
        </w:tc>
      </w:tr>
      <w:tr w:rsidR="009E04F9" w14:paraId="06596812" w14:textId="77777777">
        <w:trPr>
          <w:cantSplit/>
          <w:jc w:val="center"/>
        </w:trPr>
        <w:tc>
          <w:tcPr>
            <w:tcW w:w="1289" w:type="dxa"/>
            <w:vAlign w:val="center"/>
          </w:tcPr>
          <w:p w14:paraId="6DF6A609" w14:textId="77777777" w:rsidR="009E04F9" w:rsidRDefault="00000000">
            <w:r>
              <w:t>SIZE</w:t>
            </w:r>
          </w:p>
        </w:tc>
        <w:tc>
          <w:tcPr>
            <w:tcW w:w="1289" w:type="dxa"/>
            <w:vAlign w:val="center"/>
          </w:tcPr>
          <w:p w14:paraId="2A4CA0BB" w14:textId="77777777" w:rsidR="009E04F9" w:rsidRDefault="00000000">
            <w:pPr>
              <w:jc w:val="center"/>
            </w:pPr>
            <w:r>
              <w:t>-0.113</w:t>
            </w:r>
          </w:p>
        </w:tc>
        <w:tc>
          <w:tcPr>
            <w:tcW w:w="1289" w:type="dxa"/>
            <w:vAlign w:val="center"/>
          </w:tcPr>
          <w:p w14:paraId="58BEEA58" w14:textId="77777777" w:rsidR="009E04F9" w:rsidRDefault="00000000">
            <w:pPr>
              <w:jc w:val="center"/>
            </w:pPr>
            <w:r>
              <w:t>0.175</w:t>
            </w:r>
          </w:p>
        </w:tc>
        <w:tc>
          <w:tcPr>
            <w:tcW w:w="1289" w:type="dxa"/>
            <w:vAlign w:val="center"/>
          </w:tcPr>
          <w:p w14:paraId="2F310597" w14:textId="77777777" w:rsidR="009E04F9" w:rsidRDefault="00000000">
            <w:pPr>
              <w:jc w:val="center"/>
            </w:pPr>
            <w:r>
              <w:t>0.893</w:t>
            </w:r>
          </w:p>
        </w:tc>
        <w:tc>
          <w:tcPr>
            <w:tcW w:w="1289" w:type="dxa"/>
            <w:vAlign w:val="center"/>
          </w:tcPr>
          <w:p w14:paraId="06B0409C" w14:textId="77777777" w:rsidR="009E04F9" w:rsidRDefault="00000000">
            <w:pPr>
              <w:jc w:val="center"/>
            </w:pPr>
            <w:r>
              <w:t>0.634–1.258</w:t>
            </w:r>
          </w:p>
        </w:tc>
        <w:tc>
          <w:tcPr>
            <w:tcW w:w="1289" w:type="dxa"/>
            <w:vAlign w:val="center"/>
          </w:tcPr>
          <w:p w14:paraId="32AB507A" w14:textId="77777777" w:rsidR="009E04F9" w:rsidRDefault="00000000">
            <w:pPr>
              <w:jc w:val="center"/>
            </w:pPr>
            <w:r>
              <w:t>0.516</w:t>
            </w:r>
          </w:p>
        </w:tc>
        <w:tc>
          <w:tcPr>
            <w:tcW w:w="1289" w:type="dxa"/>
            <w:vAlign w:val="center"/>
          </w:tcPr>
          <w:p w14:paraId="713B2DD0" w14:textId="77777777" w:rsidR="009E04F9" w:rsidRDefault="00000000">
            <w:pPr>
              <w:jc w:val="center"/>
            </w:pPr>
            <w:r>
              <w:t>Not sig.</w:t>
            </w:r>
          </w:p>
        </w:tc>
      </w:tr>
      <w:tr w:rsidR="009E04F9" w14:paraId="6584D71F" w14:textId="77777777">
        <w:trPr>
          <w:cantSplit/>
          <w:jc w:val="center"/>
        </w:trPr>
        <w:tc>
          <w:tcPr>
            <w:tcW w:w="1289" w:type="dxa"/>
            <w:vAlign w:val="center"/>
          </w:tcPr>
          <w:p w14:paraId="2EFA3668" w14:textId="77777777" w:rsidR="009E04F9" w:rsidRDefault="00000000">
            <w:r>
              <w:t>AQ</w:t>
            </w:r>
          </w:p>
        </w:tc>
        <w:tc>
          <w:tcPr>
            <w:tcW w:w="1289" w:type="dxa"/>
            <w:vAlign w:val="center"/>
          </w:tcPr>
          <w:p w14:paraId="500612A4" w14:textId="77777777" w:rsidR="009E04F9" w:rsidRDefault="00000000">
            <w:pPr>
              <w:jc w:val="center"/>
            </w:pPr>
            <w:r>
              <w:t>-0.252</w:t>
            </w:r>
          </w:p>
        </w:tc>
        <w:tc>
          <w:tcPr>
            <w:tcW w:w="1289" w:type="dxa"/>
            <w:vAlign w:val="center"/>
          </w:tcPr>
          <w:p w14:paraId="1405F5C6" w14:textId="77777777" w:rsidR="009E04F9" w:rsidRDefault="00000000">
            <w:pPr>
              <w:jc w:val="center"/>
            </w:pPr>
            <w:r>
              <w:t>0.358</w:t>
            </w:r>
          </w:p>
        </w:tc>
        <w:tc>
          <w:tcPr>
            <w:tcW w:w="1289" w:type="dxa"/>
            <w:vAlign w:val="center"/>
          </w:tcPr>
          <w:p w14:paraId="43B25863" w14:textId="77777777" w:rsidR="009E04F9" w:rsidRDefault="00000000">
            <w:pPr>
              <w:jc w:val="center"/>
            </w:pPr>
            <w:r>
              <w:t>0.777</w:t>
            </w:r>
          </w:p>
        </w:tc>
        <w:tc>
          <w:tcPr>
            <w:tcW w:w="1289" w:type="dxa"/>
            <w:vAlign w:val="center"/>
          </w:tcPr>
          <w:p w14:paraId="2BF5B54B" w14:textId="77777777" w:rsidR="009E04F9" w:rsidRDefault="00000000">
            <w:pPr>
              <w:jc w:val="center"/>
            </w:pPr>
            <w:r>
              <w:t>0.386–1.568</w:t>
            </w:r>
          </w:p>
        </w:tc>
        <w:tc>
          <w:tcPr>
            <w:tcW w:w="1289" w:type="dxa"/>
            <w:vAlign w:val="center"/>
          </w:tcPr>
          <w:p w14:paraId="0C38C43C" w14:textId="77777777" w:rsidR="009E04F9" w:rsidRDefault="00000000">
            <w:pPr>
              <w:jc w:val="center"/>
            </w:pPr>
            <w:r>
              <w:t>0.482</w:t>
            </w:r>
          </w:p>
        </w:tc>
        <w:tc>
          <w:tcPr>
            <w:tcW w:w="1289" w:type="dxa"/>
            <w:vAlign w:val="center"/>
          </w:tcPr>
          <w:p w14:paraId="78CCD7EF" w14:textId="77777777" w:rsidR="009E04F9" w:rsidRDefault="00000000">
            <w:pPr>
              <w:jc w:val="center"/>
            </w:pPr>
            <w:r>
              <w:t>Not sig.</w:t>
            </w:r>
          </w:p>
        </w:tc>
      </w:tr>
    </w:tbl>
    <w:p w14:paraId="343D9E4C" w14:textId="77777777" w:rsidR="009E04F9" w:rsidRDefault="00000000">
      <w:pPr>
        <w:jc w:val="both"/>
      </w:pPr>
      <w:r>
        <w:rPr>
          <w:i/>
        </w:rPr>
        <w:t xml:space="preserve">Notes: N = 340 firm-years; 40 firms. Binomial-logit GEE with exchangeable working correlation, year fixed effects and Mancl–DeRouen bias-reduced robust covariance. Continuous predictors are </w:t>
      </w:r>
      <w:proofErr w:type="spellStart"/>
      <w:r>
        <w:rPr>
          <w:i/>
        </w:rPr>
        <w:t>winsorised</w:t>
      </w:r>
      <w:proofErr w:type="spellEnd"/>
      <w:r>
        <w:rPr>
          <w:i/>
        </w:rPr>
        <w:t xml:space="preserve"> at the 1st/99th percentiles and </w:t>
      </w:r>
      <w:proofErr w:type="spellStart"/>
      <w:r>
        <w:rPr>
          <w:i/>
        </w:rPr>
        <w:t>standardised</w:t>
      </w:r>
      <w:proofErr w:type="spellEnd"/>
      <w:r>
        <w:rPr>
          <w:i/>
        </w:rPr>
        <w:t>. BR-SE = bias-reduced standard error; ACHG = asset change. Year coefficients are omitted for brevity.</w:t>
      </w:r>
    </w:p>
    <w:p w14:paraId="3AEEA1E0" w14:textId="77777777" w:rsidR="009E04F9" w:rsidRDefault="00000000">
      <w:pPr>
        <w:jc w:val="both"/>
      </w:pPr>
      <w:r>
        <w:lastRenderedPageBreak/>
        <w:t>The in-sample AUC is 0.703, indicating moderate rather than strong discrimination, and the Brier score is 0.197. The model should therefore be interpreted as an explanatory red-flag model rather than a stand-alone fraud-classification system.</w:t>
      </w:r>
    </w:p>
    <w:p w14:paraId="6FC4E72A" w14:textId="77777777" w:rsidR="009E04F9" w:rsidRDefault="00000000">
      <w:pPr>
        <w:spacing w:before="80"/>
      </w:pPr>
      <w:r>
        <w:rPr>
          <w:b/>
        </w:rPr>
        <w:t>4.4 Temporal and fixed-effects robustness</w:t>
      </w:r>
    </w:p>
    <w:p w14:paraId="6FE51976" w14:textId="77777777" w:rsidR="009E04F9" w:rsidRDefault="00000000">
      <w:pPr>
        <w:jc w:val="both"/>
      </w:pPr>
      <w:r>
        <w:t xml:space="preserve">The one-year-lagged GEE materially changes the interpretation. None of the five Fraud Diamond variables is significant at the 5% level when prior-year characteristics are used to explain the current manipulation flag. ACHANGE falls to an odds ratio of 1.02 (p = .885), auditor change reverses sign and becomes insignificant (OR = 0.62, p = .293), and board independence remains negative but does not reach conventional significance (OR = 0.81, p = .103). This indicates that the two significant contemporaneous variables are better </w:t>
      </w:r>
      <w:proofErr w:type="spellStart"/>
      <w:r>
        <w:t>characterised</w:t>
      </w:r>
      <w:proofErr w:type="spellEnd"/>
      <w:r>
        <w:t xml:space="preserve"> as same-period red flags than as robust one-year-ahead predictors.</w:t>
      </w:r>
    </w:p>
    <w:p w14:paraId="430EB097" w14:textId="77777777" w:rsidR="009E04F9" w:rsidRDefault="00000000">
      <w:pPr>
        <w:jc w:val="both"/>
      </w:pPr>
      <w:r>
        <w:t>The conditional firm fixed-effects logit produces the same broad conclusion. After conditioning out all time-invariant firm characteristics, lagged ACHANGE, BDOUT, IOSHIP and auditor change are statistically insignificant. Firm size is negatively associated with within-firm manipulation risk (p = .029), while ROA and Big Four audit are marginal at the 10% level. CEO financial expertise cannot be estimated in this specification because the Cap variable has no within-firm variation across any of the 40 companies in the supplied data. This feature also means that the contemporaneous GEE coefficient for CEO expertise reflects only between-firm differences and should be interpreted cautiously.</w:t>
      </w:r>
    </w:p>
    <w:p w14:paraId="259959EA" w14:textId="77777777" w:rsidR="009E04F9" w:rsidRDefault="00000000">
      <w:pPr>
        <w:jc w:val="both"/>
      </w:pPr>
      <w:r>
        <w:t xml:space="preserve">When the continuous </w:t>
      </w:r>
      <w:proofErr w:type="spellStart"/>
      <w:r>
        <w:t>Beneish</w:t>
      </w:r>
      <w:proofErr w:type="spellEnd"/>
      <w:r>
        <w:t xml:space="preserve"> M-Score is used as the outcome, the directions remain broadly similar: ACHANGE is positive (p = .060) and auditor change is positive (p = .095), whereas the governance and capability measures remain insignificant. A pooled logit with firm-clustered standard errors also reproduces the main conclusions, with significant positive coefficients for ACHANGE and auditor change. Replacing the source BDOUT variable with the directly reconstructed non-executive-director ratio (BDOUT2) leaves the substantive conclusions unchanged: auditor change remains significant (p = .014), ACHANGE is borderline (p = .050), and the alternative board measure is insignificant.</w:t>
      </w:r>
    </w:p>
    <w:p w14:paraId="071B1D4F" w14:textId="77777777" w:rsidR="009E04F9" w:rsidRDefault="00000000">
      <w:pPr>
        <w:spacing w:before="80"/>
        <w:jc w:val="both"/>
      </w:pPr>
      <w:r>
        <w:rPr>
          <w:b/>
        </w:rPr>
        <w:t>Table 5. Robustness summary</w:t>
      </w:r>
    </w:p>
    <w:tbl>
      <w:tblPr>
        <w:tblStyle w:val="TableGrid"/>
        <w:tblW w:w="0" w:type="auto"/>
        <w:jc w:val="center"/>
        <w:tblLayout w:type="fixed"/>
        <w:tblLook w:val="04A0" w:firstRow="1" w:lastRow="0" w:firstColumn="1" w:lastColumn="0" w:noHBand="0" w:noVBand="1"/>
      </w:tblPr>
      <w:tblGrid>
        <w:gridCol w:w="2232"/>
        <w:gridCol w:w="1805"/>
        <w:gridCol w:w="1805"/>
        <w:gridCol w:w="1805"/>
        <w:gridCol w:w="1805"/>
      </w:tblGrid>
      <w:tr w:rsidR="009E04F9" w14:paraId="74BB8D3B" w14:textId="77777777">
        <w:trPr>
          <w:cantSplit/>
          <w:jc w:val="center"/>
        </w:trPr>
        <w:tc>
          <w:tcPr>
            <w:tcW w:w="2232" w:type="dxa"/>
            <w:shd w:val="clear" w:color="auto" w:fill="D9EAF7"/>
            <w:vAlign w:val="center"/>
          </w:tcPr>
          <w:p w14:paraId="36401520" w14:textId="77777777" w:rsidR="009E04F9" w:rsidRDefault="00000000">
            <w:pPr>
              <w:jc w:val="center"/>
            </w:pPr>
            <w:r>
              <w:rPr>
                <w:b/>
              </w:rPr>
              <w:t>Variable</w:t>
            </w:r>
          </w:p>
        </w:tc>
        <w:tc>
          <w:tcPr>
            <w:tcW w:w="1655" w:type="dxa"/>
            <w:shd w:val="clear" w:color="auto" w:fill="D9EAF7"/>
            <w:vAlign w:val="center"/>
          </w:tcPr>
          <w:p w14:paraId="537733A8" w14:textId="77777777" w:rsidR="009E04F9" w:rsidRDefault="00000000">
            <w:pPr>
              <w:jc w:val="center"/>
            </w:pPr>
            <w:r>
              <w:rPr>
                <w:b/>
              </w:rPr>
              <w:t>Main GEE OR (p)</w:t>
            </w:r>
          </w:p>
        </w:tc>
        <w:tc>
          <w:tcPr>
            <w:tcW w:w="1655" w:type="dxa"/>
            <w:shd w:val="clear" w:color="auto" w:fill="D9EAF7"/>
            <w:vAlign w:val="center"/>
          </w:tcPr>
          <w:p w14:paraId="1F05955E" w14:textId="77777777" w:rsidR="009E04F9" w:rsidRDefault="00000000">
            <w:pPr>
              <w:jc w:val="center"/>
            </w:pPr>
            <w:r>
              <w:rPr>
                <w:b/>
              </w:rPr>
              <w:t>Lagged GEE OR (p)</w:t>
            </w:r>
          </w:p>
        </w:tc>
        <w:tc>
          <w:tcPr>
            <w:tcW w:w="1655" w:type="dxa"/>
            <w:shd w:val="clear" w:color="auto" w:fill="D9EAF7"/>
            <w:vAlign w:val="center"/>
          </w:tcPr>
          <w:p w14:paraId="343FE8C1" w14:textId="77777777" w:rsidR="009E04F9" w:rsidRDefault="00000000">
            <w:pPr>
              <w:jc w:val="center"/>
            </w:pPr>
            <w:r>
              <w:rPr>
                <w:b/>
              </w:rPr>
              <w:t>Firm FE OR (p)</w:t>
            </w:r>
          </w:p>
        </w:tc>
        <w:tc>
          <w:tcPr>
            <w:tcW w:w="1655" w:type="dxa"/>
            <w:shd w:val="clear" w:color="auto" w:fill="D9EAF7"/>
            <w:vAlign w:val="center"/>
          </w:tcPr>
          <w:p w14:paraId="12D0F108" w14:textId="77777777" w:rsidR="009E04F9" w:rsidRDefault="00000000">
            <w:pPr>
              <w:jc w:val="center"/>
            </w:pPr>
            <w:r>
              <w:rPr>
                <w:b/>
              </w:rPr>
              <w:t>M-Score beta (p)</w:t>
            </w:r>
          </w:p>
        </w:tc>
      </w:tr>
      <w:tr w:rsidR="009E04F9" w14:paraId="2BEF8D42" w14:textId="77777777">
        <w:trPr>
          <w:cantSplit/>
          <w:jc w:val="center"/>
        </w:trPr>
        <w:tc>
          <w:tcPr>
            <w:tcW w:w="1805" w:type="dxa"/>
            <w:vAlign w:val="center"/>
          </w:tcPr>
          <w:p w14:paraId="5A25FBA8" w14:textId="77777777" w:rsidR="009E04F9" w:rsidRDefault="00000000">
            <w:r>
              <w:t>Asset change</w:t>
            </w:r>
          </w:p>
        </w:tc>
        <w:tc>
          <w:tcPr>
            <w:tcW w:w="1805" w:type="dxa"/>
            <w:vAlign w:val="center"/>
          </w:tcPr>
          <w:p w14:paraId="7E34332B" w14:textId="77777777" w:rsidR="009E04F9" w:rsidRDefault="00000000">
            <w:pPr>
              <w:jc w:val="center"/>
            </w:pPr>
            <w:r>
              <w:t>1.52 (0.047)</w:t>
            </w:r>
          </w:p>
        </w:tc>
        <w:tc>
          <w:tcPr>
            <w:tcW w:w="1805" w:type="dxa"/>
            <w:vAlign w:val="center"/>
          </w:tcPr>
          <w:p w14:paraId="339C0257" w14:textId="77777777" w:rsidR="009E04F9" w:rsidRDefault="00000000">
            <w:pPr>
              <w:jc w:val="center"/>
            </w:pPr>
            <w:r>
              <w:t>1.02 (0.885)</w:t>
            </w:r>
          </w:p>
        </w:tc>
        <w:tc>
          <w:tcPr>
            <w:tcW w:w="1805" w:type="dxa"/>
            <w:vAlign w:val="center"/>
          </w:tcPr>
          <w:p w14:paraId="0312980E" w14:textId="77777777" w:rsidR="009E04F9" w:rsidRDefault="00000000">
            <w:pPr>
              <w:jc w:val="center"/>
            </w:pPr>
            <w:r>
              <w:t>1.20 (0.274)</w:t>
            </w:r>
          </w:p>
        </w:tc>
        <w:tc>
          <w:tcPr>
            <w:tcW w:w="1805" w:type="dxa"/>
            <w:vAlign w:val="center"/>
          </w:tcPr>
          <w:p w14:paraId="7B5FF965" w14:textId="77777777" w:rsidR="009E04F9" w:rsidRDefault="00000000">
            <w:pPr>
              <w:jc w:val="center"/>
            </w:pPr>
            <w:r>
              <w:t>0.423 (0.060)</w:t>
            </w:r>
          </w:p>
        </w:tc>
      </w:tr>
      <w:tr w:rsidR="009E04F9" w14:paraId="14BB93F5" w14:textId="77777777">
        <w:trPr>
          <w:cantSplit/>
          <w:jc w:val="center"/>
        </w:trPr>
        <w:tc>
          <w:tcPr>
            <w:tcW w:w="1805" w:type="dxa"/>
            <w:vAlign w:val="center"/>
          </w:tcPr>
          <w:p w14:paraId="200AE73C" w14:textId="77777777" w:rsidR="009E04F9" w:rsidRDefault="00000000">
            <w:r>
              <w:t>Board independence</w:t>
            </w:r>
          </w:p>
        </w:tc>
        <w:tc>
          <w:tcPr>
            <w:tcW w:w="1805" w:type="dxa"/>
            <w:vAlign w:val="center"/>
          </w:tcPr>
          <w:p w14:paraId="5D559C7F" w14:textId="77777777" w:rsidR="009E04F9" w:rsidRDefault="00000000">
            <w:pPr>
              <w:jc w:val="center"/>
            </w:pPr>
            <w:r>
              <w:t>0.82 (0.073)</w:t>
            </w:r>
          </w:p>
        </w:tc>
        <w:tc>
          <w:tcPr>
            <w:tcW w:w="1805" w:type="dxa"/>
            <w:vAlign w:val="center"/>
          </w:tcPr>
          <w:p w14:paraId="38619AB7" w14:textId="77777777" w:rsidR="009E04F9" w:rsidRDefault="00000000">
            <w:pPr>
              <w:jc w:val="center"/>
            </w:pPr>
            <w:r>
              <w:t>0.81 (0.103)</w:t>
            </w:r>
          </w:p>
        </w:tc>
        <w:tc>
          <w:tcPr>
            <w:tcW w:w="1805" w:type="dxa"/>
            <w:vAlign w:val="center"/>
          </w:tcPr>
          <w:p w14:paraId="13792B83" w14:textId="77777777" w:rsidR="009E04F9" w:rsidRDefault="00000000">
            <w:pPr>
              <w:jc w:val="center"/>
            </w:pPr>
            <w:r>
              <w:t>0.74 (0.113)</w:t>
            </w:r>
          </w:p>
        </w:tc>
        <w:tc>
          <w:tcPr>
            <w:tcW w:w="1805" w:type="dxa"/>
            <w:vAlign w:val="center"/>
          </w:tcPr>
          <w:p w14:paraId="2A86E994" w14:textId="77777777" w:rsidR="009E04F9" w:rsidRDefault="00000000">
            <w:pPr>
              <w:jc w:val="center"/>
            </w:pPr>
            <w:r>
              <w:t>-0.168 (0.178)</w:t>
            </w:r>
          </w:p>
        </w:tc>
      </w:tr>
      <w:tr w:rsidR="009E04F9" w14:paraId="3140E0A4" w14:textId="77777777">
        <w:trPr>
          <w:cantSplit/>
          <w:jc w:val="center"/>
        </w:trPr>
        <w:tc>
          <w:tcPr>
            <w:tcW w:w="1805" w:type="dxa"/>
            <w:vAlign w:val="center"/>
          </w:tcPr>
          <w:p w14:paraId="7B27D286" w14:textId="77777777" w:rsidR="009E04F9" w:rsidRDefault="00000000">
            <w:r>
              <w:lastRenderedPageBreak/>
              <w:t>Managerial ownership</w:t>
            </w:r>
          </w:p>
        </w:tc>
        <w:tc>
          <w:tcPr>
            <w:tcW w:w="1805" w:type="dxa"/>
            <w:vAlign w:val="center"/>
          </w:tcPr>
          <w:p w14:paraId="41C46B8C" w14:textId="77777777" w:rsidR="009E04F9" w:rsidRDefault="00000000">
            <w:pPr>
              <w:jc w:val="center"/>
            </w:pPr>
            <w:r>
              <w:t>1.15 (0.375)</w:t>
            </w:r>
          </w:p>
        </w:tc>
        <w:tc>
          <w:tcPr>
            <w:tcW w:w="1805" w:type="dxa"/>
            <w:vAlign w:val="center"/>
          </w:tcPr>
          <w:p w14:paraId="275E9FEB" w14:textId="77777777" w:rsidR="009E04F9" w:rsidRDefault="00000000">
            <w:pPr>
              <w:jc w:val="center"/>
            </w:pPr>
            <w:r>
              <w:t>1.17 (0.318)</w:t>
            </w:r>
          </w:p>
        </w:tc>
        <w:tc>
          <w:tcPr>
            <w:tcW w:w="1805" w:type="dxa"/>
            <w:vAlign w:val="center"/>
          </w:tcPr>
          <w:p w14:paraId="7429CDD7" w14:textId="77777777" w:rsidR="009E04F9" w:rsidRDefault="00000000">
            <w:pPr>
              <w:jc w:val="center"/>
            </w:pPr>
            <w:r>
              <w:t>1.21 (0.476)</w:t>
            </w:r>
          </w:p>
        </w:tc>
        <w:tc>
          <w:tcPr>
            <w:tcW w:w="1805" w:type="dxa"/>
            <w:vAlign w:val="center"/>
          </w:tcPr>
          <w:p w14:paraId="02CA9849" w14:textId="77777777" w:rsidR="009E04F9" w:rsidRDefault="00000000">
            <w:pPr>
              <w:jc w:val="center"/>
            </w:pPr>
            <w:r>
              <w:t>0.045 (0.708)</w:t>
            </w:r>
          </w:p>
        </w:tc>
      </w:tr>
      <w:tr w:rsidR="009E04F9" w14:paraId="6F4B8401" w14:textId="77777777">
        <w:trPr>
          <w:cantSplit/>
          <w:jc w:val="center"/>
        </w:trPr>
        <w:tc>
          <w:tcPr>
            <w:tcW w:w="1805" w:type="dxa"/>
            <w:vAlign w:val="center"/>
          </w:tcPr>
          <w:p w14:paraId="20F6CF4B" w14:textId="77777777" w:rsidR="009E04F9" w:rsidRDefault="00000000">
            <w:r>
              <w:t>Auditor change</w:t>
            </w:r>
          </w:p>
        </w:tc>
        <w:tc>
          <w:tcPr>
            <w:tcW w:w="1805" w:type="dxa"/>
            <w:vAlign w:val="center"/>
          </w:tcPr>
          <w:p w14:paraId="377B4750" w14:textId="77777777" w:rsidR="009E04F9" w:rsidRDefault="00000000">
            <w:pPr>
              <w:jc w:val="center"/>
            </w:pPr>
            <w:r>
              <w:t>2.53 (0.014)</w:t>
            </w:r>
          </w:p>
        </w:tc>
        <w:tc>
          <w:tcPr>
            <w:tcW w:w="1805" w:type="dxa"/>
            <w:vAlign w:val="center"/>
          </w:tcPr>
          <w:p w14:paraId="0F6BA474" w14:textId="77777777" w:rsidR="009E04F9" w:rsidRDefault="00000000">
            <w:pPr>
              <w:jc w:val="center"/>
            </w:pPr>
            <w:r>
              <w:t>0.62 (0.293)</w:t>
            </w:r>
          </w:p>
        </w:tc>
        <w:tc>
          <w:tcPr>
            <w:tcW w:w="1805" w:type="dxa"/>
            <w:vAlign w:val="center"/>
          </w:tcPr>
          <w:p w14:paraId="2F90A832" w14:textId="77777777" w:rsidR="009E04F9" w:rsidRDefault="00000000">
            <w:pPr>
              <w:jc w:val="center"/>
            </w:pPr>
            <w:r>
              <w:t>0.55 (0.153)</w:t>
            </w:r>
          </w:p>
        </w:tc>
        <w:tc>
          <w:tcPr>
            <w:tcW w:w="1805" w:type="dxa"/>
            <w:vAlign w:val="center"/>
          </w:tcPr>
          <w:p w14:paraId="5B914687" w14:textId="77777777" w:rsidR="009E04F9" w:rsidRDefault="00000000">
            <w:pPr>
              <w:jc w:val="center"/>
            </w:pPr>
            <w:r>
              <w:t>0.477 (0.095)</w:t>
            </w:r>
          </w:p>
        </w:tc>
      </w:tr>
      <w:tr w:rsidR="009E04F9" w14:paraId="38CC8A01" w14:textId="77777777">
        <w:trPr>
          <w:cantSplit/>
          <w:jc w:val="center"/>
        </w:trPr>
        <w:tc>
          <w:tcPr>
            <w:tcW w:w="1805" w:type="dxa"/>
            <w:vAlign w:val="center"/>
          </w:tcPr>
          <w:p w14:paraId="3F1407D5" w14:textId="77777777" w:rsidR="009E04F9" w:rsidRDefault="00000000">
            <w:r>
              <w:t>CEO financial expertise</w:t>
            </w:r>
          </w:p>
        </w:tc>
        <w:tc>
          <w:tcPr>
            <w:tcW w:w="1805" w:type="dxa"/>
            <w:vAlign w:val="center"/>
          </w:tcPr>
          <w:p w14:paraId="7E7D5EC0" w14:textId="77777777" w:rsidR="009E04F9" w:rsidRDefault="00000000">
            <w:pPr>
              <w:jc w:val="center"/>
            </w:pPr>
            <w:r>
              <w:t>0.92 (0.820)</w:t>
            </w:r>
          </w:p>
        </w:tc>
        <w:tc>
          <w:tcPr>
            <w:tcW w:w="1805" w:type="dxa"/>
            <w:vAlign w:val="center"/>
          </w:tcPr>
          <w:p w14:paraId="2AA8ECEE" w14:textId="77777777" w:rsidR="009E04F9" w:rsidRDefault="00000000">
            <w:pPr>
              <w:jc w:val="center"/>
            </w:pPr>
            <w:r>
              <w:t>1.20 (0.540)</w:t>
            </w:r>
          </w:p>
        </w:tc>
        <w:tc>
          <w:tcPr>
            <w:tcW w:w="1805" w:type="dxa"/>
            <w:vAlign w:val="center"/>
          </w:tcPr>
          <w:p w14:paraId="2D961FA2" w14:textId="77777777" w:rsidR="009E04F9" w:rsidRDefault="00000000">
            <w:pPr>
              <w:jc w:val="center"/>
            </w:pPr>
            <w:r>
              <w:t>Not identified</w:t>
            </w:r>
          </w:p>
        </w:tc>
        <w:tc>
          <w:tcPr>
            <w:tcW w:w="1805" w:type="dxa"/>
            <w:vAlign w:val="center"/>
          </w:tcPr>
          <w:p w14:paraId="73485407" w14:textId="77777777" w:rsidR="009E04F9" w:rsidRDefault="00000000">
            <w:pPr>
              <w:jc w:val="center"/>
            </w:pPr>
            <w:r>
              <w:t>-0.210 (0.362)</w:t>
            </w:r>
          </w:p>
        </w:tc>
      </w:tr>
      <w:tr w:rsidR="009E04F9" w14:paraId="57BE0FE7" w14:textId="77777777">
        <w:trPr>
          <w:cantSplit/>
          <w:jc w:val="center"/>
        </w:trPr>
        <w:tc>
          <w:tcPr>
            <w:tcW w:w="1805" w:type="dxa"/>
            <w:vAlign w:val="center"/>
          </w:tcPr>
          <w:p w14:paraId="19D70CC7" w14:textId="77777777" w:rsidR="009E04F9" w:rsidRDefault="00000000">
            <w:r>
              <w:t>Return on assets</w:t>
            </w:r>
          </w:p>
        </w:tc>
        <w:tc>
          <w:tcPr>
            <w:tcW w:w="1805" w:type="dxa"/>
            <w:vAlign w:val="center"/>
          </w:tcPr>
          <w:p w14:paraId="6A11DB8C" w14:textId="77777777" w:rsidR="009E04F9" w:rsidRDefault="00000000">
            <w:pPr>
              <w:jc w:val="center"/>
            </w:pPr>
            <w:r>
              <w:t>1.33 (0.354)</w:t>
            </w:r>
          </w:p>
        </w:tc>
        <w:tc>
          <w:tcPr>
            <w:tcW w:w="1805" w:type="dxa"/>
            <w:vAlign w:val="center"/>
          </w:tcPr>
          <w:p w14:paraId="4A207EF9" w14:textId="77777777" w:rsidR="009E04F9" w:rsidRDefault="00000000">
            <w:pPr>
              <w:jc w:val="center"/>
            </w:pPr>
            <w:r>
              <w:t>1.32 (0.259)</w:t>
            </w:r>
          </w:p>
        </w:tc>
        <w:tc>
          <w:tcPr>
            <w:tcW w:w="1805" w:type="dxa"/>
            <w:vAlign w:val="center"/>
          </w:tcPr>
          <w:p w14:paraId="5BB3ECA0" w14:textId="77777777" w:rsidR="009E04F9" w:rsidRDefault="00000000">
            <w:pPr>
              <w:jc w:val="center"/>
            </w:pPr>
            <w:r>
              <w:t>1.46 (0.085)</w:t>
            </w:r>
          </w:p>
        </w:tc>
        <w:tc>
          <w:tcPr>
            <w:tcW w:w="1805" w:type="dxa"/>
            <w:vAlign w:val="center"/>
          </w:tcPr>
          <w:p w14:paraId="20898B9F" w14:textId="77777777" w:rsidR="009E04F9" w:rsidRDefault="00000000">
            <w:pPr>
              <w:jc w:val="center"/>
            </w:pPr>
            <w:r>
              <w:t>0.333 (0.163)</w:t>
            </w:r>
          </w:p>
        </w:tc>
      </w:tr>
      <w:tr w:rsidR="009E04F9" w14:paraId="6FDF7204" w14:textId="77777777">
        <w:trPr>
          <w:cantSplit/>
          <w:jc w:val="center"/>
        </w:trPr>
        <w:tc>
          <w:tcPr>
            <w:tcW w:w="1805" w:type="dxa"/>
            <w:vAlign w:val="center"/>
          </w:tcPr>
          <w:p w14:paraId="3174F326" w14:textId="77777777" w:rsidR="009E04F9" w:rsidRDefault="00000000">
            <w:r>
              <w:t>Firm size</w:t>
            </w:r>
          </w:p>
        </w:tc>
        <w:tc>
          <w:tcPr>
            <w:tcW w:w="1805" w:type="dxa"/>
            <w:vAlign w:val="center"/>
          </w:tcPr>
          <w:p w14:paraId="6EA0D7A9" w14:textId="77777777" w:rsidR="009E04F9" w:rsidRDefault="00000000">
            <w:pPr>
              <w:jc w:val="center"/>
            </w:pPr>
            <w:r>
              <w:t>0.89 (0.516)</w:t>
            </w:r>
          </w:p>
        </w:tc>
        <w:tc>
          <w:tcPr>
            <w:tcW w:w="1805" w:type="dxa"/>
            <w:vAlign w:val="center"/>
          </w:tcPr>
          <w:p w14:paraId="2B7E6CF3" w14:textId="77777777" w:rsidR="009E04F9" w:rsidRDefault="00000000">
            <w:pPr>
              <w:jc w:val="center"/>
            </w:pPr>
            <w:r>
              <w:t>0.90 (0.524)</w:t>
            </w:r>
          </w:p>
        </w:tc>
        <w:tc>
          <w:tcPr>
            <w:tcW w:w="1805" w:type="dxa"/>
            <w:vAlign w:val="center"/>
          </w:tcPr>
          <w:p w14:paraId="2C26782D" w14:textId="77777777" w:rsidR="009E04F9" w:rsidRDefault="00000000">
            <w:pPr>
              <w:jc w:val="center"/>
            </w:pPr>
            <w:r>
              <w:t>0.07 (0.029)</w:t>
            </w:r>
          </w:p>
        </w:tc>
        <w:tc>
          <w:tcPr>
            <w:tcW w:w="1805" w:type="dxa"/>
            <w:vAlign w:val="center"/>
          </w:tcPr>
          <w:p w14:paraId="5ADD1E47" w14:textId="77777777" w:rsidR="009E04F9" w:rsidRDefault="00000000">
            <w:pPr>
              <w:jc w:val="center"/>
            </w:pPr>
            <w:r>
              <w:t>-0.021 (0.847)</w:t>
            </w:r>
          </w:p>
        </w:tc>
      </w:tr>
      <w:tr w:rsidR="009E04F9" w14:paraId="51932F75" w14:textId="77777777">
        <w:trPr>
          <w:cantSplit/>
          <w:jc w:val="center"/>
        </w:trPr>
        <w:tc>
          <w:tcPr>
            <w:tcW w:w="1805" w:type="dxa"/>
            <w:vAlign w:val="center"/>
          </w:tcPr>
          <w:p w14:paraId="6A25F6B1" w14:textId="77777777" w:rsidR="009E04F9" w:rsidRDefault="00000000">
            <w:r>
              <w:t>Big Four audit</w:t>
            </w:r>
          </w:p>
        </w:tc>
        <w:tc>
          <w:tcPr>
            <w:tcW w:w="1805" w:type="dxa"/>
            <w:vAlign w:val="center"/>
          </w:tcPr>
          <w:p w14:paraId="4D75CC3A" w14:textId="77777777" w:rsidR="009E04F9" w:rsidRDefault="00000000">
            <w:pPr>
              <w:jc w:val="center"/>
            </w:pPr>
            <w:r>
              <w:t>0.78 (0.482)</w:t>
            </w:r>
          </w:p>
        </w:tc>
        <w:tc>
          <w:tcPr>
            <w:tcW w:w="1805" w:type="dxa"/>
            <w:vAlign w:val="center"/>
          </w:tcPr>
          <w:p w14:paraId="3B28A470" w14:textId="77777777" w:rsidR="009E04F9" w:rsidRDefault="00000000">
            <w:pPr>
              <w:jc w:val="center"/>
            </w:pPr>
            <w:r>
              <w:t>0.94 (0.858)</w:t>
            </w:r>
          </w:p>
        </w:tc>
        <w:tc>
          <w:tcPr>
            <w:tcW w:w="1805" w:type="dxa"/>
            <w:vAlign w:val="center"/>
          </w:tcPr>
          <w:p w14:paraId="21392E96" w14:textId="77777777" w:rsidR="009E04F9" w:rsidRDefault="00000000">
            <w:pPr>
              <w:jc w:val="center"/>
            </w:pPr>
            <w:r>
              <w:t>3.08 (0.085)</w:t>
            </w:r>
          </w:p>
        </w:tc>
        <w:tc>
          <w:tcPr>
            <w:tcW w:w="1805" w:type="dxa"/>
            <w:vAlign w:val="center"/>
          </w:tcPr>
          <w:p w14:paraId="29BCF86D" w14:textId="77777777" w:rsidR="009E04F9" w:rsidRDefault="00000000">
            <w:pPr>
              <w:jc w:val="center"/>
            </w:pPr>
            <w:r>
              <w:t>-0.222 (0.342)</w:t>
            </w:r>
          </w:p>
        </w:tc>
      </w:tr>
    </w:tbl>
    <w:p w14:paraId="16908EBF" w14:textId="77777777" w:rsidR="009E04F9" w:rsidRDefault="00000000">
      <w:pPr>
        <w:jc w:val="both"/>
      </w:pPr>
      <w:r>
        <w:rPr>
          <w:i/>
        </w:rPr>
        <w:t xml:space="preserve">Notes: The lagged models retain only consecutive one-year observations (N = 298). The conditional fixed-effects logit uses 292 observations across 39 firms after dropping a firm with no within-firm variation in MFLAG. Year effects are included in all models. The continuous-outcome model uses the </w:t>
      </w:r>
      <w:proofErr w:type="spellStart"/>
      <w:r>
        <w:rPr>
          <w:i/>
        </w:rPr>
        <w:t>winsorised</w:t>
      </w:r>
      <w:proofErr w:type="spellEnd"/>
      <w:r>
        <w:rPr>
          <w:i/>
        </w:rPr>
        <w:t xml:space="preserve"> </w:t>
      </w:r>
      <w:proofErr w:type="spellStart"/>
      <w:r>
        <w:rPr>
          <w:i/>
        </w:rPr>
        <w:t>Beneish</w:t>
      </w:r>
      <w:proofErr w:type="spellEnd"/>
      <w:r>
        <w:rPr>
          <w:i/>
        </w:rPr>
        <w:t xml:space="preserve"> M-Score.</w:t>
      </w:r>
    </w:p>
    <w:p w14:paraId="42C0F6CD" w14:textId="77777777" w:rsidR="009E04F9" w:rsidRDefault="00000000">
      <w:pPr>
        <w:spacing w:before="80"/>
      </w:pPr>
      <w:r>
        <w:rPr>
          <w:b/>
        </w:rPr>
        <w:t>4.5 Exploratory comparison with reported restatements</w:t>
      </w:r>
    </w:p>
    <w:p w14:paraId="7FC8DFE6" w14:textId="77777777" w:rsidR="009E04F9" w:rsidRDefault="00000000">
      <w:pPr>
        <w:jc w:val="both"/>
      </w:pPr>
      <w:r>
        <w:t xml:space="preserve">The dataset contains an </w:t>
      </w:r>
      <w:proofErr w:type="spellStart"/>
      <w:r>
        <w:t>Error_Restated</w:t>
      </w:r>
      <w:proofErr w:type="spellEnd"/>
      <w:r>
        <w:t xml:space="preserve"> indicator, which provides a limited external comparison for the </w:t>
      </w:r>
      <w:proofErr w:type="spellStart"/>
      <w:r>
        <w:t>Beneish</w:t>
      </w:r>
      <w:proofErr w:type="spellEnd"/>
      <w:r>
        <w:t xml:space="preserve"> classification. Nineteen firm-years are coded as restated, but only four of those 19 observations are simultaneously </w:t>
      </w:r>
      <w:proofErr w:type="spellStart"/>
      <w:r>
        <w:t>Beneish</w:t>
      </w:r>
      <w:proofErr w:type="spellEnd"/>
      <w:r>
        <w:t xml:space="preserve">-flagged. A Fisher exact test yields an odds ratio of 0.50 and p = 0.319. The absence of a positive statistical association should not be interpreted as evidence against the </w:t>
      </w:r>
      <w:proofErr w:type="spellStart"/>
      <w:r>
        <w:t>Beneish</w:t>
      </w:r>
      <w:proofErr w:type="spellEnd"/>
      <w:r>
        <w:t xml:space="preserve"> model because restatements encompass errors, policy corrections and other events that are not synonymous with intentional manipulation. Instead, the result reinforces the conceptual decision to treat the M-Score as a probabilistic screening signal rather than verified fraud.</w:t>
      </w:r>
    </w:p>
    <w:p w14:paraId="58427B0E" w14:textId="77777777" w:rsidR="009E04F9" w:rsidRDefault="00000000">
      <w:pPr>
        <w:spacing w:before="80"/>
      </w:pPr>
      <w:r>
        <w:rPr>
          <w:b/>
        </w:rPr>
        <w:t>4.6 Hypothesis assessment</w:t>
      </w:r>
    </w:p>
    <w:p w14:paraId="0977B5B6" w14:textId="77777777" w:rsidR="009E04F9" w:rsidRDefault="00000000">
      <w:pPr>
        <w:spacing w:before="80"/>
        <w:jc w:val="both"/>
      </w:pPr>
      <w:r>
        <w:rPr>
          <w:b/>
        </w:rPr>
        <w:t>Table 6. Hypothesis assessment</w:t>
      </w:r>
    </w:p>
    <w:tbl>
      <w:tblPr>
        <w:tblStyle w:val="TableGrid"/>
        <w:tblW w:w="0" w:type="auto"/>
        <w:jc w:val="center"/>
        <w:tblLayout w:type="fixed"/>
        <w:tblLook w:val="04A0" w:firstRow="1" w:lastRow="0" w:firstColumn="1" w:lastColumn="0" w:noHBand="0" w:noVBand="1"/>
      </w:tblPr>
      <w:tblGrid>
        <w:gridCol w:w="2232"/>
        <w:gridCol w:w="1805"/>
        <w:gridCol w:w="1805"/>
        <w:gridCol w:w="1805"/>
        <w:gridCol w:w="2217"/>
      </w:tblGrid>
      <w:tr w:rsidR="009E04F9" w14:paraId="359C710A" w14:textId="77777777">
        <w:trPr>
          <w:cantSplit/>
          <w:jc w:val="center"/>
        </w:trPr>
        <w:tc>
          <w:tcPr>
            <w:tcW w:w="2232" w:type="dxa"/>
            <w:shd w:val="clear" w:color="auto" w:fill="D9EAF7"/>
            <w:vAlign w:val="center"/>
          </w:tcPr>
          <w:p w14:paraId="5082B0A0" w14:textId="77777777" w:rsidR="009E04F9" w:rsidRDefault="00000000">
            <w:pPr>
              <w:jc w:val="center"/>
            </w:pPr>
            <w:r>
              <w:rPr>
                <w:b/>
              </w:rPr>
              <w:t>Hypothesis</w:t>
            </w:r>
          </w:p>
        </w:tc>
        <w:tc>
          <w:tcPr>
            <w:tcW w:w="1180" w:type="dxa"/>
            <w:shd w:val="clear" w:color="auto" w:fill="D9EAF7"/>
            <w:vAlign w:val="center"/>
          </w:tcPr>
          <w:p w14:paraId="40BEDC17" w14:textId="77777777" w:rsidR="009E04F9" w:rsidRDefault="00000000">
            <w:pPr>
              <w:jc w:val="center"/>
            </w:pPr>
            <w:r>
              <w:rPr>
                <w:b/>
              </w:rPr>
              <w:t>Prediction</w:t>
            </w:r>
          </w:p>
        </w:tc>
        <w:tc>
          <w:tcPr>
            <w:tcW w:w="1612" w:type="dxa"/>
            <w:shd w:val="clear" w:color="auto" w:fill="D9EAF7"/>
            <w:vAlign w:val="center"/>
          </w:tcPr>
          <w:p w14:paraId="750E42C2" w14:textId="77777777" w:rsidR="009E04F9" w:rsidRDefault="00000000">
            <w:pPr>
              <w:jc w:val="center"/>
            </w:pPr>
            <w:r>
              <w:rPr>
                <w:b/>
              </w:rPr>
              <w:t>Main GEE</w:t>
            </w:r>
          </w:p>
        </w:tc>
        <w:tc>
          <w:tcPr>
            <w:tcW w:w="1612" w:type="dxa"/>
            <w:shd w:val="clear" w:color="auto" w:fill="D9EAF7"/>
            <w:vAlign w:val="center"/>
          </w:tcPr>
          <w:p w14:paraId="3F23F59A" w14:textId="77777777" w:rsidR="009E04F9" w:rsidRDefault="00000000">
            <w:pPr>
              <w:jc w:val="center"/>
            </w:pPr>
            <w:r>
              <w:rPr>
                <w:b/>
              </w:rPr>
              <w:t>Lagged GEE</w:t>
            </w:r>
          </w:p>
        </w:tc>
        <w:tc>
          <w:tcPr>
            <w:tcW w:w="2217" w:type="dxa"/>
            <w:shd w:val="clear" w:color="auto" w:fill="D9EAF7"/>
            <w:vAlign w:val="center"/>
          </w:tcPr>
          <w:p w14:paraId="6191E8CA" w14:textId="77777777" w:rsidR="009E04F9" w:rsidRDefault="00000000">
            <w:pPr>
              <w:jc w:val="center"/>
            </w:pPr>
            <w:r>
              <w:rPr>
                <w:b/>
              </w:rPr>
              <w:t>Assessment</w:t>
            </w:r>
          </w:p>
        </w:tc>
      </w:tr>
      <w:tr w:rsidR="009E04F9" w14:paraId="727941F0" w14:textId="77777777">
        <w:trPr>
          <w:cantSplit/>
          <w:jc w:val="center"/>
        </w:trPr>
        <w:tc>
          <w:tcPr>
            <w:tcW w:w="1805" w:type="dxa"/>
            <w:vAlign w:val="center"/>
          </w:tcPr>
          <w:p w14:paraId="4DA95670" w14:textId="77777777" w:rsidR="009E04F9" w:rsidRDefault="00000000">
            <w:r>
              <w:t>H1: Asset growth</w:t>
            </w:r>
          </w:p>
        </w:tc>
        <w:tc>
          <w:tcPr>
            <w:tcW w:w="1805" w:type="dxa"/>
            <w:vAlign w:val="center"/>
          </w:tcPr>
          <w:p w14:paraId="7465DD4D" w14:textId="77777777" w:rsidR="009E04F9" w:rsidRDefault="00000000">
            <w:pPr>
              <w:jc w:val="center"/>
            </w:pPr>
            <w:r>
              <w:t>Positive</w:t>
            </w:r>
          </w:p>
        </w:tc>
        <w:tc>
          <w:tcPr>
            <w:tcW w:w="1805" w:type="dxa"/>
            <w:vAlign w:val="center"/>
          </w:tcPr>
          <w:p w14:paraId="02E7D248" w14:textId="77777777" w:rsidR="009E04F9" w:rsidRDefault="00000000">
            <w:pPr>
              <w:jc w:val="center"/>
            </w:pPr>
            <w:r>
              <w:t>Positive; p = .047</w:t>
            </w:r>
          </w:p>
        </w:tc>
        <w:tc>
          <w:tcPr>
            <w:tcW w:w="1805" w:type="dxa"/>
            <w:vAlign w:val="center"/>
          </w:tcPr>
          <w:p w14:paraId="127AB8A6" w14:textId="77777777" w:rsidR="009E04F9" w:rsidRDefault="00000000">
            <w:pPr>
              <w:jc w:val="center"/>
            </w:pPr>
            <w:r>
              <w:t>p = .885</w:t>
            </w:r>
          </w:p>
        </w:tc>
        <w:tc>
          <w:tcPr>
            <w:tcW w:w="1805" w:type="dxa"/>
            <w:vAlign w:val="center"/>
          </w:tcPr>
          <w:p w14:paraId="090A7D65" w14:textId="77777777" w:rsidR="009E04F9" w:rsidRDefault="00000000">
            <w:r>
              <w:t>Same-period only</w:t>
            </w:r>
          </w:p>
        </w:tc>
      </w:tr>
      <w:tr w:rsidR="009E04F9" w14:paraId="42F4C087" w14:textId="77777777">
        <w:trPr>
          <w:cantSplit/>
          <w:jc w:val="center"/>
        </w:trPr>
        <w:tc>
          <w:tcPr>
            <w:tcW w:w="1805" w:type="dxa"/>
            <w:vAlign w:val="center"/>
          </w:tcPr>
          <w:p w14:paraId="30E38182" w14:textId="77777777" w:rsidR="009E04F9" w:rsidRDefault="00000000">
            <w:r>
              <w:t>H2: Board independence</w:t>
            </w:r>
          </w:p>
        </w:tc>
        <w:tc>
          <w:tcPr>
            <w:tcW w:w="1805" w:type="dxa"/>
            <w:vAlign w:val="center"/>
          </w:tcPr>
          <w:p w14:paraId="22EC32AB" w14:textId="77777777" w:rsidR="009E04F9" w:rsidRDefault="00000000">
            <w:pPr>
              <w:jc w:val="center"/>
            </w:pPr>
            <w:r>
              <w:t>Negative</w:t>
            </w:r>
          </w:p>
        </w:tc>
        <w:tc>
          <w:tcPr>
            <w:tcW w:w="1805" w:type="dxa"/>
            <w:vAlign w:val="center"/>
          </w:tcPr>
          <w:p w14:paraId="5A6086D0" w14:textId="77777777" w:rsidR="009E04F9" w:rsidRDefault="00000000">
            <w:pPr>
              <w:jc w:val="center"/>
            </w:pPr>
            <w:r>
              <w:t>Negative; p = .073</w:t>
            </w:r>
          </w:p>
        </w:tc>
        <w:tc>
          <w:tcPr>
            <w:tcW w:w="1805" w:type="dxa"/>
            <w:vAlign w:val="center"/>
          </w:tcPr>
          <w:p w14:paraId="4420B859" w14:textId="77777777" w:rsidR="009E04F9" w:rsidRDefault="00000000">
            <w:pPr>
              <w:jc w:val="center"/>
            </w:pPr>
            <w:r>
              <w:t>Negative; p = .103</w:t>
            </w:r>
          </w:p>
        </w:tc>
        <w:tc>
          <w:tcPr>
            <w:tcW w:w="1805" w:type="dxa"/>
            <w:vAlign w:val="center"/>
          </w:tcPr>
          <w:p w14:paraId="364CFF8E" w14:textId="77777777" w:rsidR="009E04F9" w:rsidRDefault="00000000">
            <w:r>
              <w:t>Suggestive</w:t>
            </w:r>
          </w:p>
        </w:tc>
      </w:tr>
      <w:tr w:rsidR="009E04F9" w14:paraId="7DBCBEDB" w14:textId="77777777">
        <w:trPr>
          <w:cantSplit/>
          <w:jc w:val="center"/>
        </w:trPr>
        <w:tc>
          <w:tcPr>
            <w:tcW w:w="1805" w:type="dxa"/>
            <w:vAlign w:val="center"/>
          </w:tcPr>
          <w:p w14:paraId="428AE1FF" w14:textId="77777777" w:rsidR="009E04F9" w:rsidRDefault="00000000">
            <w:r>
              <w:t>H3: Managerial ownership</w:t>
            </w:r>
          </w:p>
        </w:tc>
        <w:tc>
          <w:tcPr>
            <w:tcW w:w="1805" w:type="dxa"/>
            <w:vAlign w:val="center"/>
          </w:tcPr>
          <w:p w14:paraId="650CBD24" w14:textId="77777777" w:rsidR="009E04F9" w:rsidRDefault="00000000">
            <w:pPr>
              <w:jc w:val="center"/>
            </w:pPr>
            <w:r>
              <w:t>Positive</w:t>
            </w:r>
          </w:p>
        </w:tc>
        <w:tc>
          <w:tcPr>
            <w:tcW w:w="1805" w:type="dxa"/>
            <w:vAlign w:val="center"/>
          </w:tcPr>
          <w:p w14:paraId="34C0EF30" w14:textId="77777777" w:rsidR="009E04F9" w:rsidRDefault="00000000">
            <w:pPr>
              <w:jc w:val="center"/>
            </w:pPr>
            <w:r>
              <w:t>p = .375</w:t>
            </w:r>
          </w:p>
        </w:tc>
        <w:tc>
          <w:tcPr>
            <w:tcW w:w="1805" w:type="dxa"/>
            <w:vAlign w:val="center"/>
          </w:tcPr>
          <w:p w14:paraId="68A4C77F" w14:textId="77777777" w:rsidR="009E04F9" w:rsidRDefault="00000000">
            <w:pPr>
              <w:jc w:val="center"/>
            </w:pPr>
            <w:r>
              <w:t>p = .318</w:t>
            </w:r>
          </w:p>
        </w:tc>
        <w:tc>
          <w:tcPr>
            <w:tcW w:w="1805" w:type="dxa"/>
            <w:vAlign w:val="center"/>
          </w:tcPr>
          <w:p w14:paraId="148642C8" w14:textId="77777777" w:rsidR="009E04F9" w:rsidRDefault="00000000">
            <w:r>
              <w:t>Not supported</w:t>
            </w:r>
          </w:p>
        </w:tc>
      </w:tr>
      <w:tr w:rsidR="009E04F9" w14:paraId="4AA77468" w14:textId="77777777">
        <w:trPr>
          <w:cantSplit/>
          <w:jc w:val="center"/>
        </w:trPr>
        <w:tc>
          <w:tcPr>
            <w:tcW w:w="1805" w:type="dxa"/>
            <w:vAlign w:val="center"/>
          </w:tcPr>
          <w:p w14:paraId="4CF2CD58" w14:textId="77777777" w:rsidR="009E04F9" w:rsidRDefault="00000000">
            <w:r>
              <w:t>H4: Auditor change</w:t>
            </w:r>
          </w:p>
        </w:tc>
        <w:tc>
          <w:tcPr>
            <w:tcW w:w="1805" w:type="dxa"/>
            <w:vAlign w:val="center"/>
          </w:tcPr>
          <w:p w14:paraId="19BC977E" w14:textId="77777777" w:rsidR="009E04F9" w:rsidRDefault="00000000">
            <w:pPr>
              <w:jc w:val="center"/>
            </w:pPr>
            <w:r>
              <w:t>Positive</w:t>
            </w:r>
          </w:p>
        </w:tc>
        <w:tc>
          <w:tcPr>
            <w:tcW w:w="1805" w:type="dxa"/>
            <w:vAlign w:val="center"/>
          </w:tcPr>
          <w:p w14:paraId="730C6D2D" w14:textId="77777777" w:rsidR="009E04F9" w:rsidRDefault="00000000">
            <w:pPr>
              <w:jc w:val="center"/>
            </w:pPr>
            <w:r>
              <w:t>Positive; p = .014</w:t>
            </w:r>
          </w:p>
        </w:tc>
        <w:tc>
          <w:tcPr>
            <w:tcW w:w="1805" w:type="dxa"/>
            <w:vAlign w:val="center"/>
          </w:tcPr>
          <w:p w14:paraId="3EC53E39" w14:textId="77777777" w:rsidR="009E04F9" w:rsidRDefault="00000000">
            <w:pPr>
              <w:jc w:val="center"/>
            </w:pPr>
            <w:r>
              <w:t>p = .293; sign reverses</w:t>
            </w:r>
          </w:p>
        </w:tc>
        <w:tc>
          <w:tcPr>
            <w:tcW w:w="1805" w:type="dxa"/>
            <w:vAlign w:val="center"/>
          </w:tcPr>
          <w:p w14:paraId="2FF0F9AF" w14:textId="77777777" w:rsidR="009E04F9" w:rsidRDefault="00000000">
            <w:r>
              <w:t>Same-period only</w:t>
            </w:r>
          </w:p>
        </w:tc>
      </w:tr>
      <w:tr w:rsidR="009E04F9" w14:paraId="7BB97B3F" w14:textId="77777777">
        <w:trPr>
          <w:cantSplit/>
          <w:jc w:val="center"/>
        </w:trPr>
        <w:tc>
          <w:tcPr>
            <w:tcW w:w="1805" w:type="dxa"/>
            <w:vAlign w:val="center"/>
          </w:tcPr>
          <w:p w14:paraId="15299EB6" w14:textId="77777777" w:rsidR="009E04F9" w:rsidRDefault="00000000">
            <w:r>
              <w:lastRenderedPageBreak/>
              <w:t>H5: CEO financial expertise</w:t>
            </w:r>
          </w:p>
        </w:tc>
        <w:tc>
          <w:tcPr>
            <w:tcW w:w="1805" w:type="dxa"/>
            <w:vAlign w:val="center"/>
          </w:tcPr>
          <w:p w14:paraId="78BA794A" w14:textId="77777777" w:rsidR="009E04F9" w:rsidRDefault="00000000">
            <w:pPr>
              <w:jc w:val="center"/>
            </w:pPr>
            <w:r>
              <w:t>Positive</w:t>
            </w:r>
          </w:p>
        </w:tc>
        <w:tc>
          <w:tcPr>
            <w:tcW w:w="1805" w:type="dxa"/>
            <w:vAlign w:val="center"/>
          </w:tcPr>
          <w:p w14:paraId="24CC0F89" w14:textId="77777777" w:rsidR="009E04F9" w:rsidRDefault="00000000">
            <w:pPr>
              <w:jc w:val="center"/>
            </w:pPr>
            <w:r>
              <w:t>p = .820</w:t>
            </w:r>
          </w:p>
        </w:tc>
        <w:tc>
          <w:tcPr>
            <w:tcW w:w="1805" w:type="dxa"/>
            <w:vAlign w:val="center"/>
          </w:tcPr>
          <w:p w14:paraId="437CB3CA" w14:textId="77777777" w:rsidR="009E04F9" w:rsidRDefault="00000000">
            <w:pPr>
              <w:jc w:val="center"/>
            </w:pPr>
            <w:r>
              <w:t>p = .540</w:t>
            </w:r>
          </w:p>
        </w:tc>
        <w:tc>
          <w:tcPr>
            <w:tcW w:w="1805" w:type="dxa"/>
            <w:vAlign w:val="center"/>
          </w:tcPr>
          <w:p w14:paraId="220A2EFE" w14:textId="77777777" w:rsidR="009E04F9" w:rsidRDefault="00000000">
            <w:r>
              <w:t>Not supported</w:t>
            </w:r>
          </w:p>
        </w:tc>
      </w:tr>
    </w:tbl>
    <w:p w14:paraId="15BA09D7" w14:textId="77777777" w:rsidR="009E04F9" w:rsidRDefault="00000000">
      <w:pPr>
        <w:spacing w:before="120"/>
        <w:jc w:val="both"/>
      </w:pPr>
      <w:r>
        <w:rPr>
          <w:b/>
        </w:rPr>
        <w:t>5. Discussion</w:t>
      </w:r>
    </w:p>
    <w:p w14:paraId="1D182A97" w14:textId="77777777" w:rsidR="009E04F9" w:rsidRDefault="00000000">
      <w:pPr>
        <w:spacing w:before="80"/>
      </w:pPr>
      <w:r>
        <w:rPr>
          <w:b/>
        </w:rPr>
        <w:t>5.1 Pressure and the role of asset growth</w:t>
      </w:r>
    </w:p>
    <w:p w14:paraId="4326A026" w14:textId="77777777" w:rsidR="009E04F9" w:rsidRDefault="00000000">
      <w:pPr>
        <w:jc w:val="both"/>
      </w:pPr>
      <w:r>
        <w:t xml:space="preserve">The positive contemporaneous association between asset growth and the </w:t>
      </w:r>
      <w:proofErr w:type="spellStart"/>
      <w:r>
        <w:t>Beneish</w:t>
      </w:r>
      <w:proofErr w:type="spellEnd"/>
      <w:r>
        <w:t xml:space="preserve"> manipulation flag is consistent with the pressure component of Fraud Diamond Theory. Rapid expansion can create financing needs, operational complexity and expectations that management will sustain prior performance, while contraction can generate incentives to obscure deterioration. The result accords with the broader evidence that financial and performance pressures are associated with misreporting risk (</w:t>
      </w:r>
      <w:hyperlink w:anchor="ref_Burns_2006" w:history="1">
        <w:r w:rsidR="009E04F9">
          <w:rPr>
            <w:szCs w:val="24"/>
          </w:rPr>
          <w:t>Burns &amp; Kedia, 2006</w:t>
        </w:r>
      </w:hyperlink>
      <w:r>
        <w:t xml:space="preserve">; </w:t>
      </w:r>
      <w:hyperlink w:anchor="ref_Efendi_2007" w:history="1">
        <w:r w:rsidR="009E04F9">
          <w:rPr>
            <w:szCs w:val="24"/>
          </w:rPr>
          <w:t>Efendi et al., 2007</w:t>
        </w:r>
      </w:hyperlink>
      <w:r>
        <w:t xml:space="preserve">; </w:t>
      </w:r>
      <w:hyperlink w:anchor="ref_Skousen_2009" w:history="1">
        <w:r w:rsidR="009E04F9">
          <w:rPr>
            <w:szCs w:val="24"/>
          </w:rPr>
          <w:t>Skousen et al., 2009</w:t>
        </w:r>
      </w:hyperlink>
      <w:r>
        <w:t xml:space="preserve">). However, the effect disappears completely in the one-year-lagged model. This distinction is theoretically informative: unusual asset growth appears to be part of the contemporaneous environment in which the </w:t>
      </w:r>
      <w:proofErr w:type="spellStart"/>
      <w:r>
        <w:t>Beneish</w:t>
      </w:r>
      <w:proofErr w:type="spellEnd"/>
      <w:r>
        <w:t xml:space="preserve"> signal arises, but it does not provide durable one-year-ahead predictive information in this sample. The evidence therefore supports interpreting ACHANGE as a concurrent risk indicator rather than a causal driver.</w:t>
      </w:r>
    </w:p>
    <w:p w14:paraId="3BDA9B9C" w14:textId="77777777" w:rsidR="009E04F9" w:rsidRDefault="00000000">
      <w:pPr>
        <w:spacing w:before="80"/>
      </w:pPr>
      <w:r>
        <w:rPr>
          <w:b/>
        </w:rPr>
        <w:t>5.2 Board monitoring and managerial ownership</w:t>
      </w:r>
    </w:p>
    <w:p w14:paraId="4C90864A" w14:textId="77777777" w:rsidR="009E04F9" w:rsidRDefault="00000000">
      <w:pPr>
        <w:jc w:val="both"/>
      </w:pPr>
      <w:r>
        <w:t>The negative BDOUT coefficient is directionally consistent with monitoring theory and with evidence linking stronger board oversight to better financial-reporting outcomes (</w:t>
      </w:r>
      <w:hyperlink w:anchor="ref_Beasley_1996" w:history="1">
        <w:r w:rsidR="009E04F9">
          <w:rPr>
            <w:szCs w:val="24"/>
          </w:rPr>
          <w:t>Beasley, 1996</w:t>
        </w:r>
      </w:hyperlink>
      <w:r>
        <w:t xml:space="preserve">; </w:t>
      </w:r>
      <w:hyperlink w:anchor="ref_Beasley_2000" w:history="1">
        <w:r w:rsidR="009E04F9">
          <w:rPr>
            <w:szCs w:val="24"/>
          </w:rPr>
          <w:t>Beasley et al., 2000</w:t>
        </w:r>
      </w:hyperlink>
      <w:r>
        <w:t xml:space="preserve">; </w:t>
      </w:r>
      <w:hyperlink w:anchor="ref_Klein_2002" w:history="1">
        <w:r w:rsidR="009E04F9">
          <w:rPr>
            <w:szCs w:val="24"/>
          </w:rPr>
          <w:t>Klein, 2002</w:t>
        </w:r>
      </w:hyperlink>
      <w:r>
        <w:t xml:space="preserve">; </w:t>
      </w:r>
      <w:hyperlink w:anchor="ref_Xie_2003" w:history="1">
        <w:r w:rsidR="009E04F9">
          <w:rPr>
            <w:szCs w:val="24"/>
          </w:rPr>
          <w:t>Xie et al., 2003</w:t>
        </w:r>
      </w:hyperlink>
      <w:r>
        <w:t xml:space="preserve">). Yet the association is only marginal in the main GEE and weakens further when the board ratio is lagged or reconstructed directly from the raw non-executive-director fields. This suggests that formal board composition alone is insufficient to explain manipulation risk. The quality of challenge, meeting activity, financial expertise, committee design and access to information may matter more than the numerical proportion of outside or independent directors. </w:t>
      </w:r>
      <w:hyperlink w:anchor="ref_Farber_2005" w:history="1">
        <w:r w:rsidR="009E04F9">
          <w:rPr>
            <w:szCs w:val="24"/>
          </w:rPr>
          <w:t>Farber (2005)</w:t>
        </w:r>
      </w:hyperlink>
      <w:r>
        <w:t xml:space="preserve"> similarly shows that the credibility benefits of governance improvements depend on substantive governance changes rather than labels alone.</w:t>
      </w:r>
    </w:p>
    <w:p w14:paraId="5F7C9DD2" w14:textId="77777777" w:rsidR="009E04F9" w:rsidRDefault="00000000">
      <w:pPr>
        <w:jc w:val="both"/>
      </w:pPr>
      <w:r>
        <w:t xml:space="preserve">Managerial ownership is not significantly associated with the manipulation flag in any principal specification. This null result is consistent with the theoretical ambiguity between alignment and entrenchment. </w:t>
      </w:r>
      <w:hyperlink w:anchor="ref_Warfield_1995" w:history="1">
        <w:r w:rsidR="009E04F9">
          <w:rPr>
            <w:szCs w:val="24"/>
          </w:rPr>
          <w:t>Warfield et al. (1995)</w:t>
        </w:r>
      </w:hyperlink>
      <w:r>
        <w:t xml:space="preserve"> </w:t>
      </w:r>
      <w:proofErr w:type="spellStart"/>
      <w:r>
        <w:t>emphasise</w:t>
      </w:r>
      <w:proofErr w:type="spellEnd"/>
      <w:r>
        <w:t xml:space="preserve"> alignment benefits, whereas </w:t>
      </w:r>
      <w:hyperlink w:anchor="ref_Fan_2002" w:history="1">
        <w:r w:rsidR="009E04F9">
          <w:rPr>
            <w:szCs w:val="24"/>
          </w:rPr>
          <w:t>Fan and Wong (2002)</w:t>
        </w:r>
      </w:hyperlink>
      <w:r>
        <w:t xml:space="preserve"> show that concentrated control may reduce earnings informativeness when controlling owners possess private-benefit incentives. The Nigerian manufacturing evidence does not support a uniform entrenchment effect. One implication is that the effect of </w:t>
      </w:r>
      <w:r>
        <w:lastRenderedPageBreak/>
        <w:t>insider ownership may be nonlinear or conditional on ownership concentration, family control, institutional monitoring or board power—extensions that merit explicit testing in future research.</w:t>
      </w:r>
    </w:p>
    <w:p w14:paraId="4ABF726E" w14:textId="77777777" w:rsidR="009E04F9" w:rsidRDefault="00000000">
      <w:pPr>
        <w:spacing w:before="80"/>
      </w:pPr>
      <w:r>
        <w:rPr>
          <w:b/>
        </w:rPr>
        <w:t>5.3 Auditor change as a contemporaneous red flag</w:t>
      </w:r>
    </w:p>
    <w:p w14:paraId="2D95CA71" w14:textId="77777777" w:rsidR="009E04F9" w:rsidRDefault="00000000">
      <w:pPr>
        <w:jc w:val="both"/>
      </w:pPr>
      <w:r>
        <w:t>Auditor change is the most economically pronounced contemporaneous association in the study. The result is compatible with the literature showing that auditor-switch decisions may occur around reporting disagreements, opinion-shopping incentives or changes in the auditor-client negotiation environment (</w:t>
      </w:r>
      <w:hyperlink w:anchor="ref_Lennox_2000" w:history="1">
        <w:r w:rsidR="009E04F9">
          <w:rPr>
            <w:szCs w:val="24"/>
          </w:rPr>
          <w:t>Lennox, 2000</w:t>
        </w:r>
      </w:hyperlink>
      <w:r>
        <w:t xml:space="preserve">). </w:t>
      </w:r>
      <w:hyperlink w:anchor="ref_DeFond_1998" w:history="1">
        <w:proofErr w:type="spellStart"/>
        <w:r w:rsidR="009E04F9">
          <w:rPr>
            <w:szCs w:val="24"/>
          </w:rPr>
          <w:t>DeFond</w:t>
        </w:r>
        <w:proofErr w:type="spellEnd"/>
        <w:r w:rsidR="009E04F9">
          <w:rPr>
            <w:szCs w:val="24"/>
          </w:rPr>
          <w:t xml:space="preserve"> and Subramanyam (1998)</w:t>
        </w:r>
      </w:hyperlink>
      <w:r>
        <w:t xml:space="preserve"> document systematic changes in discretionary accruals around auditor switches, while </w:t>
      </w:r>
      <w:hyperlink w:anchor="ref_Carcello_2004" w:history="1">
        <w:proofErr w:type="spellStart"/>
        <w:r w:rsidR="009E04F9">
          <w:rPr>
            <w:szCs w:val="24"/>
          </w:rPr>
          <w:t>Carcello</w:t>
        </w:r>
        <w:proofErr w:type="spellEnd"/>
        <w:r w:rsidR="009E04F9">
          <w:rPr>
            <w:szCs w:val="24"/>
          </w:rPr>
          <w:t xml:space="preserve"> and Nagy (2004)</w:t>
        </w:r>
      </w:hyperlink>
      <w:r>
        <w:t xml:space="preserve"> show that fraudulent reporting is more likely in the early years of an auditor-client relationship than during long tenure. These studies do not imply that switching auditors is itself evidence of misconduct; legitimate rotation, tendering, fee considerations and changes in business needs also produce auditor turnover.</w:t>
      </w:r>
    </w:p>
    <w:p w14:paraId="66841AC7" w14:textId="77777777" w:rsidR="009E04F9" w:rsidRDefault="00000000">
      <w:pPr>
        <w:jc w:val="both"/>
      </w:pPr>
      <w:r>
        <w:t xml:space="preserve">The disappearance and sign reversal of AC in the one-year-lagged model is therefore important. Auditor change is best understood as a same-period red flag that may coincide with financial-reporting tension rather than a predictor that independently raises subsequent manipulation risk. For regulators and audit committees, the practical implication is to </w:t>
      </w:r>
      <w:proofErr w:type="spellStart"/>
      <w:r>
        <w:t>scrutinise</w:t>
      </w:r>
      <w:proofErr w:type="spellEnd"/>
      <w:r>
        <w:t xml:space="preserve"> the reasons for auditor changes and the accompanying financial-reporting judgements, rather than treating turnover mechanically as suspicious or prescribing greater auditor continuity in every case.</w:t>
      </w:r>
    </w:p>
    <w:p w14:paraId="75043A4D" w14:textId="77777777" w:rsidR="009E04F9" w:rsidRDefault="00000000">
      <w:pPr>
        <w:spacing w:before="80"/>
      </w:pPr>
      <w:r>
        <w:rPr>
          <w:b/>
        </w:rPr>
        <w:t>5.4 Capability and CEO financial expertise</w:t>
      </w:r>
    </w:p>
    <w:p w14:paraId="3E3D9F66" w14:textId="77777777" w:rsidR="009E04F9" w:rsidRDefault="00000000">
      <w:pPr>
        <w:jc w:val="both"/>
      </w:pPr>
      <w:r>
        <w:t xml:space="preserve">The study finds no evidence that CEO financial expertise increases </w:t>
      </w:r>
      <w:proofErr w:type="spellStart"/>
      <w:r>
        <w:t>Beneish</w:t>
      </w:r>
      <w:proofErr w:type="spellEnd"/>
      <w:r>
        <w:t xml:space="preserve">-flagged manipulation risk. This result is consistent with the competing view that financial knowledge can strengthen reporting quality rather than simply increase capability to manipulate. </w:t>
      </w:r>
      <w:hyperlink w:anchor="ref_Jiang_2013" w:history="1">
        <w:r w:rsidR="009E04F9">
          <w:rPr>
            <w:szCs w:val="24"/>
          </w:rPr>
          <w:t>Jiang et al. (2013)</w:t>
        </w:r>
      </w:hyperlink>
      <w:r>
        <w:t xml:space="preserve"> find that financially experienced CEOs engage in less real earnings management and find no evidence of greater accrual manipulation. In the present panel, the Cap indicator is time-invariant within firms even though named CEOs change in some observations. The variable therefore behaves more like a firm-level classification than a fully responsive CEO-year characteristic. The null finding should consequently not be treated as a decisive test of </w:t>
      </w:r>
      <w:hyperlink w:anchor="ref_Wolfe_2004" w:history="1">
        <w:r w:rsidR="009E04F9">
          <w:rPr>
            <w:szCs w:val="24"/>
          </w:rPr>
          <w:t>Wolfe and Hermanson's</w:t>
        </w:r>
      </w:hyperlink>
      <w:r>
        <w:t xml:space="preserve"> capability construct, which is broader than financial education and includes </w:t>
      </w:r>
      <w:proofErr w:type="spellStart"/>
      <w:r>
        <w:t>organisational</w:t>
      </w:r>
      <w:proofErr w:type="spellEnd"/>
      <w:r>
        <w:t xml:space="preserve"> position, confidence, coercive capacity and the ability to conceal misconduct.</w:t>
      </w:r>
    </w:p>
    <w:p w14:paraId="5D18D69B" w14:textId="77777777" w:rsidR="009E04F9" w:rsidRDefault="00000000">
      <w:pPr>
        <w:spacing w:before="80"/>
      </w:pPr>
      <w:r>
        <w:rPr>
          <w:b/>
        </w:rPr>
        <w:t>5.5 Theoretical and methodological implications</w:t>
      </w:r>
    </w:p>
    <w:p w14:paraId="1CEDEE40" w14:textId="77777777" w:rsidR="009E04F9" w:rsidRDefault="00000000">
      <w:pPr>
        <w:jc w:val="both"/>
      </w:pPr>
      <w:r>
        <w:lastRenderedPageBreak/>
        <w:t xml:space="preserve">The evidence refines rather than simply validates Fraud Diamond Theory. The four theoretical dimensions do not exhibit equal empirical content when translated into archival proxies. Pressure and auditor-environment indicators are informative contemporaneously; formal governance and managerial ownership are weaker; and the available capability proxy is uninformative. This pattern cautions against treating the Fraud Diamond as a checklist in which any accounting proxy is presumed to measure the corresponding psychological construct. Archival variables are risk indicators, not direct observations of pressure, </w:t>
      </w:r>
      <w:proofErr w:type="spellStart"/>
      <w:r>
        <w:t>rationalisation</w:t>
      </w:r>
      <w:proofErr w:type="spellEnd"/>
      <w:r>
        <w:t xml:space="preserve"> or capability.</w:t>
      </w:r>
    </w:p>
    <w:p w14:paraId="6ED9BCFA" w14:textId="77777777" w:rsidR="009E04F9" w:rsidRDefault="00000000">
      <w:pPr>
        <w:jc w:val="both"/>
      </w:pPr>
      <w:r>
        <w:t>A further contribution lies in the study's longitudinal empirical design. The contrast between the contemporaneous and lagged estimates shows that statistical association in the reporting year should not automatically be interpreted as forward predictive power. Asset growth and auditor change are informative contemporaneous signals, but neither retains significance when measured one year earlier. This distinction between detection and prediction is important for Fraud Diamond research and for regulators or auditors seeking to use archival indicators as early-warning tools.</w:t>
      </w:r>
    </w:p>
    <w:p w14:paraId="3233B7B6" w14:textId="77777777" w:rsidR="009E04F9" w:rsidRDefault="00000000">
      <w:pPr>
        <w:jc w:val="both"/>
      </w:pPr>
      <w:r>
        <w:t>Finally, the difference between contemporaneous and lagged results highlights a distinction between detection and prediction. A variable can be useful for identifying firm-years that warrant immediate scrutiny without reliably predicting manipulation a year later. Fraud-screening research should therefore be explicit about the temporal objective of a model and should not infer predictive capacity from same-period statistical significance.</w:t>
      </w:r>
    </w:p>
    <w:p w14:paraId="051B8262" w14:textId="77777777" w:rsidR="009E04F9" w:rsidRDefault="00000000">
      <w:pPr>
        <w:spacing w:before="80"/>
      </w:pPr>
      <w:r>
        <w:rPr>
          <w:b/>
        </w:rPr>
        <w:t>5.6 Practical implications</w:t>
      </w:r>
    </w:p>
    <w:p w14:paraId="0B65A519" w14:textId="77777777" w:rsidR="009E04F9" w:rsidRDefault="00000000">
      <w:pPr>
        <w:jc w:val="both"/>
      </w:pPr>
      <w:r>
        <w:t>For the Financial Reporting Council of Nigeria, the Securities and Exchange Commission, the NGX, audit committees and external auditors, the results support a risk-based rather than deterministic use of red flags. Unusually rapid asset growth and contemporaneous auditor changes may justify enhanced analytical review, particularly when they occur together with other unusual financial-statement relationships. Neither variable should be treated as proof of manipulation. The AUC of 0.703 confirms that the model has moderate discrimination but is not sufficiently accurate to function as a stand-alone enforcement or audit decision rule.</w:t>
      </w:r>
    </w:p>
    <w:p w14:paraId="557B6C19" w14:textId="77777777" w:rsidR="009E04F9" w:rsidRDefault="00000000">
      <w:pPr>
        <w:jc w:val="both"/>
      </w:pPr>
      <w:r>
        <w:t xml:space="preserve">Boards should also focus on the substance of monitoring rather than numerical independence alone. The weak negative board effect suggests potential benefits from stronger monitoring, but the evidence does not justify the claim that increasing the proportion of independent directors mechanically reduces manipulation. Director expertise, attendance, committee activity, access to information and willingness to challenge management are likely to </w:t>
      </w:r>
      <w:r>
        <w:lastRenderedPageBreak/>
        <w:t>determine whether formal independence translates into effective oversight. Similarly, the study provides no empirical basis for recommending higher managerial ownership or treating CEO financial expertise as inherently risky.</w:t>
      </w:r>
    </w:p>
    <w:p w14:paraId="7AEEE7E0" w14:textId="77777777" w:rsidR="009E04F9" w:rsidRDefault="00000000">
      <w:pPr>
        <w:spacing w:before="120"/>
        <w:jc w:val="both"/>
      </w:pPr>
      <w:r>
        <w:rPr>
          <w:b/>
        </w:rPr>
        <w:t>6. Conclusion</w:t>
      </w:r>
    </w:p>
    <w:p w14:paraId="3A4272B0" w14:textId="77777777" w:rsidR="009E04F9" w:rsidRDefault="00000000">
      <w:pPr>
        <w:jc w:val="both"/>
      </w:pPr>
      <w:r>
        <w:t xml:space="preserve">This study examines the determinants of financial shenanigans among listed Nigerian manufacturing companies using Fraud Diamond Theory and panel-data methods. Based on 340 firm-year observations from 40 firms over 2014–2022, the population-averaged GEE results show that asset growth and auditor change are positively associated with contemporaneous </w:t>
      </w:r>
      <w:proofErr w:type="spellStart"/>
      <w:r>
        <w:t>Beneish</w:t>
      </w:r>
      <w:proofErr w:type="spellEnd"/>
      <w:r>
        <w:t xml:space="preserve"> manipulation flags, while board independence provides weaker negative evidence. Managerial ownership and CEO financial expertise do not display statistically significant associations.</w:t>
      </w:r>
    </w:p>
    <w:p w14:paraId="22369C96" w14:textId="77777777" w:rsidR="009E04F9" w:rsidRDefault="00000000">
      <w:pPr>
        <w:jc w:val="both"/>
      </w:pPr>
      <w:r>
        <w:t>The temporal robustness tests substantially qualify these results. None of the five Fraud Diamond indicators predicts the manipulation flag reliably one year ahead, and conditional firm fixed-effects estimates similarly provide little support for persistent within-firm effects. The most defensible conclusion is therefore not that asset growth and auditor change "cause" financial shenanigans, but that they operate as contemporaneous signals that can help identify firm-years requiring closer scrutiny. This distinction between detection and prediction is central to the study's contribution.</w:t>
      </w:r>
    </w:p>
    <w:p w14:paraId="2421E762" w14:textId="77777777" w:rsidR="009E04F9" w:rsidRDefault="00000000">
      <w:pPr>
        <w:jc w:val="both"/>
      </w:pPr>
      <w:r>
        <w:t>The study contributes to the emerging-market fraud literature in three ways. It provides multi-year evidence on financial shenanigans in Nigeria's listed manufacturing sector; it shows that observable Fraud Diamond indicators differ materially in their empirical informativeness; and it demonstrates that contemporaneous warning signals do not necessarily translate into one-year-ahead predictive effects. These findings support a more discriminating use of Fraud Diamond indicators in archival research and practical financial-reporting surveillance.</w:t>
      </w:r>
    </w:p>
    <w:p w14:paraId="43B6599E" w14:textId="77777777" w:rsidR="009E04F9" w:rsidRDefault="00000000">
      <w:pPr>
        <w:spacing w:before="80"/>
      </w:pPr>
      <w:r>
        <w:rPr>
          <w:b/>
        </w:rPr>
        <w:t>6.1 Limitations and directions for future research</w:t>
      </w:r>
    </w:p>
    <w:p w14:paraId="4598D305" w14:textId="77777777" w:rsidR="009E04F9" w:rsidRDefault="00000000">
      <w:pPr>
        <w:jc w:val="both"/>
      </w:pPr>
      <w:r>
        <w:t xml:space="preserve">Several limitations should frame interpretation. First, the </w:t>
      </w:r>
      <w:proofErr w:type="spellStart"/>
      <w:r>
        <w:t>Beneish</w:t>
      </w:r>
      <w:proofErr w:type="spellEnd"/>
      <w:r>
        <w:t xml:space="preserve"> M-Score is a probabilistic screening tool developed in a different institutional setting and can generate both false positives and false negatives. The weak overlap between the </w:t>
      </w:r>
      <w:proofErr w:type="spellStart"/>
      <w:r>
        <w:t>Beneish</w:t>
      </w:r>
      <w:proofErr w:type="spellEnd"/>
      <w:r>
        <w:t xml:space="preserve"> flag and the small number of reported restatements in this dataset reinforces that limitation. Second, the study is restricted to listed manufacturing firms and 40 firm clusters, limiting </w:t>
      </w:r>
      <w:proofErr w:type="spellStart"/>
      <w:r>
        <w:t>generalisability</w:t>
      </w:r>
      <w:proofErr w:type="spellEnd"/>
      <w:r>
        <w:t xml:space="preserve"> and statistical power. Third, some Fraud Diamond constructs are represented by imperfect archival proxies. Auditor change is not a direct measure of </w:t>
      </w:r>
      <w:proofErr w:type="spellStart"/>
      <w:r>
        <w:t>rationalisation</w:t>
      </w:r>
      <w:proofErr w:type="spellEnd"/>
      <w:r>
        <w:t xml:space="preserve">, and CEO financial expertise is substantially narrower than the capability construct. The absence of within-firm </w:t>
      </w:r>
      <w:r>
        <w:lastRenderedPageBreak/>
        <w:t>variation in the Cap variable further limits inference. Fourth, the study remains observational; year effects, lagging and firm fixed effects reduce but do not eliminate omitted-variable or reverse-causality concerns.</w:t>
      </w:r>
    </w:p>
    <w:p w14:paraId="12E451BE" w14:textId="77777777" w:rsidR="009E04F9" w:rsidRDefault="00000000">
      <w:pPr>
        <w:jc w:val="both"/>
      </w:pPr>
      <w:r>
        <w:t>Future research should validate manipulation screens against Nigerian enforcement actions, qualified audit findings, restatements classified by cause, and other externally verified reporting events. Richer measures of executive capability, audit-committee expertise, board activity, internal-control quality and ownership concentration would improve construct validity. Nonlinear ownership effects, interactions among Fraud Diamond dimensions and multi-market African samples also warrant investigation. Where sufficient verified events can be assembled, out-of-sample prediction and calibration should replace in-sample significance as the principal standard for evaluating fraud-detection performance.</w:t>
      </w:r>
    </w:p>
    <w:p w14:paraId="5A38DCD3" w14:textId="77777777" w:rsidR="00387F9C" w:rsidRPr="00387F9C" w:rsidRDefault="00387F9C" w:rsidP="00387F9C">
      <w:pPr>
        <w:spacing w:line="240" w:lineRule="auto"/>
        <w:rPr>
          <w:rFonts w:ascii="Arial" w:eastAsia="Calibri" w:hAnsi="Arial" w:cs="Arial"/>
          <w:b/>
          <w:sz w:val="20"/>
          <w:szCs w:val="20"/>
        </w:rPr>
      </w:pPr>
      <w:bookmarkStart w:id="0" w:name="_Hlk238550938"/>
      <w:bookmarkStart w:id="1" w:name="_Hlk237856463"/>
      <w:r w:rsidRPr="00387F9C">
        <w:rPr>
          <w:rFonts w:ascii="Arial" w:eastAsia="Calibri" w:hAnsi="Arial" w:cs="Arial"/>
          <w:b/>
          <w:sz w:val="20"/>
          <w:szCs w:val="20"/>
        </w:rPr>
        <w:t>Declaration of AI Use</w:t>
      </w:r>
    </w:p>
    <w:p w14:paraId="527C81DD" w14:textId="77777777" w:rsidR="00387F9C" w:rsidRPr="00387F9C" w:rsidRDefault="00387F9C" w:rsidP="00387F9C">
      <w:pPr>
        <w:spacing w:line="240" w:lineRule="auto"/>
        <w:rPr>
          <w:rFonts w:ascii="Arial" w:eastAsia="Calibri" w:hAnsi="Arial" w:cs="Arial"/>
          <w:sz w:val="20"/>
          <w:szCs w:val="20"/>
        </w:rPr>
      </w:pPr>
      <w:bookmarkStart w:id="2" w:name="_Hlk239068730"/>
    </w:p>
    <w:p w14:paraId="0D8ED4C1" w14:textId="77777777" w:rsidR="00387F9C" w:rsidRPr="00387F9C" w:rsidRDefault="00387F9C" w:rsidP="00387F9C">
      <w:pPr>
        <w:spacing w:line="240" w:lineRule="auto"/>
        <w:rPr>
          <w:rFonts w:ascii="Arial" w:eastAsia="Calibri" w:hAnsi="Arial" w:cs="Arial"/>
          <w:sz w:val="20"/>
          <w:szCs w:val="20"/>
        </w:rPr>
      </w:pPr>
      <w:bookmarkStart w:id="3" w:name="_Hlk237862032"/>
      <w:r w:rsidRPr="00387F9C">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387F9C">
        <w:rPr>
          <w:rFonts w:ascii="Arial" w:eastAsia="Calibri" w:hAnsi="Arial" w:cs="Arial"/>
          <w:sz w:val="20"/>
          <w:szCs w:val="20"/>
        </w:rPr>
        <w:t>.</w:t>
      </w:r>
    </w:p>
    <w:bookmarkEnd w:id="1"/>
    <w:bookmarkEnd w:id="2"/>
    <w:bookmarkEnd w:id="3"/>
    <w:p w14:paraId="0BBC34F3" w14:textId="77777777" w:rsidR="00387F9C" w:rsidRDefault="00387F9C">
      <w:pPr>
        <w:jc w:val="both"/>
      </w:pPr>
    </w:p>
    <w:p w14:paraId="21952D1D" w14:textId="77777777" w:rsidR="009E04F9" w:rsidRDefault="00000000">
      <w:pPr>
        <w:spacing w:before="120"/>
      </w:pPr>
      <w:r>
        <w:rPr>
          <w:b/>
        </w:rPr>
        <w:t>References</w:t>
      </w:r>
    </w:p>
    <w:p w14:paraId="72F07FFB" w14:textId="77777777" w:rsidR="009E04F9" w:rsidRDefault="00000000">
      <w:pPr>
        <w:ind w:left="720" w:hanging="720"/>
      </w:pPr>
      <w:bookmarkStart w:id="4" w:name="ref_Abbott_2004"/>
      <w:r>
        <w:t xml:space="preserve">Abbott, L. J., Parker, S., &amp; Peters, G. F. (2004). Audit committee characteristics and restatements. </w:t>
      </w:r>
      <w:r>
        <w:rPr>
          <w:i/>
        </w:rPr>
        <w:t>Auditing: A Journal of Practice &amp; Theory, 23</w:t>
      </w:r>
      <w:r>
        <w:t xml:space="preserve">(1), 69–87. </w:t>
      </w:r>
      <w:hyperlink r:id="rId9">
        <w:r w:rsidR="009E04F9">
          <w:rPr>
            <w:szCs w:val="24"/>
          </w:rPr>
          <w:t>https://doi.org/10.2308/aud.2004.23.1.69</w:t>
        </w:r>
      </w:hyperlink>
      <w:bookmarkEnd w:id="4"/>
    </w:p>
    <w:p w14:paraId="0F6AC735" w14:textId="77777777" w:rsidR="009E04F9" w:rsidRDefault="00000000">
      <w:pPr>
        <w:ind w:left="720" w:hanging="720"/>
      </w:pPr>
      <w:bookmarkStart w:id="5" w:name="ref_Beasley_1996"/>
      <w:r>
        <w:t xml:space="preserve">Beasley, M. S. (1996). An empirical analysis of the relation between the board of director composition and financial statement fraud. </w:t>
      </w:r>
      <w:r>
        <w:rPr>
          <w:i/>
        </w:rPr>
        <w:t>The Accounting Review, 71</w:t>
      </w:r>
      <w:r>
        <w:t>(4), 443–465.</w:t>
      </w:r>
      <w:bookmarkEnd w:id="5"/>
    </w:p>
    <w:p w14:paraId="0E68FC05" w14:textId="77777777" w:rsidR="009E04F9" w:rsidRDefault="00000000">
      <w:pPr>
        <w:ind w:left="720" w:hanging="720"/>
      </w:pPr>
      <w:bookmarkStart w:id="6" w:name="ref_Beasley_2000"/>
      <w:r>
        <w:t xml:space="preserve">Beasley, M. S., </w:t>
      </w:r>
      <w:proofErr w:type="spellStart"/>
      <w:r>
        <w:t>Carcello</w:t>
      </w:r>
      <w:proofErr w:type="spellEnd"/>
      <w:r>
        <w:t xml:space="preserve">, J. V., Hermanson, D. R., &amp; Lapides, P. D. (2000). Fraudulent financial reporting: Consideration of industry traits and corporate governance mechanisms. </w:t>
      </w:r>
      <w:r>
        <w:rPr>
          <w:i/>
        </w:rPr>
        <w:t>Accounting Horizons, 14</w:t>
      </w:r>
      <w:r>
        <w:t xml:space="preserve">(4), 441–454. </w:t>
      </w:r>
      <w:hyperlink r:id="rId10">
        <w:r w:rsidR="009E04F9">
          <w:rPr>
            <w:szCs w:val="24"/>
          </w:rPr>
          <w:t>https://doi.org/10.2308/acch.2000.14.4.441</w:t>
        </w:r>
      </w:hyperlink>
      <w:bookmarkEnd w:id="6"/>
    </w:p>
    <w:p w14:paraId="6C991565" w14:textId="77777777" w:rsidR="009E04F9" w:rsidRDefault="00000000">
      <w:pPr>
        <w:ind w:left="720" w:hanging="720"/>
      </w:pPr>
      <w:bookmarkStart w:id="7" w:name="ref_Becker_1998"/>
      <w:r>
        <w:t xml:space="preserve">Becker, C. L., </w:t>
      </w:r>
      <w:proofErr w:type="spellStart"/>
      <w:r>
        <w:t>DeFond</w:t>
      </w:r>
      <w:proofErr w:type="spellEnd"/>
      <w:r>
        <w:t xml:space="preserve">, M. L., </w:t>
      </w:r>
      <w:proofErr w:type="spellStart"/>
      <w:r>
        <w:t>Jiambalvo</w:t>
      </w:r>
      <w:proofErr w:type="spellEnd"/>
      <w:r>
        <w:t xml:space="preserve">, J., &amp; Subramanyam, K. R. (1998). The effect of audit quality on earnings management. </w:t>
      </w:r>
      <w:r>
        <w:rPr>
          <w:i/>
        </w:rPr>
        <w:t>Contemporary Accounting Research, 15</w:t>
      </w:r>
      <w:r>
        <w:t xml:space="preserve">(1), 1–24. </w:t>
      </w:r>
      <w:hyperlink r:id="rId11">
        <w:r w:rsidR="009E04F9">
          <w:rPr>
            <w:szCs w:val="24"/>
          </w:rPr>
          <w:t>https://doi.org/10.1111/j.1911-3846.1998.tb00547.x</w:t>
        </w:r>
      </w:hyperlink>
      <w:bookmarkEnd w:id="7"/>
    </w:p>
    <w:p w14:paraId="47D6ABC4" w14:textId="77777777" w:rsidR="009E04F9" w:rsidRDefault="00000000">
      <w:pPr>
        <w:ind w:left="720" w:hanging="720"/>
      </w:pPr>
      <w:bookmarkStart w:id="8" w:name="ref_Beneish_1999"/>
      <w:proofErr w:type="spellStart"/>
      <w:r>
        <w:t>Beneish</w:t>
      </w:r>
      <w:proofErr w:type="spellEnd"/>
      <w:r>
        <w:t xml:space="preserve">, M. D. (1999). The detection of earnings manipulation. </w:t>
      </w:r>
      <w:r>
        <w:rPr>
          <w:i/>
        </w:rPr>
        <w:t>Financial Analysts Journal, 55</w:t>
      </w:r>
      <w:r>
        <w:t xml:space="preserve">(5), 24–36. </w:t>
      </w:r>
      <w:hyperlink r:id="rId12">
        <w:r w:rsidR="009E04F9">
          <w:rPr>
            <w:szCs w:val="24"/>
          </w:rPr>
          <w:t>https://doi.org/10.2469/faj.v55.n5.2296</w:t>
        </w:r>
      </w:hyperlink>
      <w:bookmarkEnd w:id="8"/>
    </w:p>
    <w:p w14:paraId="11886396" w14:textId="77777777" w:rsidR="009E04F9" w:rsidRDefault="00000000">
      <w:pPr>
        <w:ind w:left="720" w:hanging="720"/>
      </w:pPr>
      <w:bookmarkStart w:id="9" w:name="ref_Brazel_2009"/>
      <w:r>
        <w:lastRenderedPageBreak/>
        <w:t xml:space="preserve">Brazel, J. F., Jones, K. L., &amp; Zimbelman, M. F. (2009). Using nonfinancial measures to assess fraud risk. </w:t>
      </w:r>
      <w:r>
        <w:rPr>
          <w:i/>
        </w:rPr>
        <w:t>Journal of Accounting Research, 47</w:t>
      </w:r>
      <w:r>
        <w:t xml:space="preserve">(5), 1135–1166. </w:t>
      </w:r>
      <w:hyperlink r:id="rId13">
        <w:r w:rsidR="009E04F9">
          <w:rPr>
            <w:szCs w:val="24"/>
          </w:rPr>
          <w:t>https://doi.org/10.1111/j.1475-679X.2009.00349.x</w:t>
        </w:r>
      </w:hyperlink>
      <w:bookmarkEnd w:id="9"/>
    </w:p>
    <w:p w14:paraId="38611BC1" w14:textId="77777777" w:rsidR="009E04F9" w:rsidRDefault="00000000">
      <w:pPr>
        <w:ind w:left="720" w:hanging="720"/>
      </w:pPr>
      <w:bookmarkStart w:id="10" w:name="ref_Burns_2006"/>
      <w:r>
        <w:t xml:space="preserve">Burns, N., &amp; Kedia, S. (2006). The impact of performance-based compensation on misreporting. </w:t>
      </w:r>
      <w:r>
        <w:rPr>
          <w:i/>
        </w:rPr>
        <w:t>Journal of Financial Economics, 79</w:t>
      </w:r>
      <w:r>
        <w:t xml:space="preserve">(1), 35–67. </w:t>
      </w:r>
      <w:hyperlink r:id="rId14">
        <w:r w:rsidR="009E04F9">
          <w:rPr>
            <w:szCs w:val="24"/>
          </w:rPr>
          <w:t>https://doi.org/10.1016/j.jfineco.2004.12.003</w:t>
        </w:r>
      </w:hyperlink>
      <w:bookmarkEnd w:id="10"/>
    </w:p>
    <w:p w14:paraId="00727FAD" w14:textId="77777777" w:rsidR="009E04F9" w:rsidRDefault="00000000">
      <w:pPr>
        <w:ind w:left="720" w:hanging="720"/>
      </w:pPr>
      <w:bookmarkStart w:id="11" w:name="ref_Cameron_2015"/>
      <w:r>
        <w:t xml:space="preserve">Cameron, A. C., &amp; Miller, D. L. (2015). A practitioner's guide to cluster-robust inference. </w:t>
      </w:r>
      <w:r>
        <w:rPr>
          <w:i/>
        </w:rPr>
        <w:t>Journal of Human Resources, 50</w:t>
      </w:r>
      <w:r>
        <w:t xml:space="preserve">(2), 317–372. </w:t>
      </w:r>
      <w:hyperlink r:id="rId15">
        <w:r w:rsidR="009E04F9">
          <w:rPr>
            <w:szCs w:val="24"/>
          </w:rPr>
          <w:t>https://doi.org/10.3368/jhr.50.2.317</w:t>
        </w:r>
      </w:hyperlink>
      <w:bookmarkEnd w:id="11"/>
    </w:p>
    <w:p w14:paraId="4398CB0B" w14:textId="77777777" w:rsidR="009E04F9" w:rsidRDefault="00000000">
      <w:pPr>
        <w:ind w:left="720" w:hanging="720"/>
      </w:pPr>
      <w:bookmarkStart w:id="12" w:name="ref_Carcello_2004"/>
      <w:proofErr w:type="spellStart"/>
      <w:r>
        <w:t>Carcello</w:t>
      </w:r>
      <w:proofErr w:type="spellEnd"/>
      <w:r>
        <w:t xml:space="preserve">, J. V., &amp; Nagy, A. L. (2004). Audit firm tenure and fraudulent financial reporting. </w:t>
      </w:r>
      <w:r>
        <w:rPr>
          <w:i/>
        </w:rPr>
        <w:t>Auditing: A Journal of Practice &amp; Theory, 23</w:t>
      </w:r>
      <w:r>
        <w:t xml:space="preserve">(2), 55–69. </w:t>
      </w:r>
      <w:hyperlink r:id="rId16">
        <w:r w:rsidR="009E04F9">
          <w:rPr>
            <w:szCs w:val="24"/>
          </w:rPr>
          <w:t>https://doi.org/10.2308/aud.2004.23.2.55</w:t>
        </w:r>
      </w:hyperlink>
      <w:bookmarkEnd w:id="12"/>
    </w:p>
    <w:p w14:paraId="57B22B81" w14:textId="77777777" w:rsidR="009E04F9" w:rsidRDefault="00000000">
      <w:pPr>
        <w:ind w:left="720" w:hanging="720"/>
      </w:pPr>
      <w:bookmarkStart w:id="13" w:name="ref_Chamberlain_1980"/>
      <w:r>
        <w:t xml:space="preserve">Chamberlain, G. (1980). Analysis of covariance with qualitative data. </w:t>
      </w:r>
      <w:r>
        <w:rPr>
          <w:i/>
        </w:rPr>
        <w:t>The Review of Economic Studies, 47</w:t>
      </w:r>
      <w:r>
        <w:t xml:space="preserve">(1), 225–238. </w:t>
      </w:r>
      <w:hyperlink r:id="rId17">
        <w:r w:rsidR="009E04F9">
          <w:rPr>
            <w:szCs w:val="24"/>
          </w:rPr>
          <w:t>https://doi.org/10.2307/2297110</w:t>
        </w:r>
      </w:hyperlink>
      <w:bookmarkEnd w:id="13"/>
    </w:p>
    <w:p w14:paraId="693BD63E" w14:textId="77777777" w:rsidR="009E04F9" w:rsidRDefault="00000000">
      <w:pPr>
        <w:ind w:left="720" w:hanging="720"/>
      </w:pPr>
      <w:bookmarkStart w:id="14" w:name="ref_Cressey_1953"/>
      <w:r>
        <w:t xml:space="preserve">Cressey, D. R. (1953). </w:t>
      </w:r>
      <w:r>
        <w:rPr>
          <w:i/>
        </w:rPr>
        <w:t xml:space="preserve">Other people's money: A study in the social psychology of embezzlement. </w:t>
      </w:r>
      <w:r>
        <w:t>Free Press.</w:t>
      </w:r>
      <w:bookmarkEnd w:id="14"/>
    </w:p>
    <w:p w14:paraId="3796F552" w14:textId="77777777" w:rsidR="009E04F9" w:rsidRDefault="00000000">
      <w:pPr>
        <w:ind w:left="720" w:hanging="720"/>
      </w:pPr>
      <w:bookmarkStart w:id="15" w:name="ref_Dechow_2011"/>
      <w:r>
        <w:t xml:space="preserve">Dechow, P. M., Ge, W., Larson, C. R., &amp; Sloan, R. G. (2011). Predicting material accounting misstatements. </w:t>
      </w:r>
      <w:r>
        <w:rPr>
          <w:i/>
        </w:rPr>
        <w:t>Contemporary Accounting Research, 28</w:t>
      </w:r>
      <w:r>
        <w:t xml:space="preserve">(1), 17–82. </w:t>
      </w:r>
      <w:hyperlink r:id="rId18">
        <w:r w:rsidR="009E04F9">
          <w:rPr>
            <w:szCs w:val="24"/>
          </w:rPr>
          <w:t>https://doi.org/10.1111/j.1911-3846.2010.01041.x</w:t>
        </w:r>
      </w:hyperlink>
      <w:bookmarkEnd w:id="15"/>
    </w:p>
    <w:p w14:paraId="354E1ABD" w14:textId="77777777" w:rsidR="009E04F9" w:rsidRDefault="00000000">
      <w:pPr>
        <w:ind w:left="720" w:hanging="720"/>
      </w:pPr>
      <w:bookmarkStart w:id="16" w:name="ref_Dechow_1995"/>
      <w:r>
        <w:t xml:space="preserve">Dechow, P. M., Sloan, R. G., &amp; Sweeney, A. P. (1995). Detecting earnings management. </w:t>
      </w:r>
      <w:r>
        <w:rPr>
          <w:i/>
        </w:rPr>
        <w:t>The Accounting Review, 70</w:t>
      </w:r>
      <w:r>
        <w:t>(2), 193–225.</w:t>
      </w:r>
      <w:bookmarkEnd w:id="16"/>
    </w:p>
    <w:p w14:paraId="1064973C" w14:textId="77777777" w:rsidR="009E04F9" w:rsidRDefault="00000000">
      <w:pPr>
        <w:ind w:left="720" w:hanging="720"/>
      </w:pPr>
      <w:bookmarkStart w:id="17" w:name="ref_DeFond_1998"/>
      <w:proofErr w:type="spellStart"/>
      <w:r>
        <w:t>DeFond</w:t>
      </w:r>
      <w:proofErr w:type="spellEnd"/>
      <w:r>
        <w:t xml:space="preserve">, M. L., &amp; Subramanyam, K. R. (1998). Auditor changes and discretionary accruals. </w:t>
      </w:r>
      <w:r>
        <w:rPr>
          <w:i/>
        </w:rPr>
        <w:t>Journal of Accounting and Economics, 25</w:t>
      </w:r>
      <w:r>
        <w:t xml:space="preserve">(1), 35–67. </w:t>
      </w:r>
      <w:hyperlink r:id="rId19">
        <w:r w:rsidR="009E04F9">
          <w:rPr>
            <w:szCs w:val="24"/>
          </w:rPr>
          <w:t>https://doi.org/10.1016/S0165-4101(98)00018-4</w:t>
        </w:r>
      </w:hyperlink>
      <w:bookmarkEnd w:id="17"/>
    </w:p>
    <w:p w14:paraId="7E0A92B7" w14:textId="77777777" w:rsidR="009E04F9" w:rsidRDefault="00000000">
      <w:pPr>
        <w:ind w:left="720" w:hanging="720"/>
      </w:pPr>
      <w:bookmarkStart w:id="18" w:name="ref_Donelson_2017"/>
      <w:r>
        <w:t xml:space="preserve">Donelson, D. C., Ege, M., &amp; McInnis, J. M. (2017). Internal control weaknesses and financial reporting fraud. </w:t>
      </w:r>
      <w:r>
        <w:rPr>
          <w:i/>
        </w:rPr>
        <w:t>Auditing: A Journal of Practice &amp; Theory, 36</w:t>
      </w:r>
      <w:r>
        <w:t xml:space="preserve">(3), 45–69. </w:t>
      </w:r>
      <w:hyperlink r:id="rId20">
        <w:r w:rsidR="009E04F9">
          <w:rPr>
            <w:szCs w:val="24"/>
          </w:rPr>
          <w:t>https://doi.org/10.2308/ajpt-51608</w:t>
        </w:r>
      </w:hyperlink>
      <w:bookmarkEnd w:id="18"/>
    </w:p>
    <w:p w14:paraId="76AB5FFA" w14:textId="77777777" w:rsidR="009E04F9" w:rsidRDefault="00000000">
      <w:pPr>
        <w:ind w:left="720" w:hanging="720"/>
      </w:pPr>
      <w:bookmarkStart w:id="19" w:name="ref_Efendi_2007"/>
      <w:r>
        <w:t xml:space="preserve">Efendi, J., Srivastava, A., &amp; Swanson, E. P. (2007). Why do corporate managers misstate financial statements? The role of option compensation and other factors. </w:t>
      </w:r>
      <w:r>
        <w:rPr>
          <w:i/>
        </w:rPr>
        <w:t>Journal of Financial Economics, 85</w:t>
      </w:r>
      <w:r>
        <w:t xml:space="preserve">(3), 667–708. </w:t>
      </w:r>
      <w:hyperlink r:id="rId21">
        <w:r w:rsidR="009E04F9">
          <w:rPr>
            <w:szCs w:val="24"/>
          </w:rPr>
          <w:t>https://doi.org/10.1016/j.jfineco.2006.05.009</w:t>
        </w:r>
      </w:hyperlink>
      <w:bookmarkEnd w:id="19"/>
    </w:p>
    <w:p w14:paraId="278DF06F" w14:textId="77777777" w:rsidR="009E04F9" w:rsidRDefault="00000000">
      <w:pPr>
        <w:ind w:left="720" w:hanging="720"/>
      </w:pPr>
      <w:bookmarkStart w:id="20" w:name="ref_Fan_2002"/>
      <w:r>
        <w:t xml:space="preserve">Fan, J. P. H., &amp; Wong, T. J. (2002). Corporate ownership structure and the informativeness of accounting earnings in East Asia. </w:t>
      </w:r>
      <w:r>
        <w:rPr>
          <w:i/>
        </w:rPr>
        <w:t>Journal of Accounting and Economics, 33</w:t>
      </w:r>
      <w:r>
        <w:t xml:space="preserve">(3), 401–425. </w:t>
      </w:r>
      <w:hyperlink r:id="rId22">
        <w:r w:rsidR="009E04F9">
          <w:rPr>
            <w:szCs w:val="24"/>
          </w:rPr>
          <w:t>https://doi.org/10.1016/S0165-4101(02)00047-2</w:t>
        </w:r>
      </w:hyperlink>
      <w:bookmarkEnd w:id="20"/>
    </w:p>
    <w:p w14:paraId="0B4D9A7C" w14:textId="77777777" w:rsidR="009E04F9" w:rsidRDefault="00000000">
      <w:pPr>
        <w:ind w:left="720" w:hanging="720"/>
      </w:pPr>
      <w:bookmarkStart w:id="21" w:name="ref_Farber_2005"/>
      <w:r>
        <w:t xml:space="preserve">Farber, D. B. (2005). Restoring trust after fraud: Does corporate governance matter? The Accounting Review, 80(2), 539–561. </w:t>
      </w:r>
      <w:hyperlink r:id="rId23">
        <w:r w:rsidR="009E04F9">
          <w:rPr>
            <w:szCs w:val="24"/>
          </w:rPr>
          <w:t>https://doi.org/10.2308/accr.2005.80.2.539</w:t>
        </w:r>
      </w:hyperlink>
      <w:bookmarkEnd w:id="21"/>
    </w:p>
    <w:p w14:paraId="3B2C3774" w14:textId="77777777" w:rsidR="009E04F9" w:rsidRDefault="00000000">
      <w:pPr>
        <w:ind w:left="720" w:hanging="720"/>
      </w:pPr>
      <w:bookmarkStart w:id="22" w:name="ref_Feng_2011"/>
      <w:r>
        <w:lastRenderedPageBreak/>
        <w:t xml:space="preserve">Feng, M., Ge, W., Luo, S., &amp; Shevlin, T. (2011). Why do CFOs become involved in material accounting manipulations? Journal of Accounting and Economics, 51(1–2), 21–36. </w:t>
      </w:r>
      <w:hyperlink r:id="rId24">
        <w:r w:rsidR="009E04F9">
          <w:rPr>
            <w:szCs w:val="24"/>
          </w:rPr>
          <w:t>https://doi.org/10.1016/j.jacceco.2010.09.005</w:t>
        </w:r>
      </w:hyperlink>
      <w:bookmarkEnd w:id="22"/>
    </w:p>
    <w:p w14:paraId="2A581DA8" w14:textId="77777777" w:rsidR="009E04F9" w:rsidRDefault="00000000">
      <w:pPr>
        <w:ind w:left="720" w:hanging="720"/>
      </w:pPr>
      <w:bookmarkStart w:id="23" w:name="ref_FRCN_2018"/>
      <w:r>
        <w:t xml:space="preserve">Financial Reporting Council of Nigeria. (2018). </w:t>
      </w:r>
      <w:r>
        <w:rPr>
          <w:i/>
        </w:rPr>
        <w:t>Nigerian code of corporate governance 2018.</w:t>
      </w:r>
      <w:r>
        <w:t xml:space="preserve"> </w:t>
      </w:r>
      <w:hyperlink r:id="rId25">
        <w:r w:rsidR="009E04F9">
          <w:rPr>
            <w:szCs w:val="24"/>
          </w:rPr>
          <w:t>https://frcnigeria.gov.ng/wp-content/uploads/2025/04/Nigerian-Code-of-Corporate-Governance-2018.pdf</w:t>
        </w:r>
      </w:hyperlink>
      <w:bookmarkEnd w:id="23"/>
    </w:p>
    <w:p w14:paraId="11767892" w14:textId="77777777" w:rsidR="009E04F9" w:rsidRDefault="00000000">
      <w:pPr>
        <w:ind w:left="720" w:hanging="720"/>
      </w:pPr>
      <w:bookmarkStart w:id="24" w:name="ref_Gbadebo_2023"/>
      <w:r>
        <w:t xml:space="preserve">Gbadebo, A. D., Akande, J. O., &amp; Adekunle, A. O. (2023). Financial statements fraud of banks and other financial institutions in Nigeria. </w:t>
      </w:r>
      <w:r>
        <w:rPr>
          <w:i/>
        </w:rPr>
        <w:t>International Journal of Professional Business Review, 8</w:t>
      </w:r>
      <w:r>
        <w:t xml:space="preserve">(9), e03074. </w:t>
      </w:r>
      <w:hyperlink r:id="rId26">
        <w:r w:rsidR="009E04F9">
          <w:rPr>
            <w:szCs w:val="24"/>
          </w:rPr>
          <w:t>https://doi.org/10.26668/businessreview/2023.v8i9.3074</w:t>
        </w:r>
      </w:hyperlink>
      <w:bookmarkEnd w:id="24"/>
    </w:p>
    <w:p w14:paraId="08FC37E8" w14:textId="77777777" w:rsidR="009E04F9" w:rsidRDefault="00000000">
      <w:pPr>
        <w:ind w:left="720" w:hanging="720"/>
      </w:pPr>
      <w:bookmarkStart w:id="25" w:name="ref_Healy_1999"/>
      <w:r>
        <w:t xml:space="preserve">Healy, P. M., &amp; Wahlen, J. M. (1999). A review of the earnings management literature and its implications for standard setting. </w:t>
      </w:r>
      <w:r>
        <w:rPr>
          <w:i/>
        </w:rPr>
        <w:t>Accounting Horizons, 13</w:t>
      </w:r>
      <w:r>
        <w:t xml:space="preserve">(4), 365–383. </w:t>
      </w:r>
      <w:hyperlink r:id="rId27">
        <w:r w:rsidR="009E04F9">
          <w:rPr>
            <w:szCs w:val="24"/>
          </w:rPr>
          <w:t>https://doi.org/10.2308/acch.1999.13.4.365</w:t>
        </w:r>
      </w:hyperlink>
      <w:bookmarkEnd w:id="25"/>
    </w:p>
    <w:p w14:paraId="4EF981F8" w14:textId="77777777" w:rsidR="009E04F9" w:rsidRDefault="00000000">
      <w:pPr>
        <w:ind w:left="720" w:hanging="720"/>
      </w:pPr>
      <w:bookmarkStart w:id="26" w:name="ref_Jiang_2013"/>
      <w:r>
        <w:t xml:space="preserve">Jiang, F., Zhu, B., &amp; Huang, J. (2013). CEO's financial experience and earnings management. </w:t>
      </w:r>
      <w:r>
        <w:rPr>
          <w:i/>
        </w:rPr>
        <w:t>Journal of Multinational Financial Management, 23</w:t>
      </w:r>
      <w:r>
        <w:t xml:space="preserve">(3), 134–145. </w:t>
      </w:r>
      <w:hyperlink r:id="rId28">
        <w:r w:rsidR="009E04F9">
          <w:rPr>
            <w:szCs w:val="24"/>
          </w:rPr>
          <w:t>https://doi.org/10.1016/j.mulfin.2013.03.005</w:t>
        </w:r>
      </w:hyperlink>
      <w:bookmarkEnd w:id="26"/>
    </w:p>
    <w:p w14:paraId="54FBD3E5" w14:textId="77777777" w:rsidR="009E04F9" w:rsidRDefault="00000000">
      <w:pPr>
        <w:ind w:left="720" w:hanging="720"/>
      </w:pPr>
      <w:bookmarkStart w:id="27" w:name="ref_Klein_2002"/>
      <w:r>
        <w:t xml:space="preserve">Klein, A. (2002). Audit committee, board of director characteristics, and earnings management. </w:t>
      </w:r>
      <w:r>
        <w:rPr>
          <w:i/>
        </w:rPr>
        <w:t>Journal of Accounting and Economics, 33</w:t>
      </w:r>
      <w:r>
        <w:t xml:space="preserve">(3), 375–400. </w:t>
      </w:r>
      <w:hyperlink r:id="rId29">
        <w:r w:rsidR="009E04F9">
          <w:rPr>
            <w:szCs w:val="24"/>
          </w:rPr>
          <w:t>https://doi.org/10.1016/S0165-4101(02)00059-9</w:t>
        </w:r>
      </w:hyperlink>
      <w:bookmarkEnd w:id="27"/>
    </w:p>
    <w:p w14:paraId="5BFCD8FF" w14:textId="77777777" w:rsidR="009E04F9" w:rsidRDefault="00000000">
      <w:pPr>
        <w:ind w:left="720" w:hanging="720"/>
      </w:pPr>
      <w:bookmarkStart w:id="28" w:name="ref_Lennox_2000"/>
      <w:r>
        <w:t xml:space="preserve">Lennox, C. S. (2000). Do companies successfully engage in opinion-shopping? Evidence from the UK. </w:t>
      </w:r>
      <w:r>
        <w:rPr>
          <w:i/>
        </w:rPr>
        <w:t>Journal of Accounting and Economics, 29</w:t>
      </w:r>
      <w:r>
        <w:t xml:space="preserve">(3), 321–337. </w:t>
      </w:r>
      <w:hyperlink r:id="rId30">
        <w:r w:rsidR="009E04F9">
          <w:rPr>
            <w:szCs w:val="24"/>
          </w:rPr>
          <w:t>https://doi.org/10.1016/S0165-4101(00)00025-2</w:t>
        </w:r>
      </w:hyperlink>
      <w:bookmarkEnd w:id="28"/>
    </w:p>
    <w:p w14:paraId="0E1DA28E" w14:textId="77777777" w:rsidR="009E04F9" w:rsidRDefault="00000000">
      <w:pPr>
        <w:ind w:left="720" w:hanging="720"/>
      </w:pPr>
      <w:bookmarkStart w:id="29" w:name="ref_Liang_1986"/>
      <w:r>
        <w:t xml:space="preserve">Liang, K.-Y., &amp; Zeger, S. L. (1986). Longitudinal data analysis using generalized linear models. </w:t>
      </w:r>
      <w:proofErr w:type="spellStart"/>
      <w:r>
        <w:rPr>
          <w:i/>
        </w:rPr>
        <w:t>Biometrika</w:t>
      </w:r>
      <w:proofErr w:type="spellEnd"/>
      <w:r>
        <w:rPr>
          <w:i/>
        </w:rPr>
        <w:t>, 73</w:t>
      </w:r>
      <w:r>
        <w:t xml:space="preserve">(1), 13–22. </w:t>
      </w:r>
      <w:hyperlink r:id="rId31">
        <w:r w:rsidR="009E04F9">
          <w:rPr>
            <w:szCs w:val="24"/>
          </w:rPr>
          <w:t>https://doi.org/10.1093/biomet/73.1.13</w:t>
        </w:r>
      </w:hyperlink>
      <w:bookmarkEnd w:id="29"/>
    </w:p>
    <w:p w14:paraId="21F1D4FD" w14:textId="77777777" w:rsidR="009E04F9" w:rsidRDefault="00000000">
      <w:pPr>
        <w:ind w:left="720" w:hanging="720"/>
      </w:pPr>
      <w:bookmarkStart w:id="30" w:name="ref_Mancl_2001"/>
      <w:r>
        <w:t xml:space="preserve">Mancl, L. A., &amp; DeRouen, T. A. (2001). A covariance estimator for GEE with improved small-sample properties. </w:t>
      </w:r>
      <w:r>
        <w:rPr>
          <w:i/>
        </w:rPr>
        <w:t>Biometrics, 57</w:t>
      </w:r>
      <w:r>
        <w:t xml:space="preserve">(1), 126–134. </w:t>
      </w:r>
      <w:hyperlink r:id="rId32">
        <w:r w:rsidR="009E04F9">
          <w:rPr>
            <w:szCs w:val="24"/>
          </w:rPr>
          <w:t>https://doi.org/10.1111/j.0006-341X.2001.00126.x</w:t>
        </w:r>
      </w:hyperlink>
      <w:bookmarkEnd w:id="30"/>
    </w:p>
    <w:p w14:paraId="5584B89D" w14:textId="77777777" w:rsidR="009E04F9" w:rsidRDefault="00000000">
      <w:pPr>
        <w:ind w:left="720" w:hanging="720"/>
      </w:pPr>
      <w:bookmarkStart w:id="31" w:name="ref_Ogbodo_2023"/>
      <w:r>
        <w:t xml:space="preserve">Ogbodo, C. O., </w:t>
      </w:r>
      <w:proofErr w:type="spellStart"/>
      <w:r>
        <w:t>Ogala</w:t>
      </w:r>
      <w:proofErr w:type="spellEnd"/>
      <w:r>
        <w:t xml:space="preserve">, I. I., &amp; </w:t>
      </w:r>
      <w:proofErr w:type="spellStart"/>
      <w:r>
        <w:t>Falope</w:t>
      </w:r>
      <w:proofErr w:type="spellEnd"/>
      <w:r>
        <w:t xml:space="preserve">, F. J. (2023). Foreign and institutional ownership and financial statement fraud among non-financial listed firms on the Nigeria Exchange Group. </w:t>
      </w:r>
      <w:r>
        <w:rPr>
          <w:i/>
        </w:rPr>
        <w:t>Journal of Global Accounting, 9</w:t>
      </w:r>
      <w:r>
        <w:t xml:space="preserve">(4), 101–117. </w:t>
      </w:r>
      <w:hyperlink r:id="rId33">
        <w:r w:rsidR="009E04F9">
          <w:rPr>
            <w:szCs w:val="24"/>
          </w:rPr>
          <w:t>https://journals.unizik.edu.ng/joga/article/view/2901</w:t>
        </w:r>
      </w:hyperlink>
      <w:bookmarkEnd w:id="31"/>
    </w:p>
    <w:p w14:paraId="5FAB3C8B" w14:textId="77777777" w:rsidR="009E04F9" w:rsidRDefault="00000000">
      <w:pPr>
        <w:ind w:left="720" w:hanging="720"/>
      </w:pPr>
      <w:bookmarkStart w:id="32" w:name="ref_Oluwagbade_2023"/>
      <w:proofErr w:type="spellStart"/>
      <w:r>
        <w:t>Oluwagbade</w:t>
      </w:r>
      <w:proofErr w:type="spellEnd"/>
      <w:r>
        <w:t xml:space="preserve">, O. I., </w:t>
      </w:r>
      <w:proofErr w:type="spellStart"/>
      <w:r>
        <w:t>Oshatimi</w:t>
      </w:r>
      <w:proofErr w:type="spellEnd"/>
      <w:r>
        <w:t xml:space="preserve">, O. O., </w:t>
      </w:r>
      <w:proofErr w:type="spellStart"/>
      <w:r>
        <w:t>Omomeji</w:t>
      </w:r>
      <w:proofErr w:type="spellEnd"/>
      <w:r>
        <w:t xml:space="preserve">, J. O., &amp; </w:t>
      </w:r>
      <w:proofErr w:type="spellStart"/>
      <w:r>
        <w:t>Fasanmi</w:t>
      </w:r>
      <w:proofErr w:type="spellEnd"/>
      <w:r>
        <w:t xml:space="preserve">, M. M. (2023). Fraud diamond model and fraudulent financial reporting: Evidence from deposit money </w:t>
      </w:r>
      <w:r>
        <w:lastRenderedPageBreak/>
        <w:t xml:space="preserve">banks in Nigeria. </w:t>
      </w:r>
      <w:r>
        <w:rPr>
          <w:i/>
        </w:rPr>
        <w:t>Journal of Contemporary Issues in Accounting, 4</w:t>
      </w:r>
      <w:r>
        <w:t xml:space="preserve">(1), 142–155. </w:t>
      </w:r>
      <w:hyperlink r:id="rId34">
        <w:r w:rsidR="009E04F9">
          <w:rPr>
            <w:szCs w:val="24"/>
          </w:rPr>
          <w:t>https://journals.unizik.edu.ng/jocia/article/view/2514</w:t>
        </w:r>
      </w:hyperlink>
      <w:bookmarkEnd w:id="32"/>
    </w:p>
    <w:p w14:paraId="473E94B6" w14:textId="77777777" w:rsidR="009E04F9" w:rsidRDefault="00000000">
      <w:pPr>
        <w:ind w:left="720" w:hanging="720"/>
      </w:pPr>
      <w:bookmarkStart w:id="33" w:name="ref_Perols_2011"/>
      <w:proofErr w:type="spellStart"/>
      <w:r>
        <w:t>Perols</w:t>
      </w:r>
      <w:proofErr w:type="spellEnd"/>
      <w:r>
        <w:t xml:space="preserve">, J. L., &amp; Lougee, B. A. (2011). The relation between earnings management and financial statement fraud. </w:t>
      </w:r>
      <w:r>
        <w:rPr>
          <w:i/>
        </w:rPr>
        <w:t>Advances in Accounting, 27</w:t>
      </w:r>
      <w:r>
        <w:t xml:space="preserve">(1), 39–53. </w:t>
      </w:r>
      <w:hyperlink r:id="rId35">
        <w:r w:rsidR="009E04F9">
          <w:rPr>
            <w:szCs w:val="24"/>
          </w:rPr>
          <w:t>https://doi.org/10.1016/j.adiac.2010.10.004</w:t>
        </w:r>
      </w:hyperlink>
      <w:bookmarkEnd w:id="33"/>
    </w:p>
    <w:p w14:paraId="46DBD964" w14:textId="77777777" w:rsidR="009E04F9" w:rsidRDefault="00000000">
      <w:pPr>
        <w:ind w:left="720" w:hanging="720"/>
      </w:pPr>
      <w:bookmarkStart w:id="34" w:name="ref_Petersen_2009"/>
      <w:r>
        <w:t xml:space="preserve">Petersen, M. A. (2009). Estimating standard errors in finance panel data sets: Comparing approaches. </w:t>
      </w:r>
      <w:r>
        <w:rPr>
          <w:i/>
        </w:rPr>
        <w:t>The Review of Financial Studies, 22</w:t>
      </w:r>
      <w:r>
        <w:t xml:space="preserve">(1), 435–480. </w:t>
      </w:r>
      <w:hyperlink r:id="rId36">
        <w:r w:rsidR="009E04F9">
          <w:rPr>
            <w:szCs w:val="24"/>
          </w:rPr>
          <w:t>https://doi.org/10.1093/rfs/hhn053</w:t>
        </w:r>
      </w:hyperlink>
      <w:bookmarkEnd w:id="34"/>
    </w:p>
    <w:p w14:paraId="7B2FB1E8" w14:textId="77777777" w:rsidR="009E04F9" w:rsidRDefault="00000000">
      <w:pPr>
        <w:ind w:left="720" w:hanging="720"/>
      </w:pPr>
      <w:bookmarkStart w:id="35" w:name="ref_Schilit_2018"/>
      <w:r>
        <w:t xml:space="preserve">Schilit, H. M. (2018). </w:t>
      </w:r>
      <w:r>
        <w:rPr>
          <w:i/>
        </w:rPr>
        <w:t xml:space="preserve">Financial shenanigans: How to detect accounting gimmicks and fraud in financial reports (4th ed.). </w:t>
      </w:r>
      <w:r>
        <w:t>McGraw-Hill.</w:t>
      </w:r>
      <w:bookmarkEnd w:id="35"/>
    </w:p>
    <w:p w14:paraId="6FC916A7" w14:textId="77777777" w:rsidR="009E04F9" w:rsidRDefault="00000000">
      <w:pPr>
        <w:ind w:left="720" w:hanging="720"/>
      </w:pPr>
      <w:bookmarkStart w:id="36" w:name="ref_Skousen_2009"/>
      <w:r>
        <w:t xml:space="preserve">Skousen, C. J., Smith, K. R., &amp; Wright, C. J. (2009). Detecting and predicting financial statement fraud: The effectiveness of the fraud triangle and SAS No. </w:t>
      </w:r>
      <w:r>
        <w:rPr>
          <w:i/>
        </w:rPr>
        <w:t>99. Advances in Financial Economics, 13</w:t>
      </w:r>
      <w:r>
        <w:t xml:space="preserve">, 53–81. </w:t>
      </w:r>
      <w:hyperlink r:id="rId37">
        <w:r w:rsidR="009E04F9">
          <w:rPr>
            <w:szCs w:val="24"/>
          </w:rPr>
          <w:t>https://doi.org/10.1108/S1569-3732(2009)0000013005</w:t>
        </w:r>
      </w:hyperlink>
      <w:bookmarkEnd w:id="36"/>
    </w:p>
    <w:p w14:paraId="1076EACC" w14:textId="77777777" w:rsidR="009E04F9" w:rsidRDefault="00000000">
      <w:pPr>
        <w:ind w:left="720" w:hanging="720"/>
      </w:pPr>
      <w:bookmarkStart w:id="37" w:name="ref_Warfield_1995"/>
      <w:r>
        <w:t xml:space="preserve">Warfield, T. D., Wild, J. J., &amp; Wild, K. L. (1995). Managerial ownership, accounting choices, and informativeness of earnings. </w:t>
      </w:r>
      <w:r>
        <w:rPr>
          <w:i/>
        </w:rPr>
        <w:t>Journal of Accounting and Economics, 20</w:t>
      </w:r>
      <w:r>
        <w:t xml:space="preserve">(1), 61–91. </w:t>
      </w:r>
      <w:hyperlink r:id="rId38">
        <w:r w:rsidR="009E04F9">
          <w:rPr>
            <w:szCs w:val="24"/>
          </w:rPr>
          <w:t>https://doi.org/10.1016/0165-4101(94)00393-J</w:t>
        </w:r>
      </w:hyperlink>
      <w:bookmarkEnd w:id="37"/>
    </w:p>
    <w:p w14:paraId="3D1A5DC4" w14:textId="77777777" w:rsidR="009E04F9" w:rsidRDefault="00000000">
      <w:pPr>
        <w:ind w:left="720" w:hanging="720"/>
      </w:pPr>
      <w:bookmarkStart w:id="38" w:name="ref_Wolfe_2004"/>
      <w:r>
        <w:t xml:space="preserve">Wolfe, D. T., &amp; Hermanson, D. R. (2004). The fraud diamond: Considering the four elements of fraud. </w:t>
      </w:r>
      <w:r>
        <w:rPr>
          <w:i/>
        </w:rPr>
        <w:t>The CPA Journal, 74</w:t>
      </w:r>
      <w:r>
        <w:t>(12), 38–42.</w:t>
      </w:r>
      <w:bookmarkEnd w:id="38"/>
    </w:p>
    <w:p w14:paraId="378BF0E2" w14:textId="77777777" w:rsidR="009E04F9" w:rsidRDefault="00000000">
      <w:pPr>
        <w:ind w:left="720" w:hanging="720"/>
      </w:pPr>
      <w:bookmarkStart w:id="39" w:name="ref_Xie_2003"/>
      <w:r>
        <w:t xml:space="preserve">Xie, B., Davidson, W. N., III, &amp; DaDalt, P. J. (2003). Earnings management and corporate governance: The role of the board and the audit committee. </w:t>
      </w:r>
      <w:r>
        <w:rPr>
          <w:i/>
        </w:rPr>
        <w:t>Journal of Corporate Finance, 9</w:t>
      </w:r>
      <w:r>
        <w:t xml:space="preserve">(3), 295–316. </w:t>
      </w:r>
      <w:hyperlink r:id="rId39">
        <w:r w:rsidR="009E04F9">
          <w:rPr>
            <w:szCs w:val="24"/>
          </w:rPr>
          <w:t>https://doi.org/10.1016/S0929-1199(02)00006-8</w:t>
        </w:r>
      </w:hyperlink>
      <w:bookmarkEnd w:id="39"/>
    </w:p>
    <w:p w14:paraId="0EA4EF49" w14:textId="77777777" w:rsidR="009E04F9" w:rsidRDefault="00000000">
      <w:pPr>
        <w:spacing w:before="120"/>
      </w:pPr>
      <w:r>
        <w:rPr>
          <w:b/>
        </w:rPr>
        <w:t xml:space="preserve">Appendix A. Annual </w:t>
      </w:r>
      <w:proofErr w:type="spellStart"/>
      <w:r>
        <w:rPr>
          <w:b/>
        </w:rPr>
        <w:t>Beneish</w:t>
      </w:r>
      <w:proofErr w:type="spellEnd"/>
      <w:r>
        <w:rPr>
          <w:b/>
        </w:rPr>
        <w:t>-flag prevalence</w:t>
      </w:r>
    </w:p>
    <w:tbl>
      <w:tblPr>
        <w:tblStyle w:val="TableGrid"/>
        <w:tblW w:w="0" w:type="auto"/>
        <w:jc w:val="center"/>
        <w:tblLook w:val="04A0" w:firstRow="1" w:lastRow="0" w:firstColumn="1" w:lastColumn="0" w:noHBand="0" w:noVBand="1"/>
      </w:tblPr>
      <w:tblGrid>
        <w:gridCol w:w="2256"/>
        <w:gridCol w:w="2256"/>
        <w:gridCol w:w="2256"/>
        <w:gridCol w:w="2256"/>
      </w:tblGrid>
      <w:tr w:rsidR="009E04F9" w14:paraId="144F47F4" w14:textId="77777777">
        <w:trPr>
          <w:cantSplit/>
          <w:jc w:val="center"/>
        </w:trPr>
        <w:tc>
          <w:tcPr>
            <w:tcW w:w="2256" w:type="dxa"/>
            <w:shd w:val="clear" w:color="auto" w:fill="D9EAF7"/>
            <w:vAlign w:val="center"/>
          </w:tcPr>
          <w:p w14:paraId="687C8D8C" w14:textId="77777777" w:rsidR="009E04F9" w:rsidRDefault="00000000">
            <w:pPr>
              <w:jc w:val="center"/>
            </w:pPr>
            <w:r>
              <w:rPr>
                <w:b/>
              </w:rPr>
              <w:t>Year</w:t>
            </w:r>
          </w:p>
        </w:tc>
        <w:tc>
          <w:tcPr>
            <w:tcW w:w="2256" w:type="dxa"/>
            <w:shd w:val="clear" w:color="auto" w:fill="D9EAF7"/>
            <w:vAlign w:val="center"/>
          </w:tcPr>
          <w:p w14:paraId="0D4F1F63" w14:textId="77777777" w:rsidR="009E04F9" w:rsidRDefault="00000000">
            <w:pPr>
              <w:jc w:val="center"/>
            </w:pPr>
            <w:r>
              <w:rPr>
                <w:b/>
              </w:rPr>
              <w:t>Firm-years</w:t>
            </w:r>
          </w:p>
        </w:tc>
        <w:tc>
          <w:tcPr>
            <w:tcW w:w="2256" w:type="dxa"/>
            <w:shd w:val="clear" w:color="auto" w:fill="D9EAF7"/>
            <w:vAlign w:val="center"/>
          </w:tcPr>
          <w:p w14:paraId="2F73BF2E" w14:textId="77777777" w:rsidR="009E04F9" w:rsidRDefault="00000000">
            <w:pPr>
              <w:jc w:val="center"/>
            </w:pPr>
            <w:r>
              <w:rPr>
                <w:b/>
              </w:rPr>
              <w:t>Flagged</w:t>
            </w:r>
          </w:p>
        </w:tc>
        <w:tc>
          <w:tcPr>
            <w:tcW w:w="2256" w:type="dxa"/>
            <w:shd w:val="clear" w:color="auto" w:fill="D9EAF7"/>
            <w:vAlign w:val="center"/>
          </w:tcPr>
          <w:p w14:paraId="067A139E" w14:textId="77777777" w:rsidR="009E04F9" w:rsidRDefault="00000000">
            <w:pPr>
              <w:jc w:val="center"/>
            </w:pPr>
            <w:r>
              <w:rPr>
                <w:b/>
              </w:rPr>
              <w:t>Flag rate (%)</w:t>
            </w:r>
          </w:p>
        </w:tc>
      </w:tr>
      <w:tr w:rsidR="009E04F9" w14:paraId="66304249" w14:textId="77777777">
        <w:trPr>
          <w:cantSplit/>
          <w:jc w:val="center"/>
        </w:trPr>
        <w:tc>
          <w:tcPr>
            <w:tcW w:w="2256" w:type="dxa"/>
            <w:vAlign w:val="center"/>
          </w:tcPr>
          <w:p w14:paraId="40880DEB" w14:textId="77777777" w:rsidR="009E04F9" w:rsidRDefault="00000000">
            <w:pPr>
              <w:jc w:val="center"/>
            </w:pPr>
            <w:r>
              <w:t>2014</w:t>
            </w:r>
          </w:p>
        </w:tc>
        <w:tc>
          <w:tcPr>
            <w:tcW w:w="2256" w:type="dxa"/>
            <w:vAlign w:val="center"/>
          </w:tcPr>
          <w:p w14:paraId="3E8AC5A4" w14:textId="77777777" w:rsidR="009E04F9" w:rsidRDefault="00000000">
            <w:pPr>
              <w:jc w:val="center"/>
            </w:pPr>
            <w:r>
              <w:t>40</w:t>
            </w:r>
          </w:p>
        </w:tc>
        <w:tc>
          <w:tcPr>
            <w:tcW w:w="2256" w:type="dxa"/>
            <w:vAlign w:val="center"/>
          </w:tcPr>
          <w:p w14:paraId="6CCCF32D" w14:textId="77777777" w:rsidR="009E04F9" w:rsidRDefault="00000000">
            <w:pPr>
              <w:jc w:val="center"/>
            </w:pPr>
            <w:r>
              <w:t>14</w:t>
            </w:r>
          </w:p>
        </w:tc>
        <w:tc>
          <w:tcPr>
            <w:tcW w:w="2256" w:type="dxa"/>
            <w:vAlign w:val="center"/>
          </w:tcPr>
          <w:p w14:paraId="0D99F3F2" w14:textId="77777777" w:rsidR="009E04F9" w:rsidRDefault="00000000">
            <w:pPr>
              <w:jc w:val="center"/>
            </w:pPr>
            <w:r>
              <w:t>35.0</w:t>
            </w:r>
          </w:p>
        </w:tc>
      </w:tr>
      <w:tr w:rsidR="009E04F9" w14:paraId="6694BEB7" w14:textId="77777777">
        <w:trPr>
          <w:cantSplit/>
          <w:jc w:val="center"/>
        </w:trPr>
        <w:tc>
          <w:tcPr>
            <w:tcW w:w="2256" w:type="dxa"/>
            <w:vAlign w:val="center"/>
          </w:tcPr>
          <w:p w14:paraId="646BCD46" w14:textId="77777777" w:rsidR="009E04F9" w:rsidRDefault="00000000">
            <w:pPr>
              <w:jc w:val="center"/>
            </w:pPr>
            <w:r>
              <w:t>2015</w:t>
            </w:r>
          </w:p>
        </w:tc>
        <w:tc>
          <w:tcPr>
            <w:tcW w:w="2256" w:type="dxa"/>
            <w:vAlign w:val="center"/>
          </w:tcPr>
          <w:p w14:paraId="16AEDFB5" w14:textId="77777777" w:rsidR="009E04F9" w:rsidRDefault="00000000">
            <w:pPr>
              <w:jc w:val="center"/>
            </w:pPr>
            <w:r>
              <w:t>40</w:t>
            </w:r>
          </w:p>
        </w:tc>
        <w:tc>
          <w:tcPr>
            <w:tcW w:w="2256" w:type="dxa"/>
            <w:vAlign w:val="center"/>
          </w:tcPr>
          <w:p w14:paraId="4DC8DE19" w14:textId="77777777" w:rsidR="009E04F9" w:rsidRDefault="00000000">
            <w:pPr>
              <w:jc w:val="center"/>
            </w:pPr>
            <w:r>
              <w:t>9</w:t>
            </w:r>
          </w:p>
        </w:tc>
        <w:tc>
          <w:tcPr>
            <w:tcW w:w="2256" w:type="dxa"/>
            <w:vAlign w:val="center"/>
          </w:tcPr>
          <w:p w14:paraId="2DFD3987" w14:textId="77777777" w:rsidR="009E04F9" w:rsidRDefault="00000000">
            <w:pPr>
              <w:jc w:val="center"/>
            </w:pPr>
            <w:r>
              <w:t>22.5</w:t>
            </w:r>
          </w:p>
        </w:tc>
      </w:tr>
      <w:tr w:rsidR="009E04F9" w14:paraId="0F73E22D" w14:textId="77777777">
        <w:trPr>
          <w:cantSplit/>
          <w:jc w:val="center"/>
        </w:trPr>
        <w:tc>
          <w:tcPr>
            <w:tcW w:w="2256" w:type="dxa"/>
            <w:vAlign w:val="center"/>
          </w:tcPr>
          <w:p w14:paraId="7365680A" w14:textId="77777777" w:rsidR="009E04F9" w:rsidRDefault="00000000">
            <w:pPr>
              <w:jc w:val="center"/>
            </w:pPr>
            <w:r>
              <w:t>2016</w:t>
            </w:r>
          </w:p>
        </w:tc>
        <w:tc>
          <w:tcPr>
            <w:tcW w:w="2256" w:type="dxa"/>
            <w:vAlign w:val="center"/>
          </w:tcPr>
          <w:p w14:paraId="1455479D" w14:textId="77777777" w:rsidR="009E04F9" w:rsidRDefault="00000000">
            <w:pPr>
              <w:jc w:val="center"/>
            </w:pPr>
            <w:r>
              <w:t>39</w:t>
            </w:r>
          </w:p>
        </w:tc>
        <w:tc>
          <w:tcPr>
            <w:tcW w:w="2256" w:type="dxa"/>
            <w:vAlign w:val="center"/>
          </w:tcPr>
          <w:p w14:paraId="26A90ECE" w14:textId="77777777" w:rsidR="009E04F9" w:rsidRDefault="00000000">
            <w:pPr>
              <w:jc w:val="center"/>
            </w:pPr>
            <w:r>
              <w:t>16</w:t>
            </w:r>
          </w:p>
        </w:tc>
        <w:tc>
          <w:tcPr>
            <w:tcW w:w="2256" w:type="dxa"/>
            <w:vAlign w:val="center"/>
          </w:tcPr>
          <w:p w14:paraId="3EA9B43A" w14:textId="77777777" w:rsidR="009E04F9" w:rsidRDefault="00000000">
            <w:pPr>
              <w:jc w:val="center"/>
            </w:pPr>
            <w:r>
              <w:t>41.0</w:t>
            </w:r>
          </w:p>
        </w:tc>
      </w:tr>
      <w:tr w:rsidR="009E04F9" w14:paraId="34DF3A82" w14:textId="77777777">
        <w:trPr>
          <w:cantSplit/>
          <w:jc w:val="center"/>
        </w:trPr>
        <w:tc>
          <w:tcPr>
            <w:tcW w:w="2256" w:type="dxa"/>
            <w:vAlign w:val="center"/>
          </w:tcPr>
          <w:p w14:paraId="6BB8884D" w14:textId="77777777" w:rsidR="009E04F9" w:rsidRDefault="00000000">
            <w:pPr>
              <w:jc w:val="center"/>
            </w:pPr>
            <w:r>
              <w:t>2017</w:t>
            </w:r>
          </w:p>
        </w:tc>
        <w:tc>
          <w:tcPr>
            <w:tcW w:w="2256" w:type="dxa"/>
            <w:vAlign w:val="center"/>
          </w:tcPr>
          <w:p w14:paraId="2151D568" w14:textId="77777777" w:rsidR="009E04F9" w:rsidRDefault="00000000">
            <w:pPr>
              <w:jc w:val="center"/>
            </w:pPr>
            <w:r>
              <w:t>38</w:t>
            </w:r>
          </w:p>
        </w:tc>
        <w:tc>
          <w:tcPr>
            <w:tcW w:w="2256" w:type="dxa"/>
            <w:vAlign w:val="center"/>
          </w:tcPr>
          <w:p w14:paraId="5B74ABC1" w14:textId="77777777" w:rsidR="009E04F9" w:rsidRDefault="00000000">
            <w:pPr>
              <w:jc w:val="center"/>
            </w:pPr>
            <w:r>
              <w:t>12</w:t>
            </w:r>
          </w:p>
        </w:tc>
        <w:tc>
          <w:tcPr>
            <w:tcW w:w="2256" w:type="dxa"/>
            <w:vAlign w:val="center"/>
          </w:tcPr>
          <w:p w14:paraId="25EDF510" w14:textId="77777777" w:rsidR="009E04F9" w:rsidRDefault="00000000">
            <w:pPr>
              <w:jc w:val="center"/>
            </w:pPr>
            <w:r>
              <w:t>31.6</w:t>
            </w:r>
          </w:p>
        </w:tc>
      </w:tr>
      <w:tr w:rsidR="009E04F9" w14:paraId="598C6F2C" w14:textId="77777777">
        <w:trPr>
          <w:cantSplit/>
          <w:jc w:val="center"/>
        </w:trPr>
        <w:tc>
          <w:tcPr>
            <w:tcW w:w="2256" w:type="dxa"/>
            <w:vAlign w:val="center"/>
          </w:tcPr>
          <w:p w14:paraId="72D462F1" w14:textId="77777777" w:rsidR="009E04F9" w:rsidRDefault="00000000">
            <w:pPr>
              <w:jc w:val="center"/>
            </w:pPr>
            <w:r>
              <w:t>2018</w:t>
            </w:r>
          </w:p>
        </w:tc>
        <w:tc>
          <w:tcPr>
            <w:tcW w:w="2256" w:type="dxa"/>
            <w:vAlign w:val="center"/>
          </w:tcPr>
          <w:p w14:paraId="58E4AFF6" w14:textId="77777777" w:rsidR="009E04F9" w:rsidRDefault="00000000">
            <w:pPr>
              <w:jc w:val="center"/>
            </w:pPr>
            <w:r>
              <w:t>39</w:t>
            </w:r>
          </w:p>
        </w:tc>
        <w:tc>
          <w:tcPr>
            <w:tcW w:w="2256" w:type="dxa"/>
            <w:vAlign w:val="center"/>
          </w:tcPr>
          <w:p w14:paraId="583F464F" w14:textId="77777777" w:rsidR="009E04F9" w:rsidRDefault="00000000">
            <w:pPr>
              <w:jc w:val="center"/>
            </w:pPr>
            <w:r>
              <w:t>11</w:t>
            </w:r>
          </w:p>
        </w:tc>
        <w:tc>
          <w:tcPr>
            <w:tcW w:w="2256" w:type="dxa"/>
            <w:vAlign w:val="center"/>
          </w:tcPr>
          <w:p w14:paraId="0E792BA7" w14:textId="77777777" w:rsidR="009E04F9" w:rsidRDefault="00000000">
            <w:pPr>
              <w:jc w:val="center"/>
            </w:pPr>
            <w:r>
              <w:t>28.2</w:t>
            </w:r>
          </w:p>
        </w:tc>
      </w:tr>
      <w:tr w:rsidR="009E04F9" w14:paraId="659EE8A4" w14:textId="77777777">
        <w:trPr>
          <w:cantSplit/>
          <w:jc w:val="center"/>
        </w:trPr>
        <w:tc>
          <w:tcPr>
            <w:tcW w:w="2256" w:type="dxa"/>
            <w:vAlign w:val="center"/>
          </w:tcPr>
          <w:p w14:paraId="7B91CC17" w14:textId="77777777" w:rsidR="009E04F9" w:rsidRDefault="00000000">
            <w:pPr>
              <w:jc w:val="center"/>
            </w:pPr>
            <w:r>
              <w:t>2019</w:t>
            </w:r>
          </w:p>
        </w:tc>
        <w:tc>
          <w:tcPr>
            <w:tcW w:w="2256" w:type="dxa"/>
            <w:vAlign w:val="center"/>
          </w:tcPr>
          <w:p w14:paraId="234F77C8" w14:textId="77777777" w:rsidR="009E04F9" w:rsidRDefault="00000000">
            <w:pPr>
              <w:jc w:val="center"/>
            </w:pPr>
            <w:r>
              <w:t>39</w:t>
            </w:r>
          </w:p>
        </w:tc>
        <w:tc>
          <w:tcPr>
            <w:tcW w:w="2256" w:type="dxa"/>
            <w:vAlign w:val="center"/>
          </w:tcPr>
          <w:p w14:paraId="3AB2FD03" w14:textId="77777777" w:rsidR="009E04F9" w:rsidRDefault="00000000">
            <w:pPr>
              <w:jc w:val="center"/>
            </w:pPr>
            <w:r>
              <w:t>15</w:t>
            </w:r>
          </w:p>
        </w:tc>
        <w:tc>
          <w:tcPr>
            <w:tcW w:w="2256" w:type="dxa"/>
            <w:vAlign w:val="center"/>
          </w:tcPr>
          <w:p w14:paraId="7FA12F42" w14:textId="77777777" w:rsidR="009E04F9" w:rsidRDefault="00000000">
            <w:pPr>
              <w:jc w:val="center"/>
            </w:pPr>
            <w:r>
              <w:t>38.5</w:t>
            </w:r>
          </w:p>
        </w:tc>
      </w:tr>
      <w:tr w:rsidR="009E04F9" w14:paraId="0772B61D" w14:textId="77777777">
        <w:trPr>
          <w:cantSplit/>
          <w:jc w:val="center"/>
        </w:trPr>
        <w:tc>
          <w:tcPr>
            <w:tcW w:w="2256" w:type="dxa"/>
            <w:vAlign w:val="center"/>
          </w:tcPr>
          <w:p w14:paraId="1C4FCA8D" w14:textId="77777777" w:rsidR="009E04F9" w:rsidRDefault="00000000">
            <w:pPr>
              <w:jc w:val="center"/>
            </w:pPr>
            <w:r>
              <w:t>2020</w:t>
            </w:r>
          </w:p>
        </w:tc>
        <w:tc>
          <w:tcPr>
            <w:tcW w:w="2256" w:type="dxa"/>
            <w:vAlign w:val="center"/>
          </w:tcPr>
          <w:p w14:paraId="3C1A3713" w14:textId="77777777" w:rsidR="009E04F9" w:rsidRDefault="00000000">
            <w:pPr>
              <w:jc w:val="center"/>
            </w:pPr>
            <w:r>
              <w:t>39</w:t>
            </w:r>
          </w:p>
        </w:tc>
        <w:tc>
          <w:tcPr>
            <w:tcW w:w="2256" w:type="dxa"/>
            <w:vAlign w:val="center"/>
          </w:tcPr>
          <w:p w14:paraId="54BFA20D" w14:textId="77777777" w:rsidR="009E04F9" w:rsidRDefault="00000000">
            <w:pPr>
              <w:jc w:val="center"/>
            </w:pPr>
            <w:r>
              <w:t>10</w:t>
            </w:r>
          </w:p>
        </w:tc>
        <w:tc>
          <w:tcPr>
            <w:tcW w:w="2256" w:type="dxa"/>
            <w:vAlign w:val="center"/>
          </w:tcPr>
          <w:p w14:paraId="56B8B7DE" w14:textId="77777777" w:rsidR="009E04F9" w:rsidRDefault="00000000">
            <w:pPr>
              <w:jc w:val="center"/>
            </w:pPr>
            <w:r>
              <w:t>25.6</w:t>
            </w:r>
          </w:p>
        </w:tc>
      </w:tr>
      <w:tr w:rsidR="009E04F9" w14:paraId="03B9AFFE" w14:textId="77777777">
        <w:trPr>
          <w:cantSplit/>
          <w:jc w:val="center"/>
        </w:trPr>
        <w:tc>
          <w:tcPr>
            <w:tcW w:w="2256" w:type="dxa"/>
            <w:vAlign w:val="center"/>
          </w:tcPr>
          <w:p w14:paraId="56C130AE" w14:textId="77777777" w:rsidR="009E04F9" w:rsidRDefault="00000000">
            <w:pPr>
              <w:jc w:val="center"/>
            </w:pPr>
            <w:r>
              <w:t>2021</w:t>
            </w:r>
          </w:p>
        </w:tc>
        <w:tc>
          <w:tcPr>
            <w:tcW w:w="2256" w:type="dxa"/>
            <w:vAlign w:val="center"/>
          </w:tcPr>
          <w:p w14:paraId="4C755B40" w14:textId="77777777" w:rsidR="009E04F9" w:rsidRDefault="00000000">
            <w:pPr>
              <w:jc w:val="center"/>
            </w:pPr>
            <w:r>
              <w:t>35</w:t>
            </w:r>
          </w:p>
        </w:tc>
        <w:tc>
          <w:tcPr>
            <w:tcW w:w="2256" w:type="dxa"/>
            <w:vAlign w:val="center"/>
          </w:tcPr>
          <w:p w14:paraId="4D3A907F" w14:textId="77777777" w:rsidR="009E04F9" w:rsidRDefault="00000000">
            <w:pPr>
              <w:jc w:val="center"/>
            </w:pPr>
            <w:r>
              <w:t>10</w:t>
            </w:r>
          </w:p>
        </w:tc>
        <w:tc>
          <w:tcPr>
            <w:tcW w:w="2256" w:type="dxa"/>
            <w:vAlign w:val="center"/>
          </w:tcPr>
          <w:p w14:paraId="5AC647B4" w14:textId="77777777" w:rsidR="009E04F9" w:rsidRDefault="00000000">
            <w:pPr>
              <w:jc w:val="center"/>
            </w:pPr>
            <w:r>
              <w:t>28.6</w:t>
            </w:r>
          </w:p>
        </w:tc>
      </w:tr>
      <w:tr w:rsidR="009E04F9" w14:paraId="2E2CB674" w14:textId="77777777">
        <w:trPr>
          <w:cantSplit/>
          <w:jc w:val="center"/>
        </w:trPr>
        <w:tc>
          <w:tcPr>
            <w:tcW w:w="2256" w:type="dxa"/>
            <w:vAlign w:val="center"/>
          </w:tcPr>
          <w:p w14:paraId="05A15076" w14:textId="77777777" w:rsidR="009E04F9" w:rsidRDefault="00000000">
            <w:pPr>
              <w:jc w:val="center"/>
            </w:pPr>
            <w:r>
              <w:t>2022</w:t>
            </w:r>
          </w:p>
        </w:tc>
        <w:tc>
          <w:tcPr>
            <w:tcW w:w="2256" w:type="dxa"/>
            <w:vAlign w:val="center"/>
          </w:tcPr>
          <w:p w14:paraId="1898604A" w14:textId="77777777" w:rsidR="009E04F9" w:rsidRDefault="00000000">
            <w:pPr>
              <w:jc w:val="center"/>
            </w:pPr>
            <w:r>
              <w:t>31</w:t>
            </w:r>
          </w:p>
        </w:tc>
        <w:tc>
          <w:tcPr>
            <w:tcW w:w="2256" w:type="dxa"/>
            <w:vAlign w:val="center"/>
          </w:tcPr>
          <w:p w14:paraId="28B2AACF" w14:textId="77777777" w:rsidR="009E04F9" w:rsidRDefault="00000000">
            <w:pPr>
              <w:jc w:val="center"/>
            </w:pPr>
            <w:r>
              <w:t>18</w:t>
            </w:r>
          </w:p>
        </w:tc>
        <w:tc>
          <w:tcPr>
            <w:tcW w:w="2256" w:type="dxa"/>
            <w:vAlign w:val="center"/>
          </w:tcPr>
          <w:p w14:paraId="694F9C51" w14:textId="77777777" w:rsidR="009E04F9" w:rsidRDefault="00000000">
            <w:pPr>
              <w:jc w:val="center"/>
            </w:pPr>
            <w:r>
              <w:t>58.1</w:t>
            </w:r>
          </w:p>
        </w:tc>
      </w:tr>
    </w:tbl>
    <w:p w14:paraId="0460509E" w14:textId="1EB08777" w:rsidR="009E04F9" w:rsidRDefault="009E04F9"/>
    <w:sectPr w:rsidR="009E04F9" w:rsidSect="00034616">
      <w:headerReference w:type="even" r:id="rId40"/>
      <w:headerReference w:type="default" r:id="rId41"/>
      <w:footerReference w:type="even" r:id="rId42"/>
      <w:footerReference w:type="default" r:id="rId43"/>
      <w:headerReference w:type="first" r:id="rId44"/>
      <w:footerReference w:type="first" r:id="rId4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67A8F" w14:textId="77777777" w:rsidR="00D76396" w:rsidRDefault="00D76396">
      <w:pPr>
        <w:spacing w:line="240" w:lineRule="auto"/>
      </w:pPr>
      <w:r>
        <w:separator/>
      </w:r>
    </w:p>
  </w:endnote>
  <w:endnote w:type="continuationSeparator" w:id="0">
    <w:p w14:paraId="0534CF68" w14:textId="77777777" w:rsidR="00D76396" w:rsidRDefault="00D763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914A" w14:textId="77777777" w:rsidR="00833A6C" w:rsidRDefault="00833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9AD9" w14:textId="77777777" w:rsidR="009E04F9" w:rsidRDefault="00000000">
    <w:pPr>
      <w:pStyle w:val="Footer"/>
      <w:jc w:val="center"/>
    </w:pPr>
    <w:r>
      <w:fldChar w:fldCharType="begin"/>
    </w:r>
    <w:r>
      <w:instrText xml:space="preserve"> PAGE </w:instrText>
    </w:r>
    <w:r>
      <w:fldChar w:fldCharType="separate"/>
    </w:r>
    <w:r w:rsidR="007F2AB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26D5" w14:textId="77777777" w:rsidR="00833A6C" w:rsidRDefault="00833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AD6E" w14:textId="77777777" w:rsidR="00D76396" w:rsidRDefault="00D76396">
      <w:pPr>
        <w:spacing w:line="240" w:lineRule="auto"/>
      </w:pPr>
      <w:r>
        <w:separator/>
      </w:r>
    </w:p>
  </w:footnote>
  <w:footnote w:type="continuationSeparator" w:id="0">
    <w:p w14:paraId="774F9C64" w14:textId="77777777" w:rsidR="00D76396" w:rsidRDefault="00D763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0B330" w14:textId="5EBD7862" w:rsidR="00833A6C" w:rsidRDefault="00833A6C">
    <w:pPr>
      <w:pStyle w:val="Header"/>
    </w:pPr>
    <w:r>
      <w:rPr>
        <w:noProof/>
      </w:rPr>
      <w:pict w14:anchorId="0C6A22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865172"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E56F" w14:textId="051D6396" w:rsidR="00833A6C" w:rsidRDefault="00833A6C">
    <w:pPr>
      <w:pStyle w:val="Header"/>
    </w:pPr>
    <w:r>
      <w:rPr>
        <w:noProof/>
      </w:rPr>
      <w:pict w14:anchorId="17111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865173"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A05A" w14:textId="4C551343" w:rsidR="00833A6C" w:rsidRDefault="00833A6C">
    <w:pPr>
      <w:pStyle w:val="Header"/>
    </w:pPr>
    <w:r>
      <w:rPr>
        <w:noProof/>
      </w:rPr>
      <w:pict w14:anchorId="60B2F4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1865171"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5428608">
    <w:abstractNumId w:val="8"/>
  </w:num>
  <w:num w:numId="2" w16cid:durableId="1207570504">
    <w:abstractNumId w:val="6"/>
  </w:num>
  <w:num w:numId="3" w16cid:durableId="161626010">
    <w:abstractNumId w:val="5"/>
  </w:num>
  <w:num w:numId="4" w16cid:durableId="1401444513">
    <w:abstractNumId w:val="4"/>
  </w:num>
  <w:num w:numId="5" w16cid:durableId="1188829973">
    <w:abstractNumId w:val="7"/>
  </w:num>
  <w:num w:numId="6" w16cid:durableId="206644624">
    <w:abstractNumId w:val="3"/>
  </w:num>
  <w:num w:numId="7" w16cid:durableId="315500468">
    <w:abstractNumId w:val="2"/>
  </w:num>
  <w:num w:numId="8" w16cid:durableId="1747722324">
    <w:abstractNumId w:val="1"/>
  </w:num>
  <w:num w:numId="9" w16cid:durableId="1783912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D84"/>
    <w:rsid w:val="00034616"/>
    <w:rsid w:val="0006063C"/>
    <w:rsid w:val="00077817"/>
    <w:rsid w:val="0015074B"/>
    <w:rsid w:val="0015279D"/>
    <w:rsid w:val="00183E68"/>
    <w:rsid w:val="00193D69"/>
    <w:rsid w:val="0029639D"/>
    <w:rsid w:val="002E66D5"/>
    <w:rsid w:val="00326F90"/>
    <w:rsid w:val="00387F9C"/>
    <w:rsid w:val="00393B30"/>
    <w:rsid w:val="003E423B"/>
    <w:rsid w:val="004D674A"/>
    <w:rsid w:val="006D49FB"/>
    <w:rsid w:val="007F2ABD"/>
    <w:rsid w:val="00833A6C"/>
    <w:rsid w:val="009E04F9"/>
    <w:rsid w:val="00A260D0"/>
    <w:rsid w:val="00AA1D8D"/>
    <w:rsid w:val="00AF4C8D"/>
    <w:rsid w:val="00B16D72"/>
    <w:rsid w:val="00B47730"/>
    <w:rsid w:val="00CB0664"/>
    <w:rsid w:val="00D76396"/>
    <w:rsid w:val="00FC47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F62A11"/>
  <w14:defaultImageDpi w14:val="300"/>
  <w15:docId w15:val="{92F1897C-205B-435B-80DF-8FD9B07A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Times New Roman" w:eastAsia="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eastAsia="Times New Roman" w:hAnsi="Times New Roman" w:cs="Times New Roman"/>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cs="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F4C8D"/>
    <w:rPr>
      <w:color w:val="0000FF" w:themeColor="hyperlink"/>
      <w:u w:val="single"/>
    </w:rPr>
  </w:style>
  <w:style w:type="character" w:styleId="UnresolvedMention">
    <w:name w:val="Unresolved Mention"/>
    <w:basedOn w:val="DefaultParagraphFont"/>
    <w:uiPriority w:val="99"/>
    <w:semiHidden/>
    <w:unhideWhenUsed/>
    <w:rsid w:val="00393B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j.1475-679X.2009.00349.x" TargetMode="External"/><Relationship Id="rId18" Type="http://schemas.openxmlformats.org/officeDocument/2006/relationships/hyperlink" Target="https://doi.org/10.1111/j.1911-3846.2010.01041.x" TargetMode="External"/><Relationship Id="rId26" Type="http://schemas.openxmlformats.org/officeDocument/2006/relationships/hyperlink" Target="https://doi.org/10.26668/businessreview/2023.v8i9.3074" TargetMode="External"/><Relationship Id="rId39" Type="http://schemas.openxmlformats.org/officeDocument/2006/relationships/hyperlink" Target="https://doi.org/10.1016/S0929-1199(02)00006-8" TargetMode="External"/><Relationship Id="rId21" Type="http://schemas.openxmlformats.org/officeDocument/2006/relationships/hyperlink" Target="https://doi.org/10.1016/j.jfineco.2006.05.009" TargetMode="External"/><Relationship Id="rId34" Type="http://schemas.openxmlformats.org/officeDocument/2006/relationships/hyperlink" Target="https://journals.unizik.edu.ng/jocia/article/view/2514"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2308/aud.2004.23.2.55" TargetMode="External"/><Relationship Id="rId29" Type="http://schemas.openxmlformats.org/officeDocument/2006/relationships/hyperlink" Target="https://doi.org/10.1016/S0165-4101(02)00059-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1911-3846.1998.tb00547.x" TargetMode="External"/><Relationship Id="rId24" Type="http://schemas.openxmlformats.org/officeDocument/2006/relationships/hyperlink" Target="https://doi.org/10.1016/j.jacceco.2010.09.005" TargetMode="External"/><Relationship Id="rId32" Type="http://schemas.openxmlformats.org/officeDocument/2006/relationships/hyperlink" Target="https://doi.org/10.1111/j.0006-341X.2001.00126.x" TargetMode="External"/><Relationship Id="rId37" Type="http://schemas.openxmlformats.org/officeDocument/2006/relationships/hyperlink" Target="https://doi.org/10.1108/S1569-3732(2009)0000013005"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3368/jhr.50.2.317" TargetMode="External"/><Relationship Id="rId23" Type="http://schemas.openxmlformats.org/officeDocument/2006/relationships/hyperlink" Target="https://doi.org/10.2308/accr.2005.80.2.539" TargetMode="External"/><Relationship Id="rId28" Type="http://schemas.openxmlformats.org/officeDocument/2006/relationships/hyperlink" Target="https://doi.org/10.1016/j.mulfin.2013.03.005" TargetMode="External"/><Relationship Id="rId36" Type="http://schemas.openxmlformats.org/officeDocument/2006/relationships/hyperlink" Target="https://doi.org/10.1093/rfs/hhn053" TargetMode="External"/><Relationship Id="rId10" Type="http://schemas.openxmlformats.org/officeDocument/2006/relationships/hyperlink" Target="https://doi.org/10.2308/acch.2000.14.4.441" TargetMode="External"/><Relationship Id="rId19" Type="http://schemas.openxmlformats.org/officeDocument/2006/relationships/hyperlink" Target="https://doi.org/10.1016/S0165-4101(98)00018-4" TargetMode="External"/><Relationship Id="rId31" Type="http://schemas.openxmlformats.org/officeDocument/2006/relationships/hyperlink" Target="https://doi.org/10.1093/biomet/73.1.13"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2308/aud.2004.23.1.69" TargetMode="External"/><Relationship Id="rId14" Type="http://schemas.openxmlformats.org/officeDocument/2006/relationships/hyperlink" Target="https://doi.org/10.1016/j.jfineco.2004.12.003" TargetMode="External"/><Relationship Id="rId22" Type="http://schemas.openxmlformats.org/officeDocument/2006/relationships/hyperlink" Target="https://doi.org/10.1016/S0165-4101(02)00047-2" TargetMode="External"/><Relationship Id="rId27" Type="http://schemas.openxmlformats.org/officeDocument/2006/relationships/hyperlink" Target="https://doi.org/10.2308/acch.1999.13.4.365" TargetMode="External"/><Relationship Id="rId30" Type="http://schemas.openxmlformats.org/officeDocument/2006/relationships/hyperlink" Target="https://doi.org/10.1016/S0165-4101(00)00025-2" TargetMode="External"/><Relationship Id="rId35" Type="http://schemas.openxmlformats.org/officeDocument/2006/relationships/hyperlink" Target="https://doi.org/10.1016/j.adiac.2010.10.004"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2469/faj.v55.n5.2296" TargetMode="External"/><Relationship Id="rId17" Type="http://schemas.openxmlformats.org/officeDocument/2006/relationships/hyperlink" Target="https://doi.org/10.2307/2297110" TargetMode="External"/><Relationship Id="rId25" Type="http://schemas.openxmlformats.org/officeDocument/2006/relationships/hyperlink" Target="https://frcnigeria.gov.ng/wp-content/uploads/2025/04/Nigerian-Code-of-Corporate-Governance-2018.pdf" TargetMode="External"/><Relationship Id="rId33" Type="http://schemas.openxmlformats.org/officeDocument/2006/relationships/hyperlink" Target="https://journals.unizik.edu.ng/joga/article/view/2901" TargetMode="External"/><Relationship Id="rId38" Type="http://schemas.openxmlformats.org/officeDocument/2006/relationships/hyperlink" Target="https://doi.org/10.1016/0165-4101(94)00393-J" TargetMode="External"/><Relationship Id="rId46" Type="http://schemas.openxmlformats.org/officeDocument/2006/relationships/fontTable" Target="fontTable.xml"/><Relationship Id="rId20" Type="http://schemas.openxmlformats.org/officeDocument/2006/relationships/hyperlink" Target="https://doi.org/10.2308/ajpt-51608" TargetMode="External"/><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10488</Words>
  <Characters>59787</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Fraud-Diamond Indicators and Beneish-Flagged Earnings Manipulation: Evidence from Listed Manufacturing Firms in Nigeria</vt:lpstr>
    </vt:vector>
  </TitlesOfParts>
  <Manager/>
  <Company/>
  <LinksUpToDate>false</LinksUpToDate>
  <CharactersWithSpaces>70135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Fraud-Diamond Indicators and Beneish-Flagged Earnings Manipulation: Evidence from Listed Manufacturing Firms in Nigeria</dc:title>
  <dc:subject>Complete revised research manuscript</dc:subject>
  <dc:creator>Simon Akpadaka</dc:creator>
  <cp:keywords>Beneish M-Score, Fraud Diamond Theory, earnings manipulation, Nigeria, GEE</cp:keywords>
  <dc:description>generated by python-docx</dc:description>
  <cp:lastModifiedBy>SDI 1084</cp:lastModifiedBy>
  <cp:revision>8</cp:revision>
  <dcterms:created xsi:type="dcterms:W3CDTF">2026-09-12T09:43:00Z</dcterms:created>
  <dcterms:modified xsi:type="dcterms:W3CDTF">2026-09-28T07:56:00Z</dcterms:modified>
  <cp:category/>
</cp:coreProperties>
</file>