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A8833" w14:textId="77777777" w:rsidR="008D5DCB" w:rsidRDefault="0020015B">
      <w:pPr>
        <w:spacing w:after="0" w:line="240" w:lineRule="auto"/>
        <w:jc w:val="center"/>
        <w:rPr>
          <w:rFonts w:asciiTheme="majorBidi" w:hAnsiTheme="majorBidi" w:cstheme="majorBidi"/>
          <w:b/>
          <w:bCs/>
          <w:sz w:val="32"/>
          <w:szCs w:val="32"/>
        </w:rPr>
      </w:pPr>
      <w:r>
        <w:rPr>
          <w:rFonts w:asciiTheme="majorBidi" w:hAnsiTheme="majorBidi" w:cstheme="majorBidi"/>
          <w:b/>
          <w:bCs/>
          <w:sz w:val="32"/>
          <w:szCs w:val="32"/>
        </w:rPr>
        <w:t>Tax Aggressiveness and Market performance of listed Insurance Companies in Nigeria</w:t>
      </w:r>
    </w:p>
    <w:p w14:paraId="50B7E504" w14:textId="77777777" w:rsidR="007A10BA" w:rsidRDefault="007A10BA">
      <w:pPr>
        <w:spacing w:after="0" w:line="240" w:lineRule="auto"/>
        <w:jc w:val="center"/>
        <w:rPr>
          <w:rFonts w:asciiTheme="majorBidi" w:hAnsiTheme="majorBidi" w:cstheme="majorBidi"/>
          <w:b/>
          <w:bCs/>
          <w:sz w:val="32"/>
          <w:szCs w:val="32"/>
        </w:rPr>
      </w:pPr>
    </w:p>
    <w:p w14:paraId="359B8CFB" w14:textId="77777777" w:rsidR="008D5DCB" w:rsidRDefault="002001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2B7C5BCA" w14:textId="77777777" w:rsidR="008D5DCB" w:rsidRDefault="0020015B">
      <w:pPr>
        <w:jc w:val="both"/>
        <w:rPr>
          <w:rFonts w:ascii="Times New Roman" w:hAnsi="Times New Roman" w:cs="Times New Roman"/>
          <w:sz w:val="24"/>
          <w:szCs w:val="24"/>
        </w:rPr>
      </w:pPr>
      <w:r>
        <w:rPr>
          <w:rFonts w:ascii="Times New Roman" w:hAnsi="Times New Roman" w:cs="Times New Roman"/>
          <w:sz w:val="24"/>
          <w:szCs w:val="24"/>
        </w:rPr>
        <w:t xml:space="preserve">This study investigated the effects of tax aggressiveness on the market performance of listed insurance companies in Nigeria from 2012 to 2024. Employed an ex-post facto research design, the study revealed that the overall model fit was highly significant (Wald Chi-sq. = 4.65, </w:t>
      </w:r>
      <w:r>
        <w:rPr>
          <w:rStyle w:val="math-inline"/>
          <w:rFonts w:ascii="Times New Roman" w:hAnsi="Times New Roman" w:cs="Times New Roman"/>
          <w:sz w:val="24"/>
          <w:szCs w:val="24"/>
        </w:rPr>
        <w:t>p = 0.001</w:t>
      </w:r>
      <w:r>
        <w:rPr>
          <w:rFonts w:ascii="Times New Roman" w:hAnsi="Times New Roman" w:cs="Times New Roman"/>
          <w:sz w:val="24"/>
          <w:szCs w:val="24"/>
        </w:rPr>
        <w:t>), systematically rejecting the baseline null hypothesis. Crucially, individual estimations exposed a clear divergence in investor reactions: Book-Tax Difference exerts a powerful, highly significant negative impact on market valuation (</w:t>
      </w:r>
      <w:r>
        <w:rPr>
          <w:rStyle w:val="math-inline"/>
          <w:rFonts w:ascii="Times New Roman" w:hAnsi="Times New Roman" w:cs="Times New Roman"/>
          <w:sz w:val="24"/>
          <w:szCs w:val="24"/>
        </w:rPr>
        <w:t>p = 0.001</w:t>
      </w:r>
      <w:r>
        <w:rPr>
          <w:rFonts w:ascii="Times New Roman" w:hAnsi="Times New Roman" w:cs="Times New Roman"/>
          <w:sz w:val="24"/>
          <w:szCs w:val="24"/>
        </w:rPr>
        <w:t>), signaling concerns over information opaqueness, while the Tax Savings Ratio exerts a significant positive effect (</w:t>
      </w:r>
      <w:r>
        <w:rPr>
          <w:rStyle w:val="math-inline"/>
          <w:rFonts w:ascii="Times New Roman" w:hAnsi="Times New Roman" w:cs="Times New Roman"/>
          <w:sz w:val="24"/>
          <w:szCs w:val="24"/>
        </w:rPr>
        <w:t>p = 0.013</w:t>
      </w:r>
      <w:r>
        <w:rPr>
          <w:rFonts w:ascii="Times New Roman" w:hAnsi="Times New Roman" w:cs="Times New Roman"/>
          <w:sz w:val="24"/>
          <w:szCs w:val="24"/>
        </w:rPr>
        <w:t>), highlighting that transparent, cash-optimizing tax planning enhances corporate efficiency. The study concluded that excessive and opaque variations damage investor confidence; hence, it is recommended that managers prioritize transparent fiscal strategies, while regulatory authorities (NAICOM and FIRS) collaboratively introduce unified reporting templates to protect shareholder wealth during ongoing industry restructuring.</w:t>
      </w:r>
    </w:p>
    <w:p w14:paraId="5CDA2FB8" w14:textId="77777777" w:rsidR="008D5DCB" w:rsidRDefault="0020015B">
      <w:r>
        <w:rPr>
          <w:rFonts w:ascii="Times New Roman" w:hAnsi="Times New Roman" w:cs="Times New Roman"/>
          <w:b/>
          <w:sz w:val="24"/>
          <w:szCs w:val="24"/>
        </w:rPr>
        <w:t xml:space="preserve">Keywords; </w:t>
      </w:r>
      <w:r>
        <w:rPr>
          <w:rFonts w:ascii="Times New Roman" w:hAnsi="Times New Roman" w:cs="Times New Roman"/>
          <w:sz w:val="24"/>
          <w:szCs w:val="24"/>
        </w:rPr>
        <w:t xml:space="preserve">Book-Tax Difference, Cash Effective Tax Rate, market </w:t>
      </w:r>
      <w:proofErr w:type="gramStart"/>
      <w:r>
        <w:rPr>
          <w:rFonts w:ascii="Times New Roman" w:hAnsi="Times New Roman" w:cs="Times New Roman"/>
          <w:sz w:val="24"/>
          <w:szCs w:val="24"/>
        </w:rPr>
        <w:t>performance,  Market</w:t>
      </w:r>
      <w:proofErr w:type="gramEnd"/>
      <w:r>
        <w:rPr>
          <w:rFonts w:ascii="Times New Roman" w:hAnsi="Times New Roman" w:cs="Times New Roman"/>
          <w:sz w:val="24"/>
          <w:szCs w:val="24"/>
        </w:rPr>
        <w:t xml:space="preserve"> Value per </w:t>
      </w:r>
      <w:proofErr w:type="gramStart"/>
      <w:r>
        <w:rPr>
          <w:rFonts w:ascii="Times New Roman" w:hAnsi="Times New Roman" w:cs="Times New Roman"/>
          <w:sz w:val="24"/>
          <w:szCs w:val="24"/>
        </w:rPr>
        <w:t>Share ,</w:t>
      </w:r>
      <w:proofErr w:type="gramEnd"/>
      <w:r>
        <w:rPr>
          <w:rFonts w:ascii="Times New Roman" w:hAnsi="Times New Roman" w:cs="Times New Roman"/>
          <w:sz w:val="24"/>
          <w:szCs w:val="24"/>
        </w:rPr>
        <w:t xml:space="preserve"> tax aggressiveness Tobin’s Q</w:t>
      </w:r>
    </w:p>
    <w:p w14:paraId="39658FCB" w14:textId="77777777" w:rsidR="008D5DCB" w:rsidRDefault="0020015B">
      <w:pPr>
        <w:pStyle w:val="NormalWeb"/>
        <w:spacing w:before="0" w:beforeAutospacing="0" w:after="0" w:afterAutospacing="0"/>
        <w:jc w:val="both"/>
        <w:rPr>
          <w:rFonts w:eastAsiaTheme="minorHAnsi"/>
          <w:b/>
          <w:kern w:val="2"/>
          <w:lang w:val="en-US" w:eastAsia="en-US"/>
          <w14:ligatures w14:val="standardContextual"/>
        </w:rPr>
      </w:pPr>
      <w:r>
        <w:rPr>
          <w:rFonts w:eastAsiaTheme="minorHAnsi"/>
          <w:b/>
          <w:kern w:val="2"/>
          <w:lang w:val="en-US" w:eastAsia="en-US"/>
          <w14:ligatures w14:val="standardContextual"/>
        </w:rPr>
        <w:t>1.</w:t>
      </w:r>
      <w:r>
        <w:rPr>
          <w:rFonts w:eastAsiaTheme="minorHAnsi"/>
          <w:b/>
          <w:kern w:val="2"/>
          <w:lang w:val="en-US" w:eastAsia="en-US"/>
          <w14:ligatures w14:val="standardContextual"/>
        </w:rPr>
        <w:tab/>
        <w:t>Introduction</w:t>
      </w:r>
    </w:p>
    <w:p w14:paraId="084A3272" w14:textId="77777777" w:rsidR="008D5DCB" w:rsidRDefault="0020015B">
      <w:pPr>
        <w:pStyle w:val="NormalWeb"/>
        <w:spacing w:before="0" w:beforeAutospacing="0" w:after="0" w:afterAutospacing="0"/>
        <w:jc w:val="both"/>
        <w:rPr>
          <w:rFonts w:eastAsiaTheme="minorHAnsi"/>
          <w:b/>
          <w:kern w:val="2"/>
          <w:lang w:val="en-US" w:eastAsia="en-US"/>
          <w14:ligatures w14:val="standardContextual"/>
        </w:rPr>
      </w:pPr>
      <w:r>
        <w:t>Across the world market performance stands as a definitive metric of organizational success and value creation within the insurance sector, encapsulating how the broader capital market gauges an enterprise's financial stability, efficiency, and future trajectories. However, the exact dynamics driving market performance vary dramatically between advanced and emerging economies, exposing deep structural disparities in asset pricing, regulatory discipline, and information flows (Nuta et al., 2025; Mahmood et al., 2022). In highly developed markets including the United States, United Kingdom, and parts of Western Europe corporate valuations are determined within deep, highly efficient financial ecosystems (Merendino &amp; Melville, 2019). These mature spaces are backed by sophisticated institutional oversight, advanced disclosure frameworks, and strong corporate governance protocols that actively drive down information asymmetry. Consequently, stock valuations in these settings react reliably to fundamental financial choices, from dividend structures and capitalization models to modern corporate milestones like ESG implementation and intangible asset optimization (Aguilera et al., 2021).</w:t>
      </w:r>
    </w:p>
    <w:p w14:paraId="217DEEC5"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Developing markets present a vastly different operational reality for financial firms compared to mature ones. These markets feature emerging bourses struggling with structural inefficiencies and high information gaps. Financial analysis faces persistent friction from thin trading volumes and concentrated ownership (Abata &amp; Olamide, 2023). A lack of deep analyst coverage further limits price in formativeness across these regions. Consequently, traditional market valuation drivers do not always translate directly due to institutional friction. Instead, internal governance, liquidity cushions, and fiscal strategies carry disproportionate signalling weight for outside investors (Adem &amp; Dsouza, 2024; Gupta &amp; Das, 2024).</w:t>
      </w:r>
    </w:p>
    <w:p w14:paraId="773DCD9C"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For listed insurance companies in Nigeria, establishing strong market performance—measured through Tobin's Q and Market Value per Share is critical to maintaining public trust and corporate longevity within a highly volatile financial climate (</w:t>
      </w:r>
      <w:proofErr w:type="spellStart"/>
      <w:r>
        <w:rPr>
          <w:rFonts w:ascii="Times New Roman" w:eastAsia="Times New Roman" w:hAnsi="Times New Roman" w:cs="Times New Roman"/>
          <w:kern w:val="0"/>
          <w:sz w:val="24"/>
          <w:szCs w:val="24"/>
          <w:lang w:val="en-GB" w:eastAsia="en-GB"/>
          <w14:ligatures w14:val="none"/>
        </w:rPr>
        <w:t>Awotomilusi</w:t>
      </w:r>
      <w:proofErr w:type="spellEnd"/>
      <w:r>
        <w:rPr>
          <w:rFonts w:ascii="Times New Roman" w:eastAsia="Times New Roman" w:hAnsi="Times New Roman" w:cs="Times New Roman"/>
          <w:kern w:val="0"/>
          <w:sz w:val="24"/>
          <w:szCs w:val="24"/>
          <w:lang w:val="en-GB" w:eastAsia="en-GB"/>
          <w14:ligatures w14:val="none"/>
        </w:rPr>
        <w:t xml:space="preserve"> et al., 2025; Nwankwo &amp; Ibrahim, 2024). Navigating this operational space has become remarkably </w:t>
      </w:r>
      <w:r>
        <w:rPr>
          <w:rFonts w:ascii="Times New Roman" w:eastAsia="Times New Roman" w:hAnsi="Times New Roman" w:cs="Times New Roman"/>
          <w:kern w:val="0"/>
          <w:sz w:val="24"/>
          <w:szCs w:val="24"/>
          <w:lang w:val="en-GB" w:eastAsia="en-GB"/>
          <w14:ligatures w14:val="none"/>
        </w:rPr>
        <w:lastRenderedPageBreak/>
        <w:t>complex following the landmark Nigerian Insurance Industry Reform Act (NIIRA) 2025, which introduced an aggressive, risk-based capitalization regime that forced a major consolidation wave by raising statutory minimum capital thresholds by up to 500% with a strict compliance deadline of July 30, 2026. Consequently, executives face severe pressure to defend shareholder value and attract scarce investment capital while balancing these heavy requirements against rising claims ratios and macroeconomic volatility. While corporate managers increasingly lean into aggressive tax planning to shield immediate earnings and conserve cash to meet these 2026 recapitalization quotas, such manoeuvres are highly risky; they expose firms to governance queries, Federal Inland Revenue Service (FIRS) sanctions, and long-term reputational damage (</w:t>
      </w:r>
      <w:proofErr w:type="spellStart"/>
      <w:r>
        <w:rPr>
          <w:rFonts w:ascii="Times New Roman" w:eastAsia="Times New Roman" w:hAnsi="Times New Roman" w:cs="Times New Roman"/>
          <w:kern w:val="0"/>
          <w:sz w:val="24"/>
          <w:szCs w:val="24"/>
          <w:lang w:val="en-GB" w:eastAsia="en-GB"/>
          <w14:ligatures w14:val="none"/>
        </w:rPr>
        <w:t>Bamisaye</w:t>
      </w:r>
      <w:proofErr w:type="spellEnd"/>
      <w:r>
        <w:rPr>
          <w:rFonts w:ascii="Times New Roman" w:eastAsia="Times New Roman" w:hAnsi="Times New Roman" w:cs="Times New Roman"/>
          <w:kern w:val="0"/>
          <w:sz w:val="24"/>
          <w:szCs w:val="24"/>
          <w:lang w:val="en-GB" w:eastAsia="en-GB"/>
          <w14:ligatures w14:val="none"/>
        </w:rPr>
        <w:t xml:space="preserve"> et al., 2025). In an emerging market </w:t>
      </w:r>
      <w:proofErr w:type="gramStart"/>
      <w:r>
        <w:rPr>
          <w:rFonts w:ascii="Times New Roman" w:eastAsia="Times New Roman" w:hAnsi="Times New Roman" w:cs="Times New Roman"/>
          <w:kern w:val="0"/>
          <w:sz w:val="24"/>
          <w:szCs w:val="24"/>
          <w:lang w:val="en-GB" w:eastAsia="en-GB"/>
          <w14:ligatures w14:val="none"/>
        </w:rPr>
        <w:t>where</w:t>
      </w:r>
      <w:proofErr w:type="gramEnd"/>
      <w:r>
        <w:rPr>
          <w:rFonts w:ascii="Times New Roman" w:eastAsia="Times New Roman" w:hAnsi="Times New Roman" w:cs="Times New Roman"/>
          <w:kern w:val="0"/>
          <w:sz w:val="24"/>
          <w:szCs w:val="24"/>
          <w:lang w:val="en-GB" w:eastAsia="en-GB"/>
          <w14:ligatures w14:val="none"/>
        </w:rPr>
        <w:t xml:space="preserve"> informational transparency is weak and insurance trust is historically fragile, intense tax planning can be misinterpreted by investors as a sign of hidden financial distress rather than operational efficiency, creating a major empirical uncertainty regarding whether tax-aggressive behaviour builds or erodes market value (Ojo et al., 2025).</w:t>
      </w:r>
    </w:p>
    <w:p w14:paraId="1905D5E8"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To thoroughly investigate this issue, analysing specific tax metrics becomes essential to understanding how tax planning choices map to corporate outcomes. The first primary independent proxy is the Effective Tax Rate (ETR), which measures the ratio of total income tax expenses to pre-tax financial accounting income, revealing a company's total tax burden and general tax avoidance trajectory (Khuong et al., 2020), where a lower ETR often signals active minimization of statutory liabilities relative to earnings (</w:t>
      </w:r>
      <w:proofErr w:type="spellStart"/>
      <w:r>
        <w:rPr>
          <w:rFonts w:ascii="Times New Roman" w:eastAsia="Times New Roman" w:hAnsi="Times New Roman" w:cs="Times New Roman"/>
          <w:kern w:val="0"/>
          <w:sz w:val="24"/>
          <w:szCs w:val="24"/>
          <w:lang w:val="en-GB" w:eastAsia="en-GB"/>
          <w14:ligatures w14:val="none"/>
        </w:rPr>
        <w:t>Hardana</w:t>
      </w:r>
      <w:proofErr w:type="spellEnd"/>
      <w:r>
        <w:rPr>
          <w:rFonts w:ascii="Times New Roman" w:eastAsia="Times New Roman" w:hAnsi="Times New Roman" w:cs="Times New Roman"/>
          <w:kern w:val="0"/>
          <w:sz w:val="24"/>
          <w:szCs w:val="24"/>
          <w:lang w:val="en-GB" w:eastAsia="en-GB"/>
          <w14:ligatures w14:val="none"/>
        </w:rPr>
        <w:t xml:space="preserve"> et al., 2023; </w:t>
      </w:r>
      <w:proofErr w:type="spellStart"/>
      <w:r>
        <w:rPr>
          <w:rFonts w:ascii="Times New Roman" w:eastAsia="Times New Roman" w:hAnsi="Times New Roman" w:cs="Times New Roman"/>
          <w:kern w:val="0"/>
          <w:sz w:val="24"/>
          <w:szCs w:val="24"/>
          <w:lang w:val="en-GB" w:eastAsia="en-GB"/>
          <w14:ligatures w14:val="none"/>
        </w:rPr>
        <w:t>Apriyanti</w:t>
      </w:r>
      <w:proofErr w:type="spellEnd"/>
      <w:r>
        <w:rPr>
          <w:rFonts w:ascii="Times New Roman" w:eastAsia="Times New Roman" w:hAnsi="Times New Roman" w:cs="Times New Roman"/>
          <w:kern w:val="0"/>
          <w:sz w:val="24"/>
          <w:szCs w:val="24"/>
          <w:lang w:val="en-GB" w:eastAsia="en-GB"/>
          <w14:ligatures w14:val="none"/>
        </w:rPr>
        <w:t xml:space="preserve"> &amp; Arifin, 2021). Supplementing this accrual-based view is the Cash Effective Tax Rate (CETR), calculated as the proportion of actual cash taxes paid to pre-tax income to filter out accounting deferrals (Shaukat et al., 2025), thereby offering a concrete window into a firm's practical cash position, real-time liquid cash outflows, and immediate financial discipline (</w:t>
      </w:r>
      <w:proofErr w:type="spellStart"/>
      <w:r>
        <w:rPr>
          <w:rFonts w:ascii="Times New Roman" w:eastAsia="Times New Roman" w:hAnsi="Times New Roman" w:cs="Times New Roman"/>
          <w:kern w:val="0"/>
          <w:sz w:val="24"/>
          <w:szCs w:val="24"/>
          <w:lang w:val="en-GB" w:eastAsia="en-GB"/>
          <w14:ligatures w14:val="none"/>
        </w:rPr>
        <w:t>Indawati</w:t>
      </w:r>
      <w:proofErr w:type="spellEnd"/>
      <w:r>
        <w:rPr>
          <w:rFonts w:ascii="Times New Roman" w:eastAsia="Times New Roman" w:hAnsi="Times New Roman" w:cs="Times New Roman"/>
          <w:kern w:val="0"/>
          <w:sz w:val="24"/>
          <w:szCs w:val="24"/>
          <w:lang w:val="en-GB" w:eastAsia="en-GB"/>
          <w14:ligatures w14:val="none"/>
        </w:rPr>
        <w:t xml:space="preserve"> &amp; </w:t>
      </w:r>
      <w:proofErr w:type="spellStart"/>
      <w:r>
        <w:rPr>
          <w:rFonts w:ascii="Times New Roman" w:eastAsia="Times New Roman" w:hAnsi="Times New Roman" w:cs="Times New Roman"/>
          <w:kern w:val="0"/>
          <w:sz w:val="24"/>
          <w:szCs w:val="24"/>
          <w:lang w:val="en-GB" w:eastAsia="en-GB"/>
          <w14:ligatures w14:val="none"/>
        </w:rPr>
        <w:t>Rizkiyani</w:t>
      </w:r>
      <w:proofErr w:type="spellEnd"/>
      <w:r>
        <w:rPr>
          <w:rFonts w:ascii="Times New Roman" w:eastAsia="Times New Roman" w:hAnsi="Times New Roman" w:cs="Times New Roman"/>
          <w:kern w:val="0"/>
          <w:sz w:val="24"/>
          <w:szCs w:val="24"/>
          <w:lang w:val="en-GB" w:eastAsia="en-GB"/>
          <w14:ligatures w14:val="none"/>
        </w:rPr>
        <w:t xml:space="preserve">, 2025; Shams et al., 2025). </w:t>
      </w:r>
    </w:p>
    <w:p w14:paraId="0FEBDF0E"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 xml:space="preserve">Beyond direct rate evaluations, the complex dynamics of corporate tax </w:t>
      </w:r>
      <w:proofErr w:type="spellStart"/>
      <w:r>
        <w:rPr>
          <w:rFonts w:ascii="Times New Roman" w:eastAsia="Times New Roman" w:hAnsi="Times New Roman" w:cs="Times New Roman"/>
          <w:kern w:val="0"/>
          <w:sz w:val="24"/>
          <w:szCs w:val="24"/>
          <w:lang w:val="en-GB" w:eastAsia="en-GB"/>
          <w14:ligatures w14:val="none"/>
        </w:rPr>
        <w:t>behavior</w:t>
      </w:r>
      <w:proofErr w:type="spellEnd"/>
      <w:r>
        <w:rPr>
          <w:rFonts w:ascii="Times New Roman" w:eastAsia="Times New Roman" w:hAnsi="Times New Roman" w:cs="Times New Roman"/>
          <w:kern w:val="0"/>
          <w:sz w:val="24"/>
          <w:szCs w:val="24"/>
          <w:lang w:val="en-GB" w:eastAsia="en-GB"/>
          <w14:ligatures w14:val="none"/>
        </w:rPr>
        <w:t xml:space="preserve"> can be monitored using the Book-Tax Difference (BTD), which exposes the structural gap between the accounting income reported to shareholders and the taxable income declared to fiscal authorities, acting as a highly sensitive proxy for managerial discretion where unusually wide variances often hint at aggressive accounting manipulations and underlying transparency risks (Shamil et al., 2024; Aryan, 2023; Amri et al., 2023; </w:t>
      </w:r>
      <w:proofErr w:type="spellStart"/>
      <w:r>
        <w:rPr>
          <w:rFonts w:ascii="Times New Roman" w:eastAsia="Times New Roman" w:hAnsi="Times New Roman" w:cs="Times New Roman"/>
          <w:kern w:val="0"/>
          <w:sz w:val="24"/>
          <w:szCs w:val="24"/>
          <w:lang w:val="en-GB" w:eastAsia="en-GB"/>
          <w14:ligatures w14:val="none"/>
        </w:rPr>
        <w:t>Bougacha</w:t>
      </w:r>
      <w:proofErr w:type="spellEnd"/>
      <w:r>
        <w:rPr>
          <w:rFonts w:ascii="Times New Roman" w:eastAsia="Times New Roman" w:hAnsi="Times New Roman" w:cs="Times New Roman"/>
          <w:kern w:val="0"/>
          <w:sz w:val="24"/>
          <w:szCs w:val="24"/>
          <w:lang w:val="en-GB" w:eastAsia="en-GB"/>
          <w14:ligatures w14:val="none"/>
        </w:rPr>
        <w:t xml:space="preserve"> &amp; </w:t>
      </w:r>
      <w:proofErr w:type="spellStart"/>
      <w:r>
        <w:rPr>
          <w:rFonts w:ascii="Times New Roman" w:eastAsia="Times New Roman" w:hAnsi="Times New Roman" w:cs="Times New Roman"/>
          <w:kern w:val="0"/>
          <w:sz w:val="24"/>
          <w:szCs w:val="24"/>
          <w:lang w:val="en-GB" w:eastAsia="en-GB"/>
          <w14:ligatures w14:val="none"/>
        </w:rPr>
        <w:t>Guedrib</w:t>
      </w:r>
      <w:proofErr w:type="spellEnd"/>
      <w:r>
        <w:rPr>
          <w:rFonts w:ascii="Times New Roman" w:eastAsia="Times New Roman" w:hAnsi="Times New Roman" w:cs="Times New Roman"/>
          <w:kern w:val="0"/>
          <w:sz w:val="24"/>
          <w:szCs w:val="24"/>
          <w:lang w:val="en-GB" w:eastAsia="en-GB"/>
          <w14:ligatures w14:val="none"/>
        </w:rPr>
        <w:t>, 2024). Meanwhile, the Tax Savings Ratio evaluates the specific proportion of tax savings an insurance firm captures via targeted deductions, credits, and deferrals relative to its pre-tax income base (</w:t>
      </w:r>
      <w:proofErr w:type="spellStart"/>
      <w:r>
        <w:rPr>
          <w:rFonts w:ascii="Times New Roman" w:eastAsia="Times New Roman" w:hAnsi="Times New Roman" w:cs="Times New Roman"/>
          <w:kern w:val="0"/>
          <w:sz w:val="24"/>
          <w:szCs w:val="24"/>
          <w:lang w:val="en-GB" w:eastAsia="en-GB"/>
          <w14:ligatures w14:val="none"/>
        </w:rPr>
        <w:t>Sihono</w:t>
      </w:r>
      <w:proofErr w:type="spellEnd"/>
      <w:r>
        <w:rPr>
          <w:rFonts w:ascii="Times New Roman" w:eastAsia="Times New Roman" w:hAnsi="Times New Roman" w:cs="Times New Roman"/>
          <w:kern w:val="0"/>
          <w:sz w:val="24"/>
          <w:szCs w:val="24"/>
          <w:lang w:val="en-GB" w:eastAsia="en-GB"/>
          <w14:ligatures w14:val="none"/>
        </w:rPr>
        <w:t xml:space="preserve"> &amp; </w:t>
      </w:r>
      <w:proofErr w:type="spellStart"/>
      <w:r>
        <w:rPr>
          <w:rFonts w:ascii="Times New Roman" w:eastAsia="Times New Roman" w:hAnsi="Times New Roman" w:cs="Times New Roman"/>
          <w:kern w:val="0"/>
          <w:sz w:val="24"/>
          <w:szCs w:val="24"/>
          <w:lang w:val="en-GB" w:eastAsia="en-GB"/>
          <w14:ligatures w14:val="none"/>
        </w:rPr>
        <w:t>Khairiyahtussolihah</w:t>
      </w:r>
      <w:proofErr w:type="spellEnd"/>
      <w:r>
        <w:rPr>
          <w:rFonts w:ascii="Times New Roman" w:eastAsia="Times New Roman" w:hAnsi="Times New Roman" w:cs="Times New Roman"/>
          <w:kern w:val="0"/>
          <w:sz w:val="24"/>
          <w:szCs w:val="24"/>
          <w:lang w:val="en-GB" w:eastAsia="en-GB"/>
          <w14:ligatures w14:val="none"/>
        </w:rPr>
        <w:t xml:space="preserve">, 2023), allowing these variables to collectively isolate how corporate oversight configurations shape tax minimization and clarify whether these </w:t>
      </w:r>
      <w:proofErr w:type="spellStart"/>
      <w:r>
        <w:rPr>
          <w:rFonts w:ascii="Times New Roman" w:eastAsia="Times New Roman" w:hAnsi="Times New Roman" w:cs="Times New Roman"/>
          <w:kern w:val="0"/>
          <w:sz w:val="24"/>
          <w:szCs w:val="24"/>
          <w:lang w:val="en-GB" w:eastAsia="en-GB"/>
          <w14:ligatures w14:val="none"/>
        </w:rPr>
        <w:t>maneuvers</w:t>
      </w:r>
      <w:proofErr w:type="spellEnd"/>
      <w:r>
        <w:rPr>
          <w:rFonts w:ascii="Times New Roman" w:eastAsia="Times New Roman" w:hAnsi="Times New Roman" w:cs="Times New Roman"/>
          <w:kern w:val="0"/>
          <w:sz w:val="24"/>
          <w:szCs w:val="24"/>
          <w:lang w:val="en-GB" w:eastAsia="en-GB"/>
          <w14:ligatures w14:val="none"/>
        </w:rPr>
        <w:t xml:space="preserve"> represent responsible cost management or short-term window dressing (</w:t>
      </w:r>
      <w:proofErr w:type="spellStart"/>
      <w:r>
        <w:rPr>
          <w:rFonts w:ascii="Times New Roman" w:eastAsia="Times New Roman" w:hAnsi="Times New Roman" w:cs="Times New Roman"/>
          <w:kern w:val="0"/>
          <w:sz w:val="24"/>
          <w:szCs w:val="24"/>
          <w:lang w:val="en-GB" w:eastAsia="en-GB"/>
          <w14:ligatures w14:val="none"/>
        </w:rPr>
        <w:t>Belahouaoui</w:t>
      </w:r>
      <w:proofErr w:type="spellEnd"/>
      <w:r>
        <w:rPr>
          <w:rFonts w:ascii="Times New Roman" w:eastAsia="Times New Roman" w:hAnsi="Times New Roman" w:cs="Times New Roman"/>
          <w:kern w:val="0"/>
          <w:sz w:val="24"/>
          <w:szCs w:val="24"/>
          <w:lang w:val="en-GB" w:eastAsia="en-GB"/>
          <w14:ligatures w14:val="none"/>
        </w:rPr>
        <w:t>, 2025).</w:t>
      </w:r>
    </w:p>
    <w:p w14:paraId="66D8D148" w14:textId="77777777" w:rsidR="008D5DCB" w:rsidRDefault="0020015B">
      <w:pPr>
        <w:pStyle w:val="NormalWeb"/>
        <w:jc w:val="both"/>
      </w:pPr>
      <w:r>
        <w:t xml:space="preserve">Despite extensive global literature on corporate tax aggressiveness, a critical </w:t>
      </w:r>
      <w:r>
        <w:rPr>
          <w:bCs/>
        </w:rPr>
        <w:t>empirical, contextual, and methodological gap</w:t>
      </w:r>
      <w:r>
        <w:t xml:space="preserve"> remains unaddressed. Existing studies such </w:t>
      </w:r>
      <w:proofErr w:type="gramStart"/>
      <w:r>
        <w:t xml:space="preserve">as( </w:t>
      </w:r>
      <w:proofErr w:type="spellStart"/>
      <w:r>
        <w:t>Bougacha</w:t>
      </w:r>
      <w:proofErr w:type="spellEnd"/>
      <w:proofErr w:type="gramEnd"/>
      <w:r>
        <w:t xml:space="preserve"> and </w:t>
      </w:r>
      <w:proofErr w:type="spellStart"/>
      <w:r>
        <w:t>Guedrib</w:t>
      </w:r>
      <w:proofErr w:type="spellEnd"/>
      <w:r>
        <w:t xml:space="preserve">, 2024; Keasey et al., 2025 &amp; </w:t>
      </w:r>
      <w:proofErr w:type="spellStart"/>
      <w:r>
        <w:t>Dagunduro</w:t>
      </w:r>
      <w:proofErr w:type="spellEnd"/>
      <w:r>
        <w:t xml:space="preserve"> et al., 2025) have largely focused on non-financial firms or banking institutions in developed economies, leaving the highly specialized insurance sector under-researched, particularly within sub-Saharan Africa. Methodologically, prior domestic works have frequently relied on singular, accrual-based tax metrics and static performance indicators, failing to capture the dual impact of tax behaviour on both long-term firm value and immediate equity pricing. Contextually, there is a distinct lack of empirical evidence regarding how the market penalizes or rewards tax aggressiveness when under the strain of an ongoing, hyper-aggressive statutory consolidation. This study directly bridges these </w:t>
      </w:r>
      <w:r>
        <w:lastRenderedPageBreak/>
        <w:t>gaps by examining the joint interaction of multi-dimensional tax proxies against distinct market performance dimensions during a period of unprecedented regulatory restructuring.</w:t>
      </w:r>
    </w:p>
    <w:p w14:paraId="26E1B603" w14:textId="77777777" w:rsidR="008D5DCB" w:rsidRDefault="0020015B">
      <w:pPr>
        <w:pStyle w:val="NormalWeb"/>
        <w:jc w:val="both"/>
      </w:pPr>
      <w:r>
        <w:t xml:space="preserve">Consequently, the primary objective of this study is to evaluate the effects of tax aggressiveness on the market performance of listed insurance companies in Nigeria. Specifically, the study seeks to analyse the individual and interactive impacts of the </w:t>
      </w:r>
      <w:r>
        <w:rPr>
          <w:bCs/>
        </w:rPr>
        <w:t>Effective Tax Rate (ETR)</w:t>
      </w:r>
      <w:r>
        <w:t xml:space="preserve">, </w:t>
      </w:r>
      <w:r>
        <w:rPr>
          <w:bCs/>
        </w:rPr>
        <w:t>Cash Effective Tax Rate (CETR)</w:t>
      </w:r>
      <w:r>
        <w:t xml:space="preserve">, </w:t>
      </w:r>
      <w:r>
        <w:rPr>
          <w:bCs/>
        </w:rPr>
        <w:t>Book-Tax Difference (BTD)</w:t>
      </w:r>
      <w:r>
        <w:t xml:space="preserve">, and </w:t>
      </w:r>
      <w:r>
        <w:rPr>
          <w:bCs/>
        </w:rPr>
        <w:t>Tax Savings Ratio</w:t>
      </w:r>
      <w:r>
        <w:t xml:space="preserve"> on the primary market indicators of </w:t>
      </w:r>
      <w:r>
        <w:rPr>
          <w:bCs/>
        </w:rPr>
        <w:t>Tobin's Q</w:t>
      </w:r>
      <w:r>
        <w:t xml:space="preserve"> and </w:t>
      </w:r>
      <w:r>
        <w:rPr>
          <w:bCs/>
        </w:rPr>
        <w:t>Market Value per Share</w:t>
      </w:r>
      <w:r>
        <w:t xml:space="preserve"> within the current regulatory climate. This study aims to equip insurance executives, regulatory authorities, and capital market participants with clear, data-driven insights into how tax management efficiency and its related compliance risks influence corporate stability and investor trust during a period of massive industry transformation.</w:t>
      </w:r>
    </w:p>
    <w:p w14:paraId="3C10586C"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Literature Review and Hypothesis Development</w:t>
      </w:r>
    </w:p>
    <w:p w14:paraId="5A1CFE13" w14:textId="77777777" w:rsidR="008D5DCB" w:rsidRDefault="0020015B">
      <w:pPr>
        <w:spacing w:after="0" w:line="240" w:lineRule="auto"/>
        <w:jc w:val="both"/>
        <w:rPr>
          <w:rFonts w:ascii="Times New Roman" w:eastAsia="Times New Roman" w:hAnsi="Times New Roman" w:cs="Times New Roman"/>
          <w:b/>
          <w:kern w:val="0"/>
          <w:sz w:val="24"/>
          <w:szCs w:val="24"/>
          <w:lang w:val="en-GB" w:eastAsia="en-GB"/>
          <w14:ligatures w14:val="none"/>
        </w:rPr>
      </w:pPr>
      <w:r>
        <w:rPr>
          <w:rFonts w:ascii="Times New Roman" w:eastAsia="Times New Roman" w:hAnsi="Times New Roman" w:cs="Times New Roman"/>
          <w:b/>
          <w:kern w:val="0"/>
          <w:sz w:val="24"/>
          <w:szCs w:val="24"/>
          <w:lang w:val="en-GB" w:eastAsia="en-GB"/>
          <w14:ligatures w14:val="none"/>
        </w:rPr>
        <w:t>2.1</w:t>
      </w:r>
      <w:r>
        <w:rPr>
          <w:rFonts w:ascii="Times New Roman" w:eastAsia="Times New Roman" w:hAnsi="Times New Roman" w:cs="Times New Roman"/>
          <w:b/>
          <w:kern w:val="0"/>
          <w:sz w:val="24"/>
          <w:szCs w:val="24"/>
          <w:lang w:val="en-GB" w:eastAsia="en-GB"/>
          <w14:ligatures w14:val="none"/>
        </w:rPr>
        <w:tab/>
        <w:t xml:space="preserve">Market performance </w:t>
      </w:r>
    </w:p>
    <w:p w14:paraId="254C0CC0" w14:textId="77777777" w:rsidR="008D5DCB" w:rsidRDefault="0020015B">
      <w:pPr>
        <w:spacing w:after="0"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cs="Times New Roman"/>
          <w:sz w:val="24"/>
          <w:szCs w:val="24"/>
        </w:rPr>
        <w:t>Market performance is a multidimensional construct reflecting how effectively an enterprise optimizes operational efficiency, strategic governance, and risk management to build investor confidence and maximize stakeholder wealth (</w:t>
      </w:r>
      <w:proofErr w:type="spellStart"/>
      <w:r>
        <w:rPr>
          <w:rFonts w:ascii="Times New Roman" w:hAnsi="Times New Roman" w:cs="Times New Roman"/>
          <w:sz w:val="24"/>
          <w:szCs w:val="24"/>
        </w:rPr>
        <w:t>Awotomilusi</w:t>
      </w:r>
      <w:proofErr w:type="spellEnd"/>
      <w:r>
        <w:rPr>
          <w:rFonts w:ascii="Times New Roman" w:hAnsi="Times New Roman" w:cs="Times New Roman"/>
          <w:sz w:val="24"/>
          <w:szCs w:val="24"/>
        </w:rPr>
        <w:t xml:space="preserve"> et al., 2025; </w:t>
      </w:r>
      <w:proofErr w:type="spellStart"/>
      <w:r>
        <w:rPr>
          <w:rFonts w:ascii="Times New Roman" w:hAnsi="Times New Roman" w:cs="Times New Roman"/>
          <w:sz w:val="24"/>
          <w:szCs w:val="24"/>
        </w:rPr>
        <w:t>Dagunduro</w:t>
      </w:r>
      <w:proofErr w:type="spellEnd"/>
      <w:r>
        <w:rPr>
          <w:rFonts w:ascii="Times New Roman" w:hAnsi="Times New Roman" w:cs="Times New Roman"/>
          <w:sz w:val="24"/>
          <w:szCs w:val="24"/>
        </w:rPr>
        <w:t xml:space="preserve"> et al., 2025). Scholarly literature demonstrates that this valuation extends beyond internal profitability, showing sensitivity to robust stakeholder engagement (Akinyemi &amp; Alaka, 2023), risk committee oversight (</w:t>
      </w:r>
      <w:r>
        <w:t>S</w:t>
      </w:r>
      <w:r>
        <w:rPr>
          <w:rFonts w:ascii="Times New Roman" w:hAnsi="Times New Roman" w:cs="Times New Roman"/>
          <w:sz w:val="24"/>
          <w:szCs w:val="24"/>
        </w:rPr>
        <w:t xml:space="preserve">hams et al., 2025; </w:t>
      </w:r>
      <w:proofErr w:type="spellStart"/>
      <w:r>
        <w:rPr>
          <w:rFonts w:ascii="Times New Roman" w:hAnsi="Times New Roman" w:cs="Times New Roman"/>
          <w:sz w:val="24"/>
          <w:szCs w:val="24"/>
        </w:rPr>
        <w:t>Alduneibat</w:t>
      </w:r>
      <w:proofErr w:type="spellEnd"/>
      <w:r>
        <w:rPr>
          <w:rFonts w:ascii="Times New Roman" w:hAnsi="Times New Roman" w:cs="Times New Roman"/>
          <w:sz w:val="24"/>
          <w:szCs w:val="24"/>
        </w:rPr>
        <w:t>, 2023), structural resilience during macroeconomic crises (Nuta et al., 2025), and contemporary dynamics like ESG frameworks (Ren et al., 2025), AI integration (Chen et al., 2025), social media sentiment (Keasey et al., 2025), data transparency (Zhang &amp; Sok, 2025), and behavioral reactions to corporate fiscal policies (Audi et al., 2025; Su &amp; Deng, 2024). Within this study, market performance encapsulates how financial, tax, and governance configurations generate positive investor sentiment and long-term equity appreciation, evaluating the combined influence of tax management, liquidity cushions, and board competence through two distinct market-based proxies: Market Value Per Share (MVPS) and Tobin's Q, with the latter capturing forward-looking growth prospects, asset efficiency, and investor perceptions of future profitability (</w:t>
      </w:r>
      <w:proofErr w:type="spellStart"/>
      <w:r>
        <w:rPr>
          <w:rFonts w:ascii="Times New Roman" w:hAnsi="Times New Roman" w:cs="Times New Roman"/>
          <w:sz w:val="24"/>
          <w:szCs w:val="24"/>
        </w:rPr>
        <w:t>Awotomilusi</w:t>
      </w:r>
      <w:proofErr w:type="spellEnd"/>
      <w:r>
        <w:rPr>
          <w:rFonts w:ascii="Times New Roman" w:hAnsi="Times New Roman" w:cs="Times New Roman"/>
          <w:sz w:val="24"/>
          <w:szCs w:val="24"/>
        </w:rPr>
        <w:t xml:space="preserve"> et al., 2025; </w:t>
      </w:r>
      <w:proofErr w:type="spellStart"/>
      <w:r>
        <w:rPr>
          <w:rFonts w:ascii="Times New Roman" w:hAnsi="Times New Roman" w:cs="Times New Roman"/>
          <w:sz w:val="24"/>
          <w:szCs w:val="24"/>
        </w:rPr>
        <w:t>Dagunduro</w:t>
      </w:r>
      <w:proofErr w:type="spellEnd"/>
      <w:r>
        <w:rPr>
          <w:rFonts w:ascii="Times New Roman" w:hAnsi="Times New Roman" w:cs="Times New Roman"/>
          <w:sz w:val="24"/>
          <w:szCs w:val="24"/>
        </w:rPr>
        <w:t xml:space="preserve"> et al., 2025).</w:t>
      </w:r>
    </w:p>
    <w:p w14:paraId="7191E02A" w14:textId="77777777" w:rsidR="008D5DCB" w:rsidRDefault="008D5DCB">
      <w:pPr>
        <w:spacing w:after="0" w:line="240" w:lineRule="auto"/>
        <w:jc w:val="both"/>
        <w:rPr>
          <w:rFonts w:ascii="Times New Roman" w:hAnsi="Times New Roman" w:cs="Times New Roman"/>
          <w:b/>
          <w:sz w:val="24"/>
          <w:szCs w:val="24"/>
        </w:rPr>
      </w:pPr>
    </w:p>
    <w:p w14:paraId="045190DD"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 Tax Aggressiveness and Market Performance</w:t>
      </w:r>
    </w:p>
    <w:p w14:paraId="482F2D73" w14:textId="77777777" w:rsidR="008D5DCB" w:rsidRDefault="0020015B">
      <w:pPr>
        <w:spacing w:line="240" w:lineRule="auto"/>
        <w:jc w:val="both"/>
        <w:rPr>
          <w:rFonts w:ascii="Times New Roman" w:hAnsi="Times New Roman" w:cs="Times New Roman"/>
          <w:b/>
          <w:sz w:val="24"/>
          <w:szCs w:val="24"/>
        </w:rPr>
      </w:pPr>
      <w:r>
        <w:rPr>
          <w:rFonts w:ascii="Times New Roman" w:hAnsi="Times New Roman" w:cs="Times New Roman"/>
          <w:sz w:val="24"/>
          <w:szCs w:val="24"/>
        </w:rPr>
        <w:t>Global literature on the empirical nexus between tax aggressiveness and market performance yields highly mixed results, largely due to geographic and sectoral variations. In Vietnam, aggressive tax planning systematically depressed Tobin's Q despite improving accounting returns (Khuong et al., 2020), showing that investors often view these maneuvers as signs of regulatory risk and managerial opportunism. While governance studies in Indonesia highlight that audit committees can curtail tax aggressiveness (</w:t>
      </w:r>
      <w:proofErr w:type="spellStart"/>
      <w:r>
        <w:rPr>
          <w:rFonts w:ascii="Times New Roman" w:hAnsi="Times New Roman" w:cs="Times New Roman"/>
          <w:sz w:val="24"/>
          <w:szCs w:val="24"/>
        </w:rPr>
        <w:t>Apriyanti</w:t>
      </w:r>
      <w:proofErr w:type="spellEnd"/>
      <w:r>
        <w:rPr>
          <w:rFonts w:ascii="Times New Roman" w:hAnsi="Times New Roman" w:cs="Times New Roman"/>
          <w:sz w:val="24"/>
          <w:szCs w:val="24"/>
        </w:rPr>
        <w:t xml:space="preserve"> &amp; Arifin, 2021), these findings alongside South Asian banking studies showing inconsistent impacts from board independence (Malik &amp; Munir, 2024; Shaukat et al., 2025) fail to address the unique regulatory realities of the insurance sector. Even localized sub-Saharan research has heavily favored banking, such as Ogbonna et al.'s (2022) study on Nigerian banks, which found that tax aggressiveness negatively impacted accounting profitability; however, by relying on a single tax proxy (ETR) and ignoring real-time market valuations, a critical literature gap remains regarding how complex tax planning simultaneously drives long-term value and equity pricing within the Nigerian insurance industry. Beyond internal governance, the external socio-political climate also alters how the market prices a </w:t>
      </w:r>
      <w:proofErr w:type="gramStart"/>
      <w:r>
        <w:rPr>
          <w:rFonts w:ascii="Times New Roman" w:hAnsi="Times New Roman" w:cs="Times New Roman"/>
          <w:sz w:val="24"/>
          <w:szCs w:val="24"/>
        </w:rPr>
        <w:t>firms</w:t>
      </w:r>
      <w:proofErr w:type="gramEnd"/>
      <w:r>
        <w:rPr>
          <w:rFonts w:ascii="Times New Roman" w:hAnsi="Times New Roman" w:cs="Times New Roman"/>
          <w:sz w:val="24"/>
          <w:szCs w:val="24"/>
        </w:rPr>
        <w:t xml:space="preserve"> tax behavior</w:t>
      </w:r>
    </w:p>
    <w:p w14:paraId="54EF7356" w14:textId="77777777" w:rsidR="008D5DCB" w:rsidRDefault="0020015B">
      <w:pPr>
        <w:spacing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Abdullah et al. (2022) explored listed corporations in Pakistan and discovered that while tax-aggressive firms generally suffered from poor market performance due to heightened risk premiums, the possession of strong political connections heavily mitigated these negative effects by securing lucrative government contracts and subsidies. In a similar vein, </w:t>
      </w:r>
      <w:proofErr w:type="spellStart"/>
      <w:r>
        <w:rPr>
          <w:rFonts w:ascii="Times New Roman" w:hAnsi="Times New Roman" w:cs="Times New Roman"/>
          <w:sz w:val="24"/>
          <w:szCs w:val="24"/>
        </w:rPr>
        <w:t>Sihono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Khairiyahtussolihah</w:t>
      </w:r>
      <w:proofErr w:type="spellEnd"/>
      <w:r>
        <w:rPr>
          <w:rFonts w:ascii="Times New Roman" w:hAnsi="Times New Roman" w:cs="Times New Roman"/>
          <w:sz w:val="24"/>
          <w:szCs w:val="24"/>
        </w:rPr>
        <w:t xml:space="preserve"> (2023) confirmed that politically insulated firms face lower market penalties when exploiting fiscal loopholes. While these studies offer fascinating insights into institutional capture, their heavy focus on political insulation makes them less applicable to strictly supervised financial ecosystems like the insurance industry, where operational transparency and stringent compliance are required for institutional survival.</w:t>
      </w:r>
    </w:p>
    <w:p w14:paraId="01288CED"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Empirical inquiry into the broader interactions of tax minimization reveals that its effect on firm value depends heavily on corporate risk, capital structure, and governance. While strong oversight can lead to positive market returns by mitigating agency costs (</w:t>
      </w:r>
      <w:proofErr w:type="spellStart"/>
      <w:r>
        <w:rPr>
          <w:rFonts w:ascii="Times New Roman" w:eastAsia="Times New Roman" w:hAnsi="Times New Roman" w:cs="Times New Roman"/>
          <w:kern w:val="0"/>
          <w:sz w:val="24"/>
          <w:szCs w:val="24"/>
          <w:lang w:val="en-GB" w:eastAsia="en-GB"/>
          <w14:ligatures w14:val="none"/>
        </w:rPr>
        <w:t>Hardana</w:t>
      </w:r>
      <w:proofErr w:type="spellEnd"/>
      <w:r>
        <w:rPr>
          <w:rFonts w:ascii="Times New Roman" w:eastAsia="Times New Roman" w:hAnsi="Times New Roman" w:cs="Times New Roman"/>
          <w:kern w:val="0"/>
          <w:sz w:val="24"/>
          <w:szCs w:val="24"/>
          <w:lang w:val="en-GB" w:eastAsia="en-GB"/>
          <w14:ligatures w14:val="none"/>
        </w:rPr>
        <w:t xml:space="preserve"> et al., 2023), aggressive tax avoidance frequently fractures investor confidence and depresses firm value, a negative reaction that is further exacerbated by high financial leverage (Shubita, 2024). To manage the resulting reputational risks, tax-aggressive firms often leverage modern intangible value drivers, such as increased board gender diversity and heightened Corporate Social Responsibility (CSR) reporting (Aryan, 2023). Ultimately, the systemic impact of these tax strategies on a firm's overall risk profile remains highly volatile, differing fundamentally based on whether stakeholders evaluate accounting metrics or forward-looking valuation indicators like Tobin's Q (</w:t>
      </w:r>
      <w:proofErr w:type="spellStart"/>
      <w:r>
        <w:rPr>
          <w:rFonts w:ascii="Times New Roman" w:eastAsia="Times New Roman" w:hAnsi="Times New Roman" w:cs="Times New Roman"/>
          <w:kern w:val="0"/>
          <w:sz w:val="24"/>
          <w:szCs w:val="24"/>
          <w:lang w:val="en-GB" w:eastAsia="en-GB"/>
          <w14:ligatures w14:val="none"/>
        </w:rPr>
        <w:t>Bougacha</w:t>
      </w:r>
      <w:proofErr w:type="spellEnd"/>
      <w:r>
        <w:rPr>
          <w:rFonts w:ascii="Times New Roman" w:eastAsia="Times New Roman" w:hAnsi="Times New Roman" w:cs="Times New Roman"/>
          <w:kern w:val="0"/>
          <w:sz w:val="24"/>
          <w:szCs w:val="24"/>
          <w:lang w:val="en-GB" w:eastAsia="en-GB"/>
          <w14:ligatures w14:val="none"/>
        </w:rPr>
        <w:t xml:space="preserve"> &amp; </w:t>
      </w:r>
      <w:proofErr w:type="spellStart"/>
      <w:r>
        <w:rPr>
          <w:rFonts w:ascii="Times New Roman" w:eastAsia="Times New Roman" w:hAnsi="Times New Roman" w:cs="Times New Roman"/>
          <w:kern w:val="0"/>
          <w:sz w:val="24"/>
          <w:szCs w:val="24"/>
          <w:lang w:val="en-GB" w:eastAsia="en-GB"/>
          <w14:ligatures w14:val="none"/>
        </w:rPr>
        <w:t>Guedrib</w:t>
      </w:r>
      <w:proofErr w:type="spellEnd"/>
      <w:r>
        <w:rPr>
          <w:rFonts w:ascii="Times New Roman" w:eastAsia="Times New Roman" w:hAnsi="Times New Roman" w:cs="Times New Roman"/>
          <w:kern w:val="0"/>
          <w:sz w:val="24"/>
          <w:szCs w:val="24"/>
          <w:lang w:val="en-GB" w:eastAsia="en-GB"/>
          <w14:ligatures w14:val="none"/>
        </w:rPr>
        <w:t>, 2024).</w:t>
      </w:r>
    </w:p>
    <w:p w14:paraId="0BB31C0B" w14:textId="77777777" w:rsidR="008D5DCB" w:rsidRDefault="0020015B">
      <w:pPr>
        <w:pStyle w:val="NormalWeb"/>
        <w:jc w:val="both"/>
      </w:pPr>
      <w:r>
        <w:t xml:space="preserve">Adegbite (2025) found that extended external audit tenures increased both CETR and BTD among listed Nigerian financial institutions, yet failed to examine how these shifts map into market valuation. This highlight three distinct gaps in the existing literature: a geographic and sectoral imbalance </w:t>
      </w:r>
      <w:proofErr w:type="spellStart"/>
      <w:r>
        <w:t>favoring</w:t>
      </w:r>
      <w:proofErr w:type="spellEnd"/>
      <w:r>
        <w:t xml:space="preserve"> Western or Asian markets and domestic manufacturing or banking sectors; a methodological overreliance on single, accrual-based tax metrics and static accounting returns; and a failure to account for the contemporary realities of the Nigerian insurance sector as it restructures under the Nigerian Insurance Industry Reform Act (NIIRA) 2025. This study bridges these gaps by executing a comprehensive evaluation of four distinct tax proxies (ETR, CETR, BTD, and Tax Savings Ratio) against both Tobin’s Q and Market Value per Share (MVPS) over an extended 13-year period (2012–2024). However, the following hypotheses were raised;</w:t>
      </w:r>
    </w:p>
    <w:p w14:paraId="71479175" w14:textId="77777777" w:rsidR="008D5DCB" w:rsidRDefault="0020015B">
      <w:pPr>
        <w:pStyle w:val="NormalWeb"/>
        <w:jc w:val="both"/>
      </w:pPr>
      <w:r>
        <w:rPr>
          <w:b/>
          <w:i/>
        </w:rPr>
        <w:t>H</w:t>
      </w:r>
      <w:r>
        <w:rPr>
          <w:b/>
          <w:i/>
          <w:vertAlign w:val="subscript"/>
        </w:rPr>
        <w:t>1</w:t>
      </w:r>
      <w:r>
        <w:rPr>
          <w:b/>
          <w:i/>
        </w:rPr>
        <w:t>:</w:t>
      </w:r>
      <w:r>
        <w:rPr>
          <w:b/>
          <w:i/>
        </w:rPr>
        <w:tab/>
      </w:r>
      <w:r>
        <w:t>Effective Tax Rate (ETR) has a significant effect on the Tobin’s Q of listed insurance companies in Nigeria.</w:t>
      </w:r>
    </w:p>
    <w:p w14:paraId="61A43B70" w14:textId="77777777" w:rsidR="008D5DCB" w:rsidRDefault="0020015B">
      <w:pPr>
        <w:pStyle w:val="NormalWeb"/>
        <w:jc w:val="both"/>
      </w:pPr>
      <w:r>
        <w:rPr>
          <w:b/>
          <w:i/>
        </w:rPr>
        <w:t>H</w:t>
      </w:r>
      <w:r>
        <w:rPr>
          <w:b/>
          <w:i/>
          <w:vertAlign w:val="subscript"/>
        </w:rPr>
        <w:t>2</w:t>
      </w:r>
      <w:r>
        <w:rPr>
          <w:b/>
          <w:i/>
        </w:rPr>
        <w:t>:</w:t>
      </w:r>
      <w:r>
        <w:rPr>
          <w:b/>
          <w:i/>
        </w:rPr>
        <w:tab/>
      </w:r>
      <w:r>
        <w:t>Cash Effective Tax Rate (CETR) has a significant effect on the Tobin’s Q of listed insurance companies in Nigeria.</w:t>
      </w:r>
    </w:p>
    <w:p w14:paraId="74891891" w14:textId="77777777" w:rsidR="008D5DCB" w:rsidRDefault="0020015B">
      <w:pPr>
        <w:pStyle w:val="NormalWeb"/>
        <w:jc w:val="both"/>
      </w:pPr>
      <w:r>
        <w:rPr>
          <w:b/>
          <w:i/>
        </w:rPr>
        <w:t>H</w:t>
      </w:r>
      <w:r>
        <w:rPr>
          <w:b/>
          <w:i/>
          <w:vertAlign w:val="subscript"/>
        </w:rPr>
        <w:t>3</w:t>
      </w:r>
      <w:r>
        <w:rPr>
          <w:b/>
          <w:i/>
        </w:rPr>
        <w:t>:</w:t>
      </w:r>
      <w:r>
        <w:rPr>
          <w:b/>
          <w:i/>
        </w:rPr>
        <w:tab/>
      </w:r>
      <w:r>
        <w:t>Book-Tax Difference (BTD) has a significant effect on the Tobin’s Q of listed insurance companies in Nigeria.</w:t>
      </w:r>
    </w:p>
    <w:p w14:paraId="4A806D8F" w14:textId="77777777" w:rsidR="008D5DCB" w:rsidRDefault="0020015B">
      <w:pPr>
        <w:pStyle w:val="NormalWeb"/>
        <w:jc w:val="both"/>
      </w:pPr>
      <w:r>
        <w:rPr>
          <w:b/>
          <w:i/>
        </w:rPr>
        <w:t>H</w:t>
      </w:r>
      <w:r>
        <w:rPr>
          <w:b/>
          <w:i/>
          <w:vertAlign w:val="subscript"/>
        </w:rPr>
        <w:t>4</w:t>
      </w:r>
      <w:r>
        <w:rPr>
          <w:b/>
          <w:i/>
        </w:rPr>
        <w:t>:</w:t>
      </w:r>
      <w:r>
        <w:rPr>
          <w:b/>
          <w:i/>
        </w:rPr>
        <w:tab/>
      </w:r>
      <w:r>
        <w:t>Tax Savings Ratio (TSR) has a significant effect on the Tobin’s Q of listed insurance companies in Nigeria.</w:t>
      </w:r>
    </w:p>
    <w:p w14:paraId="3BF7DC98" w14:textId="77777777" w:rsidR="008D5DCB" w:rsidRDefault="0020015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2.3</w:t>
      </w:r>
      <w:r>
        <w:rPr>
          <w:rFonts w:ascii="Times New Roman" w:hAnsi="Times New Roman" w:cs="Times New Roman"/>
          <w:b/>
          <w:bCs/>
          <w:sz w:val="24"/>
          <w:szCs w:val="24"/>
        </w:rPr>
        <w:tab/>
        <w:t>Conceptual framework</w:t>
      </w:r>
    </w:p>
    <w:p w14:paraId="2ED67E4C" w14:textId="77777777" w:rsidR="008D5DCB" w:rsidRDefault="0020015B">
      <w:pPr>
        <w:spacing w:after="0" w:line="240" w:lineRule="auto"/>
        <w:ind w:left="720" w:firstLine="720"/>
        <w:jc w:val="both"/>
        <w:rPr>
          <w:rFonts w:ascii="Times New Roman" w:hAnsi="Times New Roman" w:cs="Times New Roman"/>
          <w:b/>
          <w:bCs/>
          <w:sz w:val="24"/>
          <w:szCs w:val="24"/>
        </w:rPr>
      </w:pPr>
      <w:r>
        <w:rPr>
          <w:rFonts w:ascii="Times New Roman" w:hAnsi="Times New Roman" w:cs="Times New Roman"/>
          <w:b/>
          <w:bCs/>
          <w:noProof/>
          <w:sz w:val="24"/>
          <w:szCs w:val="24"/>
          <w:lang w:val="en-GB" w:eastAsia="en-GB"/>
        </w:rPr>
        <mc:AlternateContent>
          <mc:Choice Requires="wpg">
            <w:drawing>
              <wp:anchor distT="0" distB="0" distL="0" distR="0" simplePos="0" relativeHeight="251660288" behindDoc="0" locked="0" layoutInCell="1" allowOverlap="1" wp14:anchorId="7A9AF8DA" wp14:editId="2649C679">
                <wp:simplePos x="0" y="0"/>
                <wp:positionH relativeFrom="column">
                  <wp:posOffset>9525</wp:posOffset>
                </wp:positionH>
                <wp:positionV relativeFrom="paragraph">
                  <wp:posOffset>69850</wp:posOffset>
                </wp:positionV>
                <wp:extent cx="6051550" cy="1785620"/>
                <wp:effectExtent l="0" t="0" r="26035" b="24130"/>
                <wp:wrapNone/>
                <wp:docPr id="9" name="Group 9"/>
                <wp:cNvGraphicFramePr/>
                <a:graphic xmlns:a="http://schemas.openxmlformats.org/drawingml/2006/main">
                  <a:graphicData uri="http://schemas.microsoft.com/office/word/2010/wordprocessingGroup">
                    <wpg:wgp>
                      <wpg:cNvGrpSpPr/>
                      <wpg:grpSpPr>
                        <a:xfrm>
                          <a:off x="0" y="0"/>
                          <a:ext cx="6051485" cy="1785668"/>
                          <a:chOff x="148150" y="0"/>
                          <a:chExt cx="6033575" cy="1613240"/>
                        </a:xfrm>
                      </wpg:grpSpPr>
                      <wps:wsp>
                        <wps:cNvPr id="10" name="1027"/>
                        <wps:cNvSpPr>
                          <a:spLocks noChangeArrowheads="1"/>
                        </wps:cNvSpPr>
                        <wps:spPr bwMode="auto">
                          <a:xfrm>
                            <a:off x="148150" y="0"/>
                            <a:ext cx="2624918" cy="314325"/>
                          </a:xfrm>
                          <a:prstGeom prst="rect">
                            <a:avLst/>
                          </a:prstGeom>
                          <a:solidFill>
                            <a:srgbClr val="70AD47"/>
                          </a:solidFill>
                          <a:ln w="12700">
                            <a:solidFill>
                              <a:srgbClr val="2F491E"/>
                            </a:solidFill>
                            <a:miter lim="800000"/>
                          </a:ln>
                        </wps:spPr>
                        <wps:txbx>
                          <w:txbxContent>
                            <w:p w14:paraId="7981CC8A" w14:textId="77777777" w:rsidR="008D5DCB" w:rsidRDefault="0020015B">
                              <w:pPr>
                                <w:jc w:val="both"/>
                                <w:rPr>
                                  <w:rFonts w:ascii="Times New Roman" w:hAnsi="Times New Roman" w:cs="Times New Roman"/>
                                  <w:b/>
                                  <w:sz w:val="24"/>
                                  <w:szCs w:val="24"/>
                                </w:rPr>
                              </w:pPr>
                              <w:r>
                                <w:rPr>
                                  <w:rFonts w:ascii="Times New Roman" w:hAnsi="Times New Roman" w:cs="Times New Roman"/>
                                  <w:b/>
                                  <w:sz w:val="24"/>
                                  <w:szCs w:val="24"/>
                                </w:rPr>
                                <w:tab/>
                                <w:t xml:space="preserve">Tax Aggressiveness </w:t>
                              </w:r>
                            </w:p>
                            <w:p w14:paraId="0390B715" w14:textId="77777777" w:rsidR="008D5DCB" w:rsidRDefault="008D5DCB">
                              <w:pPr>
                                <w:jc w:val="center"/>
                                <w:rPr>
                                  <w:rFonts w:ascii="Times New Roman" w:hAnsi="Times New Roman" w:cs="Times New Roman"/>
                                </w:rPr>
                              </w:pPr>
                            </w:p>
                          </w:txbxContent>
                        </wps:txbx>
                        <wps:bodyPr rot="0" vert="horz" wrap="square" lIns="91440" tIns="45720" rIns="91440" bIns="45720" anchor="ctr" anchorCtr="0" upright="1">
                          <a:noAutofit/>
                        </wps:bodyPr>
                      </wps:wsp>
                      <wps:wsp>
                        <wps:cNvPr id="11" name="1028"/>
                        <wps:cNvSpPr>
                          <a:spLocks noChangeArrowheads="1"/>
                        </wps:cNvSpPr>
                        <wps:spPr bwMode="auto">
                          <a:xfrm>
                            <a:off x="3648075" y="9525"/>
                            <a:ext cx="2533650" cy="314325"/>
                          </a:xfrm>
                          <a:prstGeom prst="rect">
                            <a:avLst/>
                          </a:prstGeom>
                          <a:solidFill>
                            <a:srgbClr val="70AD47"/>
                          </a:solidFill>
                          <a:ln w="12700">
                            <a:solidFill>
                              <a:srgbClr val="2F491E"/>
                            </a:solidFill>
                            <a:miter lim="800000"/>
                          </a:ln>
                        </wps:spPr>
                        <wps:txbx>
                          <w:txbxContent>
                            <w:p w14:paraId="77645A3C" w14:textId="77777777" w:rsidR="008D5DCB" w:rsidRDefault="0020015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Pr>
                                  <w:rFonts w:ascii="Times New Roman" w:hAnsi="Times New Roman" w:cs="Times New Roman"/>
                                  <w:b/>
                                  <w:sz w:val="24"/>
                                  <w:szCs w:val="24"/>
                                </w:rPr>
                                <w:tab/>
                                <w:t>Market Performance</w:t>
                              </w:r>
                            </w:p>
                            <w:p w14:paraId="5FE6AEF3" w14:textId="77777777" w:rsidR="008D5DCB" w:rsidRDefault="008D5DCB">
                              <w:pPr>
                                <w:jc w:val="center"/>
                                <w:rPr>
                                  <w:rFonts w:ascii="Times New Roman" w:hAnsi="Times New Roman" w:cs="Times New Roman"/>
                                </w:rPr>
                              </w:pPr>
                            </w:p>
                          </w:txbxContent>
                        </wps:txbx>
                        <wps:bodyPr rot="0" vert="horz" wrap="square" lIns="91440" tIns="45720" rIns="91440" bIns="45720" anchor="ctr" anchorCtr="0" upright="1">
                          <a:noAutofit/>
                        </wps:bodyPr>
                      </wps:wsp>
                      <wps:wsp>
                        <wps:cNvPr id="12" name="1029"/>
                        <wps:cNvSpPr>
                          <a:spLocks noChangeArrowheads="1"/>
                        </wps:cNvSpPr>
                        <wps:spPr bwMode="auto">
                          <a:xfrm>
                            <a:off x="155747" y="570214"/>
                            <a:ext cx="2647709" cy="1042982"/>
                          </a:xfrm>
                          <a:prstGeom prst="rect">
                            <a:avLst/>
                          </a:prstGeom>
                          <a:solidFill>
                            <a:srgbClr val="70AD47"/>
                          </a:solidFill>
                          <a:ln w="12700">
                            <a:solidFill>
                              <a:srgbClr val="2F491E"/>
                            </a:solidFill>
                            <a:miter lim="800000"/>
                          </a:ln>
                        </wps:spPr>
                        <wps:txbx>
                          <w:txbxContent>
                            <w:p w14:paraId="3A0DD247" w14:textId="77777777" w:rsidR="008D5DCB" w:rsidRDefault="008D5DCB">
                              <w:pPr>
                                <w:spacing w:after="0" w:line="240" w:lineRule="auto"/>
                                <w:ind w:left="360"/>
                                <w:rPr>
                                  <w:rFonts w:ascii="Times New Roman" w:hAnsi="Times New Roman" w:cs="Times New Roman"/>
                                  <w:b/>
                                  <w:bCs/>
                                  <w:sz w:val="24"/>
                                  <w:szCs w:val="24"/>
                                </w:rPr>
                              </w:pPr>
                            </w:p>
                            <w:p w14:paraId="3F48B2A7"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Effective</w:t>
                              </w:r>
                              <w:r>
                                <w:t xml:space="preserve"> </w:t>
                              </w:r>
                              <w:r>
                                <w:rPr>
                                  <w:rFonts w:ascii="Times New Roman" w:hAnsi="Times New Roman" w:cs="Times New Roman"/>
                                  <w:sz w:val="24"/>
                                  <w:szCs w:val="24"/>
                                </w:rPr>
                                <w:t>Tax Rate (ETR)</w:t>
                              </w:r>
                            </w:p>
                            <w:p w14:paraId="62FA87BC"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Cash Effective Tax Rate (CETR)</w:t>
                              </w:r>
                            </w:p>
                            <w:p w14:paraId="403613AF"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Book-Tax Difference (BTD)</w:t>
                              </w:r>
                              <w:r>
                                <w:rPr>
                                  <w:rFonts w:ascii="Times New Roman" w:eastAsia="Times New Roman" w:hAnsi="Times New Roman" w:cs="Times New Roman"/>
                                  <w:b/>
                                  <w:bCs/>
                                  <w:sz w:val="24"/>
                                  <w:szCs w:val="24"/>
                                  <w:lang w:eastAsia="en-GB"/>
                                </w:rPr>
                                <w:t xml:space="preserve"> </w:t>
                              </w:r>
                            </w:p>
                            <w:p w14:paraId="759DF8FD"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Tax Savings Ratio (TSR)</w:t>
                              </w:r>
                            </w:p>
                            <w:p w14:paraId="4865E8A3" w14:textId="77777777" w:rsidR="008D5DCB" w:rsidRDefault="008D5DCB">
                              <w:pPr>
                                <w:rPr>
                                  <w:rFonts w:ascii="Times New Roman" w:hAnsi="Times New Roman" w:cs="Times New Roman"/>
                                  <w:b/>
                                  <w:bCs/>
                                  <w:sz w:val="24"/>
                                  <w:szCs w:val="24"/>
                                </w:rPr>
                              </w:pPr>
                            </w:p>
                            <w:p w14:paraId="089A9042" w14:textId="77777777" w:rsidR="008D5DCB" w:rsidRDefault="008D5DCB">
                              <w:pPr>
                                <w:rPr>
                                  <w:b/>
                                  <w:bCs/>
                                  <w:sz w:val="24"/>
                                </w:rPr>
                              </w:pPr>
                            </w:p>
                            <w:p w14:paraId="2C9CDBB1" w14:textId="77777777" w:rsidR="008D5DCB" w:rsidRDefault="008D5DCB"/>
                          </w:txbxContent>
                        </wps:txbx>
                        <wps:bodyPr rot="0" vert="horz" wrap="square" lIns="91440" tIns="45720" rIns="91440" bIns="45720" anchor="ctr" anchorCtr="0" upright="1">
                          <a:noAutofit/>
                        </wps:bodyPr>
                      </wps:wsp>
                      <wps:wsp>
                        <wps:cNvPr id="13" name="1030"/>
                        <wps:cNvSpPr>
                          <a:spLocks noChangeArrowheads="1"/>
                        </wps:cNvSpPr>
                        <wps:spPr bwMode="auto">
                          <a:xfrm>
                            <a:off x="3617747" y="592433"/>
                            <a:ext cx="2562841" cy="1020807"/>
                          </a:xfrm>
                          <a:prstGeom prst="rect">
                            <a:avLst/>
                          </a:prstGeom>
                          <a:solidFill>
                            <a:srgbClr val="70AD47"/>
                          </a:solidFill>
                          <a:ln w="12700">
                            <a:solidFill>
                              <a:srgbClr val="2F491E"/>
                            </a:solidFill>
                            <a:miter lim="800000"/>
                          </a:ln>
                        </wps:spPr>
                        <wps:txbx>
                          <w:txbxContent>
                            <w:p w14:paraId="0643FA1F" w14:textId="77777777" w:rsidR="008D5DCB" w:rsidRDefault="008D5DCB">
                              <w:pPr>
                                <w:rPr>
                                  <w:rFonts w:ascii="Times New Roman" w:hAnsi="Times New Roman" w:cs="Times New Roman"/>
                                  <w:b/>
                                  <w:bCs/>
                                  <w:sz w:val="24"/>
                                </w:rPr>
                              </w:pPr>
                            </w:p>
                            <w:p w14:paraId="78DF3107"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hAnsi="Times New Roman" w:cs="Times New Roman"/>
                                  <w:bCs/>
                                  <w:sz w:val="24"/>
                                  <w:szCs w:val="24"/>
                                </w:rPr>
                                <w:t>Tobin’s Q (TQ)</w:t>
                              </w:r>
                            </w:p>
                            <w:p w14:paraId="2568DB78"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eastAsia="Times New Roman" w:hAnsi="Times New Roman" w:cs="Times New Roman"/>
                                  <w:bCs/>
                                  <w:sz w:val="24"/>
                                  <w:szCs w:val="24"/>
                                  <w:lang w:eastAsia="en-GB"/>
                                </w:rPr>
                                <w:t>Market Value Per Share (MVPS)</w:t>
                              </w:r>
                            </w:p>
                            <w:p w14:paraId="42B8633C" w14:textId="77777777" w:rsidR="008D5DCB" w:rsidRDefault="008D5DCB">
                              <w:pPr>
                                <w:pStyle w:val="ListParagraph"/>
                                <w:spacing w:after="0" w:line="240" w:lineRule="auto"/>
                                <w:rPr>
                                  <w:rFonts w:ascii="Times New Roman" w:hAnsi="Times New Roman" w:cs="Times New Roman"/>
                                  <w:b/>
                                  <w:bCs/>
                                  <w:sz w:val="24"/>
                                  <w:szCs w:val="24"/>
                                </w:rPr>
                              </w:pPr>
                            </w:p>
                            <w:p w14:paraId="36C3CA11" w14:textId="77777777" w:rsidR="008D5DCB" w:rsidRDefault="008D5DCB">
                              <w:pPr>
                                <w:pStyle w:val="ListParagraph"/>
                                <w:spacing w:after="0" w:line="240" w:lineRule="auto"/>
                                <w:rPr>
                                  <w:rFonts w:ascii="Times New Roman" w:hAnsi="Times New Roman" w:cs="Times New Roman"/>
                                  <w:b/>
                                  <w:bCs/>
                                  <w:sz w:val="24"/>
                                  <w:szCs w:val="24"/>
                                </w:rPr>
                              </w:pPr>
                            </w:p>
                          </w:txbxContent>
                        </wps:txbx>
                        <wps:bodyPr rot="0" vert="horz" wrap="square" lIns="91440" tIns="45720" rIns="91440" bIns="45720" anchor="ctr" anchorCtr="0" upright="1">
                          <a:noAutofit/>
                        </wps:bodyPr>
                      </wps:wsp>
                    </wpg:wgp>
                  </a:graphicData>
                </a:graphic>
              </wp:anchor>
            </w:drawing>
          </mc:Choice>
          <mc:Fallback>
            <w:pict>
              <v:group w14:anchorId="7A9AF8DA" id="Group 9" o:spid="_x0000_s1026" style="position:absolute;left:0;text-align:left;margin-left:.75pt;margin-top:5.5pt;width:476.5pt;height:140.6pt;z-index:251660288;mso-wrap-distance-left:0;mso-wrap-distance-right:0" coordorigin="1481" coordsize="60335,16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">
                <v:rect id="1027" o:spid="_x0000_s1027" style="position:absolute;left:1481;width:26249;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" fillcolor="#70ad47" strokecolor="#2f491e" strokeweight="1pt">
                  <v:textbox>
                    <w:txbxContent>
                      <w:p w14:paraId="7981CC8A" w14:textId="77777777" w:rsidR="008D5DCB" w:rsidRDefault="0020015B">
                        <w:pPr>
                          <w:jc w:val="both"/>
                          <w:rPr>
                            <w:rFonts w:ascii="Times New Roman" w:hAnsi="Times New Roman" w:cs="Times New Roman"/>
                            <w:b/>
                            <w:sz w:val="24"/>
                            <w:szCs w:val="24"/>
                          </w:rPr>
                        </w:pPr>
                        <w:r>
                          <w:rPr>
                            <w:rFonts w:ascii="Times New Roman" w:hAnsi="Times New Roman" w:cs="Times New Roman"/>
                            <w:b/>
                            <w:sz w:val="24"/>
                            <w:szCs w:val="24"/>
                          </w:rPr>
                          <w:tab/>
                          <w:t xml:space="preserve">Tax Aggressiveness </w:t>
                        </w:r>
                      </w:p>
                      <w:p w14:paraId="0390B715" w14:textId="77777777" w:rsidR="008D5DCB" w:rsidRDefault="008D5DCB">
                        <w:pPr>
                          <w:jc w:val="center"/>
                          <w:rPr>
                            <w:rFonts w:ascii="Times New Roman" w:hAnsi="Times New Roman" w:cs="Times New Roman"/>
                          </w:rPr>
                        </w:pPr>
                      </w:p>
                    </w:txbxContent>
                  </v:textbox>
                </v:rect>
                <v:rect id="1028" o:spid="_x0000_s1028" style="position:absolute;left:36480;top:95;width:25337;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" fillcolor="#70ad47" strokecolor="#2f491e" strokeweight="1pt">
                  <v:textbox>
                    <w:txbxContent>
                      <w:p w14:paraId="77645A3C" w14:textId="77777777" w:rsidR="008D5DCB" w:rsidRDefault="0020015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Pr>
                            <w:rFonts w:ascii="Times New Roman" w:hAnsi="Times New Roman" w:cs="Times New Roman"/>
                            <w:b/>
                            <w:sz w:val="24"/>
                            <w:szCs w:val="24"/>
                          </w:rPr>
                          <w:tab/>
                          <w:t>Market Performance</w:t>
                        </w:r>
                      </w:p>
                      <w:p w14:paraId="5FE6AEF3" w14:textId="77777777" w:rsidR="008D5DCB" w:rsidRDefault="008D5DCB">
                        <w:pPr>
                          <w:jc w:val="center"/>
                          <w:rPr>
                            <w:rFonts w:ascii="Times New Roman" w:hAnsi="Times New Roman" w:cs="Times New Roman"/>
                          </w:rPr>
                        </w:pPr>
                      </w:p>
                    </w:txbxContent>
                  </v:textbox>
                </v:rect>
                <v:rect id="1029" o:spid="_x0000_s1029" style="position:absolute;left:1557;top:5702;width:26477;height:10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" fillcolor="#70ad47" strokecolor="#2f491e" strokeweight="1pt">
                  <v:textbox>
                    <w:txbxContent>
                      <w:p w14:paraId="3A0DD247" w14:textId="77777777" w:rsidR="008D5DCB" w:rsidRDefault="008D5DCB">
                        <w:pPr>
                          <w:spacing w:after="0" w:line="240" w:lineRule="auto"/>
                          <w:ind w:left="360"/>
                          <w:rPr>
                            <w:rFonts w:ascii="Times New Roman" w:hAnsi="Times New Roman" w:cs="Times New Roman"/>
                            <w:b/>
                            <w:bCs/>
                            <w:sz w:val="24"/>
                            <w:szCs w:val="24"/>
                          </w:rPr>
                        </w:pPr>
                      </w:p>
                      <w:p w14:paraId="3F48B2A7"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Effective</w:t>
                        </w:r>
                        <w:r>
                          <w:t xml:space="preserve"> </w:t>
                        </w:r>
                        <w:r>
                          <w:rPr>
                            <w:rFonts w:ascii="Times New Roman" w:hAnsi="Times New Roman" w:cs="Times New Roman"/>
                            <w:sz w:val="24"/>
                            <w:szCs w:val="24"/>
                          </w:rPr>
                          <w:t>Tax Rate (ETR)</w:t>
                        </w:r>
                      </w:p>
                      <w:p w14:paraId="62FA87BC"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Cash Effective Tax Rate (CETR)</w:t>
                        </w:r>
                      </w:p>
                      <w:p w14:paraId="403613AF"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Book-Tax Difference (BTD)</w:t>
                        </w:r>
                        <w:r>
                          <w:rPr>
                            <w:rFonts w:ascii="Times New Roman" w:eastAsia="Times New Roman" w:hAnsi="Times New Roman" w:cs="Times New Roman"/>
                            <w:b/>
                            <w:bCs/>
                            <w:sz w:val="24"/>
                            <w:szCs w:val="24"/>
                            <w:lang w:eastAsia="en-GB"/>
                          </w:rPr>
                          <w:t xml:space="preserve"> </w:t>
                        </w:r>
                      </w:p>
                      <w:p w14:paraId="759DF8FD"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Tax Savings Ratio (TSR)</w:t>
                        </w:r>
                      </w:p>
                      <w:p w14:paraId="4865E8A3" w14:textId="77777777" w:rsidR="008D5DCB" w:rsidRDefault="008D5DCB">
                        <w:pPr>
                          <w:rPr>
                            <w:rFonts w:ascii="Times New Roman" w:hAnsi="Times New Roman" w:cs="Times New Roman"/>
                            <w:b/>
                            <w:bCs/>
                            <w:sz w:val="24"/>
                            <w:szCs w:val="24"/>
                          </w:rPr>
                        </w:pPr>
                      </w:p>
                      <w:p w14:paraId="089A9042" w14:textId="77777777" w:rsidR="008D5DCB" w:rsidRDefault="008D5DCB">
                        <w:pPr>
                          <w:rPr>
                            <w:b/>
                            <w:bCs/>
                            <w:sz w:val="24"/>
                          </w:rPr>
                        </w:pPr>
                      </w:p>
                      <w:p w14:paraId="2C9CDBB1" w14:textId="77777777" w:rsidR="008D5DCB" w:rsidRDefault="008D5DCB"/>
                    </w:txbxContent>
                  </v:textbox>
                </v:rect>
                <v:rect id="1030" o:spid="_x0000_s1030" style="position:absolute;left:36177;top:5924;width:25628;height:10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" fillcolor="#70ad47" strokecolor="#2f491e" strokeweight="1pt">
                  <v:textbox>
                    <w:txbxContent>
                      <w:p w14:paraId="0643FA1F" w14:textId="77777777" w:rsidR="008D5DCB" w:rsidRDefault="008D5DCB">
                        <w:pPr>
                          <w:rPr>
                            <w:rFonts w:ascii="Times New Roman" w:hAnsi="Times New Roman" w:cs="Times New Roman"/>
                            <w:b/>
                            <w:bCs/>
                            <w:sz w:val="24"/>
                          </w:rPr>
                        </w:pPr>
                      </w:p>
                      <w:p w14:paraId="78DF3107"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hAnsi="Times New Roman" w:cs="Times New Roman"/>
                            <w:bCs/>
                            <w:sz w:val="24"/>
                            <w:szCs w:val="24"/>
                          </w:rPr>
                          <w:t>Tobin’s Q (TQ)</w:t>
                        </w:r>
                      </w:p>
                      <w:p w14:paraId="2568DB78"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eastAsia="Times New Roman" w:hAnsi="Times New Roman" w:cs="Times New Roman"/>
                            <w:bCs/>
                            <w:sz w:val="24"/>
                            <w:szCs w:val="24"/>
                            <w:lang w:eastAsia="en-GB"/>
                          </w:rPr>
                          <w:t>Market Value Per Share (MVPS)</w:t>
                        </w:r>
                      </w:p>
                      <w:p w14:paraId="42B8633C" w14:textId="77777777" w:rsidR="008D5DCB" w:rsidRDefault="008D5DCB">
                        <w:pPr>
                          <w:pStyle w:val="ListParagraph"/>
                          <w:spacing w:after="0" w:line="240" w:lineRule="auto"/>
                          <w:rPr>
                            <w:rFonts w:ascii="Times New Roman" w:hAnsi="Times New Roman" w:cs="Times New Roman"/>
                            <w:b/>
                            <w:bCs/>
                            <w:sz w:val="24"/>
                            <w:szCs w:val="24"/>
                          </w:rPr>
                        </w:pPr>
                      </w:p>
                      <w:p w14:paraId="36C3CA11" w14:textId="77777777" w:rsidR="008D5DCB" w:rsidRDefault="008D5DCB">
                        <w:pPr>
                          <w:pStyle w:val="ListParagraph"/>
                          <w:spacing w:after="0" w:line="240" w:lineRule="auto"/>
                          <w:rPr>
                            <w:rFonts w:ascii="Times New Roman" w:hAnsi="Times New Roman" w:cs="Times New Roman"/>
                            <w:b/>
                            <w:bCs/>
                            <w:sz w:val="24"/>
                            <w:szCs w:val="24"/>
                          </w:rPr>
                        </w:pPr>
                      </w:p>
                    </w:txbxContent>
                  </v:textbox>
                </v:rect>
              </v:group>
            </w:pict>
          </mc:Fallback>
        </mc:AlternateConten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5B80398" w14:textId="77777777" w:rsidR="008D5DCB" w:rsidRDefault="0020015B">
      <w:pPr>
        <w:spacing w:after="0" w:line="240" w:lineRule="auto"/>
        <w:ind w:left="720" w:firstLine="720"/>
        <w:jc w:val="both"/>
        <w:rPr>
          <w:rFonts w:ascii="Times New Roman" w:hAnsi="Times New Roman" w:cs="Times New Roman"/>
          <w:b/>
          <w:bCs/>
          <w:sz w:val="24"/>
          <w:szCs w:val="24"/>
        </w:rPr>
      </w:pPr>
      <w:r>
        <w:rPr>
          <w:rFonts w:ascii="Times New Roman" w:hAnsi="Times New Roman" w:cs="Times New Roman"/>
          <w:b/>
          <w:bCs/>
          <w:noProof/>
          <w:sz w:val="24"/>
          <w:szCs w:val="24"/>
          <w:lang w:val="en-GB" w:eastAsia="en-GB"/>
        </w:rPr>
        <mc:AlternateContent>
          <mc:Choice Requires="wps">
            <w:drawing>
              <wp:anchor distT="0" distB="0" distL="0" distR="0" simplePos="0" relativeHeight="251662336" behindDoc="0" locked="0" layoutInCell="1" allowOverlap="1" wp14:anchorId="774FCC6C" wp14:editId="4B623B7A">
                <wp:simplePos x="0" y="0"/>
                <wp:positionH relativeFrom="column">
                  <wp:posOffset>4791075</wp:posOffset>
                </wp:positionH>
                <wp:positionV relativeFrom="paragraph">
                  <wp:posOffset>62230</wp:posOffset>
                </wp:positionV>
                <wp:extent cx="7620" cy="317500"/>
                <wp:effectExtent l="9525" t="15875" r="1143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17500"/>
                        </a:xfrm>
                        <a:prstGeom prst="line">
                          <a:avLst/>
                        </a:prstGeom>
                        <a:noFill/>
                        <a:ln w="19050">
                          <a:solidFill>
                            <a:srgbClr val="5B9BD5"/>
                          </a:solidFill>
                          <a:miter lim="800000"/>
                        </a:ln>
                      </wps:spPr>
                      <wps:bodyPr/>
                    </wps:wsp>
                  </a:graphicData>
                </a:graphic>
              </wp:anchor>
            </w:drawing>
          </mc:Choice>
          <mc:Fallback xmlns:wpsCustomData="http://www.wps.cn/officeDocument/2013/wpsCustomData">
            <w:pict>
              <v:line id="_x0000_s1026" o:spid="_x0000_s1026" o:spt="20" style="position:absolute;left:0pt;margin-left:377.25pt;margin-top:4.9pt;height:25pt;width:0.6pt;z-index:251662336;mso-width-relative:page;mso-height-relative:page;" filled="f" stroked="t" coordsize="21600,21600" o:gfxdata="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5PuML2QAAAAgB&#10;AAAPAAAAAAAAAAEAIAAAACIAAABkcnMvZG93bnJldi54bWxQSwECFAAUAAAACACHTuJA0NbSgOEB&#10;AAC9AwAADgAAAAAAAAABACAAAAAoAQAAZHJzL2Uyb0RvYy54bWxQSwUGAAAAAAYABgBZAQAAewUA&#10;AAAA&#10;">
                <v:fill on="f" focussize="0,0"/>
                <v:stroke weight="1.5pt" color="#5B9BD5" miterlimit="8" joinstyle="miter"/>
                <v:imagedata o:title=""/>
                <o:lock v:ext="edit" aspectratio="f"/>
              </v:line>
            </w:pict>
          </mc:Fallback>
        </mc:AlternateContent>
      </w:r>
      <w:r>
        <w:rPr>
          <w:rFonts w:ascii="Times New Roman" w:hAnsi="Times New Roman" w:cs="Times New Roman"/>
          <w:b/>
          <w:bCs/>
          <w:noProof/>
          <w:sz w:val="24"/>
          <w:szCs w:val="24"/>
          <w:lang w:val="en-GB" w:eastAsia="en-GB"/>
        </w:rPr>
        <mc:AlternateContent>
          <mc:Choice Requires="wps">
            <w:drawing>
              <wp:anchor distT="0" distB="0" distL="0" distR="0" simplePos="0" relativeHeight="251661312" behindDoc="0" locked="0" layoutInCell="1" allowOverlap="1" wp14:anchorId="1290950F" wp14:editId="4FB31CD7">
                <wp:simplePos x="0" y="0"/>
                <wp:positionH relativeFrom="column">
                  <wp:posOffset>1327150</wp:posOffset>
                </wp:positionH>
                <wp:positionV relativeFrom="paragraph">
                  <wp:posOffset>50165</wp:posOffset>
                </wp:positionV>
                <wp:extent cx="0" cy="319405"/>
                <wp:effectExtent l="12700" t="13335" r="15875" b="1016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9405"/>
                        </a:xfrm>
                        <a:prstGeom prst="line">
                          <a:avLst/>
                        </a:prstGeom>
                        <a:noFill/>
                        <a:ln w="19050">
                          <a:solidFill>
                            <a:srgbClr val="A5A5A5"/>
                          </a:solidFill>
                          <a:miter lim="800000"/>
                        </a:ln>
                      </wps:spPr>
                      <wps:bodyPr/>
                    </wps:wsp>
                  </a:graphicData>
                </a:graphic>
              </wp:anchor>
            </w:drawing>
          </mc:Choice>
          <mc:Fallback xmlns:wpsCustomData="http://www.wps.cn/officeDocument/2013/wpsCustomData">
            <w:pict>
              <v:line id="_x0000_s1026" o:spid="_x0000_s1026" o:spt="20" style="position:absolute;left:0pt;margin-left:104.5pt;margin-top:3.95pt;height:25.15pt;width:0pt;z-index:251661312;mso-width-relative:page;mso-height-relative:page;" filled="f" stroked="t" coordsize="21600,21600" o:gfxdata="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VyIavVAAAACAEAAA8AAAAAAAAA&#10;AQAgAAAAIgAAAGRycy9kb3ducmV2LnhtbFBLAQIUABQAAAAIAIdO4kBRq/G/2wEAALoDAAAOAAAA&#10;AAAAAAEAIAAAACQBAABkcnMvZTJvRG9jLnhtbFBLBQYAAAAABgAGAFkBAABxBQAAAAA=&#10;">
                <v:fill on="f" focussize="0,0"/>
                <v:stroke weight="1.5pt" color="#A5A5A5" miterlimit="8" joinstyle="miter"/>
                <v:imagedata o:title=""/>
                <o:lock v:ext="edit" aspectratio="f"/>
              </v:line>
            </w:pict>
          </mc:Fallback>
        </mc:AlternateContent>
      </w:r>
    </w:p>
    <w:p w14:paraId="2F6EE431" w14:textId="77777777" w:rsidR="008D5DCB" w:rsidRDefault="008D5DCB">
      <w:pPr>
        <w:spacing w:after="0" w:line="240" w:lineRule="auto"/>
        <w:jc w:val="both"/>
        <w:rPr>
          <w:rFonts w:ascii="Times New Roman" w:hAnsi="Times New Roman" w:cs="Times New Roman"/>
          <w:b/>
          <w:bCs/>
          <w:sz w:val="24"/>
          <w:szCs w:val="24"/>
        </w:rPr>
      </w:pPr>
    </w:p>
    <w:p w14:paraId="4C34FCF3" w14:textId="77777777" w:rsidR="008D5DCB" w:rsidRDefault="0020015B">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lang w:val="en-GB" w:eastAsia="en-GB"/>
        </w:rPr>
        <mc:AlternateContent>
          <mc:Choice Requires="wps">
            <w:drawing>
              <wp:anchor distT="0" distB="0" distL="114300" distR="114300" simplePos="0" relativeHeight="251659264" behindDoc="0" locked="0" layoutInCell="1" hidden="1" allowOverlap="1" wp14:anchorId="25664D62" wp14:editId="60B363F1">
                <wp:simplePos x="0" y="0"/>
                <wp:positionH relativeFrom="column">
                  <wp:posOffset>0</wp:posOffset>
                </wp:positionH>
                <wp:positionV relativeFrom="paragraph">
                  <wp:posOffset>0</wp:posOffset>
                </wp:positionV>
                <wp:extent cx="635000" cy="635000"/>
                <wp:effectExtent l="9525" t="9525" r="12700" b="12700"/>
                <wp:wrapNone/>
                <wp:docPr id="6" name="Straight Arrow Connector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0pt;margin-top:0pt;height:50pt;width:50pt;visibility:hidden;z-index:251659264;mso-width-relative:page;mso-height-relative:page;" filled="f" stroked="t" coordsize="21600,21600" o:gfxdata="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J/Xkh0AAAAAUBAAAP&#10;AAAAAAAAAAEAIAAAACIAAABkcnMvZG93bnJldi54bWxQSwECFAAUAAAACACHTuJA5f6qC+cBAADd&#10;AwAADgAAAAAAAAABACAAAAAfAQAAZHJzL2Uyb0RvYy54bWxQSwUGAAAAAAYABgBZAQAAeAUAAAAA&#10;">
                <v:fill on="f" focussize="0,0"/>
                <v:stroke color="#000000" joinstyle="round"/>
                <v:imagedata o:title=""/>
                <o:lock v:ext="edit" selection="t" aspectratio="f"/>
              </v:shape>
            </w:pict>
          </mc:Fallback>
        </mc:AlternateContent>
      </w:r>
      <w:r>
        <w:rPr>
          <w:rFonts w:ascii="Times New Roman" w:hAnsi="Times New Roman" w:cs="Times New Roman"/>
          <w:b/>
          <w:bCs/>
          <w:noProof/>
          <w:sz w:val="24"/>
          <w:szCs w:val="24"/>
          <w:lang w:val="en-GB" w:eastAsia="en-GB"/>
        </w:rPr>
        <mc:AlternateContent>
          <mc:Choice Requires="wps">
            <w:drawing>
              <wp:anchor distT="0" distB="0" distL="0" distR="0" simplePos="0" relativeHeight="251663360" behindDoc="0" locked="0" layoutInCell="1" allowOverlap="1" wp14:anchorId="5D0E0F5B" wp14:editId="7F700B18">
                <wp:simplePos x="0" y="0"/>
                <wp:positionH relativeFrom="column">
                  <wp:posOffset>2667000</wp:posOffset>
                </wp:positionH>
                <wp:positionV relativeFrom="paragraph">
                  <wp:posOffset>222250</wp:posOffset>
                </wp:positionV>
                <wp:extent cx="822960" cy="7620"/>
                <wp:effectExtent l="9525" t="66675" r="24765" b="4953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2960" cy="7620"/>
                        </a:xfrm>
                        <a:prstGeom prst="straightConnector1">
                          <a:avLst/>
                        </a:prstGeom>
                        <a:noFill/>
                        <a:ln w="19050">
                          <a:solidFill>
                            <a:srgbClr val="A5A5A5"/>
                          </a:solidFill>
                          <a:miter lim="800000"/>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flip:y;margin-left:210pt;margin-top:17.5pt;height:0.6pt;width:64.8pt;z-index:251663360;mso-width-relative:page;mso-height-relative:page;" filled="f" stroked="t" coordsize="21600,21600" o:gfxdata="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&#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nM/E2AAAAAkBAAAPAAAAAAAAAAEAIAAAACIAAABk&#10;cnMvZG93bnJldi54bWxQSwECFAAUAAAACACHTuJA42IgEQYCAAAJBAAADgAAAAAAAAABACAAAAAn&#10;AQAAZHJzL2Uyb0RvYy54bWxQSwUGAAAAAAYABgBZAQAAnwUAAAAA&#10;">
                <v:fill on="f" focussize="0,0"/>
                <v:stroke weight="1.5pt" color="#A5A5A5" miterlimit="8" joinstyle="miter" endarrow="block"/>
                <v:imagedata o:title=""/>
                <o:lock v:ext="edit" aspectratio="f"/>
              </v:shape>
            </w:pict>
          </mc:Fallback>
        </mc:AlternateContent>
      </w:r>
    </w:p>
    <w:p w14:paraId="27D8C541" w14:textId="77777777" w:rsidR="008D5DCB" w:rsidRDefault="008D5DCB">
      <w:pPr>
        <w:spacing w:after="0" w:line="240" w:lineRule="auto"/>
        <w:jc w:val="both"/>
        <w:rPr>
          <w:rFonts w:ascii="Times New Roman" w:hAnsi="Times New Roman" w:cs="Times New Roman"/>
          <w:b/>
          <w:bCs/>
          <w:sz w:val="24"/>
          <w:szCs w:val="24"/>
        </w:rPr>
      </w:pPr>
    </w:p>
    <w:p w14:paraId="42141353" w14:textId="77777777" w:rsidR="008D5DCB" w:rsidRDefault="008D5DCB">
      <w:pPr>
        <w:spacing w:after="0" w:line="240" w:lineRule="auto"/>
        <w:jc w:val="both"/>
        <w:rPr>
          <w:rFonts w:asciiTheme="majorBidi" w:hAnsiTheme="majorBidi" w:cstheme="majorBidi"/>
          <w:b/>
          <w:bCs/>
          <w:sz w:val="24"/>
          <w:szCs w:val="24"/>
        </w:rPr>
      </w:pPr>
    </w:p>
    <w:p w14:paraId="17362049" w14:textId="77777777" w:rsidR="008D5DCB" w:rsidRDefault="008D5DCB">
      <w:pPr>
        <w:spacing w:after="0" w:line="240" w:lineRule="auto"/>
        <w:jc w:val="both"/>
        <w:rPr>
          <w:rFonts w:ascii="Times New Roman" w:hAnsi="Times New Roman" w:cs="Times New Roman"/>
          <w:b/>
          <w:sz w:val="24"/>
          <w:szCs w:val="24"/>
        </w:rPr>
      </w:pPr>
    </w:p>
    <w:p w14:paraId="12814ECA" w14:textId="77777777" w:rsidR="008D5DCB" w:rsidRDefault="008D5DCB">
      <w:pPr>
        <w:spacing w:after="0" w:line="240" w:lineRule="auto"/>
        <w:jc w:val="both"/>
        <w:rPr>
          <w:rFonts w:ascii="Times New Roman" w:hAnsi="Times New Roman" w:cs="Times New Roman"/>
          <w:b/>
          <w:sz w:val="24"/>
          <w:szCs w:val="24"/>
        </w:rPr>
      </w:pPr>
    </w:p>
    <w:p w14:paraId="05B84CB1" w14:textId="77777777" w:rsidR="008D5DCB" w:rsidRDefault="008D5DCB">
      <w:pPr>
        <w:spacing w:after="0" w:line="240" w:lineRule="auto"/>
        <w:jc w:val="both"/>
        <w:rPr>
          <w:rFonts w:ascii="Times New Roman" w:hAnsi="Times New Roman" w:cs="Times New Roman"/>
          <w:b/>
          <w:sz w:val="24"/>
          <w:szCs w:val="24"/>
        </w:rPr>
      </w:pPr>
    </w:p>
    <w:p w14:paraId="0A62C359" w14:textId="77777777" w:rsidR="008D5DCB" w:rsidRDefault="008D5DCB">
      <w:pPr>
        <w:spacing w:after="0" w:line="240" w:lineRule="auto"/>
        <w:jc w:val="both"/>
        <w:rPr>
          <w:rFonts w:ascii="Times New Roman" w:hAnsi="Times New Roman" w:cs="Times New Roman"/>
          <w:b/>
          <w:sz w:val="24"/>
          <w:szCs w:val="24"/>
        </w:rPr>
      </w:pPr>
    </w:p>
    <w:p w14:paraId="09ECE4C8" w14:textId="77777777" w:rsidR="008D5DCB" w:rsidRDefault="008D5DCB">
      <w:pPr>
        <w:spacing w:after="0" w:line="240" w:lineRule="auto"/>
        <w:jc w:val="both"/>
        <w:rPr>
          <w:rFonts w:ascii="Times New Roman" w:hAnsi="Times New Roman" w:cs="Times New Roman"/>
          <w:b/>
          <w:sz w:val="24"/>
          <w:szCs w:val="24"/>
        </w:rPr>
      </w:pPr>
    </w:p>
    <w:p w14:paraId="60119004" w14:textId="77777777" w:rsidR="008D5DCB" w:rsidRDefault="0020015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Source: </w:t>
      </w:r>
      <w:r>
        <w:rPr>
          <w:rFonts w:ascii="Times New Roman" w:hAnsi="Times New Roman" w:cs="Times New Roman"/>
          <w:sz w:val="24"/>
          <w:szCs w:val="24"/>
        </w:rPr>
        <w:t>Author’s Concept (2026)</w:t>
      </w:r>
    </w:p>
    <w:p w14:paraId="1CCECE9C" w14:textId="77777777" w:rsidR="007A10BA" w:rsidRDefault="007A10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Fig 1-</w:t>
      </w:r>
      <w:r w:rsidRPr="007A10BA">
        <w:rPr>
          <w:rFonts w:ascii="Times New Roman" w:hAnsi="Times New Roman" w:cs="Times New Roman"/>
          <w:b/>
          <w:bCs/>
          <w:sz w:val="24"/>
          <w:szCs w:val="24"/>
        </w:rPr>
        <w:t xml:space="preserve"> </w:t>
      </w:r>
      <w:r>
        <w:rPr>
          <w:rFonts w:ascii="Times New Roman" w:hAnsi="Times New Roman" w:cs="Times New Roman"/>
          <w:b/>
          <w:bCs/>
          <w:sz w:val="24"/>
          <w:szCs w:val="24"/>
        </w:rPr>
        <w:t>Conceptual framework</w:t>
      </w:r>
    </w:p>
    <w:p w14:paraId="44D8F264" w14:textId="77777777" w:rsidR="008D5DCB" w:rsidRDefault="008D5DCB">
      <w:pPr>
        <w:pStyle w:val="Heading3"/>
        <w:spacing w:line="240" w:lineRule="auto"/>
      </w:pPr>
    </w:p>
    <w:p w14:paraId="51D7B740"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Pr>
          <w:rFonts w:ascii="Times New Roman" w:hAnsi="Times New Roman" w:cs="Times New Roman"/>
          <w:b/>
          <w:sz w:val="24"/>
          <w:szCs w:val="24"/>
        </w:rPr>
        <w:tab/>
        <w:t>Theoretical Review</w:t>
      </w:r>
    </w:p>
    <w:p w14:paraId="5B9DF2AE"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w:t>
      </w:r>
      <w:r>
        <w:rPr>
          <w:rFonts w:ascii="Times New Roman" w:hAnsi="Times New Roman" w:cs="Times New Roman"/>
          <w:b/>
          <w:sz w:val="24"/>
          <w:szCs w:val="24"/>
        </w:rPr>
        <w:tab/>
        <w:t>Signaling Theory</w:t>
      </w:r>
    </w:p>
    <w:p w14:paraId="5573F4A5" w14:textId="77777777" w:rsidR="008D5DCB" w:rsidRDefault="0020015B">
      <w:pPr>
        <w:spacing w:after="0" w:line="240" w:lineRule="auto"/>
        <w:jc w:val="both"/>
        <w:rPr>
          <w:rFonts w:ascii="Times New Roman" w:hAnsi="Times New Roman" w:cs="Times New Roman"/>
          <w:b/>
          <w:sz w:val="24"/>
          <w:szCs w:val="24"/>
        </w:rPr>
      </w:pPr>
      <w:proofErr w:type="spellStart"/>
      <w:r>
        <w:rPr>
          <w:rFonts w:ascii="Times New Roman" w:eastAsia="Times New Roman" w:hAnsi="Times New Roman" w:cs="Times New Roman"/>
          <w:kern w:val="0"/>
          <w:sz w:val="24"/>
          <w:szCs w:val="24"/>
          <w:lang w:val="en-GB" w:eastAsia="en-GB"/>
          <w14:ligatures w14:val="none"/>
        </w:rPr>
        <w:t>Signaling</w:t>
      </w:r>
      <w:proofErr w:type="spellEnd"/>
      <w:r>
        <w:rPr>
          <w:rFonts w:ascii="Times New Roman" w:eastAsia="Times New Roman" w:hAnsi="Times New Roman" w:cs="Times New Roman"/>
          <w:kern w:val="0"/>
          <w:sz w:val="24"/>
          <w:szCs w:val="24"/>
          <w:lang w:val="en-GB" w:eastAsia="en-GB"/>
          <w14:ligatures w14:val="none"/>
        </w:rPr>
        <w:t xml:space="preserve"> theory, introduced by Michael Spence (1973) and expanded by Connelly et al. (2011), explains how corporate insiders send credible actions to reduce market information asymmetry. However, critics note the theory suffers from conceptual blurring and overly simplistic assumptions regarding how investors interpret conflicting signals. In this study, the theory framing examines how corporate tax aggressiveness interacts with firm liquidity and board financial expertise to impact market performance. For listed Nigerian insurance firms operating under the Nigerian Insurance Industry Reform Act (NIIRA) 2025, tax choices carry dual </w:t>
      </w:r>
      <w:proofErr w:type="spellStart"/>
      <w:r>
        <w:rPr>
          <w:rFonts w:ascii="Times New Roman" w:eastAsia="Times New Roman" w:hAnsi="Times New Roman" w:cs="Times New Roman"/>
          <w:kern w:val="0"/>
          <w:sz w:val="24"/>
          <w:szCs w:val="24"/>
          <w:lang w:val="en-GB" w:eastAsia="en-GB"/>
          <w14:ligatures w14:val="none"/>
        </w:rPr>
        <w:t>signaling</w:t>
      </w:r>
      <w:proofErr w:type="spellEnd"/>
      <w:r>
        <w:rPr>
          <w:rFonts w:ascii="Times New Roman" w:eastAsia="Times New Roman" w:hAnsi="Times New Roman" w:cs="Times New Roman"/>
          <w:kern w:val="0"/>
          <w:sz w:val="24"/>
          <w:szCs w:val="24"/>
          <w:lang w:val="en-GB" w:eastAsia="en-GB"/>
          <w14:ligatures w14:val="none"/>
        </w:rPr>
        <w:t xml:space="preserve"> potential. Aggressive tax minimization can signal either positive cash optimization or negative managerial opportunism and regulatory non-compliance. Within this opaque environment, board financial expertise serves as a high-quality governance signal that reassures investors of strategy legality. Ultimately, strong governance signals ensure that healthy liquidity buffers are interpreted as resilience rather than value-destroying conservatism.</w:t>
      </w:r>
    </w:p>
    <w:p w14:paraId="5C7D4C4F" w14:textId="77777777" w:rsidR="008D5DCB" w:rsidRDefault="0020015B">
      <w:pPr>
        <w:spacing w:after="0" w:line="240" w:lineRule="auto"/>
        <w:jc w:val="both"/>
      </w:pPr>
      <w:r>
        <w:rPr>
          <w:rFonts w:ascii="Times New Roman" w:hAnsi="Times New Roman" w:cs="Times New Roman"/>
          <w:b/>
          <w:sz w:val="24"/>
          <w:szCs w:val="24"/>
        </w:rPr>
        <w:t>3.0</w:t>
      </w:r>
      <w:r>
        <w:rPr>
          <w:rFonts w:ascii="Times New Roman" w:hAnsi="Times New Roman" w:cs="Times New Roman"/>
          <w:b/>
          <w:sz w:val="24"/>
          <w:szCs w:val="24"/>
        </w:rPr>
        <w:tab/>
        <w:t>Research Method</w:t>
      </w:r>
      <w:r>
        <w:t xml:space="preserve"> </w:t>
      </w:r>
    </w:p>
    <w:p w14:paraId="4DE561E4" w14:textId="77777777" w:rsidR="008D5DCB" w:rsidRDefault="0020015B">
      <w:pPr>
        <w:spacing w:after="0" w:line="240" w:lineRule="auto"/>
        <w:jc w:val="both"/>
      </w:pPr>
      <w:r>
        <w:rPr>
          <w:rFonts w:ascii="Times New Roman" w:eastAsia="Times New Roman" w:hAnsi="Times New Roman" w:cs="Times New Roman"/>
          <w:kern w:val="0"/>
          <w:sz w:val="24"/>
          <w:szCs w:val="24"/>
          <w:lang w:val="en-GB" w:eastAsia="en-GB"/>
          <w14:ligatures w14:val="none"/>
        </w:rPr>
        <w:t xml:space="preserve">To </w:t>
      </w:r>
      <w:proofErr w:type="spellStart"/>
      <w:r>
        <w:rPr>
          <w:rFonts w:ascii="Times New Roman" w:eastAsia="Times New Roman" w:hAnsi="Times New Roman" w:cs="Times New Roman"/>
          <w:kern w:val="0"/>
          <w:sz w:val="24"/>
          <w:szCs w:val="24"/>
          <w:lang w:val="en-GB" w:eastAsia="en-GB"/>
          <w14:ligatures w14:val="none"/>
        </w:rPr>
        <w:t>analyze</w:t>
      </w:r>
      <w:proofErr w:type="spellEnd"/>
      <w:r>
        <w:rPr>
          <w:rFonts w:ascii="Times New Roman" w:eastAsia="Times New Roman" w:hAnsi="Times New Roman" w:cs="Times New Roman"/>
          <w:kern w:val="0"/>
          <w:sz w:val="24"/>
          <w:szCs w:val="24"/>
          <w:lang w:val="en-GB" w:eastAsia="en-GB"/>
          <w14:ligatures w14:val="none"/>
        </w:rPr>
        <w:t xml:space="preserve"> the relationship between tax aggressiveness and market performance among listed Nigerian insurance companies, this study applies an OLS and robust, firm-clustered Fixed Effects multiple regression framework to a stationary panel. Utilizing a balanced sample of 195 clean firm-year observations (spanning 2012–2024, </w:t>
      </w:r>
      <w:proofErr w:type="spellStart"/>
      <w:r>
        <w:rPr>
          <w:rFonts w:ascii="Times New Roman" w:eastAsia="Times New Roman" w:hAnsi="Times New Roman" w:cs="Times New Roman"/>
          <w:kern w:val="0"/>
          <w:sz w:val="24"/>
          <w:szCs w:val="24"/>
          <w:lang w:val="en-GB" w:eastAsia="en-GB"/>
          <w14:ligatures w14:val="none"/>
        </w:rPr>
        <w:t>winsorized</w:t>
      </w:r>
      <w:proofErr w:type="spellEnd"/>
      <w:r>
        <w:rPr>
          <w:rFonts w:ascii="Times New Roman" w:eastAsia="Times New Roman" w:hAnsi="Times New Roman" w:cs="Times New Roman"/>
          <w:kern w:val="0"/>
          <w:sz w:val="24"/>
          <w:szCs w:val="24"/>
          <w:lang w:val="en-GB" w:eastAsia="en-GB"/>
          <w14:ligatures w14:val="none"/>
        </w:rPr>
        <w:t xml:space="preserve"> at the 1st and 99th percentiles), the empirical sequence begins with descriptive statistics, multicollinearity screening (Pearson correlation and VIF), and Fisher-type ADF panel stationarity tests. Potential violations of classical regression assumptions are addressed using Breusch-Pagan/White tests for heteroskedasticity and Wooldridge tests for serial correlation. Ultimately, the models simultaneously evaluate how four independent tax aggressiveness proxies (ETR, CETR, BTD, and TSR) predict long-term firm value (Tobin’s Q) and real-time equity pricing (Market Value per Share) across two-tailed significance thresholds at the 1%, 5%, and 10% levels.</w:t>
      </w:r>
    </w:p>
    <w:p w14:paraId="73E956F2" w14:textId="77777777" w:rsidR="008D5DCB" w:rsidRDefault="0020015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3.1</w:t>
      </w:r>
      <w:r>
        <w:rPr>
          <w:rFonts w:ascii="Times New Roman" w:hAnsi="Times New Roman" w:cs="Times New Roman"/>
          <w:b/>
          <w:bCs/>
          <w:sz w:val="24"/>
          <w:szCs w:val="24"/>
        </w:rPr>
        <w:tab/>
        <w:t>Model Specifications</w:t>
      </w:r>
      <w:bookmarkStart w:id="0" w:name="_Hlk210220564"/>
    </w:p>
    <w:bookmarkEnd w:id="0"/>
    <w:p w14:paraId="59B96A10" w14:textId="77777777" w:rsidR="008D5DCB" w:rsidRDefault="0020015B">
      <w:pPr>
        <w:pStyle w:val="NormalWeb"/>
        <w:spacing w:before="0" w:beforeAutospacing="0" w:after="0" w:afterAutospacing="0"/>
        <w:jc w:val="both"/>
      </w:pPr>
      <w:r>
        <w:t xml:space="preserve">The econometric framework for this study is adapted from the structural model established by </w:t>
      </w:r>
      <w:proofErr w:type="spellStart"/>
      <w:r>
        <w:t>Dagunduro</w:t>
      </w:r>
      <w:proofErr w:type="spellEnd"/>
      <w:r>
        <w:t xml:space="preserve"> et al. (2025), which investigated governance attributes in relation to market performance using a baseline linear model: </w:t>
      </w:r>
      <w:r>
        <w:rPr>
          <w:rStyle w:val="mord"/>
        </w:rPr>
        <w:t>MPit</w:t>
      </w:r>
      <w:r>
        <w:rPr>
          <w:rStyle w:val="vlist-s"/>
        </w:rPr>
        <w:t>​</w:t>
      </w:r>
      <w:r>
        <w:rPr>
          <w:rStyle w:val="mrel"/>
        </w:rPr>
        <w:t>=</w:t>
      </w:r>
      <w:r>
        <w:rPr>
          <w:rStyle w:val="mord"/>
        </w:rPr>
        <w:t>β0</w:t>
      </w:r>
      <w:r>
        <w:rPr>
          <w:rStyle w:val="vlist-s"/>
        </w:rPr>
        <w:t>​</w:t>
      </w:r>
      <w:r>
        <w:rPr>
          <w:rStyle w:val="mbin"/>
        </w:rPr>
        <w:t>+</w:t>
      </w:r>
      <w:r>
        <w:rPr>
          <w:rStyle w:val="mord"/>
        </w:rPr>
        <w:t>β1</w:t>
      </w:r>
      <w:r>
        <w:rPr>
          <w:rStyle w:val="vlist-s"/>
        </w:rPr>
        <w:t>​</w:t>
      </w:r>
      <w:r>
        <w:rPr>
          <w:rStyle w:val="mord"/>
        </w:rPr>
        <w:t>RCSit</w:t>
      </w:r>
      <w:r>
        <w:rPr>
          <w:rStyle w:val="vlist-s"/>
        </w:rPr>
        <w:t>​</w:t>
      </w:r>
      <w:r>
        <w:rPr>
          <w:rStyle w:val="mbin"/>
        </w:rPr>
        <w:t>+</w:t>
      </w:r>
      <w:r>
        <w:rPr>
          <w:rStyle w:val="mord"/>
        </w:rPr>
        <w:t>β2</w:t>
      </w:r>
      <w:r>
        <w:rPr>
          <w:rStyle w:val="vlist-s"/>
        </w:rPr>
        <w:t>​</w:t>
      </w:r>
      <w:r>
        <w:rPr>
          <w:rStyle w:val="mord"/>
        </w:rPr>
        <w:t>RCIit</w:t>
      </w:r>
      <w:r>
        <w:rPr>
          <w:rStyle w:val="vlist-s"/>
        </w:rPr>
        <w:t>​</w:t>
      </w:r>
      <w:r>
        <w:rPr>
          <w:rStyle w:val="mbin"/>
        </w:rPr>
        <w:t>+</w:t>
      </w:r>
      <w:r>
        <w:rPr>
          <w:rStyle w:val="mord"/>
        </w:rPr>
        <w:t>β3</w:t>
      </w:r>
      <w:r>
        <w:rPr>
          <w:rStyle w:val="vlist-s"/>
        </w:rPr>
        <w:t>​</w:t>
      </w:r>
      <w:r>
        <w:rPr>
          <w:rStyle w:val="mord"/>
        </w:rPr>
        <w:t>RCDit</w:t>
      </w:r>
      <w:r>
        <w:rPr>
          <w:rStyle w:val="vlist-s"/>
        </w:rPr>
        <w:t>​</w:t>
      </w:r>
      <w:r>
        <w:rPr>
          <w:rStyle w:val="mbin"/>
        </w:rPr>
        <w:t>+</w:t>
      </w:r>
      <w:r>
        <w:rPr>
          <w:rStyle w:val="mord"/>
        </w:rPr>
        <w:t>β4</w:t>
      </w:r>
      <w:r>
        <w:rPr>
          <w:rStyle w:val="vlist-s"/>
        </w:rPr>
        <w:t>​</w:t>
      </w:r>
      <w:r>
        <w:rPr>
          <w:rStyle w:val="mord"/>
        </w:rPr>
        <w:t>RCFEit</w:t>
      </w:r>
      <w:r>
        <w:rPr>
          <w:rStyle w:val="vlist-s"/>
        </w:rPr>
        <w:t>​</w:t>
      </w:r>
      <w:r>
        <w:rPr>
          <w:rStyle w:val="mbin"/>
        </w:rPr>
        <w:t>+</w:t>
      </w:r>
      <w:r>
        <w:rPr>
          <w:rStyle w:val="mord"/>
        </w:rPr>
        <w:t>β5</w:t>
      </w:r>
      <w:r>
        <w:rPr>
          <w:rStyle w:val="vlist-s"/>
        </w:rPr>
        <w:t>​</w:t>
      </w:r>
      <w:r>
        <w:rPr>
          <w:rStyle w:val="mord"/>
        </w:rPr>
        <w:t>BFEit</w:t>
      </w:r>
      <w:r>
        <w:rPr>
          <w:rStyle w:val="vlist-s"/>
        </w:rPr>
        <w:t>​</w:t>
      </w:r>
      <w:r>
        <w:rPr>
          <w:rStyle w:val="mbin"/>
        </w:rPr>
        <w:t>+</w:t>
      </w:r>
      <w:r>
        <w:rPr>
          <w:rStyle w:val="mord"/>
        </w:rPr>
        <w:t>εit</w:t>
      </w:r>
      <w:r>
        <w:rPr>
          <w:rStyle w:val="vlist-s"/>
        </w:rPr>
        <w:t>​</w:t>
      </w:r>
      <w:r>
        <w:t xml:space="preserve">. To align this framework with a sector-specific evaluation of tax behaviour, the model was structurally modified. The risk committee attributes unique to </w:t>
      </w:r>
      <w:proofErr w:type="spellStart"/>
      <w:r>
        <w:t>Dagunduro</w:t>
      </w:r>
      <w:proofErr w:type="spellEnd"/>
      <w:r>
        <w:t xml:space="preserve"> et al. (2025) were dropped, and the market performance (</w:t>
      </w:r>
      <w:r>
        <w:rPr>
          <w:rStyle w:val="mord"/>
        </w:rPr>
        <w:t>MP</w:t>
      </w:r>
      <w:r>
        <w:t>) dependent variable is captured via two distinct proxies: long-term firm value (</w:t>
      </w:r>
      <w:r>
        <w:rPr>
          <w:rStyle w:val="mord"/>
        </w:rPr>
        <w:t>Tobin’s</w:t>
      </w:r>
      <w:r>
        <w:rPr>
          <w:rStyle w:val="mspace"/>
        </w:rPr>
        <w:t> </w:t>
      </w:r>
      <w:r>
        <w:rPr>
          <w:rStyle w:val="mord"/>
        </w:rPr>
        <w:t>Q</w:t>
      </w:r>
      <w:r>
        <w:t>) and real-time equity pricing (</w:t>
      </w:r>
      <w:r>
        <w:rPr>
          <w:rStyle w:val="mord"/>
        </w:rPr>
        <w:t>Market</w:t>
      </w:r>
      <w:r>
        <w:rPr>
          <w:rStyle w:val="mspace"/>
        </w:rPr>
        <w:t> </w:t>
      </w:r>
      <w:r>
        <w:rPr>
          <w:rStyle w:val="mord"/>
        </w:rPr>
        <w:t>Value</w:t>
      </w:r>
      <w:r>
        <w:rPr>
          <w:rStyle w:val="mspace"/>
        </w:rPr>
        <w:t> </w:t>
      </w:r>
      <w:r>
        <w:rPr>
          <w:rStyle w:val="mord"/>
        </w:rPr>
        <w:t>per</w:t>
      </w:r>
      <w:r>
        <w:rPr>
          <w:rStyle w:val="mspace"/>
        </w:rPr>
        <w:t> </w:t>
      </w:r>
      <w:r>
        <w:rPr>
          <w:rStyle w:val="mord"/>
        </w:rPr>
        <w:t>Share</w:t>
      </w:r>
      <w:r>
        <w:t>). Furthermore, the explanatory core is replaced by four unique tax aggressiveness proxies: Effective Tax Rate (</w:t>
      </w:r>
      <w:r>
        <w:rPr>
          <w:rStyle w:val="mord"/>
        </w:rPr>
        <w:t>ETR</w:t>
      </w:r>
      <w:r>
        <w:t>), Cash Effective Tax Rate (</w:t>
      </w:r>
      <w:r>
        <w:rPr>
          <w:rStyle w:val="mord"/>
        </w:rPr>
        <w:t>CETR</w:t>
      </w:r>
      <w:r>
        <w:t>), Book-Tax Difference (</w:t>
      </w:r>
      <w:r>
        <w:rPr>
          <w:rStyle w:val="mord"/>
        </w:rPr>
        <w:t>BTD</w:t>
      </w:r>
      <w:r>
        <w:t>), and Tax Savings Ratio (</w:t>
      </w:r>
      <w:r>
        <w:rPr>
          <w:rStyle w:val="mord"/>
        </w:rPr>
        <w:t>TSR</w:t>
      </w:r>
      <w:r>
        <w:t>). The resulting econometric models are specified as follows:</w:t>
      </w:r>
    </w:p>
    <w:p w14:paraId="3926D43C" w14:textId="77777777" w:rsidR="008D5DCB" w:rsidRDefault="0020015B">
      <w:pPr>
        <w:spacing w:after="0" w:line="240" w:lineRule="auto"/>
        <w:jc w:val="both"/>
        <w:rPr>
          <w:rFonts w:ascii="Times New Roman" w:hAnsi="Times New Roman" w:cs="Times New Roman"/>
          <w:sz w:val="24"/>
          <w:szCs w:val="24"/>
        </w:rPr>
      </w:pPr>
      <w:r>
        <w:rPr>
          <w:rStyle w:val="mord"/>
          <w:rFonts w:ascii="Times New Roman" w:hAnsi="Times New Roman" w:cs="Times New Roman"/>
          <w:sz w:val="24"/>
          <w:szCs w:val="24"/>
        </w:rPr>
        <w:lastRenderedPageBreak/>
        <w:t>TQit</w:t>
      </w:r>
      <w:r>
        <w:rPr>
          <w:rStyle w:val="vlist-s"/>
          <w:rFonts w:ascii="Times New Roman" w:hAnsi="Times New Roman" w:cs="Times New Roman"/>
          <w:sz w:val="24"/>
          <w:szCs w:val="24"/>
        </w:rPr>
        <w:t>​</w:t>
      </w:r>
      <w:r>
        <w:rPr>
          <w:rStyle w:val="mrel"/>
          <w:rFonts w:ascii="Times New Roman" w:hAnsi="Times New Roman" w:cs="Times New Roman"/>
          <w:sz w:val="24"/>
          <w:szCs w:val="24"/>
        </w:rPr>
        <w:t>=</w:t>
      </w:r>
      <w:r>
        <w:rPr>
          <w:rStyle w:val="mord"/>
          <w:rFonts w:ascii="Times New Roman" w:hAnsi="Times New Roman" w:cs="Times New Roman"/>
          <w:sz w:val="24"/>
          <w:szCs w:val="24"/>
        </w:rPr>
        <w:t>β0</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β1</w:t>
      </w:r>
      <w:r>
        <w:rPr>
          <w:rStyle w:val="vlist-s"/>
          <w:rFonts w:ascii="Times New Roman" w:hAnsi="Times New Roman" w:cs="Times New Roman"/>
          <w:sz w:val="24"/>
          <w:szCs w:val="24"/>
        </w:rPr>
        <w:t>​</w:t>
      </w:r>
      <w:r>
        <w:rPr>
          <w:rStyle w:val="mord"/>
          <w:rFonts w:ascii="Times New Roman" w:hAnsi="Times New Roman" w:cs="Times New Roman"/>
          <w:sz w:val="24"/>
          <w:szCs w:val="24"/>
        </w:rPr>
        <w:t>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β2</w:t>
      </w:r>
      <w:r>
        <w:rPr>
          <w:rStyle w:val="vlist-s"/>
          <w:rFonts w:ascii="Times New Roman" w:hAnsi="Times New Roman" w:cs="Times New Roman"/>
          <w:sz w:val="24"/>
          <w:szCs w:val="24"/>
        </w:rPr>
        <w:t>​</w:t>
      </w:r>
      <w:r>
        <w:rPr>
          <w:rStyle w:val="mord"/>
          <w:rFonts w:ascii="Times New Roman" w:hAnsi="Times New Roman" w:cs="Times New Roman"/>
          <w:sz w:val="24"/>
          <w:szCs w:val="24"/>
        </w:rPr>
        <w:t>CETRit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β3</w:t>
      </w:r>
      <w:r>
        <w:rPr>
          <w:rStyle w:val="vlist-s"/>
          <w:rFonts w:ascii="Times New Roman" w:hAnsi="Times New Roman" w:cs="Times New Roman"/>
          <w:sz w:val="24"/>
          <w:szCs w:val="24"/>
        </w:rPr>
        <w:t>​</w:t>
      </w:r>
      <w:r>
        <w:rPr>
          <w:rStyle w:val="mord"/>
          <w:rFonts w:ascii="Times New Roman" w:hAnsi="Times New Roman" w:cs="Times New Roman"/>
          <w:sz w:val="24"/>
          <w:szCs w:val="24"/>
        </w:rPr>
        <w:t>BTDit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β4</w:t>
      </w:r>
      <w:r>
        <w:rPr>
          <w:rStyle w:val="vlist-s"/>
          <w:rFonts w:ascii="Times New Roman" w:hAnsi="Times New Roman" w:cs="Times New Roman"/>
          <w:sz w:val="24"/>
          <w:szCs w:val="24"/>
        </w:rPr>
        <w:t>​</w:t>
      </w:r>
      <w:r>
        <w:rPr>
          <w:rStyle w:val="mord"/>
          <w:rFonts w:ascii="Times New Roman" w:hAnsi="Times New Roman" w:cs="Times New Roman"/>
          <w:sz w:val="24"/>
          <w:szCs w:val="24"/>
        </w:rPr>
        <w:t>TSRit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εit</w:t>
      </w:r>
      <w:r>
        <w:rPr>
          <w:rStyle w:val="vlist-s"/>
          <w:rFonts w:ascii="Times New Roman" w:hAnsi="Times New Roman" w:cs="Times New Roman"/>
          <w:sz w:val="24"/>
          <w:szCs w:val="24"/>
        </w:rPr>
        <w:t>​</w:t>
      </w:r>
      <w:r>
        <w:rPr>
          <w:rStyle w:val="minner"/>
          <w:rFonts w:ascii="Times New Roman" w:hAnsi="Times New Roman" w:cs="Times New Roman"/>
          <w:sz w:val="24"/>
          <w:szCs w:val="24"/>
        </w:rPr>
        <w:t>…………………………………….</w:t>
      </w:r>
      <w:r>
        <w:rPr>
          <w:rStyle w:val="mopen"/>
          <w:rFonts w:ascii="Times New Roman" w:hAnsi="Times New Roman" w:cs="Times New Roman"/>
          <w:sz w:val="24"/>
          <w:szCs w:val="24"/>
        </w:rPr>
        <w:t xml:space="preserve"> (</w:t>
      </w:r>
      <w:r>
        <w:rPr>
          <w:rStyle w:val="mord"/>
          <w:rFonts w:ascii="Times New Roman" w:hAnsi="Times New Roman" w:cs="Times New Roman"/>
          <w:sz w:val="24"/>
          <w:szCs w:val="24"/>
        </w:rPr>
        <w:t>1</w:t>
      </w:r>
      <w:r>
        <w:rPr>
          <w:rStyle w:val="mclose"/>
          <w:rFonts w:ascii="Times New Roman" w:hAnsi="Times New Roman" w:cs="Times New Roman"/>
          <w:sz w:val="24"/>
          <w:szCs w:val="24"/>
        </w:rPr>
        <w:t>)</w:t>
      </w:r>
    </w:p>
    <w:p w14:paraId="21A8D545" w14:textId="77777777" w:rsidR="008D5DCB" w:rsidRDefault="0020015B">
      <w:pPr>
        <w:spacing w:after="0" w:line="240" w:lineRule="auto"/>
        <w:jc w:val="both"/>
        <w:rPr>
          <w:rFonts w:ascii="Times New Roman" w:hAnsi="Times New Roman" w:cs="Times New Roman"/>
          <w:sz w:val="24"/>
          <w:szCs w:val="24"/>
        </w:rPr>
      </w:pPr>
      <w:r>
        <w:rPr>
          <w:rStyle w:val="mord"/>
          <w:rFonts w:ascii="Times New Roman" w:hAnsi="Times New Roman" w:cs="Times New Roman"/>
          <w:sz w:val="24"/>
          <w:szCs w:val="24"/>
        </w:rPr>
        <w:t>MVPSit</w:t>
      </w:r>
      <w:r>
        <w:rPr>
          <w:rStyle w:val="vlist-s"/>
          <w:rFonts w:ascii="Times New Roman" w:hAnsi="Times New Roman" w:cs="Times New Roman"/>
          <w:sz w:val="24"/>
          <w:szCs w:val="24"/>
        </w:rPr>
        <w:t>​</w:t>
      </w:r>
      <w:r>
        <w:rPr>
          <w:rStyle w:val="mrel"/>
          <w:rFonts w:ascii="Times New Roman" w:hAnsi="Times New Roman" w:cs="Times New Roman"/>
          <w:sz w:val="24"/>
          <w:szCs w:val="24"/>
        </w:rPr>
        <w:t>=</w:t>
      </w:r>
      <w:r>
        <w:rPr>
          <w:rStyle w:val="mord"/>
          <w:rFonts w:ascii="Times New Roman" w:hAnsi="Times New Roman" w:cs="Times New Roman"/>
          <w:sz w:val="24"/>
          <w:szCs w:val="24"/>
        </w:rPr>
        <w:t>β0</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β1</w:t>
      </w:r>
      <w:r>
        <w:rPr>
          <w:rStyle w:val="vlist-s"/>
          <w:rFonts w:ascii="Times New Roman" w:hAnsi="Times New Roman" w:cs="Times New Roman"/>
          <w:sz w:val="24"/>
          <w:szCs w:val="24"/>
        </w:rPr>
        <w:t>​</w:t>
      </w:r>
      <w:r>
        <w:rPr>
          <w:rStyle w:val="mord"/>
          <w:rFonts w:ascii="Times New Roman" w:hAnsi="Times New Roman" w:cs="Times New Roman"/>
          <w:sz w:val="24"/>
          <w:szCs w:val="24"/>
        </w:rPr>
        <w:t>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β2</w:t>
      </w:r>
      <w:r>
        <w:rPr>
          <w:rStyle w:val="vlist-s"/>
          <w:rFonts w:ascii="Times New Roman" w:hAnsi="Times New Roman" w:cs="Times New Roman"/>
          <w:sz w:val="24"/>
          <w:szCs w:val="24"/>
        </w:rPr>
        <w:t>​</w:t>
      </w:r>
      <w:r>
        <w:rPr>
          <w:rStyle w:val="mord"/>
          <w:rFonts w:ascii="Times New Roman" w:hAnsi="Times New Roman" w:cs="Times New Roman"/>
          <w:sz w:val="24"/>
          <w:szCs w:val="24"/>
        </w:rPr>
        <w:t>CETRit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β3</w:t>
      </w:r>
      <w:r>
        <w:rPr>
          <w:rStyle w:val="vlist-s"/>
          <w:rFonts w:ascii="Times New Roman" w:hAnsi="Times New Roman" w:cs="Times New Roman"/>
          <w:sz w:val="24"/>
          <w:szCs w:val="24"/>
        </w:rPr>
        <w:t>​</w:t>
      </w:r>
      <w:r>
        <w:rPr>
          <w:rStyle w:val="mord"/>
          <w:rFonts w:ascii="Times New Roman" w:hAnsi="Times New Roman" w:cs="Times New Roman"/>
          <w:sz w:val="24"/>
          <w:szCs w:val="24"/>
        </w:rPr>
        <w:t>BTDit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β4</w:t>
      </w:r>
      <w:r>
        <w:rPr>
          <w:rStyle w:val="vlist-s"/>
          <w:rFonts w:ascii="Times New Roman" w:hAnsi="Times New Roman" w:cs="Times New Roman"/>
          <w:sz w:val="24"/>
          <w:szCs w:val="24"/>
        </w:rPr>
        <w:t>​</w:t>
      </w:r>
      <w:r>
        <w:rPr>
          <w:rStyle w:val="mord"/>
          <w:rFonts w:ascii="Times New Roman" w:hAnsi="Times New Roman" w:cs="Times New Roman"/>
          <w:sz w:val="24"/>
          <w:szCs w:val="24"/>
        </w:rPr>
        <w:t>TSRit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εit</w:t>
      </w:r>
      <w:r>
        <w:rPr>
          <w:rStyle w:val="vlist-s"/>
          <w:rFonts w:ascii="Times New Roman" w:hAnsi="Times New Roman" w:cs="Times New Roman"/>
          <w:sz w:val="24"/>
          <w:szCs w:val="24"/>
        </w:rPr>
        <w:t>​</w:t>
      </w:r>
      <w:r>
        <w:rPr>
          <w:rStyle w:val="minner"/>
          <w:rFonts w:ascii="Times New Roman" w:hAnsi="Times New Roman" w:cs="Times New Roman"/>
          <w:sz w:val="24"/>
          <w:szCs w:val="24"/>
        </w:rPr>
        <w:t>…………………………………</w:t>
      </w:r>
      <w:r>
        <w:rPr>
          <w:rStyle w:val="mopen"/>
          <w:rFonts w:ascii="Times New Roman" w:hAnsi="Times New Roman" w:cs="Times New Roman"/>
          <w:sz w:val="24"/>
          <w:szCs w:val="24"/>
        </w:rPr>
        <w:t xml:space="preserve"> (</w:t>
      </w:r>
      <w:r>
        <w:rPr>
          <w:rStyle w:val="mord"/>
          <w:rFonts w:ascii="Times New Roman" w:hAnsi="Times New Roman" w:cs="Times New Roman"/>
          <w:sz w:val="24"/>
          <w:szCs w:val="24"/>
        </w:rPr>
        <w:t>2</w:t>
      </w:r>
      <w:r>
        <w:rPr>
          <w:rStyle w:val="mclose"/>
          <w:rFonts w:ascii="Times New Roman" w:hAnsi="Times New Roman" w:cs="Times New Roman"/>
          <w:sz w:val="24"/>
          <w:szCs w:val="24"/>
        </w:rPr>
        <w:t>)</w:t>
      </w:r>
    </w:p>
    <w:p w14:paraId="650A78E1" w14:textId="77777777" w:rsidR="008D5DCB" w:rsidRDefault="0020015B">
      <w:pPr>
        <w:pStyle w:val="NormalWeb"/>
        <w:spacing w:before="0" w:beforeAutospacing="0" w:after="0" w:afterAutospacing="0"/>
        <w:jc w:val="both"/>
      </w:pPr>
      <w:r>
        <w:t>Where:</w:t>
      </w:r>
    </w:p>
    <w:p w14:paraId="5DCC2E25" w14:textId="77777777" w:rsidR="008D5DCB" w:rsidRDefault="0020015B">
      <w:pPr>
        <w:pStyle w:val="NormalWeb"/>
        <w:spacing w:before="0" w:beforeAutospacing="0" w:after="0" w:afterAutospacing="0"/>
        <w:jc w:val="both"/>
      </w:pPr>
      <w:proofErr w:type="spellStart"/>
      <w:proofErr w:type="gramStart"/>
      <w:r>
        <w:rPr>
          <w:rStyle w:val="mord"/>
        </w:rPr>
        <w:t>TQit</w:t>
      </w:r>
      <w:proofErr w:type="spellEnd"/>
      <w:r>
        <w:rPr>
          <w:rStyle w:val="vlist-s"/>
        </w:rPr>
        <w:t>​</w:t>
      </w:r>
      <w:r>
        <w:t xml:space="preserve">  =</w:t>
      </w:r>
      <w:proofErr w:type="gramEnd"/>
      <w:r>
        <w:t xml:space="preserve"> Tobin’s Q of firm </w:t>
      </w:r>
      <w:proofErr w:type="spellStart"/>
      <w:r>
        <w:rPr>
          <w:rStyle w:val="mord"/>
        </w:rPr>
        <w:t>i</w:t>
      </w:r>
      <w:proofErr w:type="spellEnd"/>
      <w:r>
        <w:t xml:space="preserve"> in year </w:t>
      </w:r>
      <w:r>
        <w:rPr>
          <w:rStyle w:val="mord"/>
        </w:rPr>
        <w:t>t</w:t>
      </w:r>
    </w:p>
    <w:p w14:paraId="7D133C8C" w14:textId="77777777" w:rsidR="008D5DCB" w:rsidRDefault="0020015B">
      <w:pPr>
        <w:pStyle w:val="NormalWeb"/>
        <w:spacing w:before="0" w:beforeAutospacing="0" w:after="0" w:afterAutospacing="0"/>
        <w:jc w:val="both"/>
      </w:pPr>
      <w:proofErr w:type="spellStart"/>
      <w:proofErr w:type="gramStart"/>
      <w:r>
        <w:rPr>
          <w:rStyle w:val="mord"/>
        </w:rPr>
        <w:t>MVPSit</w:t>
      </w:r>
      <w:proofErr w:type="spellEnd"/>
      <w:r>
        <w:rPr>
          <w:rStyle w:val="vlist-s"/>
        </w:rPr>
        <w:t>​</w:t>
      </w:r>
      <w:r>
        <w:t xml:space="preserve">  =</w:t>
      </w:r>
      <w:proofErr w:type="gramEnd"/>
      <w:r>
        <w:t xml:space="preserve"> Market Value Per Share of firm </w:t>
      </w:r>
      <w:proofErr w:type="spellStart"/>
      <w:r>
        <w:rPr>
          <w:rStyle w:val="mord"/>
        </w:rPr>
        <w:t>i</w:t>
      </w:r>
      <w:proofErr w:type="spellEnd"/>
      <w:r>
        <w:t xml:space="preserve"> in year </w:t>
      </w:r>
      <w:r>
        <w:rPr>
          <w:rStyle w:val="mord"/>
        </w:rPr>
        <w:t>t</w:t>
      </w:r>
    </w:p>
    <w:p w14:paraId="6606B168" w14:textId="77777777" w:rsidR="008D5DCB" w:rsidRDefault="0020015B">
      <w:pPr>
        <w:pStyle w:val="NormalWeb"/>
        <w:spacing w:before="0" w:beforeAutospacing="0" w:after="0" w:afterAutospacing="0"/>
        <w:jc w:val="both"/>
      </w:pPr>
      <w:proofErr w:type="spellStart"/>
      <w:proofErr w:type="gramStart"/>
      <w:r>
        <w:rPr>
          <w:rStyle w:val="mord"/>
        </w:rPr>
        <w:t>ETRit</w:t>
      </w:r>
      <w:proofErr w:type="spellEnd"/>
      <w:r>
        <w:rPr>
          <w:rStyle w:val="vlist-s"/>
        </w:rPr>
        <w:t>​</w:t>
      </w:r>
      <w:r>
        <w:t xml:space="preserve">  =</w:t>
      </w:r>
      <w:proofErr w:type="gramEnd"/>
      <w:r>
        <w:t xml:space="preserve"> Effective Tax Rate of firm </w:t>
      </w:r>
      <w:proofErr w:type="spellStart"/>
      <w:r>
        <w:rPr>
          <w:rStyle w:val="mord"/>
        </w:rPr>
        <w:t>i</w:t>
      </w:r>
      <w:proofErr w:type="spellEnd"/>
      <w:r>
        <w:t xml:space="preserve"> in year </w:t>
      </w:r>
      <w:r>
        <w:rPr>
          <w:rStyle w:val="mord"/>
        </w:rPr>
        <w:t>t</w:t>
      </w:r>
    </w:p>
    <w:p w14:paraId="29D0C803" w14:textId="77777777" w:rsidR="008D5DCB" w:rsidRDefault="0020015B">
      <w:pPr>
        <w:pStyle w:val="NormalWeb"/>
        <w:spacing w:before="0" w:beforeAutospacing="0" w:after="0" w:afterAutospacing="0"/>
        <w:jc w:val="both"/>
      </w:pPr>
      <w:proofErr w:type="spellStart"/>
      <w:proofErr w:type="gramStart"/>
      <w:r>
        <w:rPr>
          <w:rStyle w:val="mord"/>
        </w:rPr>
        <w:t>CETRit</w:t>
      </w:r>
      <w:proofErr w:type="spellEnd"/>
      <w:r>
        <w:rPr>
          <w:rStyle w:val="vlist-s"/>
        </w:rPr>
        <w:t>​</w:t>
      </w:r>
      <w:r>
        <w:t xml:space="preserve">  =</w:t>
      </w:r>
      <w:proofErr w:type="gramEnd"/>
      <w:r>
        <w:t xml:space="preserve"> Cash Effective Tax Rate of firm </w:t>
      </w:r>
      <w:proofErr w:type="spellStart"/>
      <w:r>
        <w:rPr>
          <w:rStyle w:val="mord"/>
        </w:rPr>
        <w:t>i</w:t>
      </w:r>
      <w:proofErr w:type="spellEnd"/>
      <w:r>
        <w:t xml:space="preserve"> in year </w:t>
      </w:r>
      <w:r>
        <w:rPr>
          <w:rStyle w:val="mord"/>
        </w:rPr>
        <w:t>t</w:t>
      </w:r>
    </w:p>
    <w:p w14:paraId="4995DDC7" w14:textId="77777777" w:rsidR="008D5DCB" w:rsidRDefault="0020015B">
      <w:pPr>
        <w:pStyle w:val="NormalWeb"/>
        <w:spacing w:before="0" w:beforeAutospacing="0" w:after="0" w:afterAutospacing="0"/>
        <w:jc w:val="both"/>
      </w:pPr>
      <w:proofErr w:type="spellStart"/>
      <w:proofErr w:type="gramStart"/>
      <w:r>
        <w:rPr>
          <w:rStyle w:val="mord"/>
        </w:rPr>
        <w:t>BTDit</w:t>
      </w:r>
      <w:proofErr w:type="spellEnd"/>
      <w:r>
        <w:rPr>
          <w:rStyle w:val="vlist-s"/>
        </w:rPr>
        <w:t>​</w:t>
      </w:r>
      <w:r>
        <w:t xml:space="preserve">  =</w:t>
      </w:r>
      <w:proofErr w:type="gramEnd"/>
      <w:r>
        <w:t xml:space="preserve"> Book-Tax Difference of firm </w:t>
      </w:r>
      <w:proofErr w:type="spellStart"/>
      <w:r>
        <w:rPr>
          <w:rStyle w:val="mord"/>
        </w:rPr>
        <w:t>i</w:t>
      </w:r>
      <w:proofErr w:type="spellEnd"/>
      <w:r>
        <w:t xml:space="preserve"> in year </w:t>
      </w:r>
      <w:r>
        <w:rPr>
          <w:rStyle w:val="mord"/>
        </w:rPr>
        <w:t>t</w:t>
      </w:r>
    </w:p>
    <w:p w14:paraId="1569E819" w14:textId="77777777" w:rsidR="008D5DCB" w:rsidRDefault="0020015B">
      <w:pPr>
        <w:pStyle w:val="NormalWeb"/>
        <w:spacing w:before="0" w:beforeAutospacing="0" w:after="0" w:afterAutospacing="0"/>
        <w:jc w:val="both"/>
      </w:pPr>
      <w:proofErr w:type="spellStart"/>
      <w:proofErr w:type="gramStart"/>
      <w:r>
        <w:rPr>
          <w:rStyle w:val="mord"/>
        </w:rPr>
        <w:t>TSRit</w:t>
      </w:r>
      <w:proofErr w:type="spellEnd"/>
      <w:r>
        <w:rPr>
          <w:rStyle w:val="vlist-s"/>
        </w:rPr>
        <w:t>​</w:t>
      </w:r>
      <w:r>
        <w:t xml:space="preserve">  =</w:t>
      </w:r>
      <w:proofErr w:type="gramEnd"/>
      <w:r>
        <w:t xml:space="preserve"> Tax Savings Ratio of firm </w:t>
      </w:r>
      <w:proofErr w:type="spellStart"/>
      <w:r>
        <w:rPr>
          <w:rStyle w:val="mord"/>
        </w:rPr>
        <w:t>i</w:t>
      </w:r>
      <w:proofErr w:type="spellEnd"/>
      <w:r>
        <w:t xml:space="preserve"> in year </w:t>
      </w:r>
      <w:r>
        <w:rPr>
          <w:rStyle w:val="mord"/>
        </w:rPr>
        <w:t>t</w:t>
      </w:r>
    </w:p>
    <w:p w14:paraId="1AF9C187" w14:textId="77777777" w:rsidR="008D5DCB" w:rsidRDefault="0020015B">
      <w:pPr>
        <w:pStyle w:val="NormalWeb"/>
        <w:spacing w:before="0" w:beforeAutospacing="0" w:after="0" w:afterAutospacing="0"/>
        <w:jc w:val="both"/>
      </w:pPr>
      <w:r>
        <w:rPr>
          <w:rStyle w:val="mord"/>
        </w:rPr>
        <w:t>β0</w:t>
      </w:r>
      <w:proofErr w:type="gramStart"/>
      <w:r>
        <w:rPr>
          <w:rStyle w:val="vlist-s"/>
        </w:rPr>
        <w:t>​</w:t>
      </w:r>
      <w:r>
        <w:t xml:space="preserve">  =</w:t>
      </w:r>
      <w:proofErr w:type="gramEnd"/>
      <w:r>
        <w:t xml:space="preserve"> Constant/Intercept</w:t>
      </w:r>
    </w:p>
    <w:p w14:paraId="7A822597" w14:textId="77777777" w:rsidR="008D5DCB" w:rsidRDefault="0020015B">
      <w:pPr>
        <w:pStyle w:val="NormalWeb"/>
        <w:spacing w:before="0" w:beforeAutospacing="0" w:after="0" w:afterAutospacing="0"/>
        <w:jc w:val="both"/>
      </w:pPr>
      <w:r>
        <w:rPr>
          <w:rStyle w:val="mord"/>
        </w:rPr>
        <w:t>β1</w:t>
      </w:r>
      <w:r>
        <w:rPr>
          <w:rStyle w:val="vlist-s"/>
        </w:rPr>
        <w:t>​</w:t>
      </w:r>
      <w:r>
        <w:rPr>
          <w:rStyle w:val="mbin"/>
        </w:rPr>
        <w:t>−</w:t>
      </w:r>
      <w:r>
        <w:rPr>
          <w:rStyle w:val="mord"/>
        </w:rPr>
        <w:t>β4</w:t>
      </w:r>
      <w:proofErr w:type="gramStart"/>
      <w:r>
        <w:rPr>
          <w:rStyle w:val="vlist-s"/>
        </w:rPr>
        <w:t>​</w:t>
      </w:r>
      <w:r>
        <w:t xml:space="preserve">  =</w:t>
      </w:r>
      <w:proofErr w:type="gramEnd"/>
      <w:r>
        <w:t xml:space="preserve"> Coefficients of the explanatory variables</w:t>
      </w:r>
    </w:p>
    <w:p w14:paraId="6DE911FB" w14:textId="77777777" w:rsidR="008D5DCB" w:rsidRDefault="0020015B">
      <w:pPr>
        <w:pStyle w:val="NormalWeb"/>
        <w:spacing w:before="0" w:beforeAutospacing="0" w:after="0" w:afterAutospacing="0"/>
        <w:jc w:val="both"/>
      </w:pPr>
      <w:proofErr w:type="spellStart"/>
      <w:r>
        <w:rPr>
          <w:rStyle w:val="mord"/>
        </w:rPr>
        <w:t>ε</w:t>
      </w:r>
      <w:proofErr w:type="gramStart"/>
      <w:r>
        <w:rPr>
          <w:rStyle w:val="mord"/>
        </w:rPr>
        <w:t>it</w:t>
      </w:r>
      <w:proofErr w:type="spellEnd"/>
      <w:r>
        <w:rPr>
          <w:rStyle w:val="vlist-s"/>
        </w:rPr>
        <w:t>​</w:t>
      </w:r>
      <w:r>
        <w:t xml:space="preserve">  =</w:t>
      </w:r>
      <w:proofErr w:type="gramEnd"/>
      <w:r>
        <w:t xml:space="preserve"> Stochastic Error Term</w:t>
      </w:r>
    </w:p>
    <w:p w14:paraId="2163BB67" w14:textId="77777777" w:rsidR="008D5DCB" w:rsidRDefault="0020015B">
      <w:pPr>
        <w:pStyle w:val="NormalWeb"/>
        <w:spacing w:before="0" w:beforeAutospacing="0" w:after="0" w:afterAutospacing="0"/>
        <w:jc w:val="both"/>
      </w:pPr>
      <w:proofErr w:type="spellStart"/>
      <w:proofErr w:type="gramStart"/>
      <w:r>
        <w:rPr>
          <w:rStyle w:val="mord"/>
        </w:rPr>
        <w:t>i</w:t>
      </w:r>
      <w:r>
        <w:rPr>
          <w:rStyle w:val="mpunct"/>
        </w:rPr>
        <w:t>,</w:t>
      </w:r>
      <w:r>
        <w:rPr>
          <w:rStyle w:val="mord"/>
        </w:rPr>
        <w:t>t</w:t>
      </w:r>
      <w:proofErr w:type="spellEnd"/>
      <w:proofErr w:type="gramEnd"/>
      <w:r>
        <w:t xml:space="preserve"> = Cross-sectional (firms) and time subscripts (2012–2024)</w:t>
      </w:r>
    </w:p>
    <w:p w14:paraId="0A192395"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A-Priori Expectations</w:t>
      </w:r>
    </w:p>
    <w:p w14:paraId="0176B159"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Higher levels of tax minimization activities are expected to reduce tax liabilities, retain internal funds, and consequently enhance the market performance of listed insurance companies in Nigeria (</w:t>
      </w:r>
      <w:r>
        <w:rPr>
          <w:rStyle w:val="mord"/>
          <w:rFonts w:ascii="Times New Roman" w:hAnsi="Times New Roman" w:cs="Times New Roman"/>
          <w:sz w:val="24"/>
          <w:szCs w:val="24"/>
        </w:rPr>
        <w:t>β1</w:t>
      </w:r>
      <w:proofErr w:type="gramStart"/>
      <w:r>
        <w:rPr>
          <w:rStyle w:val="vlist-s"/>
          <w:rFonts w:ascii="Times New Roman" w:hAnsi="Times New Roman" w:cs="Times New Roman"/>
          <w:sz w:val="24"/>
          <w:szCs w:val="24"/>
        </w:rPr>
        <w:t>​</w:t>
      </w:r>
      <w:r>
        <w:rPr>
          <w:rStyle w:val="mpunct"/>
          <w:rFonts w:ascii="Times New Roman" w:hAnsi="Times New Roman" w:cs="Times New Roman"/>
          <w:sz w:val="24"/>
          <w:szCs w:val="24"/>
        </w:rPr>
        <w:t>,</w:t>
      </w:r>
      <w:r>
        <w:rPr>
          <w:rStyle w:val="mord"/>
          <w:rFonts w:ascii="Times New Roman" w:hAnsi="Times New Roman" w:cs="Times New Roman"/>
          <w:sz w:val="24"/>
          <w:szCs w:val="24"/>
        </w:rPr>
        <w:t>β</w:t>
      </w:r>
      <w:proofErr w:type="gramEnd"/>
      <w:r>
        <w:rPr>
          <w:rStyle w:val="mord"/>
          <w:rFonts w:ascii="Times New Roman" w:hAnsi="Times New Roman" w:cs="Times New Roman"/>
          <w:sz w:val="24"/>
          <w:szCs w:val="24"/>
        </w:rPr>
        <w:t>2</w:t>
      </w:r>
      <w:proofErr w:type="gramStart"/>
      <w:r>
        <w:rPr>
          <w:rStyle w:val="vlist-s"/>
          <w:rFonts w:ascii="Times New Roman" w:hAnsi="Times New Roman" w:cs="Times New Roman"/>
          <w:sz w:val="24"/>
          <w:szCs w:val="24"/>
        </w:rPr>
        <w:t>​</w:t>
      </w:r>
      <w:r>
        <w:rPr>
          <w:rStyle w:val="mpunct"/>
          <w:rFonts w:ascii="Times New Roman" w:hAnsi="Times New Roman" w:cs="Times New Roman"/>
          <w:sz w:val="24"/>
          <w:szCs w:val="24"/>
        </w:rPr>
        <w:t>,</w:t>
      </w:r>
      <w:r>
        <w:rPr>
          <w:rStyle w:val="mord"/>
          <w:rFonts w:ascii="Times New Roman" w:hAnsi="Times New Roman" w:cs="Times New Roman"/>
          <w:sz w:val="24"/>
          <w:szCs w:val="24"/>
        </w:rPr>
        <w:t>β</w:t>
      </w:r>
      <w:proofErr w:type="gramEnd"/>
      <w:r>
        <w:rPr>
          <w:rStyle w:val="mord"/>
          <w:rFonts w:ascii="Times New Roman" w:hAnsi="Times New Roman" w:cs="Times New Roman"/>
          <w:sz w:val="24"/>
          <w:szCs w:val="24"/>
        </w:rPr>
        <w:t>3</w:t>
      </w:r>
      <w:proofErr w:type="gramStart"/>
      <w:r>
        <w:rPr>
          <w:rStyle w:val="vlist-s"/>
          <w:rFonts w:ascii="Times New Roman" w:hAnsi="Times New Roman" w:cs="Times New Roman"/>
          <w:sz w:val="24"/>
          <w:szCs w:val="24"/>
        </w:rPr>
        <w:t>​</w:t>
      </w:r>
      <w:r>
        <w:rPr>
          <w:rStyle w:val="mpunct"/>
          <w:rFonts w:ascii="Times New Roman" w:hAnsi="Times New Roman" w:cs="Times New Roman"/>
          <w:sz w:val="24"/>
          <w:szCs w:val="24"/>
        </w:rPr>
        <w:t>,</w:t>
      </w:r>
      <w:r>
        <w:rPr>
          <w:rStyle w:val="mord"/>
          <w:rFonts w:ascii="Times New Roman" w:hAnsi="Times New Roman" w:cs="Times New Roman"/>
          <w:sz w:val="24"/>
          <w:szCs w:val="24"/>
        </w:rPr>
        <w:t>β</w:t>
      </w:r>
      <w:proofErr w:type="gramEnd"/>
      <w:r>
        <w:rPr>
          <w:rStyle w:val="mord"/>
          <w:rFonts w:ascii="Times New Roman" w:hAnsi="Times New Roman" w:cs="Times New Roman"/>
          <w:sz w:val="24"/>
          <w:szCs w:val="24"/>
        </w:rPr>
        <w:t>4</w:t>
      </w:r>
      <w:r>
        <w:rPr>
          <w:rStyle w:val="vlist-s"/>
          <w:rFonts w:ascii="Times New Roman" w:hAnsi="Times New Roman" w:cs="Times New Roman"/>
          <w:sz w:val="24"/>
          <w:szCs w:val="24"/>
        </w:rPr>
        <w:t>​</w:t>
      </w:r>
      <w:r>
        <w:rPr>
          <w:rStyle w:val="mrel"/>
          <w:rFonts w:ascii="Times New Roman" w:hAnsi="Times New Roman" w:cs="Times New Roman"/>
          <w:sz w:val="24"/>
          <w:szCs w:val="24"/>
        </w:rPr>
        <w:t>&gt;</w:t>
      </w:r>
      <w:r>
        <w:rPr>
          <w:rStyle w:val="mord"/>
          <w:rFonts w:ascii="Times New Roman" w:hAnsi="Times New Roman" w:cs="Times New Roman"/>
          <w:sz w:val="24"/>
          <w:szCs w:val="24"/>
        </w:rPr>
        <w:t>0</w:t>
      </w:r>
      <w:r>
        <w:rPr>
          <w:rFonts w:ascii="Times New Roman" w:hAnsi="Times New Roman" w:cs="Times New Roman"/>
          <w:sz w:val="24"/>
          <w:szCs w:val="24"/>
        </w:rPr>
        <w:t>).</w:t>
      </w:r>
    </w:p>
    <w:p w14:paraId="417E48DF" w14:textId="77777777" w:rsidR="008D5DCB" w:rsidRDefault="008D5DCB">
      <w:pPr>
        <w:spacing w:after="0" w:line="240" w:lineRule="auto"/>
        <w:jc w:val="both"/>
        <w:rPr>
          <w:rFonts w:ascii="Times New Roman" w:eastAsia="Times New Roman" w:hAnsi="Times New Roman" w:cs="Times New Roman"/>
          <w:kern w:val="0"/>
          <w:sz w:val="24"/>
          <w:szCs w:val="24"/>
          <w:lang w:val="en-GB" w:eastAsia="en-GB"/>
          <w14:ligatures w14:val="none"/>
        </w:rPr>
      </w:pPr>
    </w:p>
    <w:p w14:paraId="24BE6CEE" w14:textId="77777777" w:rsidR="008D5DCB" w:rsidRDefault="0020015B">
      <w:pPr>
        <w:spacing w:line="240" w:lineRule="auto"/>
        <w:jc w:val="both"/>
        <w:rPr>
          <w:rFonts w:ascii="Times New Roman" w:hAnsi="Times New Roman" w:cs="Times New Roman"/>
          <w:b/>
          <w:kern w:val="0"/>
          <w:sz w:val="24"/>
          <w:szCs w:val="24"/>
          <w:lang w:val="en-GB"/>
          <w14:ligatures w14:val="none"/>
        </w:rPr>
      </w:pPr>
      <w:r>
        <w:rPr>
          <w:rFonts w:ascii="Times New Roman" w:hAnsi="Times New Roman" w:cs="Times New Roman"/>
          <w:b/>
          <w:sz w:val="24"/>
          <w:szCs w:val="24"/>
        </w:rPr>
        <w:t>Table 1</w:t>
      </w:r>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Operationalisation</w:t>
      </w:r>
      <w:proofErr w:type="spellEnd"/>
      <w:r>
        <w:rPr>
          <w:rFonts w:ascii="Times New Roman" w:hAnsi="Times New Roman" w:cs="Times New Roman"/>
          <w:b/>
          <w:sz w:val="24"/>
          <w:szCs w:val="24"/>
        </w:rPr>
        <w:t>, Description, and Measurements of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6"/>
        <w:gridCol w:w="1577"/>
        <w:gridCol w:w="1811"/>
        <w:gridCol w:w="2296"/>
        <w:gridCol w:w="1786"/>
      </w:tblGrid>
      <w:tr w:rsidR="008D5DCB" w14:paraId="00518661" w14:textId="77777777">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tcPr>
          <w:p w14:paraId="3865A434"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2E592C25"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Role</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2DFF4555"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Description</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3513A911"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Measurement</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4E49CD30"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Source</w:t>
            </w:r>
          </w:p>
        </w:tc>
      </w:tr>
      <w:tr w:rsidR="008D5DCB" w14:paraId="2BA6CE70" w14:textId="77777777">
        <w:trPr>
          <w:tblCellSpacing w:w="15" w:type="dxa"/>
        </w:trPr>
        <w:tc>
          <w:tcPr>
            <w:tcW w:w="0" w:type="auto"/>
            <w:tcMar>
              <w:top w:w="120" w:type="dxa"/>
              <w:left w:w="180" w:type="dxa"/>
              <w:bottom w:w="120" w:type="dxa"/>
              <w:right w:w="180" w:type="dxa"/>
            </w:tcMar>
            <w:vAlign w:val="center"/>
          </w:tcPr>
          <w:p w14:paraId="529CE5D8"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Tobin’s Q (TQ)</w:t>
            </w:r>
          </w:p>
        </w:tc>
        <w:tc>
          <w:tcPr>
            <w:tcW w:w="0" w:type="auto"/>
            <w:tcMar>
              <w:top w:w="120" w:type="dxa"/>
              <w:left w:w="180" w:type="dxa"/>
              <w:bottom w:w="120" w:type="dxa"/>
              <w:right w:w="180" w:type="dxa"/>
            </w:tcMar>
            <w:vAlign w:val="center"/>
          </w:tcPr>
          <w:p w14:paraId="682A688F"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Dependent</w:t>
            </w:r>
          </w:p>
        </w:tc>
        <w:tc>
          <w:tcPr>
            <w:tcW w:w="0" w:type="auto"/>
            <w:tcMar>
              <w:top w:w="120" w:type="dxa"/>
              <w:left w:w="180" w:type="dxa"/>
              <w:bottom w:w="120" w:type="dxa"/>
              <w:right w:w="180" w:type="dxa"/>
            </w:tcMar>
            <w:vAlign w:val="center"/>
          </w:tcPr>
          <w:p w14:paraId="3DFA1D0D"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Compares a firm's market value to its asset replacement cost.</w:t>
            </w:r>
          </w:p>
        </w:tc>
        <w:tc>
          <w:tcPr>
            <w:tcW w:w="0" w:type="auto"/>
            <w:tcMar>
              <w:top w:w="120" w:type="dxa"/>
              <w:left w:w="180" w:type="dxa"/>
              <w:bottom w:w="120" w:type="dxa"/>
              <w:right w:w="180" w:type="dxa"/>
            </w:tcMar>
            <w:vAlign w:val="center"/>
          </w:tcPr>
          <w:p w14:paraId="3F39532A"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Market Value of Equity+ Total Liabilities/Total Assets</w:t>
            </w:r>
          </w:p>
        </w:tc>
        <w:tc>
          <w:tcPr>
            <w:tcW w:w="0" w:type="auto"/>
            <w:tcMar>
              <w:top w:w="120" w:type="dxa"/>
              <w:left w:w="180" w:type="dxa"/>
              <w:bottom w:w="120" w:type="dxa"/>
              <w:right w:w="180" w:type="dxa"/>
            </w:tcMar>
            <w:vAlign w:val="center"/>
          </w:tcPr>
          <w:p w14:paraId="15384B20"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 xml:space="preserve">Akinyemi &amp; Alaka (2023); </w:t>
            </w:r>
            <w:proofErr w:type="spellStart"/>
            <w:r>
              <w:rPr>
                <w:rFonts w:ascii="Times New Roman" w:hAnsi="Times New Roman" w:cs="Times New Roman"/>
                <w:sz w:val="24"/>
                <w:szCs w:val="24"/>
              </w:rPr>
              <w:t>Awotomilusi</w:t>
            </w:r>
            <w:proofErr w:type="spellEnd"/>
            <w:r>
              <w:rPr>
                <w:rFonts w:ascii="Times New Roman" w:hAnsi="Times New Roman" w:cs="Times New Roman"/>
                <w:sz w:val="24"/>
                <w:szCs w:val="24"/>
              </w:rPr>
              <w:t xml:space="preserve"> et al. (2025)</w:t>
            </w:r>
          </w:p>
        </w:tc>
      </w:tr>
      <w:tr w:rsidR="008D5DCB" w14:paraId="114B2E3E" w14:textId="77777777">
        <w:trPr>
          <w:tblCellSpacing w:w="15" w:type="dxa"/>
        </w:trPr>
        <w:tc>
          <w:tcPr>
            <w:tcW w:w="0" w:type="auto"/>
            <w:tcMar>
              <w:top w:w="120" w:type="dxa"/>
              <w:left w:w="180" w:type="dxa"/>
              <w:bottom w:w="120" w:type="dxa"/>
              <w:right w:w="180" w:type="dxa"/>
            </w:tcMar>
            <w:vAlign w:val="center"/>
          </w:tcPr>
          <w:p w14:paraId="394A60ED"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Market Value Per Share (MVPS)</w:t>
            </w:r>
          </w:p>
        </w:tc>
        <w:tc>
          <w:tcPr>
            <w:tcW w:w="0" w:type="auto"/>
            <w:tcMar>
              <w:top w:w="120" w:type="dxa"/>
              <w:left w:w="180" w:type="dxa"/>
              <w:bottom w:w="120" w:type="dxa"/>
              <w:right w:w="180" w:type="dxa"/>
            </w:tcMar>
            <w:vAlign w:val="center"/>
          </w:tcPr>
          <w:p w14:paraId="75752D73"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Dependent</w:t>
            </w:r>
          </w:p>
        </w:tc>
        <w:tc>
          <w:tcPr>
            <w:tcW w:w="0" w:type="auto"/>
            <w:tcMar>
              <w:top w:w="120" w:type="dxa"/>
              <w:left w:w="180" w:type="dxa"/>
              <w:bottom w:w="120" w:type="dxa"/>
              <w:right w:w="180" w:type="dxa"/>
            </w:tcMar>
            <w:vAlign w:val="center"/>
          </w:tcPr>
          <w:p w14:paraId="2B5D8E50"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Indicates the stock market's explicit year-end pricing of equity.</w:t>
            </w:r>
          </w:p>
        </w:tc>
        <w:tc>
          <w:tcPr>
            <w:tcW w:w="0" w:type="auto"/>
            <w:tcMar>
              <w:top w:w="120" w:type="dxa"/>
              <w:left w:w="180" w:type="dxa"/>
              <w:bottom w:w="120" w:type="dxa"/>
              <w:right w:w="180" w:type="dxa"/>
            </w:tcMar>
            <w:vAlign w:val="center"/>
          </w:tcPr>
          <w:p w14:paraId="3F295E84"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Closing Market Price per Share at year-end.</w:t>
            </w:r>
          </w:p>
        </w:tc>
        <w:tc>
          <w:tcPr>
            <w:tcW w:w="0" w:type="auto"/>
            <w:tcMar>
              <w:top w:w="120" w:type="dxa"/>
              <w:left w:w="180" w:type="dxa"/>
              <w:bottom w:w="120" w:type="dxa"/>
              <w:right w:w="180" w:type="dxa"/>
            </w:tcMar>
            <w:vAlign w:val="center"/>
          </w:tcPr>
          <w:p w14:paraId="311BC46C" w14:textId="77777777" w:rsidR="008D5DCB" w:rsidRDefault="0020015B">
            <w:pPr>
              <w:spacing w:after="480" w:line="240" w:lineRule="auto"/>
              <w:rPr>
                <w:rFonts w:ascii="Times New Roman" w:hAnsi="Times New Roman" w:cs="Times New Roman"/>
                <w:sz w:val="24"/>
                <w:szCs w:val="24"/>
              </w:rPr>
            </w:pPr>
            <w:proofErr w:type="spellStart"/>
            <w:r>
              <w:rPr>
                <w:rFonts w:ascii="Times New Roman" w:hAnsi="Times New Roman" w:cs="Times New Roman"/>
                <w:sz w:val="24"/>
                <w:szCs w:val="24"/>
              </w:rPr>
              <w:t>Alduneibat</w:t>
            </w:r>
            <w:proofErr w:type="spellEnd"/>
            <w:r>
              <w:rPr>
                <w:rFonts w:ascii="Times New Roman" w:hAnsi="Times New Roman" w:cs="Times New Roman"/>
                <w:sz w:val="24"/>
                <w:szCs w:val="24"/>
              </w:rPr>
              <w:t xml:space="preserve"> (2023); Bas &amp; </w:t>
            </w:r>
            <w:proofErr w:type="spellStart"/>
            <w:r>
              <w:rPr>
                <w:rFonts w:ascii="Times New Roman" w:hAnsi="Times New Roman" w:cs="Times New Roman"/>
                <w:sz w:val="24"/>
                <w:szCs w:val="24"/>
              </w:rPr>
              <w:t>Paunov</w:t>
            </w:r>
            <w:proofErr w:type="spellEnd"/>
            <w:r>
              <w:rPr>
                <w:rFonts w:ascii="Times New Roman" w:hAnsi="Times New Roman" w:cs="Times New Roman"/>
                <w:sz w:val="24"/>
                <w:szCs w:val="24"/>
              </w:rPr>
              <w:t xml:space="preserve"> (2025)</w:t>
            </w:r>
          </w:p>
        </w:tc>
      </w:tr>
      <w:tr w:rsidR="008D5DCB" w14:paraId="2A9DD085" w14:textId="77777777">
        <w:trPr>
          <w:tblCellSpacing w:w="15" w:type="dxa"/>
        </w:trPr>
        <w:tc>
          <w:tcPr>
            <w:tcW w:w="0" w:type="auto"/>
            <w:tcMar>
              <w:top w:w="120" w:type="dxa"/>
              <w:left w:w="180" w:type="dxa"/>
              <w:bottom w:w="120" w:type="dxa"/>
              <w:right w:w="180" w:type="dxa"/>
            </w:tcMar>
            <w:vAlign w:val="center"/>
          </w:tcPr>
          <w:p w14:paraId="0C39AD2F"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Effective Tax Rate (ETR)</w:t>
            </w:r>
          </w:p>
        </w:tc>
        <w:tc>
          <w:tcPr>
            <w:tcW w:w="0" w:type="auto"/>
            <w:tcMar>
              <w:top w:w="120" w:type="dxa"/>
              <w:left w:w="180" w:type="dxa"/>
              <w:bottom w:w="120" w:type="dxa"/>
              <w:right w:w="180" w:type="dxa"/>
            </w:tcMar>
            <w:vAlign w:val="center"/>
          </w:tcPr>
          <w:p w14:paraId="1BB5A171"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Mar>
              <w:top w:w="120" w:type="dxa"/>
              <w:left w:w="180" w:type="dxa"/>
              <w:bottom w:w="120" w:type="dxa"/>
              <w:right w:w="180" w:type="dxa"/>
            </w:tcMar>
            <w:vAlign w:val="center"/>
          </w:tcPr>
          <w:p w14:paraId="21FF3CD3"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Measures the accrual-based proportion of accounting profits paid as tax.</w:t>
            </w:r>
          </w:p>
        </w:tc>
        <w:tc>
          <w:tcPr>
            <w:tcW w:w="0" w:type="auto"/>
            <w:tcMar>
              <w:top w:w="120" w:type="dxa"/>
              <w:left w:w="180" w:type="dxa"/>
              <w:bottom w:w="120" w:type="dxa"/>
              <w:right w:w="180" w:type="dxa"/>
            </w:tcMar>
            <w:vAlign w:val="center"/>
          </w:tcPr>
          <w:p w14:paraId="57CD3D26"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Total Tax Expenses/Profit Before Tax</w:t>
            </w:r>
          </w:p>
        </w:tc>
        <w:tc>
          <w:tcPr>
            <w:tcW w:w="0" w:type="auto"/>
            <w:tcMar>
              <w:top w:w="120" w:type="dxa"/>
              <w:left w:w="180" w:type="dxa"/>
              <w:bottom w:w="120" w:type="dxa"/>
              <w:right w:w="180" w:type="dxa"/>
            </w:tcMar>
            <w:vAlign w:val="center"/>
          </w:tcPr>
          <w:p w14:paraId="77AFB41E"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 xml:space="preserve">Khuong et al. (2020); </w:t>
            </w:r>
            <w:proofErr w:type="spellStart"/>
            <w:r>
              <w:rPr>
                <w:rFonts w:ascii="Times New Roman" w:hAnsi="Times New Roman" w:cs="Times New Roman"/>
                <w:sz w:val="24"/>
                <w:szCs w:val="24"/>
              </w:rPr>
              <w:t>Hardana</w:t>
            </w:r>
            <w:proofErr w:type="spellEnd"/>
            <w:r>
              <w:rPr>
                <w:rFonts w:ascii="Times New Roman" w:hAnsi="Times New Roman" w:cs="Times New Roman"/>
                <w:sz w:val="24"/>
                <w:szCs w:val="24"/>
              </w:rPr>
              <w:t xml:space="preserve"> et al. (2023)</w:t>
            </w:r>
          </w:p>
        </w:tc>
      </w:tr>
      <w:tr w:rsidR="008D5DCB" w14:paraId="1D026ED2" w14:textId="77777777">
        <w:trPr>
          <w:tblCellSpacing w:w="15" w:type="dxa"/>
        </w:trPr>
        <w:tc>
          <w:tcPr>
            <w:tcW w:w="0" w:type="auto"/>
            <w:tcMar>
              <w:top w:w="120" w:type="dxa"/>
              <w:left w:w="180" w:type="dxa"/>
              <w:bottom w:w="120" w:type="dxa"/>
              <w:right w:w="180" w:type="dxa"/>
            </w:tcMar>
            <w:vAlign w:val="center"/>
          </w:tcPr>
          <w:p w14:paraId="03554E45"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lastRenderedPageBreak/>
              <w:t>Cash Effective Tax Rate (CETR)</w:t>
            </w:r>
          </w:p>
        </w:tc>
        <w:tc>
          <w:tcPr>
            <w:tcW w:w="0" w:type="auto"/>
            <w:tcMar>
              <w:top w:w="120" w:type="dxa"/>
              <w:left w:w="180" w:type="dxa"/>
              <w:bottom w:w="120" w:type="dxa"/>
              <w:right w:w="180" w:type="dxa"/>
            </w:tcMar>
            <w:vAlign w:val="center"/>
          </w:tcPr>
          <w:p w14:paraId="7AA85945"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Mar>
              <w:top w:w="120" w:type="dxa"/>
              <w:left w:w="180" w:type="dxa"/>
              <w:bottom w:w="120" w:type="dxa"/>
              <w:right w:w="180" w:type="dxa"/>
            </w:tcMar>
            <w:vAlign w:val="center"/>
          </w:tcPr>
          <w:p w14:paraId="2775B2B7"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Reflects actual cash outflows for corporate taxes relative to pre-tax income.</w:t>
            </w:r>
          </w:p>
        </w:tc>
        <w:tc>
          <w:tcPr>
            <w:tcW w:w="0" w:type="auto"/>
            <w:tcMar>
              <w:top w:w="120" w:type="dxa"/>
              <w:left w:w="180" w:type="dxa"/>
              <w:bottom w:w="120" w:type="dxa"/>
              <w:right w:w="180" w:type="dxa"/>
            </w:tcMar>
            <w:vAlign w:val="center"/>
          </w:tcPr>
          <w:p w14:paraId="6955F09E"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Cash Taxes Paid/Profit Before Tax</w:t>
            </w:r>
          </w:p>
        </w:tc>
        <w:tc>
          <w:tcPr>
            <w:tcW w:w="0" w:type="auto"/>
            <w:tcMar>
              <w:top w:w="120" w:type="dxa"/>
              <w:left w:w="180" w:type="dxa"/>
              <w:bottom w:w="120" w:type="dxa"/>
              <w:right w:w="180" w:type="dxa"/>
            </w:tcMar>
            <w:vAlign w:val="center"/>
          </w:tcPr>
          <w:p w14:paraId="20FCCAF2" w14:textId="77777777" w:rsidR="008D5DCB" w:rsidRDefault="0020015B">
            <w:pPr>
              <w:spacing w:after="480" w:line="240" w:lineRule="auto"/>
              <w:rPr>
                <w:rFonts w:ascii="Times New Roman" w:hAnsi="Times New Roman" w:cs="Times New Roman"/>
                <w:sz w:val="24"/>
                <w:szCs w:val="24"/>
              </w:rPr>
            </w:pPr>
            <w:proofErr w:type="spellStart"/>
            <w:r>
              <w:rPr>
                <w:rFonts w:ascii="Times New Roman" w:hAnsi="Times New Roman" w:cs="Times New Roman"/>
                <w:sz w:val="24"/>
                <w:szCs w:val="24"/>
              </w:rPr>
              <w:t>Febrianto</w:t>
            </w:r>
            <w:proofErr w:type="spellEnd"/>
            <w:r>
              <w:rPr>
                <w:rFonts w:ascii="Times New Roman" w:hAnsi="Times New Roman" w:cs="Times New Roman"/>
                <w:sz w:val="24"/>
                <w:szCs w:val="24"/>
              </w:rPr>
              <w:t xml:space="preserve"> et al. (2025); Shams et al. (2025)</w:t>
            </w:r>
          </w:p>
        </w:tc>
      </w:tr>
      <w:tr w:rsidR="008D5DCB" w14:paraId="2B0B9D57" w14:textId="77777777">
        <w:trPr>
          <w:tblCellSpacing w:w="15" w:type="dxa"/>
        </w:trPr>
        <w:tc>
          <w:tcPr>
            <w:tcW w:w="0" w:type="auto"/>
            <w:tcMar>
              <w:top w:w="120" w:type="dxa"/>
              <w:left w:w="180" w:type="dxa"/>
              <w:bottom w:w="120" w:type="dxa"/>
              <w:right w:w="180" w:type="dxa"/>
            </w:tcMar>
            <w:vAlign w:val="center"/>
          </w:tcPr>
          <w:p w14:paraId="01623E04"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Book–Tax Difference (BTD)</w:t>
            </w:r>
          </w:p>
        </w:tc>
        <w:tc>
          <w:tcPr>
            <w:tcW w:w="0" w:type="auto"/>
            <w:tcMar>
              <w:top w:w="120" w:type="dxa"/>
              <w:left w:w="180" w:type="dxa"/>
              <w:bottom w:w="120" w:type="dxa"/>
              <w:right w:w="180" w:type="dxa"/>
            </w:tcMar>
            <w:vAlign w:val="center"/>
          </w:tcPr>
          <w:p w14:paraId="30F1DD1F"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Mar>
              <w:top w:w="120" w:type="dxa"/>
              <w:left w:w="180" w:type="dxa"/>
              <w:bottom w:w="120" w:type="dxa"/>
              <w:right w:w="180" w:type="dxa"/>
            </w:tcMar>
            <w:vAlign w:val="center"/>
          </w:tcPr>
          <w:p w14:paraId="49BCB48C"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Captures the structural gap between accounting profit and taxable income.</w:t>
            </w:r>
          </w:p>
        </w:tc>
        <w:tc>
          <w:tcPr>
            <w:tcW w:w="0" w:type="auto"/>
            <w:tcMar>
              <w:top w:w="120" w:type="dxa"/>
              <w:left w:w="180" w:type="dxa"/>
              <w:bottom w:w="120" w:type="dxa"/>
              <w:right w:w="180" w:type="dxa"/>
            </w:tcMar>
            <w:vAlign w:val="center"/>
          </w:tcPr>
          <w:p w14:paraId="67672C5F"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Profit Before Tax - Tax Expense/Statutory Tax Rate</w:t>
            </w:r>
          </w:p>
        </w:tc>
        <w:tc>
          <w:tcPr>
            <w:tcW w:w="0" w:type="auto"/>
            <w:tcMar>
              <w:top w:w="120" w:type="dxa"/>
              <w:left w:w="180" w:type="dxa"/>
              <w:bottom w:w="120" w:type="dxa"/>
              <w:right w:w="180" w:type="dxa"/>
            </w:tcMar>
            <w:vAlign w:val="center"/>
          </w:tcPr>
          <w:p w14:paraId="7C1E2202"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 xml:space="preserve">Amri et al. (2023); </w:t>
            </w:r>
            <w:proofErr w:type="spellStart"/>
            <w:r>
              <w:rPr>
                <w:rFonts w:ascii="Times New Roman" w:hAnsi="Times New Roman" w:cs="Times New Roman"/>
                <w:sz w:val="24"/>
                <w:szCs w:val="24"/>
              </w:rPr>
              <w:t>Shubita</w:t>
            </w:r>
            <w:proofErr w:type="spellEnd"/>
            <w:r>
              <w:rPr>
                <w:rFonts w:ascii="Times New Roman" w:hAnsi="Times New Roman" w:cs="Times New Roman"/>
                <w:sz w:val="24"/>
                <w:szCs w:val="24"/>
              </w:rPr>
              <w:t xml:space="preserve"> (2024)</w:t>
            </w:r>
          </w:p>
        </w:tc>
      </w:tr>
      <w:tr w:rsidR="008D5DCB" w14:paraId="7DDC8507" w14:textId="77777777">
        <w:trPr>
          <w:tblCellSpacing w:w="15" w:type="dxa"/>
        </w:trPr>
        <w:tc>
          <w:tcPr>
            <w:tcW w:w="0" w:type="auto"/>
            <w:tcBorders>
              <w:bottom w:val="single" w:sz="4" w:space="0" w:color="auto"/>
            </w:tcBorders>
            <w:tcMar>
              <w:top w:w="120" w:type="dxa"/>
              <w:left w:w="180" w:type="dxa"/>
              <w:bottom w:w="120" w:type="dxa"/>
              <w:right w:w="180" w:type="dxa"/>
            </w:tcMar>
            <w:vAlign w:val="center"/>
          </w:tcPr>
          <w:p w14:paraId="779FDAC2"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Tax Savings Ratio (TSR)</w:t>
            </w:r>
          </w:p>
        </w:tc>
        <w:tc>
          <w:tcPr>
            <w:tcW w:w="0" w:type="auto"/>
            <w:tcBorders>
              <w:bottom w:val="single" w:sz="4" w:space="0" w:color="auto"/>
            </w:tcBorders>
            <w:tcMar>
              <w:top w:w="120" w:type="dxa"/>
              <w:left w:w="180" w:type="dxa"/>
              <w:bottom w:w="120" w:type="dxa"/>
              <w:right w:w="180" w:type="dxa"/>
            </w:tcMar>
            <w:vAlign w:val="center"/>
          </w:tcPr>
          <w:p w14:paraId="4A98419B"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Borders>
              <w:bottom w:val="single" w:sz="4" w:space="0" w:color="auto"/>
            </w:tcBorders>
            <w:tcMar>
              <w:top w:w="120" w:type="dxa"/>
              <w:left w:w="180" w:type="dxa"/>
              <w:bottom w:w="120" w:type="dxa"/>
              <w:right w:w="180" w:type="dxa"/>
            </w:tcMar>
            <w:vAlign w:val="center"/>
          </w:tcPr>
          <w:p w14:paraId="4E19BE56"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Gauges the proportion of corporate tax saved via active fiscal planning.</w:t>
            </w:r>
          </w:p>
        </w:tc>
        <w:tc>
          <w:tcPr>
            <w:tcW w:w="0" w:type="auto"/>
            <w:tcBorders>
              <w:bottom w:val="single" w:sz="4" w:space="0" w:color="auto"/>
            </w:tcBorders>
            <w:tcMar>
              <w:top w:w="120" w:type="dxa"/>
              <w:left w:w="180" w:type="dxa"/>
              <w:bottom w:w="120" w:type="dxa"/>
              <w:right w:w="180" w:type="dxa"/>
            </w:tcMar>
            <w:vAlign w:val="center"/>
          </w:tcPr>
          <w:p w14:paraId="4CA7B9B7"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1 - Actual Tax Paid/Expected Tax based on Statutory Rate</w:t>
            </w:r>
          </w:p>
        </w:tc>
        <w:tc>
          <w:tcPr>
            <w:tcW w:w="0" w:type="auto"/>
            <w:tcBorders>
              <w:bottom w:val="single" w:sz="4" w:space="0" w:color="auto"/>
            </w:tcBorders>
            <w:tcMar>
              <w:top w:w="120" w:type="dxa"/>
              <w:left w:w="180" w:type="dxa"/>
              <w:bottom w:w="120" w:type="dxa"/>
              <w:right w:w="180" w:type="dxa"/>
            </w:tcMar>
            <w:vAlign w:val="center"/>
          </w:tcPr>
          <w:p w14:paraId="598C7E77" w14:textId="77777777" w:rsidR="008D5DCB" w:rsidRDefault="0020015B">
            <w:pPr>
              <w:spacing w:after="480" w:line="240" w:lineRule="auto"/>
              <w:rPr>
                <w:rFonts w:ascii="Times New Roman" w:hAnsi="Times New Roman" w:cs="Times New Roman"/>
                <w:sz w:val="24"/>
                <w:szCs w:val="24"/>
              </w:rPr>
            </w:pPr>
            <w:r>
              <w:t xml:space="preserve"> Abdullah et al. (2022); Shaukat et al. (2025)</w:t>
            </w:r>
          </w:p>
        </w:tc>
      </w:tr>
    </w:tbl>
    <w:p w14:paraId="0FE849AB" w14:textId="77777777" w:rsidR="008D5DCB" w:rsidRDefault="008D5DCB">
      <w:pPr>
        <w:spacing w:after="0" w:line="240" w:lineRule="auto"/>
        <w:jc w:val="both"/>
        <w:rPr>
          <w:rFonts w:ascii="Times New Roman" w:hAnsi="Times New Roman" w:cs="Times New Roman"/>
          <w:sz w:val="24"/>
          <w:szCs w:val="24"/>
        </w:rPr>
      </w:pPr>
    </w:p>
    <w:p w14:paraId="5D5EDCCB" w14:textId="77777777" w:rsidR="008D5DCB" w:rsidRDefault="0020015B">
      <w:pPr>
        <w:spacing w:after="0" w:line="240" w:lineRule="auto"/>
        <w:rPr>
          <w:rFonts w:asciiTheme="majorBidi" w:hAnsiTheme="majorBidi" w:cstheme="majorBidi"/>
          <w:b/>
          <w:bCs/>
          <w:sz w:val="24"/>
          <w:szCs w:val="24"/>
        </w:rPr>
      </w:pPr>
      <w:bookmarkStart w:id="1" w:name="_Toc190087754"/>
      <w:bookmarkStart w:id="2" w:name="_Toc190073225"/>
      <w:bookmarkStart w:id="3" w:name="_Toc190078932"/>
      <w:r>
        <w:rPr>
          <w:rFonts w:ascii="Times New Roman" w:hAnsi="Times New Roman" w:cs="Times New Roman"/>
          <w:b/>
          <w:sz w:val="24"/>
          <w:szCs w:val="24"/>
        </w:rPr>
        <w:t>4.0.</w:t>
      </w:r>
      <w:r>
        <w:rPr>
          <w:rFonts w:ascii="Times New Roman" w:hAnsi="Times New Roman" w:cs="Times New Roman"/>
          <w:b/>
          <w:sz w:val="24"/>
          <w:szCs w:val="24"/>
        </w:rPr>
        <w:tab/>
        <w:t xml:space="preserve">Descriptive </w:t>
      </w:r>
      <w:bookmarkEnd w:id="1"/>
      <w:bookmarkEnd w:id="2"/>
      <w:bookmarkEnd w:id="3"/>
      <w:r>
        <w:rPr>
          <w:rFonts w:ascii="Times New Roman" w:hAnsi="Times New Roman" w:cs="Times New Roman"/>
          <w:b/>
          <w:sz w:val="24"/>
          <w:szCs w:val="24"/>
        </w:rPr>
        <w:t>Analysis</w:t>
      </w:r>
    </w:p>
    <w:p w14:paraId="1B493004" w14:textId="77777777" w:rsidR="008D5DCB" w:rsidRDefault="0020015B">
      <w:pPr>
        <w:spacing w:line="240" w:lineRule="auto"/>
        <w:rPr>
          <w:rFonts w:ascii="Times New Roman" w:hAnsi="Times New Roman" w:cs="Times New Roman"/>
          <w:b/>
          <w:kern w:val="0"/>
          <w:sz w:val="24"/>
          <w:szCs w:val="24"/>
          <w:lang w:val="en-GB"/>
          <w14:ligatures w14:val="none"/>
        </w:rPr>
      </w:pPr>
      <w:r>
        <w:rPr>
          <w:rFonts w:ascii="Times New Roman" w:hAnsi="Times New Roman" w:cs="Times New Roman"/>
          <w:b/>
          <w:sz w:val="24"/>
          <w:szCs w:val="24"/>
        </w:rPr>
        <w:t xml:space="preserve">Table </w:t>
      </w:r>
      <w:r w:rsidR="007A10BA">
        <w:rPr>
          <w:rFonts w:ascii="Times New Roman" w:hAnsi="Times New Roman" w:cs="Times New Roman"/>
          <w:b/>
          <w:sz w:val="24"/>
          <w:szCs w:val="24"/>
        </w:rPr>
        <w:t>2-</w:t>
      </w:r>
      <w:r>
        <w:rPr>
          <w:rFonts w:ascii="Times New Roman" w:hAnsi="Times New Roman" w:cs="Times New Roman"/>
          <w:b/>
          <w:sz w:val="24"/>
          <w:szCs w:val="24"/>
        </w:rPr>
        <w:t>: Summary Descriptive Statistics of the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3"/>
        <w:gridCol w:w="803"/>
        <w:gridCol w:w="1349"/>
        <w:gridCol w:w="1281"/>
        <w:gridCol w:w="1460"/>
        <w:gridCol w:w="1296"/>
      </w:tblGrid>
      <w:tr w:rsidR="008D5DCB" w14:paraId="55F55953" w14:textId="77777777">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tcPr>
          <w:p w14:paraId="61C3BBE1" w14:textId="77777777" w:rsidR="008D5DCB" w:rsidRDefault="0020015B">
            <w:pPr>
              <w:spacing w:after="480" w:line="240" w:lineRule="auto"/>
            </w:pPr>
            <w:r>
              <w:rPr>
                <w:rStyle w:val="Strong"/>
              </w:rPr>
              <w:t>Variables</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2D0B89F2" w14:textId="77777777" w:rsidR="008D5DCB" w:rsidRDefault="0020015B">
            <w:pPr>
              <w:spacing w:after="480" w:line="240" w:lineRule="auto"/>
            </w:pPr>
            <w:r>
              <w:rPr>
                <w:rStyle w:val="Strong"/>
              </w:rPr>
              <w:t>Obs.</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2EB7CF46" w14:textId="77777777" w:rsidR="008D5DCB" w:rsidRDefault="0020015B">
            <w:pPr>
              <w:spacing w:after="480" w:line="240" w:lineRule="auto"/>
            </w:pPr>
            <w:r>
              <w:rPr>
                <w:rStyle w:val="Strong"/>
              </w:rPr>
              <w:t>Mean</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5C977969" w14:textId="77777777" w:rsidR="008D5DCB" w:rsidRDefault="0020015B">
            <w:pPr>
              <w:spacing w:after="480" w:line="240" w:lineRule="auto"/>
            </w:pPr>
            <w:r>
              <w:rPr>
                <w:rStyle w:val="Strong"/>
              </w:rPr>
              <w:t>Std. Dev.</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3A1987D6" w14:textId="77777777" w:rsidR="008D5DCB" w:rsidRDefault="0020015B">
            <w:pPr>
              <w:spacing w:after="480" w:line="240" w:lineRule="auto"/>
            </w:pPr>
            <w:r>
              <w:rPr>
                <w:rStyle w:val="Strong"/>
              </w:rPr>
              <w:t>Min.</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007CFCA8" w14:textId="77777777" w:rsidR="008D5DCB" w:rsidRDefault="0020015B">
            <w:pPr>
              <w:spacing w:after="480" w:line="240" w:lineRule="auto"/>
            </w:pPr>
            <w:r>
              <w:rPr>
                <w:rStyle w:val="Strong"/>
              </w:rPr>
              <w:t>Max.</w:t>
            </w:r>
          </w:p>
        </w:tc>
      </w:tr>
      <w:tr w:rsidR="008D5DCB" w14:paraId="6BFF4271" w14:textId="77777777">
        <w:trPr>
          <w:tblCellSpacing w:w="15" w:type="dxa"/>
        </w:trPr>
        <w:tc>
          <w:tcPr>
            <w:tcW w:w="0" w:type="auto"/>
            <w:tcMar>
              <w:top w:w="120" w:type="dxa"/>
              <w:left w:w="180" w:type="dxa"/>
              <w:bottom w:w="120" w:type="dxa"/>
              <w:right w:w="180" w:type="dxa"/>
            </w:tcMar>
            <w:vAlign w:val="center"/>
          </w:tcPr>
          <w:p w14:paraId="4070AA02" w14:textId="77777777" w:rsidR="008D5DCB" w:rsidRDefault="0020015B">
            <w:pPr>
              <w:spacing w:after="480" w:line="240" w:lineRule="auto"/>
            </w:pPr>
            <w:r>
              <w:rPr>
                <w:b/>
                <w:bCs/>
              </w:rPr>
              <w:t>TQ</w:t>
            </w:r>
          </w:p>
        </w:tc>
        <w:tc>
          <w:tcPr>
            <w:tcW w:w="0" w:type="auto"/>
            <w:tcMar>
              <w:top w:w="120" w:type="dxa"/>
              <w:left w:w="180" w:type="dxa"/>
              <w:bottom w:w="120" w:type="dxa"/>
              <w:right w:w="180" w:type="dxa"/>
            </w:tcMar>
            <w:vAlign w:val="center"/>
          </w:tcPr>
          <w:p w14:paraId="3D36E066"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7D4B8271" w14:textId="77777777" w:rsidR="008D5DCB" w:rsidRDefault="0020015B">
            <w:pPr>
              <w:spacing w:after="480" w:line="240" w:lineRule="auto"/>
            </w:pPr>
            <w:r>
              <w:t>0.870</w:t>
            </w:r>
          </w:p>
        </w:tc>
        <w:tc>
          <w:tcPr>
            <w:tcW w:w="0" w:type="auto"/>
            <w:tcMar>
              <w:top w:w="120" w:type="dxa"/>
              <w:left w:w="180" w:type="dxa"/>
              <w:bottom w:w="120" w:type="dxa"/>
              <w:right w:w="180" w:type="dxa"/>
            </w:tcMar>
            <w:vAlign w:val="center"/>
          </w:tcPr>
          <w:p w14:paraId="54D81DA3" w14:textId="77777777" w:rsidR="008D5DCB" w:rsidRDefault="0020015B">
            <w:pPr>
              <w:spacing w:after="480" w:line="240" w:lineRule="auto"/>
            </w:pPr>
            <w:r>
              <w:t>0.487</w:t>
            </w:r>
          </w:p>
        </w:tc>
        <w:tc>
          <w:tcPr>
            <w:tcW w:w="0" w:type="auto"/>
            <w:tcMar>
              <w:top w:w="120" w:type="dxa"/>
              <w:left w:w="180" w:type="dxa"/>
              <w:bottom w:w="120" w:type="dxa"/>
              <w:right w:w="180" w:type="dxa"/>
            </w:tcMar>
            <w:vAlign w:val="center"/>
          </w:tcPr>
          <w:p w14:paraId="01F5E856" w14:textId="77777777" w:rsidR="008D5DCB" w:rsidRDefault="0020015B">
            <w:pPr>
              <w:spacing w:after="480" w:line="240" w:lineRule="auto"/>
            </w:pPr>
            <w:r>
              <w:t>0.000</w:t>
            </w:r>
          </w:p>
        </w:tc>
        <w:tc>
          <w:tcPr>
            <w:tcW w:w="0" w:type="auto"/>
            <w:tcMar>
              <w:top w:w="120" w:type="dxa"/>
              <w:left w:w="180" w:type="dxa"/>
              <w:bottom w:w="120" w:type="dxa"/>
              <w:right w:w="180" w:type="dxa"/>
            </w:tcMar>
            <w:vAlign w:val="center"/>
          </w:tcPr>
          <w:p w14:paraId="51DED0DB" w14:textId="77777777" w:rsidR="008D5DCB" w:rsidRDefault="0020015B">
            <w:pPr>
              <w:spacing w:after="480" w:line="240" w:lineRule="auto"/>
            </w:pPr>
            <w:r>
              <w:t>4.381</w:t>
            </w:r>
          </w:p>
        </w:tc>
      </w:tr>
      <w:tr w:rsidR="008D5DCB" w14:paraId="743EB7DE" w14:textId="77777777">
        <w:trPr>
          <w:tblCellSpacing w:w="15" w:type="dxa"/>
        </w:trPr>
        <w:tc>
          <w:tcPr>
            <w:tcW w:w="0" w:type="auto"/>
            <w:tcMar>
              <w:top w:w="120" w:type="dxa"/>
              <w:left w:w="180" w:type="dxa"/>
              <w:bottom w:w="120" w:type="dxa"/>
              <w:right w:w="180" w:type="dxa"/>
            </w:tcMar>
            <w:vAlign w:val="center"/>
          </w:tcPr>
          <w:p w14:paraId="3AA4D493" w14:textId="77777777" w:rsidR="008D5DCB" w:rsidRDefault="0020015B">
            <w:pPr>
              <w:spacing w:after="480" w:line="240" w:lineRule="auto"/>
            </w:pPr>
            <w:r>
              <w:rPr>
                <w:b/>
                <w:bCs/>
              </w:rPr>
              <w:t>MVPS</w:t>
            </w:r>
          </w:p>
        </w:tc>
        <w:tc>
          <w:tcPr>
            <w:tcW w:w="0" w:type="auto"/>
            <w:tcMar>
              <w:top w:w="120" w:type="dxa"/>
              <w:left w:w="180" w:type="dxa"/>
              <w:bottom w:w="120" w:type="dxa"/>
              <w:right w:w="180" w:type="dxa"/>
            </w:tcMar>
            <w:vAlign w:val="center"/>
          </w:tcPr>
          <w:p w14:paraId="607BD80D"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0A1C63F6" w14:textId="77777777" w:rsidR="008D5DCB" w:rsidRDefault="0020015B">
            <w:pPr>
              <w:spacing w:after="480" w:line="240" w:lineRule="auto"/>
            </w:pPr>
            <w:r>
              <w:t>1.584</w:t>
            </w:r>
          </w:p>
        </w:tc>
        <w:tc>
          <w:tcPr>
            <w:tcW w:w="0" w:type="auto"/>
            <w:tcMar>
              <w:top w:w="120" w:type="dxa"/>
              <w:left w:w="180" w:type="dxa"/>
              <w:bottom w:w="120" w:type="dxa"/>
              <w:right w:w="180" w:type="dxa"/>
            </w:tcMar>
            <w:vAlign w:val="center"/>
          </w:tcPr>
          <w:p w14:paraId="7E3383CB" w14:textId="77777777" w:rsidR="008D5DCB" w:rsidRDefault="0020015B">
            <w:pPr>
              <w:spacing w:after="480" w:line="240" w:lineRule="auto"/>
            </w:pPr>
            <w:r>
              <w:t>3.268</w:t>
            </w:r>
          </w:p>
        </w:tc>
        <w:tc>
          <w:tcPr>
            <w:tcW w:w="0" w:type="auto"/>
            <w:tcMar>
              <w:top w:w="120" w:type="dxa"/>
              <w:left w:w="180" w:type="dxa"/>
              <w:bottom w:w="120" w:type="dxa"/>
              <w:right w:w="180" w:type="dxa"/>
            </w:tcMar>
            <w:vAlign w:val="center"/>
          </w:tcPr>
          <w:p w14:paraId="19540220" w14:textId="77777777" w:rsidR="008D5DCB" w:rsidRDefault="0020015B">
            <w:pPr>
              <w:spacing w:after="480" w:line="240" w:lineRule="auto"/>
            </w:pPr>
            <w:r>
              <w:t>0.000</w:t>
            </w:r>
          </w:p>
        </w:tc>
        <w:tc>
          <w:tcPr>
            <w:tcW w:w="0" w:type="auto"/>
            <w:tcMar>
              <w:top w:w="120" w:type="dxa"/>
              <w:left w:w="180" w:type="dxa"/>
              <w:bottom w:w="120" w:type="dxa"/>
              <w:right w:w="180" w:type="dxa"/>
            </w:tcMar>
            <w:vAlign w:val="center"/>
          </w:tcPr>
          <w:p w14:paraId="46E2575F" w14:textId="77777777" w:rsidR="008D5DCB" w:rsidRDefault="0020015B">
            <w:pPr>
              <w:spacing w:after="480" w:line="240" w:lineRule="auto"/>
            </w:pPr>
            <w:r>
              <w:t>26.500</w:t>
            </w:r>
          </w:p>
        </w:tc>
      </w:tr>
      <w:tr w:rsidR="008D5DCB" w14:paraId="1D898702" w14:textId="77777777">
        <w:trPr>
          <w:tblCellSpacing w:w="15" w:type="dxa"/>
        </w:trPr>
        <w:tc>
          <w:tcPr>
            <w:tcW w:w="0" w:type="auto"/>
            <w:tcMar>
              <w:top w:w="120" w:type="dxa"/>
              <w:left w:w="180" w:type="dxa"/>
              <w:bottom w:w="120" w:type="dxa"/>
              <w:right w:w="180" w:type="dxa"/>
            </w:tcMar>
            <w:vAlign w:val="center"/>
          </w:tcPr>
          <w:p w14:paraId="2520B01E" w14:textId="77777777" w:rsidR="008D5DCB" w:rsidRDefault="0020015B">
            <w:pPr>
              <w:spacing w:after="480" w:line="240" w:lineRule="auto"/>
            </w:pPr>
            <w:r>
              <w:rPr>
                <w:b/>
                <w:bCs/>
              </w:rPr>
              <w:t>ETR</w:t>
            </w:r>
          </w:p>
        </w:tc>
        <w:tc>
          <w:tcPr>
            <w:tcW w:w="0" w:type="auto"/>
            <w:tcMar>
              <w:top w:w="120" w:type="dxa"/>
              <w:left w:w="180" w:type="dxa"/>
              <w:bottom w:w="120" w:type="dxa"/>
              <w:right w:w="180" w:type="dxa"/>
            </w:tcMar>
            <w:vAlign w:val="center"/>
          </w:tcPr>
          <w:p w14:paraId="72113B19"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1A1523DF" w14:textId="77777777" w:rsidR="008D5DCB" w:rsidRDefault="0020015B">
            <w:pPr>
              <w:spacing w:after="480" w:line="240" w:lineRule="auto"/>
            </w:pPr>
            <w:r>
              <w:t>0.041</w:t>
            </w:r>
          </w:p>
        </w:tc>
        <w:tc>
          <w:tcPr>
            <w:tcW w:w="0" w:type="auto"/>
            <w:tcMar>
              <w:top w:w="120" w:type="dxa"/>
              <w:left w:w="180" w:type="dxa"/>
              <w:bottom w:w="120" w:type="dxa"/>
              <w:right w:w="180" w:type="dxa"/>
            </w:tcMar>
            <w:vAlign w:val="center"/>
          </w:tcPr>
          <w:p w14:paraId="380DEA2B" w14:textId="77777777" w:rsidR="008D5DCB" w:rsidRDefault="0020015B">
            <w:pPr>
              <w:spacing w:after="480" w:line="240" w:lineRule="auto"/>
            </w:pPr>
            <w:r>
              <w:t>1.650</w:t>
            </w:r>
          </w:p>
        </w:tc>
        <w:tc>
          <w:tcPr>
            <w:tcW w:w="0" w:type="auto"/>
            <w:tcMar>
              <w:top w:w="120" w:type="dxa"/>
              <w:left w:w="180" w:type="dxa"/>
              <w:bottom w:w="120" w:type="dxa"/>
              <w:right w:w="180" w:type="dxa"/>
            </w:tcMar>
            <w:vAlign w:val="center"/>
          </w:tcPr>
          <w:p w14:paraId="08DD4A64" w14:textId="77777777" w:rsidR="008D5DCB" w:rsidRDefault="0020015B">
            <w:pPr>
              <w:spacing w:after="480" w:line="240" w:lineRule="auto"/>
            </w:pPr>
            <w:r>
              <w:t>-26.071</w:t>
            </w:r>
          </w:p>
        </w:tc>
        <w:tc>
          <w:tcPr>
            <w:tcW w:w="0" w:type="auto"/>
            <w:tcMar>
              <w:top w:w="120" w:type="dxa"/>
              <w:left w:w="180" w:type="dxa"/>
              <w:bottom w:w="120" w:type="dxa"/>
              <w:right w:w="180" w:type="dxa"/>
            </w:tcMar>
            <w:vAlign w:val="center"/>
          </w:tcPr>
          <w:p w14:paraId="2C7B9ED8" w14:textId="77777777" w:rsidR="008D5DCB" w:rsidRDefault="0020015B">
            <w:pPr>
              <w:spacing w:after="480" w:line="240" w:lineRule="auto"/>
            </w:pPr>
            <w:r>
              <w:t>8.062</w:t>
            </w:r>
          </w:p>
        </w:tc>
      </w:tr>
      <w:tr w:rsidR="008D5DCB" w14:paraId="5C8977F3" w14:textId="77777777">
        <w:trPr>
          <w:tblCellSpacing w:w="15" w:type="dxa"/>
        </w:trPr>
        <w:tc>
          <w:tcPr>
            <w:tcW w:w="0" w:type="auto"/>
            <w:tcMar>
              <w:top w:w="120" w:type="dxa"/>
              <w:left w:w="180" w:type="dxa"/>
              <w:bottom w:w="120" w:type="dxa"/>
              <w:right w:w="180" w:type="dxa"/>
            </w:tcMar>
            <w:vAlign w:val="center"/>
          </w:tcPr>
          <w:p w14:paraId="400D1697" w14:textId="77777777" w:rsidR="008D5DCB" w:rsidRDefault="0020015B">
            <w:pPr>
              <w:spacing w:after="480" w:line="240" w:lineRule="auto"/>
            </w:pPr>
            <w:r>
              <w:rPr>
                <w:b/>
                <w:bCs/>
              </w:rPr>
              <w:lastRenderedPageBreak/>
              <w:t>CETR</w:t>
            </w:r>
          </w:p>
        </w:tc>
        <w:tc>
          <w:tcPr>
            <w:tcW w:w="0" w:type="auto"/>
            <w:tcMar>
              <w:top w:w="120" w:type="dxa"/>
              <w:left w:w="180" w:type="dxa"/>
              <w:bottom w:w="120" w:type="dxa"/>
              <w:right w:w="180" w:type="dxa"/>
            </w:tcMar>
            <w:vAlign w:val="center"/>
          </w:tcPr>
          <w:p w14:paraId="512887E7"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1AF29C16" w14:textId="77777777" w:rsidR="008D5DCB" w:rsidRDefault="0020015B">
            <w:pPr>
              <w:spacing w:after="480" w:line="240" w:lineRule="auto"/>
            </w:pPr>
            <w:r>
              <w:t>-0.059</w:t>
            </w:r>
          </w:p>
        </w:tc>
        <w:tc>
          <w:tcPr>
            <w:tcW w:w="0" w:type="auto"/>
            <w:tcMar>
              <w:top w:w="120" w:type="dxa"/>
              <w:left w:w="180" w:type="dxa"/>
              <w:bottom w:w="120" w:type="dxa"/>
              <w:right w:w="180" w:type="dxa"/>
            </w:tcMar>
            <w:vAlign w:val="center"/>
          </w:tcPr>
          <w:p w14:paraId="685AB26F" w14:textId="77777777" w:rsidR="008D5DCB" w:rsidRDefault="0020015B">
            <w:pPr>
              <w:spacing w:after="480" w:line="240" w:lineRule="auto"/>
            </w:pPr>
            <w:r>
              <w:t>3.839</w:t>
            </w:r>
          </w:p>
        </w:tc>
        <w:tc>
          <w:tcPr>
            <w:tcW w:w="0" w:type="auto"/>
            <w:tcMar>
              <w:top w:w="120" w:type="dxa"/>
              <w:left w:w="180" w:type="dxa"/>
              <w:bottom w:w="120" w:type="dxa"/>
              <w:right w:w="180" w:type="dxa"/>
            </w:tcMar>
            <w:vAlign w:val="center"/>
          </w:tcPr>
          <w:p w14:paraId="7A7C403C" w14:textId="77777777" w:rsidR="008D5DCB" w:rsidRDefault="0020015B">
            <w:pPr>
              <w:spacing w:after="480" w:line="240" w:lineRule="auto"/>
            </w:pPr>
            <w:r>
              <w:t>-66.032</w:t>
            </w:r>
          </w:p>
        </w:tc>
        <w:tc>
          <w:tcPr>
            <w:tcW w:w="0" w:type="auto"/>
            <w:tcMar>
              <w:top w:w="120" w:type="dxa"/>
              <w:left w:w="180" w:type="dxa"/>
              <w:bottom w:w="120" w:type="dxa"/>
              <w:right w:w="180" w:type="dxa"/>
            </w:tcMar>
            <w:vAlign w:val="center"/>
          </w:tcPr>
          <w:p w14:paraId="0BB93DEE" w14:textId="77777777" w:rsidR="008D5DCB" w:rsidRDefault="0020015B">
            <w:pPr>
              <w:spacing w:after="480" w:line="240" w:lineRule="auto"/>
            </w:pPr>
            <w:r>
              <w:t>8.276</w:t>
            </w:r>
          </w:p>
        </w:tc>
      </w:tr>
      <w:tr w:rsidR="008D5DCB" w14:paraId="13E3A05E" w14:textId="77777777">
        <w:trPr>
          <w:tblCellSpacing w:w="15" w:type="dxa"/>
        </w:trPr>
        <w:tc>
          <w:tcPr>
            <w:tcW w:w="0" w:type="auto"/>
            <w:tcMar>
              <w:top w:w="120" w:type="dxa"/>
              <w:left w:w="180" w:type="dxa"/>
              <w:bottom w:w="120" w:type="dxa"/>
              <w:right w:w="180" w:type="dxa"/>
            </w:tcMar>
            <w:vAlign w:val="center"/>
          </w:tcPr>
          <w:p w14:paraId="20CB90BA" w14:textId="77777777" w:rsidR="008D5DCB" w:rsidRDefault="0020015B">
            <w:pPr>
              <w:spacing w:after="480" w:line="240" w:lineRule="auto"/>
            </w:pPr>
            <w:r>
              <w:rPr>
                <w:b/>
                <w:bCs/>
              </w:rPr>
              <w:t>BTD</w:t>
            </w:r>
          </w:p>
        </w:tc>
        <w:tc>
          <w:tcPr>
            <w:tcW w:w="0" w:type="auto"/>
            <w:tcMar>
              <w:top w:w="120" w:type="dxa"/>
              <w:left w:w="180" w:type="dxa"/>
              <w:bottom w:w="120" w:type="dxa"/>
              <w:right w:w="180" w:type="dxa"/>
            </w:tcMar>
            <w:vAlign w:val="center"/>
          </w:tcPr>
          <w:p w14:paraId="3C7BF52E"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7A79B5BB" w14:textId="77777777" w:rsidR="008D5DCB" w:rsidRDefault="0020015B">
            <w:pPr>
              <w:spacing w:after="480" w:line="240" w:lineRule="auto"/>
            </w:pPr>
            <w:r>
              <w:t>0.004</w:t>
            </w:r>
          </w:p>
        </w:tc>
        <w:tc>
          <w:tcPr>
            <w:tcW w:w="0" w:type="auto"/>
            <w:tcMar>
              <w:top w:w="120" w:type="dxa"/>
              <w:left w:w="180" w:type="dxa"/>
              <w:bottom w:w="120" w:type="dxa"/>
              <w:right w:w="180" w:type="dxa"/>
            </w:tcMar>
            <w:vAlign w:val="center"/>
          </w:tcPr>
          <w:p w14:paraId="2A3DC6D6" w14:textId="77777777" w:rsidR="008D5DCB" w:rsidRDefault="0020015B">
            <w:pPr>
              <w:spacing w:after="480" w:line="240" w:lineRule="auto"/>
            </w:pPr>
            <w:r>
              <w:t>0.124</w:t>
            </w:r>
          </w:p>
        </w:tc>
        <w:tc>
          <w:tcPr>
            <w:tcW w:w="0" w:type="auto"/>
            <w:tcMar>
              <w:top w:w="120" w:type="dxa"/>
              <w:left w:w="180" w:type="dxa"/>
              <w:bottom w:w="120" w:type="dxa"/>
              <w:right w:w="180" w:type="dxa"/>
            </w:tcMar>
            <w:vAlign w:val="center"/>
          </w:tcPr>
          <w:p w14:paraId="1F01DBFB" w14:textId="77777777" w:rsidR="008D5DCB" w:rsidRDefault="0020015B">
            <w:pPr>
              <w:spacing w:after="480" w:line="240" w:lineRule="auto"/>
            </w:pPr>
            <w:r>
              <w:t>-1.447</w:t>
            </w:r>
          </w:p>
        </w:tc>
        <w:tc>
          <w:tcPr>
            <w:tcW w:w="0" w:type="auto"/>
            <w:tcMar>
              <w:top w:w="120" w:type="dxa"/>
              <w:left w:w="180" w:type="dxa"/>
              <w:bottom w:w="120" w:type="dxa"/>
              <w:right w:w="180" w:type="dxa"/>
            </w:tcMar>
            <w:vAlign w:val="center"/>
          </w:tcPr>
          <w:p w14:paraId="2560F6AA" w14:textId="77777777" w:rsidR="008D5DCB" w:rsidRDefault="0020015B">
            <w:pPr>
              <w:spacing w:after="480" w:line="240" w:lineRule="auto"/>
            </w:pPr>
            <w:r>
              <w:t>0.393</w:t>
            </w:r>
          </w:p>
        </w:tc>
      </w:tr>
      <w:tr w:rsidR="008D5DCB" w14:paraId="236F3A0D" w14:textId="77777777">
        <w:trPr>
          <w:tblCellSpacing w:w="15" w:type="dxa"/>
        </w:trPr>
        <w:tc>
          <w:tcPr>
            <w:tcW w:w="0" w:type="auto"/>
            <w:tcBorders>
              <w:bottom w:val="single" w:sz="4" w:space="0" w:color="auto"/>
            </w:tcBorders>
            <w:tcMar>
              <w:top w:w="120" w:type="dxa"/>
              <w:left w:w="180" w:type="dxa"/>
              <w:bottom w:w="120" w:type="dxa"/>
              <w:right w:w="180" w:type="dxa"/>
            </w:tcMar>
            <w:vAlign w:val="center"/>
          </w:tcPr>
          <w:p w14:paraId="1E8BEA00" w14:textId="77777777" w:rsidR="008D5DCB" w:rsidRDefault="0020015B">
            <w:pPr>
              <w:spacing w:after="480" w:line="240" w:lineRule="auto"/>
            </w:pPr>
            <w:r>
              <w:rPr>
                <w:b/>
                <w:bCs/>
              </w:rPr>
              <w:t>TSR</w:t>
            </w:r>
          </w:p>
        </w:tc>
        <w:tc>
          <w:tcPr>
            <w:tcW w:w="0" w:type="auto"/>
            <w:tcBorders>
              <w:bottom w:val="single" w:sz="4" w:space="0" w:color="auto"/>
            </w:tcBorders>
            <w:tcMar>
              <w:top w:w="120" w:type="dxa"/>
              <w:left w:w="180" w:type="dxa"/>
              <w:bottom w:w="120" w:type="dxa"/>
              <w:right w:w="180" w:type="dxa"/>
            </w:tcMar>
            <w:vAlign w:val="center"/>
          </w:tcPr>
          <w:p w14:paraId="789CD026" w14:textId="77777777" w:rsidR="008D5DCB" w:rsidRDefault="0020015B">
            <w:pPr>
              <w:spacing w:after="480" w:line="240" w:lineRule="auto"/>
            </w:pPr>
            <w:r>
              <w:t>308</w:t>
            </w:r>
          </w:p>
        </w:tc>
        <w:tc>
          <w:tcPr>
            <w:tcW w:w="0" w:type="auto"/>
            <w:tcBorders>
              <w:bottom w:val="single" w:sz="4" w:space="0" w:color="auto"/>
            </w:tcBorders>
            <w:tcMar>
              <w:top w:w="120" w:type="dxa"/>
              <w:left w:w="180" w:type="dxa"/>
              <w:bottom w:w="120" w:type="dxa"/>
              <w:right w:w="180" w:type="dxa"/>
            </w:tcMar>
            <w:vAlign w:val="center"/>
          </w:tcPr>
          <w:p w14:paraId="32EA2CF4" w14:textId="77777777" w:rsidR="008D5DCB" w:rsidRDefault="0020015B">
            <w:pPr>
              <w:spacing w:after="480" w:line="240" w:lineRule="auto"/>
            </w:pPr>
            <w:r>
              <w:t>-146,579.9</w:t>
            </w:r>
          </w:p>
        </w:tc>
        <w:tc>
          <w:tcPr>
            <w:tcW w:w="0" w:type="auto"/>
            <w:tcBorders>
              <w:bottom w:val="single" w:sz="4" w:space="0" w:color="auto"/>
            </w:tcBorders>
            <w:tcMar>
              <w:top w:w="120" w:type="dxa"/>
              <w:left w:w="180" w:type="dxa"/>
              <w:bottom w:w="120" w:type="dxa"/>
              <w:right w:w="180" w:type="dxa"/>
            </w:tcMar>
            <w:vAlign w:val="center"/>
          </w:tcPr>
          <w:p w14:paraId="5CCB5CE3" w14:textId="77777777" w:rsidR="008D5DCB" w:rsidRDefault="0020015B">
            <w:pPr>
              <w:spacing w:after="480" w:line="240" w:lineRule="auto"/>
            </w:pPr>
            <w:r>
              <w:t>2,568,286</w:t>
            </w:r>
          </w:p>
        </w:tc>
        <w:tc>
          <w:tcPr>
            <w:tcW w:w="0" w:type="auto"/>
            <w:tcBorders>
              <w:bottom w:val="single" w:sz="4" w:space="0" w:color="auto"/>
            </w:tcBorders>
            <w:tcMar>
              <w:top w:w="120" w:type="dxa"/>
              <w:left w:w="180" w:type="dxa"/>
              <w:bottom w:w="120" w:type="dxa"/>
              <w:right w:w="180" w:type="dxa"/>
            </w:tcMar>
            <w:vAlign w:val="center"/>
          </w:tcPr>
          <w:p w14:paraId="00B75EEA" w14:textId="77777777" w:rsidR="008D5DCB" w:rsidRDefault="0020015B">
            <w:pPr>
              <w:spacing w:after="480" w:line="240" w:lineRule="auto"/>
            </w:pPr>
            <w:r>
              <w:t>-45,000,000</w:t>
            </w:r>
          </w:p>
        </w:tc>
        <w:tc>
          <w:tcPr>
            <w:tcW w:w="0" w:type="auto"/>
            <w:tcBorders>
              <w:bottom w:val="single" w:sz="4" w:space="0" w:color="auto"/>
            </w:tcBorders>
            <w:tcMar>
              <w:top w:w="120" w:type="dxa"/>
              <w:left w:w="180" w:type="dxa"/>
              <w:bottom w:w="120" w:type="dxa"/>
              <w:right w:w="180" w:type="dxa"/>
            </w:tcMar>
            <w:vAlign w:val="center"/>
          </w:tcPr>
          <w:p w14:paraId="15C0E072" w14:textId="77777777" w:rsidR="008D5DCB" w:rsidRDefault="0020015B">
            <w:pPr>
              <w:spacing w:after="480" w:line="240" w:lineRule="auto"/>
            </w:pPr>
            <w:r>
              <w:t>2,449,869</w:t>
            </w:r>
          </w:p>
        </w:tc>
      </w:tr>
    </w:tbl>
    <w:p w14:paraId="7D12D262" w14:textId="77777777" w:rsidR="008D5DCB" w:rsidRDefault="0020015B">
      <w:pPr>
        <w:pStyle w:val="NormalWeb"/>
        <w:spacing w:before="0" w:beforeAutospacing="0"/>
      </w:pPr>
      <w:r>
        <w:rPr>
          <w:b/>
          <w:bCs/>
        </w:rPr>
        <w:t>Source:</w:t>
      </w:r>
      <w:r>
        <w:t xml:space="preserve"> Author’s Computation (2026).</w:t>
      </w:r>
    </w:p>
    <w:p w14:paraId="561DF100"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 xml:space="preserve">The descriptive statistics for listed Nigerian insurance firms reveal distinct patterns across their market performance and tax aggressiveness metrics. While </w:t>
      </w:r>
      <w:r>
        <w:rPr>
          <w:rFonts w:ascii="Times New Roman" w:eastAsia="Times New Roman" w:hAnsi="Times New Roman" w:cs="Times New Roman"/>
          <w:bCs/>
          <w:kern w:val="0"/>
          <w:sz w:val="24"/>
          <w:szCs w:val="24"/>
          <w:lang w:val="en-GB" w:eastAsia="en-GB"/>
          <w14:ligatures w14:val="none"/>
        </w:rPr>
        <w:t>Tobin's Q</w:t>
      </w:r>
      <w:r>
        <w:rPr>
          <w:rFonts w:ascii="Times New Roman" w:eastAsia="Times New Roman" w:hAnsi="Times New Roman" w:cs="Times New Roman"/>
          <w:kern w:val="0"/>
          <w:sz w:val="24"/>
          <w:szCs w:val="24"/>
          <w:lang w:val="en-GB" w:eastAsia="en-GB"/>
          <w14:ligatures w14:val="none"/>
        </w:rPr>
        <w:t xml:space="preserve"> shows a tight distribution around a mean of 0.870 (despite a few high-performing outliers reaching 4.381), </w:t>
      </w:r>
      <w:r>
        <w:rPr>
          <w:rFonts w:ascii="Times New Roman" w:eastAsia="Times New Roman" w:hAnsi="Times New Roman" w:cs="Times New Roman"/>
          <w:bCs/>
          <w:kern w:val="0"/>
          <w:sz w:val="24"/>
          <w:szCs w:val="24"/>
          <w:lang w:val="en-GB" w:eastAsia="en-GB"/>
          <w14:ligatures w14:val="none"/>
        </w:rPr>
        <w:t>Market Value Per Share (MVPS)</w:t>
      </w:r>
      <w:r>
        <w:rPr>
          <w:rFonts w:ascii="Times New Roman" w:eastAsia="Times New Roman" w:hAnsi="Times New Roman" w:cs="Times New Roman"/>
          <w:kern w:val="0"/>
          <w:sz w:val="24"/>
          <w:szCs w:val="24"/>
          <w:lang w:val="en-GB" w:eastAsia="en-GB"/>
          <w14:ligatures w14:val="none"/>
        </w:rPr>
        <w:t xml:space="preserve"> exhibits extreme cross-sectional volatility (SD=3.268), reflecting massive real-time pricing disparities on the local bourse where shares peak at 26.500 Naira. On the tax front, the traditional accounting metrics (</w:t>
      </w:r>
      <w:r>
        <w:rPr>
          <w:rFonts w:ascii="Times New Roman" w:eastAsia="Times New Roman" w:hAnsi="Times New Roman" w:cs="Times New Roman"/>
          <w:bCs/>
          <w:kern w:val="0"/>
          <w:sz w:val="24"/>
          <w:szCs w:val="24"/>
          <w:lang w:val="en-GB" w:eastAsia="en-GB"/>
          <w14:ligatures w14:val="none"/>
        </w:rPr>
        <w:t>ETR</w:t>
      </w:r>
      <w:r>
        <w:rPr>
          <w:rFonts w:ascii="Times New Roman" w:eastAsia="Times New Roman" w:hAnsi="Times New Roman" w:cs="Times New Roman"/>
          <w:kern w:val="0"/>
          <w:sz w:val="24"/>
          <w:szCs w:val="24"/>
          <w:lang w:val="en-GB" w:eastAsia="en-GB"/>
          <w14:ligatures w14:val="none"/>
        </w:rPr>
        <w:t xml:space="preserve"> and </w:t>
      </w:r>
      <w:r>
        <w:rPr>
          <w:rFonts w:ascii="Times New Roman" w:eastAsia="Times New Roman" w:hAnsi="Times New Roman" w:cs="Times New Roman"/>
          <w:bCs/>
          <w:kern w:val="0"/>
          <w:sz w:val="24"/>
          <w:szCs w:val="24"/>
          <w:lang w:val="en-GB" w:eastAsia="en-GB"/>
          <w14:ligatures w14:val="none"/>
        </w:rPr>
        <w:t>CETR</w:t>
      </w:r>
      <w:r>
        <w:rPr>
          <w:rFonts w:ascii="Times New Roman" w:eastAsia="Times New Roman" w:hAnsi="Times New Roman" w:cs="Times New Roman"/>
          <w:kern w:val="0"/>
          <w:sz w:val="24"/>
          <w:szCs w:val="24"/>
          <w:lang w:val="en-GB" w:eastAsia="en-GB"/>
          <w14:ligatures w14:val="none"/>
        </w:rPr>
        <w:t xml:space="preserve">) display highly volatile distributions with wide standard deviations (1.650 and 3.839, respectively) and deeply negative minimums, indicating vastly different corporate tax planning, deferred tax structures, and aggressive cash-conservation strategies across insurers. In contrast, the </w:t>
      </w:r>
      <w:r>
        <w:rPr>
          <w:rFonts w:ascii="Times New Roman" w:eastAsia="Times New Roman" w:hAnsi="Times New Roman" w:cs="Times New Roman"/>
          <w:bCs/>
          <w:kern w:val="0"/>
          <w:sz w:val="24"/>
          <w:szCs w:val="24"/>
          <w:lang w:val="en-GB" w:eastAsia="en-GB"/>
          <w14:ligatures w14:val="none"/>
        </w:rPr>
        <w:t>Book-Tax Difference (BTD)</w:t>
      </w:r>
      <w:r>
        <w:rPr>
          <w:rFonts w:ascii="Times New Roman" w:eastAsia="Times New Roman" w:hAnsi="Times New Roman" w:cs="Times New Roman"/>
          <w:kern w:val="0"/>
          <w:sz w:val="24"/>
          <w:szCs w:val="24"/>
          <w:lang w:val="en-GB" w:eastAsia="en-GB"/>
          <w14:ligatures w14:val="none"/>
        </w:rPr>
        <w:t xml:space="preserve"> remains largely homogeneous across the industry with a narrow standard deviation of 0.124. However, the </w:t>
      </w:r>
      <w:r>
        <w:rPr>
          <w:rFonts w:ascii="Times New Roman" w:eastAsia="Times New Roman" w:hAnsi="Times New Roman" w:cs="Times New Roman"/>
          <w:bCs/>
          <w:kern w:val="0"/>
          <w:sz w:val="24"/>
          <w:szCs w:val="24"/>
          <w:lang w:val="en-GB" w:eastAsia="en-GB"/>
          <w14:ligatures w14:val="none"/>
        </w:rPr>
        <w:t>Tax Savings Ratio (TSR)</w:t>
      </w:r>
      <w:r>
        <w:rPr>
          <w:rFonts w:ascii="Times New Roman" w:eastAsia="Times New Roman" w:hAnsi="Times New Roman" w:cs="Times New Roman"/>
          <w:kern w:val="0"/>
          <w:sz w:val="24"/>
          <w:szCs w:val="24"/>
          <w:lang w:val="en-GB" w:eastAsia="en-GB"/>
          <w14:ligatures w14:val="none"/>
        </w:rPr>
        <w:t xml:space="preserve"> is plagued by massive structural disruptions (SD=2,568,286), underscoring severe fiscal inefficiencies and a harsh clash between statutory tax expectations and actual operational realities for firms facing underwriting losses or restructuring.</w:t>
      </w:r>
    </w:p>
    <w:p w14:paraId="55B364BD" w14:textId="77777777" w:rsidR="008D5DCB" w:rsidRDefault="0020015B">
      <w:pPr>
        <w:spacing w:line="240" w:lineRule="auto"/>
        <w:jc w:val="both"/>
        <w:rPr>
          <w:rFonts w:ascii="Times New Roman" w:hAnsi="Times New Roman" w:cs="Times New Roman"/>
          <w:b/>
          <w:sz w:val="24"/>
          <w:szCs w:val="24"/>
        </w:rPr>
      </w:pPr>
      <w:r>
        <w:rPr>
          <w:rFonts w:ascii="Times New Roman" w:hAnsi="Times New Roman" w:cs="Times New Roman"/>
          <w:b/>
          <w:sz w:val="24"/>
          <w:szCs w:val="24"/>
        </w:rPr>
        <w:t>Table 3. Unit Root Test Results: tax aggressiveness &amp; Proxies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6"/>
        <w:gridCol w:w="1687"/>
        <w:gridCol w:w="1382"/>
        <w:gridCol w:w="1283"/>
        <w:gridCol w:w="66"/>
        <w:gridCol w:w="2176"/>
        <w:gridCol w:w="1606"/>
      </w:tblGrid>
      <w:tr w:rsidR="008D5DCB" w14:paraId="2EC68B15" w14:textId="77777777">
        <w:trPr>
          <w:tblHeader/>
          <w:tblCellSpacing w:w="15" w:type="dxa"/>
        </w:trPr>
        <w:tc>
          <w:tcPr>
            <w:tcW w:w="0" w:type="auto"/>
            <w:tcBorders>
              <w:top w:val="single" w:sz="4" w:space="0" w:color="auto"/>
              <w:bottom w:val="single" w:sz="4" w:space="0" w:color="auto"/>
            </w:tcBorders>
            <w:vAlign w:val="center"/>
          </w:tcPr>
          <w:p w14:paraId="5E2C9B66" w14:textId="77777777" w:rsidR="008D5DCB" w:rsidRDefault="0020015B">
            <w:pPr>
              <w:spacing w:line="240" w:lineRule="auto"/>
              <w:jc w:val="center"/>
              <w:rPr>
                <w:b/>
                <w:bCs/>
              </w:rPr>
            </w:pPr>
            <w:r>
              <w:rPr>
                <w:b/>
                <w:bCs/>
              </w:rPr>
              <w:t>Variable</w:t>
            </w:r>
          </w:p>
        </w:tc>
        <w:tc>
          <w:tcPr>
            <w:tcW w:w="0" w:type="auto"/>
            <w:tcBorders>
              <w:top w:val="single" w:sz="4" w:space="0" w:color="auto"/>
              <w:bottom w:val="single" w:sz="4" w:space="0" w:color="auto"/>
            </w:tcBorders>
            <w:vAlign w:val="center"/>
          </w:tcPr>
          <w:p w14:paraId="705271BE" w14:textId="77777777" w:rsidR="008D5DCB" w:rsidRDefault="0020015B">
            <w:pPr>
              <w:spacing w:line="240" w:lineRule="auto"/>
              <w:jc w:val="center"/>
              <w:rPr>
                <w:b/>
                <w:bCs/>
              </w:rPr>
            </w:pPr>
            <w:r>
              <w:rPr>
                <w:b/>
                <w:bCs/>
              </w:rPr>
              <w:t>Inverse Chi-Squared (</w:t>
            </w:r>
            <w:r>
              <w:rPr>
                <w:rStyle w:val="mord"/>
                <w:b/>
                <w:bCs/>
              </w:rPr>
              <w:t>P</w:t>
            </w:r>
            <w:r>
              <w:rPr>
                <w:b/>
                <w:bCs/>
              </w:rPr>
              <w:t>)</w:t>
            </w:r>
          </w:p>
        </w:tc>
        <w:tc>
          <w:tcPr>
            <w:tcW w:w="0" w:type="auto"/>
            <w:tcBorders>
              <w:top w:val="single" w:sz="4" w:space="0" w:color="auto"/>
              <w:bottom w:val="single" w:sz="4" w:space="0" w:color="auto"/>
            </w:tcBorders>
            <w:vAlign w:val="center"/>
          </w:tcPr>
          <w:p w14:paraId="25E27020" w14:textId="77777777" w:rsidR="008D5DCB" w:rsidRDefault="0020015B">
            <w:pPr>
              <w:spacing w:line="240" w:lineRule="auto"/>
              <w:jc w:val="center"/>
              <w:rPr>
                <w:b/>
                <w:bCs/>
              </w:rPr>
            </w:pPr>
            <w:r>
              <w:rPr>
                <w:b/>
                <w:bCs/>
              </w:rPr>
              <w:t>Inverse Normal (</w:t>
            </w:r>
            <w:r>
              <w:rPr>
                <w:rStyle w:val="mord"/>
                <w:b/>
                <w:bCs/>
              </w:rPr>
              <w:t>Z</w:t>
            </w:r>
            <w:r>
              <w:rPr>
                <w:b/>
                <w:bCs/>
              </w:rPr>
              <w:t>)</w:t>
            </w:r>
          </w:p>
        </w:tc>
        <w:tc>
          <w:tcPr>
            <w:tcW w:w="0" w:type="auto"/>
            <w:tcBorders>
              <w:top w:val="single" w:sz="4" w:space="0" w:color="auto"/>
              <w:bottom w:val="single" w:sz="4" w:space="0" w:color="auto"/>
            </w:tcBorders>
            <w:vAlign w:val="center"/>
          </w:tcPr>
          <w:p w14:paraId="7AF436E4" w14:textId="77777777" w:rsidR="008D5DCB" w:rsidRDefault="0020015B">
            <w:pPr>
              <w:spacing w:line="240" w:lineRule="auto"/>
              <w:jc w:val="center"/>
              <w:rPr>
                <w:b/>
                <w:bCs/>
              </w:rPr>
            </w:pPr>
            <w:r>
              <w:rPr>
                <w:b/>
                <w:bCs/>
              </w:rPr>
              <w:t>Inverse Logit (</w:t>
            </w:r>
            <w:r>
              <w:rPr>
                <w:rStyle w:val="mord"/>
                <w:b/>
                <w:bCs/>
              </w:rPr>
              <w:t>L</w:t>
            </w:r>
            <w:r>
              <w:rPr>
                <w:rStyle w:val="mbin"/>
                <w:rFonts w:ascii="Cambria Math" w:hAnsi="Cambria Math" w:cs="Cambria Math"/>
                <w:b/>
                <w:bCs/>
              </w:rPr>
              <w:t>∗</w:t>
            </w:r>
            <w:r>
              <w:rPr>
                <w:b/>
                <w:bCs/>
              </w:rPr>
              <w:t>)</w:t>
            </w:r>
          </w:p>
        </w:tc>
        <w:tc>
          <w:tcPr>
            <w:tcW w:w="0" w:type="auto"/>
          </w:tcPr>
          <w:p w14:paraId="05EABCAC" w14:textId="77777777" w:rsidR="008D5DCB" w:rsidRDefault="008D5DCB">
            <w:pPr>
              <w:spacing w:line="240" w:lineRule="auto"/>
              <w:jc w:val="center"/>
              <w:rPr>
                <w:b/>
                <w:bCs/>
              </w:rPr>
            </w:pPr>
          </w:p>
        </w:tc>
        <w:tc>
          <w:tcPr>
            <w:tcW w:w="0" w:type="auto"/>
            <w:tcBorders>
              <w:top w:val="single" w:sz="4" w:space="0" w:color="auto"/>
              <w:bottom w:val="single" w:sz="4" w:space="0" w:color="auto"/>
            </w:tcBorders>
            <w:vAlign w:val="center"/>
          </w:tcPr>
          <w:p w14:paraId="1954BF12" w14:textId="77777777" w:rsidR="008D5DCB" w:rsidRDefault="0020015B">
            <w:pPr>
              <w:spacing w:line="240" w:lineRule="auto"/>
              <w:jc w:val="center"/>
              <w:rPr>
                <w:b/>
                <w:bCs/>
              </w:rPr>
            </w:pPr>
            <w:r>
              <w:rPr>
                <w:b/>
                <w:bCs/>
              </w:rPr>
              <w:t>Modified Inv. Chi-Squared (</w:t>
            </w:r>
            <w:r>
              <w:rPr>
                <w:rStyle w:val="mord"/>
                <w:b/>
                <w:bCs/>
              </w:rPr>
              <w:t>Pm</w:t>
            </w:r>
            <w:r>
              <w:rPr>
                <w:rStyle w:val="vlist-s"/>
                <w:b/>
                <w:bCs/>
              </w:rPr>
              <w:t>​</w:t>
            </w:r>
            <w:r>
              <w:rPr>
                <w:b/>
                <w:bCs/>
              </w:rPr>
              <w:t>)</w:t>
            </w:r>
          </w:p>
        </w:tc>
        <w:tc>
          <w:tcPr>
            <w:tcW w:w="0" w:type="auto"/>
            <w:tcBorders>
              <w:top w:val="single" w:sz="4" w:space="0" w:color="auto"/>
              <w:bottom w:val="single" w:sz="4" w:space="0" w:color="auto"/>
            </w:tcBorders>
            <w:vAlign w:val="center"/>
          </w:tcPr>
          <w:p w14:paraId="6332CBEF" w14:textId="77777777" w:rsidR="008D5DCB" w:rsidRDefault="0020015B">
            <w:pPr>
              <w:spacing w:line="240" w:lineRule="auto"/>
              <w:jc w:val="center"/>
              <w:rPr>
                <w:b/>
                <w:bCs/>
              </w:rPr>
            </w:pPr>
            <w:r>
              <w:rPr>
                <w:b/>
                <w:bCs/>
              </w:rPr>
              <w:t>Order of Integration</w:t>
            </w:r>
          </w:p>
        </w:tc>
      </w:tr>
      <w:tr w:rsidR="008D5DCB" w14:paraId="05EFE20B" w14:textId="77777777">
        <w:trPr>
          <w:tblCellSpacing w:w="15" w:type="dxa"/>
        </w:trPr>
        <w:tc>
          <w:tcPr>
            <w:tcW w:w="0" w:type="auto"/>
            <w:vAlign w:val="center"/>
          </w:tcPr>
          <w:p w14:paraId="11D276C1" w14:textId="77777777" w:rsidR="008D5DCB" w:rsidRDefault="0020015B">
            <w:pPr>
              <w:spacing w:line="240" w:lineRule="auto"/>
            </w:pPr>
            <w:r>
              <w:rPr>
                <w:b/>
                <w:bCs/>
              </w:rPr>
              <w:t>TQ</w:t>
            </w:r>
          </w:p>
        </w:tc>
        <w:tc>
          <w:tcPr>
            <w:tcW w:w="0" w:type="auto"/>
            <w:vAlign w:val="center"/>
          </w:tcPr>
          <w:p w14:paraId="52228096" w14:textId="77777777" w:rsidR="008D5DCB" w:rsidRDefault="0020015B">
            <w:pPr>
              <w:spacing w:line="240" w:lineRule="auto"/>
            </w:pPr>
            <w:r>
              <w:t>168.854 (0.000)</w:t>
            </w:r>
          </w:p>
        </w:tc>
        <w:tc>
          <w:tcPr>
            <w:tcW w:w="0" w:type="auto"/>
            <w:vAlign w:val="center"/>
          </w:tcPr>
          <w:p w14:paraId="10ABD65C" w14:textId="77777777" w:rsidR="008D5DCB" w:rsidRDefault="0020015B">
            <w:pPr>
              <w:spacing w:line="240" w:lineRule="auto"/>
            </w:pPr>
            <w:r>
              <w:t>-10.051 (0.000)</w:t>
            </w:r>
          </w:p>
        </w:tc>
        <w:tc>
          <w:tcPr>
            <w:tcW w:w="0" w:type="auto"/>
            <w:vAlign w:val="center"/>
          </w:tcPr>
          <w:p w14:paraId="2B4B2F0F" w14:textId="77777777" w:rsidR="008D5DCB" w:rsidRDefault="0020015B">
            <w:pPr>
              <w:spacing w:line="240" w:lineRule="auto"/>
            </w:pPr>
            <w:r>
              <w:t>-12.474 (0.000)</w:t>
            </w:r>
          </w:p>
        </w:tc>
        <w:tc>
          <w:tcPr>
            <w:tcW w:w="0" w:type="auto"/>
          </w:tcPr>
          <w:p w14:paraId="7E592FA8" w14:textId="77777777" w:rsidR="008D5DCB" w:rsidRDefault="008D5DCB">
            <w:pPr>
              <w:spacing w:line="240" w:lineRule="auto"/>
            </w:pPr>
          </w:p>
        </w:tc>
        <w:tc>
          <w:tcPr>
            <w:tcW w:w="0" w:type="auto"/>
            <w:vAlign w:val="center"/>
          </w:tcPr>
          <w:p w14:paraId="3E863EBC" w14:textId="77777777" w:rsidR="008D5DCB" w:rsidRDefault="0020015B">
            <w:pPr>
              <w:spacing w:line="240" w:lineRule="auto"/>
            </w:pPr>
            <w:r>
              <w:t>18.822 (0.000)</w:t>
            </w:r>
          </w:p>
        </w:tc>
        <w:tc>
          <w:tcPr>
            <w:tcW w:w="0" w:type="auto"/>
            <w:vAlign w:val="center"/>
          </w:tcPr>
          <w:p w14:paraId="3F219221" w14:textId="77777777" w:rsidR="008D5DCB" w:rsidRDefault="0020015B">
            <w:pPr>
              <w:spacing w:line="240" w:lineRule="auto"/>
            </w:pPr>
            <w:proofErr w:type="gramStart"/>
            <w:r>
              <w:rPr>
                <w:rStyle w:val="mord"/>
              </w:rPr>
              <w:t>I</w:t>
            </w:r>
            <w:r>
              <w:rPr>
                <w:rStyle w:val="mopen"/>
              </w:rPr>
              <w:t>(</w:t>
            </w:r>
            <w:proofErr w:type="gramEnd"/>
            <w:r>
              <w:rPr>
                <w:rStyle w:val="mord"/>
              </w:rPr>
              <w:t>0</w:t>
            </w:r>
            <w:r>
              <w:rPr>
                <w:rStyle w:val="mclose"/>
              </w:rPr>
              <w:t>)</w:t>
            </w:r>
          </w:p>
        </w:tc>
      </w:tr>
      <w:tr w:rsidR="008D5DCB" w14:paraId="12C6472C" w14:textId="77777777">
        <w:trPr>
          <w:tblCellSpacing w:w="15" w:type="dxa"/>
        </w:trPr>
        <w:tc>
          <w:tcPr>
            <w:tcW w:w="0" w:type="auto"/>
            <w:vAlign w:val="center"/>
          </w:tcPr>
          <w:p w14:paraId="5EBF829B" w14:textId="77777777" w:rsidR="008D5DCB" w:rsidRDefault="0020015B">
            <w:pPr>
              <w:spacing w:line="240" w:lineRule="auto"/>
            </w:pPr>
            <w:r>
              <w:rPr>
                <w:b/>
                <w:bCs/>
              </w:rPr>
              <w:t>MVPS</w:t>
            </w:r>
          </w:p>
        </w:tc>
        <w:tc>
          <w:tcPr>
            <w:tcW w:w="0" w:type="auto"/>
            <w:vAlign w:val="center"/>
          </w:tcPr>
          <w:p w14:paraId="74026081" w14:textId="77777777" w:rsidR="008D5DCB" w:rsidRDefault="0020015B">
            <w:pPr>
              <w:spacing w:line="240" w:lineRule="auto"/>
            </w:pPr>
            <w:r>
              <w:t>73.337 (0.000)</w:t>
            </w:r>
          </w:p>
        </w:tc>
        <w:tc>
          <w:tcPr>
            <w:tcW w:w="0" w:type="auto"/>
            <w:vAlign w:val="center"/>
          </w:tcPr>
          <w:p w14:paraId="1A3D19CB" w14:textId="77777777" w:rsidR="008D5DCB" w:rsidRDefault="0020015B">
            <w:pPr>
              <w:spacing w:line="240" w:lineRule="auto"/>
            </w:pPr>
            <w:r>
              <w:t>-5.131 (0.000)</w:t>
            </w:r>
          </w:p>
        </w:tc>
        <w:tc>
          <w:tcPr>
            <w:tcW w:w="0" w:type="auto"/>
            <w:vAlign w:val="center"/>
          </w:tcPr>
          <w:p w14:paraId="35134E00" w14:textId="77777777" w:rsidR="008D5DCB" w:rsidRDefault="0020015B">
            <w:pPr>
              <w:spacing w:line="240" w:lineRule="auto"/>
            </w:pPr>
            <w:r>
              <w:t>-5.183 (0.000)</w:t>
            </w:r>
          </w:p>
        </w:tc>
        <w:tc>
          <w:tcPr>
            <w:tcW w:w="0" w:type="auto"/>
          </w:tcPr>
          <w:p w14:paraId="40A413E4" w14:textId="77777777" w:rsidR="008D5DCB" w:rsidRDefault="008D5DCB">
            <w:pPr>
              <w:spacing w:line="240" w:lineRule="auto"/>
            </w:pPr>
          </w:p>
        </w:tc>
        <w:tc>
          <w:tcPr>
            <w:tcW w:w="0" w:type="auto"/>
            <w:vAlign w:val="center"/>
          </w:tcPr>
          <w:p w14:paraId="719BED03" w14:textId="77777777" w:rsidR="008D5DCB" w:rsidRDefault="0020015B">
            <w:pPr>
              <w:spacing w:line="240" w:lineRule="auto"/>
            </w:pPr>
            <w:r>
              <w:t>6.058 (0.000)</w:t>
            </w:r>
          </w:p>
        </w:tc>
        <w:tc>
          <w:tcPr>
            <w:tcW w:w="0" w:type="auto"/>
            <w:vAlign w:val="center"/>
          </w:tcPr>
          <w:p w14:paraId="05E08E78" w14:textId="77777777" w:rsidR="008D5DCB" w:rsidRDefault="0020015B">
            <w:pPr>
              <w:spacing w:line="240" w:lineRule="auto"/>
            </w:pPr>
            <w:proofErr w:type="gramStart"/>
            <w:r>
              <w:rPr>
                <w:rStyle w:val="mord"/>
              </w:rPr>
              <w:t>I</w:t>
            </w:r>
            <w:r>
              <w:rPr>
                <w:rStyle w:val="mopen"/>
              </w:rPr>
              <w:t>(</w:t>
            </w:r>
            <w:proofErr w:type="gramEnd"/>
            <w:r>
              <w:rPr>
                <w:rStyle w:val="mord"/>
              </w:rPr>
              <w:t>0</w:t>
            </w:r>
            <w:r>
              <w:rPr>
                <w:rStyle w:val="mclose"/>
              </w:rPr>
              <w:t>)</w:t>
            </w:r>
          </w:p>
        </w:tc>
      </w:tr>
      <w:tr w:rsidR="008D5DCB" w14:paraId="626E8715" w14:textId="77777777">
        <w:trPr>
          <w:tblCellSpacing w:w="15" w:type="dxa"/>
        </w:trPr>
        <w:tc>
          <w:tcPr>
            <w:tcW w:w="0" w:type="auto"/>
            <w:vAlign w:val="center"/>
          </w:tcPr>
          <w:p w14:paraId="5BA51197" w14:textId="77777777" w:rsidR="008D5DCB" w:rsidRDefault="0020015B">
            <w:pPr>
              <w:spacing w:line="240" w:lineRule="auto"/>
            </w:pPr>
            <w:r>
              <w:rPr>
                <w:b/>
                <w:bCs/>
              </w:rPr>
              <w:t>ETR</w:t>
            </w:r>
          </w:p>
        </w:tc>
        <w:tc>
          <w:tcPr>
            <w:tcW w:w="0" w:type="auto"/>
            <w:vAlign w:val="center"/>
          </w:tcPr>
          <w:p w14:paraId="66A0A6F1" w14:textId="77777777" w:rsidR="008D5DCB" w:rsidRDefault="0020015B">
            <w:pPr>
              <w:spacing w:line="240" w:lineRule="auto"/>
            </w:pPr>
            <w:r>
              <w:t>77.043 (0.000)</w:t>
            </w:r>
          </w:p>
        </w:tc>
        <w:tc>
          <w:tcPr>
            <w:tcW w:w="0" w:type="auto"/>
            <w:vAlign w:val="center"/>
          </w:tcPr>
          <w:p w14:paraId="3C316AA1" w14:textId="77777777" w:rsidR="008D5DCB" w:rsidRDefault="0020015B">
            <w:pPr>
              <w:spacing w:line="240" w:lineRule="auto"/>
            </w:pPr>
            <w:r>
              <w:t>-4.877 (0.000)</w:t>
            </w:r>
          </w:p>
        </w:tc>
        <w:tc>
          <w:tcPr>
            <w:tcW w:w="0" w:type="auto"/>
            <w:vAlign w:val="center"/>
          </w:tcPr>
          <w:p w14:paraId="4ED47EB9" w14:textId="77777777" w:rsidR="008D5DCB" w:rsidRDefault="0020015B">
            <w:pPr>
              <w:spacing w:line="240" w:lineRule="auto"/>
            </w:pPr>
            <w:r>
              <w:t>-5.151 (0.000)</w:t>
            </w:r>
          </w:p>
        </w:tc>
        <w:tc>
          <w:tcPr>
            <w:tcW w:w="0" w:type="auto"/>
          </w:tcPr>
          <w:p w14:paraId="490E700C" w14:textId="77777777" w:rsidR="008D5DCB" w:rsidRDefault="008D5DCB">
            <w:pPr>
              <w:spacing w:line="240" w:lineRule="auto"/>
            </w:pPr>
          </w:p>
        </w:tc>
        <w:tc>
          <w:tcPr>
            <w:tcW w:w="0" w:type="auto"/>
            <w:vAlign w:val="center"/>
          </w:tcPr>
          <w:p w14:paraId="49ED6B54" w14:textId="77777777" w:rsidR="008D5DCB" w:rsidRDefault="0020015B">
            <w:pPr>
              <w:spacing w:line="240" w:lineRule="auto"/>
            </w:pPr>
            <w:r>
              <w:t>6.554 (0.000)</w:t>
            </w:r>
          </w:p>
        </w:tc>
        <w:tc>
          <w:tcPr>
            <w:tcW w:w="0" w:type="auto"/>
            <w:vAlign w:val="center"/>
          </w:tcPr>
          <w:p w14:paraId="343B4FBB" w14:textId="77777777" w:rsidR="008D5DCB" w:rsidRDefault="0020015B">
            <w:pPr>
              <w:spacing w:line="240" w:lineRule="auto"/>
            </w:pPr>
            <w:proofErr w:type="gramStart"/>
            <w:r>
              <w:rPr>
                <w:rStyle w:val="mord"/>
              </w:rPr>
              <w:t>I</w:t>
            </w:r>
            <w:r>
              <w:rPr>
                <w:rStyle w:val="mopen"/>
              </w:rPr>
              <w:t>(</w:t>
            </w:r>
            <w:proofErr w:type="gramEnd"/>
            <w:r>
              <w:rPr>
                <w:rStyle w:val="mord"/>
              </w:rPr>
              <w:t>0</w:t>
            </w:r>
            <w:r>
              <w:rPr>
                <w:rStyle w:val="mclose"/>
              </w:rPr>
              <w:t>)</w:t>
            </w:r>
          </w:p>
        </w:tc>
      </w:tr>
      <w:tr w:rsidR="008D5DCB" w14:paraId="49A61A7C" w14:textId="77777777">
        <w:trPr>
          <w:tblCellSpacing w:w="15" w:type="dxa"/>
        </w:trPr>
        <w:tc>
          <w:tcPr>
            <w:tcW w:w="0" w:type="auto"/>
            <w:vAlign w:val="center"/>
          </w:tcPr>
          <w:p w14:paraId="45411BC7" w14:textId="77777777" w:rsidR="008D5DCB" w:rsidRDefault="0020015B">
            <w:pPr>
              <w:spacing w:line="240" w:lineRule="auto"/>
            </w:pPr>
            <w:r>
              <w:rPr>
                <w:b/>
                <w:bCs/>
              </w:rPr>
              <w:t>CETR</w:t>
            </w:r>
          </w:p>
        </w:tc>
        <w:tc>
          <w:tcPr>
            <w:tcW w:w="0" w:type="auto"/>
            <w:vAlign w:val="center"/>
          </w:tcPr>
          <w:p w14:paraId="6DD37164" w14:textId="77777777" w:rsidR="008D5DCB" w:rsidRDefault="0020015B">
            <w:pPr>
              <w:spacing w:line="240" w:lineRule="auto"/>
            </w:pPr>
            <w:r>
              <w:t>138.000 (0.000)</w:t>
            </w:r>
          </w:p>
        </w:tc>
        <w:tc>
          <w:tcPr>
            <w:tcW w:w="0" w:type="auto"/>
            <w:vAlign w:val="center"/>
          </w:tcPr>
          <w:p w14:paraId="63B1E9D5" w14:textId="77777777" w:rsidR="008D5DCB" w:rsidRDefault="0020015B">
            <w:pPr>
              <w:spacing w:line="240" w:lineRule="auto"/>
            </w:pPr>
            <w:r>
              <w:t>-8.205 (0.000)</w:t>
            </w:r>
          </w:p>
        </w:tc>
        <w:tc>
          <w:tcPr>
            <w:tcW w:w="0" w:type="auto"/>
            <w:vAlign w:val="center"/>
          </w:tcPr>
          <w:p w14:paraId="3B648EC9" w14:textId="77777777" w:rsidR="008D5DCB" w:rsidRDefault="0020015B">
            <w:pPr>
              <w:spacing w:line="240" w:lineRule="auto"/>
            </w:pPr>
            <w:r>
              <w:t>-10.021 (0.000)</w:t>
            </w:r>
          </w:p>
        </w:tc>
        <w:tc>
          <w:tcPr>
            <w:tcW w:w="0" w:type="auto"/>
          </w:tcPr>
          <w:p w14:paraId="1BC678E8" w14:textId="77777777" w:rsidR="008D5DCB" w:rsidRDefault="008D5DCB">
            <w:pPr>
              <w:spacing w:line="240" w:lineRule="auto"/>
            </w:pPr>
          </w:p>
        </w:tc>
        <w:tc>
          <w:tcPr>
            <w:tcW w:w="0" w:type="auto"/>
            <w:vAlign w:val="center"/>
          </w:tcPr>
          <w:p w14:paraId="2819257D" w14:textId="77777777" w:rsidR="008D5DCB" w:rsidRDefault="0020015B">
            <w:pPr>
              <w:spacing w:line="240" w:lineRule="auto"/>
            </w:pPr>
            <w:r>
              <w:t>14.699 (0.000)</w:t>
            </w:r>
          </w:p>
        </w:tc>
        <w:tc>
          <w:tcPr>
            <w:tcW w:w="0" w:type="auto"/>
            <w:vAlign w:val="center"/>
          </w:tcPr>
          <w:p w14:paraId="67BFF1A4" w14:textId="77777777" w:rsidR="008D5DCB" w:rsidRDefault="0020015B">
            <w:pPr>
              <w:spacing w:line="240" w:lineRule="auto"/>
            </w:pPr>
            <w:proofErr w:type="gramStart"/>
            <w:r>
              <w:rPr>
                <w:rStyle w:val="mord"/>
              </w:rPr>
              <w:t>I</w:t>
            </w:r>
            <w:r>
              <w:rPr>
                <w:rStyle w:val="mopen"/>
              </w:rPr>
              <w:t>(</w:t>
            </w:r>
            <w:proofErr w:type="gramEnd"/>
            <w:r>
              <w:rPr>
                <w:rStyle w:val="mord"/>
              </w:rPr>
              <w:t>0</w:t>
            </w:r>
            <w:r>
              <w:rPr>
                <w:rStyle w:val="mclose"/>
              </w:rPr>
              <w:t>)</w:t>
            </w:r>
          </w:p>
        </w:tc>
      </w:tr>
      <w:tr w:rsidR="008D5DCB" w14:paraId="0A3ABB31" w14:textId="77777777">
        <w:trPr>
          <w:tblCellSpacing w:w="15" w:type="dxa"/>
        </w:trPr>
        <w:tc>
          <w:tcPr>
            <w:tcW w:w="0" w:type="auto"/>
            <w:vAlign w:val="center"/>
          </w:tcPr>
          <w:p w14:paraId="0452F532" w14:textId="77777777" w:rsidR="008D5DCB" w:rsidRDefault="0020015B">
            <w:pPr>
              <w:spacing w:line="240" w:lineRule="auto"/>
            </w:pPr>
            <w:r>
              <w:rPr>
                <w:b/>
                <w:bCs/>
              </w:rPr>
              <w:t>BTD</w:t>
            </w:r>
          </w:p>
        </w:tc>
        <w:tc>
          <w:tcPr>
            <w:tcW w:w="0" w:type="auto"/>
            <w:vAlign w:val="center"/>
          </w:tcPr>
          <w:p w14:paraId="7D953316" w14:textId="77777777" w:rsidR="008D5DCB" w:rsidRDefault="0020015B">
            <w:pPr>
              <w:spacing w:line="240" w:lineRule="auto"/>
            </w:pPr>
            <w:r>
              <w:t>123.277 (0.000)</w:t>
            </w:r>
          </w:p>
        </w:tc>
        <w:tc>
          <w:tcPr>
            <w:tcW w:w="0" w:type="auto"/>
            <w:vAlign w:val="center"/>
          </w:tcPr>
          <w:p w14:paraId="5FD5CE79" w14:textId="77777777" w:rsidR="008D5DCB" w:rsidRDefault="0020015B">
            <w:pPr>
              <w:spacing w:line="240" w:lineRule="auto"/>
            </w:pPr>
            <w:r>
              <w:t>-7.519 (0.000)</w:t>
            </w:r>
          </w:p>
        </w:tc>
        <w:tc>
          <w:tcPr>
            <w:tcW w:w="0" w:type="auto"/>
            <w:vAlign w:val="center"/>
          </w:tcPr>
          <w:p w14:paraId="285EDEFC" w14:textId="77777777" w:rsidR="008D5DCB" w:rsidRDefault="0020015B">
            <w:pPr>
              <w:spacing w:line="240" w:lineRule="auto"/>
            </w:pPr>
            <w:r>
              <w:t>-8.934 (0.000)</w:t>
            </w:r>
          </w:p>
        </w:tc>
        <w:tc>
          <w:tcPr>
            <w:tcW w:w="0" w:type="auto"/>
          </w:tcPr>
          <w:p w14:paraId="5A9D3A05" w14:textId="77777777" w:rsidR="008D5DCB" w:rsidRDefault="008D5DCB">
            <w:pPr>
              <w:spacing w:line="240" w:lineRule="auto"/>
            </w:pPr>
          </w:p>
        </w:tc>
        <w:tc>
          <w:tcPr>
            <w:tcW w:w="0" w:type="auto"/>
            <w:vAlign w:val="center"/>
          </w:tcPr>
          <w:p w14:paraId="5CC7AECD" w14:textId="77777777" w:rsidR="008D5DCB" w:rsidRDefault="0020015B">
            <w:pPr>
              <w:spacing w:line="240" w:lineRule="auto"/>
            </w:pPr>
            <w:r>
              <w:t>12.732 (0.000)</w:t>
            </w:r>
          </w:p>
        </w:tc>
        <w:tc>
          <w:tcPr>
            <w:tcW w:w="0" w:type="auto"/>
            <w:vAlign w:val="center"/>
          </w:tcPr>
          <w:p w14:paraId="7389D845" w14:textId="77777777" w:rsidR="008D5DCB" w:rsidRDefault="0020015B">
            <w:pPr>
              <w:spacing w:line="240" w:lineRule="auto"/>
            </w:pPr>
            <w:proofErr w:type="gramStart"/>
            <w:r>
              <w:rPr>
                <w:rStyle w:val="mord"/>
              </w:rPr>
              <w:t>I</w:t>
            </w:r>
            <w:r>
              <w:rPr>
                <w:rStyle w:val="mopen"/>
              </w:rPr>
              <w:t>(</w:t>
            </w:r>
            <w:proofErr w:type="gramEnd"/>
            <w:r>
              <w:rPr>
                <w:rStyle w:val="mord"/>
              </w:rPr>
              <w:t>0</w:t>
            </w:r>
            <w:r>
              <w:rPr>
                <w:rStyle w:val="mclose"/>
              </w:rPr>
              <w:t>)</w:t>
            </w:r>
          </w:p>
        </w:tc>
      </w:tr>
      <w:tr w:rsidR="008D5DCB" w14:paraId="2FB571ED" w14:textId="77777777">
        <w:trPr>
          <w:tblCellSpacing w:w="15" w:type="dxa"/>
        </w:trPr>
        <w:tc>
          <w:tcPr>
            <w:tcW w:w="0" w:type="auto"/>
            <w:tcBorders>
              <w:bottom w:val="single" w:sz="4" w:space="0" w:color="auto"/>
            </w:tcBorders>
            <w:vAlign w:val="center"/>
          </w:tcPr>
          <w:p w14:paraId="0A2BFE7A" w14:textId="77777777" w:rsidR="008D5DCB" w:rsidRDefault="0020015B">
            <w:pPr>
              <w:spacing w:line="240" w:lineRule="auto"/>
            </w:pPr>
            <w:r>
              <w:rPr>
                <w:b/>
                <w:bCs/>
              </w:rPr>
              <w:lastRenderedPageBreak/>
              <w:t>TSR</w:t>
            </w:r>
          </w:p>
        </w:tc>
        <w:tc>
          <w:tcPr>
            <w:tcW w:w="0" w:type="auto"/>
            <w:tcBorders>
              <w:bottom w:val="single" w:sz="4" w:space="0" w:color="auto"/>
            </w:tcBorders>
            <w:vAlign w:val="center"/>
          </w:tcPr>
          <w:p w14:paraId="54CE4039" w14:textId="77777777" w:rsidR="008D5DCB" w:rsidRDefault="0020015B">
            <w:pPr>
              <w:spacing w:line="240" w:lineRule="auto"/>
            </w:pPr>
            <w:r>
              <w:t>126.072 (0.000)</w:t>
            </w:r>
          </w:p>
        </w:tc>
        <w:tc>
          <w:tcPr>
            <w:tcW w:w="0" w:type="auto"/>
            <w:tcBorders>
              <w:bottom w:val="single" w:sz="4" w:space="0" w:color="auto"/>
            </w:tcBorders>
            <w:vAlign w:val="center"/>
          </w:tcPr>
          <w:p w14:paraId="0782A380" w14:textId="77777777" w:rsidR="008D5DCB" w:rsidRDefault="0020015B">
            <w:pPr>
              <w:spacing w:line="240" w:lineRule="auto"/>
            </w:pPr>
            <w:r>
              <w:t>-7.890 (0.000)</w:t>
            </w:r>
          </w:p>
        </w:tc>
        <w:tc>
          <w:tcPr>
            <w:tcW w:w="0" w:type="auto"/>
            <w:tcBorders>
              <w:bottom w:val="single" w:sz="4" w:space="0" w:color="auto"/>
            </w:tcBorders>
            <w:vAlign w:val="center"/>
          </w:tcPr>
          <w:p w14:paraId="39C72258" w14:textId="77777777" w:rsidR="008D5DCB" w:rsidRDefault="0020015B">
            <w:pPr>
              <w:spacing w:line="240" w:lineRule="auto"/>
            </w:pPr>
            <w:r>
              <w:t>-9.156 (0.000)</w:t>
            </w:r>
          </w:p>
        </w:tc>
        <w:tc>
          <w:tcPr>
            <w:tcW w:w="0" w:type="auto"/>
          </w:tcPr>
          <w:p w14:paraId="277D5054" w14:textId="77777777" w:rsidR="008D5DCB" w:rsidRDefault="008D5DCB">
            <w:pPr>
              <w:spacing w:line="240" w:lineRule="auto"/>
            </w:pPr>
          </w:p>
        </w:tc>
        <w:tc>
          <w:tcPr>
            <w:tcW w:w="0" w:type="auto"/>
            <w:tcBorders>
              <w:bottom w:val="single" w:sz="4" w:space="0" w:color="auto"/>
            </w:tcBorders>
            <w:vAlign w:val="center"/>
          </w:tcPr>
          <w:p w14:paraId="0D7F6F80" w14:textId="77777777" w:rsidR="008D5DCB" w:rsidRDefault="0020015B">
            <w:pPr>
              <w:spacing w:line="240" w:lineRule="auto"/>
            </w:pPr>
            <w:r>
              <w:t>13.105 (0.000)</w:t>
            </w:r>
          </w:p>
        </w:tc>
        <w:tc>
          <w:tcPr>
            <w:tcW w:w="0" w:type="auto"/>
            <w:tcBorders>
              <w:bottom w:val="single" w:sz="4" w:space="0" w:color="auto"/>
            </w:tcBorders>
            <w:vAlign w:val="center"/>
          </w:tcPr>
          <w:p w14:paraId="6CE531D4" w14:textId="77777777" w:rsidR="008D5DCB" w:rsidRDefault="0020015B">
            <w:pPr>
              <w:spacing w:line="240" w:lineRule="auto"/>
            </w:pPr>
            <w:proofErr w:type="gramStart"/>
            <w:r>
              <w:rPr>
                <w:rStyle w:val="mord"/>
              </w:rPr>
              <w:t>I</w:t>
            </w:r>
            <w:r>
              <w:rPr>
                <w:rStyle w:val="mopen"/>
              </w:rPr>
              <w:t>(</w:t>
            </w:r>
            <w:proofErr w:type="gramEnd"/>
            <w:r>
              <w:rPr>
                <w:rStyle w:val="mord"/>
              </w:rPr>
              <w:t>0</w:t>
            </w:r>
            <w:r>
              <w:rPr>
                <w:rStyle w:val="mclose"/>
              </w:rPr>
              <w:t>)</w:t>
            </w:r>
          </w:p>
        </w:tc>
      </w:tr>
    </w:tbl>
    <w:p w14:paraId="5EE057C1" w14:textId="77777777" w:rsidR="008D5DCB" w:rsidRDefault="0020015B">
      <w:pPr>
        <w:pStyle w:val="NormalWeb"/>
      </w:pPr>
      <w:r>
        <w:rPr>
          <w:b/>
          <w:bCs/>
        </w:rPr>
        <w:t>Source:</w:t>
      </w:r>
      <w:r>
        <w:t xml:space="preserve"> Author’s Computation (2026) </w:t>
      </w:r>
    </w:p>
    <w:p w14:paraId="5F936BF7" w14:textId="77777777" w:rsidR="008D5DCB" w:rsidRDefault="0020015B">
      <w:pPr>
        <w:spacing w:after="0" w:line="240" w:lineRule="auto"/>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t xml:space="preserve"> Interpretation of Panel Stationarity Results</w:t>
      </w:r>
    </w:p>
    <w:p w14:paraId="35A1CF4D" w14:textId="77777777" w:rsidR="008D5DCB" w:rsidRDefault="0020015B">
      <w:pPr>
        <w:spacing w:line="240" w:lineRule="auto"/>
        <w:jc w:val="both"/>
        <w:rPr>
          <w:rFonts w:ascii="Times New Roman" w:hAnsi="Times New Roman" w:cs="Times New Roman"/>
          <w:sz w:val="24"/>
          <w:szCs w:val="24"/>
        </w:rPr>
      </w:pPr>
      <w:r>
        <w:rPr>
          <w:rFonts w:ascii="Times New Roman" w:hAnsi="Times New Roman" w:cs="Times New Roman"/>
          <w:sz w:val="24"/>
          <w:szCs w:val="24"/>
        </w:rPr>
        <w:t>Table 3 presents the empirical results of the Fisher-type Augmented Dickey-Fuller (ADF) unit root tests executed to investigate the stationarity properties of the core panel data series. Evaluating stationarity is a fundamental pre-estimation requirement in longitudinal panel modeling to prevent the occurrences of spurious regressions, which compromise the validity of inferential diagnostics (Gujarati &amp; Porter, 2009). The null hypothesis (</w:t>
      </w:r>
      <w:r>
        <w:rPr>
          <w:rStyle w:val="mord"/>
          <w:rFonts w:ascii="Times New Roman" w:hAnsi="Times New Roman" w:cs="Times New Roman"/>
          <w:sz w:val="24"/>
          <w:szCs w:val="24"/>
        </w:rPr>
        <w:t>H0</w:t>
      </w:r>
      <w:r>
        <w:rPr>
          <w:rStyle w:val="vlist-s"/>
          <w:rFonts w:ascii="Times New Roman" w:hAnsi="Times New Roman" w:cs="Times New Roman"/>
          <w:sz w:val="24"/>
          <w:szCs w:val="24"/>
        </w:rPr>
        <w:t>​</w:t>
      </w:r>
      <w:r>
        <w:rPr>
          <w:rFonts w:ascii="Times New Roman" w:hAnsi="Times New Roman" w:cs="Times New Roman"/>
          <w:sz w:val="24"/>
          <w:szCs w:val="24"/>
        </w:rPr>
        <w:t>) posits that the underlying series contains a unit root (is non-stationary), against the alternative hypothesis (</w:t>
      </w:r>
      <w:r>
        <w:rPr>
          <w:rStyle w:val="mord"/>
          <w:rFonts w:ascii="Times New Roman" w:hAnsi="Times New Roman" w:cs="Times New Roman"/>
          <w:sz w:val="24"/>
          <w:szCs w:val="24"/>
        </w:rPr>
        <w:t>H1</w:t>
      </w:r>
      <w:r>
        <w:rPr>
          <w:rStyle w:val="vlist-s"/>
          <w:rFonts w:ascii="Times New Roman" w:hAnsi="Times New Roman" w:cs="Times New Roman"/>
          <w:sz w:val="24"/>
          <w:szCs w:val="24"/>
        </w:rPr>
        <w:t>​</w:t>
      </w:r>
      <w:r>
        <w:rPr>
          <w:rFonts w:ascii="Times New Roman" w:hAnsi="Times New Roman" w:cs="Times New Roman"/>
          <w:sz w:val="24"/>
          <w:szCs w:val="24"/>
        </w:rPr>
        <w:t>) that the series is stationary. The statistical results demonstrate that both the dependent market performance indicators Tobin's Q (</w:t>
      </w:r>
      <w:r>
        <w:rPr>
          <w:rStyle w:val="mord"/>
          <w:rFonts w:ascii="Times New Roman" w:hAnsi="Times New Roman" w:cs="Times New Roman"/>
          <w:sz w:val="24"/>
          <w:szCs w:val="24"/>
        </w:rPr>
        <w:t>TQ</w:t>
      </w:r>
      <w:r>
        <w:rPr>
          <w:rFonts w:ascii="Times New Roman" w:hAnsi="Times New Roman" w:cs="Times New Roman"/>
          <w:sz w:val="24"/>
          <w:szCs w:val="24"/>
        </w:rPr>
        <w:t>) and Market Value Per Share (</w:t>
      </w:r>
      <w:r>
        <w:rPr>
          <w:rStyle w:val="mord"/>
          <w:rFonts w:ascii="Times New Roman" w:hAnsi="Times New Roman" w:cs="Times New Roman"/>
          <w:sz w:val="24"/>
          <w:szCs w:val="24"/>
        </w:rPr>
        <w:t>MVPS</w:t>
      </w:r>
      <w:r>
        <w:rPr>
          <w:rFonts w:ascii="Times New Roman" w:hAnsi="Times New Roman" w:cs="Times New Roman"/>
          <w:sz w:val="24"/>
          <w:szCs w:val="24"/>
        </w:rPr>
        <w:t>) and the primary independent tax aggressiveness indicators Effective Tax Rate (</w:t>
      </w:r>
      <w:r>
        <w:rPr>
          <w:rStyle w:val="mord"/>
          <w:rFonts w:ascii="Times New Roman" w:hAnsi="Times New Roman" w:cs="Times New Roman"/>
          <w:sz w:val="24"/>
          <w:szCs w:val="24"/>
        </w:rPr>
        <w:t>ETR</w:t>
      </w:r>
      <w:r>
        <w:rPr>
          <w:rFonts w:ascii="Times New Roman" w:hAnsi="Times New Roman" w:cs="Times New Roman"/>
          <w:sz w:val="24"/>
          <w:szCs w:val="24"/>
        </w:rPr>
        <w:t>), Cash Effective Tax Rate (</w:t>
      </w:r>
      <w:r>
        <w:rPr>
          <w:rStyle w:val="mord"/>
          <w:rFonts w:ascii="Times New Roman" w:hAnsi="Times New Roman" w:cs="Times New Roman"/>
          <w:sz w:val="24"/>
          <w:szCs w:val="24"/>
        </w:rPr>
        <w:t>CETR</w:t>
      </w:r>
      <w:r>
        <w:rPr>
          <w:rFonts w:ascii="Times New Roman" w:hAnsi="Times New Roman" w:cs="Times New Roman"/>
          <w:sz w:val="24"/>
          <w:szCs w:val="24"/>
        </w:rPr>
        <w:t>), Book-Tax Difference (</w:t>
      </w:r>
      <w:r>
        <w:rPr>
          <w:rStyle w:val="mord"/>
          <w:rFonts w:ascii="Times New Roman" w:hAnsi="Times New Roman" w:cs="Times New Roman"/>
          <w:sz w:val="24"/>
          <w:szCs w:val="24"/>
        </w:rPr>
        <w:t>BTD</w:t>
      </w:r>
      <w:r>
        <w:rPr>
          <w:rFonts w:ascii="Times New Roman" w:hAnsi="Times New Roman" w:cs="Times New Roman"/>
          <w:sz w:val="24"/>
          <w:szCs w:val="24"/>
        </w:rPr>
        <w:t>), and Tax Savings Ratio (</w:t>
      </w:r>
      <w:r>
        <w:rPr>
          <w:rStyle w:val="mord"/>
          <w:rFonts w:ascii="Times New Roman" w:hAnsi="Times New Roman" w:cs="Times New Roman"/>
          <w:sz w:val="24"/>
          <w:szCs w:val="24"/>
        </w:rPr>
        <w:t>TSR</w:t>
      </w:r>
      <w:r>
        <w:rPr>
          <w:rFonts w:ascii="Times New Roman" w:hAnsi="Times New Roman" w:cs="Times New Roman"/>
          <w:sz w:val="24"/>
          <w:szCs w:val="24"/>
        </w:rPr>
        <w:t>) reject the unit root null hypothesis at the 1% significance level (</w:t>
      </w:r>
      <w:r>
        <w:rPr>
          <w:rStyle w:val="mord"/>
          <w:rFonts w:ascii="Times New Roman" w:hAnsi="Times New Roman" w:cs="Times New Roman"/>
          <w:sz w:val="24"/>
          <w:szCs w:val="24"/>
        </w:rPr>
        <w:t>p</w:t>
      </w:r>
      <w:r>
        <w:rPr>
          <w:rStyle w:val="mrel"/>
          <w:rFonts w:ascii="Times New Roman" w:hAnsi="Times New Roman" w:cs="Times New Roman"/>
          <w:sz w:val="24"/>
          <w:szCs w:val="24"/>
        </w:rPr>
        <w:t>&lt;</w:t>
      </w:r>
      <w:r>
        <w:rPr>
          <w:rStyle w:val="mord"/>
          <w:rFonts w:ascii="Times New Roman" w:hAnsi="Times New Roman" w:cs="Times New Roman"/>
          <w:sz w:val="24"/>
          <w:szCs w:val="24"/>
        </w:rPr>
        <w:t>0.01</w:t>
      </w:r>
      <w:r>
        <w:rPr>
          <w:rFonts w:ascii="Times New Roman" w:hAnsi="Times New Roman" w:cs="Times New Roman"/>
          <w:sz w:val="24"/>
          <w:szCs w:val="24"/>
        </w:rPr>
        <w:t>). This uniform rejection is consistently sustained across all four calculated test parameters: the Inverse Chi-Squared (</w:t>
      </w:r>
      <w:r>
        <w:rPr>
          <w:rStyle w:val="mord"/>
          <w:rFonts w:ascii="Times New Roman" w:hAnsi="Times New Roman" w:cs="Times New Roman"/>
          <w:sz w:val="24"/>
          <w:szCs w:val="24"/>
        </w:rPr>
        <w:t>P</w:t>
      </w:r>
      <w:r>
        <w:rPr>
          <w:rFonts w:ascii="Times New Roman" w:hAnsi="Times New Roman" w:cs="Times New Roman"/>
          <w:sz w:val="24"/>
          <w:szCs w:val="24"/>
        </w:rPr>
        <w:t>), Inverse Normal (</w:t>
      </w:r>
      <w:r>
        <w:rPr>
          <w:rStyle w:val="mord"/>
          <w:rFonts w:ascii="Times New Roman" w:hAnsi="Times New Roman" w:cs="Times New Roman"/>
          <w:sz w:val="24"/>
          <w:szCs w:val="24"/>
        </w:rPr>
        <w:t>Z</w:t>
      </w:r>
      <w:r>
        <w:rPr>
          <w:rFonts w:ascii="Times New Roman" w:hAnsi="Times New Roman" w:cs="Times New Roman"/>
          <w:sz w:val="24"/>
          <w:szCs w:val="24"/>
        </w:rPr>
        <w:t>), Inverse Logit (</w:t>
      </w:r>
      <w:r>
        <w:rPr>
          <w:rStyle w:val="mord"/>
          <w:rFonts w:ascii="Times New Roman" w:hAnsi="Times New Roman" w:cs="Times New Roman"/>
          <w:sz w:val="24"/>
          <w:szCs w:val="24"/>
        </w:rPr>
        <w:t>L</w:t>
      </w:r>
      <w:r>
        <w:rPr>
          <w:rStyle w:val="mbin"/>
          <w:rFonts w:ascii="Cambria Math" w:hAnsi="Cambria Math" w:cs="Cambria Math"/>
          <w:sz w:val="24"/>
          <w:szCs w:val="24"/>
        </w:rPr>
        <w:t>∗</w:t>
      </w:r>
      <w:r>
        <w:rPr>
          <w:rFonts w:ascii="Times New Roman" w:hAnsi="Times New Roman" w:cs="Times New Roman"/>
          <w:sz w:val="24"/>
          <w:szCs w:val="24"/>
        </w:rPr>
        <w:t>), and Modified Inverse Chi-Squared (</w:t>
      </w:r>
      <w:r>
        <w:rPr>
          <w:rStyle w:val="mord"/>
          <w:rFonts w:ascii="Times New Roman" w:hAnsi="Times New Roman" w:cs="Times New Roman"/>
          <w:sz w:val="24"/>
          <w:szCs w:val="24"/>
        </w:rPr>
        <w:t>Pm</w:t>
      </w:r>
      <w:r>
        <w:rPr>
          <w:rStyle w:val="vlist-s"/>
          <w:rFonts w:ascii="Times New Roman" w:hAnsi="Times New Roman" w:cs="Times New Roman"/>
          <w:sz w:val="24"/>
          <w:szCs w:val="24"/>
        </w:rPr>
        <w:t>​</w:t>
      </w:r>
      <w:r>
        <w:rPr>
          <w:rFonts w:ascii="Times New Roman" w:hAnsi="Times New Roman" w:cs="Times New Roman"/>
          <w:sz w:val="24"/>
          <w:szCs w:val="24"/>
        </w:rPr>
        <w:t xml:space="preserve">) statistics. Consequently, all relevant variables are structurally integrated of order zero, or </w:t>
      </w:r>
      <w:proofErr w:type="gramStart"/>
      <w:r>
        <w:rPr>
          <w:rStyle w:val="mord"/>
          <w:rFonts w:ascii="Times New Roman" w:hAnsi="Times New Roman" w:cs="Times New Roman"/>
          <w:sz w:val="24"/>
          <w:szCs w:val="24"/>
        </w:rPr>
        <w:t>I</w:t>
      </w:r>
      <w:r>
        <w:rPr>
          <w:rStyle w:val="mopen"/>
          <w:rFonts w:ascii="Times New Roman" w:hAnsi="Times New Roman" w:cs="Times New Roman"/>
          <w:sz w:val="24"/>
          <w:szCs w:val="24"/>
        </w:rPr>
        <w:t>(</w:t>
      </w:r>
      <w:proofErr w:type="gramEnd"/>
      <w:r>
        <w:rPr>
          <w:rStyle w:val="mord"/>
          <w:rFonts w:ascii="Times New Roman" w:hAnsi="Times New Roman" w:cs="Times New Roman"/>
          <w:sz w:val="24"/>
          <w:szCs w:val="24"/>
        </w:rPr>
        <w:t>0</w:t>
      </w:r>
      <w:r>
        <w:rPr>
          <w:rStyle w:val="mclose"/>
          <w:rFonts w:ascii="Times New Roman" w:hAnsi="Times New Roman" w:cs="Times New Roman"/>
          <w:sz w:val="24"/>
          <w:szCs w:val="24"/>
        </w:rPr>
        <w:t>)</w:t>
      </w:r>
      <w:r>
        <w:rPr>
          <w:rFonts w:ascii="Times New Roman" w:hAnsi="Times New Roman" w:cs="Times New Roman"/>
          <w:sz w:val="24"/>
          <w:szCs w:val="24"/>
        </w:rPr>
        <w:t>, establishing that the data tracks a stationary baseline at level form. This absence of unit roots confirms that the panel data is free from deterministic or stochastic trends that could distort estimation. Therefore, the study can reliably proceed with the multiple regression framework utilizing the variables in their level forms without risk of obtaining spurious or structurally inflated coefficients.</w:t>
      </w:r>
    </w:p>
    <w:p w14:paraId="1B9A9E62" w14:textId="77777777" w:rsidR="008D5DCB" w:rsidRDefault="0020015B">
      <w:pPr>
        <w:spacing w:after="0" w:line="240" w:lineRule="auto"/>
        <w:jc w:val="both"/>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Table 4: Estimates of the Models on the Effect of Tax Aggressiveness on Market Performance (MP)</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3"/>
        <w:gridCol w:w="1100"/>
        <w:gridCol w:w="756"/>
        <w:gridCol w:w="987"/>
        <w:gridCol w:w="898"/>
        <w:gridCol w:w="719"/>
        <w:gridCol w:w="987"/>
      </w:tblGrid>
      <w:tr w:rsidR="008D5DCB" w14:paraId="21B49DA0" w14:textId="77777777">
        <w:tc>
          <w:tcPr>
            <w:tcW w:w="3913" w:type="dxa"/>
            <w:vMerge w:val="restart"/>
            <w:tcBorders>
              <w:left w:val="single" w:sz="4" w:space="0" w:color="FFFFFF"/>
              <w:right w:val="single" w:sz="4" w:space="0" w:color="FFFFFF"/>
            </w:tcBorders>
          </w:tcPr>
          <w:p w14:paraId="15BACE2D"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Variables</w:t>
            </w:r>
          </w:p>
        </w:tc>
        <w:tc>
          <w:tcPr>
            <w:tcW w:w="2843" w:type="dxa"/>
            <w:gridSpan w:val="3"/>
            <w:tcBorders>
              <w:left w:val="single" w:sz="4" w:space="0" w:color="FFFFFF"/>
            </w:tcBorders>
          </w:tcPr>
          <w:p w14:paraId="3A844D25"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TQ</w:t>
            </w:r>
          </w:p>
          <w:p w14:paraId="00905225"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Pooled OLS</w:t>
            </w:r>
          </w:p>
        </w:tc>
        <w:tc>
          <w:tcPr>
            <w:tcW w:w="2604" w:type="dxa"/>
            <w:gridSpan w:val="3"/>
            <w:tcBorders>
              <w:right w:val="single" w:sz="4" w:space="0" w:color="FFFFFF"/>
            </w:tcBorders>
          </w:tcPr>
          <w:p w14:paraId="3BAC16C8"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MVPS</w:t>
            </w:r>
          </w:p>
          <w:p w14:paraId="53F2B91E"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Fixed Effects (R)</w:t>
            </w:r>
          </w:p>
        </w:tc>
      </w:tr>
      <w:tr w:rsidR="008D5DCB" w14:paraId="5224BD5F" w14:textId="77777777">
        <w:tc>
          <w:tcPr>
            <w:tcW w:w="3913" w:type="dxa"/>
            <w:vMerge/>
            <w:tcBorders>
              <w:left w:val="single" w:sz="4" w:space="0" w:color="FFFFFF"/>
              <w:right w:val="single" w:sz="4" w:space="0" w:color="FFFFFF"/>
            </w:tcBorders>
          </w:tcPr>
          <w:p w14:paraId="290FC1EB" w14:textId="77777777" w:rsidR="008D5DCB" w:rsidRDefault="008D5DCB">
            <w:pPr>
              <w:spacing w:after="0" w:line="240" w:lineRule="auto"/>
              <w:jc w:val="both"/>
              <w:rPr>
                <w:rFonts w:ascii="Times New Roman" w:eastAsia="Calibri" w:hAnsi="Times New Roman" w:cs="Times New Roman"/>
                <w:kern w:val="0"/>
                <w:sz w:val="24"/>
                <w:szCs w:val="24"/>
                <w14:ligatures w14:val="none"/>
              </w:rPr>
            </w:pPr>
          </w:p>
        </w:tc>
        <w:tc>
          <w:tcPr>
            <w:tcW w:w="1100" w:type="dxa"/>
            <w:tcBorders>
              <w:left w:val="single" w:sz="4" w:space="0" w:color="FFFFFF"/>
              <w:right w:val="single" w:sz="4" w:space="0" w:color="FFFFFF"/>
            </w:tcBorders>
          </w:tcPr>
          <w:p w14:paraId="5C8F1016"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Coeff</w:t>
            </w:r>
          </w:p>
        </w:tc>
        <w:tc>
          <w:tcPr>
            <w:tcW w:w="756" w:type="dxa"/>
            <w:tcBorders>
              <w:left w:val="single" w:sz="4" w:space="0" w:color="FFFFFF"/>
              <w:right w:val="single" w:sz="4" w:space="0" w:color="FFFFFF"/>
            </w:tcBorders>
          </w:tcPr>
          <w:p w14:paraId="77691346"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z stat</w:t>
            </w:r>
          </w:p>
        </w:tc>
        <w:tc>
          <w:tcPr>
            <w:tcW w:w="987" w:type="dxa"/>
            <w:tcBorders>
              <w:left w:val="single" w:sz="4" w:space="0" w:color="FFFFFF"/>
            </w:tcBorders>
          </w:tcPr>
          <w:p w14:paraId="15156B3B"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p-value</w:t>
            </w:r>
          </w:p>
        </w:tc>
        <w:tc>
          <w:tcPr>
            <w:tcW w:w="898" w:type="dxa"/>
            <w:tcBorders>
              <w:right w:val="single" w:sz="4" w:space="0" w:color="FFFFFF"/>
            </w:tcBorders>
          </w:tcPr>
          <w:p w14:paraId="71BF6137"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Coeff</w:t>
            </w:r>
          </w:p>
        </w:tc>
        <w:tc>
          <w:tcPr>
            <w:tcW w:w="719" w:type="dxa"/>
            <w:tcBorders>
              <w:left w:val="single" w:sz="4" w:space="0" w:color="FFFFFF"/>
              <w:right w:val="single" w:sz="4" w:space="0" w:color="FFFFFF"/>
            </w:tcBorders>
          </w:tcPr>
          <w:p w14:paraId="56017051"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z stat</w:t>
            </w:r>
          </w:p>
        </w:tc>
        <w:tc>
          <w:tcPr>
            <w:tcW w:w="987" w:type="dxa"/>
            <w:tcBorders>
              <w:left w:val="single" w:sz="4" w:space="0" w:color="FFFFFF"/>
              <w:right w:val="single" w:sz="4" w:space="0" w:color="FFFFFF"/>
            </w:tcBorders>
          </w:tcPr>
          <w:p w14:paraId="103EBEA7"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p-value</w:t>
            </w:r>
          </w:p>
        </w:tc>
      </w:tr>
      <w:tr w:rsidR="008D5DCB" w14:paraId="5BB69D2C" w14:textId="77777777">
        <w:tc>
          <w:tcPr>
            <w:tcW w:w="3913" w:type="dxa"/>
            <w:tcBorders>
              <w:left w:val="single" w:sz="4" w:space="0" w:color="FFFFFF"/>
              <w:bottom w:val="single" w:sz="4" w:space="0" w:color="FFFFFF"/>
              <w:right w:val="single" w:sz="4" w:space="0" w:color="FFFFFF"/>
            </w:tcBorders>
          </w:tcPr>
          <w:p w14:paraId="6681C1E5"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ETR</w:t>
            </w:r>
          </w:p>
        </w:tc>
        <w:tc>
          <w:tcPr>
            <w:tcW w:w="1100" w:type="dxa"/>
            <w:tcBorders>
              <w:left w:val="single" w:sz="4" w:space="0" w:color="FFFFFF"/>
              <w:bottom w:val="single" w:sz="4" w:space="0" w:color="FFFFFF"/>
              <w:right w:val="single" w:sz="4" w:space="0" w:color="FFFFFF"/>
            </w:tcBorders>
          </w:tcPr>
          <w:p w14:paraId="1AF86CF9"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0.016</w:t>
            </w:r>
          </w:p>
        </w:tc>
        <w:tc>
          <w:tcPr>
            <w:tcW w:w="756" w:type="dxa"/>
            <w:tcBorders>
              <w:left w:val="single" w:sz="4" w:space="0" w:color="FFFFFF"/>
              <w:bottom w:val="single" w:sz="4" w:space="0" w:color="FFFFFF"/>
              <w:right w:val="single" w:sz="4" w:space="0" w:color="FFFFFF"/>
            </w:tcBorders>
          </w:tcPr>
          <w:p w14:paraId="47794CD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0.25</w:t>
            </w:r>
          </w:p>
        </w:tc>
        <w:tc>
          <w:tcPr>
            <w:tcW w:w="987" w:type="dxa"/>
            <w:tcBorders>
              <w:left w:val="single" w:sz="4" w:space="0" w:color="FFFFFF"/>
              <w:bottom w:val="single" w:sz="4" w:space="0" w:color="FFFFFF"/>
            </w:tcBorders>
          </w:tcPr>
          <w:p w14:paraId="1384EF41"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0.801</w:t>
            </w:r>
          </w:p>
        </w:tc>
        <w:tc>
          <w:tcPr>
            <w:tcW w:w="898" w:type="dxa"/>
            <w:tcBorders>
              <w:bottom w:val="single" w:sz="4" w:space="0" w:color="FFFFFF"/>
              <w:right w:val="single" w:sz="4" w:space="0" w:color="FFFFFF"/>
            </w:tcBorders>
          </w:tcPr>
          <w:p w14:paraId="6DDB57B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0.746</w:t>
            </w:r>
          </w:p>
        </w:tc>
        <w:tc>
          <w:tcPr>
            <w:tcW w:w="719" w:type="dxa"/>
            <w:tcBorders>
              <w:left w:val="single" w:sz="4" w:space="0" w:color="FFFFFF"/>
              <w:bottom w:val="single" w:sz="4" w:space="0" w:color="FFFFFF"/>
              <w:right w:val="single" w:sz="4" w:space="0" w:color="FFFFFF"/>
            </w:tcBorders>
          </w:tcPr>
          <w:p w14:paraId="12C1162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1.54</w:t>
            </w:r>
          </w:p>
        </w:tc>
        <w:tc>
          <w:tcPr>
            <w:tcW w:w="987" w:type="dxa"/>
            <w:tcBorders>
              <w:left w:val="single" w:sz="4" w:space="0" w:color="FFFFFF"/>
              <w:bottom w:val="single" w:sz="4" w:space="0" w:color="FFFFFF"/>
              <w:right w:val="single" w:sz="4" w:space="0" w:color="FFFFFF"/>
            </w:tcBorders>
          </w:tcPr>
          <w:p w14:paraId="147B5D4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0.148</w:t>
            </w:r>
          </w:p>
        </w:tc>
      </w:tr>
      <w:tr w:rsidR="008D5DCB" w14:paraId="7EB8A8CC" w14:textId="77777777">
        <w:tc>
          <w:tcPr>
            <w:tcW w:w="3913" w:type="dxa"/>
            <w:tcBorders>
              <w:top w:val="single" w:sz="4" w:space="0" w:color="FFFFFF"/>
              <w:left w:val="single" w:sz="4" w:space="0" w:color="FFFFFF"/>
              <w:bottom w:val="single" w:sz="4" w:space="0" w:color="FFFFFF"/>
              <w:right w:val="single" w:sz="4" w:space="0" w:color="FFFFFF"/>
            </w:tcBorders>
          </w:tcPr>
          <w:p w14:paraId="07B89128"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CETR</w:t>
            </w:r>
          </w:p>
        </w:tc>
        <w:tc>
          <w:tcPr>
            <w:tcW w:w="1100" w:type="dxa"/>
            <w:tcBorders>
              <w:top w:val="single" w:sz="4" w:space="0" w:color="FFFFFF"/>
              <w:left w:val="single" w:sz="4" w:space="0" w:color="FFFFFF"/>
              <w:bottom w:val="single" w:sz="4" w:space="0" w:color="FFFFFF"/>
              <w:right w:val="single" w:sz="4" w:space="0" w:color="FFFFFF"/>
            </w:tcBorders>
          </w:tcPr>
          <w:p w14:paraId="4EA55BC9"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-0.149</w:t>
            </w:r>
          </w:p>
        </w:tc>
        <w:tc>
          <w:tcPr>
            <w:tcW w:w="756" w:type="dxa"/>
            <w:tcBorders>
              <w:top w:val="single" w:sz="4" w:space="0" w:color="FFFFFF"/>
              <w:left w:val="single" w:sz="4" w:space="0" w:color="FFFFFF"/>
              <w:bottom w:val="single" w:sz="4" w:space="0" w:color="FFFFFF"/>
              <w:right w:val="single" w:sz="4" w:space="0" w:color="FFFFFF"/>
            </w:tcBorders>
          </w:tcPr>
          <w:p w14:paraId="38BF06F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-1.20</w:t>
            </w:r>
          </w:p>
        </w:tc>
        <w:tc>
          <w:tcPr>
            <w:tcW w:w="987" w:type="dxa"/>
            <w:tcBorders>
              <w:top w:val="single" w:sz="4" w:space="0" w:color="FFFFFF"/>
              <w:left w:val="single" w:sz="4" w:space="0" w:color="FFFFFF"/>
              <w:bottom w:val="single" w:sz="4" w:space="0" w:color="FFFFFF"/>
            </w:tcBorders>
          </w:tcPr>
          <w:p w14:paraId="137AD62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0.231</w:t>
            </w:r>
          </w:p>
        </w:tc>
        <w:tc>
          <w:tcPr>
            <w:tcW w:w="898" w:type="dxa"/>
            <w:tcBorders>
              <w:top w:val="single" w:sz="4" w:space="0" w:color="FFFFFF"/>
              <w:bottom w:val="single" w:sz="4" w:space="0" w:color="FFFFFF"/>
              <w:right w:val="single" w:sz="4" w:space="0" w:color="FFFFFF"/>
            </w:tcBorders>
          </w:tcPr>
          <w:p w14:paraId="6A762DEB"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1.641</w:t>
            </w:r>
          </w:p>
        </w:tc>
        <w:tc>
          <w:tcPr>
            <w:tcW w:w="719" w:type="dxa"/>
            <w:tcBorders>
              <w:top w:val="single" w:sz="4" w:space="0" w:color="FFFFFF"/>
              <w:left w:val="single" w:sz="4" w:space="0" w:color="FFFFFF"/>
              <w:bottom w:val="single" w:sz="4" w:space="0" w:color="FFFFFF"/>
              <w:right w:val="single" w:sz="4" w:space="0" w:color="FFFFFF"/>
            </w:tcBorders>
          </w:tcPr>
          <w:p w14:paraId="52CC8077"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1.68</w:t>
            </w:r>
          </w:p>
        </w:tc>
        <w:tc>
          <w:tcPr>
            <w:tcW w:w="987" w:type="dxa"/>
            <w:tcBorders>
              <w:top w:val="single" w:sz="4" w:space="0" w:color="FFFFFF"/>
              <w:left w:val="single" w:sz="4" w:space="0" w:color="FFFFFF"/>
              <w:bottom w:val="single" w:sz="4" w:space="0" w:color="FFFFFF"/>
              <w:right w:val="single" w:sz="4" w:space="0" w:color="FFFFFF"/>
            </w:tcBorders>
          </w:tcPr>
          <w:p w14:paraId="0A6924E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0.117</w:t>
            </w:r>
          </w:p>
        </w:tc>
      </w:tr>
      <w:tr w:rsidR="008D5DCB" w14:paraId="7B031FF6" w14:textId="77777777">
        <w:tc>
          <w:tcPr>
            <w:tcW w:w="3913" w:type="dxa"/>
            <w:tcBorders>
              <w:top w:val="single" w:sz="4" w:space="0" w:color="FFFFFF"/>
              <w:left w:val="single" w:sz="4" w:space="0" w:color="FFFFFF"/>
              <w:bottom w:val="single" w:sz="4" w:space="0" w:color="FFFFFF"/>
              <w:right w:val="single" w:sz="4" w:space="0" w:color="FFFFFF"/>
            </w:tcBorders>
          </w:tcPr>
          <w:p w14:paraId="0D308AE1"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BTD</w:t>
            </w:r>
          </w:p>
        </w:tc>
        <w:tc>
          <w:tcPr>
            <w:tcW w:w="1100" w:type="dxa"/>
            <w:tcBorders>
              <w:top w:val="single" w:sz="4" w:space="0" w:color="FFFFFF"/>
              <w:left w:val="single" w:sz="4" w:space="0" w:color="FFFFFF"/>
              <w:bottom w:val="single" w:sz="4" w:space="0" w:color="FFFFFF"/>
              <w:right w:val="single" w:sz="4" w:space="0" w:color="FFFFFF"/>
            </w:tcBorders>
          </w:tcPr>
          <w:p w14:paraId="1A4C9B7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-0.999</w:t>
            </w:r>
          </w:p>
        </w:tc>
        <w:tc>
          <w:tcPr>
            <w:tcW w:w="756" w:type="dxa"/>
            <w:tcBorders>
              <w:top w:val="single" w:sz="4" w:space="0" w:color="FFFFFF"/>
              <w:left w:val="single" w:sz="4" w:space="0" w:color="FFFFFF"/>
              <w:bottom w:val="single" w:sz="4" w:space="0" w:color="FFFFFF"/>
              <w:right w:val="single" w:sz="4" w:space="0" w:color="FFFFFF"/>
            </w:tcBorders>
          </w:tcPr>
          <w:p w14:paraId="07F4701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-3.47</w:t>
            </w:r>
          </w:p>
        </w:tc>
        <w:tc>
          <w:tcPr>
            <w:tcW w:w="987" w:type="dxa"/>
            <w:tcBorders>
              <w:top w:val="single" w:sz="4" w:space="0" w:color="FFFFFF"/>
              <w:left w:val="single" w:sz="4" w:space="0" w:color="FFFFFF"/>
              <w:bottom w:val="single" w:sz="4" w:space="0" w:color="FFFFFF"/>
            </w:tcBorders>
          </w:tcPr>
          <w:p w14:paraId="477C9F49"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0.001</w:t>
            </w:r>
          </w:p>
        </w:tc>
        <w:tc>
          <w:tcPr>
            <w:tcW w:w="898" w:type="dxa"/>
            <w:tcBorders>
              <w:top w:val="single" w:sz="4" w:space="0" w:color="FFFFFF"/>
              <w:bottom w:val="single" w:sz="4" w:space="0" w:color="FFFFFF"/>
              <w:right w:val="single" w:sz="4" w:space="0" w:color="FFFFFF"/>
            </w:tcBorders>
          </w:tcPr>
          <w:p w14:paraId="12F77C3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0.792</w:t>
            </w:r>
          </w:p>
        </w:tc>
        <w:tc>
          <w:tcPr>
            <w:tcW w:w="719" w:type="dxa"/>
            <w:tcBorders>
              <w:top w:val="single" w:sz="4" w:space="0" w:color="FFFFFF"/>
              <w:left w:val="single" w:sz="4" w:space="0" w:color="FFFFFF"/>
              <w:bottom w:val="single" w:sz="4" w:space="0" w:color="FFFFFF"/>
              <w:right w:val="single" w:sz="4" w:space="0" w:color="FFFFFF"/>
            </w:tcBorders>
          </w:tcPr>
          <w:p w14:paraId="3B6491B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0.50</w:t>
            </w:r>
          </w:p>
        </w:tc>
        <w:tc>
          <w:tcPr>
            <w:tcW w:w="987" w:type="dxa"/>
            <w:tcBorders>
              <w:top w:val="single" w:sz="4" w:space="0" w:color="FFFFFF"/>
              <w:left w:val="single" w:sz="4" w:space="0" w:color="FFFFFF"/>
              <w:bottom w:val="single" w:sz="4" w:space="0" w:color="FFFFFF"/>
              <w:right w:val="single" w:sz="4" w:space="0" w:color="FFFFFF"/>
            </w:tcBorders>
          </w:tcPr>
          <w:p w14:paraId="1C36BD2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0.624</w:t>
            </w:r>
          </w:p>
        </w:tc>
      </w:tr>
      <w:tr w:rsidR="008D5DCB" w14:paraId="79D8D873" w14:textId="77777777">
        <w:tc>
          <w:tcPr>
            <w:tcW w:w="3913" w:type="dxa"/>
            <w:tcBorders>
              <w:top w:val="single" w:sz="4" w:space="0" w:color="FFFFFF"/>
              <w:left w:val="single" w:sz="4" w:space="0" w:color="FFFFFF"/>
              <w:bottom w:val="single" w:sz="4" w:space="0" w:color="FFFFFF"/>
              <w:right w:val="single" w:sz="4" w:space="0" w:color="FFFFFF"/>
            </w:tcBorders>
          </w:tcPr>
          <w:p w14:paraId="41EE134F"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TSR</w:t>
            </w:r>
          </w:p>
        </w:tc>
        <w:tc>
          <w:tcPr>
            <w:tcW w:w="1100" w:type="dxa"/>
            <w:tcBorders>
              <w:top w:val="single" w:sz="4" w:space="0" w:color="FFFFFF"/>
              <w:left w:val="single" w:sz="4" w:space="0" w:color="FFFFFF"/>
              <w:bottom w:val="single" w:sz="4" w:space="0" w:color="FFFFFF"/>
              <w:right w:val="single" w:sz="4" w:space="0" w:color="FFFFFF"/>
            </w:tcBorders>
          </w:tcPr>
          <w:p w14:paraId="656789C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0.057</w:t>
            </w:r>
          </w:p>
        </w:tc>
        <w:tc>
          <w:tcPr>
            <w:tcW w:w="756" w:type="dxa"/>
            <w:tcBorders>
              <w:top w:val="single" w:sz="4" w:space="0" w:color="FFFFFF"/>
              <w:left w:val="single" w:sz="4" w:space="0" w:color="FFFFFF"/>
              <w:bottom w:val="single" w:sz="4" w:space="0" w:color="FFFFFF"/>
              <w:right w:val="single" w:sz="4" w:space="0" w:color="FFFFFF"/>
            </w:tcBorders>
          </w:tcPr>
          <w:p w14:paraId="501C729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2.52</w:t>
            </w:r>
          </w:p>
        </w:tc>
        <w:tc>
          <w:tcPr>
            <w:tcW w:w="987" w:type="dxa"/>
            <w:tcBorders>
              <w:top w:val="single" w:sz="4" w:space="0" w:color="FFFFFF"/>
              <w:left w:val="single" w:sz="4" w:space="0" w:color="FFFFFF"/>
              <w:bottom w:val="single" w:sz="4" w:space="0" w:color="FFFFFF"/>
            </w:tcBorders>
          </w:tcPr>
          <w:p w14:paraId="6E654E57"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0.013</w:t>
            </w:r>
          </w:p>
        </w:tc>
        <w:tc>
          <w:tcPr>
            <w:tcW w:w="898" w:type="dxa"/>
            <w:tcBorders>
              <w:top w:val="single" w:sz="4" w:space="0" w:color="FFFFFF"/>
              <w:bottom w:val="single" w:sz="4" w:space="0" w:color="FFFFFF"/>
              <w:right w:val="single" w:sz="4" w:space="0" w:color="FFFFFF"/>
            </w:tcBorders>
          </w:tcPr>
          <w:p w14:paraId="3F7B5BF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-0.462</w:t>
            </w:r>
          </w:p>
        </w:tc>
        <w:tc>
          <w:tcPr>
            <w:tcW w:w="719" w:type="dxa"/>
            <w:tcBorders>
              <w:top w:val="single" w:sz="4" w:space="0" w:color="FFFFFF"/>
              <w:left w:val="single" w:sz="4" w:space="0" w:color="FFFFFF"/>
              <w:bottom w:val="single" w:sz="4" w:space="0" w:color="FFFFFF"/>
              <w:right w:val="single" w:sz="4" w:space="0" w:color="FFFFFF"/>
            </w:tcBorders>
          </w:tcPr>
          <w:p w14:paraId="7A84C077"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-2.43</w:t>
            </w:r>
          </w:p>
        </w:tc>
        <w:tc>
          <w:tcPr>
            <w:tcW w:w="987" w:type="dxa"/>
            <w:tcBorders>
              <w:top w:val="single" w:sz="4" w:space="0" w:color="FFFFFF"/>
              <w:left w:val="single" w:sz="4" w:space="0" w:color="FFFFFF"/>
              <w:bottom w:val="single" w:sz="4" w:space="0" w:color="FFFFFF"/>
              <w:right w:val="single" w:sz="4" w:space="0" w:color="FFFFFF"/>
            </w:tcBorders>
          </w:tcPr>
          <w:p w14:paraId="51D880F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0.030</w:t>
            </w:r>
          </w:p>
        </w:tc>
      </w:tr>
      <w:tr w:rsidR="008D5DCB" w14:paraId="5D1C71FE" w14:textId="77777777">
        <w:tc>
          <w:tcPr>
            <w:tcW w:w="3913" w:type="dxa"/>
            <w:tcBorders>
              <w:top w:val="single" w:sz="4" w:space="0" w:color="FFFFFF"/>
              <w:left w:val="single" w:sz="4" w:space="0" w:color="FFFFFF"/>
              <w:bottom w:val="single" w:sz="4" w:space="0" w:color="auto"/>
              <w:right w:val="single" w:sz="4" w:space="0" w:color="FFFFFF"/>
            </w:tcBorders>
          </w:tcPr>
          <w:p w14:paraId="0EF4A79F"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Constant</w:t>
            </w:r>
          </w:p>
        </w:tc>
        <w:tc>
          <w:tcPr>
            <w:tcW w:w="1100" w:type="dxa"/>
            <w:tcBorders>
              <w:top w:val="single" w:sz="4" w:space="0" w:color="FFFFFF"/>
              <w:left w:val="single" w:sz="4" w:space="0" w:color="FFFFFF"/>
              <w:bottom w:val="single" w:sz="4" w:space="0" w:color="auto"/>
              <w:right w:val="single" w:sz="4" w:space="0" w:color="FFFFFF"/>
            </w:tcBorders>
          </w:tcPr>
          <w:p w14:paraId="5ACF2B5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0.965</w:t>
            </w:r>
          </w:p>
        </w:tc>
        <w:tc>
          <w:tcPr>
            <w:tcW w:w="756" w:type="dxa"/>
            <w:tcBorders>
              <w:top w:val="single" w:sz="4" w:space="0" w:color="FFFFFF"/>
              <w:left w:val="single" w:sz="4" w:space="0" w:color="FFFFFF"/>
              <w:bottom w:val="single" w:sz="4" w:space="0" w:color="auto"/>
              <w:right w:val="single" w:sz="4" w:space="0" w:color="FFFFFF"/>
            </w:tcBorders>
          </w:tcPr>
          <w:p w14:paraId="58BEABBB"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27.21</w:t>
            </w:r>
          </w:p>
        </w:tc>
        <w:tc>
          <w:tcPr>
            <w:tcW w:w="987" w:type="dxa"/>
            <w:tcBorders>
              <w:top w:val="single" w:sz="4" w:space="0" w:color="FFFFFF"/>
              <w:left w:val="single" w:sz="4" w:space="0" w:color="FFFFFF"/>
              <w:bottom w:val="single" w:sz="4" w:space="0" w:color="auto"/>
            </w:tcBorders>
          </w:tcPr>
          <w:p w14:paraId="25CEF9D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0.000</w:t>
            </w:r>
          </w:p>
        </w:tc>
        <w:tc>
          <w:tcPr>
            <w:tcW w:w="898" w:type="dxa"/>
            <w:tcBorders>
              <w:top w:val="single" w:sz="4" w:space="0" w:color="FFFFFF"/>
              <w:bottom w:val="single" w:sz="4" w:space="0" w:color="auto"/>
              <w:right w:val="single" w:sz="4" w:space="0" w:color="FFFFFF"/>
            </w:tcBorders>
          </w:tcPr>
          <w:p w14:paraId="10530C2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1.093</w:t>
            </w:r>
          </w:p>
        </w:tc>
        <w:tc>
          <w:tcPr>
            <w:tcW w:w="719" w:type="dxa"/>
            <w:tcBorders>
              <w:top w:val="single" w:sz="4" w:space="0" w:color="FFFFFF"/>
              <w:left w:val="single" w:sz="4" w:space="0" w:color="FFFFFF"/>
              <w:bottom w:val="single" w:sz="4" w:space="0" w:color="auto"/>
              <w:right w:val="single" w:sz="4" w:space="0" w:color="FFFFFF"/>
            </w:tcBorders>
          </w:tcPr>
          <w:p w14:paraId="5D05778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7.10</w:t>
            </w:r>
          </w:p>
        </w:tc>
        <w:tc>
          <w:tcPr>
            <w:tcW w:w="987" w:type="dxa"/>
            <w:tcBorders>
              <w:top w:val="single" w:sz="4" w:space="0" w:color="FFFFFF"/>
              <w:left w:val="single" w:sz="4" w:space="0" w:color="FFFFFF"/>
              <w:bottom w:val="single" w:sz="4" w:space="0" w:color="auto"/>
              <w:right w:val="single" w:sz="4" w:space="0" w:color="FFFFFF"/>
            </w:tcBorders>
          </w:tcPr>
          <w:p w14:paraId="35C8381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0.000</w:t>
            </w:r>
          </w:p>
        </w:tc>
      </w:tr>
      <w:tr w:rsidR="008D5DCB" w14:paraId="151A7A11" w14:textId="77777777">
        <w:tc>
          <w:tcPr>
            <w:tcW w:w="3913" w:type="dxa"/>
            <w:tcBorders>
              <w:top w:val="single" w:sz="4" w:space="0" w:color="auto"/>
              <w:left w:val="single" w:sz="4" w:space="0" w:color="FFFFFF"/>
              <w:bottom w:val="single" w:sz="4" w:space="0" w:color="FFFFFF"/>
              <w:right w:val="single" w:sz="4" w:space="0" w:color="FFFFFF"/>
            </w:tcBorders>
          </w:tcPr>
          <w:p w14:paraId="274DFA7C"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R-squared</w:t>
            </w:r>
          </w:p>
        </w:tc>
        <w:tc>
          <w:tcPr>
            <w:tcW w:w="1100" w:type="dxa"/>
            <w:tcBorders>
              <w:top w:val="single" w:sz="4" w:space="0" w:color="auto"/>
              <w:left w:val="single" w:sz="4" w:space="0" w:color="FFFFFF"/>
              <w:bottom w:val="single" w:sz="4" w:space="0" w:color="FFFFFF"/>
              <w:right w:val="single" w:sz="4" w:space="0" w:color="FFFFFF"/>
            </w:tcBorders>
          </w:tcPr>
          <w:p w14:paraId="758F3F6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0.089</w:t>
            </w:r>
          </w:p>
        </w:tc>
        <w:tc>
          <w:tcPr>
            <w:tcW w:w="756" w:type="dxa"/>
            <w:tcBorders>
              <w:top w:val="single" w:sz="4" w:space="0" w:color="auto"/>
              <w:left w:val="single" w:sz="4" w:space="0" w:color="FFFFFF"/>
              <w:bottom w:val="single" w:sz="4" w:space="0" w:color="FFFFFF"/>
              <w:right w:val="single" w:sz="4" w:space="0" w:color="FFFFFF"/>
            </w:tcBorders>
          </w:tcPr>
          <w:p w14:paraId="137F98B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auto"/>
              <w:left w:val="single" w:sz="4" w:space="0" w:color="FFFFFF"/>
              <w:bottom w:val="single" w:sz="4" w:space="0" w:color="FFFFFF"/>
            </w:tcBorders>
          </w:tcPr>
          <w:p w14:paraId="2112D071"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898" w:type="dxa"/>
            <w:tcBorders>
              <w:top w:val="single" w:sz="4" w:space="0" w:color="auto"/>
              <w:bottom w:val="single" w:sz="4" w:space="0" w:color="FFFFFF"/>
              <w:right w:val="single" w:sz="4" w:space="0" w:color="FFFFFF"/>
            </w:tcBorders>
          </w:tcPr>
          <w:p w14:paraId="69D353B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0.050</w:t>
            </w:r>
          </w:p>
        </w:tc>
        <w:tc>
          <w:tcPr>
            <w:tcW w:w="719" w:type="dxa"/>
            <w:tcBorders>
              <w:top w:val="single" w:sz="4" w:space="0" w:color="auto"/>
              <w:left w:val="single" w:sz="4" w:space="0" w:color="FFFFFF"/>
              <w:bottom w:val="single" w:sz="4" w:space="0" w:color="FFFFFF"/>
              <w:right w:val="single" w:sz="4" w:space="0" w:color="FFFFFF"/>
            </w:tcBorders>
          </w:tcPr>
          <w:p w14:paraId="6B3F9D6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auto"/>
              <w:left w:val="single" w:sz="4" w:space="0" w:color="FFFFFF"/>
              <w:bottom w:val="single" w:sz="4" w:space="0" w:color="FFFFFF"/>
              <w:right w:val="single" w:sz="4" w:space="0" w:color="FFFFFF"/>
            </w:tcBorders>
          </w:tcPr>
          <w:p w14:paraId="0287217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r>
      <w:tr w:rsidR="008D5DCB" w14:paraId="045C3D3D" w14:textId="77777777">
        <w:tc>
          <w:tcPr>
            <w:tcW w:w="3913" w:type="dxa"/>
            <w:tcBorders>
              <w:top w:val="single" w:sz="4" w:space="0" w:color="FFFFFF"/>
              <w:left w:val="single" w:sz="4" w:space="0" w:color="FFFFFF"/>
              <w:bottom w:val="single" w:sz="4" w:space="0" w:color="FFFFFF"/>
              <w:right w:val="single" w:sz="4" w:space="0" w:color="FFFFFF"/>
            </w:tcBorders>
          </w:tcPr>
          <w:p w14:paraId="33C99062"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Wald Chi-squared</w:t>
            </w:r>
          </w:p>
        </w:tc>
        <w:tc>
          <w:tcPr>
            <w:tcW w:w="1100" w:type="dxa"/>
            <w:tcBorders>
              <w:top w:val="single" w:sz="4" w:space="0" w:color="FFFFFF"/>
              <w:left w:val="single" w:sz="4" w:space="0" w:color="FFFFFF"/>
              <w:bottom w:val="single" w:sz="4" w:space="0" w:color="FFFFFF"/>
              <w:right w:val="single" w:sz="4" w:space="0" w:color="FFFFFF"/>
            </w:tcBorders>
          </w:tcPr>
          <w:p w14:paraId="56B4BE8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4.65</w:t>
            </w:r>
          </w:p>
        </w:tc>
        <w:tc>
          <w:tcPr>
            <w:tcW w:w="756" w:type="dxa"/>
            <w:tcBorders>
              <w:top w:val="single" w:sz="4" w:space="0" w:color="FFFFFF"/>
              <w:left w:val="single" w:sz="4" w:space="0" w:color="FFFFFF"/>
              <w:bottom w:val="single" w:sz="4" w:space="0" w:color="FFFFFF"/>
              <w:right w:val="single" w:sz="4" w:space="0" w:color="FFFFFF"/>
            </w:tcBorders>
          </w:tcPr>
          <w:p w14:paraId="6EFEA42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39EC34D9"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0.001</w:t>
            </w:r>
          </w:p>
        </w:tc>
        <w:tc>
          <w:tcPr>
            <w:tcW w:w="898" w:type="dxa"/>
            <w:tcBorders>
              <w:top w:val="single" w:sz="4" w:space="0" w:color="FFFFFF"/>
              <w:bottom w:val="single" w:sz="4" w:space="0" w:color="FFFFFF"/>
              <w:right w:val="single" w:sz="4" w:space="0" w:color="FFFFFF"/>
            </w:tcBorders>
          </w:tcPr>
          <w:p w14:paraId="35B44A2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5.84</w:t>
            </w:r>
          </w:p>
        </w:tc>
        <w:tc>
          <w:tcPr>
            <w:tcW w:w="719" w:type="dxa"/>
            <w:tcBorders>
              <w:top w:val="single" w:sz="4" w:space="0" w:color="FFFFFF"/>
              <w:left w:val="single" w:sz="4" w:space="0" w:color="FFFFFF"/>
              <w:bottom w:val="single" w:sz="4" w:space="0" w:color="FFFFFF"/>
              <w:right w:val="single" w:sz="4" w:space="0" w:color="FFFFFF"/>
            </w:tcBorders>
          </w:tcPr>
          <w:p w14:paraId="608E0539"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436B3EF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0.007</w:t>
            </w:r>
          </w:p>
        </w:tc>
      </w:tr>
      <w:tr w:rsidR="008D5DCB" w14:paraId="09753DF1" w14:textId="77777777">
        <w:tc>
          <w:tcPr>
            <w:tcW w:w="3913" w:type="dxa"/>
            <w:tcBorders>
              <w:top w:val="single" w:sz="4" w:space="0" w:color="FFFFFF"/>
              <w:left w:val="single" w:sz="4" w:space="0" w:color="FFFFFF"/>
              <w:bottom w:val="single" w:sz="4" w:space="0" w:color="FFFFFF"/>
              <w:right w:val="single" w:sz="4" w:space="0" w:color="FFFFFF"/>
            </w:tcBorders>
          </w:tcPr>
          <w:p w14:paraId="61A61204"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Autocorrelation test</w:t>
            </w:r>
          </w:p>
        </w:tc>
        <w:tc>
          <w:tcPr>
            <w:tcW w:w="1100" w:type="dxa"/>
            <w:tcBorders>
              <w:top w:val="single" w:sz="4" w:space="0" w:color="FFFFFF"/>
              <w:left w:val="single" w:sz="4" w:space="0" w:color="FFFFFF"/>
              <w:bottom w:val="single" w:sz="4" w:space="0" w:color="FFFFFF"/>
              <w:right w:val="single" w:sz="4" w:space="0" w:color="FFFFFF"/>
            </w:tcBorders>
          </w:tcPr>
          <w:p w14:paraId="3B0E20E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4.056</w:t>
            </w:r>
          </w:p>
        </w:tc>
        <w:tc>
          <w:tcPr>
            <w:tcW w:w="756" w:type="dxa"/>
            <w:tcBorders>
              <w:top w:val="single" w:sz="4" w:space="0" w:color="FFFFFF"/>
              <w:left w:val="single" w:sz="4" w:space="0" w:color="FFFFFF"/>
              <w:bottom w:val="single" w:sz="4" w:space="0" w:color="FFFFFF"/>
              <w:right w:val="single" w:sz="4" w:space="0" w:color="FFFFFF"/>
            </w:tcBorders>
          </w:tcPr>
          <w:p w14:paraId="28105A7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166C45D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0.067</w:t>
            </w:r>
          </w:p>
        </w:tc>
        <w:tc>
          <w:tcPr>
            <w:tcW w:w="898" w:type="dxa"/>
            <w:tcBorders>
              <w:top w:val="single" w:sz="4" w:space="0" w:color="FFFFFF"/>
              <w:bottom w:val="single" w:sz="4" w:space="0" w:color="FFFFFF"/>
              <w:right w:val="single" w:sz="4" w:space="0" w:color="FFFFFF"/>
            </w:tcBorders>
          </w:tcPr>
          <w:p w14:paraId="52BF9661"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1.961</w:t>
            </w:r>
          </w:p>
        </w:tc>
        <w:tc>
          <w:tcPr>
            <w:tcW w:w="719" w:type="dxa"/>
            <w:tcBorders>
              <w:top w:val="single" w:sz="4" w:space="0" w:color="FFFFFF"/>
              <w:left w:val="single" w:sz="4" w:space="0" w:color="FFFFFF"/>
              <w:bottom w:val="single" w:sz="4" w:space="0" w:color="FFFFFF"/>
              <w:right w:val="single" w:sz="4" w:space="0" w:color="FFFFFF"/>
            </w:tcBorders>
          </w:tcPr>
          <w:p w14:paraId="1AF8E23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590AABFF"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0.187</w:t>
            </w:r>
          </w:p>
        </w:tc>
      </w:tr>
      <w:tr w:rsidR="008D5DCB" w14:paraId="770C54F2" w14:textId="77777777">
        <w:tc>
          <w:tcPr>
            <w:tcW w:w="3913" w:type="dxa"/>
            <w:tcBorders>
              <w:top w:val="single" w:sz="4" w:space="0" w:color="FFFFFF"/>
              <w:left w:val="single" w:sz="4" w:space="0" w:color="FFFFFF"/>
              <w:bottom w:val="single" w:sz="4" w:space="0" w:color="FFFFFF"/>
              <w:right w:val="single" w:sz="4" w:space="0" w:color="FFFFFF"/>
            </w:tcBorders>
          </w:tcPr>
          <w:p w14:paraId="71D5F408"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Heteroskedasticity test</w:t>
            </w:r>
          </w:p>
        </w:tc>
        <w:tc>
          <w:tcPr>
            <w:tcW w:w="1100" w:type="dxa"/>
            <w:tcBorders>
              <w:top w:val="single" w:sz="4" w:space="0" w:color="FFFFFF"/>
              <w:left w:val="single" w:sz="4" w:space="0" w:color="FFFFFF"/>
              <w:bottom w:val="single" w:sz="4" w:space="0" w:color="FFFFFF"/>
              <w:right w:val="single" w:sz="4" w:space="0" w:color="FFFFFF"/>
            </w:tcBorders>
          </w:tcPr>
          <w:p w14:paraId="37FFBA9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2.96</w:t>
            </w:r>
          </w:p>
        </w:tc>
        <w:tc>
          <w:tcPr>
            <w:tcW w:w="756" w:type="dxa"/>
            <w:tcBorders>
              <w:top w:val="single" w:sz="4" w:space="0" w:color="FFFFFF"/>
              <w:left w:val="single" w:sz="4" w:space="0" w:color="FFFFFF"/>
              <w:bottom w:val="single" w:sz="4" w:space="0" w:color="FFFFFF"/>
              <w:right w:val="single" w:sz="4" w:space="0" w:color="FFFFFF"/>
            </w:tcBorders>
          </w:tcPr>
          <w:p w14:paraId="68A4F04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1AA2454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0.086</w:t>
            </w:r>
          </w:p>
        </w:tc>
        <w:tc>
          <w:tcPr>
            <w:tcW w:w="898" w:type="dxa"/>
            <w:tcBorders>
              <w:top w:val="single" w:sz="4" w:space="0" w:color="FFFFFF"/>
              <w:bottom w:val="single" w:sz="4" w:space="0" w:color="FFFFFF"/>
              <w:right w:val="single" w:sz="4" w:space="0" w:color="FFFFFF"/>
            </w:tcBorders>
          </w:tcPr>
          <w:p w14:paraId="5E47C5A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40.79</w:t>
            </w:r>
          </w:p>
        </w:tc>
        <w:tc>
          <w:tcPr>
            <w:tcW w:w="719" w:type="dxa"/>
            <w:tcBorders>
              <w:top w:val="single" w:sz="4" w:space="0" w:color="FFFFFF"/>
              <w:left w:val="single" w:sz="4" w:space="0" w:color="FFFFFF"/>
              <w:bottom w:val="single" w:sz="4" w:space="0" w:color="FFFFFF"/>
              <w:right w:val="single" w:sz="4" w:space="0" w:color="FFFFFF"/>
            </w:tcBorders>
          </w:tcPr>
          <w:p w14:paraId="02774961"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3546C55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0.000</w:t>
            </w:r>
          </w:p>
        </w:tc>
      </w:tr>
      <w:tr w:rsidR="008D5DCB" w14:paraId="4CCF493E" w14:textId="77777777">
        <w:tc>
          <w:tcPr>
            <w:tcW w:w="3913" w:type="dxa"/>
            <w:tcBorders>
              <w:top w:val="single" w:sz="4" w:space="0" w:color="FFFFFF"/>
              <w:left w:val="single" w:sz="4" w:space="0" w:color="FFFFFF"/>
              <w:bottom w:val="single" w:sz="4" w:space="0" w:color="FFFFFF"/>
              <w:right w:val="single" w:sz="4" w:space="0" w:color="FFFFFF"/>
            </w:tcBorders>
          </w:tcPr>
          <w:p w14:paraId="2F23B250"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Average VIF</w:t>
            </w:r>
          </w:p>
        </w:tc>
        <w:tc>
          <w:tcPr>
            <w:tcW w:w="1100" w:type="dxa"/>
            <w:tcBorders>
              <w:top w:val="single" w:sz="4" w:space="0" w:color="FFFFFF"/>
              <w:left w:val="single" w:sz="4" w:space="0" w:color="FFFFFF"/>
              <w:bottom w:val="single" w:sz="4" w:space="0" w:color="FFFFFF"/>
              <w:right w:val="single" w:sz="4" w:space="0" w:color="FFFFFF"/>
            </w:tcBorders>
          </w:tcPr>
          <w:p w14:paraId="077C7E35"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4.77</w:t>
            </w:r>
          </w:p>
        </w:tc>
        <w:tc>
          <w:tcPr>
            <w:tcW w:w="756" w:type="dxa"/>
            <w:tcBorders>
              <w:top w:val="single" w:sz="4" w:space="0" w:color="FFFFFF"/>
              <w:left w:val="single" w:sz="4" w:space="0" w:color="FFFFFF"/>
              <w:bottom w:val="single" w:sz="4" w:space="0" w:color="FFFFFF"/>
              <w:right w:val="single" w:sz="4" w:space="0" w:color="FFFFFF"/>
            </w:tcBorders>
          </w:tcPr>
          <w:p w14:paraId="4E02743F"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4F32692E"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898" w:type="dxa"/>
            <w:tcBorders>
              <w:top w:val="single" w:sz="4" w:space="0" w:color="FFFFFF"/>
              <w:bottom w:val="single" w:sz="4" w:space="0" w:color="FFFFFF"/>
              <w:right w:val="single" w:sz="4" w:space="0" w:color="FFFFFF"/>
            </w:tcBorders>
          </w:tcPr>
          <w:p w14:paraId="5BF9F0D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4.77</w:t>
            </w:r>
          </w:p>
        </w:tc>
        <w:tc>
          <w:tcPr>
            <w:tcW w:w="719" w:type="dxa"/>
            <w:tcBorders>
              <w:top w:val="single" w:sz="4" w:space="0" w:color="FFFFFF"/>
              <w:left w:val="single" w:sz="4" w:space="0" w:color="FFFFFF"/>
              <w:bottom w:val="single" w:sz="4" w:space="0" w:color="FFFFFF"/>
              <w:right w:val="single" w:sz="4" w:space="0" w:color="FFFFFF"/>
            </w:tcBorders>
          </w:tcPr>
          <w:p w14:paraId="1E98330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4FE9863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r>
      <w:tr w:rsidR="008D5DCB" w14:paraId="537ED6E3" w14:textId="77777777">
        <w:tc>
          <w:tcPr>
            <w:tcW w:w="3913" w:type="dxa"/>
            <w:tcBorders>
              <w:top w:val="single" w:sz="4" w:space="0" w:color="FFFFFF"/>
              <w:left w:val="single" w:sz="4" w:space="0" w:color="FFFFFF"/>
              <w:right w:val="single" w:sz="4" w:space="0" w:color="FFFFFF"/>
            </w:tcBorders>
          </w:tcPr>
          <w:p w14:paraId="4739B820"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Observations</w:t>
            </w:r>
          </w:p>
        </w:tc>
        <w:tc>
          <w:tcPr>
            <w:tcW w:w="1100" w:type="dxa"/>
            <w:tcBorders>
              <w:top w:val="single" w:sz="4" w:space="0" w:color="FFFFFF"/>
              <w:left w:val="single" w:sz="4" w:space="0" w:color="FFFFFF"/>
              <w:right w:val="single" w:sz="4" w:space="0" w:color="FFFFFF"/>
            </w:tcBorders>
          </w:tcPr>
          <w:p w14:paraId="0C596CFC"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c>
          <w:tcPr>
            <w:tcW w:w="756" w:type="dxa"/>
            <w:tcBorders>
              <w:top w:val="single" w:sz="4" w:space="0" w:color="FFFFFF"/>
              <w:left w:val="single" w:sz="4" w:space="0" w:color="FFFFFF"/>
              <w:right w:val="single" w:sz="4" w:space="0" w:color="FFFFFF"/>
            </w:tcBorders>
          </w:tcPr>
          <w:p w14:paraId="5DB6AC5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195</w:t>
            </w:r>
          </w:p>
        </w:tc>
        <w:tc>
          <w:tcPr>
            <w:tcW w:w="987" w:type="dxa"/>
            <w:tcBorders>
              <w:top w:val="single" w:sz="4" w:space="0" w:color="FFFFFF"/>
              <w:left w:val="single" w:sz="4" w:space="0" w:color="FFFFFF"/>
            </w:tcBorders>
          </w:tcPr>
          <w:p w14:paraId="43FEEA5D"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c>
          <w:tcPr>
            <w:tcW w:w="898" w:type="dxa"/>
            <w:tcBorders>
              <w:top w:val="single" w:sz="4" w:space="0" w:color="FFFFFF"/>
              <w:right w:val="single" w:sz="4" w:space="0" w:color="FFFFFF"/>
            </w:tcBorders>
          </w:tcPr>
          <w:p w14:paraId="2571BA51"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c>
          <w:tcPr>
            <w:tcW w:w="719" w:type="dxa"/>
            <w:tcBorders>
              <w:top w:val="single" w:sz="4" w:space="0" w:color="FFFFFF"/>
              <w:left w:val="single" w:sz="4" w:space="0" w:color="FFFFFF"/>
              <w:right w:val="single" w:sz="4" w:space="0" w:color="FFFFFF"/>
            </w:tcBorders>
          </w:tcPr>
          <w:p w14:paraId="170588A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195</w:t>
            </w:r>
          </w:p>
        </w:tc>
        <w:tc>
          <w:tcPr>
            <w:tcW w:w="987" w:type="dxa"/>
            <w:tcBorders>
              <w:top w:val="single" w:sz="4" w:space="0" w:color="FFFFFF"/>
              <w:left w:val="single" w:sz="4" w:space="0" w:color="FFFFFF"/>
              <w:right w:val="single" w:sz="4" w:space="0" w:color="FFFFFF"/>
            </w:tcBorders>
          </w:tcPr>
          <w:p w14:paraId="4A5900C1"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r>
    </w:tbl>
    <w:p w14:paraId="44069616" w14:textId="77777777" w:rsidR="008D5DCB" w:rsidRDefault="0020015B">
      <w:pPr>
        <w:spacing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b/>
          <w:kern w:val="0"/>
          <w:sz w:val="24"/>
          <w:szCs w:val="24"/>
          <w14:ligatures w14:val="none"/>
        </w:rPr>
        <w:t>Source, Author’s Computation (2024),</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i/>
          <w:kern w:val="0"/>
          <w:sz w:val="18"/>
          <w:szCs w:val="18"/>
          <w14:ligatures w14:val="none"/>
        </w:rPr>
        <w:t>ETR = Effective Tax Rate; CETR = Cash Effective Tax Rate; BTD = Book–Tax Difference; TSR = Tax Savings Ratio</w:t>
      </w:r>
      <w:r>
        <w:rPr>
          <w:rFonts w:ascii="Times New Roman" w:eastAsia="Calibri" w:hAnsi="Times New Roman" w:cs="Times New Roman"/>
          <w:i/>
          <w:kern w:val="0"/>
          <w:sz w:val="20"/>
          <w:szCs w:val="20"/>
          <w14:ligatures w14:val="none"/>
        </w:rPr>
        <w:t>, (R) is Robust Standard Error.</w:t>
      </w:r>
    </w:p>
    <w:p w14:paraId="4BB898BE"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lastRenderedPageBreak/>
        <w:t xml:space="preserve">The regression analysis evaluated the determinants of Tobin's Q (TQ via Pooled OLS) and Market Value Per Share (MVPS via Fixed Effects), using a p-value&lt;0.05 threshold for statistical significance. While the tax aggressiveness variables explain a relatively low proportion of variance in the models accounting for </w:t>
      </w:r>
      <w:r>
        <w:rPr>
          <w:rFonts w:ascii="Times New Roman" w:eastAsia="Times New Roman" w:hAnsi="Times New Roman" w:cs="Times New Roman"/>
          <w:bCs/>
          <w:kern w:val="0"/>
          <w:sz w:val="24"/>
          <w:szCs w:val="24"/>
          <w:lang w:val="en-GB" w:eastAsia="en-GB"/>
          <w14:ligatures w14:val="none"/>
        </w:rPr>
        <w:t>8.9%</w:t>
      </w:r>
      <w:r>
        <w:rPr>
          <w:rFonts w:ascii="Times New Roman" w:eastAsia="Times New Roman" w:hAnsi="Times New Roman" w:cs="Times New Roman"/>
          <w:kern w:val="0"/>
          <w:sz w:val="24"/>
          <w:szCs w:val="24"/>
          <w:lang w:val="en-GB" w:eastAsia="en-GB"/>
          <w14:ligatures w14:val="none"/>
        </w:rPr>
        <w:t xml:space="preserve"> (R2=0.089) for TQ and </w:t>
      </w:r>
      <w:r>
        <w:rPr>
          <w:rFonts w:ascii="Times New Roman" w:eastAsia="Times New Roman" w:hAnsi="Times New Roman" w:cs="Times New Roman"/>
          <w:b/>
          <w:bCs/>
          <w:kern w:val="0"/>
          <w:sz w:val="24"/>
          <w:szCs w:val="24"/>
          <w:lang w:val="en-GB" w:eastAsia="en-GB"/>
          <w14:ligatures w14:val="none"/>
        </w:rPr>
        <w:t>5.0%</w:t>
      </w:r>
      <w:r>
        <w:rPr>
          <w:rFonts w:ascii="Times New Roman" w:eastAsia="Times New Roman" w:hAnsi="Times New Roman" w:cs="Times New Roman"/>
          <w:kern w:val="0"/>
          <w:sz w:val="24"/>
          <w:szCs w:val="24"/>
          <w:lang w:val="en-GB" w:eastAsia="en-GB"/>
          <w14:ligatures w14:val="none"/>
        </w:rPr>
        <w:t xml:space="preserve"> (R2=0.050) for MVPS both models demonstrate strong overall goodness-of-fit and statistical significance, as confirmed by their respective Wald Chi-squared statistics (p=0.001 and p=0.007). Diagnostic screening via the Wooldridge test confirmed that neither model suffers from autocorrelation (p&gt;0.05). Additionally, the Breusch-Pagan test indicated that the TQ model is free from heteroskedasticity (p=0.086); however, because the MVPS model exhibited significant heteroskedasticity (p=0.000), robust standard errors were successfully applied to remedy the issue and ensure unbiased estimates for subsequent discussion.</w:t>
      </w:r>
    </w:p>
    <w:p w14:paraId="03C88732" w14:textId="77777777" w:rsidR="008D5DCB" w:rsidRDefault="0020015B">
      <w:pPr>
        <w:spacing w:line="240" w:lineRule="auto"/>
        <w:jc w:val="both"/>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4.3</w:t>
      </w:r>
      <w:r>
        <w:rPr>
          <w:rFonts w:ascii="Times New Roman" w:eastAsia="Calibri" w:hAnsi="Times New Roman" w:cs="Times New Roman"/>
          <w:b/>
          <w:kern w:val="0"/>
          <w:sz w:val="24"/>
          <w:szCs w:val="24"/>
          <w14:ligatures w14:val="none"/>
        </w:rPr>
        <w:tab/>
        <w:t>Discussion of findings</w:t>
      </w:r>
    </w:p>
    <w:p w14:paraId="3EF7384B" w14:textId="77777777" w:rsidR="008D5DCB" w:rsidRDefault="0020015B">
      <w:pPr>
        <w:spacing w:line="240" w:lineRule="auto"/>
        <w:jc w:val="both"/>
        <w:rPr>
          <w:rFonts w:ascii="Times New Roman" w:hAnsi="Times New Roman" w:cs="Times New Roman"/>
          <w:sz w:val="24"/>
          <w:szCs w:val="24"/>
        </w:rPr>
      </w:pPr>
      <w:r>
        <w:rPr>
          <w:rFonts w:ascii="Times New Roman" w:hAnsi="Times New Roman" w:cs="Times New Roman"/>
          <w:sz w:val="24"/>
          <w:szCs w:val="24"/>
        </w:rPr>
        <w:t>The empirical results from the optimal Pooled OLS model indicate that tax aggressiveness has a statistically significant combined effect on the market performance of listed insurance companies in Nigeria, as confirmed by a Wald Chi-squared value of 4.65 (</w:t>
      </w:r>
      <w:r>
        <w:rPr>
          <w:rStyle w:val="math-inline"/>
          <w:rFonts w:ascii="Times New Roman" w:hAnsi="Times New Roman" w:cs="Times New Roman"/>
          <w:sz w:val="24"/>
          <w:szCs w:val="24"/>
        </w:rPr>
        <w:t>p = 0.001</w:t>
      </w:r>
      <w:r>
        <w:rPr>
          <w:rFonts w:ascii="Times New Roman" w:hAnsi="Times New Roman" w:cs="Times New Roman"/>
          <w:sz w:val="24"/>
          <w:szCs w:val="24"/>
        </w:rPr>
        <w:t>), thereby leading to the definitive rejection of the null hypothesis (</w:t>
      </w:r>
      <w:r>
        <w:rPr>
          <w:rStyle w:val="math-inline"/>
          <w:rFonts w:ascii="Times New Roman" w:hAnsi="Times New Roman" w:cs="Times New Roman"/>
          <w:sz w:val="24"/>
          <w:szCs w:val="24"/>
        </w:rPr>
        <w:t>H_01</w:t>
      </w:r>
      <w:r>
        <w:rPr>
          <w:rFonts w:ascii="Times New Roman" w:hAnsi="Times New Roman" w:cs="Times New Roman"/>
          <w:sz w:val="24"/>
          <w:szCs w:val="24"/>
        </w:rPr>
        <w:t>). Individually, Book-Tax Difference (BTD) exerts a negative and statistically significant impact on Tobin’s Q (</w:t>
      </w:r>
      <w:r>
        <w:rPr>
          <w:rStyle w:val="math-inline"/>
          <w:rFonts w:ascii="Times New Roman" w:hAnsi="Times New Roman" w:cs="Times New Roman"/>
          <w:sz w:val="24"/>
          <w:szCs w:val="24"/>
        </w:rPr>
        <w:t>p = 0.001</w:t>
      </w:r>
      <w:r>
        <w:rPr>
          <w:rFonts w:ascii="Times New Roman" w:hAnsi="Times New Roman" w:cs="Times New Roman"/>
          <w:sz w:val="24"/>
          <w:szCs w:val="24"/>
        </w:rPr>
        <w:t xml:space="preserve">), demonstrating that as the gap between financial reporting profits and taxable income widens, capital market investors discount the firm's valuation. Grounded in Agency Theory (Jensen &amp; Meckling, 1976), this indicates that investors perceive massive book-tax variations as red flags for low earnings quality, regulatory sanctions, and opportunistic managerial concealment, matching the empirical conclusions of Khuong et al. (2020), </w:t>
      </w:r>
      <w:proofErr w:type="spellStart"/>
      <w:r>
        <w:rPr>
          <w:rFonts w:ascii="Times New Roman" w:hAnsi="Times New Roman" w:cs="Times New Roman"/>
          <w:sz w:val="24"/>
          <w:szCs w:val="24"/>
        </w:rPr>
        <w:t>Bougacha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Guedrib</w:t>
      </w:r>
      <w:proofErr w:type="spellEnd"/>
      <w:r>
        <w:rPr>
          <w:rFonts w:ascii="Times New Roman" w:hAnsi="Times New Roman" w:cs="Times New Roman"/>
          <w:sz w:val="24"/>
          <w:szCs w:val="24"/>
        </w:rPr>
        <w:t xml:space="preserve"> (2024), and </w:t>
      </w:r>
      <w:proofErr w:type="spellStart"/>
      <w:r>
        <w:rPr>
          <w:rFonts w:ascii="Times New Roman" w:hAnsi="Times New Roman" w:cs="Times New Roman"/>
          <w:sz w:val="24"/>
          <w:szCs w:val="24"/>
        </w:rPr>
        <w:t>Shubita</w:t>
      </w:r>
      <w:proofErr w:type="spellEnd"/>
      <w:r>
        <w:rPr>
          <w:rFonts w:ascii="Times New Roman" w:hAnsi="Times New Roman" w:cs="Times New Roman"/>
          <w:sz w:val="24"/>
          <w:szCs w:val="24"/>
        </w:rPr>
        <w:t xml:space="preserve"> (2024). Conversely, the Tax Savings Ratio (TSR) has a positive and statistically significant impact on market performance (</w:t>
      </w:r>
      <w:r>
        <w:rPr>
          <w:rStyle w:val="math-inline"/>
          <w:rFonts w:ascii="Times New Roman" w:hAnsi="Times New Roman" w:cs="Times New Roman"/>
          <w:sz w:val="24"/>
          <w:szCs w:val="24"/>
        </w:rPr>
        <w:t>p = 0.013</w:t>
      </w:r>
      <w:r>
        <w:rPr>
          <w:rFonts w:ascii="Times New Roman" w:hAnsi="Times New Roman" w:cs="Times New Roman"/>
          <w:sz w:val="24"/>
          <w:szCs w:val="24"/>
        </w:rPr>
        <w:t xml:space="preserve">), demonstrating that a systematic increase in realized tax savings improves Tobin's Q. Interpreted through </w:t>
      </w:r>
      <w:proofErr w:type="spellStart"/>
      <w:r>
        <w:rPr>
          <w:rFonts w:ascii="Times New Roman" w:hAnsi="Times New Roman" w:cs="Times New Roman"/>
          <w:sz w:val="24"/>
          <w:szCs w:val="24"/>
        </w:rPr>
        <w:t>Signalling</w:t>
      </w:r>
      <w:proofErr w:type="spellEnd"/>
      <w:r>
        <w:rPr>
          <w:rFonts w:ascii="Times New Roman" w:hAnsi="Times New Roman" w:cs="Times New Roman"/>
          <w:sz w:val="24"/>
          <w:szCs w:val="24"/>
        </w:rPr>
        <w:t xml:space="preserve"> Theory (Spence, 1973), this positive effect shows that efficient, legitimate fiscal planning signals strong corporate oversight and frees up cash flows to strengthen insurance capital requirements, which boosts investor confidence as documented by Taufik et al. (2022) and </w:t>
      </w:r>
      <w:proofErr w:type="spellStart"/>
      <w:r>
        <w:rPr>
          <w:rFonts w:ascii="Times New Roman" w:hAnsi="Times New Roman" w:cs="Times New Roman"/>
          <w:sz w:val="24"/>
          <w:szCs w:val="24"/>
        </w:rPr>
        <w:t>Indawati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Rizkiyani</w:t>
      </w:r>
      <w:proofErr w:type="spellEnd"/>
      <w:r>
        <w:rPr>
          <w:rFonts w:ascii="Times New Roman" w:hAnsi="Times New Roman" w:cs="Times New Roman"/>
          <w:sz w:val="24"/>
          <w:szCs w:val="24"/>
        </w:rPr>
        <w:t xml:space="preserve"> (2025).</w:t>
      </w:r>
    </w:p>
    <w:p w14:paraId="00B7605F" w14:textId="77777777" w:rsidR="00A57A87" w:rsidRPr="00A57A87" w:rsidRDefault="0020015B" w:rsidP="00A57A8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hAnsi="Times New Roman" w:cs="Times New Roman"/>
          <w:b/>
          <w:sz w:val="24"/>
          <w:szCs w:val="24"/>
        </w:rPr>
        <w:t>5.0</w:t>
      </w:r>
      <w:r>
        <w:rPr>
          <w:rFonts w:ascii="Times New Roman" w:hAnsi="Times New Roman" w:cs="Times New Roman"/>
          <w:b/>
          <w:sz w:val="24"/>
          <w:szCs w:val="24"/>
        </w:rPr>
        <w:tab/>
        <w:t xml:space="preserve"> </w:t>
      </w:r>
      <w:r w:rsidR="00A57A87" w:rsidRPr="00A57A87">
        <w:rPr>
          <w:rFonts w:ascii="Times New Roman" w:eastAsia="Times New Roman" w:hAnsi="Times New Roman" w:cs="Times New Roman"/>
          <w:b/>
          <w:bCs/>
          <w:kern w:val="0"/>
          <w:sz w:val="27"/>
          <w:szCs w:val="27"/>
          <w14:ligatures w14:val="none"/>
        </w:rPr>
        <w:t>Conclusion</w:t>
      </w:r>
    </w:p>
    <w:p w14:paraId="15F8D9A8" w14:textId="77777777" w:rsidR="00A57A87" w:rsidRPr="00A57A87" w:rsidRDefault="00A57A87" w:rsidP="00A57A8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57A87">
        <w:rPr>
          <w:rFonts w:ascii="Times New Roman" w:eastAsia="Times New Roman" w:hAnsi="Times New Roman" w:cs="Times New Roman"/>
          <w:kern w:val="0"/>
          <w:sz w:val="24"/>
          <w:szCs w:val="24"/>
          <w14:ligatures w14:val="none"/>
        </w:rPr>
        <w:t>The study assessed the relationship between tax aggressiveness and market performance among listed insurance companies in Nigeria. The findings indicate that tax aggressiveness has mixed implications for market valuation. Book-tax difference showed a negative significant effect on Tobin’s Q, suggesting that large differences between accounting profit and taxable income may raise investor concerns about reporting transparency, governance risk, and potential regulatory exposure. In contrast, tax savings ratio had a positive significant effect on Tobin’s Q, implying that tax planning perceived as transparent and cash-efficient may support firm valuation. However, the market value per share results were less consistent, with tax savings ratio showing a negative significant effect while other tax aggressiveness indicators were not significant. These results suggest that the capital market may distinguish between opaque tax aggressiveness and legitimate tax-efficiency strategies. The findings should be interpreted cautiously because of data inconsistencies, low explanatory power, and the need for further robustness checks.</w:t>
      </w:r>
    </w:p>
    <w:p w14:paraId="06C2BDE7" w14:textId="77777777" w:rsidR="00A57A87" w:rsidRPr="00A57A87" w:rsidRDefault="00A57A87" w:rsidP="00A57A8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57A87">
        <w:rPr>
          <w:rFonts w:ascii="Times New Roman" w:eastAsia="Times New Roman" w:hAnsi="Times New Roman" w:cs="Times New Roman"/>
          <w:b/>
          <w:bCs/>
          <w:kern w:val="0"/>
          <w:sz w:val="27"/>
          <w:szCs w:val="27"/>
          <w14:ligatures w14:val="none"/>
        </w:rPr>
        <w:t>Limitation</w:t>
      </w:r>
    </w:p>
    <w:p w14:paraId="77FC0AEA" w14:textId="77777777" w:rsidR="00A57A87" w:rsidRPr="00A57A87" w:rsidRDefault="00A57A87" w:rsidP="00A57A8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57A87">
        <w:rPr>
          <w:rFonts w:ascii="Times New Roman" w:eastAsia="Times New Roman" w:hAnsi="Times New Roman" w:cs="Times New Roman"/>
          <w:kern w:val="0"/>
          <w:sz w:val="24"/>
          <w:szCs w:val="24"/>
          <w14:ligatures w14:val="none"/>
        </w:rPr>
        <w:lastRenderedPageBreak/>
        <w:t>This study is limited by inconsistencies in the reported number of observations, which require verification before final interpretation. The tax aggressiveness measures, especially the tax savings ratio, contain extreme values that may reflect scaling, denominator, or outlier problems. The study relies on secondary financial statement data and market data, whose accuracy depends on company reporting quality. The models show low explanatory power, indicating that other firm-specific, governance, and macroeconomic factors may influence market performance. The study also requires clearer justification for the choice of pooled OLS and fixed-effects models. Future studies should use verified data and robustness tests.</w:t>
      </w:r>
    </w:p>
    <w:p w14:paraId="51ADD74F" w14:textId="77777777" w:rsidR="00A57A87" w:rsidRPr="00A57A87" w:rsidRDefault="00A57A87" w:rsidP="00A57A87">
      <w:pPr>
        <w:spacing w:after="0" w:line="240" w:lineRule="auto"/>
        <w:rPr>
          <w:rFonts w:ascii="Times New Roman" w:eastAsia="Calibri" w:hAnsi="Times New Roman" w:cs="Times New Roman"/>
          <w:b/>
          <w:kern w:val="0"/>
          <w14:ligatures w14:val="none"/>
        </w:rPr>
      </w:pPr>
      <w:r w:rsidRPr="00A57A87">
        <w:rPr>
          <w:rFonts w:ascii="Times New Roman" w:eastAsia="Calibri" w:hAnsi="Times New Roman" w:cs="Times New Roman"/>
          <w:b/>
          <w:kern w:val="0"/>
          <w14:ligatures w14:val="none"/>
        </w:rPr>
        <w:t>Declaration of AI Use</w:t>
      </w:r>
    </w:p>
    <w:p w14:paraId="1529DFEC" w14:textId="77777777" w:rsidR="00A57A87" w:rsidRPr="00A57A87" w:rsidRDefault="00A57A87" w:rsidP="00A57A87">
      <w:pPr>
        <w:spacing w:after="0" w:line="240" w:lineRule="auto"/>
        <w:rPr>
          <w:rFonts w:ascii="Times New Roman" w:eastAsia="Calibri" w:hAnsi="Times New Roman" w:cs="Times New Roman"/>
          <w:kern w:val="0"/>
          <w14:ligatures w14:val="none"/>
        </w:rPr>
      </w:pPr>
    </w:p>
    <w:p w14:paraId="02801BA2" w14:textId="77777777" w:rsidR="00A57A87" w:rsidRPr="00A57A87" w:rsidRDefault="00A57A87" w:rsidP="00A57A87">
      <w:pPr>
        <w:spacing w:after="0" w:line="240" w:lineRule="auto"/>
        <w:jc w:val="both"/>
        <w:rPr>
          <w:rFonts w:ascii="Times New Roman" w:eastAsia="Calibri" w:hAnsi="Times New Roman" w:cs="Times New Roman"/>
          <w:kern w:val="0"/>
          <w14:ligatures w14:val="none"/>
        </w:rPr>
      </w:pPr>
      <w:r w:rsidRPr="00A57A87">
        <w:rPr>
          <w:rFonts w:ascii="Times New Roman" w:eastAsia="Calibri" w:hAnsi="Times New Roman" w:cs="Times New Roman"/>
          <w:kern w:val="0"/>
          <w14:ligatures w14:val="none"/>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7A20130" w14:textId="1B3B99D9" w:rsidR="008D5DCB" w:rsidRDefault="008D5DCB" w:rsidP="00A57A87">
      <w:pPr>
        <w:spacing w:line="240" w:lineRule="auto"/>
        <w:jc w:val="both"/>
        <w:rPr>
          <w:rFonts w:ascii="Times New Roman" w:hAnsi="Times New Roman" w:cs="Times New Roman"/>
          <w:b/>
          <w:sz w:val="24"/>
          <w:szCs w:val="24"/>
        </w:rPr>
      </w:pPr>
    </w:p>
    <w:p w14:paraId="2D146043" w14:textId="77777777" w:rsidR="008D5DCB" w:rsidRDefault="0020015B">
      <w:pPr>
        <w:spacing w:line="240" w:lineRule="auto"/>
        <w:rPr>
          <w:rFonts w:ascii="Times New Roman" w:hAnsi="Times New Roman" w:cs="Times New Roman"/>
          <w:b/>
          <w:sz w:val="24"/>
          <w:szCs w:val="24"/>
        </w:rPr>
      </w:pPr>
      <w:r>
        <w:rPr>
          <w:rFonts w:ascii="Times New Roman" w:hAnsi="Times New Roman" w:cs="Times New Roman"/>
          <w:b/>
          <w:sz w:val="24"/>
          <w:szCs w:val="24"/>
        </w:rPr>
        <w:t>5.1</w:t>
      </w:r>
      <w:r>
        <w:rPr>
          <w:rFonts w:ascii="Times New Roman" w:hAnsi="Times New Roman" w:cs="Times New Roman"/>
          <w:b/>
          <w:sz w:val="24"/>
          <w:szCs w:val="24"/>
        </w:rPr>
        <w:tab/>
        <w:t xml:space="preserve"> Recommendations</w:t>
      </w:r>
    </w:p>
    <w:p w14:paraId="01BDAB4F" w14:textId="77777777" w:rsidR="008D5DCB" w:rsidRDefault="002001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line with the objective and conclusions of this study, the following policy and corporate recommendations are provided:</w:t>
      </w:r>
    </w:p>
    <w:p w14:paraId="64619551" w14:textId="77777777" w:rsidR="008D5DCB" w:rsidRDefault="0020015B">
      <w:pPr>
        <w:spacing w:line="240" w:lineRule="auto"/>
        <w:jc w:val="both"/>
        <w:rPr>
          <w:rFonts w:ascii="Times New Roman" w:hAnsi="Times New Roman" w:cs="Times New Roman"/>
          <w:sz w:val="24"/>
          <w:szCs w:val="24"/>
        </w:rPr>
      </w:pPr>
      <w:r>
        <w:rPr>
          <w:rFonts w:ascii="Times New Roman" w:hAnsi="Times New Roman" w:cs="Times New Roman"/>
          <w:bCs/>
          <w:sz w:val="24"/>
          <w:szCs w:val="24"/>
        </w:rPr>
        <w:t>To Corporate Managers and Boards of Directors:</w:t>
      </w:r>
      <w:r>
        <w:rPr>
          <w:rFonts w:ascii="Times New Roman" w:hAnsi="Times New Roman" w:cs="Times New Roman"/>
          <w:sz w:val="24"/>
          <w:szCs w:val="24"/>
        </w:rPr>
        <w:t xml:space="preserve"> Insurers should shift away from aggressive book-tax adjustments that artificially distort fiscal reporting, and instead focus on expanding transparent, legitimate tax planning frameworks that directly improve the Tax Savings Ratio. Corporate tax choices must be treated as critical market communication channels that require proactive disclosure to protect institutional legitimacy and maintain investor trust. </w:t>
      </w:r>
      <w:r>
        <w:rPr>
          <w:rFonts w:ascii="Times New Roman" w:hAnsi="Times New Roman" w:cs="Times New Roman"/>
          <w:bCs/>
          <w:sz w:val="24"/>
          <w:szCs w:val="24"/>
        </w:rPr>
        <w:t>To Regulatory Authorities (NAICOM and FIRS):</w:t>
      </w:r>
      <w:r>
        <w:rPr>
          <w:rFonts w:ascii="Times New Roman" w:hAnsi="Times New Roman" w:cs="Times New Roman"/>
          <w:sz w:val="24"/>
          <w:szCs w:val="24"/>
        </w:rPr>
        <w:t xml:space="preserve"> The National Insurance Commission (NAICOM) and the Federal Inland Revenue Service (FIRS) should collaboratively establish unified, highly transparent tax reporting templates for financial institutions. This structural alignment will minimize unnecessary variances between financial and fiscal accounting, reducing the information asymmetry that routinely triggers market penalties and erodes shareholder wealth during industry consolidation.</w:t>
      </w:r>
    </w:p>
    <w:p w14:paraId="0EAA374C" w14:textId="77777777" w:rsidR="008D5DCB" w:rsidRDefault="0020015B">
      <w:pPr>
        <w:spacing w:after="0" w:line="240" w:lineRule="auto"/>
        <w:ind w:left="720" w:hanging="720"/>
        <w:jc w:val="center"/>
        <w:rPr>
          <w:rStyle w:val="c-bibliographic-informationvalue"/>
          <w:rFonts w:ascii="Times New Roman" w:hAnsi="Times New Roman" w:cs="Times New Roman"/>
          <w:sz w:val="24"/>
          <w:szCs w:val="24"/>
        </w:rPr>
      </w:pPr>
      <w:r>
        <w:rPr>
          <w:rStyle w:val="c-bibliographic-informationvalue"/>
          <w:rFonts w:ascii="Times New Roman" w:hAnsi="Times New Roman" w:cs="Times New Roman"/>
          <w:sz w:val="24"/>
          <w:szCs w:val="24"/>
        </w:rPr>
        <w:t>References</w:t>
      </w:r>
    </w:p>
    <w:p w14:paraId="3318142F" w14:textId="77777777" w:rsidR="008D5DCB" w:rsidRDefault="0020015B">
      <w:pPr>
        <w:spacing w:after="0" w:line="240" w:lineRule="auto"/>
        <w:ind w:left="720" w:hanging="720"/>
        <w:rPr>
          <w:rStyle w:val="c-bibliographic-informationvalue"/>
          <w:rFonts w:ascii="Times New Roman" w:hAnsi="Times New Roman" w:cs="Times New Roman"/>
          <w:sz w:val="24"/>
          <w:szCs w:val="24"/>
        </w:rPr>
      </w:pPr>
      <w:r>
        <w:rPr>
          <w:rStyle w:val="c-bibliographic-informationvalue"/>
          <w:rFonts w:ascii="Times New Roman" w:hAnsi="Times New Roman" w:cs="Times New Roman"/>
          <w:sz w:val="24"/>
          <w:szCs w:val="24"/>
        </w:rPr>
        <w:t>Abata, M., &amp; Olamide, T. (2023). Corporate governance and firm performance in emerging economies: A focus on Nigeria. Journal of Financial Studies, 15(3), 78-95.</w:t>
      </w:r>
    </w:p>
    <w:p w14:paraId="3DCB240B"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Abdullah, Hashmi, M. A., Mateen, A., Badshah, Y. A., &amp; Iqbal, M. S. (2022). Does tax aggressiveness and cost of debt affect firm performance? The moderating role of political connections. Cogent Economics &amp; Finance, 10(1), 2132645. </w:t>
      </w:r>
      <w:hyperlink r:id="rId8" w:history="1">
        <w:r>
          <w:rPr>
            <w:rStyle w:val="c-bibliographic-informationvalue"/>
          </w:rPr>
          <w:t>https://doi.org/10.1080/23322039.2022.2132645</w:t>
        </w:r>
      </w:hyperlink>
    </w:p>
    <w:p w14:paraId="35329316"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Adegbite, T. A. (2025). </w:t>
      </w:r>
      <w:r>
        <w:rPr>
          <w:rStyle w:val="c-bibliographic-informationvalue"/>
          <w:rFonts w:eastAsiaTheme="majorEastAsia"/>
        </w:rPr>
        <w:t>Audit quality and tax aggressiveness: Financial service companies overview.</w:t>
      </w:r>
      <w:r>
        <w:rPr>
          <w:rStyle w:val="c-bibliographic-informationvalue"/>
        </w:rPr>
        <w:t xml:space="preserve"> </w:t>
      </w:r>
      <w:proofErr w:type="spellStart"/>
      <w:r>
        <w:rPr>
          <w:rStyle w:val="c-bibliographic-informationvalue"/>
          <w:rFonts w:eastAsiaTheme="majorEastAsia"/>
        </w:rPr>
        <w:t>Jurnal</w:t>
      </w:r>
      <w:proofErr w:type="spellEnd"/>
      <w:r>
        <w:rPr>
          <w:rStyle w:val="c-bibliographic-informationvalue"/>
          <w:rFonts w:eastAsiaTheme="majorEastAsia"/>
        </w:rPr>
        <w:t xml:space="preserve"> </w:t>
      </w:r>
      <w:proofErr w:type="spellStart"/>
      <w:r>
        <w:rPr>
          <w:rStyle w:val="c-bibliographic-informationvalue"/>
          <w:rFonts w:eastAsiaTheme="majorEastAsia"/>
        </w:rPr>
        <w:t>Akuntansi</w:t>
      </w:r>
      <w:proofErr w:type="spellEnd"/>
      <w:r>
        <w:rPr>
          <w:rStyle w:val="c-bibliographic-informationvalue"/>
          <w:rFonts w:eastAsiaTheme="majorEastAsia"/>
        </w:rPr>
        <w:t>, 17</w:t>
      </w:r>
      <w:r>
        <w:rPr>
          <w:rStyle w:val="c-bibliographic-informationvalue"/>
        </w:rPr>
        <w:t xml:space="preserve">(1), 15–35. </w:t>
      </w:r>
      <w:hyperlink r:id="rId9" w:tgtFrame="_new" w:history="1">
        <w:r>
          <w:rPr>
            <w:rStyle w:val="c-bibliographic-informationvalue"/>
            <w:rFonts w:eastAsiaTheme="majorEastAsia"/>
          </w:rPr>
          <w:t>https://doi.org/10.28932/jam.v17i1.11219</w:t>
        </w:r>
      </w:hyperlink>
    </w:p>
    <w:p w14:paraId="70418BB4" w14:textId="77777777" w:rsidR="008D5DCB" w:rsidRDefault="0020015B">
      <w:pPr>
        <w:pStyle w:val="whitespace-normal"/>
        <w:spacing w:before="0" w:beforeAutospacing="0"/>
        <w:ind w:left="720" w:hanging="720"/>
        <w:jc w:val="both"/>
        <w:rPr>
          <w:rStyle w:val="c-bibliographic-informationvalue"/>
        </w:rPr>
      </w:pPr>
      <w:r>
        <w:rPr>
          <w:rStyle w:val="c-bibliographic-informationvalue"/>
        </w:rPr>
        <w:t xml:space="preserve">Adem, M., &amp; Dsouza, P. K. (2024). Impact of board characteristics on firm performance: Evidence from Ethiopian microfinance institutions. </w:t>
      </w:r>
      <w:r>
        <w:rPr>
          <w:rStyle w:val="c-bibliographic-informationvalue"/>
          <w:rFonts w:eastAsiaTheme="majorEastAsia"/>
        </w:rPr>
        <w:t>Global Business Review</w:t>
      </w:r>
      <w:r>
        <w:rPr>
          <w:rStyle w:val="c-bibliographic-informationvalue"/>
        </w:rPr>
        <w:t xml:space="preserve">. </w:t>
      </w:r>
      <w:hyperlink r:id="rId10" w:history="1">
        <w:r>
          <w:rPr>
            <w:rStyle w:val="c-bibliographic-informationvalue"/>
            <w:rFonts w:eastAsiaTheme="majorEastAsia"/>
          </w:rPr>
          <w:t>https://doi.org/10.1177/09721509241276957</w:t>
        </w:r>
      </w:hyperlink>
    </w:p>
    <w:p w14:paraId="1D997AFE" w14:textId="77777777" w:rsidR="008D5DCB" w:rsidRDefault="0020015B">
      <w:pPr>
        <w:pStyle w:val="whitespace-normal"/>
        <w:spacing w:before="0" w:beforeAutospacing="0"/>
        <w:ind w:left="720" w:hanging="720"/>
        <w:jc w:val="both"/>
        <w:rPr>
          <w:rStyle w:val="c-bibliographic-informationvalue"/>
        </w:rPr>
      </w:pPr>
      <w:r>
        <w:rPr>
          <w:rStyle w:val="c-bibliographic-informationvalue"/>
        </w:rPr>
        <w:lastRenderedPageBreak/>
        <w:t xml:space="preserve">Aguilera, R. V., Aragón-Correa, J. A., Marano, V., &amp; Tashman, P. A. (2021). The corporate governance of environmental sustainability: A review and proposal for more integrated research. </w:t>
      </w:r>
      <w:r>
        <w:rPr>
          <w:rStyle w:val="c-bibliographic-informationvalue"/>
          <w:rFonts w:eastAsiaTheme="majorEastAsia"/>
        </w:rPr>
        <w:t>Journal of Management</w:t>
      </w:r>
      <w:r>
        <w:rPr>
          <w:rStyle w:val="c-bibliographic-informationvalue"/>
        </w:rPr>
        <w:t xml:space="preserve">, </w:t>
      </w:r>
      <w:r>
        <w:rPr>
          <w:rStyle w:val="c-bibliographic-informationvalue"/>
          <w:rFonts w:eastAsiaTheme="majorEastAsia"/>
        </w:rPr>
        <w:t>47</w:t>
      </w:r>
      <w:r>
        <w:rPr>
          <w:rStyle w:val="c-bibliographic-informationvalue"/>
        </w:rPr>
        <w:t xml:space="preserve">(6), 1468–1497. </w:t>
      </w:r>
      <w:hyperlink r:id="rId11" w:history="1">
        <w:r>
          <w:rPr>
            <w:rStyle w:val="c-bibliographic-informationvalue"/>
            <w:rFonts w:eastAsiaTheme="majorEastAsia"/>
          </w:rPr>
          <w:t>https://doi.org/10.1177/0149206321991212</w:t>
        </w:r>
      </w:hyperlink>
    </w:p>
    <w:p w14:paraId="24102CD4"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Akinyemi, O., &amp; Alaka, S. (2023). Stakeholder engagement and market performance in Nigerian firms: An empirical investigation. Journal of Corporate Governance, 18(2), 45-60.</w:t>
      </w:r>
    </w:p>
    <w:p w14:paraId="1B949098" w14:textId="77777777" w:rsidR="008D5DCB" w:rsidRDefault="0020015B">
      <w:pPr>
        <w:pStyle w:val="NormalWeb"/>
        <w:spacing w:before="0" w:beforeAutospacing="0" w:after="240" w:afterAutospacing="0"/>
        <w:ind w:left="720" w:hanging="720"/>
        <w:jc w:val="both"/>
        <w:rPr>
          <w:rStyle w:val="c-bibliographic-informationvalue"/>
        </w:rPr>
      </w:pPr>
      <w:proofErr w:type="spellStart"/>
      <w:r>
        <w:rPr>
          <w:rStyle w:val="c-bibliographic-informationvalue"/>
        </w:rPr>
        <w:t>Alduneibat</w:t>
      </w:r>
      <w:proofErr w:type="spellEnd"/>
      <w:r>
        <w:rPr>
          <w:rStyle w:val="c-bibliographic-informationvalue"/>
        </w:rPr>
        <w:t xml:space="preserve">, K. A. (2023). The effect of risk management committee characteristics on a company’s performance in an emerging country. </w:t>
      </w:r>
      <w:r>
        <w:rPr>
          <w:rStyle w:val="c-bibliographic-informationvalue"/>
          <w:rFonts w:eastAsiaTheme="majorEastAsia"/>
        </w:rPr>
        <w:t>Journal of Governance &amp; Regulation, 12</w:t>
      </w:r>
      <w:r>
        <w:rPr>
          <w:rStyle w:val="c-bibliographic-informationvalue"/>
        </w:rPr>
        <w:t>(1), 376-386.</w:t>
      </w:r>
    </w:p>
    <w:p w14:paraId="2D7BC6F3"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Amri, K., Ben Mrad Douagi, F. W., &amp; </w:t>
      </w:r>
      <w:proofErr w:type="spellStart"/>
      <w:r>
        <w:rPr>
          <w:rStyle w:val="c-bibliographic-informationvalue"/>
        </w:rPr>
        <w:t>Guedrib</w:t>
      </w:r>
      <w:proofErr w:type="spellEnd"/>
      <w:r>
        <w:rPr>
          <w:rStyle w:val="c-bibliographic-informationvalue"/>
        </w:rPr>
        <w:t xml:space="preserve">, M. (2023). The impact of internal and external corporate governance mechanisms on tax aggressiveness: Evidence from Tunisia. Journal of Accounting in Emerging Economies, 13(1), 43-68. </w:t>
      </w:r>
      <w:hyperlink r:id="rId12" w:history="1">
        <w:r>
          <w:rPr>
            <w:rStyle w:val="c-bibliographic-informationvalue"/>
          </w:rPr>
          <w:t>https://doi.org/10.1108/JAEE-01-2021-0019</w:t>
        </w:r>
      </w:hyperlink>
    </w:p>
    <w:p w14:paraId="008C26CE" w14:textId="77777777" w:rsidR="008D5DCB" w:rsidRDefault="0020015B">
      <w:pPr>
        <w:pStyle w:val="NormalWeb"/>
        <w:spacing w:before="0" w:beforeAutospacing="0" w:after="160" w:afterAutospacing="0"/>
        <w:ind w:left="720" w:hanging="720"/>
        <w:jc w:val="both"/>
        <w:rPr>
          <w:rStyle w:val="c-bibliographic-informationvalue"/>
        </w:rPr>
      </w:pPr>
      <w:proofErr w:type="spellStart"/>
      <w:r>
        <w:rPr>
          <w:rStyle w:val="c-bibliographic-informationvalue"/>
        </w:rPr>
        <w:t>Apriyanti</w:t>
      </w:r>
      <w:proofErr w:type="spellEnd"/>
      <w:r>
        <w:rPr>
          <w:rStyle w:val="c-bibliographic-informationvalue"/>
        </w:rPr>
        <w:t xml:space="preserve">, H. W., &amp; Arifin, M. (2021). Tax aggressiveness determinants. Journal of Islami Accounting and Finance Research–Vol, 3(1), 24-52. </w:t>
      </w:r>
      <w:hyperlink r:id="rId13" w:history="1">
        <w:r>
          <w:rPr>
            <w:rStyle w:val="c-bibliographic-informationvalue"/>
          </w:rPr>
          <w:t>https://dx.doi.org/10.21580/jiafr.2021.3.1.7412</w:t>
        </w:r>
      </w:hyperlink>
    </w:p>
    <w:p w14:paraId="1BB96E1A"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Aryan, L. I. A. (2023). The impact of tax aggressiveness and gender diversity on the corporate social responsibilities of listed firm in Jordan. International Journal of Professional Business Review: Int. J. Prof. Bus. Rev., 8(4), 1.</w:t>
      </w:r>
    </w:p>
    <w:p w14:paraId="33C196F1"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Audi, M., Poulin, M., Ahmad, K., &amp; Ali, A. (2025). Quantile analysis of oil price shocks and stock market performance: A European perspective. </w:t>
      </w:r>
      <w:r>
        <w:rPr>
          <w:rStyle w:val="c-bibliographic-informationvalue"/>
          <w:rFonts w:eastAsiaTheme="majorEastAsia"/>
        </w:rPr>
        <w:t xml:space="preserve">Munich Personal </w:t>
      </w:r>
      <w:proofErr w:type="spellStart"/>
      <w:r>
        <w:rPr>
          <w:rStyle w:val="c-bibliographic-informationvalue"/>
          <w:rFonts w:eastAsiaTheme="majorEastAsia"/>
        </w:rPr>
        <w:t>RePEc</w:t>
      </w:r>
      <w:proofErr w:type="spellEnd"/>
      <w:r>
        <w:rPr>
          <w:rStyle w:val="c-bibliographic-informationvalue"/>
          <w:rFonts w:eastAsiaTheme="majorEastAsia"/>
        </w:rPr>
        <w:t xml:space="preserve"> Archive</w:t>
      </w:r>
      <w:r>
        <w:rPr>
          <w:rStyle w:val="c-bibliographic-informationvalue"/>
        </w:rPr>
        <w:t xml:space="preserve">, 1–20. </w:t>
      </w:r>
      <w:hyperlink r:id="rId14" w:tgtFrame="_new" w:history="1">
        <w:r>
          <w:rPr>
            <w:rStyle w:val="c-bibliographic-informationvalue"/>
            <w:rFonts w:eastAsiaTheme="majorEastAsia"/>
          </w:rPr>
          <w:t>https://mpra.ub.uni-muenchen.de/124295/</w:t>
        </w:r>
      </w:hyperlink>
    </w:p>
    <w:p w14:paraId="24C86312" w14:textId="77777777" w:rsidR="008D5DCB" w:rsidRDefault="0020015B">
      <w:pPr>
        <w:pStyle w:val="Default"/>
        <w:spacing w:after="160"/>
        <w:ind w:left="720" w:hanging="720"/>
        <w:jc w:val="both"/>
        <w:rPr>
          <w:rStyle w:val="c-bibliographic-informationvalue"/>
        </w:rPr>
      </w:pPr>
      <w:proofErr w:type="spellStart"/>
      <w:r>
        <w:rPr>
          <w:rStyle w:val="c-bibliographic-informationvalue"/>
        </w:rPr>
        <w:t>Awotomilusi</w:t>
      </w:r>
      <w:proofErr w:type="spellEnd"/>
      <w:r>
        <w:rPr>
          <w:rStyle w:val="c-bibliographic-informationvalue"/>
        </w:rPr>
        <w:t xml:space="preserve">, N. S., </w:t>
      </w:r>
      <w:proofErr w:type="spellStart"/>
      <w:r>
        <w:rPr>
          <w:rStyle w:val="c-bibliographic-informationvalue"/>
        </w:rPr>
        <w:t>Ajoloko</w:t>
      </w:r>
      <w:proofErr w:type="spellEnd"/>
      <w:r>
        <w:rPr>
          <w:rStyle w:val="c-bibliographic-informationvalue"/>
        </w:rPr>
        <w:t xml:space="preserve">, O. M., Saka, B. F., Adeniran, T. E., </w:t>
      </w:r>
      <w:proofErr w:type="spellStart"/>
      <w:r>
        <w:rPr>
          <w:rStyle w:val="c-bibliographic-informationvalue"/>
        </w:rPr>
        <w:t>Owonifari</w:t>
      </w:r>
      <w:proofErr w:type="spellEnd"/>
      <w:r>
        <w:rPr>
          <w:rStyle w:val="c-bibliographic-informationvalue"/>
        </w:rPr>
        <w:t xml:space="preserve">, V. O., &amp; </w:t>
      </w:r>
      <w:proofErr w:type="spellStart"/>
      <w:r>
        <w:rPr>
          <w:rStyle w:val="c-bibliographic-informationvalue"/>
        </w:rPr>
        <w:t>Dagunduro</w:t>
      </w:r>
      <w:proofErr w:type="spellEnd"/>
      <w:r>
        <w:rPr>
          <w:rStyle w:val="c-bibliographic-informationvalue"/>
        </w:rPr>
        <w:t xml:space="preserve">, M. E. (2025). Risk management committee attributes and market performance of listed insurance firms in Nigeria. International Journal of Economics and Financial Issues, 15(3), 29–41. </w:t>
      </w:r>
      <w:hyperlink r:id="rId15" w:tgtFrame="_new" w:history="1">
        <w:r>
          <w:rPr>
            <w:rStyle w:val="c-bibliographic-informationvalue"/>
          </w:rPr>
          <w:t>https://doi.org/10.32479/ijefi.17643</w:t>
        </w:r>
      </w:hyperlink>
    </w:p>
    <w:p w14:paraId="368D7E9F" w14:textId="77777777" w:rsidR="008D5DCB" w:rsidRDefault="0020015B">
      <w:pPr>
        <w:ind w:left="720" w:hanging="720"/>
        <w:jc w:val="both"/>
        <w:rPr>
          <w:rStyle w:val="c-bibliographic-informationvalue"/>
        </w:rPr>
      </w:pPr>
      <w:proofErr w:type="spellStart"/>
      <w:r>
        <w:rPr>
          <w:rStyle w:val="c-bibliographic-informationvalue"/>
        </w:rPr>
        <w:t>Bamisaye</w:t>
      </w:r>
      <w:proofErr w:type="spellEnd"/>
      <w:r>
        <w:rPr>
          <w:rStyle w:val="c-bibliographic-informationvalue"/>
        </w:rPr>
        <w:t xml:space="preserve"> T. O., Owoeye T. O &amp; Awe S.O (2025). Financial cash flow management and firm performance: Evidence from Nigeria listed companies. FUDMA Journal of Business Management 3(2) 49-70 </w:t>
      </w:r>
    </w:p>
    <w:p w14:paraId="6D3F6A1F"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Bas, M., &amp; Paunov, C. (2025). Riders on the storm: How do firms navigate production and market conditions amid El Niño? </w:t>
      </w:r>
      <w:r>
        <w:rPr>
          <w:rStyle w:val="c-bibliographic-informationvalue"/>
          <w:rFonts w:eastAsiaTheme="majorEastAsia"/>
        </w:rPr>
        <w:t>Journal of Development Economics, 172</w:t>
      </w:r>
      <w:r>
        <w:rPr>
          <w:rStyle w:val="c-bibliographic-informationvalue"/>
        </w:rPr>
        <w:t>, 103374.</w:t>
      </w:r>
    </w:p>
    <w:p w14:paraId="34D70D04" w14:textId="77777777" w:rsidR="008D5DCB" w:rsidRDefault="0020015B">
      <w:pPr>
        <w:pStyle w:val="NormalWeb"/>
        <w:spacing w:before="0" w:beforeAutospacing="0" w:after="160" w:afterAutospacing="0"/>
        <w:ind w:left="720" w:hanging="720"/>
        <w:jc w:val="both"/>
        <w:rPr>
          <w:rStyle w:val="c-bibliographic-informationvalue"/>
        </w:rPr>
      </w:pPr>
      <w:proofErr w:type="spellStart"/>
      <w:r>
        <w:rPr>
          <w:rStyle w:val="c-bibliographic-informationvalue"/>
        </w:rPr>
        <w:t>Belahouaoui</w:t>
      </w:r>
      <w:proofErr w:type="spellEnd"/>
      <w:r>
        <w:rPr>
          <w:rStyle w:val="c-bibliographic-informationvalue"/>
        </w:rPr>
        <w:t xml:space="preserve">, R. (2025). Assessing the impact of internal governance mechanisms on the tax aggressiveness of listed companies in Morocco. Investment Management &amp; Financial Innovations, 22(2), 192. </w:t>
      </w:r>
      <w:hyperlink r:id="rId16" w:history="1">
        <w:r>
          <w:rPr>
            <w:rStyle w:val="c-bibliographic-informationvalue"/>
          </w:rPr>
          <w:t>http://dx.doi.org/10.21511/imfi.22(2).2025.16</w:t>
        </w:r>
      </w:hyperlink>
    </w:p>
    <w:p w14:paraId="391B1FB4" w14:textId="77777777" w:rsidR="008D5DCB" w:rsidRDefault="0020015B">
      <w:pPr>
        <w:pStyle w:val="NormalWeb"/>
        <w:spacing w:before="0" w:beforeAutospacing="0" w:after="160" w:afterAutospacing="0"/>
        <w:ind w:left="720" w:hanging="720"/>
        <w:jc w:val="both"/>
        <w:rPr>
          <w:rStyle w:val="c-bibliographic-informationvalue"/>
        </w:rPr>
      </w:pPr>
      <w:proofErr w:type="spellStart"/>
      <w:r>
        <w:rPr>
          <w:rStyle w:val="c-bibliographic-informationvalue"/>
        </w:rPr>
        <w:t>Bougacha</w:t>
      </w:r>
      <w:proofErr w:type="spellEnd"/>
      <w:r>
        <w:rPr>
          <w:rStyle w:val="c-bibliographic-informationvalue"/>
        </w:rPr>
        <w:t xml:space="preserve">, F., &amp; </w:t>
      </w:r>
      <w:proofErr w:type="spellStart"/>
      <w:r>
        <w:rPr>
          <w:rStyle w:val="c-bibliographic-informationvalue"/>
        </w:rPr>
        <w:t>Guedrib</w:t>
      </w:r>
      <w:proofErr w:type="spellEnd"/>
      <w:r>
        <w:rPr>
          <w:rStyle w:val="c-bibliographic-informationvalue"/>
        </w:rPr>
        <w:t>, M. (2024). Corporate tax avoidance and firm risk: What role does firm performance play? Accounting and Management Information Systems, 23(2), 381-411.</w:t>
      </w:r>
    </w:p>
    <w:p w14:paraId="609C20A5" w14:textId="77777777" w:rsidR="008D5DCB" w:rsidRDefault="0020015B">
      <w:pPr>
        <w:spacing w:after="240" w:line="240" w:lineRule="auto"/>
        <w:ind w:left="720" w:hanging="720"/>
        <w:jc w:val="both"/>
        <w:rPr>
          <w:rStyle w:val="c-bibliographic-informationvalue"/>
        </w:rPr>
      </w:pPr>
      <w:r>
        <w:rPr>
          <w:rStyle w:val="c-bibliographic-informationvalue"/>
        </w:rPr>
        <w:t xml:space="preserve">Connelly, B. L., Certo, S. T., Ireland, R. D., &amp; Reutzel, C. R. (2011). Signaling theory: A review and assessment. Journal of Management, 37(1), 39–67. </w:t>
      </w:r>
      <w:hyperlink r:id="rId17" w:history="1">
        <w:r>
          <w:rPr>
            <w:rStyle w:val="c-bibliographic-informationvalue"/>
          </w:rPr>
          <w:t>https://doi.org/10.1177/0149206310388419</w:t>
        </w:r>
      </w:hyperlink>
    </w:p>
    <w:p w14:paraId="609D3521" w14:textId="77777777" w:rsidR="008D5DCB" w:rsidRDefault="0020015B">
      <w:pPr>
        <w:pStyle w:val="Default"/>
        <w:spacing w:after="160"/>
        <w:ind w:left="720" w:hanging="720"/>
        <w:jc w:val="both"/>
        <w:rPr>
          <w:rStyle w:val="c-bibliographic-informationvalue"/>
        </w:rPr>
      </w:pPr>
      <w:bookmarkStart w:id="4" w:name="_Hlk211849448"/>
      <w:proofErr w:type="spellStart"/>
      <w:r>
        <w:rPr>
          <w:rStyle w:val="c-bibliographic-informationvalue"/>
        </w:rPr>
        <w:t>Dagunduro</w:t>
      </w:r>
      <w:proofErr w:type="spellEnd"/>
      <w:r>
        <w:rPr>
          <w:rStyle w:val="c-bibliographic-informationvalue"/>
        </w:rPr>
        <w:t xml:space="preserve">, M. E., Falana, G. A., </w:t>
      </w:r>
      <w:proofErr w:type="spellStart"/>
      <w:r>
        <w:rPr>
          <w:rStyle w:val="c-bibliographic-informationvalue"/>
        </w:rPr>
        <w:t>Omodara</w:t>
      </w:r>
      <w:proofErr w:type="spellEnd"/>
      <w:r>
        <w:rPr>
          <w:rStyle w:val="c-bibliographic-informationvalue"/>
        </w:rPr>
        <w:t xml:space="preserve">, O. V., Fagbomedo, B. I., Aluko, A. F., Olufemi, S. O., Ogunleye, A. W., &amp; Osaloni, B. O. (2025). Risk committee attributes, board </w:t>
      </w:r>
      <w:r>
        <w:rPr>
          <w:rStyle w:val="c-bibliographic-informationvalue"/>
        </w:rPr>
        <w:lastRenderedPageBreak/>
        <w:t xml:space="preserve">financial expertise, and the market performance of industrial goods firms in Nigeria. International Journal of Accounting and Economics Studies, 12(6), 570–579. </w:t>
      </w:r>
      <w:hyperlink r:id="rId18" w:tgtFrame="_new" w:history="1">
        <w:r>
          <w:rPr>
            <w:rStyle w:val="c-bibliographic-informationvalue"/>
          </w:rPr>
          <w:t>https://doi.org/10.14419/9yw50217</w:t>
        </w:r>
      </w:hyperlink>
    </w:p>
    <w:bookmarkEnd w:id="4"/>
    <w:p w14:paraId="0A0C0F01" w14:textId="77777777" w:rsidR="008D5DCB" w:rsidRDefault="0020015B">
      <w:pPr>
        <w:pStyle w:val="whitespace-normal"/>
        <w:spacing w:before="0" w:beforeAutospacing="0"/>
        <w:ind w:left="720" w:hanging="720"/>
        <w:jc w:val="both"/>
        <w:rPr>
          <w:rStyle w:val="c-bibliographic-informationvalue"/>
        </w:rPr>
      </w:pPr>
      <w:r>
        <w:rPr>
          <w:rStyle w:val="c-bibliographic-informationvalue"/>
        </w:rPr>
        <w:t xml:space="preserve">Das, S. K., Alam, S., Islam, M. J., Boby, F., &amp; Begum, R. (2024). Does board expertise impact firm performance? Evidence from an emerging economy. </w:t>
      </w:r>
      <w:r>
        <w:rPr>
          <w:rStyle w:val="c-bibliographic-informationvalue"/>
          <w:rFonts w:eastAsiaTheme="majorEastAsia"/>
        </w:rPr>
        <w:t>International Journal of Disclosure and Governance</w:t>
      </w:r>
      <w:r>
        <w:rPr>
          <w:rStyle w:val="c-bibliographic-informationvalue"/>
        </w:rPr>
        <w:t xml:space="preserve">. </w:t>
      </w:r>
      <w:hyperlink r:id="rId19" w:history="1">
        <w:r>
          <w:rPr>
            <w:rStyle w:val="c-bibliographic-informationvalue"/>
            <w:rFonts w:eastAsiaTheme="majorEastAsia"/>
          </w:rPr>
          <w:t>https://doi.org/10.1057/s41310-025-00289-0</w:t>
        </w:r>
      </w:hyperlink>
    </w:p>
    <w:p w14:paraId="0BA84EF1" w14:textId="77777777" w:rsidR="008D5DCB" w:rsidRDefault="0020015B">
      <w:pPr>
        <w:spacing w:after="240" w:line="240" w:lineRule="auto"/>
        <w:ind w:left="720" w:hanging="720"/>
        <w:jc w:val="both"/>
        <w:rPr>
          <w:rStyle w:val="c-bibliographic-informationvalue"/>
        </w:rPr>
      </w:pPr>
      <w:r>
        <w:rPr>
          <w:rStyle w:val="c-bibliographic-informationvalue"/>
        </w:rPr>
        <w:t xml:space="preserve">Ehrhart, K. H., &amp; Ziegert, J. C. (2005). Why are individuals attracted to organizations? Journal of Management, 31(6), 901–919. </w:t>
      </w:r>
      <w:hyperlink r:id="rId20" w:history="1">
        <w:r>
          <w:rPr>
            <w:rStyle w:val="c-bibliographic-informationvalue"/>
          </w:rPr>
          <w:t>https://doi.org/10.1177/0149206305279759</w:t>
        </w:r>
      </w:hyperlink>
    </w:p>
    <w:p w14:paraId="52E92228" w14:textId="77777777" w:rsidR="008D5DCB" w:rsidRDefault="0020015B">
      <w:pPr>
        <w:pStyle w:val="NormalWeb"/>
        <w:spacing w:before="0" w:beforeAutospacing="0" w:after="160" w:afterAutospacing="0"/>
        <w:ind w:left="720" w:hanging="720"/>
        <w:jc w:val="both"/>
        <w:rPr>
          <w:rStyle w:val="c-bibliographic-informationvalue"/>
        </w:rPr>
      </w:pPr>
      <w:proofErr w:type="spellStart"/>
      <w:r>
        <w:rPr>
          <w:rStyle w:val="c-bibliographic-informationvalue"/>
        </w:rPr>
        <w:t>Febrianto</w:t>
      </w:r>
      <w:proofErr w:type="spellEnd"/>
      <w:r>
        <w:rPr>
          <w:rStyle w:val="c-bibliographic-informationvalue"/>
        </w:rPr>
        <w:t xml:space="preserve">, H. G., </w:t>
      </w:r>
      <w:proofErr w:type="spellStart"/>
      <w:r>
        <w:rPr>
          <w:rStyle w:val="c-bibliographic-informationvalue"/>
        </w:rPr>
        <w:t>Pambudi</w:t>
      </w:r>
      <w:proofErr w:type="spellEnd"/>
      <w:r>
        <w:rPr>
          <w:rStyle w:val="c-bibliographic-informationvalue"/>
        </w:rPr>
        <w:t xml:space="preserve">, J. E., Sunaryo, D., Fitriana, A. I., &amp; </w:t>
      </w:r>
      <w:proofErr w:type="spellStart"/>
      <w:r>
        <w:rPr>
          <w:rStyle w:val="c-bibliographic-informationvalue"/>
        </w:rPr>
        <w:t>Dehavilan</w:t>
      </w:r>
      <w:proofErr w:type="spellEnd"/>
      <w:r>
        <w:rPr>
          <w:rStyle w:val="c-bibliographic-informationvalue"/>
        </w:rPr>
        <w:t xml:space="preserve">, S. (2025). Tax avoidance and green accounting in increasing firm value and </w:t>
      </w:r>
      <w:proofErr w:type="spellStart"/>
      <w:r>
        <w:rPr>
          <w:rStyle w:val="c-bibliographic-informationvalue"/>
        </w:rPr>
        <w:t>csr</w:t>
      </w:r>
      <w:proofErr w:type="spellEnd"/>
      <w:r>
        <w:rPr>
          <w:rStyle w:val="c-bibliographic-informationvalue"/>
        </w:rPr>
        <w:t xml:space="preserve"> practices in Indonesia. </w:t>
      </w:r>
      <w:proofErr w:type="spellStart"/>
      <w:r>
        <w:rPr>
          <w:rStyle w:val="c-bibliographic-informationvalue"/>
        </w:rPr>
        <w:t>Jurnal</w:t>
      </w:r>
      <w:proofErr w:type="spellEnd"/>
      <w:r>
        <w:rPr>
          <w:rStyle w:val="c-bibliographic-informationvalue"/>
        </w:rPr>
        <w:t xml:space="preserve"> </w:t>
      </w:r>
      <w:proofErr w:type="spellStart"/>
      <w:r>
        <w:rPr>
          <w:rStyle w:val="c-bibliographic-informationvalue"/>
        </w:rPr>
        <w:t>Reviu</w:t>
      </w:r>
      <w:proofErr w:type="spellEnd"/>
      <w:r>
        <w:rPr>
          <w:rStyle w:val="c-bibliographic-informationvalue"/>
        </w:rPr>
        <w:t xml:space="preserve"> </w:t>
      </w:r>
      <w:proofErr w:type="spellStart"/>
      <w:r>
        <w:rPr>
          <w:rStyle w:val="c-bibliographic-informationvalue"/>
        </w:rPr>
        <w:t>Akuntansi</w:t>
      </w:r>
      <w:proofErr w:type="spellEnd"/>
      <w:r>
        <w:rPr>
          <w:rStyle w:val="c-bibliographic-informationvalue"/>
        </w:rPr>
        <w:t xml:space="preserve"> dan </w:t>
      </w:r>
      <w:proofErr w:type="spellStart"/>
      <w:r>
        <w:rPr>
          <w:rStyle w:val="c-bibliographic-informationvalue"/>
        </w:rPr>
        <w:t>Keuangan</w:t>
      </w:r>
      <w:proofErr w:type="spellEnd"/>
      <w:r>
        <w:rPr>
          <w:rStyle w:val="c-bibliographic-informationvalue"/>
        </w:rPr>
        <w:t xml:space="preserve">, 15(1). </w:t>
      </w:r>
      <w:hyperlink r:id="rId21" w:history="1">
        <w:r>
          <w:rPr>
            <w:rStyle w:val="c-bibliographic-informationvalue"/>
          </w:rPr>
          <w:t>https://doi.org/10.22219/jrak.v15i1.34304</w:t>
        </w:r>
      </w:hyperlink>
    </w:p>
    <w:p w14:paraId="54D0319F" w14:textId="77777777" w:rsidR="008D5DCB" w:rsidRDefault="0020015B">
      <w:pPr>
        <w:pStyle w:val="NormalWeb"/>
        <w:spacing w:before="0" w:beforeAutospacing="0" w:after="160" w:afterAutospacing="0"/>
        <w:ind w:left="720" w:hanging="720"/>
        <w:jc w:val="both"/>
        <w:rPr>
          <w:rStyle w:val="c-bibliographic-informationvalue"/>
        </w:rPr>
      </w:pPr>
      <w:proofErr w:type="spellStart"/>
      <w:r>
        <w:rPr>
          <w:rStyle w:val="c-bibliographic-informationvalue"/>
        </w:rPr>
        <w:t>Hardana</w:t>
      </w:r>
      <w:proofErr w:type="spellEnd"/>
      <w:r>
        <w:rPr>
          <w:rStyle w:val="c-bibliographic-informationvalue"/>
        </w:rPr>
        <w:t xml:space="preserve">, A. H., </w:t>
      </w:r>
      <w:proofErr w:type="spellStart"/>
      <w:r>
        <w:rPr>
          <w:rStyle w:val="c-bibliographic-informationvalue"/>
        </w:rPr>
        <w:t>Hasibuan</w:t>
      </w:r>
      <w:proofErr w:type="spellEnd"/>
      <w:r>
        <w:rPr>
          <w:rStyle w:val="c-bibliographic-informationvalue"/>
        </w:rPr>
        <w:t xml:space="preserve">, L., &amp; </w:t>
      </w:r>
      <w:proofErr w:type="spellStart"/>
      <w:r>
        <w:rPr>
          <w:rStyle w:val="c-bibliographic-informationvalue"/>
        </w:rPr>
        <w:t>Hasibuan</w:t>
      </w:r>
      <w:proofErr w:type="spellEnd"/>
      <w:r>
        <w:rPr>
          <w:rStyle w:val="c-bibliographic-informationvalue"/>
        </w:rPr>
        <w:t xml:space="preserve">, S. E. (2023). </w:t>
      </w:r>
      <w:r>
        <w:rPr>
          <w:rStyle w:val="c-bibliographic-informationvalue"/>
          <w:rFonts w:eastAsiaTheme="majorEastAsia"/>
        </w:rPr>
        <w:t>Tax aggressiveness, capital structure, corporate governance dan firm performance.</w:t>
      </w:r>
      <w:r>
        <w:rPr>
          <w:rStyle w:val="c-bibliographic-informationvalue"/>
        </w:rPr>
        <w:t xml:space="preserve"> </w:t>
      </w:r>
      <w:r>
        <w:rPr>
          <w:rStyle w:val="c-bibliographic-informationvalue"/>
          <w:rFonts w:eastAsiaTheme="majorEastAsia"/>
        </w:rPr>
        <w:t>International Journal of Economic Research and Financial Accounting, 1</w:t>
      </w:r>
      <w:r>
        <w:rPr>
          <w:rStyle w:val="c-bibliographic-informationvalue"/>
        </w:rPr>
        <w:t xml:space="preserve">(2). </w:t>
      </w:r>
      <w:hyperlink r:id="rId22" w:tgtFrame="_new" w:history="1">
        <w:r>
          <w:rPr>
            <w:rStyle w:val="c-bibliographic-informationvalue"/>
            <w:rFonts w:eastAsiaTheme="majorEastAsia"/>
          </w:rPr>
          <w:t>https://doi.org/10.55227/ijerfa.v1i2.28</w:t>
        </w:r>
      </w:hyperlink>
    </w:p>
    <w:p w14:paraId="520C797A" w14:textId="77777777" w:rsidR="008D5DCB" w:rsidRDefault="0020015B">
      <w:pPr>
        <w:spacing w:after="240" w:line="240" w:lineRule="auto"/>
        <w:ind w:left="720" w:hanging="720"/>
        <w:jc w:val="both"/>
        <w:rPr>
          <w:rStyle w:val="c-bibliographic-informationvalue"/>
        </w:rPr>
      </w:pPr>
      <w:r>
        <w:rPr>
          <w:rStyle w:val="c-bibliographic-informationvalue"/>
        </w:rPr>
        <w:t xml:space="preserve">Highhouse, S., Thornbury, E. E., &amp; Little, I. S. (2007). Social-identity functions of attraction to organizations. Organizational Behavior and Human Decision Processes, 103(1), 134–146. </w:t>
      </w:r>
      <w:hyperlink r:id="rId23" w:history="1">
        <w:r>
          <w:rPr>
            <w:rStyle w:val="c-bibliographic-informationvalue"/>
          </w:rPr>
          <w:t>https://doi.org/10.1016/j.obhdp.2006.01.001</w:t>
        </w:r>
      </w:hyperlink>
    </w:p>
    <w:p w14:paraId="439D198F" w14:textId="77777777" w:rsidR="008D5DCB" w:rsidRDefault="0020015B">
      <w:pPr>
        <w:pStyle w:val="NormalWeb"/>
        <w:spacing w:before="0" w:beforeAutospacing="0" w:after="160" w:afterAutospacing="0"/>
        <w:ind w:left="720" w:hanging="720"/>
        <w:jc w:val="both"/>
        <w:rPr>
          <w:rStyle w:val="c-bibliographic-informationvalue"/>
        </w:rPr>
      </w:pPr>
      <w:proofErr w:type="spellStart"/>
      <w:r>
        <w:rPr>
          <w:rStyle w:val="c-bibliographic-informationvalue"/>
        </w:rPr>
        <w:t>Indawati</w:t>
      </w:r>
      <w:proofErr w:type="spellEnd"/>
      <w:r>
        <w:rPr>
          <w:rStyle w:val="c-bibliographic-informationvalue"/>
        </w:rPr>
        <w:t xml:space="preserve">, I., &amp; </w:t>
      </w:r>
      <w:proofErr w:type="spellStart"/>
      <w:r>
        <w:rPr>
          <w:rStyle w:val="c-bibliographic-informationvalue"/>
        </w:rPr>
        <w:t>Rizkiyani</w:t>
      </w:r>
      <w:proofErr w:type="spellEnd"/>
      <w:r>
        <w:rPr>
          <w:rStyle w:val="c-bibliographic-informationvalue"/>
        </w:rPr>
        <w:t xml:space="preserve">, N. H. (2025). Influence tax aggressiveness, debt policy and financial performance against company value. AKUA: </w:t>
      </w:r>
      <w:proofErr w:type="spellStart"/>
      <w:r>
        <w:rPr>
          <w:rStyle w:val="c-bibliographic-informationvalue"/>
        </w:rPr>
        <w:t>Jurnal</w:t>
      </w:r>
      <w:proofErr w:type="spellEnd"/>
      <w:r>
        <w:rPr>
          <w:rStyle w:val="c-bibliographic-informationvalue"/>
        </w:rPr>
        <w:t xml:space="preserve"> </w:t>
      </w:r>
      <w:proofErr w:type="spellStart"/>
      <w:r>
        <w:rPr>
          <w:rStyle w:val="c-bibliographic-informationvalue"/>
        </w:rPr>
        <w:t>Akuntansi</w:t>
      </w:r>
      <w:proofErr w:type="spellEnd"/>
      <w:r>
        <w:rPr>
          <w:rStyle w:val="c-bibliographic-informationvalue"/>
        </w:rPr>
        <w:t xml:space="preserve"> dan </w:t>
      </w:r>
      <w:proofErr w:type="spellStart"/>
      <w:r>
        <w:rPr>
          <w:rStyle w:val="c-bibliographic-informationvalue"/>
        </w:rPr>
        <w:t>Keuangan</w:t>
      </w:r>
      <w:proofErr w:type="spellEnd"/>
      <w:r>
        <w:rPr>
          <w:rStyle w:val="c-bibliographic-informationvalue"/>
        </w:rPr>
        <w:t xml:space="preserve">, 4(2), 129-138. </w:t>
      </w:r>
      <w:hyperlink r:id="rId24" w:history="1">
        <w:r>
          <w:rPr>
            <w:rStyle w:val="c-bibliographic-informationvalue"/>
          </w:rPr>
          <w:t>https://doi.org/10.54259/akua.v4i2.4213</w:t>
        </w:r>
      </w:hyperlink>
    </w:p>
    <w:p w14:paraId="7CEA4D6D"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Jensen, M. C., &amp; Meckling, W. H. (1976). Theory of the firm: Managerial </w:t>
      </w:r>
      <w:proofErr w:type="spellStart"/>
      <w:r>
        <w:rPr>
          <w:rStyle w:val="c-bibliographic-informationvalue"/>
        </w:rPr>
        <w:t>behavior</w:t>
      </w:r>
      <w:proofErr w:type="spellEnd"/>
      <w:r>
        <w:rPr>
          <w:rStyle w:val="c-bibliographic-informationvalue"/>
        </w:rPr>
        <w:t xml:space="preserve">, agency costs and ownership structure. </w:t>
      </w:r>
      <w:r>
        <w:rPr>
          <w:rStyle w:val="c-bibliographic-informationvalue"/>
          <w:rFonts w:eastAsiaTheme="majorEastAsia"/>
        </w:rPr>
        <w:t>Journal of Financial Economics, 3</w:t>
      </w:r>
      <w:r>
        <w:rPr>
          <w:rStyle w:val="c-bibliographic-informationvalue"/>
        </w:rPr>
        <w:t>(4), 305–360.</w:t>
      </w:r>
    </w:p>
    <w:p w14:paraId="43A93D91" w14:textId="77777777" w:rsidR="008D5DCB" w:rsidRDefault="0020015B">
      <w:pPr>
        <w:pStyle w:val="NormalWeb"/>
        <w:spacing w:before="0" w:beforeAutospacing="0" w:after="160" w:afterAutospacing="0"/>
        <w:ind w:left="720" w:hanging="720"/>
        <w:jc w:val="both"/>
        <w:rPr>
          <w:rStyle w:val="c-bibliographic-informationvalue"/>
        </w:rPr>
      </w:pPr>
      <w:bookmarkStart w:id="5" w:name="_Hlk211852045"/>
      <w:r>
        <w:rPr>
          <w:rStyle w:val="c-bibliographic-informationvalue"/>
        </w:rPr>
        <w:t xml:space="preserve">Keasey, K., </w:t>
      </w:r>
      <w:proofErr w:type="spellStart"/>
      <w:r>
        <w:rPr>
          <w:rStyle w:val="c-bibliographic-informationvalue"/>
        </w:rPr>
        <w:t>Lambrinoudakis</w:t>
      </w:r>
      <w:proofErr w:type="spellEnd"/>
      <w:r>
        <w:rPr>
          <w:rStyle w:val="c-bibliographic-informationvalue"/>
        </w:rPr>
        <w:t xml:space="preserve">, C., Mascia, D. V., &amp; Zhang, Z. (2025). The impact of social media influencers on the financial market performance of firms. European Financial Management, 31(2), 745-785. </w:t>
      </w:r>
      <w:hyperlink r:id="rId25" w:history="1">
        <w:r>
          <w:rPr>
            <w:rStyle w:val="c-bibliographic-informationvalue"/>
          </w:rPr>
          <w:t>https://doi.org/10.1111/eufm.12513</w:t>
        </w:r>
      </w:hyperlink>
      <w:bookmarkEnd w:id="5"/>
    </w:p>
    <w:p w14:paraId="4EABBDF7"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Khuong, N. V., Liem, N. T., Thu, P. A., &amp; Khanh, T. H. T. (2020). Does corporate tax avoidance explain firm performance? Evidence from an emerging economy. Cogent Business &amp; Management, 7(1), 1780101. </w:t>
      </w:r>
      <w:hyperlink r:id="rId26" w:history="1">
        <w:r>
          <w:rPr>
            <w:rStyle w:val="c-bibliographic-informationvalue"/>
          </w:rPr>
          <w:t>https://doi.org/10.1080/23311975.2020.1780101</w:t>
        </w:r>
      </w:hyperlink>
    </w:p>
    <w:p w14:paraId="2DA381DA" w14:textId="77777777" w:rsidR="008D5DCB" w:rsidRDefault="0020015B">
      <w:pPr>
        <w:pStyle w:val="whitespace-normal"/>
        <w:spacing w:before="0" w:beforeAutospacing="0"/>
        <w:ind w:left="720" w:hanging="720"/>
        <w:jc w:val="both"/>
        <w:rPr>
          <w:rStyle w:val="c-bibliographic-informationvalue"/>
        </w:rPr>
      </w:pPr>
      <w:r>
        <w:rPr>
          <w:rStyle w:val="c-bibliographic-informationvalue"/>
        </w:rPr>
        <w:t xml:space="preserve">Mahmood, Z., </w:t>
      </w:r>
      <w:proofErr w:type="spellStart"/>
      <w:r>
        <w:rPr>
          <w:rStyle w:val="c-bibliographic-informationvalue"/>
        </w:rPr>
        <w:t>Kouser</w:t>
      </w:r>
      <w:proofErr w:type="spellEnd"/>
      <w:r>
        <w:rPr>
          <w:rStyle w:val="c-bibliographic-informationvalue"/>
        </w:rPr>
        <w:t xml:space="preserve">, R., Ali, W., Ahmad, Z., &amp; Salman, T. (2022). Corporate governance, firm performance and capital structure across developed and emerging economies: Evidence from panel data. </w:t>
      </w:r>
      <w:r>
        <w:rPr>
          <w:rStyle w:val="c-bibliographic-informationvalue"/>
          <w:rFonts w:eastAsiaTheme="majorEastAsia"/>
        </w:rPr>
        <w:t>Journal of Financial Studies</w:t>
      </w:r>
      <w:r>
        <w:rPr>
          <w:rStyle w:val="c-bibliographic-informationvalue"/>
        </w:rPr>
        <w:t xml:space="preserve">, </w:t>
      </w:r>
      <w:r>
        <w:rPr>
          <w:rStyle w:val="c-bibliographic-informationvalue"/>
          <w:rFonts w:eastAsiaTheme="majorEastAsia"/>
        </w:rPr>
        <w:t>10</w:t>
      </w:r>
      <w:r>
        <w:rPr>
          <w:rStyle w:val="c-bibliographic-informationvalue"/>
        </w:rPr>
        <w:t xml:space="preserve">(10), 185. </w:t>
      </w:r>
      <w:hyperlink r:id="rId27" w:history="1">
        <w:r>
          <w:rPr>
            <w:rStyle w:val="c-bibliographic-informationvalue"/>
            <w:rFonts w:eastAsiaTheme="majorEastAsia"/>
          </w:rPr>
          <w:t>https://doi.org/10.3390/jfs10100185</w:t>
        </w:r>
      </w:hyperlink>
    </w:p>
    <w:p w14:paraId="74B948DB"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Malik, M. S., &amp; Munir, S. (2024). The nexus of corporate tax avoidance and firm performance with the moderating effect of ownership concentration and board independence: Evidence from developing economies. Journal of Excellence in Management Sciences, 3(1), 25-43. </w:t>
      </w:r>
      <w:hyperlink r:id="rId28" w:history="1">
        <w:r>
          <w:rPr>
            <w:rStyle w:val="c-bibliographic-informationvalue"/>
          </w:rPr>
          <w:t>https://doi.org/10.69565/jems.v3i1.204</w:t>
        </w:r>
      </w:hyperlink>
    </w:p>
    <w:p w14:paraId="032CF066" w14:textId="77777777" w:rsidR="008D5DCB" w:rsidRDefault="0020015B">
      <w:pPr>
        <w:pStyle w:val="whitespace-normal"/>
        <w:spacing w:before="0" w:beforeAutospacing="0"/>
        <w:ind w:left="720" w:hanging="720"/>
        <w:jc w:val="both"/>
        <w:rPr>
          <w:rStyle w:val="c-bibliographic-informationvalue"/>
        </w:rPr>
      </w:pPr>
      <w:r>
        <w:rPr>
          <w:rStyle w:val="c-bibliographic-informationvalue"/>
        </w:rPr>
        <w:t xml:space="preserve">Merendino, A., &amp; Melville, R. (2019). The board of directors and firm performance: Empirical evidence from listed companies. </w:t>
      </w:r>
      <w:r>
        <w:rPr>
          <w:rStyle w:val="c-bibliographic-informationvalue"/>
          <w:rFonts w:eastAsiaTheme="majorEastAsia"/>
        </w:rPr>
        <w:t>Corporate Governance: The International Journal of Business in Society</w:t>
      </w:r>
      <w:r>
        <w:rPr>
          <w:rStyle w:val="c-bibliographic-informationvalue"/>
        </w:rPr>
        <w:t xml:space="preserve">, </w:t>
      </w:r>
      <w:r>
        <w:rPr>
          <w:rStyle w:val="c-bibliographic-informationvalue"/>
          <w:rFonts w:eastAsiaTheme="majorEastAsia"/>
        </w:rPr>
        <w:t>19</w:t>
      </w:r>
      <w:r>
        <w:rPr>
          <w:rStyle w:val="c-bibliographic-informationvalue"/>
        </w:rPr>
        <w:t xml:space="preserve">(3), 508–551. </w:t>
      </w:r>
      <w:hyperlink r:id="rId29" w:history="1">
        <w:r>
          <w:rPr>
            <w:rStyle w:val="c-bibliographic-informationvalue"/>
            <w:rFonts w:eastAsiaTheme="majorEastAsia"/>
          </w:rPr>
          <w:t>https://doi.org/10.1108/CG-06-2018-0211</w:t>
        </w:r>
      </w:hyperlink>
    </w:p>
    <w:p w14:paraId="6E0F2FD3"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lastRenderedPageBreak/>
        <w:t xml:space="preserve">Nuta, A. C., Habib, A. M., </w:t>
      </w:r>
      <w:proofErr w:type="spellStart"/>
      <w:r>
        <w:rPr>
          <w:rStyle w:val="c-bibliographic-informationvalue"/>
        </w:rPr>
        <w:t>Neslihanoglu</w:t>
      </w:r>
      <w:proofErr w:type="spellEnd"/>
      <w:r>
        <w:rPr>
          <w:rStyle w:val="c-bibliographic-informationvalue"/>
        </w:rPr>
        <w:t xml:space="preserve">, S., </w:t>
      </w:r>
      <w:proofErr w:type="spellStart"/>
      <w:r>
        <w:rPr>
          <w:rStyle w:val="c-bibliographic-informationvalue"/>
        </w:rPr>
        <w:t>Dalwai</w:t>
      </w:r>
      <w:proofErr w:type="spellEnd"/>
      <w:r>
        <w:rPr>
          <w:rStyle w:val="c-bibliographic-informationvalue"/>
        </w:rPr>
        <w:t xml:space="preserve">, T., &amp; Rangu, C. M. (2025). </w:t>
      </w:r>
      <w:proofErr w:type="spellStart"/>
      <w:r>
        <w:rPr>
          <w:rStyle w:val="c-bibliographic-informationvalue"/>
        </w:rPr>
        <w:t>Analyzing</w:t>
      </w:r>
      <w:proofErr w:type="spellEnd"/>
      <w:r>
        <w:rPr>
          <w:rStyle w:val="c-bibliographic-informationvalue"/>
        </w:rPr>
        <w:t xml:space="preserve"> the market performance of Romanian firms: do the COVID-19 crisis and classification type matter? International Journal of Emerging Markets, 20(7), 3050-3067. </w:t>
      </w:r>
      <w:hyperlink r:id="rId30" w:history="1">
        <w:r>
          <w:rPr>
            <w:rStyle w:val="c-bibliographic-informationvalue"/>
          </w:rPr>
          <w:t>https://doi.org/10.1108/IJOEM-05-2023-0842</w:t>
        </w:r>
      </w:hyperlink>
    </w:p>
    <w:p w14:paraId="57AAA964"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Ogbonna, U. G., Emmanuel, U., &amp; </w:t>
      </w:r>
      <w:proofErr w:type="spellStart"/>
      <w:r>
        <w:rPr>
          <w:rStyle w:val="c-bibliographic-informationvalue"/>
        </w:rPr>
        <w:t>Mmesoma</w:t>
      </w:r>
      <w:proofErr w:type="spellEnd"/>
      <w:r>
        <w:rPr>
          <w:rStyle w:val="c-bibliographic-informationvalue"/>
        </w:rPr>
        <w:t>, E. A. (2022). Effect of managerial ownership and tax aggressiveness on financial performance of domestic systematically important banks in Nigeria. American Journal of Economics and Business Management, 5(10), 51-71.</w:t>
      </w:r>
    </w:p>
    <w:p w14:paraId="493135EC" w14:textId="77777777" w:rsidR="008D5DCB" w:rsidRDefault="0020015B">
      <w:pPr>
        <w:ind w:left="720" w:hanging="720"/>
        <w:jc w:val="both"/>
        <w:rPr>
          <w:rStyle w:val="c-bibliographic-informationvalue"/>
        </w:rPr>
      </w:pPr>
      <w:r>
        <w:rPr>
          <w:rStyle w:val="c-bibliographic-informationvalue"/>
        </w:rPr>
        <w:t xml:space="preserve">Ojo O.O., </w:t>
      </w:r>
      <w:proofErr w:type="spellStart"/>
      <w:r>
        <w:rPr>
          <w:rStyle w:val="c-bibliographic-informationvalue"/>
        </w:rPr>
        <w:t>Akinadewo</w:t>
      </w:r>
      <w:proofErr w:type="spellEnd"/>
      <w:r>
        <w:rPr>
          <w:rStyle w:val="c-bibliographic-informationvalue"/>
        </w:rPr>
        <w:t xml:space="preserve"> I.S., </w:t>
      </w:r>
      <w:proofErr w:type="spellStart"/>
      <w:r>
        <w:rPr>
          <w:rStyle w:val="c-bibliographic-informationvalue"/>
        </w:rPr>
        <w:t>Duduyegbe</w:t>
      </w:r>
      <w:proofErr w:type="spellEnd"/>
      <w:r>
        <w:rPr>
          <w:rStyle w:val="c-bibliographic-informationvalue"/>
        </w:rPr>
        <w:t xml:space="preserve"> S.S., Akinola J.F. &amp; Owoeye T.O. (2025) AI- driven decision-making in financial management. International Journal of Economic and Business Management (IJEBM) 1(2b) 644-663 </w:t>
      </w:r>
    </w:p>
    <w:p w14:paraId="7FEE7B58"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Shamil, M. M., Gooneratne, D. W., Gunathilaka, D., &amp; Shaikh, J. M. (2024). The effect of board characteristics on tax aggressiveness: The case of listed entities in Sri Lanka. Journal of Accounting in Emerging Economies, 14(4), 747-770. </w:t>
      </w:r>
      <w:hyperlink r:id="rId31" w:history="1">
        <w:r>
          <w:rPr>
            <w:rStyle w:val="c-bibliographic-informationvalue"/>
          </w:rPr>
          <w:t>https://doi.org/10.1108/JAEE-08-2022-0224</w:t>
        </w:r>
      </w:hyperlink>
    </w:p>
    <w:p w14:paraId="7AFECC49"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Shams, H. A., Tahir, M., &amp; Marwat, A. (2025). Unveiling the relationships among tax avoidance and sustainable firms' performance: Empirical evidence from Pakistan manufacturing firms. Dialogue Social Science Review (DSSR), 3(1), 920-930.</w:t>
      </w:r>
    </w:p>
    <w:p w14:paraId="1BF00D53"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Shaukat, M., Malik, M., Irfan, M., &amp; Munir, S. (2025). Corporate tax avoidance and firm performance: The moderating role of ownership concentration and board independence. </w:t>
      </w:r>
      <w:r>
        <w:rPr>
          <w:rStyle w:val="c-bibliographic-informationvalue"/>
          <w:rFonts w:eastAsiaTheme="majorEastAsia"/>
        </w:rPr>
        <w:t>Cogent Business &amp; Management, 12</w:t>
      </w:r>
      <w:r>
        <w:rPr>
          <w:rStyle w:val="c-bibliographic-informationvalue"/>
        </w:rPr>
        <w:t xml:space="preserve">(1), Article 2448277. </w:t>
      </w:r>
      <w:hyperlink r:id="rId32" w:tgtFrame="_new" w:history="1">
        <w:r>
          <w:rPr>
            <w:rStyle w:val="c-bibliographic-informationvalue"/>
            <w:rFonts w:eastAsiaTheme="majorEastAsia"/>
          </w:rPr>
          <w:t>https://doi.org/10.1080/23311975.2024.2448277</w:t>
        </w:r>
      </w:hyperlink>
    </w:p>
    <w:p w14:paraId="633BE5EB"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Shubita, M. F. (2024). The effect of tax avoidance on firm value with leverage as a moderating variable. Investment Management &amp; Financial Innovations, 21(2), 336. </w:t>
      </w:r>
      <w:hyperlink r:id="rId33" w:history="1">
        <w:r>
          <w:rPr>
            <w:rStyle w:val="c-bibliographic-informationvalue"/>
          </w:rPr>
          <w:t>http://dx.doi.org/10.21511/imfi.21(2).2024.27</w:t>
        </w:r>
      </w:hyperlink>
    </w:p>
    <w:p w14:paraId="0BF04E21"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Sihono, A., &amp; </w:t>
      </w:r>
      <w:proofErr w:type="spellStart"/>
      <w:r>
        <w:rPr>
          <w:rStyle w:val="c-bibliographic-informationvalue"/>
        </w:rPr>
        <w:t>Khairiyahtussolihah</w:t>
      </w:r>
      <w:proofErr w:type="spellEnd"/>
      <w:r>
        <w:rPr>
          <w:rStyle w:val="c-bibliographic-informationvalue"/>
        </w:rPr>
        <w:t xml:space="preserve">, A. A. (2023). Does tax aggressiveness and capital structure affect firm performance? The moderating role of political connections. </w:t>
      </w:r>
      <w:proofErr w:type="spellStart"/>
      <w:r>
        <w:rPr>
          <w:rStyle w:val="c-bibliographic-informationvalue"/>
        </w:rPr>
        <w:t>Maksimum</w:t>
      </w:r>
      <w:proofErr w:type="spellEnd"/>
      <w:r>
        <w:rPr>
          <w:rStyle w:val="c-bibliographic-informationvalue"/>
        </w:rPr>
        <w:t xml:space="preserve">: Media </w:t>
      </w:r>
      <w:proofErr w:type="spellStart"/>
      <w:r>
        <w:rPr>
          <w:rStyle w:val="c-bibliographic-informationvalue"/>
        </w:rPr>
        <w:t>Akuntansi</w:t>
      </w:r>
      <w:proofErr w:type="spellEnd"/>
      <w:r>
        <w:rPr>
          <w:rStyle w:val="c-bibliographic-informationvalue"/>
        </w:rPr>
        <w:t xml:space="preserve"> Universitas Muhammadiyah Semarang, 13(1), 39-49. </w:t>
      </w:r>
    </w:p>
    <w:p w14:paraId="1CF1EEBB" w14:textId="77777777" w:rsidR="008D5DCB" w:rsidRDefault="0020015B">
      <w:pPr>
        <w:pStyle w:val="whitespace-normal"/>
        <w:spacing w:before="0" w:beforeAutospacing="0"/>
        <w:ind w:left="720" w:hanging="720"/>
        <w:jc w:val="both"/>
        <w:rPr>
          <w:rStyle w:val="c-bibliographic-informationvalue"/>
        </w:rPr>
      </w:pPr>
      <w:r>
        <w:rPr>
          <w:rStyle w:val="c-bibliographic-informationvalue"/>
        </w:rPr>
        <w:t xml:space="preserve">Su, Q., &amp; Deng, Y. (2024). Tax avoidance news, investor behavior, and stock market performance. </w:t>
      </w:r>
      <w:r>
        <w:rPr>
          <w:rStyle w:val="c-bibliographic-informationvalue"/>
          <w:rFonts w:eastAsiaTheme="majorEastAsia"/>
        </w:rPr>
        <w:t>Finance Research Letters</w:t>
      </w:r>
      <w:r>
        <w:rPr>
          <w:rStyle w:val="c-bibliographic-informationvalue"/>
        </w:rPr>
        <w:t xml:space="preserve">, </w:t>
      </w:r>
      <w:r>
        <w:rPr>
          <w:rStyle w:val="c-bibliographic-informationvalue"/>
          <w:rFonts w:eastAsiaTheme="majorEastAsia"/>
        </w:rPr>
        <w:t>67</w:t>
      </w:r>
      <w:r>
        <w:rPr>
          <w:rStyle w:val="c-bibliographic-informationvalue"/>
        </w:rPr>
        <w:t xml:space="preserve">, 105855. </w:t>
      </w:r>
      <w:hyperlink r:id="rId34" w:history="1">
        <w:r>
          <w:rPr>
            <w:rStyle w:val="c-bibliographic-informationvalue"/>
            <w:rFonts w:eastAsiaTheme="majorEastAsia"/>
          </w:rPr>
          <w:t>https://doi.org/10.1016/j.frl.2024.105855</w:t>
        </w:r>
      </w:hyperlink>
    </w:p>
    <w:p w14:paraId="08602BE4"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Taufik, R., Hasanah, H., Lestari, S., </w:t>
      </w:r>
      <w:proofErr w:type="spellStart"/>
      <w:r>
        <w:rPr>
          <w:rStyle w:val="c-bibliographic-informationvalue"/>
        </w:rPr>
        <w:t>Dharmayanti</w:t>
      </w:r>
      <w:proofErr w:type="spellEnd"/>
      <w:r>
        <w:rPr>
          <w:rStyle w:val="c-bibliographic-informationvalue"/>
        </w:rPr>
        <w:t xml:space="preserve">, N., &amp; </w:t>
      </w:r>
      <w:proofErr w:type="spellStart"/>
      <w:r>
        <w:rPr>
          <w:rStyle w:val="c-bibliographic-informationvalue"/>
        </w:rPr>
        <w:t>Sriharyanti</w:t>
      </w:r>
      <w:proofErr w:type="spellEnd"/>
      <w:r>
        <w:rPr>
          <w:rStyle w:val="c-bibliographic-informationvalue"/>
        </w:rPr>
        <w:t xml:space="preserve">, R. (2022). Company performance analysis and tax aggressiveness. International Research Journal of Management, IT and Social Sciences, 9(2), 244-253. </w:t>
      </w:r>
      <w:hyperlink r:id="rId35" w:history="1">
        <w:r>
          <w:rPr>
            <w:rStyle w:val="c-bibliographic-informationvalue"/>
          </w:rPr>
          <w:t>https://doi.org/10.21744/irjmis.v9n2.2053</w:t>
        </w:r>
      </w:hyperlink>
    </w:p>
    <w:p w14:paraId="6C8086E4" w14:textId="77777777" w:rsidR="008D5DCB" w:rsidRDefault="0020015B">
      <w:pPr>
        <w:pStyle w:val="NormalWeb"/>
        <w:spacing w:before="0" w:beforeAutospacing="0" w:after="160" w:afterAutospacing="0"/>
        <w:ind w:left="720" w:hanging="720"/>
        <w:jc w:val="both"/>
        <w:rPr>
          <w:rStyle w:val="c-bibliographic-informationvalue"/>
        </w:rPr>
      </w:pPr>
      <w:r>
        <w:rPr>
          <w:rStyle w:val="c-bibliographic-informationvalue"/>
        </w:rPr>
        <w:t xml:space="preserve">Zhang, L., &amp; Sok, S. (2025). The impact of government open data platform construction on corporate capital market performance: Evidence from stock liquidity. Pacific-Basin Finance Journal, 90, 102667. </w:t>
      </w:r>
      <w:hyperlink r:id="rId36" w:history="1">
        <w:r>
          <w:rPr>
            <w:rStyle w:val="c-bibliographic-informationvalue"/>
          </w:rPr>
          <w:t>https://doi.org/10.1016/j.pacfin.2025.102667</w:t>
        </w:r>
      </w:hyperlink>
    </w:p>
    <w:p w14:paraId="19C3DA75" w14:textId="77777777" w:rsidR="008D5DCB" w:rsidRDefault="008D5DCB">
      <w:pPr>
        <w:jc w:val="both"/>
        <w:rPr>
          <w:rFonts w:ascii="Times New Roman" w:hAnsi="Times New Roman" w:cs="Times New Roman"/>
          <w:b/>
          <w:sz w:val="24"/>
          <w:szCs w:val="24"/>
        </w:rPr>
      </w:pPr>
    </w:p>
    <w:p w14:paraId="09A07746" w14:textId="77777777" w:rsidR="008D5DCB" w:rsidRDefault="008D5DCB">
      <w:pPr>
        <w:spacing w:line="240" w:lineRule="auto"/>
        <w:jc w:val="both"/>
        <w:rPr>
          <w:rFonts w:ascii="Times New Roman" w:eastAsia="Calibri" w:hAnsi="Times New Roman" w:cs="Times New Roman"/>
          <w:kern w:val="0"/>
          <w:sz w:val="24"/>
          <w:szCs w:val="24"/>
          <w14:ligatures w14:val="none"/>
        </w:rPr>
      </w:pPr>
    </w:p>
    <w:p w14:paraId="6C0C77D1" w14:textId="77777777" w:rsidR="008D5DCB" w:rsidRDefault="008D5DCB">
      <w:pPr>
        <w:spacing w:line="240" w:lineRule="auto"/>
        <w:jc w:val="both"/>
        <w:rPr>
          <w:rFonts w:ascii="Times New Roman" w:hAnsi="Times New Roman" w:cs="Times New Roman"/>
          <w:b/>
          <w:sz w:val="24"/>
          <w:szCs w:val="24"/>
        </w:rPr>
      </w:pPr>
    </w:p>
    <w:p w14:paraId="355D8064" w14:textId="77777777" w:rsidR="008D5DCB" w:rsidRDefault="008D5DCB">
      <w:pPr>
        <w:rPr>
          <w:rFonts w:ascii="Times New Roman" w:hAnsi="Times New Roman" w:cs="Times New Roman"/>
          <w:b/>
          <w:sz w:val="24"/>
          <w:szCs w:val="24"/>
        </w:rPr>
      </w:pPr>
    </w:p>
    <w:p w14:paraId="5F1352B8" w14:textId="77777777" w:rsidR="008D5DCB" w:rsidRDefault="008D5DCB">
      <w:pPr>
        <w:pStyle w:val="NormalWeb"/>
        <w:jc w:val="both"/>
      </w:pPr>
    </w:p>
    <w:p w14:paraId="0359473F" w14:textId="77777777" w:rsidR="008D5DCB" w:rsidRDefault="008D5DCB">
      <w:pPr>
        <w:pStyle w:val="NormalWeb"/>
        <w:jc w:val="both"/>
      </w:pPr>
    </w:p>
    <w:p w14:paraId="130EECAB" w14:textId="77777777" w:rsidR="008D5DCB" w:rsidRDefault="008D5DCB">
      <w:pPr>
        <w:jc w:val="both"/>
        <w:rPr>
          <w:rFonts w:ascii="Times New Roman" w:hAnsi="Times New Roman" w:cs="Times New Roman"/>
          <w:sz w:val="24"/>
          <w:szCs w:val="24"/>
        </w:rPr>
      </w:pPr>
    </w:p>
    <w:p w14:paraId="3E9A191D" w14:textId="77777777" w:rsidR="008D5DCB" w:rsidRDefault="008D5DCB">
      <w:pPr>
        <w:jc w:val="both"/>
        <w:rPr>
          <w:rFonts w:ascii="Times New Roman" w:hAnsi="Times New Roman" w:cs="Times New Roman"/>
          <w:sz w:val="24"/>
          <w:szCs w:val="24"/>
        </w:rPr>
      </w:pPr>
    </w:p>
    <w:p w14:paraId="38C241D5" w14:textId="77777777" w:rsidR="008D5DCB" w:rsidRDefault="008D5DCB">
      <w:pPr>
        <w:jc w:val="both"/>
        <w:rPr>
          <w:rFonts w:ascii="Times New Roman" w:hAnsi="Times New Roman" w:cs="Times New Roman"/>
          <w:sz w:val="24"/>
          <w:szCs w:val="24"/>
        </w:rPr>
      </w:pPr>
    </w:p>
    <w:p w14:paraId="0F64491F" w14:textId="77777777" w:rsidR="008D5DCB" w:rsidRDefault="008D5DCB">
      <w:pPr>
        <w:jc w:val="both"/>
        <w:rPr>
          <w:rFonts w:ascii="Times New Roman" w:hAnsi="Times New Roman" w:cs="Times New Roman"/>
          <w:sz w:val="24"/>
          <w:szCs w:val="24"/>
        </w:rPr>
      </w:pPr>
    </w:p>
    <w:p w14:paraId="1555DB58" w14:textId="77777777" w:rsidR="008D5DCB" w:rsidRDefault="008D5DCB">
      <w:pPr>
        <w:jc w:val="both"/>
        <w:rPr>
          <w:rFonts w:ascii="Times New Roman" w:hAnsi="Times New Roman" w:cs="Times New Roman"/>
          <w:sz w:val="24"/>
          <w:szCs w:val="24"/>
        </w:rPr>
      </w:pPr>
    </w:p>
    <w:p w14:paraId="19CC7179" w14:textId="77777777" w:rsidR="008D5DCB" w:rsidRDefault="008D5DCB">
      <w:pPr>
        <w:jc w:val="both"/>
      </w:pPr>
    </w:p>
    <w:p w14:paraId="5329F2C4" w14:textId="77777777" w:rsidR="008D5DCB" w:rsidRDefault="008D5DCB">
      <w:pPr>
        <w:jc w:val="both"/>
      </w:pPr>
    </w:p>
    <w:p w14:paraId="0B5331CE" w14:textId="77777777" w:rsidR="008D5DCB" w:rsidRDefault="008D5DCB">
      <w:pPr>
        <w:jc w:val="both"/>
      </w:pPr>
    </w:p>
    <w:p w14:paraId="11AA7532" w14:textId="77777777" w:rsidR="008D5DCB" w:rsidRDefault="008D5DCB">
      <w:pPr>
        <w:jc w:val="both"/>
      </w:pPr>
    </w:p>
    <w:p w14:paraId="535EABF8" w14:textId="77777777" w:rsidR="008D5DCB" w:rsidRDefault="008D5DCB">
      <w:pPr>
        <w:jc w:val="both"/>
      </w:pPr>
    </w:p>
    <w:p w14:paraId="71F83AC2" w14:textId="77777777" w:rsidR="008D5DCB" w:rsidRDefault="008D5DCB">
      <w:pPr>
        <w:jc w:val="both"/>
      </w:pPr>
    </w:p>
    <w:p w14:paraId="5AF3135E" w14:textId="77777777" w:rsidR="008D5DCB" w:rsidRDefault="008D5DCB">
      <w:pPr>
        <w:jc w:val="both"/>
      </w:pPr>
    </w:p>
    <w:p w14:paraId="3A3AF6C2" w14:textId="77777777" w:rsidR="008D5DCB" w:rsidRDefault="008D5DCB">
      <w:pPr>
        <w:jc w:val="both"/>
      </w:pPr>
    </w:p>
    <w:p w14:paraId="031942C0" w14:textId="77777777" w:rsidR="008D5DCB" w:rsidRDefault="008D5DCB">
      <w:pPr>
        <w:jc w:val="both"/>
      </w:pPr>
    </w:p>
    <w:p w14:paraId="7B228428" w14:textId="77777777" w:rsidR="008D5DCB" w:rsidRDefault="008D5DCB">
      <w:pPr>
        <w:jc w:val="both"/>
      </w:pPr>
    </w:p>
    <w:p w14:paraId="7634EC84" w14:textId="77777777" w:rsidR="008D5DCB" w:rsidRDefault="008D5DCB">
      <w:pPr>
        <w:jc w:val="both"/>
      </w:pPr>
    </w:p>
    <w:p w14:paraId="676269C7" w14:textId="77777777" w:rsidR="008D5DCB" w:rsidRDefault="008D5DCB">
      <w:pPr>
        <w:jc w:val="both"/>
      </w:pPr>
    </w:p>
    <w:p w14:paraId="4580F1CD" w14:textId="77777777" w:rsidR="008D5DCB" w:rsidRDefault="008D5DCB">
      <w:pPr>
        <w:jc w:val="both"/>
      </w:pPr>
    </w:p>
    <w:p w14:paraId="7EC91EA2" w14:textId="77777777" w:rsidR="008D5DCB" w:rsidRDefault="008D5DCB">
      <w:pPr>
        <w:jc w:val="both"/>
      </w:pPr>
    </w:p>
    <w:p w14:paraId="04A932E7" w14:textId="77777777" w:rsidR="008D5DCB" w:rsidRDefault="008D5DCB">
      <w:pPr>
        <w:jc w:val="both"/>
      </w:pPr>
    </w:p>
    <w:p w14:paraId="6A1279BE" w14:textId="77777777" w:rsidR="008D5DCB" w:rsidRDefault="008D5DCB">
      <w:pPr>
        <w:jc w:val="both"/>
      </w:pPr>
    </w:p>
    <w:p w14:paraId="61D56635" w14:textId="77777777" w:rsidR="008D5DCB" w:rsidRDefault="008D5DCB">
      <w:pPr>
        <w:jc w:val="both"/>
      </w:pPr>
    </w:p>
    <w:p w14:paraId="52BEE694" w14:textId="77777777" w:rsidR="008D5DCB" w:rsidRDefault="008D5DCB"/>
    <w:p w14:paraId="00A0A81E" w14:textId="77777777" w:rsidR="008D5DCB" w:rsidRDefault="008D5DCB"/>
    <w:p w14:paraId="2E5E2D0A" w14:textId="77777777" w:rsidR="008D5DCB" w:rsidRDefault="008D5DCB"/>
    <w:p w14:paraId="6DF29D91" w14:textId="77777777" w:rsidR="008D5DCB" w:rsidRDefault="008D5DCB"/>
    <w:p w14:paraId="0F93AD37" w14:textId="77777777" w:rsidR="008D5DCB" w:rsidRDefault="008D5DCB"/>
    <w:p w14:paraId="2F68D7A5" w14:textId="77777777" w:rsidR="008D5DCB" w:rsidRDefault="008D5DCB"/>
    <w:p w14:paraId="6425A56A" w14:textId="77777777" w:rsidR="008D5DCB" w:rsidRDefault="008D5DCB"/>
    <w:p w14:paraId="1347B07F" w14:textId="77777777" w:rsidR="008D5DCB" w:rsidRDefault="008D5DCB"/>
    <w:p w14:paraId="404ABB93" w14:textId="77777777" w:rsidR="008D5DCB" w:rsidRDefault="008D5DCB"/>
    <w:p w14:paraId="0E0ABC2A" w14:textId="77777777" w:rsidR="008D5DCB" w:rsidRDefault="008D5DCB"/>
    <w:p w14:paraId="4CE14EDB" w14:textId="77777777" w:rsidR="008D5DCB" w:rsidRDefault="008D5DCB"/>
    <w:sectPr w:rsidR="008D5DCB">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96542" w14:textId="77777777" w:rsidR="009D1703" w:rsidRDefault="009D1703">
      <w:pPr>
        <w:spacing w:line="240" w:lineRule="auto"/>
      </w:pPr>
      <w:r>
        <w:separator/>
      </w:r>
    </w:p>
  </w:endnote>
  <w:endnote w:type="continuationSeparator" w:id="0">
    <w:p w14:paraId="082CE6AE" w14:textId="77777777" w:rsidR="009D1703" w:rsidRDefault="009D17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FC60" w14:textId="77777777" w:rsidR="002F4786" w:rsidRDefault="002F4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669E" w14:textId="77777777" w:rsidR="002F4786" w:rsidRDefault="002F4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A7FC" w14:textId="77777777" w:rsidR="002F4786" w:rsidRDefault="002F4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966B3" w14:textId="77777777" w:rsidR="009D1703" w:rsidRDefault="009D1703">
      <w:pPr>
        <w:spacing w:after="0"/>
      </w:pPr>
      <w:r>
        <w:separator/>
      </w:r>
    </w:p>
  </w:footnote>
  <w:footnote w:type="continuationSeparator" w:id="0">
    <w:p w14:paraId="1E59EDA4" w14:textId="77777777" w:rsidR="009D1703" w:rsidRDefault="009D17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6CC3" w14:textId="5A5D44C3" w:rsidR="002F4786" w:rsidRDefault="002F4786">
    <w:pPr>
      <w:pStyle w:val="Header"/>
    </w:pPr>
    <w:r>
      <w:rPr>
        <w:noProof/>
      </w:rPr>
      <w:pict w14:anchorId="6F563C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837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B639" w14:textId="49B96CD6" w:rsidR="002F4786" w:rsidRDefault="002F4786">
    <w:pPr>
      <w:pStyle w:val="Header"/>
    </w:pPr>
    <w:r>
      <w:rPr>
        <w:noProof/>
      </w:rPr>
      <w:pict w14:anchorId="211BFC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837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7C47" w14:textId="57282C35" w:rsidR="002F4786" w:rsidRDefault="002F4786">
    <w:pPr>
      <w:pStyle w:val="Header"/>
    </w:pPr>
    <w:r>
      <w:rPr>
        <w:noProof/>
      </w:rPr>
      <w:pict w14:anchorId="41042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837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1A"/>
    <w:multiLevelType w:val="multilevel"/>
    <w:tmpl w:val="000000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70756113">
    <w:abstractNumId w:val="0"/>
  </w:num>
  <w:num w:numId="2" w16cid:durableId="2028821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EB2"/>
    <w:rsid w:val="00074F4F"/>
    <w:rsid w:val="000F464D"/>
    <w:rsid w:val="0010605C"/>
    <w:rsid w:val="001555A3"/>
    <w:rsid w:val="00176628"/>
    <w:rsid w:val="001E518C"/>
    <w:rsid w:val="0020015B"/>
    <w:rsid w:val="0023243E"/>
    <w:rsid w:val="00233139"/>
    <w:rsid w:val="0024196E"/>
    <w:rsid w:val="002420C6"/>
    <w:rsid w:val="00253F75"/>
    <w:rsid w:val="00254459"/>
    <w:rsid w:val="002F4786"/>
    <w:rsid w:val="003019DA"/>
    <w:rsid w:val="00301D6E"/>
    <w:rsid w:val="003212BA"/>
    <w:rsid w:val="00396E17"/>
    <w:rsid w:val="003F3C2C"/>
    <w:rsid w:val="00410832"/>
    <w:rsid w:val="00443F99"/>
    <w:rsid w:val="004654E0"/>
    <w:rsid w:val="00476804"/>
    <w:rsid w:val="00480A92"/>
    <w:rsid w:val="00490042"/>
    <w:rsid w:val="004F796F"/>
    <w:rsid w:val="00500483"/>
    <w:rsid w:val="00506715"/>
    <w:rsid w:val="0051578A"/>
    <w:rsid w:val="005761A9"/>
    <w:rsid w:val="005F39F1"/>
    <w:rsid w:val="00601BF2"/>
    <w:rsid w:val="00611563"/>
    <w:rsid w:val="00612A8F"/>
    <w:rsid w:val="006A3167"/>
    <w:rsid w:val="007009CE"/>
    <w:rsid w:val="00713BDA"/>
    <w:rsid w:val="00733D7A"/>
    <w:rsid w:val="00740112"/>
    <w:rsid w:val="007A10BA"/>
    <w:rsid w:val="007D7EC3"/>
    <w:rsid w:val="007E0DC2"/>
    <w:rsid w:val="007E3FDE"/>
    <w:rsid w:val="007E487C"/>
    <w:rsid w:val="00806E92"/>
    <w:rsid w:val="0086204B"/>
    <w:rsid w:val="008D5DCB"/>
    <w:rsid w:val="00901A1B"/>
    <w:rsid w:val="00910089"/>
    <w:rsid w:val="009A657D"/>
    <w:rsid w:val="009D1703"/>
    <w:rsid w:val="00A12261"/>
    <w:rsid w:val="00A239A2"/>
    <w:rsid w:val="00A261CF"/>
    <w:rsid w:val="00A339A0"/>
    <w:rsid w:val="00A444FF"/>
    <w:rsid w:val="00A57A87"/>
    <w:rsid w:val="00A92C70"/>
    <w:rsid w:val="00AC67A5"/>
    <w:rsid w:val="00AD460A"/>
    <w:rsid w:val="00AE1341"/>
    <w:rsid w:val="00B04BB9"/>
    <w:rsid w:val="00B15338"/>
    <w:rsid w:val="00B15F9C"/>
    <w:rsid w:val="00B26639"/>
    <w:rsid w:val="00B80B07"/>
    <w:rsid w:val="00BA2419"/>
    <w:rsid w:val="00C853B4"/>
    <w:rsid w:val="00CA4D2A"/>
    <w:rsid w:val="00CD361F"/>
    <w:rsid w:val="00CE3C95"/>
    <w:rsid w:val="00CE7EF8"/>
    <w:rsid w:val="00D03962"/>
    <w:rsid w:val="00D310BE"/>
    <w:rsid w:val="00D37833"/>
    <w:rsid w:val="00D54C0F"/>
    <w:rsid w:val="00D64123"/>
    <w:rsid w:val="00D75E41"/>
    <w:rsid w:val="00DA02F1"/>
    <w:rsid w:val="00E33BFD"/>
    <w:rsid w:val="00E802BA"/>
    <w:rsid w:val="00E929DD"/>
    <w:rsid w:val="00E94F22"/>
    <w:rsid w:val="00E96CA8"/>
    <w:rsid w:val="00EA0131"/>
    <w:rsid w:val="00ED15BC"/>
    <w:rsid w:val="00EF0EB2"/>
    <w:rsid w:val="00F17A91"/>
    <w:rsid w:val="00F518E2"/>
    <w:rsid w:val="00F7146C"/>
    <w:rsid w:val="00FE428A"/>
    <w:rsid w:val="00FE5662"/>
    <w:rsid w:val="5E7C4F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7E04556"/>
  <w15:docId w15:val="{F952777C-244E-46EB-BEB4-4C7CBC16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US" w:eastAsia="en-US"/>
      <w14:ligatures w14:val="standardContextual"/>
    </w:rPr>
  </w:style>
  <w:style w:type="paragraph" w:styleId="Heading1">
    <w:name w:val="heading 1"/>
    <w:link w:val="Heading1Char"/>
    <w:uiPriority w:val="9"/>
    <w:qFormat/>
    <w:pPr>
      <w:spacing w:before="400" w:after="200"/>
      <w:outlineLvl w:val="0"/>
    </w:pPr>
    <w:rPr>
      <w:rFonts w:ascii="Times New Roman" w:eastAsia="Times New Roman" w:hAnsi="Times New Roman" w:cs="Times New Roman"/>
      <w:b/>
      <w:bCs/>
      <w:sz w:val="28"/>
      <w:szCs w:val="28"/>
      <w:lang w:val="en-US" w:eastAsia="en-US"/>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sz w:val="28"/>
      <w:szCs w:val="28"/>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4E79" w:themeColor="accent1" w:themeShade="80"/>
      <w:kern w:val="2"/>
      <w:sz w:val="24"/>
      <w:szCs w:val="24"/>
      <w:lang w:val="en-US"/>
      <w14:ligatures w14:val="standardContextual"/>
    </w:rPr>
  </w:style>
  <w:style w:type="paragraph" w:styleId="ListParagraph">
    <w:name w:val="List Paragraph"/>
    <w:basedOn w:val="Normal"/>
    <w:link w:val="ListParagraphChar"/>
    <w:uiPriority w:val="34"/>
    <w:qFormat/>
    <w:pPr>
      <w:spacing w:after="200" w:line="276" w:lineRule="auto"/>
      <w:ind w:left="720"/>
      <w:contextualSpacing/>
    </w:pPr>
    <w:rPr>
      <w:rFonts w:ascii="Calibri" w:eastAsia="SimSun" w:hAnsi="Calibri" w:cs="SimSun"/>
      <w:kern w:val="0"/>
      <w:lang w:val="de-DE"/>
      <w14:ligatures w14:val="none"/>
    </w:rPr>
  </w:style>
  <w:style w:type="character" w:customStyle="1" w:styleId="ListParagraphChar">
    <w:name w:val="List Paragraph Char"/>
    <w:basedOn w:val="DefaultParagraphFont"/>
    <w:link w:val="ListParagraph"/>
    <w:uiPriority w:val="34"/>
    <w:qFormat/>
    <w:locked/>
    <w:rPr>
      <w:rFonts w:ascii="Calibri" w:eastAsia="SimSun" w:hAnsi="Calibri" w:cs="SimSun"/>
      <w:lang w:val="de-DE"/>
    </w:rPr>
  </w:style>
  <w:style w:type="paragraph" w:styleId="NoSpacing">
    <w:name w:val="No Spacing"/>
    <w:link w:val="NoSpacingChar"/>
    <w:uiPriority w:val="1"/>
    <w:qFormat/>
    <w:rPr>
      <w:rFonts w:eastAsiaTheme="minorEastAsia"/>
      <w:sz w:val="22"/>
      <w:szCs w:val="22"/>
      <w:lang w:val="en-GB" w:eastAsia="en-GB"/>
    </w:rPr>
  </w:style>
  <w:style w:type="character" w:customStyle="1" w:styleId="NoSpacingChar">
    <w:name w:val="No Spacing Char"/>
    <w:link w:val="NoSpacing"/>
    <w:uiPriority w:val="1"/>
    <w:qFormat/>
    <w:locked/>
    <w:rPr>
      <w:rFonts w:eastAsiaTheme="minorEastAsia"/>
      <w:lang w:eastAsia="en-GB"/>
    </w:rPr>
  </w:style>
  <w:style w:type="character" w:customStyle="1" w:styleId="katex">
    <w:name w:val="katex"/>
    <w:basedOn w:val="DefaultParagraphFont"/>
    <w:qForma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mspace">
    <w:name w:val="mspace"/>
    <w:basedOn w:val="DefaultParagraphFont"/>
    <w:qFormat/>
  </w:style>
  <w:style w:type="character" w:customStyle="1" w:styleId="mrel">
    <w:name w:val="mrel"/>
    <w:basedOn w:val="DefaultParagraphFont"/>
    <w:qFormat/>
  </w:style>
  <w:style w:type="character" w:customStyle="1" w:styleId="mbin">
    <w:name w:val="mbin"/>
    <w:basedOn w:val="DefaultParagraphFont"/>
    <w:qFormat/>
  </w:style>
  <w:style w:type="character" w:customStyle="1" w:styleId="minner">
    <w:name w:val="minner"/>
    <w:basedOn w:val="DefaultParagraphFont"/>
    <w:qFormat/>
  </w:style>
  <w:style w:type="character" w:customStyle="1" w:styleId="mopen">
    <w:name w:val="mopen"/>
    <w:basedOn w:val="DefaultParagraphFont"/>
    <w:qFormat/>
  </w:style>
  <w:style w:type="character" w:customStyle="1" w:styleId="mclose">
    <w:name w:val="mclose"/>
    <w:basedOn w:val="DefaultParagraphFont"/>
    <w:qFormat/>
  </w:style>
  <w:style w:type="character" w:customStyle="1" w:styleId="mpunct">
    <w:name w:val="mpunct"/>
    <w:basedOn w:val="DefaultParagraphFont"/>
    <w:qFormat/>
  </w:style>
  <w:style w:type="character" w:customStyle="1" w:styleId="math-inline">
    <w:name w:val="math-inline"/>
    <w:basedOn w:val="DefaultParagraphFont"/>
    <w:qFormat/>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US" w:eastAsia="en-US"/>
      <w14:ligatures w14:val="standardContextual"/>
    </w:rPr>
  </w:style>
  <w:style w:type="paragraph" w:customStyle="1" w:styleId="whitespace-normal">
    <w:name w:val="whitespace-normal"/>
    <w:basedOn w:val="Normal"/>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bibliographic-informationvalue">
    <w:name w:val="c-bibliographic-information__value"/>
    <w:basedOn w:val="DefaultParagraphFont"/>
    <w:qFormat/>
  </w:style>
  <w:style w:type="character" w:styleId="UnresolvedMention">
    <w:name w:val="Unresolved Mention"/>
    <w:basedOn w:val="DefaultParagraphFont"/>
    <w:uiPriority w:val="99"/>
    <w:semiHidden/>
    <w:unhideWhenUsed/>
    <w:rsid w:val="007A10BA"/>
    <w:rPr>
      <w:color w:val="605E5C"/>
      <w:shd w:val="clear" w:color="auto" w:fill="E1DFDD"/>
    </w:rPr>
  </w:style>
  <w:style w:type="paragraph" w:styleId="Header">
    <w:name w:val="header"/>
    <w:basedOn w:val="Normal"/>
    <w:link w:val="HeaderChar"/>
    <w:uiPriority w:val="99"/>
    <w:unhideWhenUsed/>
    <w:rsid w:val="002F4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786"/>
    <w:rPr>
      <w:kern w:val="2"/>
      <w:sz w:val="22"/>
      <w:szCs w:val="22"/>
      <w:lang w:val="en-US" w:eastAsia="en-US"/>
      <w14:ligatures w14:val="standardContextual"/>
    </w:rPr>
  </w:style>
  <w:style w:type="paragraph" w:styleId="Footer">
    <w:name w:val="footer"/>
    <w:basedOn w:val="Normal"/>
    <w:link w:val="FooterChar"/>
    <w:uiPriority w:val="99"/>
    <w:unhideWhenUsed/>
    <w:rsid w:val="002F4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786"/>
    <w:rPr>
      <w:kern w:val="2"/>
      <w:sz w:val="22"/>
      <w:szCs w:val="2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9659">
      <w:bodyDiv w:val="1"/>
      <w:marLeft w:val="0"/>
      <w:marRight w:val="0"/>
      <w:marTop w:val="0"/>
      <w:marBottom w:val="0"/>
      <w:divBdr>
        <w:top w:val="none" w:sz="0" w:space="0" w:color="auto"/>
        <w:left w:val="none" w:sz="0" w:space="0" w:color="auto"/>
        <w:bottom w:val="none" w:sz="0" w:space="0" w:color="auto"/>
        <w:right w:val="none" w:sz="0" w:space="0" w:color="auto"/>
      </w:divBdr>
    </w:div>
    <w:div w:id="14966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x.doi.org/10.21580/jiafr.2021.3.1.7412" TargetMode="External"/><Relationship Id="rId18" Type="http://schemas.openxmlformats.org/officeDocument/2006/relationships/hyperlink" Target="https://doi.org/10.14419/9yw50217" TargetMode="External"/><Relationship Id="rId26" Type="http://schemas.openxmlformats.org/officeDocument/2006/relationships/hyperlink" Target="https://doi.org/10.1080/23311975.2020.1780101" TargetMode="External"/><Relationship Id="rId39" Type="http://schemas.openxmlformats.org/officeDocument/2006/relationships/footer" Target="footer1.xml"/><Relationship Id="rId21" Type="http://schemas.openxmlformats.org/officeDocument/2006/relationships/hyperlink" Target="https://doi.org/10.22219/jrak.v15i1.34304" TargetMode="External"/><Relationship Id="rId34" Type="http://schemas.openxmlformats.org/officeDocument/2006/relationships/hyperlink" Target="https://doi.org/10.1016/j.frl.2024.105855"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x.doi.org/10.21511/imfi.22(2).2025.16" TargetMode="External"/><Relationship Id="rId20" Type="http://schemas.openxmlformats.org/officeDocument/2006/relationships/hyperlink" Target="https://doi.org/10.1177/0149206305279759" TargetMode="External"/><Relationship Id="rId29" Type="http://schemas.openxmlformats.org/officeDocument/2006/relationships/hyperlink" Target="https://doi.org/10.1108/CG-06-2018-0211"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149206321991212" TargetMode="External"/><Relationship Id="rId24" Type="http://schemas.openxmlformats.org/officeDocument/2006/relationships/hyperlink" Target="https://doi.org/10.54259/akua.v4i2.4213" TargetMode="External"/><Relationship Id="rId32" Type="http://schemas.openxmlformats.org/officeDocument/2006/relationships/hyperlink" Target="https://doi.org/10.1080/23311975.2024.2448277"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2479/ijefi.17643" TargetMode="External"/><Relationship Id="rId23" Type="http://schemas.openxmlformats.org/officeDocument/2006/relationships/hyperlink" Target="https://doi.org/10.1016/j.obhdp.2006.01.001" TargetMode="External"/><Relationship Id="rId28" Type="http://schemas.openxmlformats.org/officeDocument/2006/relationships/hyperlink" Target="https://doi.org/10.69565/jems.v3i1.204" TargetMode="External"/><Relationship Id="rId36" Type="http://schemas.openxmlformats.org/officeDocument/2006/relationships/hyperlink" Target="https://doi.org/10.1016/j.pacfin.2025.102667" TargetMode="External"/><Relationship Id="rId10" Type="http://schemas.openxmlformats.org/officeDocument/2006/relationships/hyperlink" Target="https://doi.org/10.1177/09721509241276957" TargetMode="External"/><Relationship Id="rId19" Type="http://schemas.openxmlformats.org/officeDocument/2006/relationships/hyperlink" Target="https://doi.org/10.1057/s41310-025-00289-0" TargetMode="External"/><Relationship Id="rId31" Type="http://schemas.openxmlformats.org/officeDocument/2006/relationships/hyperlink" Target="https://doi.org/10.1108/JAEE-08-2022-0224"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28932/jam.v17i1.11219" TargetMode="External"/><Relationship Id="rId14" Type="http://schemas.openxmlformats.org/officeDocument/2006/relationships/hyperlink" Target="https://mpra.ub.uni-muenchen.de/124295/" TargetMode="External"/><Relationship Id="rId22" Type="http://schemas.openxmlformats.org/officeDocument/2006/relationships/hyperlink" Target="https://doi.org/10.55227/ijerfa.v1i2.28" TargetMode="External"/><Relationship Id="rId27" Type="http://schemas.openxmlformats.org/officeDocument/2006/relationships/hyperlink" Target="https://doi.org/10.3390/jfs10100185" TargetMode="External"/><Relationship Id="rId30" Type="http://schemas.openxmlformats.org/officeDocument/2006/relationships/hyperlink" Target="https://doi.org/10.1108/IJOEM-05-2023-0842" TargetMode="External"/><Relationship Id="rId35" Type="http://schemas.openxmlformats.org/officeDocument/2006/relationships/hyperlink" Target="https://doi.org/10.21744/irjmis.v9n2.2053" TargetMode="External"/><Relationship Id="rId43" Type="http://schemas.openxmlformats.org/officeDocument/2006/relationships/fontTable" Target="fontTable.xml"/><Relationship Id="rId8" Type="http://schemas.openxmlformats.org/officeDocument/2006/relationships/hyperlink" Target="https://doi.org/10.1080/23322039.2022.2132645" TargetMode="External"/><Relationship Id="rId3" Type="http://schemas.openxmlformats.org/officeDocument/2006/relationships/styles" Target="styles.xml"/><Relationship Id="rId12" Type="http://schemas.openxmlformats.org/officeDocument/2006/relationships/hyperlink" Target="https://doi.org/10.1108/JAEE-01-2021-0019" TargetMode="External"/><Relationship Id="rId17" Type="http://schemas.openxmlformats.org/officeDocument/2006/relationships/hyperlink" Target="https://doi.org/10.1177/0149206310388419" TargetMode="External"/><Relationship Id="rId25" Type="http://schemas.openxmlformats.org/officeDocument/2006/relationships/hyperlink" Target="https://doi.org/10.1111/eufm.12513" TargetMode="External"/><Relationship Id="rId33" Type="http://schemas.openxmlformats.org/officeDocument/2006/relationships/hyperlink" Target="http://dx.doi.org/10.21511/imfi.21(2).2024.27"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16</Pages>
  <Words>6338</Words>
  <Characters>36127</Characters>
  <Application>Microsoft Office Word</Application>
  <DocSecurity>0</DocSecurity>
  <Lines>301</Lines>
  <Paragraphs>84</Paragraphs>
  <ScaleCrop>false</ScaleCrop>
  <Company/>
  <LinksUpToDate>false</LinksUpToDate>
  <CharactersWithSpaces>42381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SDI 1166</cp:lastModifiedBy>
  <cp:revision>58</cp:revision>
  <dcterms:created xsi:type="dcterms:W3CDTF">2026-06-26T13:24:00Z</dcterms:created>
  <dcterms:modified xsi:type="dcterms:W3CDTF">2026-07-03T12:53:00Z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E8299EE84DB8416A919DBE9D85EB6617_13</vt:lpwstr>
  </property>
</Properties>
</file>