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402C0" w14:textId="77777777" w:rsidR="00BD1176" w:rsidRDefault="00556F51" w:rsidP="00A32E4E">
      <w:pPr>
        <w:pStyle w:val="ListParagraph"/>
        <w:spacing w:after="0" w:line="240" w:lineRule="auto"/>
        <w:jc w:val="center"/>
        <w:rPr>
          <w:rFonts w:asciiTheme="majorBidi" w:hAnsiTheme="majorBidi" w:cstheme="majorBidi"/>
          <w:b/>
          <w:sz w:val="28"/>
          <w:szCs w:val="28"/>
        </w:rPr>
      </w:pPr>
      <w:r>
        <w:rPr>
          <w:rFonts w:asciiTheme="majorBidi" w:hAnsiTheme="majorBidi" w:cstheme="majorBidi"/>
          <w:b/>
          <w:sz w:val="28"/>
          <w:szCs w:val="28"/>
        </w:rPr>
        <w:t xml:space="preserve">Corporate </w:t>
      </w:r>
      <w:r w:rsidR="00F72BA4">
        <w:rPr>
          <w:rFonts w:asciiTheme="majorBidi" w:hAnsiTheme="majorBidi" w:cstheme="majorBidi"/>
          <w:b/>
          <w:sz w:val="28"/>
          <w:szCs w:val="28"/>
        </w:rPr>
        <w:t>t</w:t>
      </w:r>
      <w:r w:rsidR="007A63CF" w:rsidRPr="007A63CF">
        <w:rPr>
          <w:rFonts w:asciiTheme="majorBidi" w:hAnsiTheme="majorBidi" w:cstheme="majorBidi"/>
          <w:b/>
          <w:sz w:val="28"/>
          <w:szCs w:val="28"/>
        </w:rPr>
        <w:t xml:space="preserve">ax planning </w:t>
      </w:r>
      <w:r w:rsidR="007A63CF">
        <w:rPr>
          <w:rFonts w:asciiTheme="majorBidi" w:hAnsiTheme="majorBidi" w:cstheme="majorBidi"/>
          <w:b/>
          <w:sz w:val="28"/>
          <w:szCs w:val="28"/>
        </w:rPr>
        <w:t>and</w:t>
      </w:r>
      <w:r w:rsidR="00F72BA4">
        <w:rPr>
          <w:rFonts w:asciiTheme="majorBidi" w:hAnsiTheme="majorBidi" w:cstheme="majorBidi"/>
          <w:b/>
          <w:sz w:val="28"/>
          <w:szCs w:val="28"/>
        </w:rPr>
        <w:t xml:space="preserve"> financial s</w:t>
      </w:r>
      <w:r w:rsidR="007A63CF" w:rsidRPr="007A63CF">
        <w:rPr>
          <w:rFonts w:asciiTheme="majorBidi" w:hAnsiTheme="majorBidi" w:cstheme="majorBidi"/>
          <w:b/>
          <w:sz w:val="28"/>
          <w:szCs w:val="28"/>
        </w:rPr>
        <w:t>tability of listed deposit money banks in Nigeria</w:t>
      </w:r>
    </w:p>
    <w:p w14:paraId="4EFA5804" w14:textId="77777777" w:rsidR="009B0EF4" w:rsidRDefault="009B0EF4" w:rsidP="00A32E4E">
      <w:pPr>
        <w:pStyle w:val="ListParagraph"/>
        <w:spacing w:after="0" w:line="240" w:lineRule="auto"/>
        <w:jc w:val="center"/>
        <w:rPr>
          <w:rFonts w:asciiTheme="majorBidi" w:hAnsiTheme="majorBidi" w:cstheme="majorBidi"/>
          <w:b/>
          <w:sz w:val="28"/>
          <w:szCs w:val="28"/>
        </w:rPr>
      </w:pPr>
    </w:p>
    <w:p w14:paraId="030DE6A0" w14:textId="77777777" w:rsidR="000B54E3" w:rsidRDefault="000B54E3" w:rsidP="0017160F">
      <w:pPr>
        <w:pStyle w:val="Heading3"/>
        <w:spacing w:before="0" w:beforeAutospacing="0" w:after="0" w:afterAutospacing="0"/>
        <w:jc w:val="center"/>
      </w:pPr>
    </w:p>
    <w:p w14:paraId="202D2CA3" w14:textId="5A838839" w:rsidR="0017160F" w:rsidRDefault="0017160F" w:rsidP="0017160F">
      <w:pPr>
        <w:pStyle w:val="Heading3"/>
        <w:spacing w:before="0" w:beforeAutospacing="0" w:after="0" w:afterAutospacing="0"/>
        <w:jc w:val="center"/>
      </w:pPr>
      <w:r>
        <w:t>Abstract</w:t>
      </w:r>
    </w:p>
    <w:p w14:paraId="00161ECB" w14:textId="77777777" w:rsidR="0017160F" w:rsidRPr="0017160F" w:rsidRDefault="0017160F" w:rsidP="0017160F">
      <w:pPr>
        <w:pStyle w:val="Heading3"/>
        <w:spacing w:before="0" w:beforeAutospacing="0" w:after="0" w:afterAutospacing="0"/>
        <w:jc w:val="both"/>
      </w:pPr>
      <w:r w:rsidRPr="0017160F">
        <w:rPr>
          <w:b w:val="0"/>
          <w:sz w:val="24"/>
          <w:szCs w:val="24"/>
        </w:rPr>
        <w:t xml:space="preserve">This study investigated the effects of corporate tax planning and structural restructuring on the financial stability of listed deposit money banks in Nigeria. </w:t>
      </w:r>
      <w:r w:rsidR="003811FC">
        <w:rPr>
          <w:b w:val="0"/>
          <w:sz w:val="24"/>
          <w:szCs w:val="24"/>
        </w:rPr>
        <w:t>The study employed</w:t>
      </w:r>
      <w:r w:rsidRPr="0017160F">
        <w:rPr>
          <w:b w:val="0"/>
          <w:sz w:val="24"/>
          <w:szCs w:val="24"/>
        </w:rPr>
        <w:t xml:space="preserve"> an ex-post facto research design with panel data analysis, the study utilized a mixed integration framework where metrics such as the Current Ratio, Equity to Total Assets Ratio, Capital Intensity, and the Effective Tax Rate were stationary at level, while the Non-Performing Loans Ratio and Financial Restructuring achieved stationarity at first difference. The empirical results revealed that corporate tax planning and restructuring practices operate as critical, multi-dimensional determinants of bank stability, showing that while tax planning and managerial changes offer short-run operational flexibility, they introduce complex long-run adjustments. The study concluded that aggressive fiscal strategies and structural changes must be heavily counterbalanced by robust internal controls; hence, it is recommended that bank executives prioritize transparent tax planning that directly funds liquid assets, while management maintains deep capital adequacy buffers comfortably above regulatory thresholds to mitigate systemic credit risks and absorb asset quality volatility.</w:t>
      </w:r>
    </w:p>
    <w:p w14:paraId="6BA80059" w14:textId="77777777" w:rsidR="0017160F" w:rsidRPr="0017160F" w:rsidRDefault="0017160F" w:rsidP="0017160F">
      <w:pPr>
        <w:pStyle w:val="Heading3"/>
        <w:jc w:val="both"/>
        <w:rPr>
          <w:b w:val="0"/>
          <w:i/>
          <w:sz w:val="24"/>
          <w:szCs w:val="24"/>
        </w:rPr>
      </w:pPr>
      <w:r w:rsidRPr="0017160F">
        <w:rPr>
          <w:sz w:val="24"/>
          <w:szCs w:val="24"/>
        </w:rPr>
        <w:t xml:space="preserve">Keywords: </w:t>
      </w:r>
      <w:r>
        <w:rPr>
          <w:sz w:val="24"/>
          <w:szCs w:val="24"/>
        </w:rPr>
        <w:t xml:space="preserve"> </w:t>
      </w:r>
      <w:r w:rsidRPr="0017160F">
        <w:rPr>
          <w:b w:val="0"/>
          <w:i/>
          <w:sz w:val="24"/>
          <w:szCs w:val="24"/>
        </w:rPr>
        <w:t>Corporate tax planning, capital intensity, current ratio, financial stability, Nigeria Banks.</w:t>
      </w:r>
    </w:p>
    <w:p w14:paraId="272255CA" w14:textId="77777777" w:rsidR="004E4941" w:rsidRDefault="00F70A86" w:rsidP="004E4941">
      <w:pPr>
        <w:pStyle w:val="NormalWeb"/>
        <w:spacing w:before="0" w:beforeAutospacing="0" w:after="0" w:afterAutospacing="0"/>
        <w:jc w:val="both"/>
        <w:rPr>
          <w:b/>
        </w:rPr>
      </w:pPr>
      <w:r>
        <w:rPr>
          <w:b/>
        </w:rPr>
        <w:t>1</w:t>
      </w:r>
      <w:r>
        <w:rPr>
          <w:b/>
        </w:rPr>
        <w:tab/>
      </w:r>
      <w:r w:rsidR="00B969B9">
        <w:rPr>
          <w:b/>
        </w:rPr>
        <w:t>Introduction</w:t>
      </w:r>
    </w:p>
    <w:p w14:paraId="6B41E672" w14:textId="77777777" w:rsidR="00F70A86" w:rsidRPr="00F70A86" w:rsidRDefault="00F70A86" w:rsidP="004E4941">
      <w:pPr>
        <w:pStyle w:val="NormalWeb"/>
        <w:spacing w:before="0" w:beforeAutospacing="0" w:after="0" w:afterAutospacing="0"/>
        <w:jc w:val="both"/>
        <w:rPr>
          <w:b/>
        </w:rPr>
      </w:pPr>
      <w:r>
        <w:t>In the global scale</w:t>
      </w:r>
      <w:r w:rsidR="00BD19F0">
        <w:t>,</w:t>
      </w:r>
      <w:r>
        <w:t xml:space="preserve"> financial stability represents the cornerstone of a robust banking system, where deposit money banks serve as primary intermediaries ensuring system resilience against macroeconomic shocks and promoting sustainable economic growth (Dinh et al., 2025). In advanced economies, this stability is heavily safeguarded by sophisticated institutional frameworks, such as Basel III capital requirements, comprehensive stress testing, and macro</w:t>
      </w:r>
      <w:r w:rsidR="00A32E4E">
        <w:t xml:space="preserve"> </w:t>
      </w:r>
      <w:r>
        <w:t>prudential supervis</w:t>
      </w:r>
      <w:r w:rsidR="00A32E4E">
        <w:t>ion (</w:t>
      </w:r>
      <w:r>
        <w:t xml:space="preserve">Olawale, 2024). However, the 2023 collapse of Silicon Valley Bank (SVB) in the United States demonstrated how quickly weak liquidity management and severe asset-liability mismatches can trigger systemic panic and catastrophic bank runs, even within highly developed regulatory environments (Barrett, 2023; </w:t>
      </w:r>
      <w:proofErr w:type="spellStart"/>
      <w:r>
        <w:t>Lusmeida</w:t>
      </w:r>
      <w:proofErr w:type="spellEnd"/>
      <w:r>
        <w:t xml:space="preserve"> &amp; Gunawan, 2025). To insulate banking systems from such vulnerabilities, modern research relies on rigorous frameworks to measure financial health across critical operational dimensions (</w:t>
      </w:r>
      <w:proofErr w:type="spellStart"/>
      <w:r>
        <w:t>Hastuti</w:t>
      </w:r>
      <w:proofErr w:type="spellEnd"/>
      <w:r>
        <w:t xml:space="preserve"> et al., 2024), focusing on key proxy measures of systemic resilience including the Non-performing Loan (NPL) ratio to gauge asset quality, the Current Ratio to capture short-term liquidity, and the Equity-to-Total-Assets ratio to evaluate long-term solvency.</w:t>
      </w:r>
    </w:p>
    <w:p w14:paraId="5A3288DE" w14:textId="77777777" w:rsidR="00F70A86" w:rsidRDefault="00F70A86" w:rsidP="00556F51">
      <w:pPr>
        <w:pStyle w:val="NormalWeb"/>
        <w:jc w:val="both"/>
      </w:pPr>
      <w:r>
        <w:t>Developing and African banking systems operate under vastly different conditions, characterized by higher macroeconomic volatility, deeper susceptibility to external shocks, and institutional voids that amplify implementa</w:t>
      </w:r>
      <w:r w:rsidR="00A32E4E">
        <w:t>tion challenges (</w:t>
      </w:r>
      <w:r>
        <w:t xml:space="preserve">Nguyen, 2025). Across emerging markets, banks face distinct stability threats including currency fluctuations, sovereign debt exposure, and concentrated loan portfolios heavily weighted toward specific economic sectors (Mirza et al., 2025; </w:t>
      </w:r>
      <w:proofErr w:type="spellStart"/>
      <w:r>
        <w:t>Mestikou</w:t>
      </w:r>
      <w:proofErr w:type="spellEnd"/>
      <w:r>
        <w:t xml:space="preserve"> et al., 2023). In the broader sub-Saharan African context, these institutional vulnerabilities are further compounded by infrastructure deficits, rapid digital financial inclusion expansions, and persistent political risks (Adam et al., 2024). Consequently, banking institutions in these regions require more strategic internal financial management mechanisms to organically accumulate capital buffers, manage volatile cash flows, and guard </w:t>
      </w:r>
      <w:r>
        <w:lastRenderedPageBreak/>
        <w:t>against cross-border financial contagion while operating under constrained regulatory and ec</w:t>
      </w:r>
      <w:r w:rsidR="00743B41">
        <w:t>onomic environments (Festus et al., 2023</w:t>
      </w:r>
      <w:r>
        <w:t>; Tran &amp; Nguyen, 2025).</w:t>
      </w:r>
    </w:p>
    <w:p w14:paraId="5FB98463" w14:textId="77777777" w:rsidR="00F70A86" w:rsidRDefault="00F70A86" w:rsidP="00F70A86">
      <w:pPr>
        <w:pStyle w:val="NormalWeb"/>
        <w:jc w:val="both"/>
      </w:pPr>
      <w:r>
        <w:t>In Nigeria, the financial stability of listed deposit money banks is currently under severe threat due to weakening capital buffers, acute liquidity stress, and deteriorating asset quality (Akingbade, 2025). The banking sector faces a massive policy-driven recapitalization mandate introduced by the Central Bank</w:t>
      </w:r>
      <w:r w:rsidR="00B969B9">
        <w:t xml:space="preserve"> of Nigeria (CBN) in March 2024 </w:t>
      </w:r>
      <w:r>
        <w:t>requiring international banks to scale u</w:t>
      </w:r>
      <w:r w:rsidR="00B969B9">
        <w:t xml:space="preserve">p to ₦500 billion by March 2026 </w:t>
      </w:r>
      <w:r>
        <w:t>following a sharp contraction in the industry's aggregate capital base from rou</w:t>
      </w:r>
      <w:r w:rsidR="00B969B9">
        <w:t>ghly US 5 billion in 2022 to US</w:t>
      </w:r>
      <w:r>
        <w:t xml:space="preserve">1.8 billion in early 2024 (Ali-Momoh et al., 2024; </w:t>
      </w:r>
      <w:proofErr w:type="spellStart"/>
      <w:r>
        <w:t>Olowofela</w:t>
      </w:r>
      <w:proofErr w:type="spellEnd"/>
      <w:r>
        <w:t xml:space="preserve"> et al., 2025). This systemic strain is severely compounded by a staggering 436% surge in borrowing from the CBN’s Standing Lending Facility and escalating asset decay, with prominent listed institutions reporting non-performing loan (NPL) ratios that breach the 5% regulatory threshold, occasionally doubling to over 10% (Ad</w:t>
      </w:r>
      <w:r w:rsidR="00762E07">
        <w:t>am et al., 2024</w:t>
      </w:r>
      <w:r>
        <w:t>). Furthermore, deep operational and logistical weaknesses have been exposed by heavy regulatory fines for cash hoarding, illustrating an urgent multi-dimensional crisis across the industry's asset quality, emergency funding reliance, and regulatory compliance (</w:t>
      </w:r>
      <w:proofErr w:type="spellStart"/>
      <w:r>
        <w:t>Ozili</w:t>
      </w:r>
      <w:proofErr w:type="spellEnd"/>
      <w:r>
        <w:t>, 2025).</w:t>
      </w:r>
    </w:p>
    <w:p w14:paraId="6B18BEB3" w14:textId="77777777" w:rsidR="00F70A86" w:rsidRDefault="00F70A86" w:rsidP="00F70A86">
      <w:pPr>
        <w:pStyle w:val="NormalWeb"/>
        <w:jc w:val="both"/>
      </w:pPr>
      <w:r>
        <w:t xml:space="preserve">Corporate tax planning, operationalized through capital intensity, inventory intensity, and effective tax rate management, emerges as a vital, strategic financial tool that can directly address these stability challenges (Iddrisu, 2025). Through the strategic management of capital intensity, banks can optimize their fixed asset structures to maximize tax-deductible depreciation, thereby lowering their effective tax rates and preserving crucial cash flows to shore up equity-to-total-asset </w:t>
      </w:r>
      <w:r w:rsidR="00A32E4E">
        <w:t>ratios (</w:t>
      </w:r>
      <w:proofErr w:type="spellStart"/>
      <w:r>
        <w:t>Lailiyah</w:t>
      </w:r>
      <w:proofErr w:type="spellEnd"/>
      <w:r>
        <w:t xml:space="preserve"> et al., 2024). Simultaneously, optimizing inventory intensity within trading and investment security portfolios allows banks to generate near-term tax efficiencies and manage immediate cash positions through the strategic timing of asset dis</w:t>
      </w:r>
      <w:r w:rsidR="00A32E4E">
        <w:t>posals (</w:t>
      </w:r>
      <w:r>
        <w:t xml:space="preserve">Irawati et al., 2025). By minimizing the overall effective tax rate through legitimate optimization strategies, Nigerian deposit money banks can significantly enhance after-tax profitability, accelerate retained earnings accumulation, and systematically reduce their precarious reliance on central bank emergency lending windows (Adebayo &amp; </w:t>
      </w:r>
      <w:proofErr w:type="spellStart"/>
      <w:r>
        <w:t>A</w:t>
      </w:r>
      <w:r w:rsidR="00A32E4E">
        <w:t>siriuwa</w:t>
      </w:r>
      <w:proofErr w:type="spellEnd"/>
      <w:r w:rsidR="00A32E4E">
        <w:t>, 2023</w:t>
      </w:r>
      <w:r>
        <w:t>).</w:t>
      </w:r>
    </w:p>
    <w:p w14:paraId="2F58D915" w14:textId="77777777" w:rsidR="00F70A86" w:rsidRDefault="00F70A86" w:rsidP="00F70A86">
      <w:pPr>
        <w:pStyle w:val="NormalWeb"/>
        <w:jc w:val="both"/>
      </w:pPr>
      <w:r>
        <w:t xml:space="preserve">Despite these connections, a profound empirical, methodological, and contextual gap persists in the literature. Empirically, prior tax planning research has overwhelmingly focused on non-financial industries (Abubakar et al., 2024; </w:t>
      </w:r>
      <w:proofErr w:type="spellStart"/>
      <w:r>
        <w:t>Omesi</w:t>
      </w:r>
      <w:proofErr w:type="spellEnd"/>
      <w:r>
        <w:t xml:space="preserve"> &amp; Appah, 2021; </w:t>
      </w:r>
      <w:proofErr w:type="spellStart"/>
      <w:r>
        <w:t>Widyastuti</w:t>
      </w:r>
      <w:proofErr w:type="spellEnd"/>
      <w:r>
        <w:t xml:space="preserve"> et al., 2021), leaving the banking sector heavily under-researched despite its unique capital constraints and systemic risks. Methodologically, existing studies frequently treat tax planning as a monolith or rely on isolated metrics to predict basic profitability like ROA or ROE (</w:t>
      </w:r>
      <w:proofErr w:type="spellStart"/>
      <w:r>
        <w:t>Hendayana</w:t>
      </w:r>
      <w:proofErr w:type="spellEnd"/>
      <w:r>
        <w:t xml:space="preserve"> et al., 2024; </w:t>
      </w:r>
      <w:proofErr w:type="spellStart"/>
      <w:r>
        <w:t>Syawalia</w:t>
      </w:r>
      <w:proofErr w:type="spellEnd"/>
      <w:r>
        <w:t>, 2025), failing to evaluate how speci</w:t>
      </w:r>
      <w:r w:rsidR="00B969B9">
        <w:t xml:space="preserve">fic operational dimensions </w:t>
      </w:r>
      <w:r>
        <w:t>namely capital in</w:t>
      </w:r>
      <w:r w:rsidR="00B969B9">
        <w:t xml:space="preserve">tensity and inventory intensity </w:t>
      </w:r>
      <w:r>
        <w:t>interact with comprehensive financial stability indices like the Non-performing Loan ratio, Current ratio, and Equity-to-Total-Assets ratio (</w:t>
      </w:r>
      <w:proofErr w:type="spellStart"/>
      <w:r>
        <w:t>Febrianto</w:t>
      </w:r>
      <w:proofErr w:type="spellEnd"/>
      <w:r>
        <w:t xml:space="preserve"> et al., 2024; </w:t>
      </w:r>
      <w:proofErr w:type="spellStart"/>
      <w:r>
        <w:t>Omesi</w:t>
      </w:r>
      <w:proofErr w:type="spellEnd"/>
      <w:r>
        <w:t xml:space="preserve"> &amp; Appah, 2021). Contextually, there is a distinct lack of empirical evidence exploring whether aggressive tax minimization acts as a structural shield or a reputational vulnerability when banks are under the acute strain of an ongoing, policy-driven ₦500 billion regulatory recapitalization crisis (Adebayo et al., 2024; Ali-Momoh et al., 2024). This study directly bridges these gaps by examining these multidimensional tax metrics against distinct banking resilience channels within an unprecedented regulatory restructuring window.</w:t>
      </w:r>
    </w:p>
    <w:p w14:paraId="7E8CBE6F" w14:textId="77777777" w:rsidR="00F70A86" w:rsidRDefault="00F70A86" w:rsidP="00FB5718">
      <w:pPr>
        <w:pStyle w:val="NormalWeb"/>
        <w:jc w:val="both"/>
      </w:pPr>
      <w:r>
        <w:t xml:space="preserve">Consequently, the primary objective of this study is to evaluate the effects of tax planning on the financial stability of listed deposit money banks in Nigeria. Specifically, the study seeks to </w:t>
      </w:r>
      <w:proofErr w:type="spellStart"/>
      <w:r>
        <w:lastRenderedPageBreak/>
        <w:t>analyze</w:t>
      </w:r>
      <w:proofErr w:type="spellEnd"/>
      <w:r>
        <w:t xml:space="preserve"> the individual and interactive impacts of Capital Intensity, Inventory Intensity, and the Effective Tax Rate on the core financial stability proxies of Non-performing Loan ratio, Current ratio, and Equity-to-Total-Assets ratio within the current aggressive regulatory and recapitalization climate. Ultimately, this research aims to equip banking executives, regulatory authorities (such as the CBN and FIRS), and capital market participants with clear, data-driven insights into how tax management efficiency can be safely leveraged as a financial shield to reinforce corporate stability, protect shareholder wealth, and restore public trust during a period of massive industry transfor</w:t>
      </w:r>
      <w:r w:rsidR="00A32E4E">
        <w:t>mation (Owoeye et al., 2026</w:t>
      </w:r>
      <w:r>
        <w:t xml:space="preserve">; </w:t>
      </w:r>
      <w:proofErr w:type="spellStart"/>
      <w:r>
        <w:t>Erhijakpor</w:t>
      </w:r>
      <w:proofErr w:type="spellEnd"/>
      <w:r>
        <w:t xml:space="preserve"> &amp; </w:t>
      </w:r>
      <w:proofErr w:type="spellStart"/>
      <w:r>
        <w:t>Eyamu</w:t>
      </w:r>
      <w:proofErr w:type="spellEnd"/>
      <w:r>
        <w:t>, 2025).</w:t>
      </w:r>
    </w:p>
    <w:p w14:paraId="7872B749" w14:textId="77777777" w:rsidR="00FB5718" w:rsidRDefault="00556F51" w:rsidP="00FB5718">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2.0</w:t>
      </w:r>
      <w:r>
        <w:rPr>
          <w:rFonts w:ascii="Times New Roman" w:hAnsi="Times New Roman" w:cs="Times New Roman"/>
          <w:b/>
          <w:sz w:val="24"/>
          <w:szCs w:val="24"/>
        </w:rPr>
        <w:tab/>
        <w:t>Literature Review and Hypothesis Development</w:t>
      </w:r>
    </w:p>
    <w:p w14:paraId="63EE5B3C" w14:textId="77777777" w:rsidR="00AF335C" w:rsidRDefault="00AF335C" w:rsidP="00FB5718">
      <w:pPr>
        <w:spacing w:after="0" w:line="240" w:lineRule="auto"/>
        <w:jc w:val="both"/>
        <w:rPr>
          <w:rFonts w:ascii="Times New Roman" w:hAnsi="Times New Roman" w:cs="Times New Roman"/>
          <w:b/>
          <w:sz w:val="24"/>
          <w:szCs w:val="24"/>
        </w:rPr>
      </w:pPr>
      <w:r w:rsidRPr="00AF335C">
        <w:rPr>
          <w:rFonts w:ascii="Times New Roman" w:hAnsi="Times New Roman" w:cs="Times New Roman"/>
          <w:b/>
          <w:sz w:val="24"/>
          <w:szCs w:val="24"/>
        </w:rPr>
        <w:t>2.1</w:t>
      </w:r>
      <w:r>
        <w:rPr>
          <w:rFonts w:ascii="Times New Roman" w:hAnsi="Times New Roman" w:cs="Times New Roman"/>
          <w:sz w:val="24"/>
          <w:szCs w:val="24"/>
        </w:rPr>
        <w:tab/>
      </w:r>
      <w:r w:rsidR="00FB5718" w:rsidRPr="00AF335C">
        <w:rPr>
          <w:rFonts w:ascii="Times New Roman" w:hAnsi="Times New Roman" w:cs="Times New Roman"/>
          <w:b/>
          <w:sz w:val="24"/>
          <w:szCs w:val="24"/>
        </w:rPr>
        <w:t>Financial stability</w:t>
      </w:r>
    </w:p>
    <w:p w14:paraId="4A2F0668" w14:textId="77777777" w:rsidR="00FB5718" w:rsidRDefault="00AF335C" w:rsidP="00FB5718">
      <w:pPr>
        <w:spacing w:after="0" w:line="240" w:lineRule="auto"/>
        <w:jc w:val="both"/>
        <w:rPr>
          <w:rFonts w:ascii="Times New Roman" w:hAnsi="Times New Roman" w:cs="Times New Roman"/>
          <w:sz w:val="24"/>
          <w:szCs w:val="24"/>
        </w:rPr>
      </w:pPr>
      <w:r w:rsidRPr="00FB5718">
        <w:rPr>
          <w:rFonts w:ascii="Times New Roman" w:hAnsi="Times New Roman" w:cs="Times New Roman"/>
          <w:sz w:val="24"/>
          <w:szCs w:val="24"/>
        </w:rPr>
        <w:t>Financial stability</w:t>
      </w:r>
      <w:r w:rsidR="00FB5718" w:rsidRPr="00FB5718">
        <w:rPr>
          <w:rFonts w:ascii="Times New Roman" w:hAnsi="Times New Roman" w:cs="Times New Roman"/>
          <w:sz w:val="24"/>
          <w:szCs w:val="24"/>
        </w:rPr>
        <w:t xml:space="preserve"> is a multi-dimensional construct denoting a financial institution's capacity to absorb internal and external shocks while maintaining seamless operations, efficient risk management, and uninterrupted credit intermediation (Adeosun et al., 2025; Ali-Momoh et al., 2024). In the banking industry, this systemic resilience is empirically captured through three distinct operational metrics: the Non-Performing Loans (NPL) ratio, which serves as an early warning diagnostic for credit risk and asset quality degradation (Akingbade, 2025); the Current Ratio, which reflects baseline liquidity and the immediate ability to cover short-term obligations like depositor runs without external funding strain (Husna &amp; Satria, 2019; </w:t>
      </w:r>
      <w:proofErr w:type="spellStart"/>
      <w:r w:rsidR="00FB5718" w:rsidRPr="00FB5718">
        <w:rPr>
          <w:rFonts w:ascii="Times New Roman" w:hAnsi="Times New Roman" w:cs="Times New Roman"/>
          <w:sz w:val="24"/>
          <w:szCs w:val="24"/>
        </w:rPr>
        <w:t>Ekadjaja</w:t>
      </w:r>
      <w:proofErr w:type="spellEnd"/>
      <w:r w:rsidR="00FB5718" w:rsidRPr="00FB5718">
        <w:rPr>
          <w:rFonts w:ascii="Times New Roman" w:hAnsi="Times New Roman" w:cs="Times New Roman"/>
          <w:sz w:val="24"/>
          <w:szCs w:val="24"/>
        </w:rPr>
        <w:t xml:space="preserve"> et al., 2021); and the Equity-to-Total-Assets Ratio (ETAR), which assesses long-term solvency, capital adequacy, and leverage-induced risk margins (</w:t>
      </w:r>
      <w:proofErr w:type="spellStart"/>
      <w:r w:rsidR="00FB5718" w:rsidRPr="00FB5718">
        <w:rPr>
          <w:rFonts w:ascii="Times New Roman" w:hAnsi="Times New Roman" w:cs="Times New Roman"/>
          <w:sz w:val="24"/>
          <w:szCs w:val="24"/>
        </w:rPr>
        <w:t>Hastuti</w:t>
      </w:r>
      <w:proofErr w:type="spellEnd"/>
      <w:r w:rsidR="00FB5718" w:rsidRPr="00FB5718">
        <w:rPr>
          <w:rFonts w:ascii="Times New Roman" w:hAnsi="Times New Roman" w:cs="Times New Roman"/>
          <w:sz w:val="24"/>
          <w:szCs w:val="24"/>
        </w:rPr>
        <w:t xml:space="preserve"> et al., 2024). Consequently, this study operationalizes financial stability as a bank’s ability to structurally fortify these </w:t>
      </w:r>
      <w:proofErr w:type="gramStart"/>
      <w:r w:rsidR="00FB5718" w:rsidRPr="00FB5718">
        <w:rPr>
          <w:rFonts w:ascii="Times New Roman" w:hAnsi="Times New Roman" w:cs="Times New Roman"/>
          <w:sz w:val="24"/>
          <w:szCs w:val="24"/>
        </w:rPr>
        <w:t>three survival</w:t>
      </w:r>
      <w:proofErr w:type="gramEnd"/>
      <w:r w:rsidR="00FB5718" w:rsidRPr="00FB5718">
        <w:rPr>
          <w:rFonts w:ascii="Times New Roman" w:hAnsi="Times New Roman" w:cs="Times New Roman"/>
          <w:sz w:val="24"/>
          <w:szCs w:val="24"/>
        </w:rPr>
        <w:t xml:space="preserve"> metrics, securing its long-term financial health and investor trust, while simultaneously deploying strategic, compliant tax optimization channels like capital intensity, inventory intensity, and effective tax rate management to drive post-tax profitability.</w:t>
      </w:r>
    </w:p>
    <w:p w14:paraId="0915960E" w14:textId="77777777" w:rsidR="00EB2542" w:rsidRDefault="00EB2542" w:rsidP="00EB2542">
      <w:pPr>
        <w:spacing w:after="0"/>
        <w:jc w:val="both"/>
        <w:rPr>
          <w:rFonts w:ascii="Times New Roman" w:hAnsi="Times New Roman" w:cs="Times New Roman"/>
          <w:b/>
          <w:sz w:val="24"/>
          <w:szCs w:val="24"/>
        </w:rPr>
      </w:pPr>
    </w:p>
    <w:p w14:paraId="1C2A5B7F" w14:textId="77777777" w:rsidR="00EB2542" w:rsidRPr="00EB2542" w:rsidRDefault="00EB2542" w:rsidP="00EB2542">
      <w:pPr>
        <w:spacing w:after="0"/>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rPr>
        <w:tab/>
      </w:r>
      <w:r w:rsidRPr="00EB2542">
        <w:rPr>
          <w:rFonts w:asciiTheme="majorBidi" w:hAnsiTheme="majorBidi" w:cstheme="majorBidi"/>
          <w:b/>
          <w:sz w:val="24"/>
          <w:szCs w:val="24"/>
        </w:rPr>
        <w:t>Corporate Tax planning and financial stability</w:t>
      </w:r>
    </w:p>
    <w:p w14:paraId="2004EAC2" w14:textId="77777777" w:rsidR="00EB2542" w:rsidRPr="00EB2542" w:rsidRDefault="00EB2542" w:rsidP="00EB2542">
      <w:pPr>
        <w:spacing w:after="0"/>
        <w:jc w:val="both"/>
        <w:rPr>
          <w:rFonts w:ascii="Times New Roman" w:hAnsi="Times New Roman" w:cs="Times New Roman"/>
          <w:b/>
          <w:sz w:val="24"/>
          <w:szCs w:val="24"/>
        </w:rPr>
      </w:pPr>
      <w:r w:rsidRPr="00EB2542">
        <w:rPr>
          <w:rFonts w:ascii="Times New Roman" w:hAnsi="Times New Roman" w:cs="Times New Roman"/>
          <w:sz w:val="24"/>
          <w:szCs w:val="24"/>
        </w:rPr>
        <w:t xml:space="preserve">Extensive empirical literature has investigated the localized determinants and implications of corporate tax management across various emerging markets. Studies by Darsani and </w:t>
      </w:r>
      <w:proofErr w:type="spellStart"/>
      <w:r w:rsidRPr="00EB2542">
        <w:rPr>
          <w:rFonts w:ascii="Times New Roman" w:hAnsi="Times New Roman" w:cs="Times New Roman"/>
          <w:sz w:val="24"/>
          <w:szCs w:val="24"/>
        </w:rPr>
        <w:t>Sukartha</w:t>
      </w:r>
      <w:proofErr w:type="spellEnd"/>
      <w:r w:rsidRPr="00EB2542">
        <w:rPr>
          <w:rFonts w:ascii="Times New Roman" w:hAnsi="Times New Roman" w:cs="Times New Roman"/>
          <w:sz w:val="24"/>
          <w:szCs w:val="24"/>
        </w:rPr>
        <w:t xml:space="preserve"> (2021), </w:t>
      </w:r>
      <w:proofErr w:type="spellStart"/>
      <w:r w:rsidRPr="00EB2542">
        <w:rPr>
          <w:rFonts w:ascii="Times New Roman" w:hAnsi="Times New Roman" w:cs="Times New Roman"/>
          <w:sz w:val="24"/>
          <w:szCs w:val="24"/>
        </w:rPr>
        <w:t>Widyastuti</w:t>
      </w:r>
      <w:proofErr w:type="spellEnd"/>
      <w:r w:rsidRPr="00EB2542">
        <w:rPr>
          <w:rFonts w:ascii="Times New Roman" w:hAnsi="Times New Roman" w:cs="Times New Roman"/>
          <w:sz w:val="24"/>
          <w:szCs w:val="24"/>
        </w:rPr>
        <w:t xml:space="preserve"> et al. (2021), and </w:t>
      </w:r>
      <w:proofErr w:type="spellStart"/>
      <w:r w:rsidRPr="00EB2542">
        <w:rPr>
          <w:rFonts w:ascii="Times New Roman" w:hAnsi="Times New Roman" w:cs="Times New Roman"/>
          <w:sz w:val="24"/>
          <w:szCs w:val="24"/>
        </w:rPr>
        <w:t>Hendayana</w:t>
      </w:r>
      <w:proofErr w:type="spellEnd"/>
      <w:r w:rsidRPr="00EB2542">
        <w:rPr>
          <w:rFonts w:ascii="Times New Roman" w:hAnsi="Times New Roman" w:cs="Times New Roman"/>
          <w:sz w:val="24"/>
          <w:szCs w:val="24"/>
        </w:rPr>
        <w:t xml:space="preserve"> et al. (2024) explored the operational drivers of tax avoidance and aggressiveness within the Indonesian corporate landscape. Utilizing multiple linear and panel regressions on listed mining and manufacturing entities, these researchers demonstrated that while internal firm attributes like financial leverage and profitability frequently alter tax </w:t>
      </w:r>
      <w:r w:rsidR="00762E07" w:rsidRPr="00EB2542">
        <w:rPr>
          <w:rFonts w:ascii="Times New Roman" w:hAnsi="Times New Roman" w:cs="Times New Roman"/>
          <w:sz w:val="24"/>
          <w:szCs w:val="24"/>
        </w:rPr>
        <w:t>behaviour</w:t>
      </w:r>
      <w:r w:rsidRPr="00EB2542">
        <w:rPr>
          <w:rFonts w:ascii="Times New Roman" w:hAnsi="Times New Roman" w:cs="Times New Roman"/>
          <w:sz w:val="24"/>
          <w:szCs w:val="24"/>
        </w:rPr>
        <w:t xml:space="preserve">, capital intensity exhibits highly divergent effects—exerting a significant positive impact in extractive sectors but showing minimal statistical significance within broader manufacturing indices. Similarly, </w:t>
      </w:r>
      <w:proofErr w:type="spellStart"/>
      <w:r w:rsidRPr="00EB2542">
        <w:rPr>
          <w:rFonts w:ascii="Times New Roman" w:hAnsi="Times New Roman" w:cs="Times New Roman"/>
          <w:sz w:val="24"/>
          <w:szCs w:val="24"/>
        </w:rPr>
        <w:t>Maahury</w:t>
      </w:r>
      <w:proofErr w:type="spellEnd"/>
      <w:r w:rsidRPr="00EB2542">
        <w:rPr>
          <w:rFonts w:ascii="Times New Roman" w:hAnsi="Times New Roman" w:cs="Times New Roman"/>
          <w:sz w:val="24"/>
          <w:szCs w:val="24"/>
        </w:rPr>
        <w:t xml:space="preserve"> and </w:t>
      </w:r>
      <w:proofErr w:type="spellStart"/>
      <w:r w:rsidRPr="00EB2542">
        <w:rPr>
          <w:rFonts w:ascii="Times New Roman" w:hAnsi="Times New Roman" w:cs="Times New Roman"/>
          <w:sz w:val="24"/>
          <w:szCs w:val="24"/>
        </w:rPr>
        <w:t>Berliani</w:t>
      </w:r>
      <w:proofErr w:type="spellEnd"/>
      <w:r w:rsidRPr="00EB2542">
        <w:rPr>
          <w:rFonts w:ascii="Times New Roman" w:hAnsi="Times New Roman" w:cs="Times New Roman"/>
          <w:sz w:val="24"/>
          <w:szCs w:val="24"/>
        </w:rPr>
        <w:t xml:space="preserve"> (2025) and </w:t>
      </w:r>
      <w:proofErr w:type="spellStart"/>
      <w:r w:rsidRPr="00EB2542">
        <w:rPr>
          <w:rFonts w:ascii="Times New Roman" w:hAnsi="Times New Roman" w:cs="Times New Roman"/>
          <w:sz w:val="24"/>
          <w:szCs w:val="24"/>
        </w:rPr>
        <w:t>Lailiyah</w:t>
      </w:r>
      <w:proofErr w:type="spellEnd"/>
      <w:r w:rsidRPr="00EB2542">
        <w:rPr>
          <w:rFonts w:ascii="Times New Roman" w:hAnsi="Times New Roman" w:cs="Times New Roman"/>
          <w:sz w:val="24"/>
          <w:szCs w:val="24"/>
        </w:rPr>
        <w:t xml:space="preserve"> et al. (2024) confirmed that capital intensity significantly conditions corporate reporting practices, such as accounting conservatism and corporate social responsibility (CSR) disclosures, noting that capital-heavy operational structures naturally create distinct tax shields that alter overall reporting transparently.</w:t>
      </w:r>
    </w:p>
    <w:p w14:paraId="77AEE339" w14:textId="77777777" w:rsidR="00EB2542" w:rsidRPr="00EB2542" w:rsidRDefault="00EB2542" w:rsidP="00EB2542">
      <w:pPr>
        <w:pStyle w:val="NormalWeb"/>
        <w:jc w:val="both"/>
      </w:pPr>
      <w:r w:rsidRPr="00EB2542">
        <w:t xml:space="preserve">Within the African corporate ecosystem, research has historically concentrated on how fiscal optimization strategies influence market value and short-term earnings. In Nigeria, </w:t>
      </w:r>
      <w:proofErr w:type="spellStart"/>
      <w:r w:rsidRPr="00EB2542">
        <w:t>Omesi</w:t>
      </w:r>
      <w:proofErr w:type="spellEnd"/>
      <w:r w:rsidRPr="00EB2542">
        <w:t xml:space="preserve"> and Appah (2021) adopted an ex-post facto design to examine consumer goods companies, uncovering an insignificant and negative connection between baseline capital intensity, effective tax rates, and long-term firm value. Correspondingly, Tackie et al. (2022) examined the Ghanaian insurance market, revealing a complex, non-linear relationship between tax planning efficiency (measured via effective tax rates) and traditional accounting performance </w:t>
      </w:r>
      <w:r w:rsidRPr="00EB2542">
        <w:lastRenderedPageBreak/>
        <w:t xml:space="preserve">indicators like Return on Assets (ROA) and Return on Equity (ROE), while emphasizing that strong internal corporate governance mechanisms act as a vital moderator in maximizing the positive </w:t>
      </w:r>
      <w:r w:rsidR="00762E07" w:rsidRPr="00EB2542">
        <w:t>pay-outs</w:t>
      </w:r>
      <w:r w:rsidRPr="00EB2542">
        <w:t xml:space="preserve"> of these tax structures.</w:t>
      </w:r>
    </w:p>
    <w:p w14:paraId="0B4FFE3E" w14:textId="77777777" w:rsidR="00EB2542" w:rsidRPr="00EB2542" w:rsidRDefault="00EB2542" w:rsidP="00EB2542">
      <w:pPr>
        <w:pStyle w:val="NormalWeb"/>
        <w:jc w:val="both"/>
      </w:pPr>
      <w:r w:rsidRPr="00EB2542">
        <w:t xml:space="preserve">Despite these valuable contributions, a profound threefold literature gap remains unaddressed regarding systemic operational risk. Methodologically, prior works (Putri et al., 2022; Renaldo &amp; </w:t>
      </w:r>
      <w:proofErr w:type="spellStart"/>
      <w:r w:rsidRPr="00EB2542">
        <w:t>Murwaningsari</w:t>
      </w:r>
      <w:proofErr w:type="spellEnd"/>
      <w:r w:rsidRPr="00EB2542">
        <w:t xml:space="preserve">, 2023) have overwhelmingly prioritized traditional performance metrics like profitability or market value, entirely overlooking comprehensive, multi-dimensional financial stability constructs. Consequently, the literature lacks empirical insight into how strategic tax decisions map against deep balance-sheet survival channels, specifically short-term liquidity cushions and asset-decay dynamics. Furthermore, investigators regularly treat tax </w:t>
      </w:r>
      <w:r w:rsidR="00762E07" w:rsidRPr="00EB2542">
        <w:t>behaviour</w:t>
      </w:r>
      <w:r w:rsidRPr="00EB2542">
        <w:t xml:space="preserve"> as a monolith, omitting vital asset-side tax-planning mechanisms like inventory intensity, which directly determines a firm's working capital position and tax-liability timing.</w:t>
      </w:r>
    </w:p>
    <w:p w14:paraId="16D93FCE" w14:textId="77777777" w:rsidR="00AA025C" w:rsidRDefault="00EB2542" w:rsidP="00AA025C">
      <w:pPr>
        <w:pStyle w:val="NormalWeb"/>
        <w:jc w:val="both"/>
      </w:pPr>
      <w:proofErr w:type="spellStart"/>
      <w:r w:rsidRPr="00EB2542">
        <w:t>Sectorally</w:t>
      </w:r>
      <w:proofErr w:type="spellEnd"/>
      <w:r w:rsidRPr="00EB2542">
        <w:t xml:space="preserve"> and contextually, the overwhelming majority of existing empirical evidence is heavily biased toward non-financial sectors (such as mining, chemical, and telecommunications industries) or generic corporate indices (Abubakar et al., 2024; </w:t>
      </w:r>
      <w:proofErr w:type="spellStart"/>
      <w:r w:rsidRPr="00EB2542">
        <w:t>Febrianto</w:t>
      </w:r>
      <w:proofErr w:type="spellEnd"/>
      <w:r w:rsidRPr="00EB2542">
        <w:t xml:space="preserve"> et al., 2024; Saleem, 2025; </w:t>
      </w:r>
      <w:proofErr w:type="spellStart"/>
      <w:r w:rsidRPr="00EB2542">
        <w:t>Syawalia</w:t>
      </w:r>
      <w:proofErr w:type="spellEnd"/>
      <w:r w:rsidRPr="00EB2542">
        <w:t xml:space="preserve">, 2025). These findings have extremely limited generalizability to highly regulated financial intermediaries, whose capital adequacy thresholds, risk profiles, and operational liquidity demands are structurally unique. Financial institutions operate under stringent, policy-driven capital constraints where aggressive tax </w:t>
      </w:r>
      <w:proofErr w:type="spellStart"/>
      <w:r w:rsidRPr="00EB2542">
        <w:t>maneuvers</w:t>
      </w:r>
      <w:proofErr w:type="spellEnd"/>
      <w:r w:rsidRPr="00EB2542">
        <w:t xml:space="preserve"> might trigger unexpected regulatory penalties, severe compliance stress, or catastrophic reputational damage rather than safe cash optimization.</w:t>
      </w:r>
      <w:r>
        <w:t xml:space="preserve"> </w:t>
      </w:r>
      <w:r w:rsidRPr="00EB2542">
        <w:t>This study directly bridges these empirical, methodological, and contextual gaps by shifting the analytical lens exclusively to listed deposit money banks in Nigeria. By evaluating a comprehensive multi-dim</w:t>
      </w:r>
      <w:r>
        <w:t xml:space="preserve">ensional tax planning framework </w:t>
      </w:r>
      <w:r w:rsidRPr="00EB2542">
        <w:t>integrating Capital Intensity, Inventory Intens</w:t>
      </w:r>
      <w:r>
        <w:t xml:space="preserve">ity, and the Effective Tax Rate </w:t>
      </w:r>
      <w:r w:rsidRPr="00EB2542">
        <w:t>against the three distinct banking resilience proxies of Non-performing Loan (NPL) ratio, Current ratio, and Equity-to-Total-Assets ratio, this research provides vital context-specific insights into the tax-financial stability nexus during an era of unprecedented regulatory recapitalization.</w:t>
      </w:r>
      <w:r w:rsidR="0083233F">
        <w:t xml:space="preserve"> Based on the empirical </w:t>
      </w:r>
      <w:r w:rsidR="00F76522">
        <w:t>reviewed</w:t>
      </w:r>
      <w:r w:rsidR="0083233F">
        <w:t xml:space="preserve"> the following hypotheses were raised;</w:t>
      </w:r>
    </w:p>
    <w:p w14:paraId="27718CEA" w14:textId="77777777" w:rsidR="00AA025C" w:rsidRPr="00AA025C" w:rsidRDefault="00AA025C" w:rsidP="00AA025C">
      <w:pPr>
        <w:jc w:val="both"/>
        <w:rPr>
          <w:rFonts w:ascii="Times New Roman" w:hAnsi="Times New Roman" w:cs="Times New Roman"/>
          <w:sz w:val="24"/>
          <w:szCs w:val="24"/>
        </w:rPr>
      </w:pPr>
      <w:r w:rsidRPr="00AA025C">
        <w:rPr>
          <w:rFonts w:ascii="Times New Roman" w:hAnsi="Times New Roman" w:cs="Times New Roman"/>
          <w:b/>
          <w:i/>
          <w:sz w:val="24"/>
          <w:szCs w:val="24"/>
        </w:rPr>
        <w:t>H</w:t>
      </w:r>
      <w:r w:rsidRPr="00AA025C">
        <w:rPr>
          <w:rFonts w:ascii="Times New Roman" w:hAnsi="Times New Roman" w:cs="Times New Roman"/>
          <w:b/>
          <w:i/>
          <w:sz w:val="24"/>
          <w:szCs w:val="24"/>
          <w:vertAlign w:val="subscript"/>
        </w:rPr>
        <w:t>1</w:t>
      </w:r>
      <w:r w:rsidRPr="00AA025C">
        <w:rPr>
          <w:rFonts w:ascii="Times New Roman" w:hAnsi="Times New Roman" w:cs="Times New Roman"/>
          <w:b/>
          <w:i/>
          <w:sz w:val="24"/>
          <w:szCs w:val="24"/>
        </w:rPr>
        <w:t xml:space="preserve">: </w:t>
      </w:r>
      <w:r w:rsidRPr="00AA025C">
        <w:rPr>
          <w:rFonts w:ascii="Times New Roman" w:hAnsi="Times New Roman" w:cs="Times New Roman"/>
          <w:sz w:val="24"/>
          <w:szCs w:val="24"/>
        </w:rPr>
        <w:t xml:space="preserve">Capital Intensity has no significant effect on financial stability of listed deposit money </w:t>
      </w:r>
      <w:r w:rsidR="00F76522">
        <w:rPr>
          <w:rFonts w:ascii="Times New Roman" w:hAnsi="Times New Roman" w:cs="Times New Roman"/>
          <w:sz w:val="24"/>
          <w:szCs w:val="24"/>
        </w:rPr>
        <w:tab/>
      </w:r>
      <w:r w:rsidRPr="00AA025C">
        <w:rPr>
          <w:rFonts w:ascii="Times New Roman" w:hAnsi="Times New Roman" w:cs="Times New Roman"/>
          <w:sz w:val="24"/>
          <w:szCs w:val="24"/>
        </w:rPr>
        <w:t>banks in Nigeria.</w:t>
      </w:r>
    </w:p>
    <w:p w14:paraId="4A37C6FF" w14:textId="77777777" w:rsidR="00AA025C" w:rsidRPr="00AA025C" w:rsidRDefault="00AA025C" w:rsidP="00AA025C">
      <w:pPr>
        <w:jc w:val="both"/>
        <w:rPr>
          <w:rFonts w:ascii="Times New Roman" w:hAnsi="Times New Roman" w:cs="Times New Roman"/>
          <w:sz w:val="24"/>
          <w:szCs w:val="24"/>
        </w:rPr>
      </w:pPr>
      <w:r w:rsidRPr="00AA025C">
        <w:rPr>
          <w:rFonts w:ascii="Times New Roman" w:hAnsi="Times New Roman" w:cs="Times New Roman"/>
          <w:b/>
          <w:i/>
          <w:sz w:val="24"/>
          <w:szCs w:val="24"/>
        </w:rPr>
        <w:t>H</w:t>
      </w:r>
      <w:r w:rsidRPr="00AA025C">
        <w:rPr>
          <w:rFonts w:ascii="Times New Roman" w:hAnsi="Times New Roman" w:cs="Times New Roman"/>
          <w:b/>
          <w:i/>
          <w:sz w:val="24"/>
          <w:szCs w:val="24"/>
          <w:vertAlign w:val="subscript"/>
        </w:rPr>
        <w:t>2</w:t>
      </w:r>
      <w:r w:rsidRPr="00AA025C">
        <w:rPr>
          <w:rFonts w:ascii="Times New Roman" w:hAnsi="Times New Roman" w:cs="Times New Roman"/>
          <w:b/>
          <w:i/>
          <w:sz w:val="24"/>
          <w:szCs w:val="24"/>
        </w:rPr>
        <w:t>:</w:t>
      </w:r>
      <w:r w:rsidRPr="00AA025C">
        <w:rPr>
          <w:rFonts w:ascii="Times New Roman" w:hAnsi="Times New Roman" w:cs="Times New Roman"/>
          <w:b/>
          <w:i/>
          <w:sz w:val="24"/>
          <w:szCs w:val="24"/>
        </w:rPr>
        <w:tab/>
      </w:r>
      <w:r w:rsidRPr="00AA025C">
        <w:rPr>
          <w:rFonts w:ascii="Times New Roman" w:hAnsi="Times New Roman" w:cs="Times New Roman"/>
          <w:i/>
          <w:sz w:val="24"/>
          <w:szCs w:val="24"/>
        </w:rPr>
        <w:t>Inventory Intensity has no</w:t>
      </w:r>
      <w:r w:rsidRPr="00AA025C">
        <w:rPr>
          <w:rFonts w:ascii="Times New Roman" w:hAnsi="Times New Roman" w:cs="Times New Roman"/>
          <w:sz w:val="24"/>
          <w:szCs w:val="24"/>
        </w:rPr>
        <w:t xml:space="preserve"> significant effect on financial stability of listed deposit </w:t>
      </w:r>
      <w:r w:rsidR="00F76522">
        <w:rPr>
          <w:rFonts w:ascii="Times New Roman" w:hAnsi="Times New Roman" w:cs="Times New Roman"/>
          <w:sz w:val="24"/>
          <w:szCs w:val="24"/>
        </w:rPr>
        <w:tab/>
      </w:r>
      <w:r w:rsidRPr="00AA025C">
        <w:rPr>
          <w:rFonts w:ascii="Times New Roman" w:hAnsi="Times New Roman" w:cs="Times New Roman"/>
          <w:sz w:val="24"/>
          <w:szCs w:val="24"/>
        </w:rPr>
        <w:t>money banks in Nigeria.</w:t>
      </w:r>
    </w:p>
    <w:p w14:paraId="58DA043E" w14:textId="77777777" w:rsidR="00B531CD" w:rsidRDefault="00AA025C" w:rsidP="00AA025C">
      <w:pPr>
        <w:jc w:val="both"/>
        <w:rPr>
          <w:rFonts w:ascii="Times New Roman" w:hAnsi="Times New Roman" w:cs="Times New Roman"/>
          <w:sz w:val="24"/>
          <w:szCs w:val="24"/>
        </w:rPr>
      </w:pPr>
      <w:r w:rsidRPr="00AA025C">
        <w:rPr>
          <w:rFonts w:ascii="Times New Roman" w:hAnsi="Times New Roman" w:cs="Times New Roman"/>
          <w:b/>
          <w:i/>
          <w:sz w:val="24"/>
          <w:szCs w:val="24"/>
        </w:rPr>
        <w:t>H</w:t>
      </w:r>
      <w:r w:rsidRPr="00AA025C">
        <w:rPr>
          <w:rFonts w:ascii="Times New Roman" w:hAnsi="Times New Roman" w:cs="Times New Roman"/>
          <w:b/>
          <w:i/>
          <w:sz w:val="24"/>
          <w:szCs w:val="24"/>
          <w:vertAlign w:val="subscript"/>
        </w:rPr>
        <w:t>3</w:t>
      </w:r>
      <w:r w:rsidRPr="00AA025C">
        <w:rPr>
          <w:rFonts w:ascii="Times New Roman" w:hAnsi="Times New Roman" w:cs="Times New Roman"/>
          <w:b/>
          <w:i/>
          <w:sz w:val="24"/>
          <w:szCs w:val="24"/>
        </w:rPr>
        <w:t>:</w:t>
      </w:r>
      <w:r w:rsidRPr="00AA025C">
        <w:rPr>
          <w:rFonts w:ascii="Times New Roman" w:hAnsi="Times New Roman" w:cs="Times New Roman"/>
          <w:b/>
          <w:i/>
          <w:sz w:val="24"/>
          <w:szCs w:val="24"/>
        </w:rPr>
        <w:tab/>
      </w:r>
      <w:r w:rsidRPr="00AA025C">
        <w:rPr>
          <w:rFonts w:ascii="Times New Roman" w:hAnsi="Times New Roman" w:cs="Times New Roman"/>
          <w:sz w:val="24"/>
          <w:szCs w:val="24"/>
        </w:rPr>
        <w:t xml:space="preserve">Effect of Tax Rate has no significant effect on financial stability of listed deposit money </w:t>
      </w:r>
      <w:r w:rsidR="00F76522">
        <w:rPr>
          <w:rFonts w:ascii="Times New Roman" w:hAnsi="Times New Roman" w:cs="Times New Roman"/>
          <w:sz w:val="24"/>
          <w:szCs w:val="24"/>
        </w:rPr>
        <w:tab/>
      </w:r>
      <w:r w:rsidRPr="00AA025C">
        <w:rPr>
          <w:rFonts w:ascii="Times New Roman" w:hAnsi="Times New Roman" w:cs="Times New Roman"/>
          <w:sz w:val="24"/>
          <w:szCs w:val="24"/>
        </w:rPr>
        <w:t>banks in Nigeria.</w:t>
      </w:r>
    </w:p>
    <w:p w14:paraId="3EE1B609" w14:textId="77777777" w:rsidR="002626AB" w:rsidRDefault="002626AB" w:rsidP="00B531CD">
      <w:pPr>
        <w:spacing w:line="360" w:lineRule="auto"/>
        <w:jc w:val="both"/>
        <w:rPr>
          <w:rFonts w:ascii="Times New Roman" w:hAnsi="Times New Roman" w:cs="Times New Roman"/>
          <w:b/>
          <w:bCs/>
          <w:sz w:val="24"/>
          <w:szCs w:val="24"/>
        </w:rPr>
      </w:pPr>
    </w:p>
    <w:p w14:paraId="7411463E" w14:textId="77777777" w:rsidR="002626AB" w:rsidRDefault="002626AB" w:rsidP="00B531CD">
      <w:pPr>
        <w:spacing w:line="360" w:lineRule="auto"/>
        <w:jc w:val="both"/>
        <w:rPr>
          <w:rFonts w:ascii="Times New Roman" w:hAnsi="Times New Roman" w:cs="Times New Roman"/>
          <w:b/>
          <w:bCs/>
          <w:sz w:val="24"/>
          <w:szCs w:val="24"/>
        </w:rPr>
      </w:pPr>
    </w:p>
    <w:p w14:paraId="55C0A398" w14:textId="77777777" w:rsidR="002626AB" w:rsidRDefault="002626AB" w:rsidP="00B531CD">
      <w:pPr>
        <w:spacing w:line="360" w:lineRule="auto"/>
        <w:jc w:val="both"/>
        <w:rPr>
          <w:rFonts w:ascii="Times New Roman" w:hAnsi="Times New Roman" w:cs="Times New Roman"/>
          <w:b/>
          <w:bCs/>
          <w:sz w:val="24"/>
          <w:szCs w:val="24"/>
        </w:rPr>
      </w:pPr>
    </w:p>
    <w:p w14:paraId="5A50EDC9" w14:textId="77777777" w:rsidR="002626AB" w:rsidRDefault="002626AB" w:rsidP="00B531CD">
      <w:pPr>
        <w:spacing w:line="360" w:lineRule="auto"/>
        <w:jc w:val="both"/>
        <w:rPr>
          <w:rFonts w:ascii="Times New Roman" w:hAnsi="Times New Roman" w:cs="Times New Roman"/>
          <w:b/>
          <w:bCs/>
          <w:sz w:val="24"/>
          <w:szCs w:val="24"/>
        </w:rPr>
      </w:pPr>
    </w:p>
    <w:p w14:paraId="6DBF239D" w14:textId="77777777" w:rsidR="003019D7" w:rsidRPr="00B531CD" w:rsidRDefault="00B531CD" w:rsidP="00B531CD">
      <w:pPr>
        <w:spacing w:line="360" w:lineRule="auto"/>
        <w:jc w:val="both"/>
        <w:rPr>
          <w:rFonts w:ascii="Times New Roman" w:hAnsi="Times New Roman" w:cs="Times New Roman"/>
          <w:b/>
          <w:bCs/>
          <w:sz w:val="24"/>
          <w:szCs w:val="24"/>
        </w:rPr>
      </w:pPr>
      <w:r w:rsidRPr="009A657D">
        <w:rPr>
          <w:rFonts w:ascii="Times New Roman" w:hAnsi="Times New Roman" w:cs="Times New Roman"/>
          <w:b/>
          <w:bCs/>
          <w:sz w:val="24"/>
          <w:szCs w:val="24"/>
        </w:rPr>
        <w:t>2.3</w:t>
      </w:r>
      <w:r w:rsidRPr="009A657D">
        <w:rPr>
          <w:rFonts w:ascii="Times New Roman" w:hAnsi="Times New Roman" w:cs="Times New Roman"/>
          <w:b/>
          <w:bCs/>
          <w:sz w:val="24"/>
          <w:szCs w:val="24"/>
        </w:rPr>
        <w:tab/>
        <w:t>Conceptual framework</w:t>
      </w:r>
    </w:p>
    <w:p w14:paraId="58C637F1"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w:lastRenderedPageBreak/>
        <mc:AlternateContent>
          <mc:Choice Requires="wps">
            <w:drawing>
              <wp:anchor distT="0" distB="0" distL="114300" distR="114300" simplePos="0" relativeHeight="251659264" behindDoc="0" locked="0" layoutInCell="1" allowOverlap="1" wp14:anchorId="3117685B" wp14:editId="6A0B3755">
                <wp:simplePos x="0" y="0"/>
                <wp:positionH relativeFrom="column">
                  <wp:posOffset>85726</wp:posOffset>
                </wp:positionH>
                <wp:positionV relativeFrom="paragraph">
                  <wp:posOffset>93980</wp:posOffset>
                </wp:positionV>
                <wp:extent cx="2095500" cy="381000"/>
                <wp:effectExtent l="0" t="0" r="19050" b="19050"/>
                <wp:wrapNone/>
                <wp:docPr id="1" name="Rounded Rectangle 1"/>
                <wp:cNvGraphicFramePr/>
                <a:graphic xmlns:a="http://schemas.openxmlformats.org/drawingml/2006/main">
                  <a:graphicData uri="http://schemas.microsoft.com/office/word/2010/wordprocessingShape">
                    <wps:wsp>
                      <wps:cNvSpPr/>
                      <wps:spPr>
                        <a:xfrm>
                          <a:off x="0" y="0"/>
                          <a:ext cx="2095500" cy="38100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AE7DFE7" w14:textId="77777777" w:rsidR="007B3DCE" w:rsidRPr="00D056A1" w:rsidRDefault="007B3DCE" w:rsidP="00D056A1">
                            <w:pPr>
                              <w:jc w:val="both"/>
                              <w:rPr>
                                <w:sz w:val="24"/>
                                <w:szCs w:val="24"/>
                              </w:rPr>
                            </w:pPr>
                            <w:r w:rsidRPr="00D056A1">
                              <w:rPr>
                                <w:rFonts w:asciiTheme="majorBidi" w:hAnsiTheme="majorBidi" w:cstheme="majorBidi"/>
                                <w:b/>
                                <w:sz w:val="24"/>
                                <w:szCs w:val="24"/>
                              </w:rPr>
                              <w:t>Corporate Tax planning</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w14:anchorId="3117685B" id="Rounded Rectangle 1" o:spid="_x0000_s1026" style="position:absolute;left:0;text-align:left;margin-left:6.75pt;margin-top:7.4pt;width:16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" fillcolor="white [3201]" strokecolor="black [3213]" strokeweight="1.5pt">
                <v:stroke joinstyle="miter"/>
                <v:textbox>
                  <w:txbxContent>
                    <w:p w14:paraId="7AE7DFE7" w14:textId="77777777" w:rsidR="007B3DCE" w:rsidRPr="00D056A1" w:rsidRDefault="007B3DCE" w:rsidP="00D056A1">
                      <w:pPr>
                        <w:jc w:val="both"/>
                        <w:rPr>
                          <w:sz w:val="24"/>
                          <w:szCs w:val="24"/>
                        </w:rPr>
                      </w:pPr>
                      <w:r w:rsidRPr="00D056A1">
                        <w:rPr>
                          <w:rFonts w:asciiTheme="majorBidi" w:hAnsiTheme="majorBidi" w:cstheme="majorBidi"/>
                          <w:b/>
                          <w:sz w:val="24"/>
                          <w:szCs w:val="24"/>
                        </w:rPr>
                        <w:t>Corporate Tax planning</w:t>
                      </w:r>
                    </w:p>
                  </w:txbxContent>
                </v:textbox>
              </v:roundrect>
            </w:pict>
          </mc:Fallback>
        </mc:AlternateContent>
      </w:r>
    </w:p>
    <w:p w14:paraId="475D06C5" w14:textId="77777777" w:rsidR="00B531CD" w:rsidRDefault="00B531CD" w:rsidP="00B531CD">
      <w:pPr>
        <w:spacing w:after="0"/>
        <w:ind w:left="-5" w:right="52" w:firstLine="725"/>
        <w:rPr>
          <w:rFonts w:ascii="Times New Roman" w:hAnsi="Times New Roman" w:cs="Times New Roman"/>
          <w:sz w:val="24"/>
          <w:szCs w:val="24"/>
        </w:rPr>
      </w:pPr>
    </w:p>
    <w:p w14:paraId="56D994D2"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0288" behindDoc="0" locked="0" layoutInCell="1" allowOverlap="1" wp14:anchorId="5A6A5804" wp14:editId="3CBF867E">
                <wp:simplePos x="0" y="0"/>
                <wp:positionH relativeFrom="column">
                  <wp:posOffset>2943225</wp:posOffset>
                </wp:positionH>
                <wp:positionV relativeFrom="paragraph">
                  <wp:posOffset>115570</wp:posOffset>
                </wp:positionV>
                <wp:extent cx="2724150" cy="1714500"/>
                <wp:effectExtent l="0" t="0" r="19050" b="19050"/>
                <wp:wrapNone/>
                <wp:docPr id="2" name="Oval 2"/>
                <wp:cNvGraphicFramePr/>
                <a:graphic xmlns:a="http://schemas.openxmlformats.org/drawingml/2006/main">
                  <a:graphicData uri="http://schemas.microsoft.com/office/word/2010/wordprocessingShape">
                    <wps:wsp>
                      <wps:cNvSpPr/>
                      <wps:spPr>
                        <a:xfrm>
                          <a:off x="0" y="0"/>
                          <a:ext cx="2724150" cy="1714500"/>
                        </a:xfrm>
                        <a:prstGeom prst="ellipse">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ABFD3D3" w14:textId="77777777" w:rsidR="007B3DCE" w:rsidRPr="00B531CD" w:rsidRDefault="007B3DCE" w:rsidP="00D056A1">
                            <w:pPr>
                              <w:spacing w:after="0"/>
                              <w:ind w:right="52"/>
                              <w:jc w:val="both"/>
                              <w:rPr>
                                <w:rFonts w:ascii="Times New Roman" w:hAnsi="Times New Roman" w:cs="Times New Roman"/>
                                <w:b/>
                                <w:sz w:val="24"/>
                                <w:szCs w:val="24"/>
                              </w:rPr>
                            </w:pPr>
                            <w:r>
                              <w:rPr>
                                <w:rFonts w:ascii="Times New Roman" w:hAnsi="Times New Roman" w:cs="Times New Roman"/>
                                <w:b/>
                                <w:sz w:val="24"/>
                                <w:szCs w:val="24"/>
                              </w:rPr>
                              <w:tab/>
                            </w:r>
                            <w:r w:rsidRPr="00B531CD">
                              <w:rPr>
                                <w:rFonts w:ascii="Times New Roman" w:hAnsi="Times New Roman" w:cs="Times New Roman"/>
                                <w:b/>
                                <w:sz w:val="24"/>
                                <w:szCs w:val="24"/>
                              </w:rPr>
                              <w:t>Financial Stability</w:t>
                            </w:r>
                          </w:p>
                          <w:p w14:paraId="4C2E0FFB"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Non-performing loan ratio</w:t>
                            </w:r>
                          </w:p>
                          <w:p w14:paraId="1E27F138"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Current ratio</w:t>
                            </w:r>
                          </w:p>
                          <w:p w14:paraId="7D5DAD6F" w14:textId="77777777" w:rsidR="007B3DCE" w:rsidRPr="00B531CD"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Equity to total asset</w:t>
                            </w:r>
                            <w:r w:rsidRPr="00B531CD">
                              <w:rPr>
                                <w:sz w:val="28"/>
                                <w:szCs w:val="28"/>
                              </w:rPr>
                              <w:t xml:space="preserve"> </w:t>
                            </w:r>
                            <w:r w:rsidRPr="00B531CD">
                              <w:rPr>
                                <w:rFonts w:ascii="Times New Roman" w:hAnsi="Times New Roman" w:cs="Times New Roman"/>
                                <w:sz w:val="24"/>
                                <w:szCs w:val="24"/>
                              </w:rPr>
                              <w:t xml:space="preserve">ratio </w:t>
                            </w:r>
                          </w:p>
                          <w:p w14:paraId="0DD36F18" w14:textId="77777777" w:rsidR="007B3DCE" w:rsidRPr="00B531CD" w:rsidRDefault="007B3DCE" w:rsidP="00D056A1">
                            <w:pPr>
                              <w:spacing w:after="0"/>
                              <w:ind w:right="52"/>
                              <w:jc w:val="both"/>
                              <w:rPr>
                                <w:rFonts w:ascii="Times New Roman" w:hAnsi="Times New Roman" w:cs="Times New Roman"/>
                                <w:sz w:val="24"/>
                                <w:szCs w:val="24"/>
                              </w:rPr>
                            </w:pPr>
                          </w:p>
                          <w:p w14:paraId="03599143" w14:textId="77777777" w:rsidR="007B3DCE" w:rsidRDefault="007B3DCE" w:rsidP="00B531CD">
                            <w:pPr>
                              <w:spacing w:after="0"/>
                              <w:ind w:left="-5" w:right="52" w:firstLine="725"/>
                              <w:rPr>
                                <w:rFonts w:ascii="Times New Roman" w:hAnsi="Times New Roman" w:cs="Times New Roman"/>
                                <w:sz w:val="24"/>
                                <w:szCs w:val="24"/>
                              </w:rPr>
                            </w:pPr>
                          </w:p>
                          <w:p w14:paraId="1E266AE5" w14:textId="77777777" w:rsidR="007B3DCE" w:rsidRDefault="007B3DCE" w:rsidP="00B531C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oval w14:anchorId="5A6A5804" id="Oval 2" o:spid="_x0000_s1027" style="position:absolute;left:0;text-align:left;margin-left:231.75pt;margin-top:9.1pt;width:214.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" fillcolor="white [3201]" strokecolor="black [3213]" strokeweight="1.5pt">
                <v:stroke joinstyle="miter"/>
                <v:textbox>
                  <w:txbxContent>
                    <w:p w14:paraId="1ABFD3D3" w14:textId="77777777" w:rsidR="007B3DCE" w:rsidRPr="00B531CD" w:rsidRDefault="007B3DCE" w:rsidP="00D056A1">
                      <w:pPr>
                        <w:spacing w:after="0"/>
                        <w:ind w:right="52"/>
                        <w:jc w:val="both"/>
                        <w:rPr>
                          <w:rFonts w:ascii="Times New Roman" w:hAnsi="Times New Roman" w:cs="Times New Roman"/>
                          <w:b/>
                          <w:sz w:val="24"/>
                          <w:szCs w:val="24"/>
                        </w:rPr>
                      </w:pPr>
                      <w:r>
                        <w:rPr>
                          <w:rFonts w:ascii="Times New Roman" w:hAnsi="Times New Roman" w:cs="Times New Roman"/>
                          <w:b/>
                          <w:sz w:val="24"/>
                          <w:szCs w:val="24"/>
                        </w:rPr>
                        <w:tab/>
                      </w:r>
                      <w:r w:rsidRPr="00B531CD">
                        <w:rPr>
                          <w:rFonts w:ascii="Times New Roman" w:hAnsi="Times New Roman" w:cs="Times New Roman"/>
                          <w:b/>
                          <w:sz w:val="24"/>
                          <w:szCs w:val="24"/>
                        </w:rPr>
                        <w:t>Financial Stability</w:t>
                      </w:r>
                    </w:p>
                    <w:p w14:paraId="4C2E0FFB"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Non-performing loan ratio</w:t>
                      </w:r>
                    </w:p>
                    <w:p w14:paraId="1E27F138" w14:textId="77777777" w:rsidR="007B3DCE"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Current ratio</w:t>
                      </w:r>
                    </w:p>
                    <w:p w14:paraId="7D5DAD6F" w14:textId="77777777" w:rsidR="007B3DCE" w:rsidRPr="00B531CD" w:rsidRDefault="007B3DCE" w:rsidP="00D056A1">
                      <w:pPr>
                        <w:pStyle w:val="ListParagraph"/>
                        <w:numPr>
                          <w:ilvl w:val="0"/>
                          <w:numId w:val="2"/>
                        </w:numPr>
                        <w:jc w:val="both"/>
                        <w:rPr>
                          <w:rFonts w:ascii="Times New Roman" w:hAnsi="Times New Roman" w:cs="Times New Roman"/>
                          <w:sz w:val="24"/>
                          <w:szCs w:val="24"/>
                        </w:rPr>
                      </w:pPr>
                      <w:r w:rsidRPr="00B531CD">
                        <w:rPr>
                          <w:rFonts w:ascii="Times New Roman" w:hAnsi="Times New Roman" w:cs="Times New Roman"/>
                          <w:sz w:val="24"/>
                          <w:szCs w:val="24"/>
                        </w:rPr>
                        <w:t>Equity to total asset</w:t>
                      </w:r>
                      <w:r w:rsidRPr="00B531CD">
                        <w:rPr>
                          <w:sz w:val="28"/>
                          <w:szCs w:val="28"/>
                        </w:rPr>
                        <w:t xml:space="preserve"> </w:t>
                      </w:r>
                      <w:r w:rsidRPr="00B531CD">
                        <w:rPr>
                          <w:rFonts w:ascii="Times New Roman" w:hAnsi="Times New Roman" w:cs="Times New Roman"/>
                          <w:sz w:val="24"/>
                          <w:szCs w:val="24"/>
                        </w:rPr>
                        <w:t xml:space="preserve">ratio </w:t>
                      </w:r>
                    </w:p>
                    <w:p w14:paraId="0DD36F18" w14:textId="77777777" w:rsidR="007B3DCE" w:rsidRPr="00B531CD" w:rsidRDefault="007B3DCE" w:rsidP="00D056A1">
                      <w:pPr>
                        <w:spacing w:after="0"/>
                        <w:ind w:right="52"/>
                        <w:jc w:val="both"/>
                        <w:rPr>
                          <w:rFonts w:ascii="Times New Roman" w:hAnsi="Times New Roman" w:cs="Times New Roman"/>
                          <w:sz w:val="24"/>
                          <w:szCs w:val="24"/>
                        </w:rPr>
                      </w:pPr>
                    </w:p>
                    <w:p w14:paraId="03599143" w14:textId="77777777" w:rsidR="007B3DCE" w:rsidRDefault="007B3DCE" w:rsidP="00B531CD">
                      <w:pPr>
                        <w:spacing w:after="0"/>
                        <w:ind w:left="-5" w:right="52" w:firstLine="725"/>
                        <w:rPr>
                          <w:rFonts w:ascii="Times New Roman" w:hAnsi="Times New Roman" w:cs="Times New Roman"/>
                          <w:sz w:val="24"/>
                          <w:szCs w:val="24"/>
                        </w:rPr>
                      </w:pPr>
                    </w:p>
                    <w:p w14:paraId="1E266AE5" w14:textId="77777777" w:rsidR="007B3DCE" w:rsidRDefault="007B3DCE" w:rsidP="00B531CD">
                      <w:pPr>
                        <w:jc w:val="center"/>
                      </w:pPr>
                    </w:p>
                  </w:txbxContent>
                </v:textbox>
              </v:oval>
            </w:pict>
          </mc:Fallback>
        </mc:AlternateContent>
      </w:r>
    </w:p>
    <w:p w14:paraId="742F33A6"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1312" behindDoc="0" locked="0" layoutInCell="1" allowOverlap="1" wp14:anchorId="4B56B4A2" wp14:editId="585C9540">
                <wp:simplePos x="0" y="0"/>
                <wp:positionH relativeFrom="column">
                  <wp:posOffset>95250</wp:posOffset>
                </wp:positionH>
                <wp:positionV relativeFrom="paragraph">
                  <wp:posOffset>61595</wp:posOffset>
                </wp:positionV>
                <wp:extent cx="2009775" cy="419100"/>
                <wp:effectExtent l="0" t="0" r="28575" b="19050"/>
                <wp:wrapNone/>
                <wp:docPr id="3" name="Rounded Rectangle 3"/>
                <wp:cNvGraphicFramePr/>
                <a:graphic xmlns:a="http://schemas.openxmlformats.org/drawingml/2006/main">
                  <a:graphicData uri="http://schemas.microsoft.com/office/word/2010/wordprocessingShape">
                    <wps:wsp>
                      <wps:cNvSpPr/>
                      <wps:spPr>
                        <a:xfrm>
                          <a:off x="0" y="0"/>
                          <a:ext cx="2009775" cy="41910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1021DD" w14:textId="77777777" w:rsidR="007B3DCE" w:rsidRDefault="007B3DCE" w:rsidP="00B531CD">
                            <w:pPr>
                              <w:rPr>
                                <w:rFonts w:ascii="Times New Roman" w:hAnsi="Times New Roman" w:cs="Times New Roman"/>
                                <w:sz w:val="24"/>
                                <w:szCs w:val="24"/>
                              </w:rPr>
                            </w:pPr>
                            <w:r w:rsidRPr="00AA025C">
                              <w:rPr>
                                <w:rFonts w:ascii="Times New Roman" w:hAnsi="Times New Roman" w:cs="Times New Roman"/>
                                <w:sz w:val="24"/>
                                <w:szCs w:val="24"/>
                              </w:rPr>
                              <w:t>Capital Intensity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4B56B4A2" id="Rounded Rectangle 3" o:spid="_x0000_s1028" style="position:absolute;left:0;text-align:left;margin-left:7.5pt;margin-top:4.85pt;width:158.25pt;height:33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" fillcolor="white [3201]" strokecolor="black [3213]" strokeweight="1.5pt">
                <v:stroke joinstyle="miter"/>
                <v:textbox>
                  <w:txbxContent>
                    <w:p w14:paraId="141021DD" w14:textId="77777777" w:rsidR="007B3DCE" w:rsidRDefault="007B3DCE" w:rsidP="00B531CD">
                      <w:pPr>
                        <w:rPr>
                          <w:rFonts w:ascii="Times New Roman" w:hAnsi="Times New Roman" w:cs="Times New Roman"/>
                          <w:sz w:val="24"/>
                          <w:szCs w:val="24"/>
                        </w:rPr>
                      </w:pPr>
                      <w:r w:rsidRPr="00AA025C">
                        <w:rPr>
                          <w:rFonts w:ascii="Times New Roman" w:hAnsi="Times New Roman" w:cs="Times New Roman"/>
                          <w:sz w:val="24"/>
                          <w:szCs w:val="24"/>
                        </w:rPr>
                        <w:t>Capital Intensity</w:t>
                      </w:r>
                    </w:p>
                  </w:txbxContent>
                </v:textbox>
              </v:roundrect>
            </w:pict>
          </mc:Fallback>
        </mc:AlternateContent>
      </w:r>
    </w:p>
    <w:p w14:paraId="51DD4EB4" w14:textId="77777777" w:rsidR="00B531CD" w:rsidRDefault="00B531CD" w:rsidP="00B531CD">
      <w:pPr>
        <w:spacing w:after="0"/>
        <w:ind w:left="-5" w:right="52" w:firstLine="725"/>
        <w:rPr>
          <w:rFonts w:ascii="Times New Roman" w:hAnsi="Times New Roman" w:cs="Times New Roman"/>
          <w:sz w:val="24"/>
          <w:szCs w:val="24"/>
        </w:rPr>
      </w:pPr>
      <w:r>
        <w:rPr>
          <w:rFonts w:ascii="Times New Roman" w:hAnsi="Times New Roman" w:cs="Times New Roman"/>
          <w:noProof/>
          <w:sz w:val="24"/>
          <w:szCs w:val="24"/>
          <w:lang w:eastAsia="en-GB"/>
        </w:rPr>
        <mc:AlternateContent>
          <mc:Choice Requires="wps">
            <w:drawing>
              <wp:anchor distT="0" distB="0" distL="114300" distR="114300" simplePos="0" relativeHeight="251664384" behindDoc="0" locked="0" layoutInCell="1" allowOverlap="1" wp14:anchorId="72D68F64" wp14:editId="2C47D2AF">
                <wp:simplePos x="0" y="0"/>
                <wp:positionH relativeFrom="column">
                  <wp:posOffset>2105025</wp:posOffset>
                </wp:positionH>
                <wp:positionV relativeFrom="paragraph">
                  <wp:posOffset>91440</wp:posOffset>
                </wp:positionV>
                <wp:extent cx="838200" cy="600075"/>
                <wp:effectExtent l="0" t="0" r="76200" b="47625"/>
                <wp:wrapNone/>
                <wp:docPr id="6" name="Straight Arrow Connector 6"/>
                <wp:cNvGraphicFramePr/>
                <a:graphic xmlns:a="http://schemas.openxmlformats.org/drawingml/2006/main">
                  <a:graphicData uri="http://schemas.microsoft.com/office/word/2010/wordprocessingShape">
                    <wps:wsp>
                      <wps:cNvCnPr/>
                      <wps:spPr>
                        <a:xfrm>
                          <a:off x="0" y="0"/>
                          <a:ext cx="838200" cy="60007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A7C5AD9" id="_x0000_t32" coordsize="21600,21600" o:spt="32" o:oned="t" path="m,l21600,21600e" filled="f">
                <v:path arrowok="t" fillok="f" o:connecttype="none"/>
                <o:lock v:ext="edit" shapetype="t"/>
              </v:shapetype>
              <v:shape id="Straight Arrow Connector 6" o:spid="_x0000_s1026" type="#_x0000_t32" style="position:absolute;margin-left:165.75pt;margin-top:7.2pt;width:66pt;height:47.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" strokecolor="black [3213]" strokeweight="1.5pt">
                <v:stroke endarrow="block" joinstyle="miter"/>
              </v:shape>
            </w:pict>
          </mc:Fallback>
        </mc:AlternateContent>
      </w:r>
    </w:p>
    <w:p w14:paraId="322142B5" w14:textId="77777777" w:rsidR="00B531CD" w:rsidRDefault="00B531CD" w:rsidP="00B531CD">
      <w:pPr>
        <w:spacing w:after="0"/>
        <w:ind w:left="-5" w:right="52" w:firstLine="725"/>
        <w:rPr>
          <w:rFonts w:ascii="Times New Roman" w:hAnsi="Times New Roman" w:cs="Times New Roman"/>
          <w:sz w:val="24"/>
          <w:szCs w:val="24"/>
        </w:rPr>
      </w:pPr>
    </w:p>
    <w:p w14:paraId="4108E223" w14:textId="77777777" w:rsidR="00B531CD" w:rsidRDefault="00B531CD" w:rsidP="00B531CD">
      <w:pPr>
        <w:spacing w:after="0" w:line="360" w:lineRule="auto"/>
        <w:ind w:firstLine="720"/>
        <w:jc w:val="both"/>
        <w:rPr>
          <w:rFonts w:ascii="Times New Roman" w:eastAsia="Times New Roman" w:hAnsi="Times New Roman" w:cs="Times New Roman"/>
          <w:bCs/>
          <w:sz w:val="24"/>
          <w:szCs w:val="24"/>
          <w:lang w:eastAsia="en-GB"/>
        </w:rPr>
      </w:pPr>
      <w:r>
        <w:rPr>
          <w:rFonts w:ascii="Times New Roman" w:hAnsi="Times New Roman" w:cs="Times New Roman"/>
          <w:noProof/>
          <w:sz w:val="24"/>
          <w:szCs w:val="24"/>
          <w:lang w:eastAsia="en-GB"/>
        </w:rPr>
        <mc:AlternateContent>
          <mc:Choice Requires="wps">
            <w:drawing>
              <wp:anchor distT="0" distB="0" distL="114300" distR="114300" simplePos="0" relativeHeight="251662336" behindDoc="0" locked="0" layoutInCell="1" allowOverlap="1" wp14:anchorId="1A975EFA" wp14:editId="3C235012">
                <wp:simplePos x="0" y="0"/>
                <wp:positionH relativeFrom="column">
                  <wp:posOffset>114300</wp:posOffset>
                </wp:positionH>
                <wp:positionV relativeFrom="paragraph">
                  <wp:posOffset>75565</wp:posOffset>
                </wp:positionV>
                <wp:extent cx="2019300" cy="552450"/>
                <wp:effectExtent l="0" t="0" r="19050" b="19050"/>
                <wp:wrapNone/>
                <wp:docPr id="4" name="Rounded Rectangle 4"/>
                <wp:cNvGraphicFramePr/>
                <a:graphic xmlns:a="http://schemas.openxmlformats.org/drawingml/2006/main">
                  <a:graphicData uri="http://schemas.microsoft.com/office/word/2010/wordprocessingShape">
                    <wps:wsp>
                      <wps:cNvSpPr/>
                      <wps:spPr>
                        <a:xfrm>
                          <a:off x="0" y="0"/>
                          <a:ext cx="2019300" cy="55245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3EC71B3" w14:textId="77777777" w:rsidR="007B3DCE" w:rsidRPr="00B531CD" w:rsidRDefault="007B3DCE" w:rsidP="00B531CD">
                            <w:r w:rsidRPr="00B531CD">
                              <w:rPr>
                                <w:rFonts w:ascii="Times New Roman" w:hAnsi="Times New Roman" w:cs="Times New Roman"/>
                                <w:sz w:val="24"/>
                                <w:szCs w:val="24"/>
                              </w:rPr>
                              <w:t>Inventory Intensity</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1A975EFA" id="Rounded Rectangle 4" o:spid="_x0000_s1029" style="position:absolute;left:0;text-align:left;margin-left:9pt;margin-top:5.95pt;width:159pt;height:43.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" fillcolor="white [3201]" strokecolor="black [3213]" strokeweight="1.5pt">
                <v:stroke joinstyle="miter"/>
                <v:textbox>
                  <w:txbxContent>
                    <w:p w14:paraId="13EC71B3" w14:textId="77777777" w:rsidR="007B3DCE" w:rsidRPr="00B531CD" w:rsidRDefault="007B3DCE" w:rsidP="00B531CD">
                      <w:r w:rsidRPr="00B531CD">
                        <w:rPr>
                          <w:rFonts w:ascii="Times New Roman" w:hAnsi="Times New Roman" w:cs="Times New Roman"/>
                          <w:sz w:val="24"/>
                          <w:szCs w:val="24"/>
                        </w:rPr>
                        <w:t>Inventory Intensity</w:t>
                      </w:r>
                    </w:p>
                  </w:txbxContent>
                </v:textbox>
              </v:roundrect>
            </w:pict>
          </mc:Fallback>
        </mc:AlternateContent>
      </w:r>
    </w:p>
    <w:p w14:paraId="0CD81E07" w14:textId="77777777" w:rsidR="00B531CD" w:rsidRDefault="00B531CD" w:rsidP="00B531CD">
      <w:pPr>
        <w:spacing w:after="0" w:line="360" w:lineRule="auto"/>
        <w:jc w:val="both"/>
        <w:rPr>
          <w:rFonts w:ascii="Times New Roman" w:eastAsia="Times New Roman" w:hAnsi="Times New Roman" w:cs="Times New Roman"/>
          <w:bCs/>
          <w:sz w:val="24"/>
          <w:szCs w:val="24"/>
          <w:lang w:eastAsia="en-GB"/>
        </w:rPr>
      </w:pPr>
      <w:r>
        <w:rPr>
          <w:rFonts w:ascii="Times New Roman" w:hAnsi="Times New Roman" w:cs="Times New Roman"/>
          <w:noProof/>
          <w:sz w:val="24"/>
          <w:szCs w:val="24"/>
          <w:lang w:eastAsia="en-GB"/>
        </w:rPr>
        <mc:AlternateContent>
          <mc:Choice Requires="wps">
            <w:drawing>
              <wp:anchor distT="0" distB="0" distL="114300" distR="114300" simplePos="0" relativeHeight="251666432" behindDoc="0" locked="0" layoutInCell="1" allowOverlap="1" wp14:anchorId="31C3A5AC" wp14:editId="39B776E0">
                <wp:simplePos x="0" y="0"/>
                <wp:positionH relativeFrom="column">
                  <wp:posOffset>2143125</wp:posOffset>
                </wp:positionH>
                <wp:positionV relativeFrom="paragraph">
                  <wp:posOffset>62230</wp:posOffset>
                </wp:positionV>
                <wp:extent cx="771525" cy="45720"/>
                <wp:effectExtent l="0" t="19050" r="47625" b="31115"/>
                <wp:wrapNone/>
                <wp:docPr id="8" name="Right Arrow 8"/>
                <wp:cNvGraphicFramePr/>
                <a:graphic xmlns:a="http://schemas.openxmlformats.org/drawingml/2006/main">
                  <a:graphicData uri="http://schemas.microsoft.com/office/word/2010/wordprocessingShape">
                    <wps:wsp>
                      <wps:cNvSpPr/>
                      <wps:spPr>
                        <a:xfrm>
                          <a:off x="0" y="0"/>
                          <a:ext cx="771525" cy="45719"/>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3D7B323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26" type="#_x0000_t13" style="position:absolute;margin-left:168.75pt;margin-top:4.9pt;width:60.75pt;height:3.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" adj="20960" fillcolor="black [3200]" strokecolor="black [1600]" strokeweight="1pt"/>
            </w:pict>
          </mc:Fallback>
        </mc:AlternateContent>
      </w:r>
      <w:r>
        <w:rPr>
          <w:rFonts w:ascii="Times New Roman" w:eastAsia="Times New Roman" w:hAnsi="Times New Roman" w:cs="Times New Roman"/>
          <w:bCs/>
          <w:noProof/>
          <w:sz w:val="24"/>
          <w:szCs w:val="24"/>
          <w:lang w:eastAsia="en-GB"/>
        </w:rPr>
        <mc:AlternateContent>
          <mc:Choice Requires="wps">
            <w:drawing>
              <wp:anchor distT="0" distB="0" distL="114300" distR="114300" simplePos="0" relativeHeight="251665408" behindDoc="0" locked="0" layoutInCell="1" allowOverlap="1" wp14:anchorId="4E583C7A" wp14:editId="2A14EAA4">
                <wp:simplePos x="0" y="0"/>
                <wp:positionH relativeFrom="column">
                  <wp:posOffset>2066925</wp:posOffset>
                </wp:positionH>
                <wp:positionV relativeFrom="paragraph">
                  <wp:posOffset>116840</wp:posOffset>
                </wp:positionV>
                <wp:extent cx="876300" cy="847725"/>
                <wp:effectExtent l="0" t="38100" r="57150" b="28575"/>
                <wp:wrapNone/>
                <wp:docPr id="7" name="Straight Arrow Connector 7"/>
                <wp:cNvGraphicFramePr/>
                <a:graphic xmlns:a="http://schemas.openxmlformats.org/drawingml/2006/main">
                  <a:graphicData uri="http://schemas.microsoft.com/office/word/2010/wordprocessingShape">
                    <wps:wsp>
                      <wps:cNvCnPr/>
                      <wps:spPr>
                        <a:xfrm flipV="1">
                          <a:off x="0" y="0"/>
                          <a:ext cx="876300" cy="847725"/>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CC8E3DD" id="Straight Arrow Connector 7" o:spid="_x0000_s1026" type="#_x0000_t32" style="position:absolute;margin-left:162.75pt;margin-top:9.2pt;width:69pt;height:66.7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" strokecolor="black [3213]" strokeweight="1.5pt">
                <v:stroke endarrow="block" joinstyle="miter"/>
              </v:shape>
            </w:pict>
          </mc:Fallback>
        </mc:AlternateContent>
      </w:r>
    </w:p>
    <w:p w14:paraId="5A04A6B1"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p>
    <w:p w14:paraId="7F7BBE52"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r>
        <w:rPr>
          <w:rFonts w:ascii="Times New Roman" w:hAnsi="Times New Roman" w:cs="Times New Roman"/>
          <w:noProof/>
          <w:sz w:val="24"/>
          <w:szCs w:val="24"/>
          <w:lang w:eastAsia="en-GB"/>
        </w:rPr>
        <mc:AlternateContent>
          <mc:Choice Requires="wps">
            <w:drawing>
              <wp:anchor distT="0" distB="0" distL="114300" distR="114300" simplePos="0" relativeHeight="251663360" behindDoc="0" locked="0" layoutInCell="1" allowOverlap="1" wp14:anchorId="7F7A52A4" wp14:editId="12C15F35">
                <wp:simplePos x="0" y="0"/>
                <wp:positionH relativeFrom="column">
                  <wp:posOffset>104775</wp:posOffset>
                </wp:positionH>
                <wp:positionV relativeFrom="paragraph">
                  <wp:posOffset>182245</wp:posOffset>
                </wp:positionV>
                <wp:extent cx="1952625" cy="419100"/>
                <wp:effectExtent l="0" t="0" r="28575" b="19050"/>
                <wp:wrapNone/>
                <wp:docPr id="5" name="Rounded Rectangle 5"/>
                <wp:cNvGraphicFramePr/>
                <a:graphic xmlns:a="http://schemas.openxmlformats.org/drawingml/2006/main">
                  <a:graphicData uri="http://schemas.microsoft.com/office/word/2010/wordprocessingShape">
                    <wps:wsp>
                      <wps:cNvSpPr/>
                      <wps:spPr>
                        <a:xfrm>
                          <a:off x="0" y="0"/>
                          <a:ext cx="1952625" cy="419100"/>
                        </a:xfrm>
                        <a:prstGeom prst="round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A0706CF" w14:textId="77777777" w:rsidR="007B3DCE" w:rsidRDefault="007B3DCE" w:rsidP="00B531CD">
                            <w:r w:rsidRPr="00AA025C">
                              <w:rPr>
                                <w:rFonts w:ascii="Times New Roman" w:hAnsi="Times New Roman" w:cs="Times New Roman"/>
                                <w:sz w:val="24"/>
                                <w:szCs w:val="24"/>
                              </w:rPr>
                              <w:t>Effect of Tax Rate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F7A52A4" id="Rounded Rectangle 5" o:spid="_x0000_s1030" style="position:absolute;left:0;text-align:left;margin-left:8.25pt;margin-top:14.35pt;width:153.75pt;height:33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" fillcolor="white [3201]" strokecolor="black [3213]" strokeweight="1.5pt">
                <v:stroke joinstyle="miter"/>
                <v:textbox>
                  <w:txbxContent>
                    <w:p w14:paraId="5A0706CF" w14:textId="77777777" w:rsidR="007B3DCE" w:rsidRDefault="007B3DCE" w:rsidP="00B531CD">
                      <w:r w:rsidRPr="00AA025C">
                        <w:rPr>
                          <w:rFonts w:ascii="Times New Roman" w:hAnsi="Times New Roman" w:cs="Times New Roman"/>
                          <w:sz w:val="24"/>
                          <w:szCs w:val="24"/>
                        </w:rPr>
                        <w:t>Effect of Tax Rate</w:t>
                      </w:r>
                    </w:p>
                  </w:txbxContent>
                </v:textbox>
              </v:roundrect>
            </w:pict>
          </mc:Fallback>
        </mc:AlternateContent>
      </w:r>
    </w:p>
    <w:p w14:paraId="494150D1"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p>
    <w:p w14:paraId="69C633AC" w14:textId="77777777" w:rsidR="00B531CD" w:rsidRDefault="00B531CD" w:rsidP="00B531CD">
      <w:pPr>
        <w:spacing w:after="0" w:line="360" w:lineRule="auto"/>
        <w:jc w:val="both"/>
        <w:rPr>
          <w:rFonts w:ascii="Times New Roman" w:eastAsia="Times New Roman" w:hAnsi="Times New Roman" w:cs="Times New Roman"/>
          <w:b/>
          <w:bCs/>
          <w:sz w:val="24"/>
          <w:szCs w:val="24"/>
          <w:lang w:eastAsia="en-GB"/>
        </w:rPr>
      </w:pPr>
    </w:p>
    <w:p w14:paraId="73B92DD7" w14:textId="77777777" w:rsidR="00B531CD" w:rsidRDefault="00C92507" w:rsidP="00B531CD">
      <w:pPr>
        <w:spacing w:after="0" w:line="360" w:lineRule="auto"/>
        <w:ind w:left="-5"/>
        <w:rPr>
          <w:rFonts w:ascii="Times New Roman" w:hAnsi="Times New Roman" w:cs="Times New Roman"/>
          <w:b/>
          <w:sz w:val="24"/>
          <w:szCs w:val="24"/>
        </w:rPr>
      </w:pPr>
      <w:r>
        <w:rPr>
          <w:rFonts w:ascii="Times New Roman" w:hAnsi="Times New Roman" w:cs="Times New Roman"/>
          <w:b/>
          <w:sz w:val="24"/>
          <w:szCs w:val="24"/>
        </w:rPr>
        <w:t>Source</w:t>
      </w:r>
      <w:r w:rsidR="00E4285F">
        <w:rPr>
          <w:rFonts w:ascii="Times New Roman" w:hAnsi="Times New Roman" w:cs="Times New Roman"/>
          <w:b/>
          <w:sz w:val="24"/>
          <w:szCs w:val="24"/>
        </w:rPr>
        <w:t xml:space="preserve">: </w:t>
      </w:r>
      <w:r w:rsidRPr="00C92507">
        <w:rPr>
          <w:rFonts w:ascii="Times New Roman" w:hAnsi="Times New Roman" w:cs="Times New Roman"/>
          <w:sz w:val="24"/>
          <w:szCs w:val="24"/>
        </w:rPr>
        <w:t>Author’s Conceptualization (2026</w:t>
      </w:r>
      <w:r w:rsidR="00B531CD" w:rsidRPr="00C92507">
        <w:rPr>
          <w:rFonts w:ascii="Times New Roman" w:hAnsi="Times New Roman" w:cs="Times New Roman"/>
          <w:sz w:val="24"/>
          <w:szCs w:val="24"/>
        </w:rPr>
        <w:t>)</w:t>
      </w:r>
      <w:r w:rsidR="00B531CD">
        <w:rPr>
          <w:rFonts w:ascii="Times New Roman" w:hAnsi="Times New Roman" w:cs="Times New Roman"/>
          <w:b/>
          <w:sz w:val="24"/>
          <w:szCs w:val="24"/>
        </w:rPr>
        <w:t xml:space="preserve"> </w:t>
      </w:r>
    </w:p>
    <w:p w14:paraId="22208193" w14:textId="77777777" w:rsidR="00C60EBF" w:rsidRPr="00B531CD" w:rsidRDefault="00C60EBF" w:rsidP="00C60EBF">
      <w:pPr>
        <w:spacing w:line="360" w:lineRule="auto"/>
        <w:jc w:val="both"/>
        <w:rPr>
          <w:rFonts w:ascii="Times New Roman" w:hAnsi="Times New Roman" w:cs="Times New Roman"/>
          <w:b/>
          <w:bCs/>
          <w:sz w:val="24"/>
          <w:szCs w:val="24"/>
        </w:rPr>
      </w:pPr>
      <w:r>
        <w:rPr>
          <w:rFonts w:ascii="Times New Roman" w:hAnsi="Times New Roman" w:cs="Times New Roman"/>
          <w:b/>
          <w:sz w:val="24"/>
          <w:szCs w:val="24"/>
        </w:rPr>
        <w:t>Fig 1-</w:t>
      </w:r>
      <w:r w:rsidRPr="00C60EBF">
        <w:rPr>
          <w:rFonts w:ascii="Times New Roman" w:hAnsi="Times New Roman" w:cs="Times New Roman"/>
          <w:b/>
          <w:bCs/>
          <w:sz w:val="24"/>
          <w:szCs w:val="24"/>
        </w:rPr>
        <w:t xml:space="preserve"> </w:t>
      </w:r>
      <w:r w:rsidRPr="009A657D">
        <w:rPr>
          <w:rFonts w:ascii="Times New Roman" w:hAnsi="Times New Roman" w:cs="Times New Roman"/>
          <w:b/>
          <w:bCs/>
          <w:sz w:val="24"/>
          <w:szCs w:val="24"/>
        </w:rPr>
        <w:t>Conceptual framework</w:t>
      </w:r>
    </w:p>
    <w:p w14:paraId="5417B09B" w14:textId="77777777" w:rsidR="00C60EBF" w:rsidRDefault="00C60EBF" w:rsidP="00B531CD">
      <w:pPr>
        <w:spacing w:after="0" w:line="360" w:lineRule="auto"/>
        <w:ind w:left="-5"/>
        <w:rPr>
          <w:rFonts w:ascii="Times New Roman" w:hAnsi="Times New Roman" w:cs="Times New Roman"/>
          <w:b/>
          <w:sz w:val="24"/>
          <w:szCs w:val="24"/>
        </w:rPr>
      </w:pPr>
    </w:p>
    <w:p w14:paraId="2BDEF9BC" w14:textId="77777777" w:rsidR="00914859" w:rsidRDefault="00914859" w:rsidP="0091485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2.4.</w:t>
      </w:r>
      <w:r>
        <w:rPr>
          <w:rFonts w:ascii="Times New Roman" w:hAnsi="Times New Roman" w:cs="Times New Roman"/>
          <w:b/>
          <w:sz w:val="24"/>
          <w:szCs w:val="24"/>
        </w:rPr>
        <w:tab/>
        <w:t>Theoretical Review</w:t>
      </w:r>
    </w:p>
    <w:p w14:paraId="241F6974" w14:textId="77777777" w:rsidR="00914859" w:rsidRDefault="00914859" w:rsidP="00914859">
      <w:pPr>
        <w:pStyle w:val="NormalWeb"/>
        <w:spacing w:before="0" w:beforeAutospacing="0" w:after="0" w:afterAutospacing="0" w:line="360" w:lineRule="auto"/>
        <w:rPr>
          <w:b/>
        </w:rPr>
      </w:pPr>
      <w:r w:rsidRPr="0010605C">
        <w:rPr>
          <w:b/>
        </w:rPr>
        <w:t xml:space="preserve">2.4.1 </w:t>
      </w:r>
      <w:r>
        <w:rPr>
          <w:b/>
          <w:bCs/>
        </w:rPr>
        <w:t>Trade-Off Theory of Capital Structure</w:t>
      </w:r>
    </w:p>
    <w:p w14:paraId="641D5DE8" w14:textId="77777777" w:rsidR="00914859" w:rsidRDefault="00914859" w:rsidP="00914859">
      <w:pPr>
        <w:pStyle w:val="NormalWeb"/>
        <w:spacing w:before="0" w:beforeAutospacing="0" w:after="0" w:afterAutospacing="0"/>
        <w:jc w:val="both"/>
      </w:pPr>
      <w:r w:rsidRPr="00914859">
        <w:rPr>
          <w:bCs/>
        </w:rPr>
        <w:t>Trade-Off Theory of Capital Structure</w:t>
      </w:r>
      <w:r w:rsidRPr="00914859">
        <w:t>,</w:t>
      </w:r>
      <w:r>
        <w:t xml:space="preserve"> propounded by Alan Kraus and Robert Litzenberger in 1973. The theory assumes that interest payments on debt are tax-deductible, that corporate bankruptcy and financial distress costs increase as leverage rises, that managers act rationally to maximize shareholder wealth, and that firms actively maintain and adjust toward a target debt-equity ratio over time where the marginal benefit of debt equals its marginal cost. Despite its theoretical strength, the theory faces critical limitations: it fails to explain why highly profitable firms often maintain low debt levels instead of maximizing tax shields, ignores the severe information asymmetry and agency conflicts inherent in corporate governance, and relies on a static framework that overlooks market-timing opportunities and the value of financial flexibility. Nevertheless, the theory is exceptionally relevant to this study because it directly addresses the strategic tension in corporate tax planning, where Nigerian deposit money banks leverage asset-based tax shields (like capital intensity and inventory intensity) and manage effective tax rates to optimize cash flows, while simultaneously balancing these tax benefits against the escalating credit risks (Non-performing Loan ratio), short-term liquidity pressures (Current ratio), and strict regulatory solvency demands (Equity-to-Total-Assets ratio) required to maintain financial stability amid the ongoing ₦500 billion Central Bank of Nigeria recapitalization crisis.</w:t>
      </w:r>
    </w:p>
    <w:p w14:paraId="55A87428" w14:textId="77777777" w:rsidR="0033677E" w:rsidRDefault="0033677E" w:rsidP="0033677E">
      <w:pPr>
        <w:spacing w:after="0" w:line="360" w:lineRule="auto"/>
        <w:jc w:val="both"/>
      </w:pPr>
      <w:r>
        <w:rPr>
          <w:rFonts w:ascii="Times New Roman" w:hAnsi="Times New Roman" w:cs="Times New Roman"/>
          <w:b/>
          <w:sz w:val="24"/>
          <w:szCs w:val="24"/>
        </w:rPr>
        <w:t>3.0</w:t>
      </w:r>
      <w:r>
        <w:rPr>
          <w:rFonts w:ascii="Times New Roman" w:hAnsi="Times New Roman" w:cs="Times New Roman"/>
          <w:b/>
          <w:sz w:val="24"/>
          <w:szCs w:val="24"/>
        </w:rPr>
        <w:tab/>
        <w:t>Research Method</w:t>
      </w:r>
      <w:r>
        <w:t xml:space="preserve"> </w:t>
      </w:r>
    </w:p>
    <w:p w14:paraId="3A7D0B6E" w14:textId="77777777" w:rsidR="00082587" w:rsidRDefault="0033677E" w:rsidP="00082587">
      <w:pPr>
        <w:spacing w:after="0" w:line="240" w:lineRule="auto"/>
        <w:jc w:val="both"/>
        <w:rPr>
          <w:rFonts w:ascii="Times New Roman" w:hAnsi="Times New Roman" w:cs="Times New Roman"/>
          <w:sz w:val="24"/>
          <w:szCs w:val="24"/>
        </w:rPr>
      </w:pPr>
      <w:r w:rsidRPr="0033677E">
        <w:rPr>
          <w:rFonts w:ascii="Times New Roman" w:hAnsi="Times New Roman" w:cs="Times New Roman"/>
          <w:sz w:val="24"/>
          <w:szCs w:val="24"/>
        </w:rPr>
        <w:t>This study adopts a combined ex-post facto and explanatory research design to retrospectively evaluate the cause-and-effect relationships and causal linkages among corporate tax planning, corporate restructuring, capital adequacy, and financial stability in Nigeria without variable manipulation (</w:t>
      </w:r>
      <w:proofErr w:type="spellStart"/>
      <w:r w:rsidRPr="0033677E">
        <w:rPr>
          <w:rFonts w:ascii="Times New Roman" w:hAnsi="Times New Roman" w:cs="Times New Roman"/>
          <w:sz w:val="24"/>
          <w:szCs w:val="24"/>
        </w:rPr>
        <w:t>Awotomilusi</w:t>
      </w:r>
      <w:proofErr w:type="spellEnd"/>
      <w:r w:rsidRPr="0033677E">
        <w:rPr>
          <w:rFonts w:ascii="Times New Roman" w:hAnsi="Times New Roman" w:cs="Times New Roman"/>
          <w:sz w:val="24"/>
          <w:szCs w:val="24"/>
        </w:rPr>
        <w:t xml:space="preserve"> &amp; </w:t>
      </w:r>
      <w:proofErr w:type="spellStart"/>
      <w:r w:rsidRPr="0033677E">
        <w:rPr>
          <w:rFonts w:ascii="Times New Roman" w:hAnsi="Times New Roman" w:cs="Times New Roman"/>
          <w:sz w:val="24"/>
          <w:szCs w:val="24"/>
        </w:rPr>
        <w:t>Ajoloko</w:t>
      </w:r>
      <w:proofErr w:type="spellEnd"/>
      <w:r w:rsidRPr="0033677E">
        <w:rPr>
          <w:rFonts w:ascii="Times New Roman" w:hAnsi="Times New Roman" w:cs="Times New Roman"/>
          <w:sz w:val="24"/>
          <w:szCs w:val="24"/>
        </w:rPr>
        <w:t>, 2021). Utilizing a census sampling technique due to the highly consolidated and manageable nature of the financial sector, the study eliminates sampling bias by including the entire population of all 10 deposit money banks listed on th</w:t>
      </w:r>
      <w:r>
        <w:rPr>
          <w:rFonts w:ascii="Times New Roman" w:hAnsi="Times New Roman" w:cs="Times New Roman"/>
          <w:sz w:val="24"/>
          <w:szCs w:val="24"/>
        </w:rPr>
        <w:t xml:space="preserve">e Nigerian Exchange Group (NGX) </w:t>
      </w:r>
      <w:r w:rsidRPr="0033677E">
        <w:rPr>
          <w:rFonts w:ascii="Times New Roman" w:hAnsi="Times New Roman" w:cs="Times New Roman"/>
          <w:sz w:val="24"/>
          <w:szCs w:val="24"/>
        </w:rPr>
        <w:t xml:space="preserve">specifically Fidelity, FCMB, Stanbic IBTC, GTCO, FBNH, Zenith, UBA, Access, Wema, and ETI. Reliable, standardized, and verifiable secondary data </w:t>
      </w:r>
      <w:r w:rsidRPr="0033677E">
        <w:rPr>
          <w:rFonts w:ascii="Times New Roman" w:hAnsi="Times New Roman" w:cs="Times New Roman"/>
          <w:sz w:val="24"/>
          <w:szCs w:val="24"/>
        </w:rPr>
        <w:lastRenderedPageBreak/>
        <w:t>were gathered over a 15-year longitudinal period (2010–2024) from published annual reports, NGX filings, and Central Bank of Nigeria (CBN) statistical bulletins. The choice of this timeline is justified as 2010 marks the critical post-consolidation and regulatory reform era following the 2009 banking crisis, while extending the window to 2024 captures modern macroeconomic adjustments and post-COVID-19 recovery measures, providing a robust, multi-year framework to track how strategic fiscal choices alter bank resilience.</w:t>
      </w:r>
    </w:p>
    <w:p w14:paraId="6A2C6030" w14:textId="77777777" w:rsidR="00082587" w:rsidRDefault="00082587" w:rsidP="00082587">
      <w:pPr>
        <w:spacing w:after="0" w:line="240" w:lineRule="auto"/>
        <w:jc w:val="both"/>
        <w:rPr>
          <w:rFonts w:ascii="Times New Roman" w:eastAsia="Times New Roman" w:hAnsi="Times New Roman" w:cs="Times New Roman"/>
          <w:b/>
          <w:bCs/>
          <w:sz w:val="27"/>
          <w:szCs w:val="27"/>
          <w:lang w:eastAsia="en-GB"/>
        </w:rPr>
      </w:pPr>
    </w:p>
    <w:p w14:paraId="4372FA7D" w14:textId="77777777" w:rsidR="00082587" w:rsidRDefault="00082587" w:rsidP="00082587">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7"/>
          <w:szCs w:val="27"/>
          <w:lang w:eastAsia="en-GB"/>
        </w:rPr>
        <w:t>3.1</w:t>
      </w:r>
      <w:r>
        <w:rPr>
          <w:rFonts w:ascii="Times New Roman" w:eastAsia="Times New Roman" w:hAnsi="Times New Roman" w:cs="Times New Roman"/>
          <w:b/>
          <w:bCs/>
          <w:sz w:val="27"/>
          <w:szCs w:val="27"/>
          <w:lang w:eastAsia="en-GB"/>
        </w:rPr>
        <w:tab/>
      </w:r>
      <w:r w:rsidRPr="00082587">
        <w:rPr>
          <w:rFonts w:ascii="Times New Roman" w:eastAsia="Times New Roman" w:hAnsi="Times New Roman" w:cs="Times New Roman"/>
          <w:b/>
          <w:bCs/>
          <w:sz w:val="27"/>
          <w:szCs w:val="27"/>
          <w:lang w:eastAsia="en-GB"/>
        </w:rPr>
        <w:t xml:space="preserve"> Model Specification</w:t>
      </w:r>
    </w:p>
    <w:p w14:paraId="2D005A37" w14:textId="77777777" w:rsidR="00082587" w:rsidRDefault="00082587" w:rsidP="00E50E62">
      <w:pPr>
        <w:spacing w:after="0" w:line="240" w:lineRule="auto"/>
        <w:jc w:val="both"/>
        <w:rPr>
          <w:rFonts w:ascii="Times New Roman" w:eastAsia="Times New Roman" w:hAnsi="Times New Roman" w:cs="Times New Roman"/>
          <w:sz w:val="24"/>
          <w:szCs w:val="24"/>
          <w:lang w:eastAsia="en-GB"/>
        </w:rPr>
      </w:pPr>
      <w:r w:rsidRPr="00352CE6">
        <w:rPr>
          <w:rFonts w:asciiTheme="majorBidi" w:eastAsia="Times New Roman" w:hAnsiTheme="majorBidi" w:cstheme="majorBidi"/>
          <w:sz w:val="24"/>
          <w:szCs w:val="24"/>
        </w:rPr>
        <w:t>The econometric model for the first objective of this study was adapted from Tackie et al. (2022), who examined the impact of tax planning on the performance of insurance companies in Ghana, considering the moderating role of corporate governance and controlling for other variables such as firm size, firm age, claims ratio, and current ratio.</w:t>
      </w:r>
      <w:r>
        <w:rPr>
          <w:rFonts w:asciiTheme="majorBidi" w:eastAsia="Times New Roman" w:hAnsiTheme="majorBidi" w:cstheme="majorBidi"/>
          <w:sz w:val="24"/>
          <w:szCs w:val="24"/>
        </w:rPr>
        <w:t xml:space="preserve"> </w:t>
      </w:r>
      <w:r w:rsidRPr="00082587">
        <w:rPr>
          <w:rFonts w:ascii="Times New Roman" w:eastAsia="Times New Roman" w:hAnsi="Times New Roman" w:cs="Times New Roman"/>
          <w:sz w:val="24"/>
          <w:szCs w:val="24"/>
          <w:lang w:eastAsia="en-GB"/>
        </w:rPr>
        <w:t>Following the conceptual fr</w:t>
      </w:r>
      <w:r>
        <w:rPr>
          <w:rFonts w:ascii="Times New Roman" w:eastAsia="Times New Roman" w:hAnsi="Times New Roman" w:cs="Times New Roman"/>
          <w:sz w:val="24"/>
          <w:szCs w:val="24"/>
          <w:lang w:eastAsia="en-GB"/>
        </w:rPr>
        <w:t>amework.  T</w:t>
      </w:r>
      <w:r w:rsidRPr="00082587">
        <w:rPr>
          <w:rFonts w:ascii="Times New Roman" w:eastAsia="Times New Roman" w:hAnsi="Times New Roman" w:cs="Times New Roman"/>
          <w:sz w:val="24"/>
          <w:szCs w:val="24"/>
          <w:lang w:eastAsia="en-GB"/>
        </w:rPr>
        <w:t>he baseline model is modified to incorporate multi-dimensional pro</w:t>
      </w:r>
      <w:r>
        <w:rPr>
          <w:rFonts w:ascii="Times New Roman" w:eastAsia="Times New Roman" w:hAnsi="Times New Roman" w:cs="Times New Roman"/>
          <w:sz w:val="24"/>
          <w:szCs w:val="24"/>
          <w:lang w:eastAsia="en-GB"/>
        </w:rPr>
        <w:t xml:space="preserve">xies for corporate tax planning </w:t>
      </w:r>
      <w:r w:rsidRPr="00082587">
        <w:rPr>
          <w:rFonts w:ascii="Times New Roman" w:eastAsia="Times New Roman" w:hAnsi="Times New Roman" w:cs="Times New Roman"/>
          <w:sz w:val="24"/>
          <w:szCs w:val="24"/>
          <w:lang w:eastAsia="en-GB"/>
        </w:rPr>
        <w:t>Capital Intensity (CPI), Inventory Intensity (IVI), and Effective Tax Rate (ETR</w:t>
      </w:r>
      <w:r>
        <w:rPr>
          <w:rFonts w:ascii="Times New Roman" w:eastAsia="Times New Roman" w:hAnsi="Times New Roman" w:cs="Times New Roman"/>
          <w:sz w:val="24"/>
          <w:szCs w:val="24"/>
          <w:lang w:eastAsia="en-GB"/>
        </w:rPr>
        <w:t xml:space="preserve">) </w:t>
      </w:r>
      <w:r w:rsidRPr="00082587">
        <w:rPr>
          <w:rFonts w:ascii="Times New Roman" w:eastAsia="Times New Roman" w:hAnsi="Times New Roman" w:cs="Times New Roman"/>
          <w:sz w:val="24"/>
          <w:szCs w:val="24"/>
          <w:lang w:eastAsia="en-GB"/>
        </w:rPr>
        <w:t>while decomposing Financial Stability into three distinct operational metrics: Non-Performing Loans Ratio (NPLR), Current Ratio (CR), and Equity to Total Assets Ratio (ETAR).</w:t>
      </w:r>
      <w:r>
        <w:rPr>
          <w:rFonts w:ascii="Times New Roman" w:eastAsia="Times New Roman" w:hAnsi="Times New Roman" w:cs="Times New Roman"/>
          <w:sz w:val="24"/>
          <w:szCs w:val="24"/>
          <w:lang w:eastAsia="en-GB"/>
        </w:rPr>
        <w:t xml:space="preserve"> </w:t>
      </w:r>
      <w:r w:rsidRPr="00082587">
        <w:rPr>
          <w:rFonts w:ascii="Times New Roman" w:eastAsia="Times New Roman" w:hAnsi="Times New Roman" w:cs="Times New Roman"/>
          <w:sz w:val="24"/>
          <w:szCs w:val="24"/>
          <w:lang w:eastAsia="en-GB"/>
        </w:rPr>
        <w:t xml:space="preserve">Thus, </w:t>
      </w:r>
      <w:proofErr w:type="spellStart"/>
      <w:r w:rsidRPr="00082587">
        <w:rPr>
          <w:rFonts w:ascii="Times New Roman" w:eastAsia="Times New Roman" w:hAnsi="Times New Roman" w:cs="Times New Roman"/>
          <w:sz w:val="24"/>
          <w:szCs w:val="24"/>
          <w:lang w:eastAsia="en-GB"/>
        </w:rPr>
        <w:t>FSit</w:t>
      </w:r>
      <w:proofErr w:type="spellEnd"/>
      <w:r w:rsidRPr="00082587">
        <w:rPr>
          <w:rFonts w:ascii="Times New Roman" w:eastAsia="Times New Roman" w:hAnsi="Times New Roman" w:cs="Times New Roman"/>
          <w:sz w:val="24"/>
          <w:szCs w:val="24"/>
          <w:lang w:eastAsia="en-GB"/>
        </w:rPr>
        <w:t>​=f(</w:t>
      </w:r>
      <w:proofErr w:type="spellStart"/>
      <w:proofErr w:type="gramStart"/>
      <w:r w:rsidRPr="00082587">
        <w:rPr>
          <w:rFonts w:ascii="Times New Roman" w:eastAsia="Times New Roman" w:hAnsi="Times New Roman" w:cs="Times New Roman"/>
          <w:sz w:val="24"/>
          <w:szCs w:val="24"/>
          <w:lang w:eastAsia="en-GB"/>
        </w:rPr>
        <w:t>CPIit</w:t>
      </w:r>
      <w:proofErr w:type="spellEnd"/>
      <w:r w:rsidRPr="00082587">
        <w:rPr>
          <w:rFonts w:ascii="Times New Roman" w:eastAsia="Times New Roman" w:hAnsi="Times New Roman" w:cs="Times New Roman"/>
          <w:sz w:val="24"/>
          <w:szCs w:val="24"/>
          <w:lang w:eastAsia="en-GB"/>
        </w:rPr>
        <w:t>​,</w:t>
      </w:r>
      <w:proofErr w:type="spellStart"/>
      <w:r w:rsidRPr="00082587">
        <w:rPr>
          <w:rFonts w:ascii="Times New Roman" w:eastAsia="Times New Roman" w:hAnsi="Times New Roman" w:cs="Times New Roman"/>
          <w:sz w:val="24"/>
          <w:szCs w:val="24"/>
          <w:lang w:eastAsia="en-GB"/>
        </w:rPr>
        <w:t>IVIit</w:t>
      </w:r>
      <w:proofErr w:type="spellEnd"/>
      <w:r w:rsidRPr="00082587">
        <w:rPr>
          <w:rFonts w:ascii="Times New Roman" w:eastAsia="Times New Roman" w:hAnsi="Times New Roman" w:cs="Times New Roman"/>
          <w:sz w:val="24"/>
          <w:szCs w:val="24"/>
          <w:lang w:eastAsia="en-GB"/>
        </w:rPr>
        <w:t>​</w:t>
      </w:r>
      <w:proofErr w:type="gramEnd"/>
      <w:r w:rsidRPr="00082587">
        <w:rPr>
          <w:rFonts w:ascii="Times New Roman" w:eastAsia="Times New Roman" w:hAnsi="Times New Roman" w:cs="Times New Roman"/>
          <w:sz w:val="24"/>
          <w:szCs w:val="24"/>
          <w:lang w:eastAsia="en-GB"/>
        </w:rPr>
        <w:t>,</w:t>
      </w:r>
      <w:proofErr w:type="spellStart"/>
      <w:r w:rsidRPr="00082587">
        <w:rPr>
          <w:rFonts w:ascii="Times New Roman" w:eastAsia="Times New Roman" w:hAnsi="Times New Roman" w:cs="Times New Roman"/>
          <w:sz w:val="24"/>
          <w:szCs w:val="24"/>
          <w:lang w:eastAsia="en-GB"/>
        </w:rPr>
        <w:t>ETRit</w:t>
      </w:r>
      <w:proofErr w:type="spellEnd"/>
      <w:r w:rsidRPr="00082587">
        <w:rPr>
          <w:rFonts w:ascii="Times New Roman" w:eastAsia="Times New Roman" w:hAnsi="Times New Roman" w:cs="Times New Roman"/>
          <w:sz w:val="24"/>
          <w:szCs w:val="24"/>
          <w:lang w:eastAsia="en-GB"/>
        </w:rPr>
        <w:t>​), expressed through three distinct structural equations:</w:t>
      </w:r>
    </w:p>
    <w:p w14:paraId="0191AA6E" w14:textId="77777777" w:rsidR="00E50E62" w:rsidRDefault="00082587" w:rsidP="00E50E62">
      <w:pPr>
        <w:spacing w:after="0" w:line="240" w:lineRule="auto"/>
        <w:jc w:val="both"/>
        <w:rPr>
          <w:rFonts w:ascii="Times New Roman" w:eastAsia="Times New Roman" w:hAnsi="Times New Roman" w:cs="Times New Roman"/>
          <w:sz w:val="24"/>
          <w:szCs w:val="24"/>
          <w:lang w:eastAsia="en-GB"/>
        </w:rPr>
      </w:pPr>
      <w:r w:rsidRPr="00082587">
        <w:rPr>
          <w:rFonts w:ascii="Times New Roman" w:eastAsia="Times New Roman" w:hAnsi="Times New Roman" w:cs="Times New Roman"/>
          <w:sz w:val="24"/>
          <w:szCs w:val="24"/>
          <w:lang w:eastAsia="en-GB"/>
        </w:rPr>
        <w:t>NPLRit​=β0​+β1​CPIit​+β2​IVIit​+β3​ETRit​+εit​</w:t>
      </w:r>
    </w:p>
    <w:p w14:paraId="4C43E526" w14:textId="77777777" w:rsidR="00082587" w:rsidRPr="00082587" w:rsidRDefault="00082587" w:rsidP="00E50E62">
      <w:pPr>
        <w:spacing w:after="0" w:line="240" w:lineRule="auto"/>
        <w:jc w:val="both"/>
        <w:rPr>
          <w:rFonts w:ascii="Times New Roman" w:eastAsia="Times New Roman" w:hAnsi="Times New Roman" w:cs="Times New Roman"/>
          <w:sz w:val="24"/>
          <w:szCs w:val="24"/>
          <w:lang w:eastAsia="en-GB"/>
        </w:rPr>
      </w:pPr>
      <w:proofErr w:type="spellStart"/>
      <w:r w:rsidRPr="00082587">
        <w:rPr>
          <w:rFonts w:ascii="Times New Roman" w:eastAsia="Times New Roman" w:hAnsi="Times New Roman" w:cs="Times New Roman"/>
          <w:sz w:val="24"/>
          <w:szCs w:val="24"/>
          <w:lang w:eastAsia="en-GB"/>
        </w:rPr>
        <w:t>CRit</w:t>
      </w:r>
      <w:proofErr w:type="spellEnd"/>
      <w:r w:rsidRPr="00082587">
        <w:rPr>
          <w:rFonts w:ascii="Times New Roman" w:eastAsia="Times New Roman" w:hAnsi="Times New Roman" w:cs="Times New Roman"/>
          <w:sz w:val="24"/>
          <w:szCs w:val="24"/>
          <w:lang w:eastAsia="en-GB"/>
        </w:rPr>
        <w:t>​=β0​+β1​</w:t>
      </w:r>
      <w:proofErr w:type="spellStart"/>
      <w:r w:rsidRPr="00082587">
        <w:rPr>
          <w:rFonts w:ascii="Times New Roman" w:eastAsia="Times New Roman" w:hAnsi="Times New Roman" w:cs="Times New Roman"/>
          <w:sz w:val="24"/>
          <w:szCs w:val="24"/>
          <w:lang w:eastAsia="en-GB"/>
        </w:rPr>
        <w:t>CPIit</w:t>
      </w:r>
      <w:proofErr w:type="spellEnd"/>
      <w:r w:rsidRPr="00082587">
        <w:rPr>
          <w:rFonts w:ascii="Times New Roman" w:eastAsia="Times New Roman" w:hAnsi="Times New Roman" w:cs="Times New Roman"/>
          <w:sz w:val="24"/>
          <w:szCs w:val="24"/>
          <w:lang w:eastAsia="en-GB"/>
        </w:rPr>
        <w:t>​+β2​</w:t>
      </w:r>
      <w:proofErr w:type="spellStart"/>
      <w:r w:rsidRPr="00082587">
        <w:rPr>
          <w:rFonts w:ascii="Times New Roman" w:eastAsia="Times New Roman" w:hAnsi="Times New Roman" w:cs="Times New Roman"/>
          <w:sz w:val="24"/>
          <w:szCs w:val="24"/>
          <w:lang w:eastAsia="en-GB"/>
        </w:rPr>
        <w:t>IVIit</w:t>
      </w:r>
      <w:proofErr w:type="spellEnd"/>
      <w:r w:rsidRPr="00082587">
        <w:rPr>
          <w:rFonts w:ascii="Times New Roman" w:eastAsia="Times New Roman" w:hAnsi="Times New Roman" w:cs="Times New Roman"/>
          <w:sz w:val="24"/>
          <w:szCs w:val="24"/>
          <w:lang w:eastAsia="en-GB"/>
        </w:rPr>
        <w:t>​+β3​</w:t>
      </w:r>
      <w:proofErr w:type="spellStart"/>
      <w:r w:rsidRPr="00082587">
        <w:rPr>
          <w:rFonts w:ascii="Times New Roman" w:eastAsia="Times New Roman" w:hAnsi="Times New Roman" w:cs="Times New Roman"/>
          <w:sz w:val="24"/>
          <w:szCs w:val="24"/>
          <w:lang w:eastAsia="en-GB"/>
        </w:rPr>
        <w:t>ETRit</w:t>
      </w:r>
      <w:proofErr w:type="spellEnd"/>
      <w:r w:rsidRPr="00082587">
        <w:rPr>
          <w:rFonts w:ascii="Times New Roman" w:eastAsia="Times New Roman" w:hAnsi="Times New Roman" w:cs="Times New Roman"/>
          <w:sz w:val="24"/>
          <w:szCs w:val="24"/>
          <w:lang w:eastAsia="en-GB"/>
        </w:rPr>
        <w:t>​+</w:t>
      </w:r>
      <w:proofErr w:type="spellStart"/>
      <w:r w:rsidRPr="00082587">
        <w:rPr>
          <w:rFonts w:ascii="Times New Roman" w:eastAsia="Times New Roman" w:hAnsi="Times New Roman" w:cs="Times New Roman"/>
          <w:sz w:val="24"/>
          <w:szCs w:val="24"/>
          <w:lang w:eastAsia="en-GB"/>
        </w:rPr>
        <w:t>εit</w:t>
      </w:r>
      <w:proofErr w:type="spellEnd"/>
      <w:r w:rsidRPr="00082587">
        <w:rPr>
          <w:rFonts w:ascii="Times New Roman" w:eastAsia="Times New Roman" w:hAnsi="Times New Roman" w:cs="Times New Roman"/>
          <w:sz w:val="24"/>
          <w:szCs w:val="24"/>
          <w:lang w:eastAsia="en-GB"/>
        </w:rPr>
        <w:t>​</w:t>
      </w:r>
    </w:p>
    <w:p w14:paraId="63BABC91" w14:textId="77777777" w:rsidR="00082587" w:rsidRPr="00082587" w:rsidRDefault="00082587" w:rsidP="00E50E62">
      <w:pPr>
        <w:spacing w:after="0" w:line="240" w:lineRule="auto"/>
        <w:jc w:val="both"/>
        <w:rPr>
          <w:rFonts w:ascii="Times New Roman" w:eastAsia="Times New Roman" w:hAnsi="Times New Roman" w:cs="Times New Roman"/>
          <w:sz w:val="24"/>
          <w:szCs w:val="24"/>
          <w:lang w:eastAsia="en-GB"/>
        </w:rPr>
      </w:pPr>
      <w:proofErr w:type="spellStart"/>
      <w:r w:rsidRPr="00082587">
        <w:rPr>
          <w:rFonts w:ascii="Times New Roman" w:eastAsia="Times New Roman" w:hAnsi="Times New Roman" w:cs="Times New Roman"/>
          <w:sz w:val="24"/>
          <w:szCs w:val="24"/>
          <w:lang w:eastAsia="en-GB"/>
        </w:rPr>
        <w:t>ETARit</w:t>
      </w:r>
      <w:proofErr w:type="spellEnd"/>
      <w:r w:rsidRPr="00082587">
        <w:rPr>
          <w:rFonts w:ascii="Times New Roman" w:eastAsia="Times New Roman" w:hAnsi="Times New Roman" w:cs="Times New Roman"/>
          <w:sz w:val="24"/>
          <w:szCs w:val="24"/>
          <w:lang w:eastAsia="en-GB"/>
        </w:rPr>
        <w:t>​=β0​+β1​</w:t>
      </w:r>
      <w:proofErr w:type="spellStart"/>
      <w:r w:rsidRPr="00082587">
        <w:rPr>
          <w:rFonts w:ascii="Times New Roman" w:eastAsia="Times New Roman" w:hAnsi="Times New Roman" w:cs="Times New Roman"/>
          <w:sz w:val="24"/>
          <w:szCs w:val="24"/>
          <w:lang w:eastAsia="en-GB"/>
        </w:rPr>
        <w:t>CPIit</w:t>
      </w:r>
      <w:proofErr w:type="spellEnd"/>
      <w:r w:rsidRPr="00082587">
        <w:rPr>
          <w:rFonts w:ascii="Times New Roman" w:eastAsia="Times New Roman" w:hAnsi="Times New Roman" w:cs="Times New Roman"/>
          <w:sz w:val="24"/>
          <w:szCs w:val="24"/>
          <w:lang w:eastAsia="en-GB"/>
        </w:rPr>
        <w:t>​+β2​</w:t>
      </w:r>
      <w:proofErr w:type="spellStart"/>
      <w:r w:rsidRPr="00082587">
        <w:rPr>
          <w:rFonts w:ascii="Times New Roman" w:eastAsia="Times New Roman" w:hAnsi="Times New Roman" w:cs="Times New Roman"/>
          <w:sz w:val="24"/>
          <w:szCs w:val="24"/>
          <w:lang w:eastAsia="en-GB"/>
        </w:rPr>
        <w:t>IVIit</w:t>
      </w:r>
      <w:proofErr w:type="spellEnd"/>
      <w:r w:rsidRPr="00082587">
        <w:rPr>
          <w:rFonts w:ascii="Times New Roman" w:eastAsia="Times New Roman" w:hAnsi="Times New Roman" w:cs="Times New Roman"/>
          <w:sz w:val="24"/>
          <w:szCs w:val="24"/>
          <w:lang w:eastAsia="en-GB"/>
        </w:rPr>
        <w:t>​+β3​</w:t>
      </w:r>
      <w:proofErr w:type="spellStart"/>
      <w:r w:rsidRPr="00082587">
        <w:rPr>
          <w:rFonts w:ascii="Times New Roman" w:eastAsia="Times New Roman" w:hAnsi="Times New Roman" w:cs="Times New Roman"/>
          <w:sz w:val="24"/>
          <w:szCs w:val="24"/>
          <w:lang w:eastAsia="en-GB"/>
        </w:rPr>
        <w:t>ETRit</w:t>
      </w:r>
      <w:proofErr w:type="spellEnd"/>
      <w:r w:rsidRPr="00082587">
        <w:rPr>
          <w:rFonts w:ascii="Times New Roman" w:eastAsia="Times New Roman" w:hAnsi="Times New Roman" w:cs="Times New Roman"/>
          <w:sz w:val="24"/>
          <w:szCs w:val="24"/>
          <w:lang w:eastAsia="en-GB"/>
        </w:rPr>
        <w:t>​+</w:t>
      </w:r>
      <w:proofErr w:type="spellStart"/>
      <w:r w:rsidRPr="00082587">
        <w:rPr>
          <w:rFonts w:ascii="Times New Roman" w:eastAsia="Times New Roman" w:hAnsi="Times New Roman" w:cs="Times New Roman"/>
          <w:sz w:val="24"/>
          <w:szCs w:val="24"/>
          <w:lang w:eastAsia="en-GB"/>
        </w:rPr>
        <w:t>εit</w:t>
      </w:r>
      <w:proofErr w:type="spellEnd"/>
      <w:r w:rsidRPr="00082587">
        <w:rPr>
          <w:rFonts w:ascii="Times New Roman" w:eastAsia="Times New Roman" w:hAnsi="Times New Roman" w:cs="Times New Roman"/>
          <w:sz w:val="24"/>
          <w:szCs w:val="24"/>
          <w:lang w:eastAsia="en-GB"/>
        </w:rPr>
        <w:t>​</w:t>
      </w:r>
    </w:p>
    <w:p w14:paraId="0DE10336" w14:textId="77777777" w:rsidR="00E50E62" w:rsidRDefault="00082587" w:rsidP="00E50E62">
      <w:pPr>
        <w:spacing w:after="0" w:line="240" w:lineRule="auto"/>
        <w:jc w:val="both"/>
        <w:rPr>
          <w:rFonts w:ascii="Times New Roman" w:eastAsia="Times New Roman" w:hAnsi="Times New Roman" w:cs="Times New Roman"/>
          <w:sz w:val="24"/>
          <w:szCs w:val="24"/>
          <w:lang w:eastAsia="en-GB"/>
        </w:rPr>
      </w:pPr>
      <w:r w:rsidRPr="00082587">
        <w:rPr>
          <w:rFonts w:ascii="Times New Roman" w:eastAsia="Times New Roman" w:hAnsi="Times New Roman" w:cs="Times New Roman"/>
          <w:sz w:val="24"/>
          <w:szCs w:val="24"/>
          <w:lang w:eastAsia="en-GB"/>
        </w:rPr>
        <w:t>Where, for bank i in time t: NPLR = Non-Performing Loans Ratio; CR = Current Ratio; ETAR = Equity to Total Assets Ratio; CPI = Capital Intensity; IVI = Inventory Intensity; and ETR = Effective Tax Rate. β0</w:t>
      </w:r>
      <w:r w:rsidR="00E50E62">
        <w:rPr>
          <w:rFonts w:ascii="Times New Roman" w:eastAsia="Times New Roman" w:hAnsi="Times New Roman" w:cs="Times New Roman"/>
          <w:sz w:val="24"/>
          <w:szCs w:val="24"/>
          <w:lang w:eastAsia="en-GB"/>
        </w:rPr>
        <w:t xml:space="preserve"> </w:t>
      </w:r>
      <w:r w:rsidR="00E50E62" w:rsidRPr="00082587">
        <w:rPr>
          <w:rFonts w:ascii="Times New Roman" w:eastAsia="Times New Roman" w:hAnsi="Times New Roman" w:cs="Times New Roman"/>
          <w:sz w:val="24"/>
          <w:szCs w:val="24"/>
          <w:lang w:eastAsia="en-GB"/>
        </w:rPr>
        <w:t>​is</w:t>
      </w:r>
      <w:r w:rsidRPr="00082587">
        <w:rPr>
          <w:rFonts w:ascii="Times New Roman" w:eastAsia="Times New Roman" w:hAnsi="Times New Roman" w:cs="Times New Roman"/>
          <w:sz w:val="24"/>
          <w:szCs w:val="24"/>
          <w:lang w:eastAsia="en-GB"/>
        </w:rPr>
        <w:t xml:space="preserve"> the constant, β1​–β3​ are regression coefficients, and </w:t>
      </w:r>
      <w:proofErr w:type="spellStart"/>
      <w:r w:rsidRPr="00082587">
        <w:rPr>
          <w:rFonts w:ascii="Times New Roman" w:eastAsia="Times New Roman" w:hAnsi="Times New Roman" w:cs="Times New Roman"/>
          <w:sz w:val="24"/>
          <w:szCs w:val="24"/>
          <w:lang w:eastAsia="en-GB"/>
        </w:rPr>
        <w:t>εit</w:t>
      </w:r>
      <w:proofErr w:type="spellEnd"/>
      <w:r w:rsidRPr="00082587">
        <w:rPr>
          <w:rFonts w:ascii="Times New Roman" w:eastAsia="Times New Roman" w:hAnsi="Times New Roman" w:cs="Times New Roman"/>
          <w:sz w:val="24"/>
          <w:szCs w:val="24"/>
          <w:lang w:eastAsia="en-GB"/>
        </w:rPr>
        <w:t>​ is the stochastic error term.</w:t>
      </w:r>
      <w:r w:rsidR="00E50E62">
        <w:rPr>
          <w:rFonts w:ascii="Times New Roman" w:eastAsia="Times New Roman" w:hAnsi="Times New Roman" w:cs="Times New Roman"/>
          <w:sz w:val="24"/>
          <w:szCs w:val="24"/>
          <w:lang w:eastAsia="en-GB"/>
        </w:rPr>
        <w:t xml:space="preserve"> </w:t>
      </w:r>
    </w:p>
    <w:p w14:paraId="0C44DDC0" w14:textId="77777777" w:rsidR="00F632EA" w:rsidRDefault="00082587" w:rsidP="00F632EA">
      <w:pPr>
        <w:spacing w:after="0" w:line="240" w:lineRule="auto"/>
        <w:jc w:val="both"/>
        <w:rPr>
          <w:rFonts w:ascii="Times New Roman" w:eastAsia="Times New Roman" w:hAnsi="Times New Roman" w:cs="Times New Roman"/>
          <w:sz w:val="24"/>
          <w:szCs w:val="24"/>
          <w:lang w:eastAsia="en-GB"/>
        </w:rPr>
      </w:pPr>
      <w:r w:rsidRPr="00082587">
        <w:rPr>
          <w:rFonts w:ascii="Times New Roman" w:eastAsia="Times New Roman" w:hAnsi="Times New Roman" w:cs="Times New Roman"/>
          <w:b/>
          <w:bCs/>
          <w:sz w:val="24"/>
          <w:szCs w:val="24"/>
          <w:lang w:eastAsia="en-GB"/>
        </w:rPr>
        <w:t>A-priori Expectations:</w:t>
      </w:r>
      <w:r w:rsidRPr="00082587">
        <w:rPr>
          <w:rFonts w:ascii="Times New Roman" w:eastAsia="Times New Roman" w:hAnsi="Times New Roman" w:cs="Times New Roman"/>
          <w:sz w:val="24"/>
          <w:szCs w:val="24"/>
          <w:lang w:eastAsia="en-GB"/>
        </w:rPr>
        <w:t xml:space="preserve"> β1,</w:t>
      </w:r>
      <w:r w:rsidR="00E50E62">
        <w:rPr>
          <w:rFonts w:ascii="Times New Roman" w:eastAsia="Times New Roman" w:hAnsi="Times New Roman" w:cs="Times New Roman"/>
          <w:sz w:val="24"/>
          <w:szCs w:val="24"/>
          <w:lang w:eastAsia="en-GB"/>
        </w:rPr>
        <w:t xml:space="preserve"> </w:t>
      </w:r>
      <w:r w:rsidRPr="00082587">
        <w:rPr>
          <w:rFonts w:ascii="Times New Roman" w:eastAsia="Times New Roman" w:hAnsi="Times New Roman" w:cs="Times New Roman"/>
          <w:sz w:val="24"/>
          <w:szCs w:val="24"/>
          <w:lang w:eastAsia="en-GB"/>
        </w:rPr>
        <w:t>β</w:t>
      </w:r>
      <w:proofErr w:type="gramStart"/>
      <w:r w:rsidRPr="00082587">
        <w:rPr>
          <w:rFonts w:ascii="Times New Roman" w:eastAsia="Times New Roman" w:hAnsi="Times New Roman" w:cs="Times New Roman"/>
          <w:sz w:val="24"/>
          <w:szCs w:val="24"/>
          <w:lang w:eastAsia="en-GB"/>
        </w:rPr>
        <w:t>2</w:t>
      </w:r>
      <w:r w:rsidR="00E50E62">
        <w:rPr>
          <w:rFonts w:ascii="Times New Roman" w:eastAsia="Times New Roman" w:hAnsi="Times New Roman" w:cs="Times New Roman"/>
          <w:sz w:val="24"/>
          <w:szCs w:val="24"/>
          <w:lang w:eastAsia="en-GB"/>
        </w:rPr>
        <w:t xml:space="preserve">  </w:t>
      </w:r>
      <w:r w:rsidRPr="00082587">
        <w:rPr>
          <w:rFonts w:ascii="Times New Roman" w:eastAsia="Times New Roman" w:hAnsi="Times New Roman" w:cs="Times New Roman"/>
          <w:sz w:val="24"/>
          <w:szCs w:val="24"/>
          <w:lang w:eastAsia="en-GB"/>
        </w:rPr>
        <w:t>​</w:t>
      </w:r>
      <w:proofErr w:type="gramEnd"/>
      <w:r w:rsidRPr="00082587">
        <w:rPr>
          <w:rFonts w:ascii="Times New Roman" w:eastAsia="Times New Roman" w:hAnsi="Times New Roman" w:cs="Times New Roman"/>
          <w:sz w:val="24"/>
          <w:szCs w:val="24"/>
          <w:lang w:eastAsia="en-GB"/>
        </w:rPr>
        <w:t>,β3</w:t>
      </w:r>
      <w:r w:rsidR="00E50E62">
        <w:rPr>
          <w:rFonts w:ascii="Times New Roman" w:eastAsia="Times New Roman" w:hAnsi="Times New Roman" w:cs="Times New Roman"/>
          <w:sz w:val="24"/>
          <w:szCs w:val="24"/>
          <w:lang w:eastAsia="en-GB"/>
        </w:rPr>
        <w:t xml:space="preserve"> </w:t>
      </w:r>
      <w:r w:rsidRPr="00082587">
        <w:rPr>
          <w:rFonts w:ascii="Times New Roman" w:eastAsia="Times New Roman" w:hAnsi="Times New Roman" w:cs="Times New Roman"/>
          <w:sz w:val="24"/>
          <w:szCs w:val="24"/>
          <w:lang w:eastAsia="en-GB"/>
        </w:rPr>
        <w:t>​&gt;0, assuming a positive relationship between corporate tax planning strategies and bank financial stability metrics (except for NPLR, where a negative coefficient, β&lt;0, would indicate that effective tax planning reduces non-performing loans, thereby improving stability).</w:t>
      </w:r>
    </w:p>
    <w:p w14:paraId="48FBCBE4" w14:textId="77777777" w:rsidR="004C746E" w:rsidRDefault="004C746E" w:rsidP="004C746E">
      <w:pPr>
        <w:spacing w:after="0" w:line="240" w:lineRule="auto"/>
        <w:rPr>
          <w:rFonts w:asciiTheme="majorBidi" w:hAnsiTheme="majorBidi" w:cstheme="majorBidi"/>
          <w:b/>
          <w:bCs/>
          <w:sz w:val="24"/>
          <w:szCs w:val="24"/>
        </w:rPr>
      </w:pPr>
    </w:p>
    <w:p w14:paraId="7EC9CC0E" w14:textId="77777777" w:rsidR="00F632EA" w:rsidRPr="00F632EA" w:rsidRDefault="00F632EA" w:rsidP="00F632EA">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b/>
          <w:bCs/>
          <w:sz w:val="27"/>
          <w:szCs w:val="27"/>
          <w:lang w:eastAsia="en-GB"/>
        </w:rPr>
        <w:t>Table 1.</w:t>
      </w:r>
      <w:r>
        <w:rPr>
          <w:rFonts w:ascii="Times New Roman" w:eastAsia="Times New Roman" w:hAnsi="Times New Roman" w:cs="Times New Roman"/>
          <w:b/>
          <w:bCs/>
          <w:sz w:val="27"/>
          <w:szCs w:val="27"/>
          <w:lang w:eastAsia="en-GB"/>
        </w:rPr>
        <w:tab/>
      </w:r>
      <w:r w:rsidRPr="00F632EA">
        <w:rPr>
          <w:rFonts w:ascii="Times New Roman" w:eastAsia="Times New Roman" w:hAnsi="Times New Roman" w:cs="Times New Roman"/>
          <w:b/>
          <w:bCs/>
          <w:sz w:val="27"/>
          <w:szCs w:val="27"/>
          <w:lang w:eastAsia="en-GB"/>
        </w:rPr>
        <w:t xml:space="preserve"> Description and Measurements of Variables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5"/>
        <w:gridCol w:w="1577"/>
        <w:gridCol w:w="2115"/>
        <w:gridCol w:w="1985"/>
        <w:gridCol w:w="1664"/>
      </w:tblGrid>
      <w:tr w:rsidR="009A4EB5" w:rsidRPr="00F632EA" w14:paraId="4EAED3FB" w14:textId="77777777" w:rsidTr="00F632EA">
        <w:trPr>
          <w:tblHeader/>
          <w:tblCellSpacing w:w="15" w:type="dxa"/>
        </w:trPr>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1EA63A50"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Variable</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6A17C10A"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Role</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2C557C65"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Description</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6691E769"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Measurement</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0667943E"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Source</w:t>
            </w:r>
          </w:p>
        </w:tc>
      </w:tr>
      <w:tr w:rsidR="009A4EB5" w:rsidRPr="00F632EA" w14:paraId="05F81F52" w14:textId="77777777" w:rsidTr="00F632EA">
        <w:trPr>
          <w:tblCellSpacing w:w="15" w:type="dxa"/>
        </w:trPr>
        <w:tc>
          <w:tcPr>
            <w:tcW w:w="0" w:type="auto"/>
            <w:tcMar>
              <w:top w:w="120" w:type="dxa"/>
              <w:left w:w="180" w:type="dxa"/>
              <w:bottom w:w="120" w:type="dxa"/>
              <w:right w:w="180" w:type="dxa"/>
            </w:tcMar>
            <w:vAlign w:val="center"/>
            <w:hideMark/>
          </w:tcPr>
          <w:p w14:paraId="24072CA3"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Non-Performing Loans Ratio (NPLR)</w:t>
            </w:r>
          </w:p>
        </w:tc>
        <w:tc>
          <w:tcPr>
            <w:tcW w:w="0" w:type="auto"/>
            <w:tcMar>
              <w:top w:w="120" w:type="dxa"/>
              <w:left w:w="180" w:type="dxa"/>
              <w:bottom w:w="120" w:type="dxa"/>
              <w:right w:w="180" w:type="dxa"/>
            </w:tcMar>
            <w:vAlign w:val="center"/>
            <w:hideMark/>
          </w:tcPr>
          <w:p w14:paraId="424824A2"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Dependent</w:t>
            </w:r>
          </w:p>
        </w:tc>
        <w:tc>
          <w:tcPr>
            <w:tcW w:w="0" w:type="auto"/>
            <w:tcMar>
              <w:top w:w="120" w:type="dxa"/>
              <w:left w:w="180" w:type="dxa"/>
              <w:bottom w:w="120" w:type="dxa"/>
              <w:right w:w="180" w:type="dxa"/>
            </w:tcMar>
            <w:vAlign w:val="center"/>
            <w:hideMark/>
          </w:tcPr>
          <w:p w14:paraId="64B23643"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Indicates the proportion of loans in a bank’s portfolio that are in default or close to default, reflecting asset quality and credit risk.</w:t>
            </w:r>
          </w:p>
        </w:tc>
        <w:tc>
          <w:tcPr>
            <w:tcW w:w="0" w:type="auto"/>
            <w:tcMar>
              <w:top w:w="120" w:type="dxa"/>
              <w:left w:w="180" w:type="dxa"/>
              <w:bottom w:w="120" w:type="dxa"/>
              <w:right w:w="180" w:type="dxa"/>
            </w:tcMar>
            <w:vAlign w:val="center"/>
            <w:hideMark/>
          </w:tcPr>
          <w:p w14:paraId="23D89942"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Non-Performing Loans/Total Loans x 100</w:t>
            </w:r>
          </w:p>
        </w:tc>
        <w:tc>
          <w:tcPr>
            <w:tcW w:w="0" w:type="auto"/>
            <w:tcMar>
              <w:top w:w="120" w:type="dxa"/>
              <w:left w:w="180" w:type="dxa"/>
              <w:bottom w:w="120" w:type="dxa"/>
              <w:right w:w="180" w:type="dxa"/>
            </w:tcMar>
            <w:vAlign w:val="center"/>
            <w:hideMark/>
          </w:tcPr>
          <w:p w14:paraId="477C488D"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proofErr w:type="spellStart"/>
            <w:r w:rsidRPr="00F632EA">
              <w:rPr>
                <w:rFonts w:ascii="Times New Roman" w:eastAsia="Times New Roman" w:hAnsi="Times New Roman" w:cs="Times New Roman"/>
                <w:sz w:val="24"/>
                <w:szCs w:val="24"/>
                <w:lang w:eastAsia="en-GB"/>
              </w:rPr>
              <w:t>Hastuti</w:t>
            </w:r>
            <w:proofErr w:type="spellEnd"/>
            <w:r w:rsidRPr="00F632EA">
              <w:rPr>
                <w:rFonts w:ascii="Times New Roman" w:eastAsia="Times New Roman" w:hAnsi="Times New Roman" w:cs="Times New Roman"/>
                <w:sz w:val="24"/>
                <w:szCs w:val="24"/>
                <w:lang w:eastAsia="en-GB"/>
              </w:rPr>
              <w:t xml:space="preserve"> et al. (2024); </w:t>
            </w:r>
            <w:proofErr w:type="spellStart"/>
            <w:r w:rsidRPr="00F632EA">
              <w:rPr>
                <w:rFonts w:ascii="Times New Roman" w:eastAsia="Times New Roman" w:hAnsi="Times New Roman" w:cs="Times New Roman"/>
                <w:sz w:val="24"/>
                <w:szCs w:val="24"/>
                <w:lang w:eastAsia="en-GB"/>
              </w:rPr>
              <w:t>Durguti</w:t>
            </w:r>
            <w:proofErr w:type="spellEnd"/>
            <w:r w:rsidRPr="00F632EA">
              <w:rPr>
                <w:rFonts w:ascii="Times New Roman" w:eastAsia="Times New Roman" w:hAnsi="Times New Roman" w:cs="Times New Roman"/>
                <w:sz w:val="24"/>
                <w:szCs w:val="24"/>
                <w:lang w:eastAsia="en-GB"/>
              </w:rPr>
              <w:t xml:space="preserve"> et al. (2024)</w:t>
            </w:r>
          </w:p>
        </w:tc>
      </w:tr>
      <w:tr w:rsidR="009A4EB5" w:rsidRPr="00F632EA" w14:paraId="4ACDED16" w14:textId="77777777" w:rsidTr="00F632EA">
        <w:trPr>
          <w:tblCellSpacing w:w="15" w:type="dxa"/>
        </w:trPr>
        <w:tc>
          <w:tcPr>
            <w:tcW w:w="0" w:type="auto"/>
            <w:tcMar>
              <w:top w:w="120" w:type="dxa"/>
              <w:left w:w="180" w:type="dxa"/>
              <w:bottom w:w="120" w:type="dxa"/>
              <w:right w:w="180" w:type="dxa"/>
            </w:tcMar>
            <w:vAlign w:val="center"/>
            <w:hideMark/>
          </w:tcPr>
          <w:p w14:paraId="1AD634F4"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lastRenderedPageBreak/>
              <w:t>Current Ratio (CR)</w:t>
            </w:r>
          </w:p>
        </w:tc>
        <w:tc>
          <w:tcPr>
            <w:tcW w:w="0" w:type="auto"/>
            <w:tcMar>
              <w:top w:w="120" w:type="dxa"/>
              <w:left w:w="180" w:type="dxa"/>
              <w:bottom w:w="120" w:type="dxa"/>
              <w:right w:w="180" w:type="dxa"/>
            </w:tcMar>
            <w:vAlign w:val="center"/>
            <w:hideMark/>
          </w:tcPr>
          <w:p w14:paraId="26BA35E8"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Dependent</w:t>
            </w:r>
          </w:p>
        </w:tc>
        <w:tc>
          <w:tcPr>
            <w:tcW w:w="0" w:type="auto"/>
            <w:tcMar>
              <w:top w:w="120" w:type="dxa"/>
              <w:left w:w="180" w:type="dxa"/>
              <w:bottom w:w="120" w:type="dxa"/>
              <w:right w:w="180" w:type="dxa"/>
            </w:tcMar>
            <w:vAlign w:val="center"/>
            <w:hideMark/>
          </w:tcPr>
          <w:p w14:paraId="50B2C0C6"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Measures a bank’s liquidity position by assessing its ability to meet short-term obligations with short-term assets.</w:t>
            </w:r>
          </w:p>
        </w:tc>
        <w:tc>
          <w:tcPr>
            <w:tcW w:w="0" w:type="auto"/>
            <w:tcMar>
              <w:top w:w="120" w:type="dxa"/>
              <w:left w:w="180" w:type="dxa"/>
              <w:bottom w:w="120" w:type="dxa"/>
              <w:right w:w="180" w:type="dxa"/>
            </w:tcMar>
            <w:vAlign w:val="center"/>
            <w:hideMark/>
          </w:tcPr>
          <w:p w14:paraId="749A4E4F"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Current Assets/Current Liabilities</w:t>
            </w:r>
          </w:p>
        </w:tc>
        <w:tc>
          <w:tcPr>
            <w:tcW w:w="0" w:type="auto"/>
            <w:tcMar>
              <w:top w:w="120" w:type="dxa"/>
              <w:left w:w="180" w:type="dxa"/>
              <w:bottom w:w="120" w:type="dxa"/>
              <w:right w:w="180" w:type="dxa"/>
            </w:tcMar>
            <w:vAlign w:val="center"/>
            <w:hideMark/>
          </w:tcPr>
          <w:p w14:paraId="5EBB197E"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 xml:space="preserve">Husna and Satria (2019); </w:t>
            </w:r>
            <w:proofErr w:type="spellStart"/>
            <w:r w:rsidRPr="00F632EA">
              <w:rPr>
                <w:rFonts w:ascii="Times New Roman" w:eastAsia="Times New Roman" w:hAnsi="Times New Roman" w:cs="Times New Roman"/>
                <w:sz w:val="24"/>
                <w:szCs w:val="24"/>
                <w:lang w:eastAsia="en-GB"/>
              </w:rPr>
              <w:t>Nuryani</w:t>
            </w:r>
            <w:proofErr w:type="spellEnd"/>
            <w:r w:rsidRPr="00F632EA">
              <w:rPr>
                <w:rFonts w:ascii="Times New Roman" w:eastAsia="Times New Roman" w:hAnsi="Times New Roman" w:cs="Times New Roman"/>
                <w:sz w:val="24"/>
                <w:szCs w:val="24"/>
                <w:lang w:eastAsia="en-GB"/>
              </w:rPr>
              <w:t xml:space="preserve"> and </w:t>
            </w:r>
            <w:proofErr w:type="spellStart"/>
            <w:r w:rsidRPr="00F632EA">
              <w:rPr>
                <w:rFonts w:ascii="Times New Roman" w:eastAsia="Times New Roman" w:hAnsi="Times New Roman" w:cs="Times New Roman"/>
                <w:sz w:val="24"/>
                <w:szCs w:val="24"/>
                <w:lang w:eastAsia="en-GB"/>
              </w:rPr>
              <w:t>Sunarsi</w:t>
            </w:r>
            <w:proofErr w:type="spellEnd"/>
            <w:r w:rsidRPr="00F632EA">
              <w:rPr>
                <w:rFonts w:ascii="Times New Roman" w:eastAsia="Times New Roman" w:hAnsi="Times New Roman" w:cs="Times New Roman"/>
                <w:sz w:val="24"/>
                <w:szCs w:val="24"/>
                <w:lang w:eastAsia="en-GB"/>
              </w:rPr>
              <w:t xml:space="preserve"> (2020)</w:t>
            </w:r>
          </w:p>
        </w:tc>
      </w:tr>
      <w:tr w:rsidR="009A4EB5" w:rsidRPr="00F632EA" w14:paraId="63CA326B" w14:textId="77777777" w:rsidTr="00F632EA">
        <w:trPr>
          <w:tblCellSpacing w:w="15" w:type="dxa"/>
        </w:trPr>
        <w:tc>
          <w:tcPr>
            <w:tcW w:w="0" w:type="auto"/>
            <w:tcMar>
              <w:top w:w="120" w:type="dxa"/>
              <w:left w:w="180" w:type="dxa"/>
              <w:bottom w:w="120" w:type="dxa"/>
              <w:right w:w="180" w:type="dxa"/>
            </w:tcMar>
            <w:vAlign w:val="center"/>
            <w:hideMark/>
          </w:tcPr>
          <w:p w14:paraId="590D3790"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Equity to Total Assets Ratio (ETAR)</w:t>
            </w:r>
          </w:p>
        </w:tc>
        <w:tc>
          <w:tcPr>
            <w:tcW w:w="0" w:type="auto"/>
            <w:tcMar>
              <w:top w:w="120" w:type="dxa"/>
              <w:left w:w="180" w:type="dxa"/>
              <w:bottom w:w="120" w:type="dxa"/>
              <w:right w:w="180" w:type="dxa"/>
            </w:tcMar>
            <w:vAlign w:val="center"/>
            <w:hideMark/>
          </w:tcPr>
          <w:p w14:paraId="6B196F98"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Dependent</w:t>
            </w:r>
          </w:p>
        </w:tc>
        <w:tc>
          <w:tcPr>
            <w:tcW w:w="0" w:type="auto"/>
            <w:tcMar>
              <w:top w:w="120" w:type="dxa"/>
              <w:left w:w="180" w:type="dxa"/>
              <w:bottom w:w="120" w:type="dxa"/>
              <w:right w:w="180" w:type="dxa"/>
            </w:tcMar>
            <w:vAlign w:val="center"/>
            <w:hideMark/>
          </w:tcPr>
          <w:p w14:paraId="49DB03B8"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Represents the proportion of total assets financed by shareholders’ equity, reflecting financial stability and capital strength.</w:t>
            </w:r>
          </w:p>
        </w:tc>
        <w:tc>
          <w:tcPr>
            <w:tcW w:w="0" w:type="auto"/>
            <w:tcMar>
              <w:top w:w="120" w:type="dxa"/>
              <w:left w:w="180" w:type="dxa"/>
              <w:bottom w:w="120" w:type="dxa"/>
              <w:right w:w="180" w:type="dxa"/>
            </w:tcMar>
            <w:vAlign w:val="center"/>
            <w:hideMark/>
          </w:tcPr>
          <w:p w14:paraId="722A7A1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Total Equity/Total Assets x 100</w:t>
            </w:r>
          </w:p>
        </w:tc>
        <w:tc>
          <w:tcPr>
            <w:tcW w:w="0" w:type="auto"/>
            <w:tcMar>
              <w:top w:w="120" w:type="dxa"/>
              <w:left w:w="180" w:type="dxa"/>
              <w:bottom w:w="120" w:type="dxa"/>
              <w:right w:w="180" w:type="dxa"/>
            </w:tcMar>
            <w:vAlign w:val="center"/>
            <w:hideMark/>
          </w:tcPr>
          <w:p w14:paraId="629AB2CC"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proofErr w:type="spellStart"/>
            <w:r w:rsidRPr="00F632EA">
              <w:rPr>
                <w:rFonts w:ascii="Times New Roman" w:eastAsia="Times New Roman" w:hAnsi="Times New Roman" w:cs="Times New Roman"/>
                <w:sz w:val="24"/>
                <w:szCs w:val="24"/>
                <w:lang w:eastAsia="en-GB"/>
              </w:rPr>
              <w:t>Nuryani</w:t>
            </w:r>
            <w:proofErr w:type="spellEnd"/>
            <w:r w:rsidRPr="00F632EA">
              <w:rPr>
                <w:rFonts w:ascii="Times New Roman" w:eastAsia="Times New Roman" w:hAnsi="Times New Roman" w:cs="Times New Roman"/>
                <w:sz w:val="24"/>
                <w:szCs w:val="24"/>
                <w:lang w:eastAsia="en-GB"/>
              </w:rPr>
              <w:t xml:space="preserve"> and </w:t>
            </w:r>
            <w:proofErr w:type="spellStart"/>
            <w:r w:rsidRPr="00F632EA">
              <w:rPr>
                <w:rFonts w:ascii="Times New Roman" w:eastAsia="Times New Roman" w:hAnsi="Times New Roman" w:cs="Times New Roman"/>
                <w:sz w:val="24"/>
                <w:szCs w:val="24"/>
                <w:lang w:eastAsia="en-GB"/>
              </w:rPr>
              <w:t>Sunarsi</w:t>
            </w:r>
            <w:proofErr w:type="spellEnd"/>
            <w:r w:rsidRPr="00F632EA">
              <w:rPr>
                <w:rFonts w:ascii="Times New Roman" w:eastAsia="Times New Roman" w:hAnsi="Times New Roman" w:cs="Times New Roman"/>
                <w:sz w:val="24"/>
                <w:szCs w:val="24"/>
                <w:lang w:eastAsia="en-GB"/>
              </w:rPr>
              <w:t xml:space="preserve"> (2020); Sugumar (2023)</w:t>
            </w:r>
          </w:p>
        </w:tc>
      </w:tr>
      <w:tr w:rsidR="009A4EB5" w:rsidRPr="00F632EA" w14:paraId="5A70D7AB" w14:textId="77777777" w:rsidTr="00F632EA">
        <w:trPr>
          <w:tblCellSpacing w:w="15" w:type="dxa"/>
        </w:trPr>
        <w:tc>
          <w:tcPr>
            <w:tcW w:w="0" w:type="auto"/>
            <w:tcMar>
              <w:top w:w="120" w:type="dxa"/>
              <w:left w:w="180" w:type="dxa"/>
              <w:bottom w:w="120" w:type="dxa"/>
              <w:right w:w="180" w:type="dxa"/>
            </w:tcMar>
            <w:vAlign w:val="center"/>
            <w:hideMark/>
          </w:tcPr>
          <w:p w14:paraId="5EFD2BCE"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Capital Intensity (CPI)</w:t>
            </w:r>
          </w:p>
        </w:tc>
        <w:tc>
          <w:tcPr>
            <w:tcW w:w="0" w:type="auto"/>
            <w:tcMar>
              <w:top w:w="120" w:type="dxa"/>
              <w:left w:w="180" w:type="dxa"/>
              <w:bottom w:w="120" w:type="dxa"/>
              <w:right w:w="180" w:type="dxa"/>
            </w:tcMar>
            <w:vAlign w:val="center"/>
            <w:hideMark/>
          </w:tcPr>
          <w:p w14:paraId="31865E1F"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Independent</w:t>
            </w:r>
          </w:p>
        </w:tc>
        <w:tc>
          <w:tcPr>
            <w:tcW w:w="0" w:type="auto"/>
            <w:tcMar>
              <w:top w:w="120" w:type="dxa"/>
              <w:left w:w="180" w:type="dxa"/>
              <w:bottom w:w="120" w:type="dxa"/>
              <w:right w:w="180" w:type="dxa"/>
            </w:tcMar>
            <w:vAlign w:val="center"/>
            <w:hideMark/>
          </w:tcPr>
          <w:p w14:paraId="0AD58E6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Reflects the level of investment in fixed assets relative to total assets, indicating how capital is utilized in operations.</w:t>
            </w:r>
          </w:p>
        </w:tc>
        <w:tc>
          <w:tcPr>
            <w:tcW w:w="0" w:type="auto"/>
            <w:tcMar>
              <w:top w:w="120" w:type="dxa"/>
              <w:left w:w="180" w:type="dxa"/>
              <w:bottom w:w="120" w:type="dxa"/>
              <w:right w:w="180" w:type="dxa"/>
            </w:tcMar>
            <w:vAlign w:val="center"/>
            <w:hideMark/>
          </w:tcPr>
          <w:p w14:paraId="3DC4AF4E" w14:textId="77777777" w:rsidR="00F632EA" w:rsidRPr="00F632EA" w:rsidRDefault="009A4EB5"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Net Fixed Assets/Total Assets x100</w:t>
            </w:r>
          </w:p>
        </w:tc>
        <w:tc>
          <w:tcPr>
            <w:tcW w:w="0" w:type="auto"/>
            <w:tcMar>
              <w:top w:w="120" w:type="dxa"/>
              <w:left w:w="180" w:type="dxa"/>
              <w:bottom w:w="120" w:type="dxa"/>
              <w:right w:w="180" w:type="dxa"/>
            </w:tcMar>
            <w:vAlign w:val="center"/>
            <w:hideMark/>
          </w:tcPr>
          <w:p w14:paraId="3D860B6B"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 xml:space="preserve">Darsani and </w:t>
            </w:r>
            <w:proofErr w:type="spellStart"/>
            <w:r w:rsidRPr="00F632EA">
              <w:rPr>
                <w:rFonts w:ascii="Times New Roman" w:eastAsia="Times New Roman" w:hAnsi="Times New Roman" w:cs="Times New Roman"/>
                <w:sz w:val="24"/>
                <w:szCs w:val="24"/>
                <w:lang w:eastAsia="en-GB"/>
              </w:rPr>
              <w:t>Sukartha</w:t>
            </w:r>
            <w:proofErr w:type="spellEnd"/>
            <w:r w:rsidRPr="00F632EA">
              <w:rPr>
                <w:rFonts w:ascii="Times New Roman" w:eastAsia="Times New Roman" w:hAnsi="Times New Roman" w:cs="Times New Roman"/>
                <w:sz w:val="24"/>
                <w:szCs w:val="24"/>
                <w:lang w:eastAsia="en-GB"/>
              </w:rPr>
              <w:t xml:space="preserve"> (2021); </w:t>
            </w:r>
            <w:proofErr w:type="spellStart"/>
            <w:r w:rsidRPr="00F632EA">
              <w:rPr>
                <w:rFonts w:ascii="Times New Roman" w:eastAsia="Times New Roman" w:hAnsi="Times New Roman" w:cs="Times New Roman"/>
                <w:sz w:val="24"/>
                <w:szCs w:val="24"/>
                <w:lang w:eastAsia="en-GB"/>
              </w:rPr>
              <w:t>Indarto</w:t>
            </w:r>
            <w:proofErr w:type="spellEnd"/>
            <w:r w:rsidRPr="00F632EA">
              <w:rPr>
                <w:rFonts w:ascii="Times New Roman" w:eastAsia="Times New Roman" w:hAnsi="Times New Roman" w:cs="Times New Roman"/>
                <w:sz w:val="24"/>
                <w:szCs w:val="24"/>
                <w:lang w:eastAsia="en-GB"/>
              </w:rPr>
              <w:t xml:space="preserve"> et al. (2025)</w:t>
            </w:r>
          </w:p>
        </w:tc>
      </w:tr>
      <w:tr w:rsidR="009A4EB5" w:rsidRPr="00F632EA" w14:paraId="737B321A" w14:textId="77777777" w:rsidTr="00F632EA">
        <w:trPr>
          <w:tblCellSpacing w:w="15" w:type="dxa"/>
        </w:trPr>
        <w:tc>
          <w:tcPr>
            <w:tcW w:w="0" w:type="auto"/>
            <w:tcMar>
              <w:top w:w="120" w:type="dxa"/>
              <w:left w:w="180" w:type="dxa"/>
              <w:bottom w:w="120" w:type="dxa"/>
              <w:right w:w="180" w:type="dxa"/>
            </w:tcMar>
            <w:vAlign w:val="center"/>
            <w:hideMark/>
          </w:tcPr>
          <w:p w14:paraId="360EA61F"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t>Inventory Intensity (IVI)</w:t>
            </w:r>
          </w:p>
        </w:tc>
        <w:tc>
          <w:tcPr>
            <w:tcW w:w="0" w:type="auto"/>
            <w:tcMar>
              <w:top w:w="120" w:type="dxa"/>
              <w:left w:w="180" w:type="dxa"/>
              <w:bottom w:w="120" w:type="dxa"/>
              <w:right w:w="180" w:type="dxa"/>
            </w:tcMar>
            <w:vAlign w:val="center"/>
            <w:hideMark/>
          </w:tcPr>
          <w:p w14:paraId="6B07B56C"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Independent</w:t>
            </w:r>
          </w:p>
        </w:tc>
        <w:tc>
          <w:tcPr>
            <w:tcW w:w="0" w:type="auto"/>
            <w:tcMar>
              <w:top w:w="120" w:type="dxa"/>
              <w:left w:w="180" w:type="dxa"/>
              <w:bottom w:w="120" w:type="dxa"/>
              <w:right w:w="180" w:type="dxa"/>
            </w:tcMar>
            <w:vAlign w:val="center"/>
            <w:hideMark/>
          </w:tcPr>
          <w:p w14:paraId="21C7D8FC"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Represents the proportion of inventory relative to total assets, showing the extent to which a bank holds inventories as part of its asset structure.</w:t>
            </w:r>
          </w:p>
        </w:tc>
        <w:tc>
          <w:tcPr>
            <w:tcW w:w="0" w:type="auto"/>
            <w:tcMar>
              <w:top w:w="120" w:type="dxa"/>
              <w:left w:w="180" w:type="dxa"/>
              <w:bottom w:w="120" w:type="dxa"/>
              <w:right w:w="180" w:type="dxa"/>
            </w:tcMar>
            <w:vAlign w:val="center"/>
            <w:hideMark/>
          </w:tcPr>
          <w:p w14:paraId="0ADC12FE" w14:textId="77777777" w:rsidR="00F632EA" w:rsidRPr="00F632EA" w:rsidRDefault="009A4EB5"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Total Inventory/Total Assets x 100</w:t>
            </w:r>
          </w:p>
        </w:tc>
        <w:tc>
          <w:tcPr>
            <w:tcW w:w="0" w:type="auto"/>
            <w:tcMar>
              <w:top w:w="120" w:type="dxa"/>
              <w:left w:w="180" w:type="dxa"/>
              <w:bottom w:w="120" w:type="dxa"/>
              <w:right w:w="180" w:type="dxa"/>
            </w:tcMar>
            <w:vAlign w:val="center"/>
            <w:hideMark/>
          </w:tcPr>
          <w:p w14:paraId="37D14CC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Nisa (2025); Putra et al. (2025)</w:t>
            </w:r>
          </w:p>
        </w:tc>
      </w:tr>
      <w:tr w:rsidR="009A4EB5" w:rsidRPr="00F632EA" w14:paraId="554E0628" w14:textId="77777777" w:rsidTr="009A4EB5">
        <w:trPr>
          <w:tblCellSpacing w:w="15" w:type="dxa"/>
        </w:trPr>
        <w:tc>
          <w:tcPr>
            <w:tcW w:w="0" w:type="auto"/>
            <w:tcBorders>
              <w:bottom w:val="single" w:sz="4" w:space="0" w:color="auto"/>
            </w:tcBorders>
            <w:tcMar>
              <w:top w:w="120" w:type="dxa"/>
              <w:left w:w="180" w:type="dxa"/>
              <w:bottom w:w="120" w:type="dxa"/>
              <w:right w:w="180" w:type="dxa"/>
            </w:tcMar>
            <w:vAlign w:val="center"/>
            <w:hideMark/>
          </w:tcPr>
          <w:p w14:paraId="583DF80B"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b/>
                <w:bCs/>
                <w:sz w:val="24"/>
                <w:szCs w:val="24"/>
                <w:lang w:eastAsia="en-GB"/>
              </w:rPr>
              <w:lastRenderedPageBreak/>
              <w:t>Effective Tax Rate (ETR)</w:t>
            </w:r>
          </w:p>
        </w:tc>
        <w:tc>
          <w:tcPr>
            <w:tcW w:w="0" w:type="auto"/>
            <w:tcBorders>
              <w:bottom w:val="single" w:sz="4" w:space="0" w:color="auto"/>
            </w:tcBorders>
            <w:tcMar>
              <w:top w:w="120" w:type="dxa"/>
              <w:left w:w="180" w:type="dxa"/>
              <w:bottom w:w="120" w:type="dxa"/>
              <w:right w:w="180" w:type="dxa"/>
            </w:tcMar>
            <w:vAlign w:val="center"/>
            <w:hideMark/>
          </w:tcPr>
          <w:p w14:paraId="5C61ADB6"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Independent</w:t>
            </w:r>
          </w:p>
        </w:tc>
        <w:tc>
          <w:tcPr>
            <w:tcW w:w="0" w:type="auto"/>
            <w:tcBorders>
              <w:bottom w:val="single" w:sz="4" w:space="0" w:color="auto"/>
            </w:tcBorders>
            <w:tcMar>
              <w:top w:w="120" w:type="dxa"/>
              <w:left w:w="180" w:type="dxa"/>
              <w:bottom w:w="120" w:type="dxa"/>
              <w:right w:w="180" w:type="dxa"/>
            </w:tcMar>
            <w:vAlign w:val="center"/>
            <w:hideMark/>
          </w:tcPr>
          <w:p w14:paraId="2A5218A7"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Indicates the average rate at which a bank’s pre-tax profits are taxed, representing the effectiveness of tax planning.</w:t>
            </w:r>
          </w:p>
        </w:tc>
        <w:tc>
          <w:tcPr>
            <w:tcW w:w="0" w:type="auto"/>
            <w:tcBorders>
              <w:bottom w:val="single" w:sz="4" w:space="0" w:color="auto"/>
            </w:tcBorders>
            <w:tcMar>
              <w:top w:w="120" w:type="dxa"/>
              <w:left w:w="180" w:type="dxa"/>
              <w:bottom w:w="120" w:type="dxa"/>
              <w:right w:w="180" w:type="dxa"/>
            </w:tcMar>
            <w:vAlign w:val="center"/>
            <w:hideMark/>
          </w:tcPr>
          <w:p w14:paraId="2A8889F9" w14:textId="77777777" w:rsidR="00F632EA" w:rsidRPr="00F632EA" w:rsidRDefault="009A4EB5" w:rsidP="00F632EA">
            <w:pPr>
              <w:spacing w:after="48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Tax Expense/Profit Before Tax x 100</w:t>
            </w:r>
          </w:p>
        </w:tc>
        <w:tc>
          <w:tcPr>
            <w:tcW w:w="0" w:type="auto"/>
            <w:tcBorders>
              <w:bottom w:val="single" w:sz="4" w:space="0" w:color="auto"/>
            </w:tcBorders>
            <w:tcMar>
              <w:top w:w="120" w:type="dxa"/>
              <w:left w:w="180" w:type="dxa"/>
              <w:bottom w:w="120" w:type="dxa"/>
              <w:right w:w="180" w:type="dxa"/>
            </w:tcMar>
            <w:vAlign w:val="center"/>
            <w:hideMark/>
          </w:tcPr>
          <w:p w14:paraId="5321DDFD" w14:textId="77777777" w:rsidR="00F632EA" w:rsidRPr="00F632EA" w:rsidRDefault="00F632EA" w:rsidP="00F632EA">
            <w:pPr>
              <w:spacing w:after="480" w:line="240" w:lineRule="auto"/>
              <w:rPr>
                <w:rFonts w:ascii="Times New Roman" w:eastAsia="Times New Roman" w:hAnsi="Times New Roman" w:cs="Times New Roman"/>
                <w:sz w:val="24"/>
                <w:szCs w:val="24"/>
                <w:lang w:eastAsia="en-GB"/>
              </w:rPr>
            </w:pPr>
            <w:r w:rsidRPr="00F632EA">
              <w:rPr>
                <w:rFonts w:ascii="Times New Roman" w:eastAsia="Times New Roman" w:hAnsi="Times New Roman" w:cs="Times New Roman"/>
                <w:sz w:val="24"/>
                <w:szCs w:val="24"/>
                <w:lang w:eastAsia="en-GB"/>
              </w:rPr>
              <w:t xml:space="preserve">Setiawati and </w:t>
            </w:r>
            <w:proofErr w:type="spellStart"/>
            <w:r w:rsidRPr="00F632EA">
              <w:rPr>
                <w:rFonts w:ascii="Times New Roman" w:eastAsia="Times New Roman" w:hAnsi="Times New Roman" w:cs="Times New Roman"/>
                <w:sz w:val="24"/>
                <w:szCs w:val="24"/>
                <w:lang w:eastAsia="en-GB"/>
              </w:rPr>
              <w:t>T</w:t>
            </w:r>
            <w:r w:rsidR="0044155E">
              <w:rPr>
                <w:rFonts w:ascii="Times New Roman" w:eastAsia="Times New Roman" w:hAnsi="Times New Roman" w:cs="Times New Roman"/>
                <w:sz w:val="24"/>
                <w:szCs w:val="24"/>
                <w:lang w:eastAsia="en-GB"/>
              </w:rPr>
              <w:t>anggreimi</w:t>
            </w:r>
            <w:proofErr w:type="spellEnd"/>
            <w:r w:rsidR="0044155E">
              <w:rPr>
                <w:rFonts w:ascii="Times New Roman" w:eastAsia="Times New Roman" w:hAnsi="Times New Roman" w:cs="Times New Roman"/>
                <w:sz w:val="24"/>
                <w:szCs w:val="24"/>
                <w:lang w:eastAsia="en-GB"/>
              </w:rPr>
              <w:t xml:space="preserve"> (2025)</w:t>
            </w:r>
          </w:p>
        </w:tc>
      </w:tr>
    </w:tbl>
    <w:p w14:paraId="2D4EFECE" w14:textId="77777777" w:rsidR="00F632EA" w:rsidRPr="00082587" w:rsidRDefault="00F632EA" w:rsidP="00E50E62">
      <w:pPr>
        <w:spacing w:after="0" w:line="240" w:lineRule="auto"/>
        <w:jc w:val="both"/>
        <w:rPr>
          <w:rFonts w:ascii="Times New Roman" w:eastAsia="Times New Roman" w:hAnsi="Times New Roman" w:cs="Times New Roman"/>
          <w:sz w:val="24"/>
          <w:szCs w:val="24"/>
          <w:lang w:eastAsia="en-GB"/>
        </w:rPr>
      </w:pPr>
    </w:p>
    <w:p w14:paraId="4A91E93F" w14:textId="77777777" w:rsidR="004D7082" w:rsidRDefault="004D7082" w:rsidP="004D7082">
      <w:pPr>
        <w:spacing w:after="0" w:line="240" w:lineRule="auto"/>
        <w:rPr>
          <w:rFonts w:asciiTheme="majorBidi" w:hAnsiTheme="majorBidi" w:cstheme="majorBidi"/>
          <w:b/>
          <w:bCs/>
          <w:sz w:val="24"/>
          <w:szCs w:val="24"/>
        </w:rPr>
      </w:pPr>
      <w:bookmarkStart w:id="0" w:name="_Toc190073225"/>
      <w:bookmarkStart w:id="1" w:name="_Toc190078932"/>
      <w:bookmarkStart w:id="2" w:name="_Toc190087754"/>
      <w:r>
        <w:rPr>
          <w:rFonts w:ascii="Times New Roman" w:hAnsi="Times New Roman" w:cs="Times New Roman"/>
          <w:b/>
          <w:sz w:val="24"/>
          <w:szCs w:val="24"/>
        </w:rPr>
        <w:t>4.0.</w:t>
      </w:r>
      <w:r>
        <w:rPr>
          <w:rFonts w:ascii="Times New Roman" w:hAnsi="Times New Roman" w:cs="Times New Roman"/>
          <w:b/>
          <w:sz w:val="24"/>
          <w:szCs w:val="24"/>
        </w:rPr>
        <w:tab/>
        <w:t xml:space="preserve">Descriptive </w:t>
      </w:r>
      <w:bookmarkEnd w:id="0"/>
      <w:bookmarkEnd w:id="1"/>
      <w:bookmarkEnd w:id="2"/>
      <w:r>
        <w:rPr>
          <w:rFonts w:ascii="Times New Roman" w:hAnsi="Times New Roman" w:cs="Times New Roman"/>
          <w:b/>
          <w:sz w:val="24"/>
          <w:szCs w:val="24"/>
        </w:rPr>
        <w:t>Analysis</w:t>
      </w:r>
    </w:p>
    <w:p w14:paraId="5AADE981" w14:textId="77777777" w:rsidR="00804982" w:rsidRPr="00401C4F" w:rsidRDefault="0024512B" w:rsidP="004D7082">
      <w:pPr>
        <w:spacing w:line="240" w:lineRule="auto"/>
        <w:jc w:val="both"/>
        <w:rPr>
          <w:rFonts w:ascii="Times New Roman" w:hAnsi="Times New Roman" w:cs="Times New Roman"/>
          <w:b/>
          <w:sz w:val="24"/>
          <w:szCs w:val="24"/>
        </w:rPr>
      </w:pPr>
      <w:r w:rsidRPr="00401C4F">
        <w:rPr>
          <w:rFonts w:ascii="Times New Roman" w:hAnsi="Times New Roman" w:cs="Times New Roman"/>
          <w:b/>
          <w:sz w:val="24"/>
          <w:szCs w:val="24"/>
        </w:rPr>
        <w:t>Table 2.</w:t>
      </w:r>
      <w:r w:rsidRPr="00401C4F">
        <w:rPr>
          <w:rFonts w:ascii="Times New Roman" w:hAnsi="Times New Roman" w:cs="Times New Roman"/>
          <w:b/>
          <w:sz w:val="24"/>
          <w:szCs w:val="24"/>
        </w:rPr>
        <w:tab/>
      </w:r>
      <w:r w:rsidR="004D7082" w:rsidRPr="00401C4F">
        <w:rPr>
          <w:rFonts w:ascii="Times New Roman" w:hAnsi="Times New Roman" w:cs="Times New Roman"/>
          <w:b/>
          <w:sz w:val="24"/>
          <w:szCs w:val="24"/>
        </w:rPr>
        <w:t xml:space="preserve"> Summary Descriptive Statistics of the Variables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0F1E57" w:rsidRPr="00401C4F" w14:paraId="357E4497" w14:textId="77777777" w:rsidTr="00401C4F">
        <w:tc>
          <w:tcPr>
            <w:tcW w:w="1803" w:type="dxa"/>
            <w:tcBorders>
              <w:top w:val="single" w:sz="4" w:space="0" w:color="auto"/>
              <w:bottom w:val="single" w:sz="4" w:space="0" w:color="auto"/>
            </w:tcBorders>
          </w:tcPr>
          <w:p w14:paraId="5CE3EEFA"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Variables</w:t>
            </w:r>
          </w:p>
        </w:tc>
        <w:tc>
          <w:tcPr>
            <w:tcW w:w="1803" w:type="dxa"/>
            <w:tcBorders>
              <w:top w:val="single" w:sz="4" w:space="0" w:color="auto"/>
              <w:bottom w:val="single" w:sz="4" w:space="0" w:color="auto"/>
            </w:tcBorders>
          </w:tcPr>
          <w:p w14:paraId="2F53C2FD"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Means</w:t>
            </w:r>
          </w:p>
        </w:tc>
        <w:tc>
          <w:tcPr>
            <w:tcW w:w="1803" w:type="dxa"/>
            <w:tcBorders>
              <w:top w:val="single" w:sz="4" w:space="0" w:color="auto"/>
              <w:bottom w:val="single" w:sz="4" w:space="0" w:color="auto"/>
            </w:tcBorders>
          </w:tcPr>
          <w:p w14:paraId="3B6C3967"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Std. Dev.</w:t>
            </w:r>
          </w:p>
        </w:tc>
        <w:tc>
          <w:tcPr>
            <w:tcW w:w="1803" w:type="dxa"/>
            <w:tcBorders>
              <w:top w:val="single" w:sz="4" w:space="0" w:color="auto"/>
              <w:bottom w:val="single" w:sz="4" w:space="0" w:color="auto"/>
            </w:tcBorders>
          </w:tcPr>
          <w:p w14:paraId="41E307EC"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Min</w:t>
            </w:r>
          </w:p>
        </w:tc>
        <w:tc>
          <w:tcPr>
            <w:tcW w:w="1804" w:type="dxa"/>
            <w:tcBorders>
              <w:top w:val="single" w:sz="4" w:space="0" w:color="auto"/>
              <w:bottom w:val="single" w:sz="4" w:space="0" w:color="auto"/>
            </w:tcBorders>
          </w:tcPr>
          <w:p w14:paraId="3DB3CAF7" w14:textId="77777777" w:rsidR="000F1E57" w:rsidRPr="00401C4F" w:rsidRDefault="000F1E57" w:rsidP="004D7082">
            <w:pPr>
              <w:jc w:val="both"/>
              <w:rPr>
                <w:rFonts w:ascii="Times New Roman" w:hAnsi="Times New Roman" w:cs="Times New Roman"/>
                <w:b/>
                <w:sz w:val="24"/>
                <w:szCs w:val="24"/>
              </w:rPr>
            </w:pPr>
            <w:r w:rsidRPr="00401C4F">
              <w:rPr>
                <w:rFonts w:ascii="Times New Roman" w:hAnsi="Times New Roman" w:cs="Times New Roman"/>
                <w:b/>
                <w:sz w:val="24"/>
                <w:szCs w:val="24"/>
              </w:rPr>
              <w:t>Max</w:t>
            </w:r>
          </w:p>
        </w:tc>
      </w:tr>
      <w:tr w:rsidR="000F1E57" w:rsidRPr="00401C4F" w14:paraId="0E1627DB" w14:textId="77777777" w:rsidTr="00401C4F">
        <w:tc>
          <w:tcPr>
            <w:tcW w:w="1803" w:type="dxa"/>
            <w:tcBorders>
              <w:top w:val="single" w:sz="4" w:space="0" w:color="auto"/>
            </w:tcBorders>
            <w:vAlign w:val="center"/>
          </w:tcPr>
          <w:p w14:paraId="481A2D0C"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NPLR</w:t>
            </w:r>
          </w:p>
        </w:tc>
        <w:tc>
          <w:tcPr>
            <w:tcW w:w="1803" w:type="dxa"/>
            <w:tcBorders>
              <w:top w:val="single" w:sz="4" w:space="0" w:color="auto"/>
            </w:tcBorders>
            <w:vAlign w:val="center"/>
          </w:tcPr>
          <w:p w14:paraId="2F3EF72F"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5.883</w:t>
            </w:r>
          </w:p>
        </w:tc>
        <w:tc>
          <w:tcPr>
            <w:tcW w:w="1803" w:type="dxa"/>
            <w:tcBorders>
              <w:top w:val="single" w:sz="4" w:space="0" w:color="auto"/>
            </w:tcBorders>
            <w:vAlign w:val="center"/>
          </w:tcPr>
          <w:p w14:paraId="1D9D870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5.758</w:t>
            </w:r>
          </w:p>
        </w:tc>
        <w:tc>
          <w:tcPr>
            <w:tcW w:w="1803" w:type="dxa"/>
            <w:tcBorders>
              <w:top w:val="single" w:sz="4" w:space="0" w:color="auto"/>
            </w:tcBorders>
            <w:vAlign w:val="center"/>
          </w:tcPr>
          <w:p w14:paraId="3F52509E"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1.090</w:t>
            </w:r>
          </w:p>
        </w:tc>
        <w:tc>
          <w:tcPr>
            <w:tcW w:w="1804" w:type="dxa"/>
            <w:tcBorders>
              <w:top w:val="single" w:sz="4" w:space="0" w:color="auto"/>
            </w:tcBorders>
            <w:vAlign w:val="center"/>
          </w:tcPr>
          <w:p w14:paraId="53EB89E6" w14:textId="77777777" w:rsidR="000F1E57" w:rsidRPr="00401C4F" w:rsidRDefault="000F1E57" w:rsidP="000F1E57">
            <w:pPr>
              <w:ind w:left="1427" w:right="-4940" w:hanging="1427"/>
              <w:rPr>
                <w:rFonts w:ascii="Times New Roman" w:hAnsi="Times New Roman" w:cs="Times New Roman"/>
                <w:sz w:val="24"/>
                <w:szCs w:val="24"/>
              </w:rPr>
            </w:pPr>
            <w:r w:rsidRPr="00401C4F">
              <w:rPr>
                <w:rFonts w:ascii="Times New Roman" w:hAnsi="Times New Roman" w:cs="Times New Roman"/>
                <w:sz w:val="24"/>
                <w:szCs w:val="24"/>
              </w:rPr>
              <w:t>52.970</w:t>
            </w:r>
          </w:p>
        </w:tc>
      </w:tr>
      <w:tr w:rsidR="000F1E57" w:rsidRPr="00401C4F" w14:paraId="60FA2888" w14:textId="77777777" w:rsidTr="00401C4F">
        <w:tc>
          <w:tcPr>
            <w:tcW w:w="1803" w:type="dxa"/>
            <w:vAlign w:val="center"/>
          </w:tcPr>
          <w:p w14:paraId="0303B43C"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CR</w:t>
            </w:r>
          </w:p>
        </w:tc>
        <w:tc>
          <w:tcPr>
            <w:tcW w:w="1803" w:type="dxa"/>
            <w:vAlign w:val="center"/>
          </w:tcPr>
          <w:p w14:paraId="402613B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1.391</w:t>
            </w:r>
          </w:p>
        </w:tc>
        <w:tc>
          <w:tcPr>
            <w:tcW w:w="1803" w:type="dxa"/>
            <w:vAlign w:val="center"/>
          </w:tcPr>
          <w:p w14:paraId="0FCE92D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1.016</w:t>
            </w:r>
          </w:p>
        </w:tc>
        <w:tc>
          <w:tcPr>
            <w:tcW w:w="1803" w:type="dxa"/>
            <w:vAlign w:val="center"/>
          </w:tcPr>
          <w:p w14:paraId="02E3562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0.205</w:t>
            </w:r>
          </w:p>
        </w:tc>
        <w:tc>
          <w:tcPr>
            <w:tcW w:w="1804" w:type="dxa"/>
            <w:vAlign w:val="center"/>
          </w:tcPr>
          <w:p w14:paraId="666C3A01"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5.730</w:t>
            </w:r>
          </w:p>
        </w:tc>
      </w:tr>
      <w:tr w:rsidR="000F1E57" w:rsidRPr="00401C4F" w14:paraId="576F9A09" w14:textId="77777777" w:rsidTr="00401C4F">
        <w:tc>
          <w:tcPr>
            <w:tcW w:w="1803" w:type="dxa"/>
            <w:vAlign w:val="center"/>
          </w:tcPr>
          <w:p w14:paraId="77F1D70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ETAR</w:t>
            </w:r>
          </w:p>
        </w:tc>
        <w:tc>
          <w:tcPr>
            <w:tcW w:w="1803" w:type="dxa"/>
            <w:vAlign w:val="center"/>
          </w:tcPr>
          <w:p w14:paraId="13D2F76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0.419</w:t>
            </w:r>
          </w:p>
        </w:tc>
        <w:tc>
          <w:tcPr>
            <w:tcW w:w="1803" w:type="dxa"/>
            <w:vAlign w:val="center"/>
          </w:tcPr>
          <w:p w14:paraId="1F6A8FA0"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0.220</w:t>
            </w:r>
          </w:p>
        </w:tc>
        <w:tc>
          <w:tcPr>
            <w:tcW w:w="1803" w:type="dxa"/>
            <w:vAlign w:val="center"/>
          </w:tcPr>
          <w:p w14:paraId="5614B91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0.028</w:t>
            </w:r>
          </w:p>
        </w:tc>
        <w:tc>
          <w:tcPr>
            <w:tcW w:w="1804" w:type="dxa"/>
            <w:vAlign w:val="center"/>
          </w:tcPr>
          <w:p w14:paraId="740DFB5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0.828</w:t>
            </w:r>
          </w:p>
        </w:tc>
      </w:tr>
      <w:tr w:rsidR="000F1E57" w:rsidRPr="00401C4F" w14:paraId="079B2756" w14:textId="77777777" w:rsidTr="00401C4F">
        <w:tc>
          <w:tcPr>
            <w:tcW w:w="1803" w:type="dxa"/>
            <w:vAlign w:val="center"/>
          </w:tcPr>
          <w:p w14:paraId="6F7520E9"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FR</w:t>
            </w:r>
          </w:p>
        </w:tc>
        <w:tc>
          <w:tcPr>
            <w:tcW w:w="1803" w:type="dxa"/>
            <w:vAlign w:val="center"/>
          </w:tcPr>
          <w:p w14:paraId="7B7C7C15"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3.264</w:t>
            </w:r>
          </w:p>
        </w:tc>
        <w:tc>
          <w:tcPr>
            <w:tcW w:w="1803" w:type="dxa"/>
            <w:vAlign w:val="center"/>
          </w:tcPr>
          <w:p w14:paraId="71B13221"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5.114</w:t>
            </w:r>
          </w:p>
        </w:tc>
        <w:tc>
          <w:tcPr>
            <w:tcW w:w="1803" w:type="dxa"/>
            <w:vAlign w:val="center"/>
          </w:tcPr>
          <w:p w14:paraId="35DD099C"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0.208</w:t>
            </w:r>
          </w:p>
        </w:tc>
        <w:tc>
          <w:tcPr>
            <w:tcW w:w="1804" w:type="dxa"/>
            <w:vAlign w:val="center"/>
          </w:tcPr>
          <w:p w14:paraId="7BC6759E"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35.020</w:t>
            </w:r>
          </w:p>
        </w:tc>
      </w:tr>
      <w:tr w:rsidR="000F1E57" w:rsidRPr="00401C4F" w14:paraId="5BC96C1D" w14:textId="77777777" w:rsidTr="00401C4F">
        <w:tc>
          <w:tcPr>
            <w:tcW w:w="1803" w:type="dxa"/>
            <w:vAlign w:val="center"/>
          </w:tcPr>
          <w:p w14:paraId="6640C84F"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OR</w:t>
            </w:r>
          </w:p>
        </w:tc>
        <w:tc>
          <w:tcPr>
            <w:tcW w:w="1803" w:type="dxa"/>
            <w:vAlign w:val="center"/>
          </w:tcPr>
          <w:p w14:paraId="5E517622"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0.430</w:t>
            </w:r>
          </w:p>
        </w:tc>
        <w:tc>
          <w:tcPr>
            <w:tcW w:w="1803" w:type="dxa"/>
            <w:vAlign w:val="center"/>
          </w:tcPr>
          <w:p w14:paraId="762DE4B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0.270</w:t>
            </w:r>
          </w:p>
        </w:tc>
        <w:tc>
          <w:tcPr>
            <w:tcW w:w="1803" w:type="dxa"/>
            <w:vAlign w:val="center"/>
          </w:tcPr>
          <w:p w14:paraId="59AC5609"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0.068</w:t>
            </w:r>
          </w:p>
        </w:tc>
        <w:tc>
          <w:tcPr>
            <w:tcW w:w="1804" w:type="dxa"/>
            <w:vAlign w:val="center"/>
          </w:tcPr>
          <w:p w14:paraId="436D8663"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1.479</w:t>
            </w:r>
          </w:p>
        </w:tc>
      </w:tr>
      <w:tr w:rsidR="000F1E57" w:rsidRPr="00401C4F" w14:paraId="7735EEF0" w14:textId="77777777" w:rsidTr="00401C4F">
        <w:tc>
          <w:tcPr>
            <w:tcW w:w="1803" w:type="dxa"/>
            <w:vAlign w:val="center"/>
          </w:tcPr>
          <w:p w14:paraId="594580CE"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MR</w:t>
            </w:r>
          </w:p>
        </w:tc>
        <w:tc>
          <w:tcPr>
            <w:tcW w:w="1803" w:type="dxa"/>
            <w:vAlign w:val="center"/>
          </w:tcPr>
          <w:p w14:paraId="5A6B4AB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56.868</w:t>
            </w:r>
          </w:p>
        </w:tc>
        <w:tc>
          <w:tcPr>
            <w:tcW w:w="1803" w:type="dxa"/>
            <w:vAlign w:val="center"/>
          </w:tcPr>
          <w:p w14:paraId="611ED75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27.546</w:t>
            </w:r>
          </w:p>
        </w:tc>
        <w:tc>
          <w:tcPr>
            <w:tcW w:w="1803" w:type="dxa"/>
            <w:vAlign w:val="center"/>
          </w:tcPr>
          <w:p w14:paraId="7738755A"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10.000</w:t>
            </w:r>
          </w:p>
        </w:tc>
        <w:tc>
          <w:tcPr>
            <w:tcW w:w="1804" w:type="dxa"/>
            <w:vAlign w:val="center"/>
          </w:tcPr>
          <w:p w14:paraId="4BFAFFD8"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100.000</w:t>
            </w:r>
          </w:p>
        </w:tc>
      </w:tr>
      <w:tr w:rsidR="000F1E57" w:rsidRPr="00401C4F" w14:paraId="70D99BA1" w14:textId="77777777" w:rsidTr="00401C4F">
        <w:tc>
          <w:tcPr>
            <w:tcW w:w="1803" w:type="dxa"/>
            <w:vAlign w:val="center"/>
          </w:tcPr>
          <w:p w14:paraId="6B1C557C"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CPI</w:t>
            </w:r>
          </w:p>
        </w:tc>
        <w:tc>
          <w:tcPr>
            <w:tcW w:w="1803" w:type="dxa"/>
            <w:vAlign w:val="center"/>
          </w:tcPr>
          <w:p w14:paraId="39087041"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71.516</w:t>
            </w:r>
          </w:p>
        </w:tc>
        <w:tc>
          <w:tcPr>
            <w:tcW w:w="1803" w:type="dxa"/>
            <w:vAlign w:val="center"/>
          </w:tcPr>
          <w:p w14:paraId="13C75159"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15.186</w:t>
            </w:r>
          </w:p>
        </w:tc>
        <w:tc>
          <w:tcPr>
            <w:tcW w:w="1803" w:type="dxa"/>
            <w:vAlign w:val="center"/>
          </w:tcPr>
          <w:p w14:paraId="60886DBD"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16.755</w:t>
            </w:r>
          </w:p>
        </w:tc>
        <w:tc>
          <w:tcPr>
            <w:tcW w:w="1804" w:type="dxa"/>
            <w:vAlign w:val="center"/>
          </w:tcPr>
          <w:p w14:paraId="6CE6E484"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94.142</w:t>
            </w:r>
          </w:p>
        </w:tc>
      </w:tr>
      <w:tr w:rsidR="000F1E57" w:rsidRPr="00401C4F" w14:paraId="29CB5E71" w14:textId="77777777" w:rsidTr="00401C4F">
        <w:tc>
          <w:tcPr>
            <w:tcW w:w="1803" w:type="dxa"/>
            <w:vAlign w:val="center"/>
          </w:tcPr>
          <w:p w14:paraId="67345D1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IVI</w:t>
            </w:r>
          </w:p>
        </w:tc>
        <w:tc>
          <w:tcPr>
            <w:tcW w:w="1803" w:type="dxa"/>
            <w:vAlign w:val="center"/>
          </w:tcPr>
          <w:p w14:paraId="5EE4CB1E"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28.484</w:t>
            </w:r>
          </w:p>
        </w:tc>
        <w:tc>
          <w:tcPr>
            <w:tcW w:w="1803" w:type="dxa"/>
            <w:vAlign w:val="center"/>
          </w:tcPr>
          <w:p w14:paraId="0A5136D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15.186</w:t>
            </w:r>
          </w:p>
        </w:tc>
        <w:tc>
          <w:tcPr>
            <w:tcW w:w="1803" w:type="dxa"/>
            <w:vAlign w:val="center"/>
          </w:tcPr>
          <w:p w14:paraId="68B169A9"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5.858</w:t>
            </w:r>
          </w:p>
        </w:tc>
        <w:tc>
          <w:tcPr>
            <w:tcW w:w="1804" w:type="dxa"/>
            <w:vAlign w:val="center"/>
          </w:tcPr>
          <w:p w14:paraId="792F61E4"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83.245</w:t>
            </w:r>
          </w:p>
        </w:tc>
      </w:tr>
      <w:tr w:rsidR="000F1E57" w:rsidRPr="00401C4F" w14:paraId="2446CA55" w14:textId="77777777" w:rsidTr="00401C4F">
        <w:tc>
          <w:tcPr>
            <w:tcW w:w="1803" w:type="dxa"/>
            <w:vAlign w:val="center"/>
          </w:tcPr>
          <w:p w14:paraId="79F2DD34"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ETR</w:t>
            </w:r>
          </w:p>
        </w:tc>
        <w:tc>
          <w:tcPr>
            <w:tcW w:w="1803" w:type="dxa"/>
            <w:vAlign w:val="center"/>
          </w:tcPr>
          <w:p w14:paraId="751D1105"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8.892</w:t>
            </w:r>
          </w:p>
        </w:tc>
        <w:tc>
          <w:tcPr>
            <w:tcW w:w="1803" w:type="dxa"/>
            <w:vAlign w:val="center"/>
          </w:tcPr>
          <w:p w14:paraId="7722D3D7"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8.268</w:t>
            </w:r>
          </w:p>
        </w:tc>
        <w:tc>
          <w:tcPr>
            <w:tcW w:w="1803" w:type="dxa"/>
            <w:vAlign w:val="center"/>
          </w:tcPr>
          <w:p w14:paraId="0E25D605"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0.510</w:t>
            </w:r>
          </w:p>
        </w:tc>
        <w:tc>
          <w:tcPr>
            <w:tcW w:w="1804" w:type="dxa"/>
            <w:vAlign w:val="center"/>
          </w:tcPr>
          <w:p w14:paraId="5C903B7B"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46.249</w:t>
            </w:r>
          </w:p>
        </w:tc>
      </w:tr>
      <w:tr w:rsidR="000F1E57" w:rsidRPr="00401C4F" w14:paraId="79CE3B2C" w14:textId="77777777" w:rsidTr="00401C4F">
        <w:tc>
          <w:tcPr>
            <w:tcW w:w="1803" w:type="dxa"/>
            <w:tcBorders>
              <w:bottom w:val="single" w:sz="4" w:space="0" w:color="auto"/>
            </w:tcBorders>
            <w:vAlign w:val="center"/>
          </w:tcPr>
          <w:p w14:paraId="4ACCE0E4"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b/>
                <w:bCs/>
                <w:sz w:val="24"/>
                <w:szCs w:val="24"/>
              </w:rPr>
              <w:t>CAR</w:t>
            </w:r>
          </w:p>
        </w:tc>
        <w:tc>
          <w:tcPr>
            <w:tcW w:w="1803" w:type="dxa"/>
            <w:tcBorders>
              <w:bottom w:val="single" w:sz="4" w:space="0" w:color="auto"/>
            </w:tcBorders>
            <w:vAlign w:val="center"/>
          </w:tcPr>
          <w:p w14:paraId="30DC65A4"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19.403</w:t>
            </w:r>
          </w:p>
        </w:tc>
        <w:tc>
          <w:tcPr>
            <w:tcW w:w="1803" w:type="dxa"/>
            <w:tcBorders>
              <w:bottom w:val="single" w:sz="4" w:space="0" w:color="auto"/>
            </w:tcBorders>
            <w:vAlign w:val="center"/>
          </w:tcPr>
          <w:p w14:paraId="1234241D"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6.823</w:t>
            </w:r>
          </w:p>
        </w:tc>
        <w:tc>
          <w:tcPr>
            <w:tcW w:w="1803" w:type="dxa"/>
            <w:tcBorders>
              <w:bottom w:val="single" w:sz="4" w:space="0" w:color="auto"/>
            </w:tcBorders>
            <w:vAlign w:val="center"/>
          </w:tcPr>
          <w:p w14:paraId="755A36B6"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-16.000</w:t>
            </w:r>
          </w:p>
        </w:tc>
        <w:tc>
          <w:tcPr>
            <w:tcW w:w="1804" w:type="dxa"/>
            <w:tcBorders>
              <w:bottom w:val="single" w:sz="4" w:space="0" w:color="auto"/>
            </w:tcBorders>
            <w:vAlign w:val="center"/>
          </w:tcPr>
          <w:p w14:paraId="20F1DD94" w14:textId="77777777" w:rsidR="000F1E57" w:rsidRPr="00401C4F" w:rsidRDefault="000F1E57" w:rsidP="000F1E57">
            <w:pPr>
              <w:rPr>
                <w:rFonts w:ascii="Times New Roman" w:hAnsi="Times New Roman" w:cs="Times New Roman"/>
                <w:sz w:val="24"/>
                <w:szCs w:val="24"/>
              </w:rPr>
            </w:pPr>
            <w:r w:rsidRPr="00401C4F">
              <w:rPr>
                <w:rFonts w:ascii="Times New Roman" w:hAnsi="Times New Roman" w:cs="Times New Roman"/>
                <w:sz w:val="24"/>
                <w:szCs w:val="24"/>
              </w:rPr>
              <w:t>48.830</w:t>
            </w:r>
          </w:p>
        </w:tc>
      </w:tr>
    </w:tbl>
    <w:p w14:paraId="77C100F7" w14:textId="77777777" w:rsidR="000F1E57" w:rsidRPr="00401C4F" w:rsidRDefault="000F1E57" w:rsidP="000F1E57">
      <w:pPr>
        <w:pStyle w:val="NormalWeb"/>
        <w:spacing w:before="0" w:beforeAutospacing="0" w:after="0" w:afterAutospacing="0"/>
      </w:pPr>
      <w:r w:rsidRPr="00401C4F">
        <w:rPr>
          <w:b/>
          <w:iCs/>
        </w:rPr>
        <w:t>Source:</w:t>
      </w:r>
      <w:r w:rsidRPr="00401C4F">
        <w:rPr>
          <w:iCs/>
        </w:rPr>
        <w:t xml:space="preserve"> Author’s Computation (2026) </w:t>
      </w:r>
    </w:p>
    <w:p w14:paraId="424EF8D8" w14:textId="77777777" w:rsidR="00401C4F" w:rsidRDefault="00401C4F" w:rsidP="000F1E57">
      <w:pPr>
        <w:pStyle w:val="NormalWeb"/>
        <w:spacing w:before="0" w:beforeAutospacing="0" w:after="0" w:afterAutospacing="0"/>
        <w:jc w:val="both"/>
        <w:rPr>
          <w:bCs/>
        </w:rPr>
      </w:pPr>
    </w:p>
    <w:p w14:paraId="6AAD4CB5" w14:textId="77777777" w:rsidR="004D7082" w:rsidRDefault="004D7082" w:rsidP="000F1E57">
      <w:pPr>
        <w:pStyle w:val="NormalWeb"/>
        <w:spacing w:before="0" w:beforeAutospacing="0" w:after="0" w:afterAutospacing="0"/>
        <w:jc w:val="both"/>
      </w:pPr>
      <w:r w:rsidRPr="004D7082">
        <w:rPr>
          <w:bCs/>
        </w:rPr>
        <w:t>Financial Stability (Dependent):</w:t>
      </w:r>
      <w:r w:rsidRPr="004D7082">
        <w:t xml:space="preserve"> </w:t>
      </w:r>
      <w:r w:rsidRPr="004D7082">
        <w:rPr>
          <w:rStyle w:val="HTMLCode"/>
          <w:rFonts w:ascii="Times New Roman" w:hAnsi="Times New Roman" w:cs="Times New Roman"/>
          <w:sz w:val="24"/>
          <w:szCs w:val="24"/>
        </w:rPr>
        <w:t>NPLR</w:t>
      </w:r>
      <w:r w:rsidRPr="004D7082">
        <w:t xml:space="preserve"> = Non-Performing Loans Ratio; </w:t>
      </w:r>
      <w:r w:rsidRPr="004D7082">
        <w:rPr>
          <w:rStyle w:val="HTMLCode"/>
          <w:rFonts w:ascii="Times New Roman" w:hAnsi="Times New Roman" w:cs="Times New Roman"/>
          <w:sz w:val="24"/>
          <w:szCs w:val="24"/>
        </w:rPr>
        <w:t>CR</w:t>
      </w:r>
      <w:r w:rsidRPr="004D7082">
        <w:t xml:space="preserve"> = Current Ratio; </w:t>
      </w:r>
      <w:r w:rsidRPr="004D7082">
        <w:rPr>
          <w:rStyle w:val="HTMLCode"/>
          <w:rFonts w:ascii="Times New Roman" w:hAnsi="Times New Roman" w:cs="Times New Roman"/>
          <w:sz w:val="24"/>
          <w:szCs w:val="24"/>
        </w:rPr>
        <w:t>ETAR</w:t>
      </w:r>
      <w:r w:rsidRPr="004D7082">
        <w:t xml:space="preserve"> = Equity to Total Assets Ratio. </w:t>
      </w:r>
      <w:r w:rsidRPr="004D7082">
        <w:rPr>
          <w:bCs/>
        </w:rPr>
        <w:t>Restructuring (Independent):</w:t>
      </w:r>
      <w:r w:rsidRPr="004D7082">
        <w:t xml:space="preserve"> </w:t>
      </w:r>
      <w:r w:rsidRPr="004D7082">
        <w:rPr>
          <w:rStyle w:val="HTMLCode"/>
          <w:rFonts w:ascii="Times New Roman" w:hAnsi="Times New Roman" w:cs="Times New Roman"/>
          <w:sz w:val="24"/>
          <w:szCs w:val="24"/>
        </w:rPr>
        <w:t>FR</w:t>
      </w:r>
      <w:r w:rsidRPr="004D7082">
        <w:t xml:space="preserve"> = Financial Restructuring; </w:t>
      </w:r>
      <w:r w:rsidRPr="004D7082">
        <w:rPr>
          <w:rStyle w:val="HTMLCode"/>
          <w:rFonts w:ascii="Times New Roman" w:hAnsi="Times New Roman" w:cs="Times New Roman"/>
          <w:sz w:val="24"/>
          <w:szCs w:val="24"/>
        </w:rPr>
        <w:t>OR</w:t>
      </w:r>
      <w:r w:rsidRPr="004D7082">
        <w:t xml:space="preserve"> = Operational Restructuring; </w:t>
      </w:r>
      <w:r w:rsidRPr="004D7082">
        <w:rPr>
          <w:rStyle w:val="HTMLCode"/>
          <w:rFonts w:ascii="Times New Roman" w:hAnsi="Times New Roman" w:cs="Times New Roman"/>
          <w:sz w:val="24"/>
          <w:szCs w:val="24"/>
        </w:rPr>
        <w:t>MR</w:t>
      </w:r>
      <w:r w:rsidRPr="004D7082">
        <w:t xml:space="preserve"> = Managerial Restructuring. </w:t>
      </w:r>
      <w:r w:rsidRPr="004D7082">
        <w:rPr>
          <w:bCs/>
        </w:rPr>
        <w:t>Corporate Tax Planning (Independent):</w:t>
      </w:r>
      <w:r w:rsidRPr="004D7082">
        <w:t xml:space="preserve"> </w:t>
      </w:r>
      <w:r w:rsidRPr="004D7082">
        <w:rPr>
          <w:rStyle w:val="HTMLCode"/>
          <w:rFonts w:ascii="Times New Roman" w:hAnsi="Times New Roman" w:cs="Times New Roman"/>
          <w:sz w:val="24"/>
          <w:szCs w:val="24"/>
        </w:rPr>
        <w:t>CPI</w:t>
      </w:r>
      <w:r w:rsidRPr="004D7082">
        <w:t xml:space="preserve"> = Capital Intensity; </w:t>
      </w:r>
      <w:r w:rsidRPr="004D7082">
        <w:rPr>
          <w:rStyle w:val="HTMLCode"/>
          <w:rFonts w:ascii="Times New Roman" w:hAnsi="Times New Roman" w:cs="Times New Roman"/>
          <w:sz w:val="24"/>
          <w:szCs w:val="24"/>
        </w:rPr>
        <w:t>IVI</w:t>
      </w:r>
      <w:r w:rsidRPr="004D7082">
        <w:t xml:space="preserve"> = Inventory Intensity; </w:t>
      </w:r>
      <w:r w:rsidRPr="004D7082">
        <w:rPr>
          <w:rStyle w:val="HTMLCode"/>
          <w:rFonts w:ascii="Times New Roman" w:hAnsi="Times New Roman" w:cs="Times New Roman"/>
          <w:sz w:val="24"/>
          <w:szCs w:val="24"/>
        </w:rPr>
        <w:t>ETR</w:t>
      </w:r>
      <w:r w:rsidRPr="004D7082">
        <w:t xml:space="preserve"> = Effective Tax Rate. </w:t>
      </w:r>
      <w:r w:rsidRPr="004D7082">
        <w:rPr>
          <w:bCs/>
        </w:rPr>
        <w:t>Moderating Variable:</w:t>
      </w:r>
      <w:r w:rsidRPr="004D7082">
        <w:t xml:space="preserve"> </w:t>
      </w:r>
      <w:r w:rsidRPr="004D7082">
        <w:rPr>
          <w:rStyle w:val="HTMLCode"/>
          <w:rFonts w:ascii="Times New Roman" w:hAnsi="Times New Roman" w:cs="Times New Roman"/>
          <w:sz w:val="24"/>
          <w:szCs w:val="24"/>
        </w:rPr>
        <w:t>CAR</w:t>
      </w:r>
      <w:r w:rsidRPr="004D7082">
        <w:t xml:space="preserve"> = Capital Adequacy Ratio.</w:t>
      </w:r>
    </w:p>
    <w:p w14:paraId="1564BE95" w14:textId="77777777" w:rsidR="00030706" w:rsidRDefault="00030706" w:rsidP="00005908">
      <w:pPr>
        <w:pStyle w:val="Heading3"/>
        <w:spacing w:before="0" w:beforeAutospacing="0" w:after="0" w:afterAutospacing="0"/>
        <w:jc w:val="both"/>
        <w:rPr>
          <w:sz w:val="24"/>
          <w:szCs w:val="24"/>
        </w:rPr>
      </w:pPr>
    </w:p>
    <w:p w14:paraId="54F01326" w14:textId="77777777" w:rsidR="00030706" w:rsidRDefault="00030706" w:rsidP="00005908">
      <w:pPr>
        <w:pStyle w:val="Heading3"/>
        <w:spacing w:before="0" w:beforeAutospacing="0" w:after="0" w:afterAutospacing="0"/>
        <w:jc w:val="both"/>
        <w:rPr>
          <w:sz w:val="24"/>
          <w:szCs w:val="24"/>
        </w:rPr>
      </w:pPr>
    </w:p>
    <w:p w14:paraId="191B7B6A" w14:textId="77777777" w:rsidR="00030706" w:rsidRDefault="00030706" w:rsidP="00005908">
      <w:pPr>
        <w:pStyle w:val="Heading3"/>
        <w:spacing w:before="0" w:beforeAutospacing="0" w:after="0" w:afterAutospacing="0"/>
        <w:jc w:val="both"/>
        <w:rPr>
          <w:sz w:val="24"/>
          <w:szCs w:val="24"/>
        </w:rPr>
      </w:pPr>
    </w:p>
    <w:p w14:paraId="4E5A467B" w14:textId="77777777" w:rsidR="00030706" w:rsidRDefault="00030706" w:rsidP="00005908">
      <w:pPr>
        <w:pStyle w:val="Heading3"/>
        <w:spacing w:before="0" w:beforeAutospacing="0" w:after="0" w:afterAutospacing="0"/>
        <w:jc w:val="both"/>
        <w:rPr>
          <w:sz w:val="24"/>
          <w:szCs w:val="24"/>
        </w:rPr>
      </w:pPr>
    </w:p>
    <w:p w14:paraId="784EC6A1" w14:textId="77777777" w:rsidR="00030706" w:rsidRDefault="00030706" w:rsidP="00005908">
      <w:pPr>
        <w:pStyle w:val="Heading3"/>
        <w:spacing w:before="0" w:beforeAutospacing="0" w:after="0" w:afterAutospacing="0"/>
        <w:jc w:val="both"/>
        <w:rPr>
          <w:sz w:val="24"/>
          <w:szCs w:val="24"/>
        </w:rPr>
      </w:pPr>
    </w:p>
    <w:p w14:paraId="0127088D" w14:textId="77777777" w:rsidR="00030706" w:rsidRDefault="00030706" w:rsidP="00005908">
      <w:pPr>
        <w:pStyle w:val="Heading3"/>
        <w:spacing w:before="0" w:beforeAutospacing="0" w:after="0" w:afterAutospacing="0"/>
        <w:jc w:val="both"/>
        <w:rPr>
          <w:sz w:val="24"/>
          <w:szCs w:val="24"/>
        </w:rPr>
      </w:pPr>
    </w:p>
    <w:p w14:paraId="517FB8A7" w14:textId="77777777" w:rsidR="00030706" w:rsidRDefault="00030706" w:rsidP="00005908">
      <w:pPr>
        <w:pStyle w:val="Heading3"/>
        <w:spacing w:before="0" w:beforeAutospacing="0" w:after="0" w:afterAutospacing="0"/>
        <w:jc w:val="both"/>
        <w:rPr>
          <w:sz w:val="24"/>
          <w:szCs w:val="24"/>
        </w:rPr>
      </w:pPr>
    </w:p>
    <w:p w14:paraId="2BDBB7AF" w14:textId="77777777" w:rsidR="00030706" w:rsidRDefault="00030706" w:rsidP="00005908">
      <w:pPr>
        <w:pStyle w:val="Heading3"/>
        <w:spacing w:before="0" w:beforeAutospacing="0" w:after="0" w:afterAutospacing="0"/>
        <w:jc w:val="both"/>
        <w:rPr>
          <w:sz w:val="24"/>
          <w:szCs w:val="24"/>
        </w:rPr>
      </w:pPr>
    </w:p>
    <w:p w14:paraId="272291C9" w14:textId="77777777" w:rsidR="00030706" w:rsidRDefault="00030706" w:rsidP="00005908">
      <w:pPr>
        <w:pStyle w:val="Heading3"/>
        <w:spacing w:before="0" w:beforeAutospacing="0" w:after="0" w:afterAutospacing="0"/>
        <w:jc w:val="both"/>
        <w:rPr>
          <w:sz w:val="24"/>
          <w:szCs w:val="24"/>
        </w:rPr>
      </w:pPr>
    </w:p>
    <w:p w14:paraId="743FA45B" w14:textId="77777777" w:rsidR="00030706" w:rsidRDefault="00030706" w:rsidP="00005908">
      <w:pPr>
        <w:pStyle w:val="Heading3"/>
        <w:spacing w:before="0" w:beforeAutospacing="0" w:after="0" w:afterAutospacing="0"/>
        <w:jc w:val="both"/>
        <w:rPr>
          <w:sz w:val="24"/>
          <w:szCs w:val="24"/>
        </w:rPr>
      </w:pPr>
    </w:p>
    <w:p w14:paraId="48913D2E" w14:textId="77777777" w:rsidR="00030706" w:rsidRDefault="00030706" w:rsidP="00005908">
      <w:pPr>
        <w:pStyle w:val="Heading3"/>
        <w:spacing w:before="0" w:beforeAutospacing="0" w:after="0" w:afterAutospacing="0"/>
        <w:jc w:val="both"/>
        <w:rPr>
          <w:sz w:val="24"/>
          <w:szCs w:val="24"/>
        </w:rPr>
      </w:pPr>
    </w:p>
    <w:p w14:paraId="06E4ECF3" w14:textId="77777777" w:rsidR="00030706" w:rsidRDefault="00030706" w:rsidP="00005908">
      <w:pPr>
        <w:pStyle w:val="Heading3"/>
        <w:spacing w:before="0" w:beforeAutospacing="0" w:after="0" w:afterAutospacing="0"/>
        <w:jc w:val="both"/>
        <w:rPr>
          <w:sz w:val="24"/>
          <w:szCs w:val="24"/>
        </w:rPr>
      </w:pPr>
    </w:p>
    <w:p w14:paraId="1762D496" w14:textId="77777777" w:rsidR="00030706" w:rsidRDefault="00030706" w:rsidP="00005908">
      <w:pPr>
        <w:pStyle w:val="Heading3"/>
        <w:spacing w:before="0" w:beforeAutospacing="0" w:after="0" w:afterAutospacing="0"/>
        <w:jc w:val="both"/>
        <w:rPr>
          <w:sz w:val="24"/>
          <w:szCs w:val="24"/>
        </w:rPr>
      </w:pPr>
    </w:p>
    <w:p w14:paraId="45823BB5" w14:textId="77777777" w:rsidR="00030706" w:rsidRDefault="00030706" w:rsidP="00005908">
      <w:pPr>
        <w:pStyle w:val="Heading3"/>
        <w:spacing w:before="0" w:beforeAutospacing="0" w:after="0" w:afterAutospacing="0"/>
        <w:jc w:val="both"/>
        <w:rPr>
          <w:sz w:val="24"/>
          <w:szCs w:val="24"/>
        </w:rPr>
      </w:pPr>
    </w:p>
    <w:p w14:paraId="303977F4" w14:textId="77777777" w:rsidR="004C746E" w:rsidRPr="00030706" w:rsidRDefault="002626AB" w:rsidP="00030706">
      <w:pPr>
        <w:pStyle w:val="Heading3"/>
        <w:spacing w:before="0" w:beforeAutospacing="0" w:after="0" w:afterAutospacing="0"/>
        <w:jc w:val="both"/>
        <w:rPr>
          <w:sz w:val="24"/>
          <w:szCs w:val="24"/>
        </w:rPr>
      </w:pPr>
      <w:r>
        <w:rPr>
          <w:sz w:val="24"/>
          <w:szCs w:val="24"/>
        </w:rPr>
        <w:lastRenderedPageBreak/>
        <w:t>4.1</w:t>
      </w:r>
      <w:r>
        <w:rPr>
          <w:sz w:val="24"/>
          <w:szCs w:val="24"/>
        </w:rPr>
        <w:tab/>
      </w:r>
      <w:r w:rsidR="004C746E" w:rsidRPr="00005908">
        <w:rPr>
          <w:sz w:val="24"/>
          <w:szCs w:val="24"/>
        </w:rPr>
        <w:t xml:space="preserve"> Unit Root Tests for Stationarity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8"/>
        <w:gridCol w:w="1599"/>
        <w:gridCol w:w="1408"/>
        <w:gridCol w:w="1379"/>
        <w:gridCol w:w="1809"/>
        <w:gridCol w:w="1663"/>
      </w:tblGrid>
      <w:tr w:rsidR="004C746E" w14:paraId="457A231C" w14:textId="77777777" w:rsidTr="004C746E">
        <w:trPr>
          <w:tblHeader/>
          <w:tblCellSpacing w:w="15" w:type="dxa"/>
        </w:trPr>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27BBA661" w14:textId="77777777" w:rsidR="004C746E" w:rsidRDefault="004C746E">
            <w:pPr>
              <w:spacing w:after="480"/>
            </w:pPr>
            <w:r>
              <w:rPr>
                <w:rStyle w:val="Strong"/>
              </w:rPr>
              <w:t>Variable</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64EAAFCD" w14:textId="77777777" w:rsidR="004C746E" w:rsidRDefault="004C746E">
            <w:pPr>
              <w:spacing w:after="480"/>
            </w:pPr>
            <w:r>
              <w:rPr>
                <w:rStyle w:val="Strong"/>
              </w:rPr>
              <w:t>Inverse Chi-Squared (P)</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1A674023" w14:textId="77777777" w:rsidR="004C746E" w:rsidRDefault="004C746E">
            <w:pPr>
              <w:spacing w:after="480"/>
            </w:pPr>
            <w:r>
              <w:rPr>
                <w:rStyle w:val="Strong"/>
              </w:rPr>
              <w:t>Inverse Normal (Z)</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06145171" w14:textId="77777777" w:rsidR="004C746E" w:rsidRDefault="004C746E">
            <w:pPr>
              <w:spacing w:after="480"/>
            </w:pPr>
            <w:r>
              <w:rPr>
                <w:rStyle w:val="Strong"/>
              </w:rPr>
              <w:t>Inverse Logit (L</w:t>
            </w:r>
            <w:r>
              <w:rPr>
                <w:rStyle w:val="Strong"/>
                <w:rFonts w:ascii="Cambria Math" w:hAnsi="Cambria Math" w:cs="Cambria Math"/>
              </w:rPr>
              <w:t>∗</w:t>
            </w:r>
            <w:r>
              <w:rPr>
                <w:rStyle w:val="Strong"/>
              </w:rPr>
              <w:t>)</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5484FD8B" w14:textId="77777777" w:rsidR="004C746E" w:rsidRDefault="004C746E">
            <w:pPr>
              <w:spacing w:after="480"/>
            </w:pPr>
            <w:r>
              <w:rPr>
                <w:rStyle w:val="Strong"/>
              </w:rPr>
              <w:t>Modified Inv. Chi-Squared (Pm​)</w:t>
            </w:r>
          </w:p>
        </w:tc>
        <w:tc>
          <w:tcPr>
            <w:tcW w:w="0" w:type="auto"/>
            <w:tcBorders>
              <w:top w:val="single" w:sz="4" w:space="0" w:color="auto"/>
              <w:bottom w:val="single" w:sz="4" w:space="0" w:color="auto"/>
            </w:tcBorders>
            <w:tcMar>
              <w:top w:w="120" w:type="dxa"/>
              <w:left w:w="180" w:type="dxa"/>
              <w:bottom w:w="120" w:type="dxa"/>
              <w:right w:w="180" w:type="dxa"/>
            </w:tcMar>
            <w:vAlign w:val="center"/>
            <w:hideMark/>
          </w:tcPr>
          <w:p w14:paraId="0CFF9EC2" w14:textId="77777777" w:rsidR="004C746E" w:rsidRDefault="004C746E">
            <w:pPr>
              <w:spacing w:after="480"/>
            </w:pPr>
            <w:r>
              <w:rPr>
                <w:rStyle w:val="Strong"/>
              </w:rPr>
              <w:t>Order of Integration</w:t>
            </w:r>
          </w:p>
        </w:tc>
      </w:tr>
      <w:tr w:rsidR="004C746E" w14:paraId="3BED36DD" w14:textId="77777777" w:rsidTr="004C746E">
        <w:trPr>
          <w:tblCellSpacing w:w="15" w:type="dxa"/>
        </w:trPr>
        <w:tc>
          <w:tcPr>
            <w:tcW w:w="0" w:type="auto"/>
            <w:tcMar>
              <w:top w:w="120" w:type="dxa"/>
              <w:left w:w="180" w:type="dxa"/>
              <w:bottom w:w="120" w:type="dxa"/>
              <w:right w:w="180" w:type="dxa"/>
            </w:tcMar>
            <w:vAlign w:val="center"/>
            <w:hideMark/>
          </w:tcPr>
          <w:p w14:paraId="79A1D092" w14:textId="77777777" w:rsidR="004C746E" w:rsidRDefault="004C746E">
            <w:pPr>
              <w:spacing w:after="480"/>
            </w:pPr>
            <w:r>
              <w:rPr>
                <w:b/>
                <w:bCs/>
              </w:rPr>
              <w:t>NPLR</w:t>
            </w:r>
          </w:p>
        </w:tc>
        <w:tc>
          <w:tcPr>
            <w:tcW w:w="0" w:type="auto"/>
            <w:tcMar>
              <w:top w:w="120" w:type="dxa"/>
              <w:left w:w="180" w:type="dxa"/>
              <w:bottom w:w="120" w:type="dxa"/>
              <w:right w:w="180" w:type="dxa"/>
            </w:tcMar>
            <w:vAlign w:val="center"/>
            <w:hideMark/>
          </w:tcPr>
          <w:p w14:paraId="4FCB645A" w14:textId="77777777" w:rsidR="004C746E" w:rsidRDefault="004C746E">
            <w:pPr>
              <w:spacing w:after="480"/>
            </w:pPr>
            <w:r>
              <w:t>72.6543 (0.0000)</w:t>
            </w:r>
          </w:p>
        </w:tc>
        <w:tc>
          <w:tcPr>
            <w:tcW w:w="0" w:type="auto"/>
            <w:tcMar>
              <w:top w:w="120" w:type="dxa"/>
              <w:left w:w="180" w:type="dxa"/>
              <w:bottom w:w="120" w:type="dxa"/>
              <w:right w:w="180" w:type="dxa"/>
            </w:tcMar>
            <w:vAlign w:val="center"/>
            <w:hideMark/>
          </w:tcPr>
          <w:p w14:paraId="48D5BF84" w14:textId="77777777" w:rsidR="004C746E" w:rsidRDefault="004C746E">
            <w:pPr>
              <w:spacing w:after="480"/>
            </w:pPr>
            <w:r>
              <w:t>-4.6397 (0.0000)</w:t>
            </w:r>
          </w:p>
        </w:tc>
        <w:tc>
          <w:tcPr>
            <w:tcW w:w="0" w:type="auto"/>
            <w:tcMar>
              <w:top w:w="120" w:type="dxa"/>
              <w:left w:w="180" w:type="dxa"/>
              <w:bottom w:w="120" w:type="dxa"/>
              <w:right w:w="180" w:type="dxa"/>
            </w:tcMar>
            <w:vAlign w:val="center"/>
            <w:hideMark/>
          </w:tcPr>
          <w:p w14:paraId="4B20F73B" w14:textId="77777777" w:rsidR="004C746E" w:rsidRDefault="004C746E">
            <w:pPr>
              <w:spacing w:after="480"/>
            </w:pPr>
            <w:r>
              <w:t>-4.7047 (0.0000)</w:t>
            </w:r>
          </w:p>
        </w:tc>
        <w:tc>
          <w:tcPr>
            <w:tcW w:w="0" w:type="auto"/>
            <w:tcMar>
              <w:top w:w="120" w:type="dxa"/>
              <w:left w:w="180" w:type="dxa"/>
              <w:bottom w:w="120" w:type="dxa"/>
              <w:right w:w="180" w:type="dxa"/>
            </w:tcMar>
            <w:vAlign w:val="center"/>
            <w:hideMark/>
          </w:tcPr>
          <w:p w14:paraId="4AB968D3" w14:textId="77777777" w:rsidR="004C746E" w:rsidRDefault="004C746E">
            <w:pPr>
              <w:spacing w:after="480"/>
            </w:pPr>
            <w:r>
              <w:t>5.5066 (0.0000)</w:t>
            </w:r>
          </w:p>
        </w:tc>
        <w:tc>
          <w:tcPr>
            <w:tcW w:w="0" w:type="auto"/>
            <w:tcMar>
              <w:top w:w="120" w:type="dxa"/>
              <w:left w:w="180" w:type="dxa"/>
              <w:bottom w:w="120" w:type="dxa"/>
              <w:right w:w="180" w:type="dxa"/>
            </w:tcMar>
            <w:vAlign w:val="center"/>
            <w:hideMark/>
          </w:tcPr>
          <w:p w14:paraId="45F7510D" w14:textId="77777777" w:rsidR="004C746E" w:rsidRDefault="004C746E">
            <w:pPr>
              <w:spacing w:after="480"/>
            </w:pPr>
            <w:proofErr w:type="gramStart"/>
            <w:r>
              <w:rPr>
                <w:b/>
                <w:bCs/>
              </w:rPr>
              <w:t>I(</w:t>
            </w:r>
            <w:proofErr w:type="gramEnd"/>
            <w:r>
              <w:rPr>
                <w:b/>
                <w:bCs/>
              </w:rPr>
              <w:t>1)</w:t>
            </w:r>
          </w:p>
        </w:tc>
      </w:tr>
      <w:tr w:rsidR="004C746E" w14:paraId="42F504FD" w14:textId="77777777" w:rsidTr="004C746E">
        <w:trPr>
          <w:tblCellSpacing w:w="15" w:type="dxa"/>
        </w:trPr>
        <w:tc>
          <w:tcPr>
            <w:tcW w:w="0" w:type="auto"/>
            <w:tcMar>
              <w:top w:w="120" w:type="dxa"/>
              <w:left w:w="180" w:type="dxa"/>
              <w:bottom w:w="120" w:type="dxa"/>
              <w:right w:w="180" w:type="dxa"/>
            </w:tcMar>
            <w:vAlign w:val="center"/>
            <w:hideMark/>
          </w:tcPr>
          <w:p w14:paraId="165E9FA5" w14:textId="77777777" w:rsidR="004C746E" w:rsidRDefault="004C746E">
            <w:pPr>
              <w:spacing w:after="480"/>
            </w:pPr>
            <w:r>
              <w:rPr>
                <w:b/>
                <w:bCs/>
              </w:rPr>
              <w:t>CR</w:t>
            </w:r>
          </w:p>
        </w:tc>
        <w:tc>
          <w:tcPr>
            <w:tcW w:w="0" w:type="auto"/>
            <w:tcMar>
              <w:top w:w="120" w:type="dxa"/>
              <w:left w:w="180" w:type="dxa"/>
              <w:bottom w:w="120" w:type="dxa"/>
              <w:right w:w="180" w:type="dxa"/>
            </w:tcMar>
            <w:vAlign w:val="center"/>
            <w:hideMark/>
          </w:tcPr>
          <w:p w14:paraId="471F2ADF" w14:textId="77777777" w:rsidR="004C746E" w:rsidRDefault="004C746E">
            <w:pPr>
              <w:spacing w:after="480"/>
            </w:pPr>
            <w:r>
              <w:t>64.0140 (0.0000)</w:t>
            </w:r>
          </w:p>
        </w:tc>
        <w:tc>
          <w:tcPr>
            <w:tcW w:w="0" w:type="auto"/>
            <w:tcMar>
              <w:top w:w="120" w:type="dxa"/>
              <w:left w:w="180" w:type="dxa"/>
              <w:bottom w:w="120" w:type="dxa"/>
              <w:right w:w="180" w:type="dxa"/>
            </w:tcMar>
            <w:vAlign w:val="center"/>
            <w:hideMark/>
          </w:tcPr>
          <w:p w14:paraId="11BC941E" w14:textId="77777777" w:rsidR="004C746E" w:rsidRDefault="004C746E">
            <w:pPr>
              <w:spacing w:after="480"/>
            </w:pPr>
            <w:r>
              <w:t>-3.4550 (0.0000)</w:t>
            </w:r>
          </w:p>
        </w:tc>
        <w:tc>
          <w:tcPr>
            <w:tcW w:w="0" w:type="auto"/>
            <w:tcMar>
              <w:top w:w="120" w:type="dxa"/>
              <w:left w:w="180" w:type="dxa"/>
              <w:bottom w:w="120" w:type="dxa"/>
              <w:right w:w="180" w:type="dxa"/>
            </w:tcMar>
            <w:vAlign w:val="center"/>
            <w:hideMark/>
          </w:tcPr>
          <w:p w14:paraId="0A8AF3FB" w14:textId="77777777" w:rsidR="004C746E" w:rsidRDefault="004C746E">
            <w:pPr>
              <w:spacing w:after="480"/>
            </w:pPr>
            <w:r>
              <w:t>-3.7570 (0.0000)</w:t>
            </w:r>
          </w:p>
        </w:tc>
        <w:tc>
          <w:tcPr>
            <w:tcW w:w="0" w:type="auto"/>
            <w:tcMar>
              <w:top w:w="120" w:type="dxa"/>
              <w:left w:w="180" w:type="dxa"/>
              <w:bottom w:w="120" w:type="dxa"/>
              <w:right w:w="180" w:type="dxa"/>
            </w:tcMar>
            <w:vAlign w:val="center"/>
            <w:hideMark/>
          </w:tcPr>
          <w:p w14:paraId="0FBE96B0" w14:textId="77777777" w:rsidR="004C746E" w:rsidRDefault="004C746E">
            <w:pPr>
              <w:spacing w:after="480"/>
            </w:pPr>
            <w:r>
              <w:t>4.3910 (0.0000)</w:t>
            </w:r>
          </w:p>
        </w:tc>
        <w:tc>
          <w:tcPr>
            <w:tcW w:w="0" w:type="auto"/>
            <w:tcMar>
              <w:top w:w="120" w:type="dxa"/>
              <w:left w:w="180" w:type="dxa"/>
              <w:bottom w:w="120" w:type="dxa"/>
              <w:right w:w="180" w:type="dxa"/>
            </w:tcMar>
            <w:vAlign w:val="center"/>
            <w:hideMark/>
          </w:tcPr>
          <w:p w14:paraId="1DA7A1C0" w14:textId="77777777" w:rsidR="004C746E" w:rsidRDefault="004C746E">
            <w:pPr>
              <w:spacing w:after="480"/>
            </w:pPr>
            <w:proofErr w:type="gramStart"/>
            <w:r>
              <w:rPr>
                <w:b/>
                <w:bCs/>
              </w:rPr>
              <w:t>I(</w:t>
            </w:r>
            <w:proofErr w:type="gramEnd"/>
            <w:r>
              <w:rPr>
                <w:b/>
                <w:bCs/>
              </w:rPr>
              <w:t>0)</w:t>
            </w:r>
          </w:p>
        </w:tc>
      </w:tr>
      <w:tr w:rsidR="004C746E" w14:paraId="1D60A838" w14:textId="77777777" w:rsidTr="004C746E">
        <w:trPr>
          <w:tblCellSpacing w:w="15" w:type="dxa"/>
        </w:trPr>
        <w:tc>
          <w:tcPr>
            <w:tcW w:w="0" w:type="auto"/>
            <w:tcMar>
              <w:top w:w="120" w:type="dxa"/>
              <w:left w:w="180" w:type="dxa"/>
              <w:bottom w:w="120" w:type="dxa"/>
              <w:right w:w="180" w:type="dxa"/>
            </w:tcMar>
            <w:vAlign w:val="center"/>
            <w:hideMark/>
          </w:tcPr>
          <w:p w14:paraId="4CCD2744" w14:textId="77777777" w:rsidR="004C746E" w:rsidRDefault="004C746E">
            <w:pPr>
              <w:spacing w:after="480"/>
            </w:pPr>
            <w:r>
              <w:rPr>
                <w:b/>
                <w:bCs/>
              </w:rPr>
              <w:t>ETAR</w:t>
            </w:r>
          </w:p>
        </w:tc>
        <w:tc>
          <w:tcPr>
            <w:tcW w:w="0" w:type="auto"/>
            <w:tcMar>
              <w:top w:w="120" w:type="dxa"/>
              <w:left w:w="180" w:type="dxa"/>
              <w:bottom w:w="120" w:type="dxa"/>
              <w:right w:w="180" w:type="dxa"/>
            </w:tcMar>
            <w:vAlign w:val="center"/>
            <w:hideMark/>
          </w:tcPr>
          <w:p w14:paraId="75682EDF" w14:textId="77777777" w:rsidR="004C746E" w:rsidRDefault="004C746E">
            <w:pPr>
              <w:spacing w:after="480"/>
            </w:pPr>
            <w:r>
              <w:t>89.5970 (0.0000)</w:t>
            </w:r>
          </w:p>
        </w:tc>
        <w:tc>
          <w:tcPr>
            <w:tcW w:w="0" w:type="auto"/>
            <w:tcMar>
              <w:top w:w="120" w:type="dxa"/>
              <w:left w:w="180" w:type="dxa"/>
              <w:bottom w:w="120" w:type="dxa"/>
              <w:right w:w="180" w:type="dxa"/>
            </w:tcMar>
            <w:vAlign w:val="center"/>
            <w:hideMark/>
          </w:tcPr>
          <w:p w14:paraId="38DB12AE" w14:textId="77777777" w:rsidR="004C746E" w:rsidRDefault="004C746E">
            <w:pPr>
              <w:spacing w:after="480"/>
            </w:pPr>
            <w:r>
              <w:t>-3.1720 (0.0010)</w:t>
            </w:r>
          </w:p>
        </w:tc>
        <w:tc>
          <w:tcPr>
            <w:tcW w:w="0" w:type="auto"/>
            <w:tcMar>
              <w:top w:w="120" w:type="dxa"/>
              <w:left w:w="180" w:type="dxa"/>
              <w:bottom w:w="120" w:type="dxa"/>
              <w:right w:w="180" w:type="dxa"/>
            </w:tcMar>
            <w:vAlign w:val="center"/>
            <w:hideMark/>
          </w:tcPr>
          <w:p w14:paraId="476865D1" w14:textId="77777777" w:rsidR="004C746E" w:rsidRDefault="004C746E">
            <w:pPr>
              <w:spacing w:after="480"/>
            </w:pPr>
            <w:r>
              <w:t>-5.3490 (0.0000)</w:t>
            </w:r>
          </w:p>
        </w:tc>
        <w:tc>
          <w:tcPr>
            <w:tcW w:w="0" w:type="auto"/>
            <w:tcMar>
              <w:top w:w="120" w:type="dxa"/>
              <w:left w:w="180" w:type="dxa"/>
              <w:bottom w:w="120" w:type="dxa"/>
              <w:right w:w="180" w:type="dxa"/>
            </w:tcMar>
            <w:vAlign w:val="center"/>
            <w:hideMark/>
          </w:tcPr>
          <w:p w14:paraId="0B16DD25" w14:textId="77777777" w:rsidR="004C746E" w:rsidRDefault="004C746E">
            <w:pPr>
              <w:spacing w:after="480"/>
            </w:pPr>
            <w:r>
              <w:t>7.6940 (0.0000)</w:t>
            </w:r>
          </w:p>
        </w:tc>
        <w:tc>
          <w:tcPr>
            <w:tcW w:w="0" w:type="auto"/>
            <w:tcMar>
              <w:top w:w="120" w:type="dxa"/>
              <w:left w:w="180" w:type="dxa"/>
              <w:bottom w:w="120" w:type="dxa"/>
              <w:right w:w="180" w:type="dxa"/>
            </w:tcMar>
            <w:vAlign w:val="center"/>
            <w:hideMark/>
          </w:tcPr>
          <w:p w14:paraId="072E7C3B" w14:textId="77777777" w:rsidR="004C746E" w:rsidRDefault="004C746E">
            <w:pPr>
              <w:spacing w:after="480"/>
            </w:pPr>
            <w:proofErr w:type="gramStart"/>
            <w:r>
              <w:rPr>
                <w:b/>
                <w:bCs/>
              </w:rPr>
              <w:t>I(</w:t>
            </w:r>
            <w:proofErr w:type="gramEnd"/>
            <w:r>
              <w:rPr>
                <w:b/>
                <w:bCs/>
              </w:rPr>
              <w:t>0)</w:t>
            </w:r>
          </w:p>
        </w:tc>
      </w:tr>
      <w:tr w:rsidR="004C746E" w14:paraId="12137EC2" w14:textId="77777777" w:rsidTr="004C746E">
        <w:trPr>
          <w:tblCellSpacing w:w="15" w:type="dxa"/>
        </w:trPr>
        <w:tc>
          <w:tcPr>
            <w:tcW w:w="0" w:type="auto"/>
            <w:tcMar>
              <w:top w:w="120" w:type="dxa"/>
              <w:left w:w="180" w:type="dxa"/>
              <w:bottom w:w="120" w:type="dxa"/>
              <w:right w:w="180" w:type="dxa"/>
            </w:tcMar>
            <w:vAlign w:val="center"/>
            <w:hideMark/>
          </w:tcPr>
          <w:p w14:paraId="20223C72" w14:textId="77777777" w:rsidR="004C746E" w:rsidRDefault="004C746E">
            <w:pPr>
              <w:spacing w:after="480"/>
            </w:pPr>
            <w:r>
              <w:rPr>
                <w:b/>
                <w:bCs/>
              </w:rPr>
              <w:t>FR</w:t>
            </w:r>
          </w:p>
        </w:tc>
        <w:tc>
          <w:tcPr>
            <w:tcW w:w="0" w:type="auto"/>
            <w:tcMar>
              <w:top w:w="120" w:type="dxa"/>
              <w:left w:w="180" w:type="dxa"/>
              <w:bottom w:w="120" w:type="dxa"/>
              <w:right w:w="180" w:type="dxa"/>
            </w:tcMar>
            <w:vAlign w:val="center"/>
            <w:hideMark/>
          </w:tcPr>
          <w:p w14:paraId="5C759B8F" w14:textId="77777777" w:rsidR="004C746E" w:rsidRDefault="004C746E">
            <w:pPr>
              <w:spacing w:after="480"/>
            </w:pPr>
            <w:r>
              <w:t>183.8280 (0.0000)</w:t>
            </w:r>
          </w:p>
        </w:tc>
        <w:tc>
          <w:tcPr>
            <w:tcW w:w="0" w:type="auto"/>
            <w:tcMar>
              <w:top w:w="120" w:type="dxa"/>
              <w:left w:w="180" w:type="dxa"/>
              <w:bottom w:w="120" w:type="dxa"/>
              <w:right w:w="180" w:type="dxa"/>
            </w:tcMar>
            <w:vAlign w:val="center"/>
            <w:hideMark/>
          </w:tcPr>
          <w:p w14:paraId="26DD94FE" w14:textId="77777777" w:rsidR="004C746E" w:rsidRDefault="004C746E">
            <w:pPr>
              <w:spacing w:after="480"/>
            </w:pPr>
            <w:r>
              <w:t>-6.3790 (0.0000)</w:t>
            </w:r>
          </w:p>
        </w:tc>
        <w:tc>
          <w:tcPr>
            <w:tcW w:w="0" w:type="auto"/>
            <w:tcMar>
              <w:top w:w="120" w:type="dxa"/>
              <w:left w:w="180" w:type="dxa"/>
              <w:bottom w:w="120" w:type="dxa"/>
              <w:right w:w="180" w:type="dxa"/>
            </w:tcMar>
            <w:vAlign w:val="center"/>
            <w:hideMark/>
          </w:tcPr>
          <w:p w14:paraId="1DA99829" w14:textId="77777777" w:rsidR="004C746E" w:rsidRDefault="004C746E">
            <w:pPr>
              <w:spacing w:after="480"/>
            </w:pPr>
            <w:r>
              <w:t>-12.0890 (0.0000)</w:t>
            </w:r>
          </w:p>
        </w:tc>
        <w:tc>
          <w:tcPr>
            <w:tcW w:w="0" w:type="auto"/>
            <w:tcMar>
              <w:top w:w="120" w:type="dxa"/>
              <w:left w:w="180" w:type="dxa"/>
              <w:bottom w:w="120" w:type="dxa"/>
              <w:right w:w="180" w:type="dxa"/>
            </w:tcMar>
            <w:vAlign w:val="center"/>
            <w:hideMark/>
          </w:tcPr>
          <w:p w14:paraId="0E3F261A" w14:textId="77777777" w:rsidR="004C746E" w:rsidRDefault="004C746E">
            <w:pPr>
              <w:spacing w:after="480"/>
            </w:pPr>
            <w:r>
              <w:t>19.8590 (0.0000)</w:t>
            </w:r>
          </w:p>
        </w:tc>
        <w:tc>
          <w:tcPr>
            <w:tcW w:w="0" w:type="auto"/>
            <w:tcMar>
              <w:top w:w="120" w:type="dxa"/>
              <w:left w:w="180" w:type="dxa"/>
              <w:bottom w:w="120" w:type="dxa"/>
              <w:right w:w="180" w:type="dxa"/>
            </w:tcMar>
            <w:vAlign w:val="center"/>
            <w:hideMark/>
          </w:tcPr>
          <w:p w14:paraId="27A578AE" w14:textId="77777777" w:rsidR="004C746E" w:rsidRDefault="004C746E">
            <w:pPr>
              <w:spacing w:after="480"/>
            </w:pPr>
            <w:proofErr w:type="gramStart"/>
            <w:r>
              <w:rPr>
                <w:b/>
                <w:bCs/>
              </w:rPr>
              <w:t>I(</w:t>
            </w:r>
            <w:proofErr w:type="gramEnd"/>
            <w:r>
              <w:rPr>
                <w:b/>
                <w:bCs/>
              </w:rPr>
              <w:t>1)</w:t>
            </w:r>
          </w:p>
        </w:tc>
      </w:tr>
      <w:tr w:rsidR="004C746E" w14:paraId="55FA1CAC" w14:textId="77777777" w:rsidTr="004C746E">
        <w:trPr>
          <w:tblCellSpacing w:w="15" w:type="dxa"/>
        </w:trPr>
        <w:tc>
          <w:tcPr>
            <w:tcW w:w="0" w:type="auto"/>
            <w:tcMar>
              <w:top w:w="120" w:type="dxa"/>
              <w:left w:w="180" w:type="dxa"/>
              <w:bottom w:w="120" w:type="dxa"/>
              <w:right w:w="180" w:type="dxa"/>
            </w:tcMar>
            <w:vAlign w:val="center"/>
            <w:hideMark/>
          </w:tcPr>
          <w:p w14:paraId="10F2A043" w14:textId="77777777" w:rsidR="004C746E" w:rsidRDefault="004C746E">
            <w:pPr>
              <w:spacing w:after="480"/>
            </w:pPr>
            <w:r>
              <w:rPr>
                <w:b/>
                <w:bCs/>
              </w:rPr>
              <w:t>OR</w:t>
            </w:r>
          </w:p>
        </w:tc>
        <w:tc>
          <w:tcPr>
            <w:tcW w:w="0" w:type="auto"/>
            <w:tcMar>
              <w:top w:w="120" w:type="dxa"/>
              <w:left w:w="180" w:type="dxa"/>
              <w:bottom w:w="120" w:type="dxa"/>
              <w:right w:w="180" w:type="dxa"/>
            </w:tcMar>
            <w:vAlign w:val="center"/>
            <w:hideMark/>
          </w:tcPr>
          <w:p w14:paraId="46FADE44" w14:textId="77777777" w:rsidR="004C746E" w:rsidRDefault="004C746E">
            <w:pPr>
              <w:spacing w:after="480"/>
            </w:pPr>
            <w:r>
              <w:t>63.1380 (0.0000)</w:t>
            </w:r>
          </w:p>
        </w:tc>
        <w:tc>
          <w:tcPr>
            <w:tcW w:w="0" w:type="auto"/>
            <w:tcMar>
              <w:top w:w="120" w:type="dxa"/>
              <w:left w:w="180" w:type="dxa"/>
              <w:bottom w:w="120" w:type="dxa"/>
              <w:right w:w="180" w:type="dxa"/>
            </w:tcMar>
            <w:vAlign w:val="center"/>
            <w:hideMark/>
          </w:tcPr>
          <w:p w14:paraId="212DABD3" w14:textId="77777777" w:rsidR="004C746E" w:rsidRDefault="004C746E">
            <w:pPr>
              <w:spacing w:after="480"/>
            </w:pPr>
            <w:r>
              <w:t>-3.7220 (0.0000)</w:t>
            </w:r>
          </w:p>
        </w:tc>
        <w:tc>
          <w:tcPr>
            <w:tcW w:w="0" w:type="auto"/>
            <w:tcMar>
              <w:top w:w="120" w:type="dxa"/>
              <w:left w:w="180" w:type="dxa"/>
              <w:bottom w:w="120" w:type="dxa"/>
              <w:right w:w="180" w:type="dxa"/>
            </w:tcMar>
            <w:vAlign w:val="center"/>
            <w:hideMark/>
          </w:tcPr>
          <w:p w14:paraId="70257E50" w14:textId="77777777" w:rsidR="004C746E" w:rsidRDefault="004C746E">
            <w:pPr>
              <w:spacing w:after="480"/>
            </w:pPr>
            <w:r>
              <w:t>-3.8360 (0.0000)</w:t>
            </w:r>
          </w:p>
        </w:tc>
        <w:tc>
          <w:tcPr>
            <w:tcW w:w="0" w:type="auto"/>
            <w:tcMar>
              <w:top w:w="120" w:type="dxa"/>
              <w:left w:w="180" w:type="dxa"/>
              <w:bottom w:w="120" w:type="dxa"/>
              <w:right w:w="180" w:type="dxa"/>
            </w:tcMar>
            <w:vAlign w:val="center"/>
            <w:hideMark/>
          </w:tcPr>
          <w:p w14:paraId="696BB9E6" w14:textId="77777777" w:rsidR="004C746E" w:rsidRDefault="004C746E">
            <w:pPr>
              <w:spacing w:after="480"/>
            </w:pPr>
            <w:r>
              <w:t>4.2780 (0.0000)</w:t>
            </w:r>
          </w:p>
        </w:tc>
        <w:tc>
          <w:tcPr>
            <w:tcW w:w="0" w:type="auto"/>
            <w:tcMar>
              <w:top w:w="120" w:type="dxa"/>
              <w:left w:w="180" w:type="dxa"/>
              <w:bottom w:w="120" w:type="dxa"/>
              <w:right w:w="180" w:type="dxa"/>
            </w:tcMar>
            <w:vAlign w:val="center"/>
            <w:hideMark/>
          </w:tcPr>
          <w:p w14:paraId="64C789B0" w14:textId="77777777" w:rsidR="004C746E" w:rsidRDefault="004C746E">
            <w:pPr>
              <w:spacing w:after="480"/>
            </w:pPr>
            <w:proofErr w:type="gramStart"/>
            <w:r>
              <w:rPr>
                <w:b/>
                <w:bCs/>
              </w:rPr>
              <w:t>I(</w:t>
            </w:r>
            <w:proofErr w:type="gramEnd"/>
            <w:r>
              <w:rPr>
                <w:b/>
                <w:bCs/>
              </w:rPr>
              <w:t>0)</w:t>
            </w:r>
          </w:p>
        </w:tc>
      </w:tr>
      <w:tr w:rsidR="004C746E" w14:paraId="4D00010C" w14:textId="77777777" w:rsidTr="004C746E">
        <w:trPr>
          <w:tblCellSpacing w:w="15" w:type="dxa"/>
        </w:trPr>
        <w:tc>
          <w:tcPr>
            <w:tcW w:w="0" w:type="auto"/>
            <w:tcMar>
              <w:top w:w="120" w:type="dxa"/>
              <w:left w:w="180" w:type="dxa"/>
              <w:bottom w:w="120" w:type="dxa"/>
              <w:right w:w="180" w:type="dxa"/>
            </w:tcMar>
            <w:vAlign w:val="center"/>
            <w:hideMark/>
          </w:tcPr>
          <w:p w14:paraId="772AD65C" w14:textId="77777777" w:rsidR="004C746E" w:rsidRDefault="004C746E">
            <w:pPr>
              <w:spacing w:after="480"/>
            </w:pPr>
            <w:r>
              <w:rPr>
                <w:b/>
                <w:bCs/>
              </w:rPr>
              <w:t>MR</w:t>
            </w:r>
          </w:p>
        </w:tc>
        <w:tc>
          <w:tcPr>
            <w:tcW w:w="0" w:type="auto"/>
            <w:tcMar>
              <w:top w:w="120" w:type="dxa"/>
              <w:left w:w="180" w:type="dxa"/>
              <w:bottom w:w="120" w:type="dxa"/>
              <w:right w:w="180" w:type="dxa"/>
            </w:tcMar>
            <w:vAlign w:val="center"/>
            <w:hideMark/>
          </w:tcPr>
          <w:p w14:paraId="416E8C7F" w14:textId="77777777" w:rsidR="004C746E" w:rsidRDefault="004C746E">
            <w:pPr>
              <w:spacing w:after="480"/>
            </w:pPr>
            <w:r>
              <w:t>108.2100 (0.0000)</w:t>
            </w:r>
          </w:p>
        </w:tc>
        <w:tc>
          <w:tcPr>
            <w:tcW w:w="0" w:type="auto"/>
            <w:tcMar>
              <w:top w:w="120" w:type="dxa"/>
              <w:left w:w="180" w:type="dxa"/>
              <w:bottom w:w="120" w:type="dxa"/>
              <w:right w:w="180" w:type="dxa"/>
            </w:tcMar>
            <w:vAlign w:val="center"/>
            <w:hideMark/>
          </w:tcPr>
          <w:p w14:paraId="4910AE64" w14:textId="77777777" w:rsidR="004C746E" w:rsidRDefault="004C746E">
            <w:pPr>
              <w:spacing w:after="480"/>
            </w:pPr>
            <w:r>
              <w:t>-5.1280 (0.0000)</w:t>
            </w:r>
          </w:p>
        </w:tc>
        <w:tc>
          <w:tcPr>
            <w:tcW w:w="0" w:type="auto"/>
            <w:tcMar>
              <w:top w:w="120" w:type="dxa"/>
              <w:left w:w="180" w:type="dxa"/>
              <w:bottom w:w="120" w:type="dxa"/>
              <w:right w:w="180" w:type="dxa"/>
            </w:tcMar>
            <w:vAlign w:val="center"/>
            <w:hideMark/>
          </w:tcPr>
          <w:p w14:paraId="1FFF0C65" w14:textId="77777777" w:rsidR="004C746E" w:rsidRDefault="004C746E">
            <w:pPr>
              <w:spacing w:after="480"/>
            </w:pPr>
            <w:r>
              <w:t>-6.9540 (0.0000)</w:t>
            </w:r>
          </w:p>
        </w:tc>
        <w:tc>
          <w:tcPr>
            <w:tcW w:w="0" w:type="auto"/>
            <w:tcMar>
              <w:top w:w="120" w:type="dxa"/>
              <w:left w:w="180" w:type="dxa"/>
              <w:bottom w:w="120" w:type="dxa"/>
              <w:right w:w="180" w:type="dxa"/>
            </w:tcMar>
            <w:vAlign w:val="center"/>
            <w:hideMark/>
          </w:tcPr>
          <w:p w14:paraId="168B3EE8" w14:textId="77777777" w:rsidR="004C746E" w:rsidRDefault="004C746E">
            <w:pPr>
              <w:spacing w:after="480"/>
            </w:pPr>
            <w:r>
              <w:t>10.0970 (0.0000)</w:t>
            </w:r>
          </w:p>
        </w:tc>
        <w:tc>
          <w:tcPr>
            <w:tcW w:w="0" w:type="auto"/>
            <w:tcMar>
              <w:top w:w="120" w:type="dxa"/>
              <w:left w:w="180" w:type="dxa"/>
              <w:bottom w:w="120" w:type="dxa"/>
              <w:right w:w="180" w:type="dxa"/>
            </w:tcMar>
            <w:vAlign w:val="center"/>
            <w:hideMark/>
          </w:tcPr>
          <w:p w14:paraId="76F9174E" w14:textId="77777777" w:rsidR="004C746E" w:rsidRDefault="004C746E">
            <w:pPr>
              <w:spacing w:after="480"/>
            </w:pPr>
            <w:proofErr w:type="gramStart"/>
            <w:r>
              <w:rPr>
                <w:b/>
                <w:bCs/>
              </w:rPr>
              <w:t>I(</w:t>
            </w:r>
            <w:proofErr w:type="gramEnd"/>
            <w:r>
              <w:rPr>
                <w:b/>
                <w:bCs/>
              </w:rPr>
              <w:t>0)</w:t>
            </w:r>
          </w:p>
        </w:tc>
      </w:tr>
      <w:tr w:rsidR="004C746E" w14:paraId="7C02E4CB" w14:textId="77777777" w:rsidTr="004C746E">
        <w:trPr>
          <w:tblCellSpacing w:w="15" w:type="dxa"/>
        </w:trPr>
        <w:tc>
          <w:tcPr>
            <w:tcW w:w="0" w:type="auto"/>
            <w:tcMar>
              <w:top w:w="120" w:type="dxa"/>
              <w:left w:w="180" w:type="dxa"/>
              <w:bottom w:w="120" w:type="dxa"/>
              <w:right w:w="180" w:type="dxa"/>
            </w:tcMar>
            <w:vAlign w:val="center"/>
            <w:hideMark/>
          </w:tcPr>
          <w:p w14:paraId="143510FD" w14:textId="77777777" w:rsidR="004C746E" w:rsidRDefault="004C746E">
            <w:pPr>
              <w:spacing w:after="480"/>
            </w:pPr>
            <w:r>
              <w:rPr>
                <w:b/>
                <w:bCs/>
              </w:rPr>
              <w:t>CPI</w:t>
            </w:r>
          </w:p>
        </w:tc>
        <w:tc>
          <w:tcPr>
            <w:tcW w:w="0" w:type="auto"/>
            <w:tcMar>
              <w:top w:w="120" w:type="dxa"/>
              <w:left w:w="180" w:type="dxa"/>
              <w:bottom w:w="120" w:type="dxa"/>
              <w:right w:w="180" w:type="dxa"/>
            </w:tcMar>
            <w:vAlign w:val="center"/>
            <w:hideMark/>
          </w:tcPr>
          <w:p w14:paraId="52D97567" w14:textId="77777777" w:rsidR="004C746E" w:rsidRDefault="004C746E">
            <w:pPr>
              <w:spacing w:after="480"/>
            </w:pPr>
            <w:r>
              <w:t>65.3380 (0.0000)</w:t>
            </w:r>
          </w:p>
        </w:tc>
        <w:tc>
          <w:tcPr>
            <w:tcW w:w="0" w:type="auto"/>
            <w:tcMar>
              <w:top w:w="120" w:type="dxa"/>
              <w:left w:w="180" w:type="dxa"/>
              <w:bottom w:w="120" w:type="dxa"/>
              <w:right w:w="180" w:type="dxa"/>
            </w:tcMar>
            <w:vAlign w:val="center"/>
            <w:hideMark/>
          </w:tcPr>
          <w:p w14:paraId="7B79D2CC" w14:textId="77777777" w:rsidR="004C746E" w:rsidRDefault="004C746E">
            <w:pPr>
              <w:spacing w:after="480"/>
            </w:pPr>
            <w:r>
              <w:t>-2.5060 (0.0060)</w:t>
            </w:r>
          </w:p>
        </w:tc>
        <w:tc>
          <w:tcPr>
            <w:tcW w:w="0" w:type="auto"/>
            <w:tcMar>
              <w:top w:w="120" w:type="dxa"/>
              <w:left w:w="180" w:type="dxa"/>
              <w:bottom w:w="120" w:type="dxa"/>
              <w:right w:w="180" w:type="dxa"/>
            </w:tcMar>
            <w:vAlign w:val="center"/>
            <w:hideMark/>
          </w:tcPr>
          <w:p w14:paraId="0B98C8E9" w14:textId="77777777" w:rsidR="004C746E" w:rsidRDefault="004C746E">
            <w:pPr>
              <w:spacing w:after="480"/>
            </w:pPr>
            <w:r>
              <w:t>-2.8520 (0.0030)</w:t>
            </w:r>
          </w:p>
        </w:tc>
        <w:tc>
          <w:tcPr>
            <w:tcW w:w="0" w:type="auto"/>
            <w:tcMar>
              <w:top w:w="120" w:type="dxa"/>
              <w:left w:w="180" w:type="dxa"/>
              <w:bottom w:w="120" w:type="dxa"/>
              <w:right w:w="180" w:type="dxa"/>
            </w:tcMar>
            <w:vAlign w:val="center"/>
            <w:hideMark/>
          </w:tcPr>
          <w:p w14:paraId="7F603C3A" w14:textId="77777777" w:rsidR="004C746E" w:rsidRDefault="004C746E">
            <w:pPr>
              <w:spacing w:after="480"/>
            </w:pPr>
            <w:r>
              <w:t>4.5620 (0.0000)</w:t>
            </w:r>
          </w:p>
        </w:tc>
        <w:tc>
          <w:tcPr>
            <w:tcW w:w="0" w:type="auto"/>
            <w:tcMar>
              <w:top w:w="120" w:type="dxa"/>
              <w:left w:w="180" w:type="dxa"/>
              <w:bottom w:w="120" w:type="dxa"/>
              <w:right w:w="180" w:type="dxa"/>
            </w:tcMar>
            <w:vAlign w:val="center"/>
            <w:hideMark/>
          </w:tcPr>
          <w:p w14:paraId="29F37602" w14:textId="77777777" w:rsidR="004C746E" w:rsidRDefault="004C746E">
            <w:pPr>
              <w:spacing w:after="480"/>
            </w:pPr>
            <w:proofErr w:type="gramStart"/>
            <w:r>
              <w:rPr>
                <w:b/>
                <w:bCs/>
              </w:rPr>
              <w:t>I(</w:t>
            </w:r>
            <w:proofErr w:type="gramEnd"/>
            <w:r>
              <w:rPr>
                <w:b/>
                <w:bCs/>
              </w:rPr>
              <w:t>0)</w:t>
            </w:r>
          </w:p>
        </w:tc>
      </w:tr>
      <w:tr w:rsidR="004C746E" w14:paraId="34EE6ACB" w14:textId="77777777" w:rsidTr="004C746E">
        <w:trPr>
          <w:tblCellSpacing w:w="15" w:type="dxa"/>
        </w:trPr>
        <w:tc>
          <w:tcPr>
            <w:tcW w:w="0" w:type="auto"/>
            <w:tcMar>
              <w:top w:w="120" w:type="dxa"/>
              <w:left w:w="180" w:type="dxa"/>
              <w:bottom w:w="120" w:type="dxa"/>
              <w:right w:w="180" w:type="dxa"/>
            </w:tcMar>
            <w:vAlign w:val="center"/>
            <w:hideMark/>
          </w:tcPr>
          <w:p w14:paraId="1610372F" w14:textId="77777777" w:rsidR="004C746E" w:rsidRDefault="004C746E">
            <w:pPr>
              <w:spacing w:after="480"/>
            </w:pPr>
            <w:r>
              <w:rPr>
                <w:b/>
                <w:bCs/>
              </w:rPr>
              <w:t>IVI</w:t>
            </w:r>
          </w:p>
        </w:tc>
        <w:tc>
          <w:tcPr>
            <w:tcW w:w="0" w:type="auto"/>
            <w:tcMar>
              <w:top w:w="120" w:type="dxa"/>
              <w:left w:w="180" w:type="dxa"/>
              <w:bottom w:w="120" w:type="dxa"/>
              <w:right w:w="180" w:type="dxa"/>
            </w:tcMar>
            <w:vAlign w:val="center"/>
            <w:hideMark/>
          </w:tcPr>
          <w:p w14:paraId="0721CE3C" w14:textId="77777777" w:rsidR="004C746E" w:rsidRDefault="004C746E">
            <w:pPr>
              <w:spacing w:after="480"/>
            </w:pPr>
            <w:r>
              <w:t>65.3380 (0.0000)</w:t>
            </w:r>
          </w:p>
        </w:tc>
        <w:tc>
          <w:tcPr>
            <w:tcW w:w="0" w:type="auto"/>
            <w:tcMar>
              <w:top w:w="120" w:type="dxa"/>
              <w:left w:w="180" w:type="dxa"/>
              <w:bottom w:w="120" w:type="dxa"/>
              <w:right w:w="180" w:type="dxa"/>
            </w:tcMar>
            <w:vAlign w:val="center"/>
            <w:hideMark/>
          </w:tcPr>
          <w:p w14:paraId="36F18434" w14:textId="77777777" w:rsidR="004C746E" w:rsidRDefault="004C746E">
            <w:pPr>
              <w:spacing w:after="480"/>
            </w:pPr>
            <w:r>
              <w:t>-2.5060 (0.0060)</w:t>
            </w:r>
          </w:p>
        </w:tc>
        <w:tc>
          <w:tcPr>
            <w:tcW w:w="0" w:type="auto"/>
            <w:tcMar>
              <w:top w:w="120" w:type="dxa"/>
              <w:left w:w="180" w:type="dxa"/>
              <w:bottom w:w="120" w:type="dxa"/>
              <w:right w:w="180" w:type="dxa"/>
            </w:tcMar>
            <w:vAlign w:val="center"/>
            <w:hideMark/>
          </w:tcPr>
          <w:p w14:paraId="6A697F67" w14:textId="77777777" w:rsidR="004C746E" w:rsidRDefault="004C746E">
            <w:pPr>
              <w:spacing w:after="480"/>
            </w:pPr>
            <w:r>
              <w:t>-2.8520 (0.0030)</w:t>
            </w:r>
          </w:p>
        </w:tc>
        <w:tc>
          <w:tcPr>
            <w:tcW w:w="0" w:type="auto"/>
            <w:tcMar>
              <w:top w:w="120" w:type="dxa"/>
              <w:left w:w="180" w:type="dxa"/>
              <w:bottom w:w="120" w:type="dxa"/>
              <w:right w:w="180" w:type="dxa"/>
            </w:tcMar>
            <w:vAlign w:val="center"/>
            <w:hideMark/>
          </w:tcPr>
          <w:p w14:paraId="6C497B51" w14:textId="77777777" w:rsidR="004C746E" w:rsidRDefault="004C746E">
            <w:pPr>
              <w:spacing w:after="480"/>
            </w:pPr>
            <w:r>
              <w:t>4.5620 (0.0000)</w:t>
            </w:r>
          </w:p>
        </w:tc>
        <w:tc>
          <w:tcPr>
            <w:tcW w:w="0" w:type="auto"/>
            <w:tcMar>
              <w:top w:w="120" w:type="dxa"/>
              <w:left w:w="180" w:type="dxa"/>
              <w:bottom w:w="120" w:type="dxa"/>
              <w:right w:w="180" w:type="dxa"/>
            </w:tcMar>
            <w:vAlign w:val="center"/>
            <w:hideMark/>
          </w:tcPr>
          <w:p w14:paraId="5A0CB7A7" w14:textId="77777777" w:rsidR="004C746E" w:rsidRDefault="004C746E">
            <w:pPr>
              <w:spacing w:after="480"/>
            </w:pPr>
            <w:proofErr w:type="gramStart"/>
            <w:r>
              <w:rPr>
                <w:b/>
                <w:bCs/>
              </w:rPr>
              <w:t>I(</w:t>
            </w:r>
            <w:proofErr w:type="gramEnd"/>
            <w:r>
              <w:rPr>
                <w:b/>
                <w:bCs/>
              </w:rPr>
              <w:t>0)</w:t>
            </w:r>
          </w:p>
        </w:tc>
      </w:tr>
      <w:tr w:rsidR="004C746E" w14:paraId="23389963" w14:textId="77777777" w:rsidTr="004C746E">
        <w:trPr>
          <w:tblCellSpacing w:w="15" w:type="dxa"/>
        </w:trPr>
        <w:tc>
          <w:tcPr>
            <w:tcW w:w="0" w:type="auto"/>
            <w:tcMar>
              <w:top w:w="120" w:type="dxa"/>
              <w:left w:w="180" w:type="dxa"/>
              <w:bottom w:w="120" w:type="dxa"/>
              <w:right w:w="180" w:type="dxa"/>
            </w:tcMar>
            <w:vAlign w:val="center"/>
            <w:hideMark/>
          </w:tcPr>
          <w:p w14:paraId="3983C184" w14:textId="77777777" w:rsidR="004C746E" w:rsidRDefault="004C746E">
            <w:pPr>
              <w:spacing w:after="480"/>
            </w:pPr>
            <w:r>
              <w:rPr>
                <w:b/>
                <w:bCs/>
              </w:rPr>
              <w:t>ETR</w:t>
            </w:r>
          </w:p>
        </w:tc>
        <w:tc>
          <w:tcPr>
            <w:tcW w:w="0" w:type="auto"/>
            <w:tcMar>
              <w:top w:w="120" w:type="dxa"/>
              <w:left w:w="180" w:type="dxa"/>
              <w:bottom w:w="120" w:type="dxa"/>
              <w:right w:w="180" w:type="dxa"/>
            </w:tcMar>
            <w:vAlign w:val="center"/>
            <w:hideMark/>
          </w:tcPr>
          <w:p w14:paraId="0EA3C1A5" w14:textId="77777777" w:rsidR="004C746E" w:rsidRDefault="004C746E">
            <w:pPr>
              <w:spacing w:after="480"/>
            </w:pPr>
            <w:r>
              <w:t>94.6240 (0.0000)</w:t>
            </w:r>
          </w:p>
        </w:tc>
        <w:tc>
          <w:tcPr>
            <w:tcW w:w="0" w:type="auto"/>
            <w:tcMar>
              <w:top w:w="120" w:type="dxa"/>
              <w:left w:w="180" w:type="dxa"/>
              <w:bottom w:w="120" w:type="dxa"/>
              <w:right w:w="180" w:type="dxa"/>
            </w:tcMar>
            <w:vAlign w:val="center"/>
            <w:hideMark/>
          </w:tcPr>
          <w:p w14:paraId="3B487E81" w14:textId="77777777" w:rsidR="004C746E" w:rsidRDefault="004C746E">
            <w:pPr>
              <w:spacing w:after="480"/>
            </w:pPr>
            <w:r>
              <w:t>-4.5690 (0.0000)</w:t>
            </w:r>
          </w:p>
        </w:tc>
        <w:tc>
          <w:tcPr>
            <w:tcW w:w="0" w:type="auto"/>
            <w:tcMar>
              <w:top w:w="120" w:type="dxa"/>
              <w:left w:w="180" w:type="dxa"/>
              <w:bottom w:w="120" w:type="dxa"/>
              <w:right w:w="180" w:type="dxa"/>
            </w:tcMar>
            <w:vAlign w:val="center"/>
            <w:hideMark/>
          </w:tcPr>
          <w:p w14:paraId="6729F11B" w14:textId="77777777" w:rsidR="004C746E" w:rsidRDefault="004C746E">
            <w:pPr>
              <w:spacing w:after="480"/>
            </w:pPr>
            <w:r>
              <w:t>-5.4210 (0.0000)</w:t>
            </w:r>
          </w:p>
        </w:tc>
        <w:tc>
          <w:tcPr>
            <w:tcW w:w="0" w:type="auto"/>
            <w:tcMar>
              <w:top w:w="120" w:type="dxa"/>
              <w:left w:w="180" w:type="dxa"/>
              <w:bottom w:w="120" w:type="dxa"/>
              <w:right w:w="180" w:type="dxa"/>
            </w:tcMar>
            <w:vAlign w:val="center"/>
            <w:hideMark/>
          </w:tcPr>
          <w:p w14:paraId="4F137545" w14:textId="77777777" w:rsidR="004C746E" w:rsidRDefault="004C746E">
            <w:pPr>
              <w:spacing w:after="480"/>
            </w:pPr>
            <w:r>
              <w:t>8.3430 (0.0000)</w:t>
            </w:r>
          </w:p>
        </w:tc>
        <w:tc>
          <w:tcPr>
            <w:tcW w:w="0" w:type="auto"/>
            <w:tcMar>
              <w:top w:w="120" w:type="dxa"/>
              <w:left w:w="180" w:type="dxa"/>
              <w:bottom w:w="120" w:type="dxa"/>
              <w:right w:w="180" w:type="dxa"/>
            </w:tcMar>
            <w:vAlign w:val="center"/>
            <w:hideMark/>
          </w:tcPr>
          <w:p w14:paraId="3886B773" w14:textId="77777777" w:rsidR="004C746E" w:rsidRDefault="004C746E">
            <w:pPr>
              <w:spacing w:after="480"/>
            </w:pPr>
            <w:proofErr w:type="gramStart"/>
            <w:r>
              <w:rPr>
                <w:b/>
                <w:bCs/>
              </w:rPr>
              <w:t>I(</w:t>
            </w:r>
            <w:proofErr w:type="gramEnd"/>
            <w:r>
              <w:rPr>
                <w:b/>
                <w:bCs/>
              </w:rPr>
              <w:t>0)</w:t>
            </w:r>
          </w:p>
        </w:tc>
      </w:tr>
      <w:tr w:rsidR="004C746E" w14:paraId="1D5ED460" w14:textId="77777777" w:rsidTr="004C746E">
        <w:trPr>
          <w:tblCellSpacing w:w="15" w:type="dxa"/>
        </w:trPr>
        <w:tc>
          <w:tcPr>
            <w:tcW w:w="0" w:type="auto"/>
            <w:tcBorders>
              <w:bottom w:val="single" w:sz="4" w:space="0" w:color="auto"/>
            </w:tcBorders>
            <w:tcMar>
              <w:top w:w="120" w:type="dxa"/>
              <w:left w:w="180" w:type="dxa"/>
              <w:bottom w:w="120" w:type="dxa"/>
              <w:right w:w="180" w:type="dxa"/>
            </w:tcMar>
            <w:vAlign w:val="center"/>
            <w:hideMark/>
          </w:tcPr>
          <w:p w14:paraId="4D611FF0" w14:textId="77777777" w:rsidR="004C746E" w:rsidRDefault="004C746E">
            <w:pPr>
              <w:spacing w:after="480"/>
            </w:pPr>
            <w:r>
              <w:rPr>
                <w:b/>
                <w:bCs/>
              </w:rPr>
              <w:lastRenderedPageBreak/>
              <w:t>CAR</w:t>
            </w:r>
          </w:p>
        </w:tc>
        <w:tc>
          <w:tcPr>
            <w:tcW w:w="0" w:type="auto"/>
            <w:tcBorders>
              <w:bottom w:val="single" w:sz="4" w:space="0" w:color="auto"/>
            </w:tcBorders>
            <w:tcMar>
              <w:top w:w="120" w:type="dxa"/>
              <w:left w:w="180" w:type="dxa"/>
              <w:bottom w:w="120" w:type="dxa"/>
              <w:right w:w="180" w:type="dxa"/>
            </w:tcMar>
            <w:vAlign w:val="center"/>
            <w:hideMark/>
          </w:tcPr>
          <w:p w14:paraId="22132423" w14:textId="77777777" w:rsidR="004C746E" w:rsidRDefault="004C746E">
            <w:pPr>
              <w:spacing w:after="480"/>
            </w:pPr>
            <w:r>
              <w:t>64.3150 (0.0000)</w:t>
            </w:r>
          </w:p>
        </w:tc>
        <w:tc>
          <w:tcPr>
            <w:tcW w:w="0" w:type="auto"/>
            <w:tcBorders>
              <w:bottom w:val="single" w:sz="4" w:space="0" w:color="auto"/>
            </w:tcBorders>
            <w:tcMar>
              <w:top w:w="120" w:type="dxa"/>
              <w:left w:w="180" w:type="dxa"/>
              <w:bottom w:w="120" w:type="dxa"/>
              <w:right w:w="180" w:type="dxa"/>
            </w:tcMar>
            <w:vAlign w:val="center"/>
            <w:hideMark/>
          </w:tcPr>
          <w:p w14:paraId="535E2669" w14:textId="77777777" w:rsidR="004C746E" w:rsidRDefault="004C746E">
            <w:pPr>
              <w:spacing w:after="480"/>
            </w:pPr>
            <w:r>
              <w:t>-3.5000 (0.0000)</w:t>
            </w:r>
          </w:p>
        </w:tc>
        <w:tc>
          <w:tcPr>
            <w:tcW w:w="0" w:type="auto"/>
            <w:tcBorders>
              <w:bottom w:val="single" w:sz="4" w:space="0" w:color="auto"/>
            </w:tcBorders>
            <w:tcMar>
              <w:top w:w="120" w:type="dxa"/>
              <w:left w:w="180" w:type="dxa"/>
              <w:bottom w:w="120" w:type="dxa"/>
              <w:right w:w="180" w:type="dxa"/>
            </w:tcMar>
            <w:vAlign w:val="center"/>
            <w:hideMark/>
          </w:tcPr>
          <w:p w14:paraId="5DF45FDC" w14:textId="77777777" w:rsidR="004C746E" w:rsidRDefault="004C746E">
            <w:pPr>
              <w:spacing w:after="480"/>
            </w:pPr>
            <w:r>
              <w:t>-3.6320 (0.0000)</w:t>
            </w:r>
          </w:p>
        </w:tc>
        <w:tc>
          <w:tcPr>
            <w:tcW w:w="0" w:type="auto"/>
            <w:tcBorders>
              <w:bottom w:val="single" w:sz="4" w:space="0" w:color="auto"/>
            </w:tcBorders>
            <w:tcMar>
              <w:top w:w="120" w:type="dxa"/>
              <w:left w:w="180" w:type="dxa"/>
              <w:bottom w:w="120" w:type="dxa"/>
              <w:right w:w="180" w:type="dxa"/>
            </w:tcMar>
            <w:vAlign w:val="center"/>
            <w:hideMark/>
          </w:tcPr>
          <w:p w14:paraId="030E7356" w14:textId="77777777" w:rsidR="004C746E" w:rsidRDefault="004C746E">
            <w:pPr>
              <w:spacing w:after="480"/>
            </w:pPr>
            <w:r>
              <w:t>4.4300 (0.0000)</w:t>
            </w:r>
          </w:p>
        </w:tc>
        <w:tc>
          <w:tcPr>
            <w:tcW w:w="0" w:type="auto"/>
            <w:tcBorders>
              <w:bottom w:val="single" w:sz="4" w:space="0" w:color="auto"/>
            </w:tcBorders>
            <w:tcMar>
              <w:top w:w="120" w:type="dxa"/>
              <w:left w:w="180" w:type="dxa"/>
              <w:bottom w:w="120" w:type="dxa"/>
              <w:right w:w="180" w:type="dxa"/>
            </w:tcMar>
            <w:vAlign w:val="center"/>
            <w:hideMark/>
          </w:tcPr>
          <w:p w14:paraId="5C6B59BF" w14:textId="77777777" w:rsidR="004C746E" w:rsidRDefault="004C746E">
            <w:pPr>
              <w:spacing w:after="480"/>
            </w:pPr>
            <w:proofErr w:type="gramStart"/>
            <w:r>
              <w:rPr>
                <w:b/>
                <w:bCs/>
              </w:rPr>
              <w:t>I(</w:t>
            </w:r>
            <w:proofErr w:type="gramEnd"/>
            <w:r>
              <w:rPr>
                <w:b/>
                <w:bCs/>
              </w:rPr>
              <w:t>0)</w:t>
            </w:r>
          </w:p>
        </w:tc>
      </w:tr>
    </w:tbl>
    <w:p w14:paraId="5A062524" w14:textId="77777777" w:rsidR="004C746E" w:rsidRDefault="004C746E" w:rsidP="004C746E">
      <w:pPr>
        <w:pStyle w:val="NormalWeb"/>
        <w:rPr>
          <w:iCs/>
        </w:rPr>
      </w:pPr>
      <w:r w:rsidRPr="004C746E">
        <w:rPr>
          <w:b/>
          <w:i/>
          <w:iCs/>
        </w:rPr>
        <w:t>Source:</w:t>
      </w:r>
      <w:r>
        <w:rPr>
          <w:i/>
          <w:iCs/>
        </w:rPr>
        <w:t xml:space="preserve"> </w:t>
      </w:r>
      <w:r w:rsidRPr="004C746E">
        <w:rPr>
          <w:iCs/>
        </w:rPr>
        <w:t>Author’s Computation (2026).</w:t>
      </w:r>
    </w:p>
    <w:p w14:paraId="38CBADBF" w14:textId="3BA0FE1F" w:rsidR="00E3738A" w:rsidRDefault="00E3738A" w:rsidP="004C746E">
      <w:pPr>
        <w:pStyle w:val="NormalWeb"/>
      </w:pPr>
      <w:r>
        <w:t>Table 3-</w:t>
      </w:r>
      <w:r w:rsidR="00C4269E">
        <w:t xml:space="preserve"> </w:t>
      </w:r>
      <w:r w:rsidR="00C4269E" w:rsidRPr="00005908">
        <w:t>Unit Root Tests</w:t>
      </w:r>
      <w:r w:rsidR="00C4269E">
        <w:t xml:space="preserve"> </w:t>
      </w:r>
    </w:p>
    <w:p w14:paraId="78D53FCA" w14:textId="77777777" w:rsidR="0024512B" w:rsidRPr="0024512B" w:rsidRDefault="002626AB" w:rsidP="0024512B">
      <w:pPr>
        <w:pStyle w:val="Heading3"/>
        <w:jc w:val="both"/>
        <w:rPr>
          <w:sz w:val="24"/>
          <w:szCs w:val="24"/>
        </w:rPr>
      </w:pPr>
      <w:r>
        <w:rPr>
          <w:sz w:val="24"/>
          <w:szCs w:val="24"/>
        </w:rPr>
        <w:t>4.1.1</w:t>
      </w:r>
      <w:r>
        <w:rPr>
          <w:sz w:val="24"/>
          <w:szCs w:val="24"/>
        </w:rPr>
        <w:tab/>
      </w:r>
      <w:r w:rsidR="004C746E" w:rsidRPr="0024512B">
        <w:rPr>
          <w:sz w:val="24"/>
          <w:szCs w:val="24"/>
        </w:rPr>
        <w:t>Discussion of Unit Root Results</w:t>
      </w:r>
    </w:p>
    <w:p w14:paraId="27FD2C8F" w14:textId="77777777" w:rsidR="004C746E" w:rsidRDefault="004C746E" w:rsidP="0024512B">
      <w:pPr>
        <w:pStyle w:val="Heading3"/>
        <w:jc w:val="both"/>
        <w:rPr>
          <w:b w:val="0"/>
          <w:sz w:val="24"/>
          <w:szCs w:val="24"/>
        </w:rPr>
      </w:pPr>
      <w:r w:rsidRPr="0024512B">
        <w:rPr>
          <w:b w:val="0"/>
          <w:sz w:val="24"/>
          <w:szCs w:val="24"/>
        </w:rPr>
        <w:t>The empirical results from the Fisher-type ADF panel unit root tests demonstrate a mixed order of integration among the variables. The null hypothesis of a unit root (non-stationarity) is strongly rejected at level</w:t>
      </w:r>
      <w:r w:rsidR="00005908" w:rsidRPr="0024512B">
        <w:rPr>
          <w:b w:val="0"/>
          <w:sz w:val="24"/>
          <w:szCs w:val="24"/>
        </w:rPr>
        <w:t xml:space="preserve"> </w:t>
      </w:r>
      <w:proofErr w:type="gramStart"/>
      <w:r w:rsidRPr="0024512B">
        <w:rPr>
          <w:b w:val="0"/>
          <w:bCs w:val="0"/>
          <w:sz w:val="24"/>
          <w:szCs w:val="24"/>
        </w:rPr>
        <w:t>I(</w:t>
      </w:r>
      <w:proofErr w:type="gramEnd"/>
      <w:r w:rsidRPr="0024512B">
        <w:rPr>
          <w:b w:val="0"/>
          <w:bCs w:val="0"/>
          <w:sz w:val="24"/>
          <w:szCs w:val="24"/>
        </w:rPr>
        <w:t>0)</w:t>
      </w:r>
      <w:r w:rsidR="00005908" w:rsidRPr="0024512B">
        <w:rPr>
          <w:b w:val="0"/>
          <w:sz w:val="24"/>
          <w:szCs w:val="24"/>
        </w:rPr>
        <w:t xml:space="preserve"> </w:t>
      </w:r>
      <w:r w:rsidRPr="0024512B">
        <w:rPr>
          <w:b w:val="0"/>
          <w:sz w:val="24"/>
          <w:szCs w:val="24"/>
        </w:rPr>
        <w:t>for the majority of the series. Specifically, Current Ratio (</w:t>
      </w:r>
      <w:r w:rsidRPr="0024512B">
        <w:rPr>
          <w:rStyle w:val="math-inline"/>
          <w:b w:val="0"/>
          <w:sz w:val="24"/>
          <w:szCs w:val="24"/>
        </w:rPr>
        <w:t>CR)</w:t>
      </w:r>
      <w:r w:rsidRPr="0024512B">
        <w:rPr>
          <w:b w:val="0"/>
          <w:sz w:val="24"/>
          <w:szCs w:val="24"/>
        </w:rPr>
        <w:t xml:space="preserve"> Equity to Total Assets Ratio (</w:t>
      </w:r>
      <w:r w:rsidRPr="0024512B">
        <w:rPr>
          <w:rStyle w:val="math-inline"/>
          <w:b w:val="0"/>
          <w:sz w:val="24"/>
          <w:szCs w:val="24"/>
        </w:rPr>
        <w:t>ETAR</w:t>
      </w:r>
      <w:r w:rsidRPr="0024512B">
        <w:rPr>
          <w:b w:val="0"/>
          <w:sz w:val="24"/>
          <w:szCs w:val="24"/>
        </w:rPr>
        <w:t>), Operational Restructuring (</w:t>
      </w:r>
      <w:r w:rsidRPr="0024512B">
        <w:rPr>
          <w:rStyle w:val="math-inline"/>
          <w:b w:val="0"/>
          <w:sz w:val="24"/>
          <w:szCs w:val="24"/>
        </w:rPr>
        <w:t>OR),</w:t>
      </w:r>
      <w:r w:rsidRPr="0024512B">
        <w:rPr>
          <w:b w:val="0"/>
          <w:sz w:val="24"/>
          <w:szCs w:val="24"/>
        </w:rPr>
        <w:t xml:space="preserve"> Managerial Restructuring (</w:t>
      </w:r>
      <w:r w:rsidRPr="0024512B">
        <w:rPr>
          <w:rStyle w:val="math-inline"/>
          <w:b w:val="0"/>
          <w:sz w:val="24"/>
          <w:szCs w:val="24"/>
        </w:rPr>
        <w:t>MR</w:t>
      </w:r>
      <w:r w:rsidRPr="0024512B">
        <w:rPr>
          <w:b w:val="0"/>
          <w:sz w:val="24"/>
          <w:szCs w:val="24"/>
        </w:rPr>
        <w:t>), Capital Intensity (</w:t>
      </w:r>
      <w:r w:rsidRPr="0024512B">
        <w:rPr>
          <w:rStyle w:val="math-inline"/>
          <w:b w:val="0"/>
          <w:sz w:val="24"/>
          <w:szCs w:val="24"/>
        </w:rPr>
        <w:t>CPI</w:t>
      </w:r>
      <w:r w:rsidRPr="0024512B">
        <w:rPr>
          <w:b w:val="0"/>
          <w:sz w:val="24"/>
          <w:szCs w:val="24"/>
        </w:rPr>
        <w:t>), Inventory Intensity (</w:t>
      </w:r>
      <w:r w:rsidRPr="0024512B">
        <w:rPr>
          <w:rStyle w:val="math-inline"/>
          <w:b w:val="0"/>
          <w:sz w:val="24"/>
          <w:szCs w:val="24"/>
        </w:rPr>
        <w:t>IVI</w:t>
      </w:r>
      <w:r w:rsidRPr="0024512B">
        <w:rPr>
          <w:b w:val="0"/>
          <w:sz w:val="24"/>
          <w:szCs w:val="24"/>
        </w:rPr>
        <w:t>), Effective Tax Rate (</w:t>
      </w:r>
      <w:r w:rsidRPr="0024512B">
        <w:rPr>
          <w:rStyle w:val="math-inline"/>
          <w:b w:val="0"/>
          <w:sz w:val="24"/>
          <w:szCs w:val="24"/>
        </w:rPr>
        <w:t>ETR</w:t>
      </w:r>
      <w:r w:rsidRPr="0024512B">
        <w:rPr>
          <w:b w:val="0"/>
          <w:sz w:val="24"/>
          <w:szCs w:val="24"/>
        </w:rPr>
        <w:t>), and Capital Adequacy Ratio (</w:t>
      </w:r>
      <w:r w:rsidRPr="0024512B">
        <w:rPr>
          <w:rStyle w:val="math-inline"/>
          <w:b w:val="0"/>
          <w:sz w:val="24"/>
          <w:szCs w:val="24"/>
        </w:rPr>
        <w:t>CAR</w:t>
      </w:r>
      <w:r w:rsidRPr="0024512B">
        <w:rPr>
          <w:b w:val="0"/>
          <w:sz w:val="24"/>
          <w:szCs w:val="24"/>
        </w:rPr>
        <w:t>) are stationary at their level forms. This is evidenced by all four structural test statistics—Inverse Chi-Squared (</w:t>
      </w:r>
      <w:r w:rsidRPr="0024512B">
        <w:rPr>
          <w:rStyle w:val="math-inline"/>
          <w:b w:val="0"/>
          <w:sz w:val="24"/>
          <w:szCs w:val="24"/>
        </w:rPr>
        <w:t>P</w:t>
      </w:r>
      <w:r w:rsidRPr="0024512B">
        <w:rPr>
          <w:b w:val="0"/>
          <w:sz w:val="24"/>
          <w:szCs w:val="24"/>
        </w:rPr>
        <w:t>), Inverse Normal (</w:t>
      </w:r>
      <w:r w:rsidRPr="0024512B">
        <w:rPr>
          <w:rStyle w:val="math-inline"/>
          <w:b w:val="0"/>
          <w:sz w:val="24"/>
          <w:szCs w:val="24"/>
        </w:rPr>
        <w:t>Z</w:t>
      </w:r>
      <w:r w:rsidRPr="0024512B">
        <w:rPr>
          <w:b w:val="0"/>
          <w:sz w:val="24"/>
          <w:szCs w:val="24"/>
        </w:rPr>
        <w:t>), Inverse Logit (</w:t>
      </w:r>
      <w:r w:rsidRPr="0024512B">
        <w:rPr>
          <w:rStyle w:val="math-inline"/>
          <w:b w:val="0"/>
          <w:sz w:val="24"/>
          <w:szCs w:val="24"/>
        </w:rPr>
        <w:t>L^*</w:t>
      </w:r>
      <w:r w:rsidRPr="0024512B">
        <w:rPr>
          <w:b w:val="0"/>
          <w:sz w:val="24"/>
          <w:szCs w:val="24"/>
        </w:rPr>
        <w:t>), and Modified Inverse Chi-Squared (</w:t>
      </w:r>
      <w:r w:rsidRPr="0024512B">
        <w:rPr>
          <w:rStyle w:val="math-inline"/>
          <w:b w:val="0"/>
          <w:sz w:val="24"/>
          <w:szCs w:val="24"/>
        </w:rPr>
        <w:t>P_m</w:t>
      </w:r>
      <w:r w:rsidRPr="0024512B">
        <w:rPr>
          <w:b w:val="0"/>
          <w:sz w:val="24"/>
          <w:szCs w:val="24"/>
        </w:rPr>
        <w:t xml:space="preserve">) achieving statistical significance at the </w:t>
      </w:r>
      <w:r w:rsidRPr="0024512B">
        <w:rPr>
          <w:rStyle w:val="math-inline"/>
          <w:b w:val="0"/>
          <w:sz w:val="24"/>
          <w:szCs w:val="24"/>
        </w:rPr>
        <w:t>1\%</w:t>
      </w:r>
      <w:r w:rsidRPr="0024512B">
        <w:rPr>
          <w:b w:val="0"/>
          <w:sz w:val="24"/>
          <w:szCs w:val="24"/>
        </w:rPr>
        <w:t xml:space="preserve"> level (</w:t>
      </w:r>
      <w:r w:rsidRPr="0024512B">
        <w:rPr>
          <w:rStyle w:val="math-inline"/>
          <w:b w:val="0"/>
          <w:sz w:val="24"/>
          <w:szCs w:val="24"/>
        </w:rPr>
        <w:t>p &lt; 0.01</w:t>
      </w:r>
      <w:r w:rsidRPr="0024512B">
        <w:rPr>
          <w:b w:val="0"/>
          <w:sz w:val="24"/>
          <w:szCs w:val="24"/>
        </w:rPr>
        <w:t>). Conversely, the Non-Performing Loans Ratio (</w:t>
      </w:r>
      <w:r w:rsidRPr="0024512B">
        <w:rPr>
          <w:rStyle w:val="math-inline"/>
          <w:b w:val="0"/>
          <w:sz w:val="24"/>
          <w:szCs w:val="24"/>
        </w:rPr>
        <w:t>NPLR</w:t>
      </w:r>
      <w:r w:rsidRPr="0024512B">
        <w:rPr>
          <w:b w:val="0"/>
          <w:sz w:val="24"/>
          <w:szCs w:val="24"/>
        </w:rPr>
        <w:t>) and Financial Restructuring (</w:t>
      </w:r>
      <w:r w:rsidRPr="0024512B">
        <w:rPr>
          <w:rStyle w:val="math-inline"/>
          <w:b w:val="0"/>
          <w:sz w:val="24"/>
          <w:szCs w:val="24"/>
        </w:rPr>
        <w:t>FR</w:t>
      </w:r>
      <w:r w:rsidRPr="0024512B">
        <w:rPr>
          <w:b w:val="0"/>
          <w:sz w:val="24"/>
          <w:szCs w:val="24"/>
        </w:rPr>
        <w:t xml:space="preserve">) fail to reject the null hypothesis at level, exhibiting non-stationary characteristics. However, upon taking the first difference, both series reject the unit root null hypothesis at the </w:t>
      </w:r>
      <w:r w:rsidRPr="0024512B">
        <w:rPr>
          <w:rStyle w:val="math-inline"/>
          <w:b w:val="0"/>
          <w:sz w:val="24"/>
          <w:szCs w:val="24"/>
        </w:rPr>
        <w:t xml:space="preserve">1\% </w:t>
      </w:r>
      <w:r w:rsidRPr="0024512B">
        <w:rPr>
          <w:b w:val="0"/>
          <w:sz w:val="24"/>
          <w:szCs w:val="24"/>
        </w:rPr>
        <w:t>significance level, confirming that they are integrated of order one</w:t>
      </w:r>
      <w:r w:rsidR="00005908" w:rsidRPr="0024512B">
        <w:rPr>
          <w:b w:val="0"/>
          <w:sz w:val="24"/>
          <w:szCs w:val="24"/>
        </w:rPr>
        <w:t xml:space="preserve"> </w:t>
      </w:r>
      <w:proofErr w:type="gramStart"/>
      <w:r w:rsidRPr="0024512B">
        <w:rPr>
          <w:b w:val="0"/>
          <w:bCs w:val="0"/>
          <w:sz w:val="24"/>
          <w:szCs w:val="24"/>
        </w:rPr>
        <w:t>I(</w:t>
      </w:r>
      <w:proofErr w:type="gramEnd"/>
      <w:r w:rsidRPr="0024512B">
        <w:rPr>
          <w:b w:val="0"/>
          <w:bCs w:val="0"/>
          <w:sz w:val="24"/>
          <w:szCs w:val="24"/>
        </w:rPr>
        <w:t>1)</w:t>
      </w:r>
      <w:r w:rsidRPr="0024512B">
        <w:rPr>
          <w:b w:val="0"/>
          <w:sz w:val="24"/>
          <w:szCs w:val="24"/>
        </w:rPr>
        <w:t xml:space="preserve">. The presence of a mixed integration matrix, where a combination of </w:t>
      </w:r>
      <w:proofErr w:type="gramStart"/>
      <w:r w:rsidRPr="0024512B">
        <w:rPr>
          <w:rStyle w:val="math-inline"/>
          <w:b w:val="0"/>
          <w:sz w:val="24"/>
          <w:szCs w:val="24"/>
        </w:rPr>
        <w:t>I(</w:t>
      </w:r>
      <w:proofErr w:type="gramEnd"/>
      <w:r w:rsidRPr="0024512B">
        <w:rPr>
          <w:rStyle w:val="math-inline"/>
          <w:b w:val="0"/>
          <w:sz w:val="24"/>
          <w:szCs w:val="24"/>
        </w:rPr>
        <w:t>0)</w:t>
      </w:r>
      <w:r w:rsidRPr="0024512B">
        <w:rPr>
          <w:b w:val="0"/>
          <w:sz w:val="24"/>
          <w:szCs w:val="24"/>
        </w:rPr>
        <w:t xml:space="preserve"> and </w:t>
      </w:r>
      <w:proofErr w:type="gramStart"/>
      <w:r w:rsidRPr="0024512B">
        <w:rPr>
          <w:rStyle w:val="math-inline"/>
          <w:b w:val="0"/>
          <w:sz w:val="24"/>
          <w:szCs w:val="24"/>
        </w:rPr>
        <w:t>I(</w:t>
      </w:r>
      <w:proofErr w:type="gramEnd"/>
      <w:r w:rsidRPr="0024512B">
        <w:rPr>
          <w:rStyle w:val="math-inline"/>
          <w:b w:val="0"/>
          <w:sz w:val="24"/>
          <w:szCs w:val="24"/>
        </w:rPr>
        <w:t>1)</w:t>
      </w:r>
      <w:r w:rsidRPr="0024512B">
        <w:rPr>
          <w:b w:val="0"/>
          <w:sz w:val="24"/>
          <w:szCs w:val="24"/>
        </w:rPr>
        <w:t xml:space="preserve"> variables coexist without any </w:t>
      </w:r>
      <w:proofErr w:type="gramStart"/>
      <w:r w:rsidRPr="0024512B">
        <w:rPr>
          <w:rStyle w:val="math-inline"/>
          <w:b w:val="0"/>
          <w:sz w:val="24"/>
          <w:szCs w:val="24"/>
        </w:rPr>
        <w:t>I(</w:t>
      </w:r>
      <w:proofErr w:type="gramEnd"/>
      <w:r w:rsidRPr="0024512B">
        <w:rPr>
          <w:rStyle w:val="math-inline"/>
          <w:b w:val="0"/>
          <w:sz w:val="24"/>
          <w:szCs w:val="24"/>
        </w:rPr>
        <w:t>2)</w:t>
      </w:r>
      <w:r w:rsidRPr="0024512B">
        <w:rPr>
          <w:b w:val="0"/>
          <w:sz w:val="24"/>
          <w:szCs w:val="24"/>
        </w:rPr>
        <w:t xml:space="preserve"> series, provides a strong econometric justification for adopting an </w:t>
      </w:r>
      <w:r w:rsidRPr="0024512B">
        <w:rPr>
          <w:b w:val="0"/>
          <w:bCs w:val="0"/>
          <w:sz w:val="24"/>
          <w:szCs w:val="24"/>
        </w:rPr>
        <w:t>Autoregressive Distributed Lag (ARDL) Bounds testing approach</w:t>
      </w:r>
      <w:r w:rsidRPr="0024512B">
        <w:rPr>
          <w:b w:val="0"/>
          <w:sz w:val="24"/>
          <w:szCs w:val="24"/>
        </w:rPr>
        <w:t xml:space="preserve"> or a dynamic panel framework rather than traditional cointegration methods like Johansen, which strictly require all variables to be integrated of the same order.</w:t>
      </w:r>
    </w:p>
    <w:p w14:paraId="36A32D50" w14:textId="77777777" w:rsidR="006C0EF4" w:rsidRPr="00352CE6" w:rsidRDefault="006C0EF4" w:rsidP="002C7EFB">
      <w:pPr>
        <w:spacing w:after="0" w:line="360" w:lineRule="auto"/>
        <w:jc w:val="both"/>
        <w:rPr>
          <w:rFonts w:asciiTheme="majorBidi" w:eastAsia="Calibri" w:hAnsiTheme="majorBidi" w:cstheme="majorBidi"/>
          <w:b/>
          <w:sz w:val="24"/>
          <w:szCs w:val="24"/>
        </w:rPr>
      </w:pPr>
      <w:r>
        <w:rPr>
          <w:rFonts w:asciiTheme="majorBidi" w:eastAsia="Calibri" w:hAnsiTheme="majorBidi" w:cstheme="majorBidi"/>
          <w:b/>
          <w:sz w:val="24"/>
          <w:szCs w:val="24"/>
        </w:rPr>
        <w:t xml:space="preserve">Table </w:t>
      </w:r>
      <w:r w:rsidR="00E3738A">
        <w:rPr>
          <w:rFonts w:asciiTheme="majorBidi" w:eastAsia="Calibri" w:hAnsiTheme="majorBidi" w:cstheme="majorBidi"/>
          <w:b/>
          <w:sz w:val="24"/>
          <w:szCs w:val="24"/>
        </w:rPr>
        <w:t>4-</w:t>
      </w:r>
      <w:r w:rsidRPr="00352CE6">
        <w:rPr>
          <w:rFonts w:asciiTheme="majorBidi" w:eastAsia="Calibri" w:hAnsiTheme="majorBidi" w:cstheme="majorBidi"/>
          <w:b/>
          <w:sz w:val="24"/>
          <w:szCs w:val="24"/>
        </w:rPr>
        <w:t xml:space="preserve"> Estimates of the Models on the Effect of Corporate Tax Planning on Financial Stability (FS)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6"/>
        <w:gridCol w:w="766"/>
        <w:gridCol w:w="681"/>
        <w:gridCol w:w="881"/>
        <w:gridCol w:w="785"/>
        <w:gridCol w:w="681"/>
        <w:gridCol w:w="908"/>
        <w:gridCol w:w="756"/>
        <w:gridCol w:w="832"/>
        <w:gridCol w:w="910"/>
      </w:tblGrid>
      <w:tr w:rsidR="006C0EF4" w:rsidRPr="00352CE6" w14:paraId="77DA4535" w14:textId="77777777" w:rsidTr="007B3DCE">
        <w:tc>
          <w:tcPr>
            <w:tcW w:w="1008" w:type="pct"/>
            <w:vMerge w:val="restart"/>
            <w:tcBorders>
              <w:left w:val="single" w:sz="4" w:space="0" w:color="FFFFFF"/>
              <w:right w:val="single" w:sz="4" w:space="0" w:color="FFFFFF"/>
            </w:tcBorders>
          </w:tcPr>
          <w:p w14:paraId="2D0E14DB"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Variables</w:t>
            </w:r>
          </w:p>
        </w:tc>
        <w:tc>
          <w:tcPr>
            <w:tcW w:w="1287" w:type="pct"/>
            <w:gridSpan w:val="3"/>
            <w:tcBorders>
              <w:left w:val="single" w:sz="4" w:space="0" w:color="FFFFFF"/>
            </w:tcBorders>
          </w:tcPr>
          <w:p w14:paraId="1042D148"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NPLR</w:t>
            </w:r>
          </w:p>
          <w:p w14:paraId="6E6361B7"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Random Effects (R)</w:t>
            </w:r>
          </w:p>
        </w:tc>
        <w:tc>
          <w:tcPr>
            <w:tcW w:w="1318" w:type="pct"/>
            <w:gridSpan w:val="3"/>
          </w:tcPr>
          <w:p w14:paraId="75A889E9"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CR</w:t>
            </w:r>
          </w:p>
          <w:p w14:paraId="5DBFA727"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Pooled OLS (R)</w:t>
            </w:r>
          </w:p>
        </w:tc>
        <w:tc>
          <w:tcPr>
            <w:tcW w:w="1387" w:type="pct"/>
            <w:gridSpan w:val="3"/>
            <w:tcBorders>
              <w:right w:val="single" w:sz="4" w:space="0" w:color="FFFFFF"/>
            </w:tcBorders>
          </w:tcPr>
          <w:p w14:paraId="1C7C7895"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ETAR</w:t>
            </w:r>
          </w:p>
          <w:p w14:paraId="6E2AB7CE" w14:textId="77777777" w:rsidR="006C0EF4" w:rsidRPr="00352CE6" w:rsidRDefault="006C0EF4" w:rsidP="007B3DCE">
            <w:pPr>
              <w:spacing w:after="0" w:line="240" w:lineRule="auto"/>
              <w:jc w:val="center"/>
              <w:rPr>
                <w:rFonts w:asciiTheme="majorBidi" w:eastAsia="Calibri" w:hAnsiTheme="majorBidi" w:cstheme="majorBidi"/>
                <w:b/>
                <w:sz w:val="20"/>
                <w:szCs w:val="20"/>
              </w:rPr>
            </w:pPr>
            <w:r w:rsidRPr="00352CE6">
              <w:rPr>
                <w:rFonts w:asciiTheme="majorBidi" w:eastAsia="Calibri" w:hAnsiTheme="majorBidi" w:cstheme="majorBidi"/>
                <w:b/>
                <w:sz w:val="20"/>
                <w:szCs w:val="20"/>
              </w:rPr>
              <w:t>Pooled OLS</w:t>
            </w:r>
          </w:p>
        </w:tc>
      </w:tr>
      <w:tr w:rsidR="006C0EF4" w:rsidRPr="00352CE6" w14:paraId="58C5B61E" w14:textId="77777777" w:rsidTr="007B3DCE">
        <w:tc>
          <w:tcPr>
            <w:tcW w:w="1008" w:type="pct"/>
            <w:vMerge/>
            <w:tcBorders>
              <w:left w:val="single" w:sz="4" w:space="0" w:color="FFFFFF"/>
              <w:right w:val="single" w:sz="4" w:space="0" w:color="FFFFFF"/>
            </w:tcBorders>
          </w:tcPr>
          <w:p w14:paraId="0B9DE756" w14:textId="77777777" w:rsidR="006C0EF4" w:rsidRPr="00352CE6" w:rsidRDefault="006C0EF4" w:rsidP="007B3DCE">
            <w:pPr>
              <w:spacing w:after="0" w:line="240" w:lineRule="auto"/>
              <w:jc w:val="both"/>
              <w:rPr>
                <w:rFonts w:asciiTheme="majorBidi" w:eastAsia="Calibri" w:hAnsiTheme="majorBidi" w:cstheme="majorBidi"/>
                <w:sz w:val="20"/>
                <w:szCs w:val="20"/>
              </w:rPr>
            </w:pPr>
          </w:p>
        </w:tc>
        <w:tc>
          <w:tcPr>
            <w:tcW w:w="420" w:type="pct"/>
            <w:tcBorders>
              <w:left w:val="single" w:sz="4" w:space="0" w:color="FFFFFF"/>
              <w:right w:val="single" w:sz="4" w:space="0" w:color="FFFFFF"/>
            </w:tcBorders>
          </w:tcPr>
          <w:p w14:paraId="43C08311"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Coeff</w:t>
            </w:r>
          </w:p>
        </w:tc>
        <w:tc>
          <w:tcPr>
            <w:tcW w:w="378" w:type="pct"/>
            <w:tcBorders>
              <w:left w:val="single" w:sz="4" w:space="0" w:color="FFFFFF"/>
              <w:right w:val="single" w:sz="4" w:space="0" w:color="FFFFFF"/>
            </w:tcBorders>
          </w:tcPr>
          <w:p w14:paraId="4B70FF30"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z stat</w:t>
            </w:r>
          </w:p>
        </w:tc>
        <w:tc>
          <w:tcPr>
            <w:tcW w:w="489" w:type="pct"/>
            <w:tcBorders>
              <w:left w:val="single" w:sz="4" w:space="0" w:color="FFFFFF"/>
            </w:tcBorders>
          </w:tcPr>
          <w:p w14:paraId="48FAB060"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p-value</w:t>
            </w:r>
          </w:p>
        </w:tc>
        <w:tc>
          <w:tcPr>
            <w:tcW w:w="436" w:type="pct"/>
            <w:tcBorders>
              <w:right w:val="single" w:sz="4" w:space="0" w:color="FFFFFF"/>
            </w:tcBorders>
          </w:tcPr>
          <w:p w14:paraId="544D27D8"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Coeff</w:t>
            </w:r>
          </w:p>
        </w:tc>
        <w:tc>
          <w:tcPr>
            <w:tcW w:w="378" w:type="pct"/>
            <w:tcBorders>
              <w:left w:val="single" w:sz="4" w:space="0" w:color="FFFFFF"/>
              <w:right w:val="single" w:sz="4" w:space="0" w:color="FFFFFF"/>
            </w:tcBorders>
          </w:tcPr>
          <w:p w14:paraId="2EFE628F"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z stat</w:t>
            </w:r>
          </w:p>
        </w:tc>
        <w:tc>
          <w:tcPr>
            <w:tcW w:w="504" w:type="pct"/>
            <w:tcBorders>
              <w:left w:val="single" w:sz="4" w:space="0" w:color="FFFFFF"/>
            </w:tcBorders>
          </w:tcPr>
          <w:p w14:paraId="7017E0A9"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p-value</w:t>
            </w:r>
          </w:p>
        </w:tc>
        <w:tc>
          <w:tcPr>
            <w:tcW w:w="420" w:type="pct"/>
            <w:tcBorders>
              <w:right w:val="single" w:sz="4" w:space="0" w:color="FFFFFF"/>
            </w:tcBorders>
          </w:tcPr>
          <w:p w14:paraId="5F12B5FE"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Coeff</w:t>
            </w:r>
          </w:p>
        </w:tc>
        <w:tc>
          <w:tcPr>
            <w:tcW w:w="462" w:type="pct"/>
            <w:tcBorders>
              <w:left w:val="single" w:sz="4" w:space="0" w:color="FFFFFF"/>
              <w:right w:val="single" w:sz="4" w:space="0" w:color="FFFFFF"/>
            </w:tcBorders>
          </w:tcPr>
          <w:p w14:paraId="6BDCC230"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z stat</w:t>
            </w:r>
          </w:p>
        </w:tc>
        <w:tc>
          <w:tcPr>
            <w:tcW w:w="504" w:type="pct"/>
            <w:tcBorders>
              <w:left w:val="single" w:sz="4" w:space="0" w:color="FFFFFF"/>
              <w:right w:val="single" w:sz="4" w:space="0" w:color="FFFFFF"/>
            </w:tcBorders>
          </w:tcPr>
          <w:p w14:paraId="0F12A161" w14:textId="77777777" w:rsidR="006C0EF4" w:rsidRPr="00352CE6" w:rsidRDefault="006C0EF4" w:rsidP="007B3DCE">
            <w:pPr>
              <w:spacing w:after="0" w:line="240" w:lineRule="auto"/>
              <w:jc w:val="both"/>
              <w:rPr>
                <w:rFonts w:asciiTheme="majorBidi" w:eastAsia="Calibri" w:hAnsiTheme="majorBidi" w:cstheme="majorBidi"/>
                <w:sz w:val="20"/>
                <w:szCs w:val="20"/>
              </w:rPr>
            </w:pPr>
            <w:r w:rsidRPr="00352CE6">
              <w:rPr>
                <w:rFonts w:asciiTheme="majorBidi" w:eastAsia="Calibri" w:hAnsiTheme="majorBidi" w:cstheme="majorBidi"/>
                <w:sz w:val="20"/>
                <w:szCs w:val="20"/>
              </w:rPr>
              <w:t>p-value</w:t>
            </w:r>
          </w:p>
        </w:tc>
      </w:tr>
      <w:tr w:rsidR="006C0EF4" w:rsidRPr="00352CE6" w14:paraId="46EE9092" w14:textId="77777777" w:rsidTr="007B3DCE">
        <w:tc>
          <w:tcPr>
            <w:tcW w:w="1008" w:type="pct"/>
            <w:tcBorders>
              <w:left w:val="single" w:sz="4" w:space="0" w:color="FFFFFF"/>
              <w:bottom w:val="single" w:sz="4" w:space="0" w:color="FFFFFF"/>
              <w:right w:val="single" w:sz="4" w:space="0" w:color="FFFFFF"/>
            </w:tcBorders>
          </w:tcPr>
          <w:p w14:paraId="33E8795C"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CPI</w:t>
            </w:r>
          </w:p>
        </w:tc>
        <w:tc>
          <w:tcPr>
            <w:tcW w:w="420" w:type="pct"/>
            <w:tcBorders>
              <w:left w:val="single" w:sz="4" w:space="0" w:color="FFFFFF"/>
              <w:bottom w:val="single" w:sz="4" w:space="0" w:color="FFFFFF"/>
              <w:right w:val="single" w:sz="4" w:space="0" w:color="FFFFFF"/>
            </w:tcBorders>
          </w:tcPr>
          <w:p w14:paraId="78849DCD"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-0.061</w:t>
            </w:r>
          </w:p>
        </w:tc>
        <w:tc>
          <w:tcPr>
            <w:tcW w:w="378" w:type="pct"/>
            <w:tcBorders>
              <w:left w:val="single" w:sz="4" w:space="0" w:color="FFFFFF"/>
              <w:bottom w:val="single" w:sz="4" w:space="0" w:color="FFFFFF"/>
              <w:right w:val="single" w:sz="4" w:space="0" w:color="FFFFFF"/>
            </w:tcBorders>
          </w:tcPr>
          <w:p w14:paraId="12A6CA72"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-1.29</w:t>
            </w:r>
          </w:p>
        </w:tc>
        <w:tc>
          <w:tcPr>
            <w:tcW w:w="489" w:type="pct"/>
            <w:tcBorders>
              <w:left w:val="single" w:sz="4" w:space="0" w:color="FFFFFF"/>
              <w:bottom w:val="single" w:sz="4" w:space="0" w:color="FFFFFF"/>
            </w:tcBorders>
          </w:tcPr>
          <w:p w14:paraId="23B12C64"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0.195</w:t>
            </w:r>
          </w:p>
        </w:tc>
        <w:tc>
          <w:tcPr>
            <w:tcW w:w="436" w:type="pct"/>
            <w:tcBorders>
              <w:bottom w:val="single" w:sz="4" w:space="0" w:color="FFFFFF"/>
              <w:right w:val="single" w:sz="4" w:space="0" w:color="FFFFFF"/>
            </w:tcBorders>
          </w:tcPr>
          <w:p w14:paraId="5F00BBE9"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-0.033</w:t>
            </w:r>
          </w:p>
        </w:tc>
        <w:tc>
          <w:tcPr>
            <w:tcW w:w="378" w:type="pct"/>
            <w:tcBorders>
              <w:left w:val="single" w:sz="4" w:space="0" w:color="FFFFFF"/>
              <w:bottom w:val="single" w:sz="4" w:space="0" w:color="FFFFFF"/>
              <w:right w:val="single" w:sz="4" w:space="0" w:color="FFFFFF"/>
            </w:tcBorders>
          </w:tcPr>
          <w:p w14:paraId="3A35D3B4"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-5.62</w:t>
            </w:r>
          </w:p>
        </w:tc>
        <w:tc>
          <w:tcPr>
            <w:tcW w:w="504" w:type="pct"/>
            <w:tcBorders>
              <w:left w:val="single" w:sz="4" w:space="0" w:color="FFFFFF"/>
              <w:bottom w:val="single" w:sz="4" w:space="0" w:color="FFFFFF"/>
            </w:tcBorders>
          </w:tcPr>
          <w:p w14:paraId="3E07761C"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bottom w:val="single" w:sz="4" w:space="0" w:color="FFFFFF"/>
              <w:right w:val="single" w:sz="4" w:space="0" w:color="FFFFFF"/>
            </w:tcBorders>
          </w:tcPr>
          <w:p w14:paraId="3F4AE238"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0.002</w:t>
            </w:r>
          </w:p>
        </w:tc>
        <w:tc>
          <w:tcPr>
            <w:tcW w:w="462" w:type="pct"/>
            <w:tcBorders>
              <w:left w:val="single" w:sz="4" w:space="0" w:color="FFFFFF"/>
              <w:bottom w:val="single" w:sz="4" w:space="0" w:color="FFFFFF"/>
              <w:right w:val="single" w:sz="4" w:space="0" w:color="FFFFFF"/>
            </w:tcBorders>
          </w:tcPr>
          <w:p w14:paraId="36D55436"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2.33</w:t>
            </w:r>
          </w:p>
        </w:tc>
        <w:tc>
          <w:tcPr>
            <w:tcW w:w="504" w:type="pct"/>
            <w:tcBorders>
              <w:left w:val="single" w:sz="4" w:space="0" w:color="FFFFFF"/>
              <w:bottom w:val="single" w:sz="4" w:space="0" w:color="FFFFFF"/>
              <w:right w:val="single" w:sz="4" w:space="0" w:color="FFFFFF"/>
            </w:tcBorders>
          </w:tcPr>
          <w:p w14:paraId="310C7B9A"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0.038</w:t>
            </w:r>
          </w:p>
        </w:tc>
      </w:tr>
      <w:tr w:rsidR="006C0EF4" w:rsidRPr="00352CE6" w14:paraId="047C50B1"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492D11C5"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ETR</w:t>
            </w:r>
          </w:p>
        </w:tc>
        <w:tc>
          <w:tcPr>
            <w:tcW w:w="420" w:type="pct"/>
            <w:tcBorders>
              <w:top w:val="single" w:sz="4" w:space="0" w:color="FFFFFF"/>
              <w:left w:val="single" w:sz="4" w:space="0" w:color="FFFFFF"/>
              <w:bottom w:val="single" w:sz="4" w:space="0" w:color="FFFFFF"/>
              <w:right w:val="single" w:sz="4" w:space="0" w:color="FFFFFF"/>
            </w:tcBorders>
          </w:tcPr>
          <w:p w14:paraId="610F9F83"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0.017</w:t>
            </w:r>
          </w:p>
        </w:tc>
        <w:tc>
          <w:tcPr>
            <w:tcW w:w="378" w:type="pct"/>
            <w:tcBorders>
              <w:top w:val="single" w:sz="4" w:space="0" w:color="FFFFFF"/>
              <w:left w:val="single" w:sz="4" w:space="0" w:color="FFFFFF"/>
              <w:bottom w:val="single" w:sz="4" w:space="0" w:color="FFFFFF"/>
              <w:right w:val="single" w:sz="4" w:space="0" w:color="FFFFFF"/>
            </w:tcBorders>
          </w:tcPr>
          <w:p w14:paraId="2F67427A"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0.38</w:t>
            </w:r>
          </w:p>
        </w:tc>
        <w:tc>
          <w:tcPr>
            <w:tcW w:w="489" w:type="pct"/>
            <w:tcBorders>
              <w:top w:val="single" w:sz="4" w:space="0" w:color="FFFFFF"/>
              <w:left w:val="single" w:sz="4" w:space="0" w:color="FFFFFF"/>
              <w:bottom w:val="single" w:sz="4" w:space="0" w:color="FFFFFF"/>
            </w:tcBorders>
          </w:tcPr>
          <w:p w14:paraId="276E0CA7"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0.705</w:t>
            </w:r>
          </w:p>
        </w:tc>
        <w:tc>
          <w:tcPr>
            <w:tcW w:w="436" w:type="pct"/>
            <w:tcBorders>
              <w:top w:val="single" w:sz="4" w:space="0" w:color="FFFFFF"/>
              <w:bottom w:val="single" w:sz="4" w:space="0" w:color="FFFFFF"/>
              <w:right w:val="single" w:sz="4" w:space="0" w:color="FFFFFF"/>
            </w:tcBorders>
          </w:tcPr>
          <w:p w14:paraId="43E81D56"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0.002</w:t>
            </w:r>
          </w:p>
        </w:tc>
        <w:tc>
          <w:tcPr>
            <w:tcW w:w="378" w:type="pct"/>
            <w:tcBorders>
              <w:top w:val="single" w:sz="4" w:space="0" w:color="FFFFFF"/>
              <w:left w:val="single" w:sz="4" w:space="0" w:color="FFFFFF"/>
              <w:bottom w:val="single" w:sz="4" w:space="0" w:color="FFFFFF"/>
              <w:right w:val="single" w:sz="4" w:space="0" w:color="FFFFFF"/>
            </w:tcBorders>
          </w:tcPr>
          <w:p w14:paraId="3ABA4EB3"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0.15</w:t>
            </w:r>
          </w:p>
        </w:tc>
        <w:tc>
          <w:tcPr>
            <w:tcW w:w="504" w:type="pct"/>
            <w:tcBorders>
              <w:top w:val="single" w:sz="4" w:space="0" w:color="FFFFFF"/>
              <w:left w:val="single" w:sz="4" w:space="0" w:color="FFFFFF"/>
              <w:bottom w:val="single" w:sz="4" w:space="0" w:color="FFFFFF"/>
            </w:tcBorders>
          </w:tcPr>
          <w:p w14:paraId="1869F66E"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0.884</w:t>
            </w:r>
          </w:p>
        </w:tc>
        <w:tc>
          <w:tcPr>
            <w:tcW w:w="420" w:type="pct"/>
            <w:tcBorders>
              <w:top w:val="single" w:sz="4" w:space="0" w:color="FFFFFF"/>
              <w:bottom w:val="single" w:sz="4" w:space="0" w:color="FFFFFF"/>
              <w:right w:val="single" w:sz="4" w:space="0" w:color="FFFFFF"/>
            </w:tcBorders>
          </w:tcPr>
          <w:p w14:paraId="341FA5CA"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0.001</w:t>
            </w:r>
          </w:p>
        </w:tc>
        <w:tc>
          <w:tcPr>
            <w:tcW w:w="462" w:type="pct"/>
            <w:tcBorders>
              <w:top w:val="single" w:sz="4" w:space="0" w:color="FFFFFF"/>
              <w:left w:val="single" w:sz="4" w:space="0" w:color="FFFFFF"/>
              <w:bottom w:val="single" w:sz="4" w:space="0" w:color="FFFFFF"/>
              <w:right w:val="single" w:sz="4" w:space="0" w:color="FFFFFF"/>
            </w:tcBorders>
          </w:tcPr>
          <w:p w14:paraId="3D280954"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0.37</w:t>
            </w:r>
          </w:p>
        </w:tc>
        <w:tc>
          <w:tcPr>
            <w:tcW w:w="504" w:type="pct"/>
            <w:tcBorders>
              <w:top w:val="single" w:sz="4" w:space="0" w:color="FFFFFF"/>
              <w:left w:val="single" w:sz="4" w:space="0" w:color="FFFFFF"/>
              <w:bottom w:val="single" w:sz="4" w:space="0" w:color="FFFFFF"/>
              <w:right w:val="single" w:sz="4" w:space="0" w:color="FFFFFF"/>
            </w:tcBorders>
          </w:tcPr>
          <w:p w14:paraId="43FAB847"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0.709</w:t>
            </w:r>
          </w:p>
        </w:tc>
      </w:tr>
      <w:tr w:rsidR="006C0EF4" w:rsidRPr="00352CE6" w14:paraId="382C344A" w14:textId="77777777" w:rsidTr="007B3DCE">
        <w:tc>
          <w:tcPr>
            <w:tcW w:w="1008" w:type="pct"/>
            <w:tcBorders>
              <w:top w:val="single" w:sz="4" w:space="0" w:color="FFFFFF"/>
              <w:left w:val="single" w:sz="4" w:space="0" w:color="FFFFFF"/>
              <w:bottom w:val="single" w:sz="4" w:space="0" w:color="auto"/>
              <w:right w:val="single" w:sz="4" w:space="0" w:color="FFFFFF"/>
            </w:tcBorders>
          </w:tcPr>
          <w:p w14:paraId="3030420F"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Constant</w:t>
            </w:r>
          </w:p>
        </w:tc>
        <w:tc>
          <w:tcPr>
            <w:tcW w:w="420" w:type="pct"/>
            <w:tcBorders>
              <w:top w:val="single" w:sz="4" w:space="0" w:color="FFFFFF"/>
              <w:left w:val="single" w:sz="4" w:space="0" w:color="FFFFFF"/>
              <w:bottom w:val="single" w:sz="4" w:space="0" w:color="auto"/>
              <w:right w:val="single" w:sz="4" w:space="0" w:color="FFFFFF"/>
            </w:tcBorders>
          </w:tcPr>
          <w:p w14:paraId="46631649"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10.059</w:t>
            </w:r>
          </w:p>
        </w:tc>
        <w:tc>
          <w:tcPr>
            <w:tcW w:w="378" w:type="pct"/>
            <w:tcBorders>
              <w:top w:val="single" w:sz="4" w:space="0" w:color="FFFFFF"/>
              <w:left w:val="single" w:sz="4" w:space="0" w:color="FFFFFF"/>
              <w:bottom w:val="single" w:sz="4" w:space="0" w:color="auto"/>
              <w:right w:val="single" w:sz="4" w:space="0" w:color="FFFFFF"/>
            </w:tcBorders>
          </w:tcPr>
          <w:p w14:paraId="625ACA61"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2.68</w:t>
            </w:r>
          </w:p>
        </w:tc>
        <w:tc>
          <w:tcPr>
            <w:tcW w:w="489" w:type="pct"/>
            <w:tcBorders>
              <w:top w:val="single" w:sz="4" w:space="0" w:color="FFFFFF"/>
              <w:left w:val="single" w:sz="4" w:space="0" w:color="FFFFFF"/>
              <w:bottom w:val="single" w:sz="4" w:space="0" w:color="auto"/>
            </w:tcBorders>
          </w:tcPr>
          <w:p w14:paraId="5012DF9A"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0.007</w:t>
            </w:r>
          </w:p>
        </w:tc>
        <w:tc>
          <w:tcPr>
            <w:tcW w:w="436" w:type="pct"/>
            <w:tcBorders>
              <w:top w:val="single" w:sz="4" w:space="0" w:color="FFFFFF"/>
              <w:bottom w:val="single" w:sz="4" w:space="0" w:color="auto"/>
              <w:right w:val="single" w:sz="4" w:space="0" w:color="FFFFFF"/>
            </w:tcBorders>
          </w:tcPr>
          <w:p w14:paraId="7F18F427"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3.767</w:t>
            </w:r>
          </w:p>
        </w:tc>
        <w:tc>
          <w:tcPr>
            <w:tcW w:w="378" w:type="pct"/>
            <w:tcBorders>
              <w:top w:val="single" w:sz="4" w:space="0" w:color="FFFFFF"/>
              <w:left w:val="single" w:sz="4" w:space="0" w:color="FFFFFF"/>
              <w:bottom w:val="single" w:sz="4" w:space="0" w:color="auto"/>
              <w:right w:val="single" w:sz="4" w:space="0" w:color="FFFFFF"/>
            </w:tcBorders>
          </w:tcPr>
          <w:p w14:paraId="7B5B7ADE"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7.76</w:t>
            </w:r>
          </w:p>
        </w:tc>
        <w:tc>
          <w:tcPr>
            <w:tcW w:w="504" w:type="pct"/>
            <w:tcBorders>
              <w:top w:val="single" w:sz="4" w:space="0" w:color="FFFFFF"/>
              <w:left w:val="single" w:sz="4" w:space="0" w:color="FFFFFF"/>
              <w:bottom w:val="single" w:sz="4" w:space="0" w:color="auto"/>
            </w:tcBorders>
          </w:tcPr>
          <w:p w14:paraId="7F859CD7"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top w:val="single" w:sz="4" w:space="0" w:color="FFFFFF"/>
              <w:bottom w:val="single" w:sz="4" w:space="0" w:color="auto"/>
              <w:right w:val="single" w:sz="4" w:space="0" w:color="FFFFFF"/>
            </w:tcBorders>
          </w:tcPr>
          <w:p w14:paraId="43DEF099"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0.248</w:t>
            </w:r>
          </w:p>
        </w:tc>
        <w:tc>
          <w:tcPr>
            <w:tcW w:w="462" w:type="pct"/>
            <w:tcBorders>
              <w:top w:val="single" w:sz="4" w:space="0" w:color="FFFFFF"/>
              <w:left w:val="single" w:sz="4" w:space="0" w:color="FFFFFF"/>
              <w:bottom w:val="single" w:sz="4" w:space="0" w:color="auto"/>
              <w:right w:val="single" w:sz="4" w:space="0" w:color="FFFFFF"/>
            </w:tcBorders>
          </w:tcPr>
          <w:p w14:paraId="5AC0E73C"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2.80</w:t>
            </w:r>
          </w:p>
        </w:tc>
        <w:tc>
          <w:tcPr>
            <w:tcW w:w="504" w:type="pct"/>
            <w:tcBorders>
              <w:top w:val="single" w:sz="4" w:space="0" w:color="FFFFFF"/>
              <w:left w:val="single" w:sz="4" w:space="0" w:color="FFFFFF"/>
              <w:bottom w:val="single" w:sz="4" w:space="0" w:color="auto"/>
              <w:right w:val="single" w:sz="4" w:space="0" w:color="FFFFFF"/>
            </w:tcBorders>
          </w:tcPr>
          <w:p w14:paraId="3573D7D7" w14:textId="77777777" w:rsidR="006C0EF4" w:rsidRPr="00352CE6" w:rsidRDefault="006C0EF4" w:rsidP="007B3DCE">
            <w:pPr>
              <w:spacing w:after="0" w:line="360"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0.006</w:t>
            </w:r>
          </w:p>
        </w:tc>
      </w:tr>
      <w:tr w:rsidR="006C0EF4" w:rsidRPr="00352CE6" w14:paraId="5B79C96B" w14:textId="77777777" w:rsidTr="007B3DCE">
        <w:tc>
          <w:tcPr>
            <w:tcW w:w="1008" w:type="pct"/>
            <w:tcBorders>
              <w:top w:val="single" w:sz="4" w:space="0" w:color="auto"/>
              <w:left w:val="single" w:sz="4" w:space="0" w:color="FFFFFF"/>
              <w:bottom w:val="single" w:sz="4" w:space="0" w:color="FFFFFF"/>
              <w:right w:val="single" w:sz="4" w:space="0" w:color="FFFFFF"/>
            </w:tcBorders>
          </w:tcPr>
          <w:p w14:paraId="12DEC4EA"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R-squared</w:t>
            </w:r>
          </w:p>
        </w:tc>
        <w:tc>
          <w:tcPr>
            <w:tcW w:w="420" w:type="pct"/>
            <w:tcBorders>
              <w:top w:val="single" w:sz="4" w:space="0" w:color="auto"/>
              <w:left w:val="single" w:sz="4" w:space="0" w:color="FFFFFF"/>
              <w:bottom w:val="single" w:sz="4" w:space="0" w:color="FFFFFF"/>
              <w:right w:val="single" w:sz="4" w:space="0" w:color="FFFFFF"/>
            </w:tcBorders>
          </w:tcPr>
          <w:p w14:paraId="07350A2C"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0.032</w:t>
            </w:r>
          </w:p>
        </w:tc>
        <w:tc>
          <w:tcPr>
            <w:tcW w:w="378" w:type="pct"/>
            <w:tcBorders>
              <w:top w:val="single" w:sz="4" w:space="0" w:color="auto"/>
              <w:left w:val="single" w:sz="4" w:space="0" w:color="FFFFFF"/>
              <w:bottom w:val="single" w:sz="4" w:space="0" w:color="FFFFFF"/>
              <w:right w:val="single" w:sz="4" w:space="0" w:color="FFFFFF"/>
            </w:tcBorders>
          </w:tcPr>
          <w:p w14:paraId="18D3E03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auto"/>
              <w:left w:val="single" w:sz="4" w:space="0" w:color="FFFFFF"/>
              <w:bottom w:val="single" w:sz="4" w:space="0" w:color="FFFFFF"/>
            </w:tcBorders>
          </w:tcPr>
          <w:p w14:paraId="134CD06F"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36" w:type="pct"/>
            <w:tcBorders>
              <w:top w:val="single" w:sz="4" w:space="0" w:color="auto"/>
              <w:bottom w:val="single" w:sz="4" w:space="0" w:color="FFFFFF"/>
              <w:right w:val="single" w:sz="4" w:space="0" w:color="FFFFFF"/>
            </w:tcBorders>
          </w:tcPr>
          <w:p w14:paraId="04E4E5E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0.250</w:t>
            </w:r>
          </w:p>
        </w:tc>
        <w:tc>
          <w:tcPr>
            <w:tcW w:w="378" w:type="pct"/>
            <w:tcBorders>
              <w:top w:val="single" w:sz="4" w:space="0" w:color="auto"/>
              <w:left w:val="single" w:sz="4" w:space="0" w:color="FFFFFF"/>
              <w:bottom w:val="single" w:sz="4" w:space="0" w:color="FFFFFF"/>
              <w:right w:val="single" w:sz="4" w:space="0" w:color="FFFFFF"/>
            </w:tcBorders>
          </w:tcPr>
          <w:p w14:paraId="5C539B04"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auto"/>
              <w:left w:val="single" w:sz="4" w:space="0" w:color="FFFFFF"/>
              <w:bottom w:val="single" w:sz="4" w:space="0" w:color="FFFFFF"/>
            </w:tcBorders>
          </w:tcPr>
          <w:p w14:paraId="0E6EBDBA"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20" w:type="pct"/>
            <w:tcBorders>
              <w:top w:val="single" w:sz="4" w:space="0" w:color="auto"/>
              <w:bottom w:val="single" w:sz="4" w:space="0" w:color="FFFFFF"/>
              <w:right w:val="single" w:sz="4" w:space="0" w:color="FFFFFF"/>
            </w:tcBorders>
          </w:tcPr>
          <w:p w14:paraId="497130CE"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0.354</w:t>
            </w:r>
          </w:p>
        </w:tc>
        <w:tc>
          <w:tcPr>
            <w:tcW w:w="462" w:type="pct"/>
            <w:tcBorders>
              <w:top w:val="single" w:sz="4" w:space="0" w:color="auto"/>
              <w:left w:val="single" w:sz="4" w:space="0" w:color="FFFFFF"/>
              <w:bottom w:val="single" w:sz="4" w:space="0" w:color="FFFFFF"/>
              <w:right w:val="single" w:sz="4" w:space="0" w:color="FFFFFF"/>
            </w:tcBorders>
          </w:tcPr>
          <w:p w14:paraId="166A3D6F"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auto"/>
              <w:left w:val="single" w:sz="4" w:space="0" w:color="FFFFFF"/>
              <w:bottom w:val="single" w:sz="4" w:space="0" w:color="FFFFFF"/>
              <w:right w:val="single" w:sz="4" w:space="0" w:color="FFFFFF"/>
            </w:tcBorders>
          </w:tcPr>
          <w:p w14:paraId="04C382B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r>
      <w:tr w:rsidR="006C0EF4" w:rsidRPr="00352CE6" w14:paraId="5976731B"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6A30F725"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Wald Chi-squared</w:t>
            </w:r>
          </w:p>
        </w:tc>
        <w:tc>
          <w:tcPr>
            <w:tcW w:w="420" w:type="pct"/>
            <w:tcBorders>
              <w:top w:val="single" w:sz="4" w:space="0" w:color="FFFFFF"/>
              <w:left w:val="single" w:sz="4" w:space="0" w:color="FFFFFF"/>
              <w:bottom w:val="single" w:sz="4" w:space="0" w:color="FFFFFF"/>
              <w:right w:val="single" w:sz="4" w:space="0" w:color="FFFFFF"/>
            </w:tcBorders>
          </w:tcPr>
          <w:p w14:paraId="73862825"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4.42</w:t>
            </w:r>
          </w:p>
        </w:tc>
        <w:tc>
          <w:tcPr>
            <w:tcW w:w="378" w:type="pct"/>
            <w:tcBorders>
              <w:top w:val="single" w:sz="4" w:space="0" w:color="FFFFFF"/>
              <w:left w:val="single" w:sz="4" w:space="0" w:color="FFFFFF"/>
              <w:bottom w:val="single" w:sz="4" w:space="0" w:color="FFFFFF"/>
              <w:right w:val="single" w:sz="4" w:space="0" w:color="FFFFFF"/>
            </w:tcBorders>
          </w:tcPr>
          <w:p w14:paraId="7CBF0E3F"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FFFFFF"/>
              <w:left w:val="single" w:sz="4" w:space="0" w:color="FFFFFF"/>
              <w:bottom w:val="single" w:sz="4" w:space="0" w:color="FFFFFF"/>
            </w:tcBorders>
          </w:tcPr>
          <w:p w14:paraId="48927C00"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36" w:type="pct"/>
            <w:tcBorders>
              <w:top w:val="single" w:sz="4" w:space="0" w:color="FFFFFF"/>
              <w:bottom w:val="single" w:sz="4" w:space="0" w:color="FFFFFF"/>
              <w:right w:val="single" w:sz="4" w:space="0" w:color="FFFFFF"/>
            </w:tcBorders>
          </w:tcPr>
          <w:p w14:paraId="36ABE23E"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24.46</w:t>
            </w:r>
          </w:p>
        </w:tc>
        <w:tc>
          <w:tcPr>
            <w:tcW w:w="378" w:type="pct"/>
            <w:tcBorders>
              <w:top w:val="single" w:sz="4" w:space="0" w:color="FFFFFF"/>
              <w:left w:val="single" w:sz="4" w:space="0" w:color="FFFFFF"/>
              <w:bottom w:val="single" w:sz="4" w:space="0" w:color="FFFFFF"/>
              <w:right w:val="single" w:sz="4" w:space="0" w:color="FFFFFF"/>
            </w:tcBorders>
          </w:tcPr>
          <w:p w14:paraId="7B1340FB"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tcBorders>
          </w:tcPr>
          <w:p w14:paraId="2CB0E2EF"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top w:val="single" w:sz="4" w:space="0" w:color="FFFFFF"/>
              <w:bottom w:val="single" w:sz="4" w:space="0" w:color="FFFFFF"/>
              <w:right w:val="single" w:sz="4" w:space="0" w:color="FFFFFF"/>
            </w:tcBorders>
          </w:tcPr>
          <w:p w14:paraId="18FEA725"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11.95</w:t>
            </w:r>
          </w:p>
        </w:tc>
        <w:tc>
          <w:tcPr>
            <w:tcW w:w="462" w:type="pct"/>
            <w:tcBorders>
              <w:top w:val="single" w:sz="4" w:space="0" w:color="FFFFFF"/>
              <w:left w:val="single" w:sz="4" w:space="0" w:color="FFFFFF"/>
              <w:bottom w:val="single" w:sz="4" w:space="0" w:color="FFFFFF"/>
              <w:right w:val="single" w:sz="4" w:space="0" w:color="FFFFFF"/>
            </w:tcBorders>
          </w:tcPr>
          <w:p w14:paraId="7C5EF26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right w:val="single" w:sz="4" w:space="0" w:color="FFFFFF"/>
            </w:tcBorders>
          </w:tcPr>
          <w:p w14:paraId="61857F6D"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r>
      <w:tr w:rsidR="006C0EF4" w:rsidRPr="00352CE6" w14:paraId="6BC78BF1"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302AABF9"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Autocorrelation test</w:t>
            </w:r>
          </w:p>
        </w:tc>
        <w:tc>
          <w:tcPr>
            <w:tcW w:w="420" w:type="pct"/>
            <w:tcBorders>
              <w:top w:val="single" w:sz="4" w:space="0" w:color="FFFFFF"/>
              <w:left w:val="single" w:sz="4" w:space="0" w:color="FFFFFF"/>
              <w:bottom w:val="single" w:sz="4" w:space="0" w:color="FFFFFF"/>
              <w:right w:val="single" w:sz="4" w:space="0" w:color="FFFFFF"/>
            </w:tcBorders>
          </w:tcPr>
          <w:p w14:paraId="70144F2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3.060</w:t>
            </w:r>
          </w:p>
        </w:tc>
        <w:tc>
          <w:tcPr>
            <w:tcW w:w="378" w:type="pct"/>
            <w:tcBorders>
              <w:top w:val="single" w:sz="4" w:space="0" w:color="FFFFFF"/>
              <w:left w:val="single" w:sz="4" w:space="0" w:color="FFFFFF"/>
              <w:bottom w:val="single" w:sz="4" w:space="0" w:color="FFFFFF"/>
              <w:right w:val="single" w:sz="4" w:space="0" w:color="FFFFFF"/>
            </w:tcBorders>
          </w:tcPr>
          <w:p w14:paraId="562CF03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FFFFFF"/>
              <w:left w:val="single" w:sz="4" w:space="0" w:color="FFFFFF"/>
              <w:bottom w:val="single" w:sz="4" w:space="0" w:color="FFFFFF"/>
            </w:tcBorders>
          </w:tcPr>
          <w:p w14:paraId="15077905"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0.102</w:t>
            </w:r>
          </w:p>
        </w:tc>
        <w:tc>
          <w:tcPr>
            <w:tcW w:w="436" w:type="pct"/>
            <w:tcBorders>
              <w:top w:val="single" w:sz="4" w:space="0" w:color="FFFFFF"/>
              <w:bottom w:val="single" w:sz="4" w:space="0" w:color="FFFFFF"/>
              <w:right w:val="single" w:sz="4" w:space="0" w:color="FFFFFF"/>
            </w:tcBorders>
          </w:tcPr>
          <w:p w14:paraId="5ABA79E6"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0.207</w:t>
            </w:r>
          </w:p>
        </w:tc>
        <w:tc>
          <w:tcPr>
            <w:tcW w:w="378" w:type="pct"/>
            <w:tcBorders>
              <w:top w:val="single" w:sz="4" w:space="0" w:color="FFFFFF"/>
              <w:left w:val="single" w:sz="4" w:space="0" w:color="FFFFFF"/>
              <w:bottom w:val="single" w:sz="4" w:space="0" w:color="FFFFFF"/>
              <w:right w:val="single" w:sz="4" w:space="0" w:color="FFFFFF"/>
            </w:tcBorders>
          </w:tcPr>
          <w:p w14:paraId="3EE35887"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tcBorders>
          </w:tcPr>
          <w:p w14:paraId="32C8031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0.656</w:t>
            </w:r>
          </w:p>
        </w:tc>
        <w:tc>
          <w:tcPr>
            <w:tcW w:w="420" w:type="pct"/>
            <w:tcBorders>
              <w:top w:val="single" w:sz="4" w:space="0" w:color="FFFFFF"/>
              <w:bottom w:val="single" w:sz="4" w:space="0" w:color="FFFFFF"/>
              <w:right w:val="single" w:sz="4" w:space="0" w:color="FFFFFF"/>
            </w:tcBorders>
          </w:tcPr>
          <w:p w14:paraId="3E2A7CB7"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1.783</w:t>
            </w:r>
          </w:p>
        </w:tc>
        <w:tc>
          <w:tcPr>
            <w:tcW w:w="462" w:type="pct"/>
            <w:tcBorders>
              <w:top w:val="single" w:sz="4" w:space="0" w:color="FFFFFF"/>
              <w:left w:val="single" w:sz="4" w:space="0" w:color="FFFFFF"/>
              <w:bottom w:val="single" w:sz="4" w:space="0" w:color="FFFFFF"/>
              <w:right w:val="single" w:sz="4" w:space="0" w:color="FFFFFF"/>
            </w:tcBorders>
          </w:tcPr>
          <w:p w14:paraId="7EFF54A4"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right w:val="single" w:sz="4" w:space="0" w:color="FFFFFF"/>
            </w:tcBorders>
          </w:tcPr>
          <w:p w14:paraId="245F0174"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0.203</w:t>
            </w:r>
          </w:p>
        </w:tc>
      </w:tr>
      <w:tr w:rsidR="006C0EF4" w:rsidRPr="00352CE6" w14:paraId="2720DB94" w14:textId="77777777" w:rsidTr="007B3DCE">
        <w:tc>
          <w:tcPr>
            <w:tcW w:w="1008" w:type="pct"/>
            <w:tcBorders>
              <w:top w:val="single" w:sz="4" w:space="0" w:color="FFFFFF"/>
              <w:left w:val="single" w:sz="4" w:space="0" w:color="FFFFFF"/>
              <w:bottom w:val="single" w:sz="4" w:space="0" w:color="FFFFFF"/>
              <w:right w:val="single" w:sz="4" w:space="0" w:color="FFFFFF"/>
            </w:tcBorders>
          </w:tcPr>
          <w:p w14:paraId="61507D5B"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Heteroskedasticity test</w:t>
            </w:r>
          </w:p>
        </w:tc>
        <w:tc>
          <w:tcPr>
            <w:tcW w:w="420" w:type="pct"/>
            <w:tcBorders>
              <w:top w:val="single" w:sz="4" w:space="0" w:color="FFFFFF"/>
              <w:left w:val="single" w:sz="4" w:space="0" w:color="FFFFFF"/>
              <w:bottom w:val="single" w:sz="4" w:space="0" w:color="FFFFFF"/>
              <w:right w:val="single" w:sz="4" w:space="0" w:color="FFFFFF"/>
            </w:tcBorders>
          </w:tcPr>
          <w:p w14:paraId="67E5FFF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88.90</w:t>
            </w:r>
          </w:p>
        </w:tc>
        <w:tc>
          <w:tcPr>
            <w:tcW w:w="378" w:type="pct"/>
            <w:tcBorders>
              <w:top w:val="single" w:sz="4" w:space="0" w:color="FFFFFF"/>
              <w:left w:val="single" w:sz="4" w:space="0" w:color="FFFFFF"/>
              <w:bottom w:val="single" w:sz="4" w:space="0" w:color="FFFFFF"/>
              <w:right w:val="single" w:sz="4" w:space="0" w:color="FFFFFF"/>
            </w:tcBorders>
          </w:tcPr>
          <w:p w14:paraId="7D99CD38"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489" w:type="pct"/>
            <w:tcBorders>
              <w:top w:val="single" w:sz="4" w:space="0" w:color="FFFFFF"/>
              <w:left w:val="single" w:sz="4" w:space="0" w:color="FFFFFF"/>
              <w:bottom w:val="single" w:sz="4" w:space="0" w:color="FFFFFF"/>
            </w:tcBorders>
          </w:tcPr>
          <w:p w14:paraId="1062CE6A"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36" w:type="pct"/>
            <w:tcBorders>
              <w:top w:val="single" w:sz="4" w:space="0" w:color="FFFFFF"/>
              <w:bottom w:val="single" w:sz="4" w:space="0" w:color="FFFFFF"/>
              <w:right w:val="single" w:sz="4" w:space="0" w:color="FFFFFF"/>
            </w:tcBorders>
          </w:tcPr>
          <w:p w14:paraId="39956FBB"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17.33</w:t>
            </w:r>
          </w:p>
        </w:tc>
        <w:tc>
          <w:tcPr>
            <w:tcW w:w="378" w:type="pct"/>
            <w:tcBorders>
              <w:top w:val="single" w:sz="4" w:space="0" w:color="FFFFFF"/>
              <w:left w:val="single" w:sz="4" w:space="0" w:color="FFFFFF"/>
              <w:bottom w:val="single" w:sz="4" w:space="0" w:color="FFFFFF"/>
              <w:right w:val="single" w:sz="4" w:space="0" w:color="FFFFFF"/>
            </w:tcBorders>
          </w:tcPr>
          <w:p w14:paraId="34EC2DC1"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tcBorders>
          </w:tcPr>
          <w:p w14:paraId="63A41044"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0.000</w:t>
            </w:r>
          </w:p>
        </w:tc>
        <w:tc>
          <w:tcPr>
            <w:tcW w:w="420" w:type="pct"/>
            <w:tcBorders>
              <w:top w:val="single" w:sz="4" w:space="0" w:color="FFFFFF"/>
              <w:bottom w:val="single" w:sz="4" w:space="0" w:color="FFFFFF"/>
              <w:right w:val="single" w:sz="4" w:space="0" w:color="FFFFFF"/>
            </w:tcBorders>
          </w:tcPr>
          <w:p w14:paraId="2810E1AA"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0.53</w:t>
            </w:r>
          </w:p>
        </w:tc>
        <w:tc>
          <w:tcPr>
            <w:tcW w:w="462" w:type="pct"/>
            <w:tcBorders>
              <w:top w:val="single" w:sz="4" w:space="0" w:color="FFFFFF"/>
              <w:left w:val="single" w:sz="4" w:space="0" w:color="FFFFFF"/>
              <w:bottom w:val="single" w:sz="4" w:space="0" w:color="FFFFFF"/>
              <w:right w:val="single" w:sz="4" w:space="0" w:color="FFFFFF"/>
            </w:tcBorders>
          </w:tcPr>
          <w:p w14:paraId="2AADEBE2"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w:t>
            </w:r>
          </w:p>
        </w:tc>
        <w:tc>
          <w:tcPr>
            <w:tcW w:w="504" w:type="pct"/>
            <w:tcBorders>
              <w:top w:val="single" w:sz="4" w:space="0" w:color="FFFFFF"/>
              <w:left w:val="single" w:sz="4" w:space="0" w:color="FFFFFF"/>
              <w:bottom w:val="single" w:sz="4" w:space="0" w:color="FFFFFF"/>
              <w:right w:val="single" w:sz="4" w:space="0" w:color="FFFFFF"/>
            </w:tcBorders>
          </w:tcPr>
          <w:p w14:paraId="6D3F0E9F"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0.467</w:t>
            </w:r>
          </w:p>
        </w:tc>
      </w:tr>
      <w:tr w:rsidR="006C0EF4" w:rsidRPr="00352CE6" w14:paraId="22BEE525" w14:textId="77777777" w:rsidTr="007B3DCE">
        <w:tc>
          <w:tcPr>
            <w:tcW w:w="1008" w:type="pct"/>
            <w:tcBorders>
              <w:top w:val="single" w:sz="4" w:space="0" w:color="FFFFFF"/>
              <w:left w:val="single" w:sz="4" w:space="0" w:color="FFFFFF"/>
              <w:right w:val="single" w:sz="4" w:space="0" w:color="FFFFFF"/>
            </w:tcBorders>
          </w:tcPr>
          <w:p w14:paraId="3294934F"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lastRenderedPageBreak/>
              <w:t>Observations</w:t>
            </w:r>
          </w:p>
        </w:tc>
        <w:tc>
          <w:tcPr>
            <w:tcW w:w="420" w:type="pct"/>
            <w:tcBorders>
              <w:top w:val="single" w:sz="4" w:space="0" w:color="FFFFFF"/>
              <w:left w:val="single" w:sz="4" w:space="0" w:color="FFFFFF"/>
              <w:right w:val="single" w:sz="4" w:space="0" w:color="FFFFFF"/>
            </w:tcBorders>
          </w:tcPr>
          <w:p w14:paraId="08E40FAD"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378" w:type="pct"/>
            <w:tcBorders>
              <w:top w:val="single" w:sz="4" w:space="0" w:color="FFFFFF"/>
              <w:left w:val="single" w:sz="4" w:space="0" w:color="FFFFFF"/>
              <w:right w:val="single" w:sz="4" w:space="0" w:color="FFFFFF"/>
            </w:tcBorders>
          </w:tcPr>
          <w:p w14:paraId="303A0863"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150</w:t>
            </w:r>
          </w:p>
        </w:tc>
        <w:tc>
          <w:tcPr>
            <w:tcW w:w="489" w:type="pct"/>
            <w:tcBorders>
              <w:top w:val="single" w:sz="4" w:space="0" w:color="FFFFFF"/>
              <w:left w:val="single" w:sz="4" w:space="0" w:color="FFFFFF"/>
            </w:tcBorders>
          </w:tcPr>
          <w:p w14:paraId="3D607BB5"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436" w:type="pct"/>
            <w:tcBorders>
              <w:top w:val="single" w:sz="4" w:space="0" w:color="FFFFFF"/>
              <w:right w:val="single" w:sz="4" w:space="0" w:color="FFFFFF"/>
            </w:tcBorders>
          </w:tcPr>
          <w:p w14:paraId="39769C01"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378" w:type="pct"/>
            <w:tcBorders>
              <w:top w:val="single" w:sz="4" w:space="0" w:color="FFFFFF"/>
              <w:left w:val="single" w:sz="4" w:space="0" w:color="FFFFFF"/>
              <w:right w:val="single" w:sz="4" w:space="0" w:color="FFFFFF"/>
            </w:tcBorders>
          </w:tcPr>
          <w:p w14:paraId="164BB69F"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150</w:t>
            </w:r>
          </w:p>
        </w:tc>
        <w:tc>
          <w:tcPr>
            <w:tcW w:w="504" w:type="pct"/>
            <w:tcBorders>
              <w:top w:val="single" w:sz="4" w:space="0" w:color="FFFFFF"/>
              <w:left w:val="single" w:sz="4" w:space="0" w:color="FFFFFF"/>
            </w:tcBorders>
          </w:tcPr>
          <w:p w14:paraId="71A9A695"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420" w:type="pct"/>
            <w:tcBorders>
              <w:top w:val="single" w:sz="4" w:space="0" w:color="FFFFFF"/>
              <w:right w:val="single" w:sz="4" w:space="0" w:color="FFFFFF"/>
            </w:tcBorders>
          </w:tcPr>
          <w:p w14:paraId="1468A482"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c>
          <w:tcPr>
            <w:tcW w:w="462" w:type="pct"/>
            <w:tcBorders>
              <w:top w:val="single" w:sz="4" w:space="0" w:color="FFFFFF"/>
              <w:left w:val="single" w:sz="4" w:space="0" w:color="FFFFFF"/>
              <w:right w:val="single" w:sz="4" w:space="0" w:color="FFFFFF"/>
            </w:tcBorders>
          </w:tcPr>
          <w:p w14:paraId="0D7BC4CE" w14:textId="77777777" w:rsidR="006C0EF4" w:rsidRPr="00352CE6" w:rsidRDefault="006C0EF4" w:rsidP="007B3DCE">
            <w:pPr>
              <w:spacing w:after="0" w:line="276" w:lineRule="auto"/>
              <w:jc w:val="center"/>
              <w:rPr>
                <w:rFonts w:asciiTheme="majorBidi" w:eastAsia="Calibri" w:hAnsiTheme="majorBidi" w:cstheme="majorBidi"/>
                <w:sz w:val="20"/>
                <w:szCs w:val="20"/>
              </w:rPr>
            </w:pPr>
            <w:r w:rsidRPr="00352CE6">
              <w:rPr>
                <w:rFonts w:asciiTheme="majorBidi" w:eastAsia="Calibri" w:hAnsiTheme="majorBidi" w:cstheme="majorBidi"/>
                <w:sz w:val="20"/>
                <w:szCs w:val="20"/>
              </w:rPr>
              <w:t>150</w:t>
            </w:r>
          </w:p>
        </w:tc>
        <w:tc>
          <w:tcPr>
            <w:tcW w:w="504" w:type="pct"/>
            <w:tcBorders>
              <w:top w:val="single" w:sz="4" w:space="0" w:color="FFFFFF"/>
              <w:left w:val="single" w:sz="4" w:space="0" w:color="FFFFFF"/>
              <w:right w:val="single" w:sz="4" w:space="0" w:color="FFFFFF"/>
            </w:tcBorders>
          </w:tcPr>
          <w:p w14:paraId="6039C171" w14:textId="77777777" w:rsidR="006C0EF4" w:rsidRPr="00352CE6" w:rsidRDefault="006C0EF4" w:rsidP="007B3DCE">
            <w:pPr>
              <w:spacing w:after="0" w:line="276" w:lineRule="auto"/>
              <w:jc w:val="center"/>
              <w:rPr>
                <w:rFonts w:asciiTheme="majorBidi" w:eastAsia="Calibri" w:hAnsiTheme="majorBidi" w:cstheme="majorBidi"/>
                <w:sz w:val="20"/>
                <w:szCs w:val="20"/>
              </w:rPr>
            </w:pPr>
          </w:p>
        </w:tc>
      </w:tr>
    </w:tbl>
    <w:p w14:paraId="10696ECC" w14:textId="77777777" w:rsidR="006C0EF4" w:rsidRPr="00352CE6" w:rsidRDefault="006C0EF4" w:rsidP="006C0EF4">
      <w:pPr>
        <w:spacing w:line="240" w:lineRule="auto"/>
        <w:jc w:val="both"/>
        <w:rPr>
          <w:rFonts w:asciiTheme="majorBidi" w:eastAsia="Calibri" w:hAnsiTheme="majorBidi" w:cstheme="majorBidi"/>
          <w:sz w:val="24"/>
          <w:szCs w:val="24"/>
        </w:rPr>
      </w:pPr>
      <w:r w:rsidRPr="00352CE6">
        <w:rPr>
          <w:rFonts w:asciiTheme="majorBidi" w:eastAsia="Calibri" w:hAnsiTheme="majorBidi" w:cstheme="majorBidi"/>
          <w:b/>
          <w:sz w:val="24"/>
          <w:szCs w:val="24"/>
        </w:rPr>
        <w:t>Sour</w:t>
      </w:r>
      <w:r w:rsidR="002C7EFB">
        <w:rPr>
          <w:rFonts w:asciiTheme="majorBidi" w:eastAsia="Calibri" w:hAnsiTheme="majorBidi" w:cstheme="majorBidi"/>
          <w:b/>
          <w:sz w:val="24"/>
          <w:szCs w:val="24"/>
        </w:rPr>
        <w:t>ce, Author’s Computation (2024)</w:t>
      </w:r>
    </w:p>
    <w:p w14:paraId="37CC3DFC" w14:textId="77777777" w:rsidR="002C7EFB" w:rsidRPr="002C7EFB" w:rsidRDefault="002C7EFB" w:rsidP="002C7EFB">
      <w:pPr>
        <w:spacing w:before="100" w:beforeAutospacing="1" w:after="100" w:afterAutospacing="1" w:line="240" w:lineRule="auto"/>
        <w:jc w:val="both"/>
        <w:rPr>
          <w:rFonts w:ascii="Times New Roman" w:eastAsia="Times New Roman" w:hAnsi="Times New Roman" w:cs="Times New Roman"/>
          <w:sz w:val="24"/>
          <w:szCs w:val="24"/>
          <w:lang w:eastAsia="en-GB"/>
        </w:rPr>
      </w:pPr>
      <w:r w:rsidRPr="002C7EFB">
        <w:rPr>
          <w:rFonts w:ascii="Times New Roman" w:eastAsia="Times New Roman" w:hAnsi="Times New Roman" w:cs="Times New Roman"/>
          <w:sz w:val="24"/>
          <w:szCs w:val="24"/>
          <w:lang w:eastAsia="en-GB"/>
        </w:rPr>
        <w:t>The model estimations presented in Table 4 utilize z-statistics and p-values to evaluate statistical significance based on a p&lt;0.05 decision rule for rejecting the null hypothesis. The diagnostic tests reveal that corporate tax planning variables explain approximately 3.2%, 25.0%, and 35.4% of the variation (R2) in the Non-Performing Loans Ratio (NPLR), Current Ratio (CR), and Equity to Total Assets Ratio (ETAR) models, respectively. Model goodness-of-fit is confirmed by the highly significant Wald Chi-squared statistics (p=0.000) across all three models. Additionally, Wooldridge test results (p&gt;0.05) indicate that all models are free from autocorrelation issues. While the ETAR model satisfies the Breusch-Pagan null hypothesis of homoskedasticity (p=0.467), the NPLR and CR models exhibit heteroskedasticity (p=0.000), which was successfully corrected using robust standard errors to ensure reliable, unbiased estimates for subsequent explanatory analysis.</w:t>
      </w:r>
    </w:p>
    <w:p w14:paraId="3172B707" w14:textId="77777777" w:rsidR="007B3DCE" w:rsidRPr="00500483" w:rsidRDefault="002626AB" w:rsidP="007B3DCE">
      <w:pPr>
        <w:spacing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4.2</w:t>
      </w:r>
      <w:r w:rsidR="007B3DCE">
        <w:rPr>
          <w:rFonts w:ascii="Times New Roman" w:eastAsia="Calibri" w:hAnsi="Times New Roman" w:cs="Times New Roman"/>
          <w:b/>
          <w:sz w:val="24"/>
          <w:szCs w:val="24"/>
        </w:rPr>
        <w:tab/>
      </w:r>
      <w:r w:rsidR="007B3DCE" w:rsidRPr="00500483">
        <w:rPr>
          <w:rFonts w:ascii="Times New Roman" w:eastAsia="Calibri" w:hAnsi="Times New Roman" w:cs="Times New Roman"/>
          <w:b/>
          <w:sz w:val="24"/>
          <w:szCs w:val="24"/>
        </w:rPr>
        <w:t>Discussion of findings</w:t>
      </w:r>
    </w:p>
    <w:p w14:paraId="18E45027" w14:textId="77777777" w:rsidR="007B3DCE" w:rsidRPr="00352CE6" w:rsidRDefault="00B8743F" w:rsidP="007B3DCE">
      <w:pPr>
        <w:spacing w:line="240" w:lineRule="auto"/>
        <w:jc w:val="both"/>
        <w:rPr>
          <w:rFonts w:asciiTheme="majorBidi" w:eastAsia="Calibri" w:hAnsiTheme="majorBidi" w:cstheme="majorBidi"/>
          <w:sz w:val="24"/>
          <w:szCs w:val="24"/>
        </w:rPr>
      </w:pPr>
      <w:r>
        <w:rPr>
          <w:rFonts w:asciiTheme="majorBidi" w:eastAsia="Calibri" w:hAnsiTheme="majorBidi" w:cstheme="majorBidi"/>
          <w:sz w:val="24"/>
          <w:szCs w:val="24"/>
        </w:rPr>
        <w:t>The discussion is</w:t>
      </w:r>
      <w:r w:rsidR="007B3DCE" w:rsidRPr="00352CE6">
        <w:rPr>
          <w:rFonts w:asciiTheme="majorBidi" w:eastAsia="Calibri" w:hAnsiTheme="majorBidi" w:cstheme="majorBidi"/>
          <w:sz w:val="24"/>
          <w:szCs w:val="24"/>
        </w:rPr>
        <w:t xml:space="preserve"> in the light of Pooled OLS model with Equity to Total Assets Ratio as the proxy of financial stability since it achieved the highest R-squared value when compared with other two proxies of financial stability. The high Wald Chi-squared value of this model confirms that the overall model is significant and in good fit thus rejecting the null hypothesis H01 according to which there is no significant impact of corporate tax planning on the financial stability of the listed deposit money banks in Nigeria.</w:t>
      </w:r>
    </w:p>
    <w:p w14:paraId="09E39C06" w14:textId="77777777" w:rsidR="007B3DCE" w:rsidRPr="00352CE6" w:rsidRDefault="007B3DCE" w:rsidP="007B3DCE">
      <w:pPr>
        <w:spacing w:line="240" w:lineRule="auto"/>
        <w:jc w:val="both"/>
        <w:rPr>
          <w:rFonts w:asciiTheme="majorBidi" w:eastAsia="Calibri" w:hAnsiTheme="majorBidi" w:cstheme="majorBidi"/>
          <w:sz w:val="24"/>
          <w:szCs w:val="24"/>
        </w:rPr>
      </w:pPr>
      <w:r w:rsidRPr="00352CE6">
        <w:rPr>
          <w:rFonts w:asciiTheme="majorBidi" w:eastAsia="Calibri" w:hAnsiTheme="majorBidi" w:cstheme="majorBidi"/>
          <w:sz w:val="24"/>
          <w:szCs w:val="24"/>
        </w:rPr>
        <w:t xml:space="preserve">They have established that Capital Intensity has a positive impact on the financial stability of the listed deposit money banks in Nigeria and this is observed by the fact that the p-value is below the desired level of significance. The implication of this is the fact that there is a rise in the Capital Intensity which results into a rise of the financial stability of the listed deposit money banks in Nigeria. This correlation indicates that the greater is the proportion of fixed assets of banks to the total assets, the greater is the probability of enhancing financial resilience and ability to absorb possible losses. This may be explained by the fact that capital-intensive investments are utilized in the creation of depreciation allowances that will minimize taxable income hence retaining after-tax earnings and retained profits, which are later reinvested into enhancing the financial stability of the banks. </w:t>
      </w:r>
    </w:p>
    <w:p w14:paraId="7BE539F7" w14:textId="77777777" w:rsidR="007B3DCE" w:rsidRPr="00352CE6" w:rsidRDefault="007B3DCE" w:rsidP="007B3DCE">
      <w:pPr>
        <w:spacing w:line="240" w:lineRule="auto"/>
        <w:jc w:val="both"/>
        <w:rPr>
          <w:rFonts w:asciiTheme="majorBidi" w:eastAsia="Calibri" w:hAnsiTheme="majorBidi" w:cstheme="majorBidi"/>
          <w:sz w:val="24"/>
          <w:szCs w:val="24"/>
        </w:rPr>
      </w:pPr>
      <w:r w:rsidRPr="00352CE6">
        <w:rPr>
          <w:rFonts w:asciiTheme="majorBidi" w:eastAsia="Calibri" w:hAnsiTheme="majorBidi" w:cstheme="majorBidi"/>
          <w:sz w:val="24"/>
          <w:szCs w:val="24"/>
        </w:rPr>
        <w:t xml:space="preserve">Furthermore, the existence of the banks of high capital intensity can project an increasing level of commitment in operations and long-term investment orientation to the regulators, investors, and depositors, which in turn attracts the equity financing and enhances financial stability. Moreover, capital-intensive banks have a higher chance of having tangible asset bases that act as collateral, which helps them to raise more funds and is less prone to financial distress. Capital intensity and its effect on financial stability is therefore positive in highlighting the value of strategic asset investment as a tax planning instrument to enhance the financial stability of deposit money banks especially in such turbulent context of regulation and macroeconomic environment as experienced in Nigeria. </w:t>
      </w:r>
    </w:p>
    <w:p w14:paraId="23EDA3E1" w14:textId="77777777" w:rsidR="007B3DCE" w:rsidRPr="00352CE6" w:rsidRDefault="007B3DCE" w:rsidP="007B3DCE">
      <w:pPr>
        <w:spacing w:line="240" w:lineRule="auto"/>
        <w:jc w:val="both"/>
        <w:rPr>
          <w:rFonts w:asciiTheme="majorBidi" w:eastAsia="Calibri" w:hAnsiTheme="majorBidi" w:cstheme="majorBidi"/>
          <w:sz w:val="24"/>
          <w:szCs w:val="24"/>
        </w:rPr>
      </w:pPr>
      <w:r w:rsidRPr="00352CE6">
        <w:rPr>
          <w:rFonts w:asciiTheme="majorBidi" w:eastAsia="Calibri" w:hAnsiTheme="majorBidi" w:cstheme="majorBidi"/>
          <w:sz w:val="24"/>
          <w:szCs w:val="24"/>
        </w:rPr>
        <w:t xml:space="preserve">Such may be attributed to the Trade-Off Theory of Capital Structure advanced by Kraus and Litzenberger (1973) in the view that banks of greater capital intensity optimally trade-off the tax benefits of their assets on the financial risk they might face, which in turn would result in a more powerful and stable financial position that helps secure the depositor confidence and long-run solvency. These findings can be compared with the works of </w:t>
      </w:r>
      <w:proofErr w:type="spellStart"/>
      <w:r w:rsidRPr="00352CE6">
        <w:rPr>
          <w:rFonts w:asciiTheme="majorBidi" w:eastAsia="Calibri" w:hAnsiTheme="majorBidi" w:cstheme="majorBidi"/>
          <w:sz w:val="24"/>
          <w:szCs w:val="24"/>
        </w:rPr>
        <w:t>Hendayana</w:t>
      </w:r>
      <w:proofErr w:type="spellEnd"/>
      <w:r w:rsidRPr="00352CE6">
        <w:rPr>
          <w:rFonts w:asciiTheme="majorBidi" w:eastAsia="Calibri" w:hAnsiTheme="majorBidi" w:cstheme="majorBidi"/>
          <w:sz w:val="24"/>
          <w:szCs w:val="24"/>
        </w:rPr>
        <w:t xml:space="preserve"> et al. (2024), Darsani and </w:t>
      </w:r>
      <w:proofErr w:type="spellStart"/>
      <w:r w:rsidRPr="00352CE6">
        <w:rPr>
          <w:rFonts w:asciiTheme="majorBidi" w:eastAsia="Calibri" w:hAnsiTheme="majorBidi" w:cstheme="majorBidi"/>
          <w:sz w:val="24"/>
          <w:szCs w:val="24"/>
        </w:rPr>
        <w:t>Sukartha</w:t>
      </w:r>
      <w:proofErr w:type="spellEnd"/>
      <w:r w:rsidRPr="00352CE6">
        <w:rPr>
          <w:rFonts w:asciiTheme="majorBidi" w:eastAsia="Calibri" w:hAnsiTheme="majorBidi" w:cstheme="majorBidi"/>
          <w:sz w:val="24"/>
          <w:szCs w:val="24"/>
        </w:rPr>
        <w:t xml:space="preserve"> (2021), and Abubakar et al. (2024), who found that the capital intensity is significantly related to the indicators of financial strength of firms, and this research supports </w:t>
      </w:r>
      <w:r w:rsidRPr="00352CE6">
        <w:rPr>
          <w:rFonts w:asciiTheme="majorBidi" w:eastAsia="Calibri" w:hAnsiTheme="majorBidi" w:cstheme="majorBidi"/>
          <w:sz w:val="24"/>
          <w:szCs w:val="24"/>
        </w:rPr>
        <w:lastRenderedPageBreak/>
        <w:t>the impact of the capital intensity on the financial stability of listed deposit money banks in Nigeria.</w:t>
      </w:r>
    </w:p>
    <w:p w14:paraId="6EB4BEFC" w14:textId="77777777" w:rsidR="008047CC" w:rsidRPr="009B5A05" w:rsidRDefault="007B3DCE" w:rsidP="008047CC">
      <w:pPr>
        <w:spacing w:before="100" w:beforeAutospacing="1" w:after="100" w:afterAutospacing="1" w:line="240" w:lineRule="auto"/>
        <w:outlineLvl w:val="2"/>
        <w:rPr>
          <w:rFonts w:ascii="Times New Roman" w:eastAsia="Times New Roman" w:hAnsi="Times New Roman" w:cs="Times New Roman"/>
          <w:b/>
          <w:bCs/>
          <w:sz w:val="27"/>
          <w:szCs w:val="27"/>
          <w:lang w:val="en-IN" w:eastAsia="en-IN"/>
        </w:rPr>
      </w:pPr>
      <w:r w:rsidRPr="007B3DCE">
        <w:rPr>
          <w:rFonts w:ascii="Times New Roman" w:hAnsi="Times New Roman" w:cs="Times New Roman"/>
          <w:b/>
          <w:sz w:val="24"/>
          <w:szCs w:val="24"/>
        </w:rPr>
        <w:t>5.0</w:t>
      </w:r>
      <w:r w:rsidRPr="007B3DCE">
        <w:rPr>
          <w:rFonts w:ascii="Times New Roman" w:hAnsi="Times New Roman" w:cs="Times New Roman"/>
          <w:b/>
          <w:sz w:val="24"/>
          <w:szCs w:val="24"/>
        </w:rPr>
        <w:tab/>
        <w:t xml:space="preserve"> </w:t>
      </w:r>
      <w:r w:rsidR="008047CC" w:rsidRPr="009B5A05">
        <w:rPr>
          <w:rFonts w:ascii="Times New Roman" w:eastAsia="Times New Roman" w:hAnsi="Times New Roman" w:cs="Times New Roman"/>
          <w:b/>
          <w:bCs/>
          <w:sz w:val="27"/>
          <w:szCs w:val="27"/>
          <w:lang w:val="en-IN" w:eastAsia="en-IN"/>
        </w:rPr>
        <w:t>Conclusions</w:t>
      </w:r>
    </w:p>
    <w:p w14:paraId="270FB7FE" w14:textId="77777777" w:rsidR="008047CC" w:rsidRPr="009B5A05" w:rsidRDefault="008047CC" w:rsidP="008047CC">
      <w:pPr>
        <w:spacing w:before="100" w:beforeAutospacing="1" w:after="100" w:afterAutospacing="1" w:line="240" w:lineRule="auto"/>
        <w:rPr>
          <w:rFonts w:ascii="Times New Roman" w:eastAsia="Times New Roman" w:hAnsi="Times New Roman" w:cs="Times New Roman"/>
          <w:sz w:val="24"/>
          <w:szCs w:val="24"/>
          <w:lang w:val="en-IN" w:eastAsia="en-IN"/>
        </w:rPr>
      </w:pPr>
      <w:r w:rsidRPr="009B5A05">
        <w:rPr>
          <w:rFonts w:ascii="Times New Roman" w:eastAsia="Times New Roman" w:hAnsi="Times New Roman" w:cs="Times New Roman"/>
          <w:sz w:val="24"/>
          <w:szCs w:val="24"/>
          <w:lang w:val="en-IN" w:eastAsia="en-IN"/>
        </w:rPr>
        <w:t>The study concludes that corporate tax planning has a limited but relevant relationship with the financial stability of listed deposit money banks in Nigeria. The empirical results indicate that capital intensity is the main tax-planning variable with statistically significant effects in the reported models. Its negative relationship with current ratio suggests that higher investment in fixed assets may reduce short-term liquidity, while its positive relationship with equity-to-total-assets ratio indicates a possible contribution to capital strength and long-term solvency. Effective tax rate did not show a statistically significant effect on the financial stability proxies examined. These findings imply that tax-planning decisions should not be treated as automatic instruments for improving bank stability. Instead, they should be aligned with liquidity management, capital adequacy planning and sound risk-control practices. For deposit money banks, tax efficiency should be pursued within transparent, compliant and prudentially responsible limits to avoid weakening financial resilience.</w:t>
      </w:r>
    </w:p>
    <w:p w14:paraId="21125B39" w14:textId="77777777" w:rsidR="00DC4111" w:rsidRPr="00DC4111" w:rsidRDefault="00DC4111" w:rsidP="008047CC">
      <w:pPr>
        <w:jc w:val="both"/>
        <w:rPr>
          <w:rFonts w:ascii="Times New Roman" w:eastAsia="Times New Roman" w:hAnsi="Times New Roman" w:cs="Times New Roman"/>
          <w:sz w:val="24"/>
          <w:szCs w:val="24"/>
          <w:lang w:eastAsia="en-GB"/>
        </w:rPr>
      </w:pPr>
    </w:p>
    <w:p w14:paraId="58426C47" w14:textId="77777777" w:rsidR="004C0E97" w:rsidRDefault="004C0E97" w:rsidP="004C0E97">
      <w:pPr>
        <w:rPr>
          <w:rFonts w:ascii="Times New Roman" w:hAnsi="Times New Roman" w:cs="Times New Roman"/>
          <w:b/>
          <w:sz w:val="24"/>
          <w:szCs w:val="24"/>
        </w:rPr>
      </w:pPr>
      <w:r>
        <w:rPr>
          <w:rFonts w:ascii="Times New Roman" w:hAnsi="Times New Roman" w:cs="Times New Roman"/>
          <w:b/>
          <w:sz w:val="24"/>
          <w:szCs w:val="24"/>
        </w:rPr>
        <w:t>5.1</w:t>
      </w:r>
      <w:r>
        <w:rPr>
          <w:rFonts w:ascii="Times New Roman" w:hAnsi="Times New Roman" w:cs="Times New Roman"/>
          <w:b/>
          <w:sz w:val="24"/>
          <w:szCs w:val="24"/>
        </w:rPr>
        <w:tab/>
        <w:t xml:space="preserve"> Recommendation</w:t>
      </w:r>
    </w:p>
    <w:p w14:paraId="0740C014" w14:textId="77777777" w:rsidR="004C0E97" w:rsidRDefault="004C0E97" w:rsidP="004C0E97">
      <w:pPr>
        <w:jc w:val="both"/>
        <w:rPr>
          <w:rFonts w:ascii="Times New Roman" w:hAnsi="Times New Roman" w:cs="Times New Roman"/>
          <w:sz w:val="24"/>
          <w:szCs w:val="24"/>
        </w:rPr>
      </w:pPr>
      <w:r w:rsidRPr="004C0E97">
        <w:rPr>
          <w:rFonts w:ascii="Times New Roman" w:hAnsi="Times New Roman" w:cs="Times New Roman"/>
          <w:sz w:val="24"/>
          <w:szCs w:val="24"/>
        </w:rPr>
        <w:t>Based on the objective of examining the effect of corporate tax planning on the financial stability of listed deposit money banks in Nigeria, the following policy and managerial recommendations are proposed:</w:t>
      </w:r>
    </w:p>
    <w:p w14:paraId="5A158266" w14:textId="77777777" w:rsidR="004C0E97" w:rsidRPr="004C0E97" w:rsidRDefault="00D76CD2" w:rsidP="004C0E97">
      <w:pPr>
        <w:jc w:val="both"/>
        <w:rPr>
          <w:rFonts w:ascii="Times New Roman" w:hAnsi="Times New Roman" w:cs="Times New Roman"/>
          <w:sz w:val="24"/>
          <w:szCs w:val="24"/>
        </w:rPr>
      </w:pPr>
      <w:r>
        <w:rPr>
          <w:rFonts w:ascii="Times New Roman" w:hAnsi="Times New Roman" w:cs="Times New Roman"/>
          <w:bCs/>
          <w:sz w:val="24"/>
          <w:szCs w:val="24"/>
        </w:rPr>
        <w:t>1</w:t>
      </w:r>
      <w:r w:rsidR="00B8743F">
        <w:rPr>
          <w:rFonts w:ascii="Times New Roman" w:hAnsi="Times New Roman" w:cs="Times New Roman"/>
          <w:bCs/>
          <w:sz w:val="24"/>
          <w:szCs w:val="24"/>
        </w:rPr>
        <w:t>.</w:t>
      </w:r>
      <w:r>
        <w:rPr>
          <w:rFonts w:ascii="Times New Roman" w:hAnsi="Times New Roman" w:cs="Times New Roman"/>
          <w:bCs/>
          <w:sz w:val="24"/>
          <w:szCs w:val="24"/>
        </w:rPr>
        <w:tab/>
      </w:r>
      <w:r w:rsidR="004C0E97" w:rsidRPr="004C0E97">
        <w:rPr>
          <w:rFonts w:ascii="Times New Roman" w:hAnsi="Times New Roman" w:cs="Times New Roman"/>
          <w:sz w:val="24"/>
          <w:szCs w:val="24"/>
        </w:rPr>
        <w:t>Bank executives should strategically manage corporate tax planning vehicles, such as Capital Intensity and Inventory Intensity, to maximize tax savings without over-aggressively eroding the bank's tax base. Because a lower Effective Tax Rate frees up operational cash flow, these tax savings should be intentionally directed toward high-quality liquid assets to improve the bank's Current Ratio and overall liquidity position.</w:t>
      </w:r>
    </w:p>
    <w:p w14:paraId="063879AC" w14:textId="77777777" w:rsidR="004C0E97" w:rsidRPr="004C0E97" w:rsidRDefault="00D76CD2" w:rsidP="004C0E97">
      <w:pPr>
        <w:jc w:val="both"/>
        <w:rPr>
          <w:rFonts w:ascii="Times New Roman" w:hAnsi="Times New Roman" w:cs="Times New Roman"/>
          <w:sz w:val="24"/>
          <w:szCs w:val="24"/>
        </w:rPr>
      </w:pPr>
      <w:r>
        <w:rPr>
          <w:rFonts w:ascii="Times New Roman" w:hAnsi="Times New Roman" w:cs="Times New Roman"/>
          <w:bCs/>
          <w:sz w:val="24"/>
          <w:szCs w:val="24"/>
        </w:rPr>
        <w:t>2</w:t>
      </w:r>
      <w:r w:rsidR="00B8743F">
        <w:rPr>
          <w:rFonts w:ascii="Times New Roman" w:hAnsi="Times New Roman" w:cs="Times New Roman"/>
          <w:bCs/>
          <w:sz w:val="24"/>
          <w:szCs w:val="24"/>
        </w:rPr>
        <w:t>.</w:t>
      </w:r>
      <w:r>
        <w:rPr>
          <w:rFonts w:ascii="Times New Roman" w:hAnsi="Times New Roman" w:cs="Times New Roman"/>
          <w:bCs/>
          <w:sz w:val="24"/>
          <w:szCs w:val="24"/>
        </w:rPr>
        <w:tab/>
      </w:r>
      <w:r w:rsidR="004C0E97" w:rsidRPr="004C0E97">
        <w:rPr>
          <w:rFonts w:ascii="Times New Roman" w:hAnsi="Times New Roman" w:cs="Times New Roman"/>
          <w:sz w:val="24"/>
          <w:szCs w:val="24"/>
        </w:rPr>
        <w:t xml:space="preserve"> Given that the Non-Performing Loans Ratio poses a direct threat to stability and is subject to significant volatility, banks must use their tax-planning savings to fortify their Capital Adequacy Ratio. Management should consistently maintain capital buffers comfortably above the minimum regulatory thresholds established by the Central Bank of Nigeria to absorb sudden spikes in asset quality degradation.</w:t>
      </w:r>
    </w:p>
    <w:p w14:paraId="3FA05D34" w14:textId="77777777" w:rsidR="002626AB" w:rsidRDefault="00D76CD2" w:rsidP="002626AB">
      <w:pPr>
        <w:jc w:val="both"/>
        <w:rPr>
          <w:rFonts w:ascii="Times New Roman" w:hAnsi="Times New Roman" w:cs="Times New Roman"/>
          <w:sz w:val="24"/>
          <w:szCs w:val="24"/>
        </w:rPr>
      </w:pPr>
      <w:r>
        <w:rPr>
          <w:rFonts w:ascii="Times New Roman" w:hAnsi="Times New Roman" w:cs="Times New Roman"/>
          <w:bCs/>
          <w:sz w:val="24"/>
          <w:szCs w:val="24"/>
        </w:rPr>
        <w:t>3</w:t>
      </w:r>
      <w:r w:rsidR="00B8743F">
        <w:rPr>
          <w:rFonts w:ascii="Times New Roman" w:hAnsi="Times New Roman" w:cs="Times New Roman"/>
          <w:bCs/>
          <w:sz w:val="24"/>
          <w:szCs w:val="24"/>
        </w:rPr>
        <w:t>.</w:t>
      </w:r>
      <w:r>
        <w:rPr>
          <w:rFonts w:ascii="Times New Roman" w:hAnsi="Times New Roman" w:cs="Times New Roman"/>
          <w:bCs/>
          <w:sz w:val="24"/>
          <w:szCs w:val="24"/>
        </w:rPr>
        <w:tab/>
      </w:r>
      <w:r w:rsidR="004C0E97" w:rsidRPr="004C0E97">
        <w:rPr>
          <w:rFonts w:ascii="Times New Roman" w:hAnsi="Times New Roman" w:cs="Times New Roman"/>
          <w:sz w:val="24"/>
          <w:szCs w:val="24"/>
        </w:rPr>
        <w:t>Since Financial Restructuring operates as a long-run dynamic process, adjustments to the bank’s debt-to-equity profile must be synchronized carefully with credit risk management. Decisions regarding financial, operational, and managerial restructuring should be intentionally designed to optimize operational costs and strictly curtail the accumulation of bad loans, thereby protecting and strengthening shareholders' equity buffers.</w:t>
      </w:r>
    </w:p>
    <w:p w14:paraId="062463B1" w14:textId="77777777" w:rsidR="008047CC" w:rsidRDefault="008047CC" w:rsidP="002626AB">
      <w:pPr>
        <w:jc w:val="both"/>
        <w:rPr>
          <w:rFonts w:ascii="Times New Roman" w:hAnsi="Times New Roman" w:cs="Times New Roman"/>
          <w:sz w:val="24"/>
          <w:szCs w:val="24"/>
        </w:rPr>
      </w:pPr>
    </w:p>
    <w:p w14:paraId="3D1141F0" w14:textId="77777777" w:rsidR="008047CC" w:rsidRPr="009B5A05" w:rsidRDefault="008047CC" w:rsidP="008047CC">
      <w:pPr>
        <w:spacing w:before="100" w:beforeAutospacing="1" w:after="100" w:afterAutospacing="1" w:line="240" w:lineRule="auto"/>
        <w:outlineLvl w:val="2"/>
        <w:rPr>
          <w:rFonts w:ascii="Times New Roman" w:eastAsia="Times New Roman" w:hAnsi="Times New Roman" w:cs="Times New Roman"/>
          <w:b/>
          <w:bCs/>
          <w:sz w:val="27"/>
          <w:szCs w:val="27"/>
          <w:lang w:val="en-IN" w:eastAsia="en-IN"/>
        </w:rPr>
      </w:pPr>
      <w:r w:rsidRPr="009B5A05">
        <w:rPr>
          <w:rFonts w:ascii="Times New Roman" w:eastAsia="Times New Roman" w:hAnsi="Times New Roman" w:cs="Times New Roman"/>
          <w:b/>
          <w:bCs/>
          <w:sz w:val="27"/>
          <w:szCs w:val="27"/>
          <w:lang w:val="en-IN" w:eastAsia="en-IN"/>
        </w:rPr>
        <w:t>Limitations</w:t>
      </w:r>
    </w:p>
    <w:p w14:paraId="5A1B5659" w14:textId="77777777" w:rsidR="008047CC" w:rsidRPr="009B5A05" w:rsidRDefault="008047CC" w:rsidP="008047CC">
      <w:pPr>
        <w:spacing w:before="100" w:beforeAutospacing="1" w:after="100" w:afterAutospacing="1" w:line="240" w:lineRule="auto"/>
        <w:rPr>
          <w:rFonts w:ascii="Times New Roman" w:eastAsia="Times New Roman" w:hAnsi="Times New Roman" w:cs="Times New Roman"/>
          <w:sz w:val="24"/>
          <w:szCs w:val="24"/>
          <w:lang w:val="en-IN" w:eastAsia="en-IN"/>
        </w:rPr>
      </w:pPr>
      <w:r w:rsidRPr="009B5A05">
        <w:rPr>
          <w:rFonts w:ascii="Times New Roman" w:eastAsia="Times New Roman" w:hAnsi="Times New Roman" w:cs="Times New Roman"/>
          <w:sz w:val="24"/>
          <w:szCs w:val="24"/>
          <w:lang w:val="en-IN" w:eastAsia="en-IN"/>
        </w:rPr>
        <w:t xml:space="preserve">This study is limited to 10 listed deposit money banks in Nigeria and covers the period 2010–2024. The findings may therefore not be generalized to unlisted banks, non-bank financial institutions or banks operating in other jurisdictions. The study relied on secondary data from </w:t>
      </w:r>
      <w:r w:rsidRPr="009B5A05">
        <w:rPr>
          <w:rFonts w:ascii="Times New Roman" w:eastAsia="Times New Roman" w:hAnsi="Times New Roman" w:cs="Times New Roman"/>
          <w:sz w:val="24"/>
          <w:szCs w:val="24"/>
          <w:lang w:val="en-IN" w:eastAsia="en-IN"/>
        </w:rPr>
        <w:lastRenderedPageBreak/>
        <w:t>published reports and regulatory sources, which may be affected by differences in disclosure practices across banks. Financial stability was measured using selected accounting-based indicators, namely non-performing loans ratio, current ratio and equity-to-total-assets ratio. Other market-based or macroeconomic measures of stability were not included. Future studies may extend the model by incorporating broader regulatory, governance and macroeconomic variables.</w:t>
      </w:r>
    </w:p>
    <w:p w14:paraId="65CC7D14" w14:textId="77777777" w:rsidR="008047CC" w:rsidRDefault="008047CC" w:rsidP="008047CC"/>
    <w:p w14:paraId="70E765EB" w14:textId="77777777" w:rsidR="008047CC" w:rsidRPr="000839CE" w:rsidRDefault="008047CC" w:rsidP="008047CC">
      <w:pPr>
        <w:spacing w:after="0" w:line="240" w:lineRule="auto"/>
        <w:rPr>
          <w:rFonts w:ascii="Times New Roman" w:hAnsi="Times New Roman" w:cs="Times New Roman"/>
          <w:b/>
        </w:rPr>
      </w:pPr>
      <w:bookmarkStart w:id="3" w:name="_Hlk232755622"/>
      <w:r w:rsidRPr="000839CE">
        <w:rPr>
          <w:rFonts w:ascii="Times New Roman" w:hAnsi="Times New Roman" w:cs="Times New Roman"/>
          <w:b/>
        </w:rPr>
        <w:t>Declaration of AI Use</w:t>
      </w:r>
    </w:p>
    <w:p w14:paraId="783DD9A9" w14:textId="77777777" w:rsidR="008047CC" w:rsidRPr="000839CE" w:rsidRDefault="008047CC" w:rsidP="008047CC">
      <w:pPr>
        <w:spacing w:after="0" w:line="240" w:lineRule="auto"/>
        <w:rPr>
          <w:rFonts w:ascii="Times New Roman" w:hAnsi="Times New Roman" w:cs="Times New Roman"/>
        </w:rPr>
      </w:pPr>
    </w:p>
    <w:p w14:paraId="77D41ACF" w14:textId="77777777" w:rsidR="008047CC" w:rsidRPr="000839CE" w:rsidRDefault="008047CC" w:rsidP="008047CC">
      <w:pPr>
        <w:spacing w:after="0" w:line="240" w:lineRule="auto"/>
        <w:jc w:val="both"/>
        <w:rPr>
          <w:rFonts w:ascii="Times New Roman" w:hAnsi="Times New Roman" w:cs="Times New Roman"/>
        </w:rPr>
      </w:pPr>
      <w:r w:rsidRPr="00C56790">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bookmarkEnd w:id="3"/>
    <w:p w14:paraId="1F155F21" w14:textId="77777777" w:rsidR="008047CC" w:rsidRDefault="008047CC" w:rsidP="002626AB">
      <w:pPr>
        <w:jc w:val="both"/>
        <w:rPr>
          <w:rFonts w:ascii="Times New Roman" w:hAnsi="Times New Roman" w:cs="Times New Roman"/>
          <w:sz w:val="24"/>
          <w:szCs w:val="24"/>
        </w:rPr>
      </w:pPr>
    </w:p>
    <w:p w14:paraId="11EF2612" w14:textId="77777777" w:rsidR="00A32E4E" w:rsidRPr="002626AB" w:rsidRDefault="00A32E4E" w:rsidP="002626AB">
      <w:pPr>
        <w:spacing w:after="0" w:line="240" w:lineRule="auto"/>
        <w:jc w:val="center"/>
        <w:rPr>
          <w:rFonts w:ascii="Times New Roman" w:hAnsi="Times New Roman" w:cs="Times New Roman"/>
          <w:sz w:val="24"/>
          <w:szCs w:val="24"/>
        </w:rPr>
      </w:pPr>
      <w:r w:rsidRPr="00A32E4E">
        <w:rPr>
          <w:rFonts w:ascii="Times New Roman" w:hAnsi="Times New Roman" w:cs="Times New Roman"/>
          <w:b/>
          <w:sz w:val="24"/>
          <w:szCs w:val="24"/>
        </w:rPr>
        <w:t>References</w:t>
      </w:r>
    </w:p>
    <w:p w14:paraId="1E94330B" w14:textId="77777777" w:rsidR="009D3187" w:rsidRPr="00953C9F" w:rsidRDefault="009D3187" w:rsidP="009D3187">
      <w:pPr>
        <w:pStyle w:val="Default"/>
        <w:ind w:left="720" w:hanging="720"/>
        <w:jc w:val="both"/>
        <w:rPr>
          <w:color w:val="auto"/>
        </w:rPr>
      </w:pPr>
      <w:r w:rsidRPr="00953C9F">
        <w:rPr>
          <w:color w:val="auto"/>
        </w:rPr>
        <w:t xml:space="preserve">Abubakar, A. H., Ahmed, A. A. K., Ab Rahim, R., &amp; Ahmed, Z. N. (2024). Profitability, inventory intensity and corporate tax avoidance in Nigeria: The moderating effect of institutional ownership. </w:t>
      </w:r>
      <w:r w:rsidRPr="00953C9F">
        <w:rPr>
          <w:rStyle w:val="Emphasis"/>
          <w:rFonts w:asciiTheme="majorBidi" w:hAnsiTheme="majorBidi" w:cstheme="majorBidi"/>
          <w:color w:val="auto"/>
        </w:rPr>
        <w:t>Capital Markets Review</w:t>
      </w:r>
      <w:r w:rsidRPr="00953C9F">
        <w:rPr>
          <w:color w:val="auto"/>
        </w:rPr>
        <w:t xml:space="preserve">, </w:t>
      </w:r>
      <w:r w:rsidRPr="00953C9F">
        <w:rPr>
          <w:rStyle w:val="Emphasis"/>
          <w:rFonts w:asciiTheme="majorBidi" w:hAnsiTheme="majorBidi" w:cstheme="majorBidi"/>
          <w:color w:val="auto"/>
        </w:rPr>
        <w:t>32</w:t>
      </w:r>
      <w:r w:rsidRPr="00953C9F">
        <w:rPr>
          <w:color w:val="auto"/>
        </w:rPr>
        <w:t>(2), 69–83.</w:t>
      </w:r>
    </w:p>
    <w:p w14:paraId="3676F0CF" w14:textId="77777777" w:rsidR="009D3187" w:rsidRPr="00953C9F" w:rsidRDefault="009D3187" w:rsidP="009D3187">
      <w:pPr>
        <w:pStyle w:val="Default"/>
        <w:ind w:left="720" w:hanging="720"/>
        <w:jc w:val="both"/>
        <w:rPr>
          <w:color w:val="auto"/>
        </w:rPr>
      </w:pPr>
      <w:r w:rsidRPr="00953C9F">
        <w:rPr>
          <w:color w:val="auto"/>
        </w:rPr>
        <w:t>Adam, B. M., Sarpong-</w:t>
      </w:r>
      <w:proofErr w:type="spellStart"/>
      <w:r w:rsidRPr="00953C9F">
        <w:rPr>
          <w:color w:val="auto"/>
        </w:rPr>
        <w:t>Kumankoma</w:t>
      </w:r>
      <w:proofErr w:type="spellEnd"/>
      <w:r w:rsidRPr="00953C9F">
        <w:rPr>
          <w:color w:val="auto"/>
        </w:rPr>
        <w:t xml:space="preserve">, E., &amp; Fiador, V. (2024). Economic freedom, corruption and bank stability: evidence from sub-Saharan Africa. </w:t>
      </w:r>
      <w:r w:rsidRPr="00953C9F">
        <w:rPr>
          <w:i/>
          <w:iCs/>
          <w:color w:val="auto"/>
        </w:rPr>
        <w:t>Journal of Financial Crime</w:t>
      </w:r>
      <w:r w:rsidRPr="00953C9F">
        <w:rPr>
          <w:color w:val="auto"/>
        </w:rPr>
        <w:t xml:space="preserve">, </w:t>
      </w:r>
      <w:r w:rsidRPr="00953C9F">
        <w:rPr>
          <w:i/>
          <w:iCs/>
          <w:color w:val="auto"/>
        </w:rPr>
        <w:t>31</w:t>
      </w:r>
      <w:r w:rsidRPr="00953C9F">
        <w:rPr>
          <w:color w:val="auto"/>
        </w:rPr>
        <w:t xml:space="preserve">(4), 781-794. </w:t>
      </w:r>
      <w:hyperlink r:id="rId7" w:history="1">
        <w:r w:rsidRPr="00953C9F">
          <w:rPr>
            <w:rStyle w:val="Hyperlink"/>
            <w:rFonts w:asciiTheme="majorBidi" w:eastAsia="Times New Roman" w:hAnsiTheme="majorBidi" w:cstheme="majorBidi"/>
            <w:color w:val="auto"/>
            <w14:ligatures w14:val="none"/>
          </w:rPr>
          <w:t>https://doi.org/10.1108/JFC-04-2023-0087</w:t>
        </w:r>
      </w:hyperlink>
    </w:p>
    <w:p w14:paraId="0C00F770" w14:textId="77777777" w:rsidR="009D3187" w:rsidRPr="00953C9F" w:rsidRDefault="009D3187" w:rsidP="009D3187">
      <w:pPr>
        <w:pStyle w:val="Default"/>
        <w:ind w:left="720" w:hanging="720"/>
        <w:jc w:val="both"/>
        <w:rPr>
          <w:color w:val="auto"/>
        </w:rPr>
      </w:pPr>
      <w:r w:rsidRPr="00953C9F">
        <w:rPr>
          <w:color w:val="auto"/>
        </w:rPr>
        <w:t xml:space="preserve">Adebayo, A. I., &amp; </w:t>
      </w:r>
      <w:proofErr w:type="spellStart"/>
      <w:r w:rsidRPr="00953C9F">
        <w:rPr>
          <w:color w:val="auto"/>
        </w:rPr>
        <w:t>Asiriuwa</w:t>
      </w:r>
      <w:proofErr w:type="spellEnd"/>
      <w:r w:rsidRPr="00953C9F">
        <w:rPr>
          <w:color w:val="auto"/>
        </w:rPr>
        <w:t xml:space="preserve">, O. (2023). Corporate tax planning and firm value: Evidence from Nigeria. </w:t>
      </w:r>
      <w:r w:rsidRPr="00953C9F">
        <w:rPr>
          <w:rStyle w:val="Emphasis"/>
          <w:rFonts w:asciiTheme="majorBidi" w:hAnsiTheme="majorBidi" w:cstheme="majorBidi"/>
          <w:color w:val="auto"/>
        </w:rPr>
        <w:t>Journal of Accounting and Taxation, 15</w:t>
      </w:r>
      <w:r w:rsidRPr="00953C9F">
        <w:rPr>
          <w:color w:val="auto"/>
        </w:rPr>
        <w:t xml:space="preserve">(1), 12–24. </w:t>
      </w:r>
      <w:hyperlink r:id="rId8" w:history="1">
        <w:r w:rsidRPr="00953C9F">
          <w:rPr>
            <w:rStyle w:val="Hyperlink"/>
            <w:rFonts w:asciiTheme="majorBidi" w:hAnsiTheme="majorBidi" w:cstheme="majorBidi"/>
            <w:color w:val="auto"/>
          </w:rPr>
          <w:t>https://doi.org/10.5897/JAT2023.0571</w:t>
        </w:r>
      </w:hyperlink>
    </w:p>
    <w:p w14:paraId="1C214D0B" w14:textId="77777777" w:rsidR="009D3187" w:rsidRPr="00953C9F" w:rsidRDefault="009D3187" w:rsidP="009D3187">
      <w:pPr>
        <w:pStyle w:val="Default"/>
        <w:ind w:left="720" w:hanging="720"/>
        <w:jc w:val="both"/>
        <w:rPr>
          <w:color w:val="auto"/>
        </w:rPr>
      </w:pPr>
      <w:r w:rsidRPr="00953C9F">
        <w:rPr>
          <w:color w:val="auto"/>
        </w:rPr>
        <w:t xml:space="preserve">Adebayo, I. K., Oladipo, O. A., &amp; Olayiwola, A. B. (2024). </w:t>
      </w:r>
      <w:r w:rsidRPr="00953C9F">
        <w:rPr>
          <w:rStyle w:val="Emphasis"/>
          <w:rFonts w:asciiTheme="majorBidi" w:hAnsiTheme="majorBidi" w:cstheme="majorBidi"/>
          <w:color w:val="auto"/>
        </w:rPr>
        <w:t>Corporate tax avoidance and firm risk in Nigeria: Evidence from quoted firms in the NSE-30</w:t>
      </w:r>
      <w:r w:rsidRPr="00953C9F">
        <w:rPr>
          <w:i/>
          <w:iCs/>
          <w:color w:val="auto"/>
        </w:rPr>
        <w:t>. Journal of Accounting and Taxation, 16</w:t>
      </w:r>
      <w:r w:rsidRPr="00953C9F">
        <w:rPr>
          <w:color w:val="auto"/>
        </w:rPr>
        <w:t>(1), 45–58.</w:t>
      </w:r>
    </w:p>
    <w:p w14:paraId="4495722B" w14:textId="77777777" w:rsidR="009D3187" w:rsidRPr="00953C9F" w:rsidRDefault="009D3187" w:rsidP="009D3187">
      <w:pPr>
        <w:pStyle w:val="Default"/>
        <w:ind w:left="720" w:hanging="720"/>
        <w:jc w:val="both"/>
        <w:rPr>
          <w:color w:val="auto"/>
        </w:rPr>
      </w:pPr>
      <w:r w:rsidRPr="00953C9F">
        <w:rPr>
          <w:color w:val="auto"/>
        </w:rPr>
        <w:t xml:space="preserve">Adeosun, O. T., Igbekoyi, O. E., </w:t>
      </w:r>
      <w:proofErr w:type="spellStart"/>
      <w:r w:rsidRPr="00953C9F">
        <w:rPr>
          <w:color w:val="auto"/>
        </w:rPr>
        <w:t>Akinadewo</w:t>
      </w:r>
      <w:proofErr w:type="spellEnd"/>
      <w:r w:rsidRPr="00953C9F">
        <w:rPr>
          <w:color w:val="auto"/>
        </w:rPr>
        <w:t xml:space="preserve">, I. S., Adebowale, O. J., &amp; Adeyemo, F. H. (2025). How does risk management influence financial sustainability of listed deposit money banks in Nigeria? </w:t>
      </w:r>
      <w:r w:rsidRPr="00953C9F">
        <w:rPr>
          <w:rStyle w:val="Emphasis"/>
          <w:rFonts w:asciiTheme="majorBidi" w:hAnsiTheme="majorBidi" w:cstheme="majorBidi"/>
          <w:color w:val="auto"/>
        </w:rPr>
        <w:t>African Journal of Business and Economic Development, 4</w:t>
      </w:r>
      <w:r w:rsidRPr="00953C9F">
        <w:rPr>
          <w:color w:val="auto"/>
        </w:rPr>
        <w:t xml:space="preserve">(5), 25–44. </w:t>
      </w:r>
      <w:hyperlink r:id="rId9" w:history="1">
        <w:r w:rsidRPr="00953C9F">
          <w:rPr>
            <w:rStyle w:val="Hyperlink"/>
            <w:rFonts w:asciiTheme="majorBidi" w:hAnsiTheme="majorBidi" w:cstheme="majorBidi"/>
            <w:color w:val="auto"/>
          </w:rPr>
          <w:t>https://doi.org/10.5281/zenodo.14742659</w:t>
        </w:r>
      </w:hyperlink>
    </w:p>
    <w:p w14:paraId="3449A6ED" w14:textId="77777777" w:rsidR="009D3187" w:rsidRPr="00953C9F" w:rsidRDefault="009D3187" w:rsidP="009D3187">
      <w:pPr>
        <w:pStyle w:val="Default"/>
        <w:ind w:left="720" w:hanging="720"/>
        <w:jc w:val="both"/>
        <w:rPr>
          <w:color w:val="auto"/>
        </w:rPr>
      </w:pPr>
      <w:r w:rsidRPr="00953C9F">
        <w:rPr>
          <w:color w:val="auto"/>
        </w:rPr>
        <w:t xml:space="preserve">Akingbade, P. B. (2025). Banking system stability and economic growth in Nigeria. </w:t>
      </w:r>
      <w:r w:rsidRPr="00953C9F">
        <w:rPr>
          <w:i/>
          <w:iCs/>
          <w:color w:val="auto"/>
        </w:rPr>
        <w:t>African Banking and Finance Review Journal</w:t>
      </w:r>
      <w:r w:rsidRPr="00953C9F">
        <w:rPr>
          <w:color w:val="auto"/>
        </w:rPr>
        <w:t xml:space="preserve">, </w:t>
      </w:r>
      <w:r w:rsidRPr="00953C9F">
        <w:rPr>
          <w:i/>
          <w:iCs/>
          <w:color w:val="auto"/>
        </w:rPr>
        <w:t>20</w:t>
      </w:r>
      <w:r w:rsidRPr="00953C9F">
        <w:rPr>
          <w:color w:val="auto"/>
        </w:rPr>
        <w:t xml:space="preserve">(6), 1-21. Retrieved from </w:t>
      </w:r>
      <w:hyperlink r:id="rId10" w:history="1">
        <w:r w:rsidRPr="00953C9F">
          <w:rPr>
            <w:rStyle w:val="Hyperlink"/>
            <w:rFonts w:asciiTheme="majorBidi" w:hAnsiTheme="majorBidi" w:cstheme="majorBidi"/>
            <w:color w:val="auto"/>
          </w:rPr>
          <w:t>https://www.abfrjournal.com/index.php/abfr/article/view/343</w:t>
        </w:r>
      </w:hyperlink>
    </w:p>
    <w:p w14:paraId="08959AA2" w14:textId="77777777" w:rsidR="009D3187" w:rsidRPr="00953C9F" w:rsidRDefault="009D3187" w:rsidP="009D3187">
      <w:pPr>
        <w:pStyle w:val="Default"/>
        <w:ind w:left="720" w:hanging="720"/>
        <w:jc w:val="both"/>
        <w:rPr>
          <w:color w:val="auto"/>
          <w:lang w:val="fr-FR"/>
        </w:rPr>
      </w:pPr>
      <w:r w:rsidRPr="00953C9F">
        <w:rPr>
          <w:color w:val="auto"/>
        </w:rPr>
        <w:t xml:space="preserve">Ali-Momoh, B. O., Samson, F. B., Oluwaseun, D.-O. B., Elizabeth, A. A., &amp; Moses, S. T. (2024). Corporate practice and financial stability of listed deposit money banks in Nigeria. </w:t>
      </w:r>
      <w:r w:rsidRPr="00953C9F">
        <w:rPr>
          <w:rStyle w:val="Emphasis"/>
          <w:rFonts w:asciiTheme="majorBidi" w:hAnsiTheme="majorBidi" w:cstheme="majorBidi"/>
          <w:color w:val="auto"/>
          <w:lang w:val="fr-FR"/>
        </w:rPr>
        <w:t xml:space="preserve">Acta </w:t>
      </w:r>
      <w:proofErr w:type="spellStart"/>
      <w:r w:rsidRPr="00953C9F">
        <w:rPr>
          <w:rStyle w:val="Emphasis"/>
          <w:rFonts w:asciiTheme="majorBidi" w:hAnsiTheme="majorBidi" w:cstheme="majorBidi"/>
          <w:color w:val="auto"/>
          <w:lang w:val="fr-FR"/>
        </w:rPr>
        <w:t>Universitatis</w:t>
      </w:r>
      <w:proofErr w:type="spellEnd"/>
      <w:r w:rsidRPr="00953C9F">
        <w:rPr>
          <w:rStyle w:val="Emphasis"/>
          <w:rFonts w:asciiTheme="majorBidi" w:hAnsiTheme="majorBidi" w:cstheme="majorBidi"/>
          <w:color w:val="auto"/>
          <w:lang w:val="fr-FR"/>
        </w:rPr>
        <w:t xml:space="preserve"> </w:t>
      </w:r>
      <w:proofErr w:type="spellStart"/>
      <w:r w:rsidRPr="00953C9F">
        <w:rPr>
          <w:rStyle w:val="Emphasis"/>
          <w:rFonts w:asciiTheme="majorBidi" w:hAnsiTheme="majorBidi" w:cstheme="majorBidi"/>
          <w:color w:val="auto"/>
          <w:lang w:val="fr-FR"/>
        </w:rPr>
        <w:t>Danubius</w:t>
      </w:r>
      <w:proofErr w:type="spellEnd"/>
      <w:r w:rsidRPr="00953C9F">
        <w:rPr>
          <w:rStyle w:val="Emphasis"/>
          <w:rFonts w:asciiTheme="majorBidi" w:hAnsiTheme="majorBidi" w:cstheme="majorBidi"/>
          <w:color w:val="auto"/>
          <w:lang w:val="fr-FR"/>
        </w:rPr>
        <w:t xml:space="preserve">. </w:t>
      </w:r>
      <w:proofErr w:type="spellStart"/>
      <w:r w:rsidRPr="00953C9F">
        <w:rPr>
          <w:rStyle w:val="Emphasis"/>
          <w:rFonts w:asciiTheme="majorBidi" w:hAnsiTheme="majorBidi" w:cstheme="majorBidi"/>
          <w:color w:val="auto"/>
          <w:lang w:val="fr-FR"/>
        </w:rPr>
        <w:t>Œconomica</w:t>
      </w:r>
      <w:proofErr w:type="spellEnd"/>
      <w:r w:rsidRPr="00953C9F">
        <w:rPr>
          <w:rStyle w:val="Emphasis"/>
          <w:rFonts w:asciiTheme="majorBidi" w:hAnsiTheme="majorBidi" w:cstheme="majorBidi"/>
          <w:color w:val="auto"/>
          <w:lang w:val="fr-FR"/>
        </w:rPr>
        <w:t>, 20</w:t>
      </w:r>
      <w:r w:rsidRPr="00953C9F">
        <w:rPr>
          <w:color w:val="auto"/>
          <w:lang w:val="fr-FR"/>
        </w:rPr>
        <w:t xml:space="preserve">(3), 217–230. </w:t>
      </w:r>
      <w:hyperlink r:id="rId11" w:tgtFrame="_new" w:history="1">
        <w:r w:rsidRPr="00953C9F">
          <w:rPr>
            <w:rStyle w:val="Hyperlink"/>
            <w:rFonts w:asciiTheme="majorBidi" w:hAnsiTheme="majorBidi" w:cstheme="majorBidi"/>
            <w:color w:val="auto"/>
            <w:lang w:val="fr-FR"/>
          </w:rPr>
          <w:t>https://www.dj.univ-danubius.ro/index.php/AUDOE/article/view/2841</w:t>
        </w:r>
      </w:hyperlink>
    </w:p>
    <w:p w14:paraId="6E59E5BB" w14:textId="77777777" w:rsidR="009D3187" w:rsidRPr="00953C9F" w:rsidRDefault="009D3187" w:rsidP="009D3187">
      <w:pPr>
        <w:pStyle w:val="Default"/>
        <w:ind w:left="720" w:hanging="720"/>
        <w:jc w:val="both"/>
        <w:rPr>
          <w:color w:val="auto"/>
        </w:rPr>
      </w:pPr>
      <w:proofErr w:type="spellStart"/>
      <w:r w:rsidRPr="00953C9F">
        <w:rPr>
          <w:color w:val="auto"/>
          <w:lang w:val="fr-FR"/>
        </w:rPr>
        <w:t>Awotomilusi</w:t>
      </w:r>
      <w:proofErr w:type="spellEnd"/>
      <w:r w:rsidRPr="00953C9F">
        <w:rPr>
          <w:color w:val="auto"/>
          <w:lang w:val="fr-FR"/>
        </w:rPr>
        <w:t xml:space="preserve">, N.S., &amp; </w:t>
      </w:r>
      <w:proofErr w:type="spellStart"/>
      <w:r w:rsidRPr="00953C9F">
        <w:rPr>
          <w:color w:val="auto"/>
          <w:lang w:val="fr-FR"/>
        </w:rPr>
        <w:t>Ajoloko</w:t>
      </w:r>
      <w:proofErr w:type="spellEnd"/>
      <w:r w:rsidRPr="00953C9F">
        <w:rPr>
          <w:color w:val="auto"/>
          <w:lang w:val="fr-FR"/>
        </w:rPr>
        <w:t xml:space="preserve">, M. O. (2021). </w:t>
      </w:r>
      <w:r w:rsidRPr="00953C9F">
        <w:rPr>
          <w:color w:val="auto"/>
        </w:rPr>
        <w:t xml:space="preserve">Corporate governance and performance of Nigerian Deposit Money Banks. </w:t>
      </w:r>
      <w:r w:rsidRPr="00953C9F">
        <w:rPr>
          <w:i/>
          <w:iCs/>
          <w:color w:val="auto"/>
        </w:rPr>
        <w:t xml:space="preserve">AFAR Multidisciplinary Journal of Management Sciences (MJMS), </w:t>
      </w:r>
      <w:r w:rsidRPr="00953C9F">
        <w:rPr>
          <w:color w:val="auto"/>
        </w:rPr>
        <w:t xml:space="preserve">3(3), 29-41.  </w:t>
      </w:r>
    </w:p>
    <w:p w14:paraId="09CF2F92" w14:textId="77777777" w:rsidR="009D3187" w:rsidRPr="00953C9F" w:rsidRDefault="009D3187" w:rsidP="009D3187">
      <w:pPr>
        <w:pStyle w:val="Default"/>
        <w:ind w:left="720" w:hanging="720"/>
        <w:jc w:val="both"/>
        <w:rPr>
          <w:color w:val="auto"/>
        </w:rPr>
      </w:pPr>
      <w:r w:rsidRPr="00953C9F">
        <w:rPr>
          <w:color w:val="auto"/>
        </w:rPr>
        <w:t xml:space="preserve">Barrett, J. (2023). </w:t>
      </w:r>
      <w:r w:rsidRPr="00953C9F">
        <w:rPr>
          <w:rStyle w:val="Emphasis"/>
          <w:rFonts w:asciiTheme="majorBidi" w:hAnsiTheme="majorBidi" w:cstheme="majorBidi"/>
          <w:color w:val="auto"/>
        </w:rPr>
        <w:t>Silicon Valley Bank: Why did it collapse and is this the start of a banking crisis?</w:t>
      </w:r>
      <w:r w:rsidRPr="00953C9F">
        <w:rPr>
          <w:color w:val="auto"/>
        </w:rPr>
        <w:t xml:space="preserve"> </w:t>
      </w:r>
      <w:r w:rsidRPr="00953C9F">
        <w:rPr>
          <w:rStyle w:val="Emphasis"/>
          <w:rFonts w:asciiTheme="majorBidi" w:hAnsiTheme="majorBidi" w:cstheme="majorBidi"/>
          <w:color w:val="auto"/>
        </w:rPr>
        <w:t>The Guardian.</w:t>
      </w:r>
      <w:r w:rsidRPr="00953C9F">
        <w:rPr>
          <w:color w:val="auto"/>
        </w:rPr>
        <w:t xml:space="preserve"> </w:t>
      </w:r>
      <w:hyperlink r:id="rId12" w:history="1">
        <w:r w:rsidRPr="00953C9F">
          <w:rPr>
            <w:rStyle w:val="Hyperlink"/>
            <w:rFonts w:asciiTheme="majorBidi" w:hAnsiTheme="majorBidi" w:cstheme="majorBidi"/>
            <w:color w:val="auto"/>
          </w:rPr>
          <w:t>https://www.theguardian.com/business</w:t>
        </w:r>
      </w:hyperlink>
    </w:p>
    <w:p w14:paraId="6C60B899" w14:textId="77777777" w:rsidR="009D3187" w:rsidRPr="00953C9F" w:rsidRDefault="009D3187" w:rsidP="009D3187">
      <w:pPr>
        <w:pStyle w:val="Default"/>
        <w:ind w:left="720" w:hanging="720"/>
        <w:jc w:val="both"/>
        <w:rPr>
          <w:color w:val="auto"/>
        </w:rPr>
      </w:pPr>
      <w:r w:rsidRPr="00953C9F">
        <w:rPr>
          <w:color w:val="auto"/>
        </w:rPr>
        <w:lastRenderedPageBreak/>
        <w:t xml:space="preserve">Darsani, P. A., &amp; </w:t>
      </w:r>
      <w:proofErr w:type="spellStart"/>
      <w:r w:rsidRPr="00953C9F">
        <w:rPr>
          <w:color w:val="auto"/>
        </w:rPr>
        <w:t>Sukartha</w:t>
      </w:r>
      <w:proofErr w:type="spellEnd"/>
      <w:r w:rsidRPr="00953C9F">
        <w:rPr>
          <w:color w:val="auto"/>
        </w:rPr>
        <w:t xml:space="preserve">, I. M. (2021). The effect of institutional ownership, profitability, leverage and capital intensity ratio on tax avoidance. </w:t>
      </w:r>
      <w:r w:rsidRPr="00953C9F">
        <w:rPr>
          <w:i/>
          <w:iCs/>
          <w:color w:val="auto"/>
        </w:rPr>
        <w:t>American Journal of Humanities and Social Sciences Research (AJHSSR)</w:t>
      </w:r>
      <w:r w:rsidRPr="00953C9F">
        <w:rPr>
          <w:color w:val="auto"/>
        </w:rPr>
        <w:t xml:space="preserve">, </w:t>
      </w:r>
      <w:r w:rsidRPr="00953C9F">
        <w:rPr>
          <w:i/>
          <w:iCs/>
          <w:color w:val="auto"/>
        </w:rPr>
        <w:t>5</w:t>
      </w:r>
      <w:r w:rsidRPr="00953C9F">
        <w:rPr>
          <w:color w:val="auto"/>
        </w:rPr>
        <w:t>(1), 13-22.</w:t>
      </w:r>
    </w:p>
    <w:p w14:paraId="5596A723" w14:textId="77777777" w:rsidR="009D3187" w:rsidRPr="00953C9F" w:rsidRDefault="009D3187" w:rsidP="009D3187">
      <w:pPr>
        <w:pStyle w:val="Default"/>
        <w:ind w:left="720" w:hanging="720"/>
        <w:jc w:val="both"/>
        <w:rPr>
          <w:color w:val="auto"/>
        </w:rPr>
      </w:pPr>
      <w:proofErr w:type="spellStart"/>
      <w:r w:rsidRPr="00953C9F">
        <w:rPr>
          <w:color w:val="auto"/>
        </w:rPr>
        <w:t>Durguti</w:t>
      </w:r>
      <w:proofErr w:type="spellEnd"/>
      <w:r w:rsidRPr="00953C9F">
        <w:rPr>
          <w:color w:val="auto"/>
        </w:rPr>
        <w:t xml:space="preserve">, E. A., Meka, E., </w:t>
      </w:r>
      <w:proofErr w:type="spellStart"/>
      <w:r w:rsidRPr="00953C9F">
        <w:rPr>
          <w:color w:val="auto"/>
        </w:rPr>
        <w:t>Idrrisu</w:t>
      </w:r>
      <w:proofErr w:type="spellEnd"/>
      <w:r w:rsidRPr="00953C9F">
        <w:rPr>
          <w:color w:val="auto"/>
        </w:rPr>
        <w:t xml:space="preserve">, K., &amp; Spahiu, M. J. (2025). Banking stability under governance factors in see: examining capital adequacy, lending rates, and governance quality using z-score. </w:t>
      </w:r>
      <w:proofErr w:type="spellStart"/>
      <w:r w:rsidRPr="00953C9F">
        <w:rPr>
          <w:i/>
          <w:iCs/>
          <w:color w:val="auto"/>
        </w:rPr>
        <w:t>Ekonomika</w:t>
      </w:r>
      <w:proofErr w:type="spellEnd"/>
      <w:r w:rsidRPr="00953C9F">
        <w:rPr>
          <w:color w:val="auto"/>
        </w:rPr>
        <w:t xml:space="preserve">, </w:t>
      </w:r>
      <w:r w:rsidRPr="00953C9F">
        <w:rPr>
          <w:i/>
          <w:iCs/>
          <w:color w:val="auto"/>
        </w:rPr>
        <w:t>104</w:t>
      </w:r>
      <w:r w:rsidRPr="00953C9F">
        <w:rPr>
          <w:color w:val="auto"/>
        </w:rPr>
        <w:t>(3), 124-141.</w:t>
      </w:r>
    </w:p>
    <w:p w14:paraId="0F96D6BD" w14:textId="77777777" w:rsidR="009D3187" w:rsidRPr="00953C9F" w:rsidRDefault="009D3187" w:rsidP="009D3187">
      <w:pPr>
        <w:pStyle w:val="Default"/>
        <w:ind w:left="720" w:hanging="720"/>
        <w:jc w:val="both"/>
        <w:rPr>
          <w:color w:val="auto"/>
          <w:lang w:val="fr-FR"/>
        </w:rPr>
      </w:pPr>
      <w:proofErr w:type="spellStart"/>
      <w:r w:rsidRPr="00953C9F">
        <w:rPr>
          <w:color w:val="auto"/>
        </w:rPr>
        <w:t>Ekadjaja</w:t>
      </w:r>
      <w:proofErr w:type="spellEnd"/>
      <w:r w:rsidRPr="00953C9F">
        <w:rPr>
          <w:color w:val="auto"/>
        </w:rPr>
        <w:t xml:space="preserve">, M., Putera Siswanto, H., </w:t>
      </w:r>
      <w:proofErr w:type="spellStart"/>
      <w:r w:rsidRPr="00953C9F">
        <w:rPr>
          <w:color w:val="auto"/>
        </w:rPr>
        <w:t>Ekadjaja</w:t>
      </w:r>
      <w:proofErr w:type="spellEnd"/>
      <w:r w:rsidRPr="00953C9F">
        <w:rPr>
          <w:color w:val="auto"/>
        </w:rPr>
        <w:t xml:space="preserve">, A., &amp; Rorlen, R. (2021). The effects of capital adequacy, credit risk, and liquidity risk on banks’ financial distress in Indonesia. In </w:t>
      </w:r>
      <w:r w:rsidRPr="00953C9F">
        <w:rPr>
          <w:rStyle w:val="Emphasis"/>
          <w:rFonts w:asciiTheme="majorBidi" w:hAnsiTheme="majorBidi" w:cstheme="majorBidi"/>
          <w:color w:val="auto"/>
        </w:rPr>
        <w:t>Proceedings of the 3rd Asia Pacific International Conference of Management and Business Science (AEBMR)</w:t>
      </w:r>
      <w:r w:rsidRPr="00953C9F">
        <w:rPr>
          <w:color w:val="auto"/>
        </w:rPr>
        <w:t xml:space="preserve">. </w:t>
      </w:r>
      <w:hyperlink r:id="rId13" w:history="1">
        <w:r w:rsidRPr="00953C9F">
          <w:rPr>
            <w:rStyle w:val="Hyperlink"/>
            <w:rFonts w:asciiTheme="majorBidi" w:hAnsiTheme="majorBidi" w:cstheme="majorBidi"/>
            <w:color w:val="auto"/>
            <w:lang w:val="fr-FR"/>
          </w:rPr>
          <w:t>https://doi.org/10.2991/aebmr.k.210507.059</w:t>
        </w:r>
      </w:hyperlink>
    </w:p>
    <w:p w14:paraId="28B8CF27" w14:textId="77777777" w:rsidR="009D3187" w:rsidRPr="00953C9F" w:rsidRDefault="009D3187" w:rsidP="009D3187">
      <w:pPr>
        <w:pStyle w:val="Default"/>
        <w:ind w:left="720" w:hanging="720"/>
        <w:jc w:val="both"/>
        <w:rPr>
          <w:color w:val="auto"/>
        </w:rPr>
      </w:pPr>
      <w:proofErr w:type="spellStart"/>
      <w:r w:rsidRPr="00953C9F">
        <w:rPr>
          <w:color w:val="auto"/>
          <w:lang w:val="fr-FR"/>
        </w:rPr>
        <w:t>Erhijakpor</w:t>
      </w:r>
      <w:proofErr w:type="spellEnd"/>
      <w:r w:rsidRPr="00953C9F">
        <w:rPr>
          <w:color w:val="auto"/>
          <w:lang w:val="fr-FR"/>
        </w:rPr>
        <w:t xml:space="preserve">, A. E., &amp; </w:t>
      </w:r>
      <w:proofErr w:type="spellStart"/>
      <w:r w:rsidRPr="00953C9F">
        <w:rPr>
          <w:color w:val="auto"/>
          <w:lang w:val="fr-FR"/>
        </w:rPr>
        <w:t>Eyamu</w:t>
      </w:r>
      <w:proofErr w:type="spellEnd"/>
      <w:r w:rsidRPr="00953C9F">
        <w:rPr>
          <w:color w:val="auto"/>
          <w:lang w:val="fr-FR"/>
        </w:rPr>
        <w:t xml:space="preserve">, F. O. (2025). </w:t>
      </w:r>
      <w:r w:rsidRPr="00953C9F">
        <w:rPr>
          <w:color w:val="auto"/>
        </w:rPr>
        <w:t xml:space="preserve">Financial institutions’ regulation, banking sector competitiveness and stability of the banking sector in Nigeria. </w:t>
      </w:r>
      <w:r w:rsidRPr="00953C9F">
        <w:rPr>
          <w:i/>
          <w:iCs/>
          <w:color w:val="auto"/>
        </w:rPr>
        <w:t>Journal of Accounting, Finance, and FinTech Advancements</w:t>
      </w:r>
      <w:r w:rsidRPr="00953C9F">
        <w:rPr>
          <w:color w:val="auto"/>
        </w:rPr>
        <w:t xml:space="preserve">, </w:t>
      </w:r>
      <w:r w:rsidRPr="00953C9F">
        <w:rPr>
          <w:i/>
          <w:iCs/>
          <w:color w:val="auto"/>
        </w:rPr>
        <w:t>1</w:t>
      </w:r>
      <w:r w:rsidRPr="00953C9F">
        <w:rPr>
          <w:color w:val="auto"/>
        </w:rPr>
        <w:t xml:space="preserve">(1), 1-12. Retrieved from </w:t>
      </w:r>
      <w:hyperlink r:id="rId14" w:history="1">
        <w:r w:rsidRPr="00953C9F">
          <w:rPr>
            <w:rStyle w:val="Hyperlink"/>
            <w:rFonts w:asciiTheme="majorBidi" w:hAnsiTheme="majorBidi" w:cstheme="majorBidi"/>
            <w:color w:val="auto"/>
          </w:rPr>
          <w:t>https://ojs.proaksara.com/index.php/jaffa/article/view/7</w:t>
        </w:r>
      </w:hyperlink>
    </w:p>
    <w:p w14:paraId="54EFD160" w14:textId="77777777" w:rsidR="009D3187" w:rsidRPr="00953C9F" w:rsidRDefault="009D3187" w:rsidP="009D3187">
      <w:pPr>
        <w:pStyle w:val="Default"/>
        <w:ind w:left="720" w:hanging="720"/>
        <w:jc w:val="both"/>
        <w:rPr>
          <w:color w:val="auto"/>
        </w:rPr>
      </w:pPr>
      <w:proofErr w:type="spellStart"/>
      <w:r w:rsidRPr="00953C9F">
        <w:rPr>
          <w:color w:val="auto"/>
        </w:rPr>
        <w:t>Febrianto</w:t>
      </w:r>
      <w:proofErr w:type="spellEnd"/>
      <w:r w:rsidRPr="00953C9F">
        <w:rPr>
          <w:color w:val="auto"/>
        </w:rPr>
        <w:t xml:space="preserve">, K. J., Diana, N., &amp; </w:t>
      </w:r>
      <w:proofErr w:type="spellStart"/>
      <w:r w:rsidRPr="00953C9F">
        <w:rPr>
          <w:color w:val="auto"/>
        </w:rPr>
        <w:t>Fakhriyyah</w:t>
      </w:r>
      <w:proofErr w:type="spellEnd"/>
      <w:r w:rsidRPr="00953C9F">
        <w:rPr>
          <w:color w:val="auto"/>
        </w:rPr>
        <w:t xml:space="preserve">, D. D. (2024). The effect of leverage and liquidity on tax avoidance with inventory intensity as a moderating variable. </w:t>
      </w:r>
      <w:r w:rsidRPr="00953C9F">
        <w:rPr>
          <w:rStyle w:val="Emphasis"/>
          <w:rFonts w:asciiTheme="majorBidi" w:hAnsiTheme="majorBidi" w:cstheme="majorBidi"/>
          <w:color w:val="auto"/>
        </w:rPr>
        <w:t>e-</w:t>
      </w:r>
      <w:proofErr w:type="spellStart"/>
      <w:r w:rsidRPr="00953C9F">
        <w:rPr>
          <w:rStyle w:val="Emphasis"/>
          <w:rFonts w:asciiTheme="majorBidi" w:hAnsiTheme="majorBidi" w:cstheme="majorBidi"/>
          <w:color w:val="auto"/>
        </w:rPr>
        <w:t>Jurnal</w:t>
      </w:r>
      <w:proofErr w:type="spellEnd"/>
      <w:r w:rsidRPr="00953C9F">
        <w:rPr>
          <w:rStyle w:val="Emphasis"/>
          <w:rFonts w:asciiTheme="majorBidi" w:hAnsiTheme="majorBidi" w:cstheme="majorBidi"/>
          <w:color w:val="auto"/>
        </w:rPr>
        <w:t xml:space="preserve"> </w:t>
      </w:r>
      <w:proofErr w:type="spellStart"/>
      <w:r w:rsidRPr="00953C9F">
        <w:rPr>
          <w:rStyle w:val="Emphasis"/>
          <w:rFonts w:asciiTheme="majorBidi" w:hAnsiTheme="majorBidi" w:cstheme="majorBidi"/>
          <w:color w:val="auto"/>
        </w:rPr>
        <w:t>Ilmiah</w:t>
      </w:r>
      <w:proofErr w:type="spellEnd"/>
      <w:r w:rsidRPr="00953C9F">
        <w:rPr>
          <w:rStyle w:val="Emphasis"/>
          <w:rFonts w:asciiTheme="majorBidi" w:hAnsiTheme="majorBidi" w:cstheme="majorBidi"/>
          <w:color w:val="auto"/>
        </w:rPr>
        <w:t xml:space="preserve"> Riset Akuntansi</w:t>
      </w:r>
      <w:r w:rsidRPr="00953C9F">
        <w:rPr>
          <w:color w:val="auto"/>
        </w:rPr>
        <w:t xml:space="preserve">, </w:t>
      </w:r>
      <w:r w:rsidRPr="00953C9F">
        <w:rPr>
          <w:rStyle w:val="Emphasis"/>
          <w:rFonts w:asciiTheme="majorBidi" w:hAnsiTheme="majorBidi" w:cstheme="majorBidi"/>
          <w:color w:val="auto"/>
        </w:rPr>
        <w:t>13</w:t>
      </w:r>
      <w:r w:rsidRPr="00953C9F">
        <w:rPr>
          <w:color w:val="auto"/>
        </w:rPr>
        <w:t>(01), 434–444.</w:t>
      </w:r>
    </w:p>
    <w:p w14:paraId="0F403149" w14:textId="77777777" w:rsidR="009D3187" w:rsidRPr="00953C9F" w:rsidRDefault="009D3187" w:rsidP="009D3187">
      <w:pPr>
        <w:pStyle w:val="Default"/>
        <w:ind w:left="720" w:hanging="720"/>
        <w:jc w:val="both"/>
        <w:rPr>
          <w:color w:val="auto"/>
        </w:rPr>
      </w:pPr>
      <w:r w:rsidRPr="00953C9F">
        <w:rPr>
          <w:color w:val="auto"/>
        </w:rPr>
        <w:t xml:space="preserve">Festus Taiwo Solanke, Sunday </w:t>
      </w:r>
      <w:proofErr w:type="spellStart"/>
      <w:r w:rsidRPr="00953C9F">
        <w:rPr>
          <w:color w:val="auto"/>
        </w:rPr>
        <w:t>Chiemeriwo</w:t>
      </w:r>
      <w:proofErr w:type="spellEnd"/>
      <w:r w:rsidRPr="00953C9F">
        <w:rPr>
          <w:color w:val="auto"/>
        </w:rPr>
        <w:t xml:space="preserve"> </w:t>
      </w:r>
      <w:proofErr w:type="spellStart"/>
      <w:r w:rsidRPr="00953C9F">
        <w:rPr>
          <w:color w:val="auto"/>
        </w:rPr>
        <w:t>Aniobi</w:t>
      </w:r>
      <w:proofErr w:type="spellEnd"/>
      <w:r w:rsidRPr="00953C9F">
        <w:rPr>
          <w:color w:val="auto"/>
        </w:rPr>
        <w:t xml:space="preserve">, Dominic </w:t>
      </w:r>
      <w:proofErr w:type="spellStart"/>
      <w:r w:rsidRPr="00953C9F">
        <w:rPr>
          <w:color w:val="auto"/>
        </w:rPr>
        <w:t>Olorunleke</w:t>
      </w:r>
      <w:proofErr w:type="spellEnd"/>
      <w:r w:rsidRPr="00953C9F">
        <w:rPr>
          <w:color w:val="auto"/>
        </w:rPr>
        <w:t xml:space="preserve"> Olugbamiye, Godwin Nonye Nweze, Adenike Morenike Lawal &amp; Owoeye Taiwo Omolade (2023). Effect of Audit committee on the performance of deposit money banks in Nigeria. Fuoye Journal of Public Administration and Management 1(1).</w:t>
      </w:r>
      <w:r w:rsidRPr="00953C9F">
        <w:rPr>
          <w:color w:val="auto"/>
        </w:rPr>
        <w:tab/>
      </w:r>
    </w:p>
    <w:p w14:paraId="2CAF7618" w14:textId="77777777" w:rsidR="009D3187" w:rsidRPr="00953C9F" w:rsidRDefault="009D3187" w:rsidP="009D3187">
      <w:pPr>
        <w:pStyle w:val="Default"/>
        <w:ind w:left="720" w:hanging="720"/>
        <w:jc w:val="both"/>
        <w:rPr>
          <w:rStyle w:val="Hyperlink"/>
          <w:rFonts w:asciiTheme="majorBidi" w:hAnsiTheme="majorBidi" w:cstheme="majorBidi"/>
          <w:color w:val="auto"/>
        </w:rPr>
      </w:pPr>
      <w:proofErr w:type="spellStart"/>
      <w:r w:rsidRPr="00953C9F">
        <w:rPr>
          <w:color w:val="auto"/>
        </w:rPr>
        <w:t>Hastuti</w:t>
      </w:r>
      <w:proofErr w:type="spellEnd"/>
      <w:r w:rsidRPr="00953C9F">
        <w:rPr>
          <w:color w:val="auto"/>
        </w:rPr>
        <w:t xml:space="preserve">, I. N., Wibowo, R. E., &amp; </w:t>
      </w:r>
      <w:proofErr w:type="spellStart"/>
      <w:r w:rsidRPr="00953C9F">
        <w:rPr>
          <w:color w:val="auto"/>
        </w:rPr>
        <w:t>Nurcahyono</w:t>
      </w:r>
      <w:proofErr w:type="spellEnd"/>
      <w:r w:rsidRPr="00953C9F">
        <w:rPr>
          <w:color w:val="auto"/>
        </w:rPr>
        <w:t xml:space="preserve">, N. (2024). The effect of capital adequacy ratio, non-performing loan and debt equity ratio on financial performance. </w:t>
      </w:r>
      <w:r w:rsidRPr="00953C9F">
        <w:rPr>
          <w:rStyle w:val="Emphasis"/>
          <w:rFonts w:asciiTheme="majorBidi" w:hAnsiTheme="majorBidi" w:cstheme="majorBidi"/>
          <w:color w:val="auto"/>
        </w:rPr>
        <w:t>Economics and Business International Conference Proceeding, 1</w:t>
      </w:r>
      <w:r w:rsidRPr="00953C9F">
        <w:rPr>
          <w:color w:val="auto"/>
        </w:rPr>
        <w:t xml:space="preserve">(1), 13–24. </w:t>
      </w:r>
      <w:hyperlink r:id="rId15" w:tgtFrame="_new" w:history="1">
        <w:r w:rsidRPr="00953C9F">
          <w:rPr>
            <w:rStyle w:val="Hyperlink"/>
            <w:rFonts w:asciiTheme="majorBidi" w:hAnsiTheme="majorBidi" w:cstheme="majorBidi"/>
            <w:color w:val="auto"/>
          </w:rPr>
          <w:t>http://103.97.100.158/index.php/EBiC/article/view/377</w:t>
        </w:r>
      </w:hyperlink>
    </w:p>
    <w:p w14:paraId="62522F83" w14:textId="77777777" w:rsidR="009D3187" w:rsidRPr="00953C9F" w:rsidRDefault="009D3187" w:rsidP="009D3187">
      <w:pPr>
        <w:pStyle w:val="Default"/>
        <w:ind w:left="720" w:hanging="720"/>
        <w:jc w:val="both"/>
        <w:rPr>
          <w:color w:val="auto"/>
        </w:rPr>
      </w:pPr>
      <w:proofErr w:type="spellStart"/>
      <w:r w:rsidRPr="00953C9F">
        <w:rPr>
          <w:color w:val="auto"/>
        </w:rPr>
        <w:t>Hendayana</w:t>
      </w:r>
      <w:proofErr w:type="spellEnd"/>
      <w:r w:rsidRPr="00953C9F">
        <w:rPr>
          <w:color w:val="auto"/>
        </w:rPr>
        <w:t xml:space="preserve">, Y., Arief Ramdhany, M., </w:t>
      </w:r>
      <w:proofErr w:type="spellStart"/>
      <w:r w:rsidRPr="00953C9F">
        <w:rPr>
          <w:color w:val="auto"/>
        </w:rPr>
        <w:t>Pranowo</w:t>
      </w:r>
      <w:proofErr w:type="spellEnd"/>
      <w:r w:rsidRPr="00953C9F">
        <w:rPr>
          <w:color w:val="auto"/>
        </w:rPr>
        <w:t xml:space="preserve">, A. S., Abdul Halim Rachmat, R., &amp; </w:t>
      </w:r>
      <w:proofErr w:type="spellStart"/>
      <w:r w:rsidRPr="00953C9F">
        <w:rPr>
          <w:color w:val="auto"/>
        </w:rPr>
        <w:t>Herdiana</w:t>
      </w:r>
      <w:proofErr w:type="spellEnd"/>
      <w:r w:rsidRPr="00953C9F">
        <w:rPr>
          <w:color w:val="auto"/>
        </w:rPr>
        <w:t xml:space="preserve">, E. (2024). Exploring impact of profitability, leverage and capital intensity on avoidance of tax, moderated by size of firm in LQ45 companies. </w:t>
      </w:r>
      <w:r w:rsidRPr="00953C9F">
        <w:rPr>
          <w:i/>
          <w:iCs/>
          <w:color w:val="auto"/>
        </w:rPr>
        <w:t>Cogent Business &amp; Management</w:t>
      </w:r>
      <w:r w:rsidRPr="00953C9F">
        <w:rPr>
          <w:color w:val="auto"/>
        </w:rPr>
        <w:t xml:space="preserve">, </w:t>
      </w:r>
      <w:r w:rsidRPr="00953C9F">
        <w:rPr>
          <w:i/>
          <w:iCs/>
          <w:color w:val="auto"/>
        </w:rPr>
        <w:t>11</w:t>
      </w:r>
      <w:r w:rsidRPr="00953C9F">
        <w:rPr>
          <w:color w:val="auto"/>
        </w:rPr>
        <w:t xml:space="preserve">(1), 2371062. </w:t>
      </w:r>
      <w:hyperlink r:id="rId16" w:history="1">
        <w:r w:rsidRPr="00953C9F">
          <w:rPr>
            <w:rStyle w:val="Hyperlink"/>
            <w:rFonts w:asciiTheme="majorBidi" w:hAnsiTheme="majorBidi" w:cstheme="majorBidi"/>
            <w:color w:val="auto"/>
          </w:rPr>
          <w:t>https://doi.org/10.1080/23311975.2024.2371062</w:t>
        </w:r>
      </w:hyperlink>
    </w:p>
    <w:p w14:paraId="05F5A8A8" w14:textId="77777777" w:rsidR="009D3187" w:rsidRPr="00953C9F" w:rsidRDefault="009D3187" w:rsidP="009D3187">
      <w:pPr>
        <w:pStyle w:val="Default"/>
        <w:ind w:left="720" w:hanging="720"/>
        <w:jc w:val="both"/>
        <w:rPr>
          <w:color w:val="auto"/>
        </w:rPr>
      </w:pPr>
      <w:r w:rsidRPr="00953C9F">
        <w:rPr>
          <w:color w:val="auto"/>
        </w:rPr>
        <w:t xml:space="preserve">Ho, T. N., Nguyen, D., Le, T., Nguyen, H. T., &amp; Tran, S. (2025). Does board gender diversity affect bank financial stability? Evidence from a transitional economy. </w:t>
      </w:r>
      <w:r w:rsidRPr="00953C9F">
        <w:rPr>
          <w:i/>
          <w:iCs/>
          <w:color w:val="auto"/>
        </w:rPr>
        <w:t>Gender in Management: An International Journal</w:t>
      </w:r>
      <w:r w:rsidRPr="00953C9F">
        <w:rPr>
          <w:color w:val="auto"/>
        </w:rPr>
        <w:t xml:space="preserve">, </w:t>
      </w:r>
      <w:r w:rsidRPr="00953C9F">
        <w:rPr>
          <w:i/>
          <w:iCs/>
          <w:color w:val="auto"/>
        </w:rPr>
        <w:t>40</w:t>
      </w:r>
      <w:r w:rsidRPr="00953C9F">
        <w:rPr>
          <w:color w:val="auto"/>
        </w:rPr>
        <w:t xml:space="preserve">(1), 64-90. </w:t>
      </w:r>
      <w:hyperlink r:id="rId17" w:history="1">
        <w:r w:rsidRPr="00953C9F">
          <w:rPr>
            <w:rStyle w:val="Hyperlink"/>
            <w:rFonts w:asciiTheme="majorBidi" w:eastAsia="Times New Roman" w:hAnsiTheme="majorBidi" w:cstheme="majorBidi"/>
            <w:color w:val="auto"/>
            <w14:ligatures w14:val="none"/>
          </w:rPr>
          <w:t>https://doi.org/10.1108/GM-03-2023-0094</w:t>
        </w:r>
      </w:hyperlink>
    </w:p>
    <w:p w14:paraId="3C53F65F" w14:textId="77777777" w:rsidR="009D3187" w:rsidRPr="00953C9F" w:rsidRDefault="009D3187" w:rsidP="009D3187">
      <w:pPr>
        <w:pStyle w:val="Default"/>
        <w:ind w:left="720" w:hanging="720"/>
        <w:jc w:val="both"/>
        <w:rPr>
          <w:color w:val="auto"/>
        </w:rPr>
      </w:pPr>
      <w:r w:rsidRPr="00953C9F">
        <w:rPr>
          <w:color w:val="auto"/>
        </w:rPr>
        <w:t xml:space="preserve">Husna, A., &amp; Satria, I. (2019). Effects of return on asset, debt to asset ratio, current ratio, firm size, and dividend payout ratio on firm value. </w:t>
      </w:r>
      <w:r w:rsidRPr="00953C9F">
        <w:rPr>
          <w:rStyle w:val="Emphasis"/>
          <w:rFonts w:asciiTheme="majorBidi" w:hAnsiTheme="majorBidi" w:cstheme="majorBidi"/>
          <w:color w:val="auto"/>
        </w:rPr>
        <w:t>International Journal of Economics and Financial Issues, 9</w:t>
      </w:r>
      <w:r w:rsidRPr="00953C9F">
        <w:rPr>
          <w:color w:val="auto"/>
        </w:rPr>
        <w:t xml:space="preserve">(5), 50–54. </w:t>
      </w:r>
      <w:hyperlink r:id="rId18" w:tgtFrame="_new" w:history="1">
        <w:r w:rsidRPr="00953C9F">
          <w:rPr>
            <w:rStyle w:val="Hyperlink"/>
            <w:rFonts w:asciiTheme="majorBidi" w:hAnsiTheme="majorBidi" w:cstheme="majorBidi"/>
            <w:color w:val="auto"/>
          </w:rPr>
          <w:t>https://doi.org/10.32479/ijefi.8595</w:t>
        </w:r>
      </w:hyperlink>
    </w:p>
    <w:p w14:paraId="7C1F5CF8" w14:textId="77777777" w:rsidR="009D3187" w:rsidRPr="00953C9F" w:rsidRDefault="009D3187" w:rsidP="009D3187">
      <w:pPr>
        <w:pStyle w:val="Default"/>
        <w:ind w:left="720" w:hanging="720"/>
        <w:jc w:val="both"/>
        <w:rPr>
          <w:rStyle w:val="c-bibliographic-informationvalue"/>
          <w:rFonts w:asciiTheme="majorBidi" w:hAnsiTheme="majorBidi" w:cstheme="majorBidi"/>
          <w:color w:val="auto"/>
        </w:rPr>
      </w:pPr>
      <w:r w:rsidRPr="00953C9F">
        <w:rPr>
          <w:color w:val="auto"/>
        </w:rPr>
        <w:t xml:space="preserve">Iddrisu, K. (2025). Foreign bank presence, financial stability, and income inequality: empirical evidence from some selected countries in Africa. </w:t>
      </w:r>
      <w:r w:rsidRPr="00953C9F">
        <w:rPr>
          <w:i/>
          <w:iCs/>
          <w:color w:val="auto"/>
        </w:rPr>
        <w:t>Journal of the Knowledge Economy</w:t>
      </w:r>
      <w:r w:rsidRPr="00953C9F">
        <w:rPr>
          <w:color w:val="auto"/>
        </w:rPr>
        <w:t xml:space="preserve">, </w:t>
      </w:r>
      <w:r w:rsidRPr="00953C9F">
        <w:rPr>
          <w:i/>
          <w:iCs/>
          <w:color w:val="auto"/>
        </w:rPr>
        <w:t>16</w:t>
      </w:r>
      <w:r w:rsidRPr="00953C9F">
        <w:rPr>
          <w:color w:val="auto"/>
        </w:rPr>
        <w:t xml:space="preserve">(4), 14032-14056. </w:t>
      </w:r>
      <w:hyperlink r:id="rId19" w:history="1">
        <w:r w:rsidRPr="00953C9F">
          <w:rPr>
            <w:rStyle w:val="Hyperlink"/>
            <w:rFonts w:asciiTheme="majorBidi" w:hAnsiTheme="majorBidi" w:cstheme="majorBidi"/>
            <w:color w:val="auto"/>
          </w:rPr>
          <w:t>https://doi.org/10.1007/s13132-024-02412-y</w:t>
        </w:r>
      </w:hyperlink>
    </w:p>
    <w:p w14:paraId="5A3E9AB7" w14:textId="77777777" w:rsidR="009D3187" w:rsidRPr="00953C9F" w:rsidRDefault="009D3187" w:rsidP="009D3187">
      <w:pPr>
        <w:pStyle w:val="Default"/>
        <w:ind w:left="720" w:hanging="720"/>
        <w:jc w:val="both"/>
        <w:rPr>
          <w:color w:val="auto"/>
        </w:rPr>
      </w:pPr>
      <w:proofErr w:type="spellStart"/>
      <w:r w:rsidRPr="00953C9F">
        <w:rPr>
          <w:color w:val="auto"/>
        </w:rPr>
        <w:t>Indarto</w:t>
      </w:r>
      <w:proofErr w:type="spellEnd"/>
      <w:r w:rsidRPr="00953C9F">
        <w:rPr>
          <w:color w:val="auto"/>
        </w:rPr>
        <w:t xml:space="preserve">, S. P. I., Yuni, S., Fransiska, C., &amp; </w:t>
      </w:r>
      <w:proofErr w:type="spellStart"/>
      <w:r w:rsidRPr="00953C9F">
        <w:rPr>
          <w:color w:val="auto"/>
        </w:rPr>
        <w:t>Andrenossa</w:t>
      </w:r>
      <w:proofErr w:type="spellEnd"/>
      <w:r w:rsidRPr="00953C9F">
        <w:rPr>
          <w:color w:val="auto"/>
        </w:rPr>
        <w:t xml:space="preserve">, G. (2025). The influence of capital intensity and inventory intensity on tax aggressiveness with independent commissioners as a moderating variable (Empirical study on mining companies listed on the IDX for the period 2020–2023). </w:t>
      </w:r>
      <w:r w:rsidRPr="00953C9F">
        <w:rPr>
          <w:rStyle w:val="Emphasis"/>
          <w:rFonts w:asciiTheme="majorBidi" w:hAnsiTheme="majorBidi" w:cstheme="majorBidi"/>
          <w:color w:val="auto"/>
        </w:rPr>
        <w:t>Sustainability Accounting Journal</w:t>
      </w:r>
      <w:r w:rsidRPr="00953C9F">
        <w:rPr>
          <w:color w:val="auto"/>
        </w:rPr>
        <w:t xml:space="preserve">, </w:t>
      </w:r>
      <w:r w:rsidRPr="00953C9F">
        <w:rPr>
          <w:rStyle w:val="Emphasis"/>
          <w:rFonts w:asciiTheme="majorBidi" w:hAnsiTheme="majorBidi" w:cstheme="majorBidi"/>
          <w:color w:val="auto"/>
        </w:rPr>
        <w:t>2</w:t>
      </w:r>
      <w:r w:rsidRPr="00953C9F">
        <w:rPr>
          <w:color w:val="auto"/>
        </w:rPr>
        <w:t xml:space="preserve">(1), 1–13. Retrieved from </w:t>
      </w:r>
      <w:hyperlink r:id="rId20" w:tgtFrame="_new" w:history="1">
        <w:r w:rsidRPr="00953C9F">
          <w:rPr>
            <w:rStyle w:val="Hyperlink"/>
            <w:rFonts w:asciiTheme="majorBidi" w:hAnsiTheme="majorBidi" w:cstheme="majorBidi"/>
            <w:color w:val="auto"/>
          </w:rPr>
          <w:t>https://e-journal.upr.ac.id/index.php/SAJ/article/view/19527</w:t>
        </w:r>
      </w:hyperlink>
    </w:p>
    <w:p w14:paraId="2EC24BCD" w14:textId="77777777" w:rsidR="009D3187" w:rsidRPr="00953C9F" w:rsidRDefault="009D3187" w:rsidP="009D3187">
      <w:pPr>
        <w:pStyle w:val="Default"/>
        <w:ind w:left="720" w:hanging="720"/>
        <w:jc w:val="both"/>
        <w:rPr>
          <w:color w:val="auto"/>
        </w:rPr>
      </w:pPr>
      <w:r w:rsidRPr="00953C9F">
        <w:rPr>
          <w:color w:val="auto"/>
        </w:rPr>
        <w:t xml:space="preserve">Irawati, W., Kurniasih, L., &amp; </w:t>
      </w:r>
      <w:proofErr w:type="spellStart"/>
      <w:r w:rsidRPr="00953C9F">
        <w:rPr>
          <w:color w:val="auto"/>
        </w:rPr>
        <w:t>Barli</w:t>
      </w:r>
      <w:proofErr w:type="spellEnd"/>
      <w:r w:rsidRPr="00953C9F">
        <w:rPr>
          <w:color w:val="auto"/>
        </w:rPr>
        <w:t xml:space="preserve">, H. (2025). Sales growth, profitability, inventory intensity and capital structure on tax aggressiveness in the energy sector in Indonesia. </w:t>
      </w:r>
      <w:r w:rsidRPr="00953C9F">
        <w:rPr>
          <w:rStyle w:val="Emphasis"/>
          <w:rFonts w:asciiTheme="majorBidi" w:hAnsiTheme="majorBidi" w:cstheme="majorBidi"/>
          <w:color w:val="auto"/>
        </w:rPr>
        <w:t>KEUNIS</w:t>
      </w:r>
      <w:r w:rsidRPr="00953C9F">
        <w:rPr>
          <w:color w:val="auto"/>
        </w:rPr>
        <w:t xml:space="preserve">, </w:t>
      </w:r>
      <w:r w:rsidRPr="00953C9F">
        <w:rPr>
          <w:rStyle w:val="Emphasis"/>
          <w:rFonts w:asciiTheme="majorBidi" w:hAnsiTheme="majorBidi" w:cstheme="majorBidi"/>
          <w:color w:val="auto"/>
        </w:rPr>
        <w:t>13</w:t>
      </w:r>
      <w:r w:rsidRPr="00953C9F">
        <w:rPr>
          <w:color w:val="auto"/>
        </w:rPr>
        <w:t xml:space="preserve">(1), 44–54. </w:t>
      </w:r>
      <w:hyperlink r:id="rId21" w:history="1">
        <w:r w:rsidRPr="00953C9F">
          <w:rPr>
            <w:rStyle w:val="Hyperlink"/>
            <w:rFonts w:asciiTheme="majorBidi" w:hAnsiTheme="majorBidi" w:cstheme="majorBidi"/>
            <w:color w:val="auto"/>
          </w:rPr>
          <w:t>https://doi.org/10.32497/keunis.v13i1.5790</w:t>
        </w:r>
      </w:hyperlink>
    </w:p>
    <w:p w14:paraId="6EE2D1D5" w14:textId="77777777" w:rsidR="009D3187" w:rsidRPr="00953C9F" w:rsidRDefault="009D3187" w:rsidP="009D3187">
      <w:pPr>
        <w:pStyle w:val="Default"/>
        <w:ind w:left="720" w:hanging="720"/>
        <w:jc w:val="both"/>
        <w:rPr>
          <w:color w:val="auto"/>
        </w:rPr>
      </w:pPr>
      <w:r w:rsidRPr="00953C9F">
        <w:rPr>
          <w:color w:val="auto"/>
        </w:rPr>
        <w:t xml:space="preserve">Kraus, A., &amp; Litzenberger, R. H. (1973). A state-preference model of optimal financial leverage. </w:t>
      </w:r>
      <w:r w:rsidRPr="00953C9F">
        <w:rPr>
          <w:rStyle w:val="Emphasis"/>
          <w:rFonts w:asciiTheme="majorBidi" w:hAnsiTheme="majorBidi" w:cstheme="majorBidi"/>
          <w:color w:val="auto"/>
        </w:rPr>
        <w:t>The Journal of Finance</w:t>
      </w:r>
      <w:r w:rsidRPr="00953C9F">
        <w:rPr>
          <w:color w:val="auto"/>
        </w:rPr>
        <w:t>, 28(4), 911-922.</w:t>
      </w:r>
    </w:p>
    <w:p w14:paraId="0E98DAD5" w14:textId="77777777" w:rsidR="009D3187" w:rsidRPr="00953C9F" w:rsidRDefault="009D3187" w:rsidP="009D3187">
      <w:pPr>
        <w:pStyle w:val="Default"/>
        <w:ind w:left="720" w:hanging="720"/>
        <w:jc w:val="both"/>
        <w:rPr>
          <w:color w:val="auto"/>
        </w:rPr>
      </w:pPr>
      <w:proofErr w:type="spellStart"/>
      <w:r w:rsidRPr="00953C9F">
        <w:rPr>
          <w:color w:val="auto"/>
        </w:rPr>
        <w:lastRenderedPageBreak/>
        <w:t>Lailiyah</w:t>
      </w:r>
      <w:proofErr w:type="spellEnd"/>
      <w:r w:rsidRPr="00953C9F">
        <w:rPr>
          <w:color w:val="auto"/>
        </w:rPr>
        <w:t xml:space="preserve">, C. Z., </w:t>
      </w:r>
      <w:proofErr w:type="spellStart"/>
      <w:r w:rsidRPr="00953C9F">
        <w:rPr>
          <w:color w:val="auto"/>
        </w:rPr>
        <w:t>Massela</w:t>
      </w:r>
      <w:proofErr w:type="spellEnd"/>
      <w:r w:rsidRPr="00953C9F">
        <w:rPr>
          <w:color w:val="auto"/>
        </w:rPr>
        <w:t xml:space="preserve">, A., Yulianto, A., &amp; Khalid, A. A. (2024). Impact of corporate social responsibility, profitability, leverage, and capital intensity on tax </w:t>
      </w:r>
      <w:proofErr w:type="gramStart"/>
      <w:r w:rsidRPr="00953C9F">
        <w:rPr>
          <w:color w:val="auto"/>
        </w:rPr>
        <w:t>aggressiveness :</w:t>
      </w:r>
      <w:proofErr w:type="gramEnd"/>
      <w:r w:rsidRPr="00953C9F">
        <w:rPr>
          <w:color w:val="auto"/>
        </w:rPr>
        <w:t xml:space="preserve"> the moderating role of firm size in Indonesian manufacturing sector. </w:t>
      </w:r>
      <w:r w:rsidRPr="00953C9F">
        <w:rPr>
          <w:i/>
          <w:iCs/>
          <w:color w:val="auto"/>
        </w:rPr>
        <w:t>Journal of Accounting, Finance and Auditing Studies, 10</w:t>
      </w:r>
      <w:r w:rsidRPr="00953C9F">
        <w:rPr>
          <w:color w:val="auto"/>
        </w:rPr>
        <w:t xml:space="preserve">(2), 51-64. </w:t>
      </w:r>
      <w:hyperlink r:id="rId22" w:tgtFrame="_new" w:history="1">
        <w:r w:rsidRPr="00953C9F">
          <w:rPr>
            <w:rStyle w:val="Hyperlink"/>
            <w:rFonts w:asciiTheme="majorBidi" w:hAnsiTheme="majorBidi" w:cstheme="majorBidi"/>
            <w:color w:val="auto"/>
          </w:rPr>
          <w:t>https://www.um.edu.mt/library/oar/handle/123456789/131983</w:t>
        </w:r>
      </w:hyperlink>
    </w:p>
    <w:p w14:paraId="190FDA00" w14:textId="77777777" w:rsidR="009D3187" w:rsidRPr="00953C9F" w:rsidRDefault="009D3187" w:rsidP="009D3187">
      <w:pPr>
        <w:pStyle w:val="Default"/>
        <w:ind w:left="720" w:hanging="720"/>
        <w:jc w:val="both"/>
        <w:rPr>
          <w:rStyle w:val="value"/>
          <w:rFonts w:asciiTheme="majorBidi" w:hAnsiTheme="majorBidi" w:cstheme="majorBidi"/>
          <w:color w:val="auto"/>
          <w:lang w:val="fr-FR"/>
        </w:rPr>
      </w:pPr>
      <w:proofErr w:type="spellStart"/>
      <w:r w:rsidRPr="00953C9F">
        <w:rPr>
          <w:color w:val="auto"/>
        </w:rPr>
        <w:t>Lusmeida</w:t>
      </w:r>
      <w:proofErr w:type="spellEnd"/>
      <w:r w:rsidRPr="00953C9F">
        <w:rPr>
          <w:color w:val="auto"/>
        </w:rPr>
        <w:t xml:space="preserve">, H., &amp; Gunawan, E. (2025). The capital adequacy ratio moderated enterprise risk management on financial distress. </w:t>
      </w:r>
      <w:proofErr w:type="spellStart"/>
      <w:r w:rsidRPr="00953C9F">
        <w:rPr>
          <w:i/>
          <w:iCs/>
          <w:color w:val="auto"/>
          <w:lang w:val="fr-FR"/>
        </w:rPr>
        <w:t>Jurnal</w:t>
      </w:r>
      <w:proofErr w:type="spellEnd"/>
      <w:r w:rsidRPr="00953C9F">
        <w:rPr>
          <w:i/>
          <w:iCs/>
          <w:color w:val="auto"/>
          <w:lang w:val="fr-FR"/>
        </w:rPr>
        <w:t xml:space="preserve"> Riset Bisnis dan </w:t>
      </w:r>
      <w:proofErr w:type="spellStart"/>
      <w:r w:rsidRPr="00953C9F">
        <w:rPr>
          <w:i/>
          <w:iCs/>
          <w:color w:val="auto"/>
          <w:lang w:val="fr-FR"/>
        </w:rPr>
        <w:t>Manajemen</w:t>
      </w:r>
      <w:proofErr w:type="spellEnd"/>
      <w:r w:rsidRPr="00953C9F">
        <w:rPr>
          <w:color w:val="auto"/>
          <w:lang w:val="fr-FR"/>
        </w:rPr>
        <w:t xml:space="preserve">, </w:t>
      </w:r>
      <w:r w:rsidRPr="00953C9F">
        <w:rPr>
          <w:i/>
          <w:iCs/>
          <w:color w:val="auto"/>
          <w:lang w:val="fr-FR"/>
        </w:rPr>
        <w:t>18</w:t>
      </w:r>
      <w:r w:rsidRPr="00953C9F">
        <w:rPr>
          <w:color w:val="auto"/>
          <w:lang w:val="fr-FR"/>
        </w:rPr>
        <w:t xml:space="preserve">(1), 163-178. </w:t>
      </w:r>
      <w:hyperlink r:id="rId23" w:history="1">
        <w:r w:rsidRPr="00953C9F">
          <w:rPr>
            <w:rStyle w:val="Hyperlink"/>
            <w:rFonts w:asciiTheme="majorBidi" w:hAnsiTheme="majorBidi" w:cstheme="majorBidi"/>
            <w:color w:val="auto"/>
            <w:lang w:val="fr-FR"/>
          </w:rPr>
          <w:t xml:space="preserve">https://doi.org/10.23969/jrbm.v18i1.20287 </w:t>
        </w:r>
      </w:hyperlink>
    </w:p>
    <w:p w14:paraId="102AE375" w14:textId="77777777" w:rsidR="009D3187" w:rsidRPr="00953C9F" w:rsidRDefault="009D3187" w:rsidP="009D3187">
      <w:pPr>
        <w:pStyle w:val="Default"/>
        <w:ind w:left="720" w:hanging="720"/>
        <w:jc w:val="both"/>
        <w:rPr>
          <w:color w:val="auto"/>
          <w:lang w:val="fr-FR"/>
        </w:rPr>
      </w:pPr>
      <w:proofErr w:type="spellStart"/>
      <w:r w:rsidRPr="00953C9F">
        <w:rPr>
          <w:color w:val="auto"/>
        </w:rPr>
        <w:t>Maahury</w:t>
      </w:r>
      <w:proofErr w:type="spellEnd"/>
      <w:r w:rsidRPr="00953C9F">
        <w:rPr>
          <w:color w:val="auto"/>
        </w:rPr>
        <w:t xml:space="preserve">, R. G., &amp; </w:t>
      </w:r>
      <w:proofErr w:type="spellStart"/>
      <w:r w:rsidRPr="00953C9F">
        <w:rPr>
          <w:color w:val="auto"/>
        </w:rPr>
        <w:t>Berliani</w:t>
      </w:r>
      <w:proofErr w:type="spellEnd"/>
      <w:r w:rsidRPr="00953C9F">
        <w:rPr>
          <w:color w:val="auto"/>
        </w:rPr>
        <w:t xml:space="preserve">, K. (2025). The influence of capital intensity, institutional ownership, firm size and public share ownership on accounting conservatism (in food and beverage sub-sector manufacturing companies listed on the Indonesia Stock Exchange for the period 2014–2023). </w:t>
      </w:r>
      <w:r w:rsidRPr="00953C9F">
        <w:rPr>
          <w:rStyle w:val="Emphasis"/>
          <w:rFonts w:asciiTheme="majorBidi" w:hAnsiTheme="majorBidi" w:cstheme="majorBidi"/>
          <w:color w:val="auto"/>
          <w:lang w:val="fr-FR"/>
        </w:rPr>
        <w:t>JEMSI (</w:t>
      </w:r>
      <w:proofErr w:type="spellStart"/>
      <w:r w:rsidRPr="00953C9F">
        <w:rPr>
          <w:rStyle w:val="Emphasis"/>
          <w:rFonts w:asciiTheme="majorBidi" w:hAnsiTheme="majorBidi" w:cstheme="majorBidi"/>
          <w:color w:val="auto"/>
          <w:lang w:val="fr-FR"/>
        </w:rPr>
        <w:t>Jurnal</w:t>
      </w:r>
      <w:proofErr w:type="spellEnd"/>
      <w:r w:rsidRPr="00953C9F">
        <w:rPr>
          <w:rStyle w:val="Emphasis"/>
          <w:rFonts w:asciiTheme="majorBidi" w:hAnsiTheme="majorBidi" w:cstheme="majorBidi"/>
          <w:color w:val="auto"/>
          <w:lang w:val="fr-FR"/>
        </w:rPr>
        <w:t xml:space="preserve"> Ekonomi, </w:t>
      </w:r>
      <w:proofErr w:type="spellStart"/>
      <w:r w:rsidRPr="00953C9F">
        <w:rPr>
          <w:rStyle w:val="Emphasis"/>
          <w:rFonts w:asciiTheme="majorBidi" w:hAnsiTheme="majorBidi" w:cstheme="majorBidi"/>
          <w:color w:val="auto"/>
          <w:lang w:val="fr-FR"/>
        </w:rPr>
        <w:t>Manajemen</w:t>
      </w:r>
      <w:proofErr w:type="spellEnd"/>
      <w:r w:rsidRPr="00953C9F">
        <w:rPr>
          <w:rStyle w:val="Emphasis"/>
          <w:rFonts w:asciiTheme="majorBidi" w:hAnsiTheme="majorBidi" w:cstheme="majorBidi"/>
          <w:color w:val="auto"/>
          <w:lang w:val="fr-FR"/>
        </w:rPr>
        <w:t xml:space="preserve">, dan </w:t>
      </w:r>
      <w:proofErr w:type="spellStart"/>
      <w:r w:rsidRPr="00953C9F">
        <w:rPr>
          <w:rStyle w:val="Emphasis"/>
          <w:rFonts w:asciiTheme="majorBidi" w:hAnsiTheme="majorBidi" w:cstheme="majorBidi"/>
          <w:color w:val="auto"/>
          <w:lang w:val="fr-FR"/>
        </w:rPr>
        <w:t>Akuntansi</w:t>
      </w:r>
      <w:proofErr w:type="spellEnd"/>
      <w:r w:rsidRPr="00953C9F">
        <w:rPr>
          <w:rStyle w:val="Emphasis"/>
          <w:rFonts w:asciiTheme="majorBidi" w:hAnsiTheme="majorBidi" w:cstheme="majorBidi"/>
          <w:color w:val="auto"/>
          <w:lang w:val="fr-FR"/>
        </w:rPr>
        <w:t>, 11</w:t>
      </w:r>
      <w:r w:rsidRPr="00953C9F">
        <w:rPr>
          <w:color w:val="auto"/>
          <w:lang w:val="fr-FR"/>
        </w:rPr>
        <w:t xml:space="preserve">(1), 523–533. </w:t>
      </w:r>
      <w:hyperlink r:id="rId24" w:tgtFrame="_new" w:history="1">
        <w:r w:rsidRPr="00953C9F">
          <w:rPr>
            <w:rStyle w:val="Hyperlink"/>
            <w:rFonts w:asciiTheme="majorBidi" w:hAnsiTheme="majorBidi" w:cstheme="majorBidi"/>
            <w:color w:val="auto"/>
            <w:lang w:val="fr-FR"/>
          </w:rPr>
          <w:t>https://doi.org/10.35870/jemsi.v11i1.3732</w:t>
        </w:r>
      </w:hyperlink>
    </w:p>
    <w:p w14:paraId="5864AE7C" w14:textId="77777777" w:rsidR="009D3187" w:rsidRPr="00953C9F" w:rsidRDefault="009D3187" w:rsidP="009D3187">
      <w:pPr>
        <w:pStyle w:val="Default"/>
        <w:ind w:left="720" w:hanging="720"/>
        <w:jc w:val="both"/>
        <w:rPr>
          <w:color w:val="auto"/>
        </w:rPr>
      </w:pPr>
      <w:proofErr w:type="spellStart"/>
      <w:r w:rsidRPr="00953C9F">
        <w:rPr>
          <w:color w:val="auto"/>
        </w:rPr>
        <w:t>Mestikou</w:t>
      </w:r>
      <w:proofErr w:type="spellEnd"/>
      <w:r w:rsidRPr="00953C9F">
        <w:rPr>
          <w:color w:val="auto"/>
        </w:rPr>
        <w:t xml:space="preserve">, M. A., </w:t>
      </w:r>
      <w:proofErr w:type="spellStart"/>
      <w:r w:rsidRPr="00953C9F">
        <w:rPr>
          <w:color w:val="auto"/>
        </w:rPr>
        <w:t>Smeti</w:t>
      </w:r>
      <w:proofErr w:type="spellEnd"/>
      <w:r w:rsidRPr="00953C9F">
        <w:rPr>
          <w:color w:val="auto"/>
        </w:rPr>
        <w:t xml:space="preserve">, K. E., &amp; </w:t>
      </w:r>
      <w:proofErr w:type="spellStart"/>
      <w:r w:rsidRPr="00953C9F">
        <w:rPr>
          <w:color w:val="auto"/>
        </w:rPr>
        <w:t>Hachaïchi</w:t>
      </w:r>
      <w:proofErr w:type="spellEnd"/>
      <w:r w:rsidRPr="00953C9F">
        <w:rPr>
          <w:color w:val="auto"/>
        </w:rPr>
        <w:t xml:space="preserve">, Y. (2023). Artificial intelligence and machine learning in financial services Market developments and financial stability implications. </w:t>
      </w:r>
      <w:r w:rsidRPr="00953C9F">
        <w:rPr>
          <w:i/>
          <w:iCs/>
          <w:color w:val="auto"/>
        </w:rPr>
        <w:t>Financial Stability Board</w:t>
      </w:r>
      <w:r w:rsidRPr="00953C9F">
        <w:rPr>
          <w:color w:val="auto"/>
        </w:rPr>
        <w:t xml:space="preserve">, </w:t>
      </w:r>
      <w:r w:rsidRPr="00953C9F">
        <w:rPr>
          <w:i/>
          <w:iCs/>
          <w:color w:val="auto"/>
        </w:rPr>
        <w:t>1</w:t>
      </w:r>
      <w:r w:rsidRPr="00953C9F">
        <w:rPr>
          <w:color w:val="auto"/>
        </w:rPr>
        <w:t xml:space="preserve">, 1-6. </w:t>
      </w:r>
    </w:p>
    <w:p w14:paraId="2986A09E" w14:textId="77777777" w:rsidR="009D3187" w:rsidRPr="00953C9F" w:rsidRDefault="009D3187" w:rsidP="009D3187">
      <w:pPr>
        <w:pStyle w:val="Default"/>
        <w:ind w:left="720" w:hanging="720"/>
        <w:jc w:val="both"/>
        <w:rPr>
          <w:color w:val="auto"/>
        </w:rPr>
      </w:pPr>
      <w:r w:rsidRPr="00953C9F">
        <w:rPr>
          <w:color w:val="auto"/>
        </w:rPr>
        <w:t xml:space="preserve">Mirza, N., Umar, M., </w:t>
      </w:r>
      <w:proofErr w:type="spellStart"/>
      <w:r w:rsidRPr="00953C9F">
        <w:rPr>
          <w:color w:val="auto"/>
        </w:rPr>
        <w:t>Lobont</w:t>
      </w:r>
      <w:proofErr w:type="spellEnd"/>
      <w:r w:rsidRPr="00953C9F">
        <w:rPr>
          <w:color w:val="auto"/>
        </w:rPr>
        <w:t xml:space="preserve">, O. R., &amp; Safi, A. (2025). ESG lending, technology investment and banking performance in BRICS: navigating sustainability and financial stability. </w:t>
      </w:r>
      <w:r w:rsidRPr="00953C9F">
        <w:rPr>
          <w:i/>
          <w:iCs/>
          <w:color w:val="auto"/>
        </w:rPr>
        <w:t>China Finance Review International</w:t>
      </w:r>
      <w:r w:rsidRPr="00953C9F">
        <w:rPr>
          <w:color w:val="auto"/>
        </w:rPr>
        <w:t xml:space="preserve">, </w:t>
      </w:r>
      <w:r w:rsidRPr="00953C9F">
        <w:rPr>
          <w:i/>
          <w:iCs/>
          <w:color w:val="auto"/>
        </w:rPr>
        <w:t>15</w:t>
      </w:r>
      <w:r w:rsidRPr="00953C9F">
        <w:rPr>
          <w:color w:val="auto"/>
        </w:rPr>
        <w:t xml:space="preserve">(2), 324-336. </w:t>
      </w:r>
      <w:hyperlink r:id="rId25" w:history="1">
        <w:r w:rsidRPr="00953C9F">
          <w:rPr>
            <w:rStyle w:val="Hyperlink"/>
            <w:rFonts w:asciiTheme="majorBidi" w:eastAsia="Times New Roman" w:hAnsiTheme="majorBidi" w:cstheme="majorBidi"/>
            <w:color w:val="auto"/>
            <w14:ligatures w14:val="none"/>
          </w:rPr>
          <w:t>https://doi.org/10.1108/CFRI-09-2024-0496</w:t>
        </w:r>
      </w:hyperlink>
    </w:p>
    <w:p w14:paraId="2CCC9182" w14:textId="77777777" w:rsidR="009D3187" w:rsidRPr="00953C9F" w:rsidRDefault="009D3187" w:rsidP="009D3187">
      <w:pPr>
        <w:pStyle w:val="Default"/>
        <w:ind w:left="720" w:hanging="720"/>
        <w:jc w:val="both"/>
        <w:rPr>
          <w:color w:val="auto"/>
        </w:rPr>
      </w:pPr>
      <w:r w:rsidRPr="00953C9F">
        <w:rPr>
          <w:color w:val="auto"/>
        </w:rPr>
        <w:t xml:space="preserve">Nisa, H. (2025). </w:t>
      </w:r>
      <w:proofErr w:type="spellStart"/>
      <w:r w:rsidRPr="00953C9F">
        <w:rPr>
          <w:color w:val="auto"/>
        </w:rPr>
        <w:t>Pengaruh</w:t>
      </w:r>
      <w:proofErr w:type="spellEnd"/>
      <w:r w:rsidRPr="00953C9F">
        <w:rPr>
          <w:color w:val="auto"/>
        </w:rPr>
        <w:t xml:space="preserve"> </w:t>
      </w:r>
      <w:proofErr w:type="spellStart"/>
      <w:r w:rsidRPr="00953C9F">
        <w:rPr>
          <w:color w:val="auto"/>
        </w:rPr>
        <w:t>karakteristik</w:t>
      </w:r>
      <w:proofErr w:type="spellEnd"/>
      <w:r w:rsidRPr="00953C9F">
        <w:rPr>
          <w:color w:val="auto"/>
        </w:rPr>
        <w:t xml:space="preserve"> </w:t>
      </w:r>
      <w:proofErr w:type="spellStart"/>
      <w:r w:rsidRPr="00953C9F">
        <w:rPr>
          <w:color w:val="auto"/>
        </w:rPr>
        <w:t>perusahaan</w:t>
      </w:r>
      <w:proofErr w:type="spellEnd"/>
      <w:r w:rsidRPr="00953C9F">
        <w:rPr>
          <w:color w:val="auto"/>
        </w:rPr>
        <w:t xml:space="preserve">, capital intensity, dan inventory intensity </w:t>
      </w:r>
      <w:proofErr w:type="spellStart"/>
      <w:r w:rsidRPr="00953C9F">
        <w:rPr>
          <w:color w:val="auto"/>
        </w:rPr>
        <w:t>terhadap</w:t>
      </w:r>
      <w:proofErr w:type="spellEnd"/>
      <w:r w:rsidRPr="00953C9F">
        <w:rPr>
          <w:color w:val="auto"/>
        </w:rPr>
        <w:t xml:space="preserve"> tax avoidance. </w:t>
      </w:r>
      <w:proofErr w:type="spellStart"/>
      <w:r w:rsidRPr="00953C9F">
        <w:rPr>
          <w:rStyle w:val="Emphasis"/>
          <w:rFonts w:asciiTheme="majorBidi" w:hAnsiTheme="majorBidi" w:cstheme="majorBidi"/>
          <w:color w:val="auto"/>
        </w:rPr>
        <w:t>Jurnal</w:t>
      </w:r>
      <w:proofErr w:type="spellEnd"/>
      <w:r w:rsidRPr="00953C9F">
        <w:rPr>
          <w:rStyle w:val="Emphasis"/>
          <w:rFonts w:asciiTheme="majorBidi" w:hAnsiTheme="majorBidi" w:cstheme="majorBidi"/>
          <w:color w:val="auto"/>
        </w:rPr>
        <w:t xml:space="preserve"> Ekonomi dan </w:t>
      </w:r>
      <w:proofErr w:type="spellStart"/>
      <w:r w:rsidRPr="00953C9F">
        <w:rPr>
          <w:rStyle w:val="Emphasis"/>
          <w:rFonts w:asciiTheme="majorBidi" w:hAnsiTheme="majorBidi" w:cstheme="majorBidi"/>
          <w:color w:val="auto"/>
        </w:rPr>
        <w:t>Bisnis</w:t>
      </w:r>
      <w:proofErr w:type="spellEnd"/>
      <w:r w:rsidRPr="00953C9F">
        <w:rPr>
          <w:rStyle w:val="Emphasis"/>
          <w:rFonts w:asciiTheme="majorBidi" w:hAnsiTheme="majorBidi" w:cstheme="majorBidi"/>
          <w:color w:val="auto"/>
        </w:rPr>
        <w:t xml:space="preserve"> Digital</w:t>
      </w:r>
      <w:r w:rsidRPr="00953C9F">
        <w:rPr>
          <w:color w:val="auto"/>
        </w:rPr>
        <w:t xml:space="preserve">, </w:t>
      </w:r>
      <w:r w:rsidRPr="00953C9F">
        <w:rPr>
          <w:rStyle w:val="Emphasis"/>
          <w:rFonts w:asciiTheme="majorBidi" w:hAnsiTheme="majorBidi" w:cstheme="majorBidi"/>
          <w:color w:val="auto"/>
        </w:rPr>
        <w:t>2</w:t>
      </w:r>
      <w:r w:rsidRPr="00953C9F">
        <w:rPr>
          <w:color w:val="auto"/>
        </w:rPr>
        <w:t xml:space="preserve">(3), 1884–1894. Retrieved from </w:t>
      </w:r>
      <w:hyperlink r:id="rId26" w:tgtFrame="_new" w:history="1">
        <w:r w:rsidRPr="00953C9F">
          <w:rPr>
            <w:rStyle w:val="Hyperlink"/>
            <w:rFonts w:asciiTheme="majorBidi" w:hAnsiTheme="majorBidi" w:cstheme="majorBidi"/>
            <w:color w:val="auto"/>
          </w:rPr>
          <w:t>https://jurnal.ittc.web.id/index.php/jebd/article/view/2387</w:t>
        </w:r>
      </w:hyperlink>
    </w:p>
    <w:p w14:paraId="3EF70656" w14:textId="77777777" w:rsidR="009D3187" w:rsidRPr="00953C9F" w:rsidRDefault="009D3187" w:rsidP="009D3187">
      <w:pPr>
        <w:pStyle w:val="Default"/>
        <w:ind w:left="720" w:hanging="720"/>
        <w:jc w:val="both"/>
        <w:rPr>
          <w:color w:val="auto"/>
          <w:lang w:val="fr-FR"/>
        </w:rPr>
      </w:pPr>
      <w:proofErr w:type="spellStart"/>
      <w:r w:rsidRPr="00953C9F">
        <w:rPr>
          <w:color w:val="auto"/>
        </w:rPr>
        <w:t>Nuryani</w:t>
      </w:r>
      <w:proofErr w:type="spellEnd"/>
      <w:r w:rsidRPr="00953C9F">
        <w:rPr>
          <w:color w:val="auto"/>
        </w:rPr>
        <w:t xml:space="preserve">, Y., &amp; </w:t>
      </w:r>
      <w:proofErr w:type="spellStart"/>
      <w:r w:rsidRPr="00953C9F">
        <w:rPr>
          <w:color w:val="auto"/>
        </w:rPr>
        <w:t>Sunarsi</w:t>
      </w:r>
      <w:proofErr w:type="spellEnd"/>
      <w:r w:rsidRPr="00953C9F">
        <w:rPr>
          <w:color w:val="auto"/>
        </w:rPr>
        <w:t xml:space="preserve">, D. (2020). The effect of current ratio and debt to equity ratio on dividend growth. </w:t>
      </w:r>
      <w:proofErr w:type="spellStart"/>
      <w:r w:rsidRPr="00953C9F">
        <w:rPr>
          <w:rStyle w:val="Emphasis"/>
          <w:rFonts w:asciiTheme="majorBidi" w:hAnsiTheme="majorBidi" w:cstheme="majorBidi"/>
          <w:color w:val="auto"/>
          <w:lang w:val="fr-FR"/>
        </w:rPr>
        <w:t>JASa</w:t>
      </w:r>
      <w:proofErr w:type="spellEnd"/>
      <w:r w:rsidRPr="00953C9F">
        <w:rPr>
          <w:rStyle w:val="Emphasis"/>
          <w:rFonts w:asciiTheme="majorBidi" w:hAnsiTheme="majorBidi" w:cstheme="majorBidi"/>
          <w:color w:val="auto"/>
          <w:lang w:val="fr-FR"/>
        </w:rPr>
        <w:t xml:space="preserve"> (</w:t>
      </w:r>
      <w:proofErr w:type="spellStart"/>
      <w:r w:rsidRPr="00953C9F">
        <w:rPr>
          <w:rStyle w:val="Emphasis"/>
          <w:rFonts w:asciiTheme="majorBidi" w:hAnsiTheme="majorBidi" w:cstheme="majorBidi"/>
          <w:color w:val="auto"/>
          <w:lang w:val="fr-FR"/>
        </w:rPr>
        <w:t>Jurnal</w:t>
      </w:r>
      <w:proofErr w:type="spellEnd"/>
      <w:r w:rsidRPr="00953C9F">
        <w:rPr>
          <w:rStyle w:val="Emphasis"/>
          <w:rFonts w:asciiTheme="majorBidi" w:hAnsiTheme="majorBidi" w:cstheme="majorBidi"/>
          <w:color w:val="auto"/>
          <w:lang w:val="fr-FR"/>
        </w:rPr>
        <w:t xml:space="preserve"> </w:t>
      </w:r>
      <w:proofErr w:type="spellStart"/>
      <w:r w:rsidRPr="00953C9F">
        <w:rPr>
          <w:rStyle w:val="Emphasis"/>
          <w:rFonts w:asciiTheme="majorBidi" w:hAnsiTheme="majorBidi" w:cstheme="majorBidi"/>
          <w:color w:val="auto"/>
          <w:lang w:val="fr-FR"/>
        </w:rPr>
        <w:t>Akuntansi</w:t>
      </w:r>
      <w:proofErr w:type="spellEnd"/>
      <w:r w:rsidRPr="00953C9F">
        <w:rPr>
          <w:rStyle w:val="Emphasis"/>
          <w:rFonts w:asciiTheme="majorBidi" w:hAnsiTheme="majorBidi" w:cstheme="majorBidi"/>
          <w:color w:val="auto"/>
          <w:lang w:val="fr-FR"/>
        </w:rPr>
        <w:t xml:space="preserve">, Audit dan Sistem </w:t>
      </w:r>
      <w:proofErr w:type="spellStart"/>
      <w:r w:rsidRPr="00953C9F">
        <w:rPr>
          <w:rStyle w:val="Emphasis"/>
          <w:rFonts w:asciiTheme="majorBidi" w:hAnsiTheme="majorBidi" w:cstheme="majorBidi"/>
          <w:color w:val="auto"/>
          <w:lang w:val="fr-FR"/>
        </w:rPr>
        <w:t>Informasi</w:t>
      </w:r>
      <w:proofErr w:type="spellEnd"/>
      <w:r w:rsidRPr="00953C9F">
        <w:rPr>
          <w:rStyle w:val="Emphasis"/>
          <w:rFonts w:asciiTheme="majorBidi" w:hAnsiTheme="majorBidi" w:cstheme="majorBidi"/>
          <w:color w:val="auto"/>
          <w:lang w:val="fr-FR"/>
        </w:rPr>
        <w:t xml:space="preserve"> </w:t>
      </w:r>
      <w:proofErr w:type="spellStart"/>
      <w:r w:rsidRPr="00953C9F">
        <w:rPr>
          <w:rStyle w:val="Emphasis"/>
          <w:rFonts w:asciiTheme="majorBidi" w:hAnsiTheme="majorBidi" w:cstheme="majorBidi"/>
          <w:color w:val="auto"/>
          <w:lang w:val="fr-FR"/>
        </w:rPr>
        <w:t>Akuntansi</w:t>
      </w:r>
      <w:proofErr w:type="spellEnd"/>
      <w:r w:rsidRPr="00953C9F">
        <w:rPr>
          <w:rStyle w:val="Emphasis"/>
          <w:rFonts w:asciiTheme="majorBidi" w:hAnsiTheme="majorBidi" w:cstheme="majorBidi"/>
          <w:color w:val="auto"/>
          <w:lang w:val="fr-FR"/>
        </w:rPr>
        <w:t>), 4</w:t>
      </w:r>
      <w:r w:rsidRPr="00953C9F">
        <w:rPr>
          <w:color w:val="auto"/>
          <w:lang w:val="fr-FR"/>
        </w:rPr>
        <w:t xml:space="preserve">(2), 304–312. </w:t>
      </w:r>
      <w:hyperlink r:id="rId27" w:tgtFrame="_new" w:history="1">
        <w:r w:rsidRPr="00953C9F">
          <w:rPr>
            <w:rStyle w:val="Hyperlink"/>
            <w:rFonts w:asciiTheme="majorBidi" w:hAnsiTheme="majorBidi" w:cstheme="majorBidi"/>
            <w:color w:val="auto"/>
            <w:lang w:val="fr-FR"/>
          </w:rPr>
          <w:t>https://doi.org/10.36555/jasa.v4i2.1378</w:t>
        </w:r>
      </w:hyperlink>
    </w:p>
    <w:p w14:paraId="25BAF07A" w14:textId="77777777" w:rsidR="009D3187" w:rsidRPr="00953C9F" w:rsidRDefault="009D3187" w:rsidP="009D3187">
      <w:pPr>
        <w:pStyle w:val="Default"/>
        <w:ind w:left="720" w:hanging="720"/>
        <w:jc w:val="both"/>
        <w:rPr>
          <w:color w:val="auto"/>
        </w:rPr>
      </w:pPr>
      <w:r w:rsidRPr="00953C9F">
        <w:rPr>
          <w:color w:val="auto"/>
        </w:rPr>
        <w:t xml:space="preserve">Olawale, A. (2024). Capital adequacy and financial stability: A study of Nigerian banks' resilience in a volatile economy. </w:t>
      </w:r>
      <w:r w:rsidRPr="00953C9F">
        <w:rPr>
          <w:i/>
          <w:iCs/>
          <w:color w:val="auto"/>
        </w:rPr>
        <w:t>GSC Advanced Research and Reviews</w:t>
      </w:r>
      <w:r w:rsidRPr="00953C9F">
        <w:rPr>
          <w:color w:val="auto"/>
        </w:rPr>
        <w:t xml:space="preserve">, </w:t>
      </w:r>
      <w:r w:rsidRPr="00953C9F">
        <w:rPr>
          <w:i/>
          <w:iCs/>
          <w:color w:val="auto"/>
        </w:rPr>
        <w:t>21</w:t>
      </w:r>
      <w:r w:rsidRPr="00953C9F">
        <w:rPr>
          <w:color w:val="auto"/>
        </w:rPr>
        <w:t xml:space="preserve">(1), 001-012. </w:t>
      </w:r>
      <w:hyperlink r:id="rId28" w:history="1">
        <w:r w:rsidRPr="00953C9F">
          <w:rPr>
            <w:rStyle w:val="Hyperlink"/>
            <w:rFonts w:asciiTheme="majorBidi" w:eastAsia="Times New Roman" w:hAnsiTheme="majorBidi" w:cstheme="majorBidi"/>
            <w:color w:val="auto"/>
            <w14:ligatures w14:val="none"/>
          </w:rPr>
          <w:t>https://doi.org/10.30574/gscarr.2024.21.1.0346</w:t>
        </w:r>
      </w:hyperlink>
    </w:p>
    <w:p w14:paraId="0FA84CFE" w14:textId="77777777" w:rsidR="009D3187" w:rsidRPr="00953C9F" w:rsidRDefault="009D3187" w:rsidP="009D3187">
      <w:pPr>
        <w:pStyle w:val="Default"/>
        <w:ind w:left="720" w:hanging="720"/>
        <w:jc w:val="both"/>
        <w:rPr>
          <w:color w:val="auto"/>
        </w:rPr>
      </w:pPr>
      <w:proofErr w:type="spellStart"/>
      <w:r w:rsidRPr="00953C9F">
        <w:rPr>
          <w:color w:val="auto"/>
        </w:rPr>
        <w:t>Omesi</w:t>
      </w:r>
      <w:proofErr w:type="spellEnd"/>
      <w:r w:rsidRPr="00953C9F">
        <w:rPr>
          <w:color w:val="auto"/>
        </w:rPr>
        <w:t xml:space="preserve">, I., &amp; Appah, E. (2021). Corporate tax planning and firm value of listed consumer goods companies in Nigeria. </w:t>
      </w:r>
      <w:r w:rsidRPr="00953C9F">
        <w:rPr>
          <w:i/>
          <w:iCs/>
          <w:color w:val="auto"/>
        </w:rPr>
        <w:t>IOSR Journal of Business and Management (IOSR-JBM)</w:t>
      </w:r>
      <w:r w:rsidRPr="00953C9F">
        <w:rPr>
          <w:color w:val="auto"/>
        </w:rPr>
        <w:t xml:space="preserve">, </w:t>
      </w:r>
      <w:r w:rsidRPr="00953C9F">
        <w:rPr>
          <w:i/>
          <w:iCs/>
          <w:color w:val="auto"/>
        </w:rPr>
        <w:t>23</w:t>
      </w:r>
      <w:r w:rsidRPr="00953C9F">
        <w:rPr>
          <w:color w:val="auto"/>
        </w:rPr>
        <w:t>(02), 42-51.</w:t>
      </w:r>
    </w:p>
    <w:p w14:paraId="469E697D" w14:textId="77777777" w:rsidR="009D3187" w:rsidRPr="00953C9F" w:rsidRDefault="009D3187" w:rsidP="009D3187">
      <w:pPr>
        <w:pStyle w:val="Default"/>
        <w:ind w:left="720" w:hanging="720"/>
        <w:jc w:val="both"/>
        <w:rPr>
          <w:color w:val="auto"/>
        </w:rPr>
      </w:pPr>
      <w:r w:rsidRPr="00953C9F">
        <w:rPr>
          <w:color w:val="auto"/>
        </w:rPr>
        <w:t xml:space="preserve">Owoeye Taiwo Omolade, Omowunmi </w:t>
      </w:r>
      <w:proofErr w:type="spellStart"/>
      <w:r w:rsidRPr="00953C9F">
        <w:rPr>
          <w:color w:val="auto"/>
        </w:rPr>
        <w:t>Olanike</w:t>
      </w:r>
      <w:proofErr w:type="spellEnd"/>
      <w:r w:rsidRPr="00953C9F">
        <w:rPr>
          <w:color w:val="auto"/>
        </w:rPr>
        <w:t xml:space="preserve"> </w:t>
      </w:r>
      <w:proofErr w:type="spellStart"/>
      <w:r w:rsidRPr="00953C9F">
        <w:rPr>
          <w:color w:val="auto"/>
        </w:rPr>
        <w:t>Oshatimi</w:t>
      </w:r>
      <w:proofErr w:type="spellEnd"/>
      <w:r w:rsidRPr="00953C9F">
        <w:rPr>
          <w:color w:val="auto"/>
        </w:rPr>
        <w:t xml:space="preserve"> and Grace Oluwafunmilayo </w:t>
      </w:r>
      <w:proofErr w:type="spellStart"/>
      <w:r w:rsidRPr="00953C9F">
        <w:rPr>
          <w:color w:val="auto"/>
        </w:rPr>
        <w:t>Odigun</w:t>
      </w:r>
      <w:proofErr w:type="spellEnd"/>
      <w:r w:rsidRPr="00953C9F">
        <w:rPr>
          <w:color w:val="auto"/>
        </w:rPr>
        <w:t xml:space="preserve"> (2026). Regulatory Dynamics and Forensic Accounting: Evidence from Nigeria Public University. International Journal of Innovative Research in Accounting and sustainability, 11(1) ISSN 2736-1381(print) ISSN 2736-1500 </w:t>
      </w:r>
    </w:p>
    <w:p w14:paraId="4641C99C" w14:textId="77777777" w:rsidR="009D3187" w:rsidRPr="00953C9F" w:rsidRDefault="009D3187" w:rsidP="009D3187">
      <w:pPr>
        <w:pStyle w:val="Default"/>
        <w:ind w:left="720" w:hanging="720"/>
        <w:jc w:val="both"/>
        <w:rPr>
          <w:color w:val="auto"/>
        </w:rPr>
      </w:pPr>
      <w:r w:rsidRPr="00953C9F">
        <w:rPr>
          <w:color w:val="auto"/>
        </w:rPr>
        <w:t xml:space="preserve">Putra, F. H., Yusuf, M., &amp; </w:t>
      </w:r>
      <w:proofErr w:type="spellStart"/>
      <w:r w:rsidRPr="00953C9F">
        <w:rPr>
          <w:color w:val="auto"/>
        </w:rPr>
        <w:t>Zairin</w:t>
      </w:r>
      <w:proofErr w:type="spellEnd"/>
      <w:r w:rsidRPr="00953C9F">
        <w:rPr>
          <w:color w:val="auto"/>
        </w:rPr>
        <w:t xml:space="preserve">, G. M. (2025). </w:t>
      </w:r>
      <w:proofErr w:type="spellStart"/>
      <w:r w:rsidRPr="00953C9F">
        <w:rPr>
          <w:color w:val="auto"/>
        </w:rPr>
        <w:t>Pengaruh</w:t>
      </w:r>
      <w:proofErr w:type="spellEnd"/>
      <w:r w:rsidRPr="00953C9F">
        <w:rPr>
          <w:color w:val="auto"/>
        </w:rPr>
        <w:t xml:space="preserve"> capital intensity, inventory intensity, dan </w:t>
      </w:r>
      <w:proofErr w:type="spellStart"/>
      <w:r w:rsidRPr="00953C9F">
        <w:rPr>
          <w:color w:val="auto"/>
        </w:rPr>
        <w:t>ukuran</w:t>
      </w:r>
      <w:proofErr w:type="spellEnd"/>
      <w:r w:rsidRPr="00953C9F">
        <w:rPr>
          <w:color w:val="auto"/>
        </w:rPr>
        <w:t xml:space="preserve"> </w:t>
      </w:r>
      <w:proofErr w:type="spellStart"/>
      <w:r w:rsidRPr="00953C9F">
        <w:rPr>
          <w:color w:val="auto"/>
        </w:rPr>
        <w:t>perusahaan</w:t>
      </w:r>
      <w:proofErr w:type="spellEnd"/>
      <w:r w:rsidRPr="00953C9F">
        <w:rPr>
          <w:color w:val="auto"/>
        </w:rPr>
        <w:t xml:space="preserve"> </w:t>
      </w:r>
      <w:proofErr w:type="spellStart"/>
      <w:r w:rsidRPr="00953C9F">
        <w:rPr>
          <w:color w:val="auto"/>
        </w:rPr>
        <w:t>terhadap</w:t>
      </w:r>
      <w:proofErr w:type="spellEnd"/>
      <w:r w:rsidRPr="00953C9F">
        <w:rPr>
          <w:color w:val="auto"/>
        </w:rPr>
        <w:t xml:space="preserve"> tax avoidance pada </w:t>
      </w:r>
      <w:proofErr w:type="spellStart"/>
      <w:r w:rsidRPr="00953C9F">
        <w:rPr>
          <w:color w:val="auto"/>
        </w:rPr>
        <w:t>emiten</w:t>
      </w:r>
      <w:proofErr w:type="spellEnd"/>
      <w:r w:rsidRPr="00953C9F">
        <w:rPr>
          <w:color w:val="auto"/>
        </w:rPr>
        <w:t xml:space="preserve"> </w:t>
      </w:r>
      <w:proofErr w:type="spellStart"/>
      <w:r w:rsidRPr="00953C9F">
        <w:rPr>
          <w:color w:val="auto"/>
        </w:rPr>
        <w:t>sektor</w:t>
      </w:r>
      <w:proofErr w:type="spellEnd"/>
      <w:r w:rsidRPr="00953C9F">
        <w:rPr>
          <w:color w:val="auto"/>
        </w:rPr>
        <w:t xml:space="preserve"> </w:t>
      </w:r>
      <w:proofErr w:type="spellStart"/>
      <w:r w:rsidRPr="00953C9F">
        <w:rPr>
          <w:color w:val="auto"/>
        </w:rPr>
        <w:t>properti</w:t>
      </w:r>
      <w:proofErr w:type="spellEnd"/>
      <w:r w:rsidRPr="00953C9F">
        <w:rPr>
          <w:color w:val="auto"/>
        </w:rPr>
        <w:t xml:space="preserve"> dan real estate yang </w:t>
      </w:r>
      <w:proofErr w:type="spellStart"/>
      <w:r w:rsidRPr="00953C9F">
        <w:rPr>
          <w:color w:val="auto"/>
        </w:rPr>
        <w:t>terdaftar</w:t>
      </w:r>
      <w:proofErr w:type="spellEnd"/>
      <w:r w:rsidRPr="00953C9F">
        <w:rPr>
          <w:color w:val="auto"/>
        </w:rPr>
        <w:t xml:space="preserve"> di BEI. </w:t>
      </w:r>
      <w:proofErr w:type="spellStart"/>
      <w:r w:rsidRPr="00953C9F">
        <w:rPr>
          <w:rStyle w:val="Emphasis"/>
          <w:rFonts w:asciiTheme="majorBidi" w:hAnsiTheme="majorBidi" w:cstheme="majorBidi"/>
          <w:color w:val="auto"/>
        </w:rPr>
        <w:t>Jurnal</w:t>
      </w:r>
      <w:proofErr w:type="spellEnd"/>
      <w:r w:rsidRPr="00953C9F">
        <w:rPr>
          <w:rStyle w:val="Emphasis"/>
          <w:rFonts w:asciiTheme="majorBidi" w:hAnsiTheme="majorBidi" w:cstheme="majorBidi"/>
          <w:color w:val="auto"/>
        </w:rPr>
        <w:t xml:space="preserve"> Revenue: </w:t>
      </w:r>
      <w:proofErr w:type="spellStart"/>
      <w:r w:rsidRPr="00953C9F">
        <w:rPr>
          <w:rStyle w:val="Emphasis"/>
          <w:rFonts w:asciiTheme="majorBidi" w:hAnsiTheme="majorBidi" w:cstheme="majorBidi"/>
          <w:color w:val="auto"/>
        </w:rPr>
        <w:t>Jurnal</w:t>
      </w:r>
      <w:proofErr w:type="spellEnd"/>
      <w:r w:rsidRPr="00953C9F">
        <w:rPr>
          <w:rStyle w:val="Emphasis"/>
          <w:rFonts w:asciiTheme="majorBidi" w:hAnsiTheme="majorBidi" w:cstheme="majorBidi"/>
          <w:color w:val="auto"/>
        </w:rPr>
        <w:t xml:space="preserve"> </w:t>
      </w:r>
      <w:proofErr w:type="spellStart"/>
      <w:r w:rsidRPr="00953C9F">
        <w:rPr>
          <w:rStyle w:val="Emphasis"/>
          <w:rFonts w:asciiTheme="majorBidi" w:hAnsiTheme="majorBidi" w:cstheme="majorBidi"/>
          <w:color w:val="auto"/>
        </w:rPr>
        <w:t>Ilmiah</w:t>
      </w:r>
      <w:proofErr w:type="spellEnd"/>
      <w:r w:rsidRPr="00953C9F">
        <w:rPr>
          <w:rStyle w:val="Emphasis"/>
          <w:rFonts w:asciiTheme="majorBidi" w:hAnsiTheme="majorBidi" w:cstheme="majorBidi"/>
          <w:color w:val="auto"/>
        </w:rPr>
        <w:t xml:space="preserve"> Akuntansi</w:t>
      </w:r>
      <w:r w:rsidRPr="00953C9F">
        <w:rPr>
          <w:color w:val="auto"/>
        </w:rPr>
        <w:t xml:space="preserve">, </w:t>
      </w:r>
      <w:r w:rsidRPr="00953C9F">
        <w:rPr>
          <w:rStyle w:val="Emphasis"/>
          <w:rFonts w:asciiTheme="majorBidi" w:hAnsiTheme="majorBidi" w:cstheme="majorBidi"/>
          <w:color w:val="auto"/>
        </w:rPr>
        <w:t>5</w:t>
      </w:r>
      <w:r w:rsidRPr="00953C9F">
        <w:rPr>
          <w:color w:val="auto"/>
        </w:rPr>
        <w:t xml:space="preserve">(2), 1351–1362. </w:t>
      </w:r>
      <w:hyperlink r:id="rId29" w:tgtFrame="_new" w:history="1">
        <w:r w:rsidRPr="00953C9F">
          <w:rPr>
            <w:rStyle w:val="Hyperlink"/>
            <w:rFonts w:asciiTheme="majorBidi" w:hAnsiTheme="majorBidi" w:cstheme="majorBidi"/>
            <w:color w:val="auto"/>
          </w:rPr>
          <w:t>https://doi.org/10.46306/rev.v5i2.604</w:t>
        </w:r>
      </w:hyperlink>
    </w:p>
    <w:p w14:paraId="64E04068" w14:textId="77777777" w:rsidR="009D3187" w:rsidRPr="00953C9F" w:rsidRDefault="009D3187" w:rsidP="009D3187">
      <w:pPr>
        <w:pStyle w:val="Default"/>
        <w:ind w:left="720" w:hanging="720"/>
        <w:jc w:val="both"/>
        <w:rPr>
          <w:color w:val="auto"/>
        </w:rPr>
      </w:pPr>
      <w:r w:rsidRPr="00953C9F">
        <w:rPr>
          <w:color w:val="auto"/>
        </w:rPr>
        <w:t xml:space="preserve">Putri, I. Y., Renaldo, N., Andi, Fransisca, L., </w:t>
      </w:r>
      <w:proofErr w:type="spellStart"/>
      <w:r w:rsidRPr="00953C9F">
        <w:rPr>
          <w:color w:val="auto"/>
        </w:rPr>
        <w:t>Suhardjo</w:t>
      </w:r>
      <w:proofErr w:type="spellEnd"/>
      <w:r w:rsidRPr="00953C9F">
        <w:rPr>
          <w:color w:val="auto"/>
        </w:rPr>
        <w:t xml:space="preserve">, S., &amp; Suyono, E. (2022). Sustainability report disclosure and profitability as a strategy to increase future firm value in the Indonesian banking sector. </w:t>
      </w:r>
      <w:r w:rsidRPr="00953C9F">
        <w:rPr>
          <w:rStyle w:val="Emphasis"/>
          <w:rFonts w:asciiTheme="majorBidi" w:hAnsiTheme="majorBidi" w:cstheme="majorBidi"/>
          <w:color w:val="auto"/>
        </w:rPr>
        <w:t>International Journal of Advanced Multidisciplinary Research and Studies, 2</w:t>
      </w:r>
      <w:r w:rsidRPr="00953C9F">
        <w:rPr>
          <w:color w:val="auto"/>
        </w:rPr>
        <w:t>(1), 100–104.</w:t>
      </w:r>
    </w:p>
    <w:p w14:paraId="0A13D4B7" w14:textId="77777777" w:rsidR="009D3187" w:rsidRPr="00953C9F" w:rsidRDefault="009D3187" w:rsidP="009D3187">
      <w:pPr>
        <w:pStyle w:val="Default"/>
        <w:ind w:left="720" w:hanging="720"/>
        <w:jc w:val="both"/>
        <w:rPr>
          <w:color w:val="auto"/>
        </w:rPr>
      </w:pPr>
      <w:r w:rsidRPr="00953C9F">
        <w:rPr>
          <w:color w:val="auto"/>
        </w:rPr>
        <w:t xml:space="preserve">Renaldo, N., &amp; </w:t>
      </w:r>
      <w:proofErr w:type="spellStart"/>
      <w:r w:rsidRPr="00953C9F">
        <w:rPr>
          <w:color w:val="auto"/>
        </w:rPr>
        <w:t>Murwaningsari</w:t>
      </w:r>
      <w:proofErr w:type="spellEnd"/>
      <w:r w:rsidRPr="00953C9F">
        <w:rPr>
          <w:color w:val="auto"/>
        </w:rPr>
        <w:t xml:space="preserve">, E. (2023). Does gender diversity moderate the determinant of future firm value. </w:t>
      </w:r>
      <w:r w:rsidRPr="00953C9F">
        <w:rPr>
          <w:rStyle w:val="Emphasis"/>
          <w:rFonts w:asciiTheme="majorBidi" w:hAnsiTheme="majorBidi" w:cstheme="majorBidi"/>
          <w:color w:val="auto"/>
        </w:rPr>
        <w:t>Review of Economics and Finance, 21</w:t>
      </w:r>
      <w:r w:rsidRPr="00953C9F">
        <w:rPr>
          <w:color w:val="auto"/>
        </w:rPr>
        <w:t>, 680–689.</w:t>
      </w:r>
    </w:p>
    <w:p w14:paraId="35D4186B" w14:textId="77777777" w:rsidR="009D3187" w:rsidRPr="00953C9F" w:rsidRDefault="009D3187" w:rsidP="009D3187">
      <w:pPr>
        <w:pStyle w:val="Default"/>
        <w:ind w:left="720" w:hanging="720"/>
        <w:jc w:val="both"/>
        <w:rPr>
          <w:color w:val="auto"/>
        </w:rPr>
      </w:pPr>
      <w:bookmarkStart w:id="4" w:name="_Hlk212123217"/>
      <w:r w:rsidRPr="00953C9F">
        <w:rPr>
          <w:color w:val="auto"/>
        </w:rPr>
        <w:t xml:space="preserve">Setiawati, L., &amp; </w:t>
      </w:r>
      <w:proofErr w:type="spellStart"/>
      <w:r w:rsidRPr="00953C9F">
        <w:rPr>
          <w:color w:val="auto"/>
        </w:rPr>
        <w:t>Tanggreini</w:t>
      </w:r>
      <w:proofErr w:type="spellEnd"/>
      <w:r w:rsidRPr="00953C9F">
        <w:rPr>
          <w:color w:val="auto"/>
        </w:rPr>
        <w:t>, F. L. (2025)</w:t>
      </w:r>
      <w:bookmarkEnd w:id="4"/>
      <w:r w:rsidRPr="00953C9F">
        <w:rPr>
          <w:color w:val="auto"/>
        </w:rPr>
        <w:t xml:space="preserve">. The influence of capital intensity, inventory intensity, and sales growth on tax aggressiveness in manufacturing companies. </w:t>
      </w:r>
      <w:r w:rsidRPr="00953C9F">
        <w:rPr>
          <w:rStyle w:val="Emphasis"/>
          <w:rFonts w:asciiTheme="majorBidi" w:hAnsiTheme="majorBidi" w:cstheme="majorBidi"/>
          <w:color w:val="auto"/>
        </w:rPr>
        <w:t>Proceeding International Conference on Accounting and Finance</w:t>
      </w:r>
      <w:r w:rsidRPr="00953C9F">
        <w:rPr>
          <w:color w:val="auto"/>
        </w:rPr>
        <w:t xml:space="preserve">, </w:t>
      </w:r>
      <w:r w:rsidRPr="00953C9F">
        <w:rPr>
          <w:rStyle w:val="Emphasis"/>
          <w:rFonts w:asciiTheme="majorBidi" w:hAnsiTheme="majorBidi" w:cstheme="majorBidi"/>
          <w:color w:val="auto"/>
        </w:rPr>
        <w:t>3</w:t>
      </w:r>
      <w:r w:rsidRPr="00953C9F">
        <w:rPr>
          <w:color w:val="auto"/>
        </w:rPr>
        <w:t xml:space="preserve">, 158–167. Retrieved from </w:t>
      </w:r>
      <w:hyperlink r:id="rId30" w:tgtFrame="_new" w:history="1">
        <w:r w:rsidRPr="00953C9F">
          <w:rPr>
            <w:rStyle w:val="Hyperlink"/>
            <w:rFonts w:asciiTheme="majorBidi" w:hAnsiTheme="majorBidi" w:cstheme="majorBidi"/>
            <w:color w:val="auto"/>
          </w:rPr>
          <w:t>https://journal.uii.ac.id/inCAF/article/view/38330</w:t>
        </w:r>
      </w:hyperlink>
    </w:p>
    <w:p w14:paraId="24B99398" w14:textId="77777777" w:rsidR="009D3187" w:rsidRPr="00953C9F" w:rsidRDefault="009D3187" w:rsidP="009D3187">
      <w:pPr>
        <w:pStyle w:val="Default"/>
        <w:ind w:left="720" w:hanging="720"/>
        <w:jc w:val="both"/>
        <w:rPr>
          <w:color w:val="auto"/>
        </w:rPr>
      </w:pPr>
      <w:r w:rsidRPr="00953C9F">
        <w:rPr>
          <w:color w:val="auto"/>
        </w:rPr>
        <w:lastRenderedPageBreak/>
        <w:t xml:space="preserve">Sugumar, H. (2023). </w:t>
      </w:r>
      <w:r w:rsidRPr="00953C9F">
        <w:rPr>
          <w:rStyle w:val="Emphasis"/>
          <w:rFonts w:asciiTheme="majorBidi" w:hAnsiTheme="majorBidi" w:cstheme="majorBidi"/>
          <w:color w:val="auto"/>
        </w:rPr>
        <w:t>Determinants of financial leverage: Evidence from India</w:t>
      </w:r>
      <w:r w:rsidRPr="00953C9F">
        <w:rPr>
          <w:color w:val="auto"/>
        </w:rPr>
        <w:t>. Lambert Academic Publishing.</w:t>
      </w:r>
    </w:p>
    <w:p w14:paraId="7E5FF612" w14:textId="77777777" w:rsidR="009D3187" w:rsidRPr="00953C9F" w:rsidRDefault="009D3187" w:rsidP="009D3187">
      <w:pPr>
        <w:pStyle w:val="Default"/>
        <w:ind w:left="720" w:hanging="720"/>
        <w:jc w:val="both"/>
        <w:rPr>
          <w:color w:val="auto"/>
        </w:rPr>
      </w:pPr>
      <w:r w:rsidRPr="00953C9F">
        <w:rPr>
          <w:color w:val="auto"/>
        </w:rPr>
        <w:t xml:space="preserve">Syawalia, F. F. (2025). Effect of liquidity, capital intensity, financial distress on tax avoidance with audit committee moderation. </w:t>
      </w:r>
      <w:proofErr w:type="spellStart"/>
      <w:r w:rsidRPr="00953C9F">
        <w:rPr>
          <w:rStyle w:val="Emphasis"/>
          <w:rFonts w:asciiTheme="majorBidi" w:hAnsiTheme="majorBidi" w:cstheme="majorBidi"/>
          <w:color w:val="auto"/>
        </w:rPr>
        <w:t>Prosiding</w:t>
      </w:r>
      <w:proofErr w:type="spellEnd"/>
      <w:r w:rsidRPr="00953C9F">
        <w:rPr>
          <w:rStyle w:val="Emphasis"/>
          <w:rFonts w:asciiTheme="majorBidi" w:hAnsiTheme="majorBidi" w:cstheme="majorBidi"/>
          <w:color w:val="auto"/>
        </w:rPr>
        <w:t xml:space="preserve"> </w:t>
      </w:r>
      <w:proofErr w:type="spellStart"/>
      <w:r w:rsidRPr="00953C9F">
        <w:rPr>
          <w:rStyle w:val="Emphasis"/>
          <w:rFonts w:asciiTheme="majorBidi" w:hAnsiTheme="majorBidi" w:cstheme="majorBidi"/>
          <w:color w:val="auto"/>
        </w:rPr>
        <w:t>Simposium</w:t>
      </w:r>
      <w:proofErr w:type="spellEnd"/>
      <w:r w:rsidRPr="00953C9F">
        <w:rPr>
          <w:rStyle w:val="Emphasis"/>
          <w:rFonts w:asciiTheme="majorBidi" w:hAnsiTheme="majorBidi" w:cstheme="majorBidi"/>
          <w:color w:val="auto"/>
        </w:rPr>
        <w:t xml:space="preserve"> </w:t>
      </w:r>
      <w:proofErr w:type="spellStart"/>
      <w:r w:rsidRPr="00953C9F">
        <w:rPr>
          <w:rStyle w:val="Emphasis"/>
          <w:rFonts w:asciiTheme="majorBidi" w:hAnsiTheme="majorBidi" w:cstheme="majorBidi"/>
          <w:color w:val="auto"/>
        </w:rPr>
        <w:t>Ilmiah</w:t>
      </w:r>
      <w:proofErr w:type="spellEnd"/>
      <w:r w:rsidRPr="00953C9F">
        <w:rPr>
          <w:rStyle w:val="Emphasis"/>
          <w:rFonts w:asciiTheme="majorBidi" w:hAnsiTheme="majorBidi" w:cstheme="majorBidi"/>
          <w:color w:val="auto"/>
        </w:rPr>
        <w:t xml:space="preserve"> Akuntansi</w:t>
      </w:r>
      <w:r w:rsidRPr="00953C9F">
        <w:rPr>
          <w:color w:val="auto"/>
        </w:rPr>
        <w:t xml:space="preserve">, 166–178. </w:t>
      </w:r>
      <w:hyperlink r:id="rId31" w:tgtFrame="_new" w:history="1">
        <w:r w:rsidRPr="00953C9F">
          <w:rPr>
            <w:rStyle w:val="Hyperlink"/>
            <w:rFonts w:asciiTheme="majorBidi" w:hAnsiTheme="majorBidi" w:cstheme="majorBidi"/>
            <w:color w:val="auto"/>
          </w:rPr>
          <w:t>https://sia-iaikpd.fdaptsu.org/index.php/sia/article/view/292</w:t>
        </w:r>
      </w:hyperlink>
    </w:p>
    <w:p w14:paraId="42701829" w14:textId="77777777" w:rsidR="009D3187" w:rsidRPr="00953C9F" w:rsidRDefault="009D3187" w:rsidP="009D3187">
      <w:pPr>
        <w:pStyle w:val="Default"/>
        <w:ind w:left="720" w:hanging="720"/>
        <w:jc w:val="both"/>
        <w:rPr>
          <w:color w:val="auto"/>
        </w:rPr>
      </w:pPr>
      <w:r w:rsidRPr="00953C9F">
        <w:rPr>
          <w:color w:val="auto"/>
        </w:rPr>
        <w:t xml:space="preserve">Tackie, G., Agyei, S. K., </w:t>
      </w:r>
      <w:proofErr w:type="spellStart"/>
      <w:r w:rsidRPr="00953C9F">
        <w:rPr>
          <w:color w:val="auto"/>
        </w:rPr>
        <w:t>Bawuah</w:t>
      </w:r>
      <w:proofErr w:type="spellEnd"/>
      <w:r w:rsidRPr="00953C9F">
        <w:rPr>
          <w:color w:val="auto"/>
        </w:rPr>
        <w:t xml:space="preserve">, I., Adela, V., &amp; Bossman, A. (2022). Tax planning and financial performance of insurance companies in Ghana: the moderating role of corporate governance. </w:t>
      </w:r>
      <w:r w:rsidRPr="00953C9F">
        <w:rPr>
          <w:i/>
          <w:iCs/>
          <w:color w:val="auto"/>
        </w:rPr>
        <w:t>Cogent Business &amp; Management</w:t>
      </w:r>
      <w:r w:rsidRPr="00953C9F">
        <w:rPr>
          <w:color w:val="auto"/>
        </w:rPr>
        <w:t xml:space="preserve">, </w:t>
      </w:r>
      <w:r w:rsidRPr="00953C9F">
        <w:rPr>
          <w:i/>
          <w:iCs/>
          <w:color w:val="auto"/>
        </w:rPr>
        <w:t>9</w:t>
      </w:r>
      <w:r w:rsidRPr="00953C9F">
        <w:rPr>
          <w:color w:val="auto"/>
        </w:rPr>
        <w:t xml:space="preserve">(1), 2144097. </w:t>
      </w:r>
      <w:hyperlink r:id="rId32" w:history="1">
        <w:r w:rsidRPr="00953C9F">
          <w:rPr>
            <w:rStyle w:val="Hyperlink"/>
            <w:rFonts w:asciiTheme="majorBidi" w:hAnsiTheme="majorBidi" w:cstheme="majorBidi"/>
            <w:color w:val="auto"/>
          </w:rPr>
          <w:t>https://doi.org/10.1080/23311975.2022.2144097</w:t>
        </w:r>
      </w:hyperlink>
    </w:p>
    <w:p w14:paraId="615BAE0A" w14:textId="77777777" w:rsidR="009D3187" w:rsidRPr="00953C9F" w:rsidRDefault="009D3187" w:rsidP="009D3187">
      <w:pPr>
        <w:pStyle w:val="Default"/>
        <w:ind w:left="720" w:hanging="720"/>
        <w:jc w:val="both"/>
        <w:rPr>
          <w:color w:val="auto"/>
        </w:rPr>
      </w:pPr>
      <w:proofErr w:type="spellStart"/>
      <w:r w:rsidRPr="00953C9F">
        <w:rPr>
          <w:color w:val="auto"/>
          <w:lang w:val="fr-FR"/>
        </w:rPr>
        <w:t>Tran</w:t>
      </w:r>
      <w:proofErr w:type="spellEnd"/>
      <w:r w:rsidRPr="00953C9F">
        <w:rPr>
          <w:color w:val="auto"/>
          <w:lang w:val="fr-FR"/>
        </w:rPr>
        <w:t xml:space="preserve">, D., &amp; Nguyen, T. (2025). </w:t>
      </w:r>
      <w:r w:rsidRPr="00953C9F">
        <w:rPr>
          <w:color w:val="auto"/>
        </w:rPr>
        <w:t xml:space="preserve">Capital buffer and bank risk-taking in Vietnam: the moderating role of capital regulation and shadow banking. </w:t>
      </w:r>
      <w:r w:rsidRPr="00953C9F">
        <w:rPr>
          <w:i/>
          <w:iCs/>
          <w:color w:val="auto"/>
        </w:rPr>
        <w:t>Journal of Financial Regulation and Compliance</w:t>
      </w:r>
      <w:r w:rsidRPr="00953C9F">
        <w:rPr>
          <w:color w:val="auto"/>
        </w:rPr>
        <w:t xml:space="preserve">, </w:t>
      </w:r>
      <w:r w:rsidRPr="00953C9F">
        <w:rPr>
          <w:i/>
          <w:iCs/>
          <w:color w:val="auto"/>
        </w:rPr>
        <w:t>33</w:t>
      </w:r>
      <w:r w:rsidRPr="00953C9F">
        <w:rPr>
          <w:color w:val="auto"/>
        </w:rPr>
        <w:t xml:space="preserve">(1), 48-66. </w:t>
      </w:r>
      <w:hyperlink r:id="rId33" w:history="1">
        <w:r w:rsidRPr="00953C9F">
          <w:rPr>
            <w:rStyle w:val="Hyperlink"/>
            <w:rFonts w:asciiTheme="majorBidi" w:eastAsia="Times New Roman" w:hAnsiTheme="majorBidi" w:cstheme="majorBidi"/>
            <w:color w:val="auto"/>
            <w14:ligatures w14:val="none"/>
          </w:rPr>
          <w:t>https://doi.org/10.1108/JFRC-06-2024-0106</w:t>
        </w:r>
      </w:hyperlink>
    </w:p>
    <w:p w14:paraId="1530AAF9" w14:textId="77777777" w:rsidR="009D3187" w:rsidRPr="00953C9F" w:rsidRDefault="009D3187" w:rsidP="009D3187">
      <w:pPr>
        <w:pStyle w:val="Default"/>
        <w:ind w:left="720" w:hanging="720"/>
        <w:jc w:val="both"/>
        <w:rPr>
          <w:color w:val="auto"/>
        </w:rPr>
      </w:pPr>
      <w:proofErr w:type="spellStart"/>
      <w:r w:rsidRPr="00953C9F">
        <w:rPr>
          <w:color w:val="auto"/>
        </w:rPr>
        <w:t>Widyastuti</w:t>
      </w:r>
      <w:proofErr w:type="spellEnd"/>
      <w:r w:rsidRPr="00953C9F">
        <w:rPr>
          <w:color w:val="auto"/>
        </w:rPr>
        <w:t xml:space="preserve">, S. M., </w:t>
      </w:r>
      <w:proofErr w:type="spellStart"/>
      <w:r w:rsidRPr="00953C9F">
        <w:rPr>
          <w:color w:val="auto"/>
        </w:rPr>
        <w:t>Meutia</w:t>
      </w:r>
      <w:proofErr w:type="spellEnd"/>
      <w:r w:rsidRPr="00953C9F">
        <w:rPr>
          <w:color w:val="auto"/>
        </w:rPr>
        <w:t xml:space="preserve">, I., &amp; Candrakanta, A. B. (2021). The effect of leverage, profitability, capital intensity and corporate governance on tax avoidance. </w:t>
      </w:r>
      <w:r w:rsidRPr="00953C9F">
        <w:rPr>
          <w:i/>
          <w:iCs/>
          <w:color w:val="auto"/>
        </w:rPr>
        <w:t>Integrated Journal of Business and Economics</w:t>
      </w:r>
      <w:r w:rsidRPr="00953C9F">
        <w:rPr>
          <w:color w:val="auto"/>
        </w:rPr>
        <w:t xml:space="preserve">, </w:t>
      </w:r>
      <w:r w:rsidRPr="00953C9F">
        <w:rPr>
          <w:i/>
          <w:iCs/>
          <w:color w:val="auto"/>
        </w:rPr>
        <w:t>6</w:t>
      </w:r>
      <w:r w:rsidRPr="00953C9F">
        <w:rPr>
          <w:color w:val="auto"/>
        </w:rPr>
        <w:t>(1), 13-27.</w:t>
      </w:r>
    </w:p>
    <w:p w14:paraId="071BD72C" w14:textId="77777777" w:rsidR="007A63CF" w:rsidRPr="00A32E4E" w:rsidRDefault="007A63CF" w:rsidP="00A32E4E">
      <w:pPr>
        <w:ind w:left="720" w:hanging="720"/>
        <w:jc w:val="both"/>
        <w:rPr>
          <w:rFonts w:ascii="Times New Roman" w:hAnsi="Times New Roman" w:cs="Times New Roman"/>
          <w:b/>
          <w:sz w:val="24"/>
          <w:szCs w:val="24"/>
        </w:rPr>
      </w:pPr>
    </w:p>
    <w:sectPr w:rsidR="007A63CF" w:rsidRPr="00A32E4E">
      <w:headerReference w:type="even" r:id="rId34"/>
      <w:headerReference w:type="default" r:id="rId35"/>
      <w:footerReference w:type="even" r:id="rId36"/>
      <w:footerReference w:type="default" r:id="rId37"/>
      <w:headerReference w:type="first" r:id="rId38"/>
      <w:footerReference w:type="first" r:id="rId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95B92" w14:textId="77777777" w:rsidR="00AA62AC" w:rsidRDefault="00AA62AC" w:rsidP="000B54E3">
      <w:pPr>
        <w:spacing w:after="0" w:line="240" w:lineRule="auto"/>
      </w:pPr>
      <w:r>
        <w:separator/>
      </w:r>
    </w:p>
  </w:endnote>
  <w:endnote w:type="continuationSeparator" w:id="0">
    <w:p w14:paraId="610E29D3" w14:textId="77777777" w:rsidR="00AA62AC" w:rsidRDefault="00AA62AC" w:rsidP="000B5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71EDA" w14:textId="77777777" w:rsidR="000B54E3" w:rsidRDefault="000B54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C79D" w14:textId="77777777" w:rsidR="000B54E3" w:rsidRDefault="000B54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35CA8" w14:textId="77777777" w:rsidR="000B54E3" w:rsidRDefault="000B54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5CB71" w14:textId="77777777" w:rsidR="00AA62AC" w:rsidRDefault="00AA62AC" w:rsidP="000B54E3">
      <w:pPr>
        <w:spacing w:after="0" w:line="240" w:lineRule="auto"/>
      </w:pPr>
      <w:r>
        <w:separator/>
      </w:r>
    </w:p>
  </w:footnote>
  <w:footnote w:type="continuationSeparator" w:id="0">
    <w:p w14:paraId="17EB4ACF" w14:textId="77777777" w:rsidR="00AA62AC" w:rsidRDefault="00AA62AC" w:rsidP="000B5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1FF28" w14:textId="41465593" w:rsidR="000B54E3" w:rsidRDefault="000B54E3">
    <w:pPr>
      <w:pStyle w:val="Header"/>
    </w:pPr>
    <w:r>
      <w:rPr>
        <w:noProof/>
      </w:rPr>
      <w:pict w14:anchorId="2DAC2C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7336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1011" w14:textId="3DD09B56" w:rsidR="000B54E3" w:rsidRDefault="000B54E3">
    <w:pPr>
      <w:pStyle w:val="Header"/>
    </w:pPr>
    <w:r>
      <w:rPr>
        <w:noProof/>
      </w:rPr>
      <w:pict w14:anchorId="024576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7336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FE6D" w14:textId="7034ADF5" w:rsidR="000B54E3" w:rsidRDefault="000B54E3">
    <w:pPr>
      <w:pStyle w:val="Header"/>
    </w:pPr>
    <w:r>
      <w:rPr>
        <w:noProof/>
      </w:rPr>
      <w:pict w14:anchorId="0BF279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27335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617A"/>
    <w:multiLevelType w:val="multilevel"/>
    <w:tmpl w:val="C5FE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98636A"/>
    <w:multiLevelType w:val="hybridMultilevel"/>
    <w:tmpl w:val="3C480426"/>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401387"/>
    <w:multiLevelType w:val="hybridMultilevel"/>
    <w:tmpl w:val="897A78B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162982"/>
    <w:multiLevelType w:val="multilevel"/>
    <w:tmpl w:val="3E385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C6603"/>
    <w:multiLevelType w:val="multilevel"/>
    <w:tmpl w:val="8C54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7252506">
    <w:abstractNumId w:val="2"/>
  </w:num>
  <w:num w:numId="2" w16cid:durableId="2028634004">
    <w:abstractNumId w:val="1"/>
  </w:num>
  <w:num w:numId="3" w16cid:durableId="1169521121">
    <w:abstractNumId w:val="4"/>
  </w:num>
  <w:num w:numId="4" w16cid:durableId="1676759142">
    <w:abstractNumId w:val="3"/>
  </w:num>
  <w:num w:numId="5" w16cid:durableId="13294765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3CF"/>
    <w:rsid w:val="00005908"/>
    <w:rsid w:val="00030706"/>
    <w:rsid w:val="00082587"/>
    <w:rsid w:val="000B54E3"/>
    <w:rsid w:val="000F1E57"/>
    <w:rsid w:val="00166F26"/>
    <w:rsid w:val="0017160F"/>
    <w:rsid w:val="001C0FCA"/>
    <w:rsid w:val="0023243E"/>
    <w:rsid w:val="002420C6"/>
    <w:rsid w:val="0024512B"/>
    <w:rsid w:val="002626AB"/>
    <w:rsid w:val="002C2CE5"/>
    <w:rsid w:val="002C7EFB"/>
    <w:rsid w:val="003019D7"/>
    <w:rsid w:val="0033677E"/>
    <w:rsid w:val="003811FC"/>
    <w:rsid w:val="00401C4F"/>
    <w:rsid w:val="0044155E"/>
    <w:rsid w:val="004654E0"/>
    <w:rsid w:val="004C0E97"/>
    <w:rsid w:val="004C746E"/>
    <w:rsid w:val="004D7082"/>
    <w:rsid w:val="004E4941"/>
    <w:rsid w:val="00556F51"/>
    <w:rsid w:val="005F2404"/>
    <w:rsid w:val="006C0EF4"/>
    <w:rsid w:val="007009CE"/>
    <w:rsid w:val="00733D7A"/>
    <w:rsid w:val="00743B41"/>
    <w:rsid w:val="00762E07"/>
    <w:rsid w:val="007A63CF"/>
    <w:rsid w:val="007B3DCE"/>
    <w:rsid w:val="007E3FDE"/>
    <w:rsid w:val="008047CC"/>
    <w:rsid w:val="00804982"/>
    <w:rsid w:val="0083233F"/>
    <w:rsid w:val="00914859"/>
    <w:rsid w:val="00923CC7"/>
    <w:rsid w:val="009A4EB5"/>
    <w:rsid w:val="009B0EF4"/>
    <w:rsid w:val="009D3187"/>
    <w:rsid w:val="00A239A2"/>
    <w:rsid w:val="00A32E4E"/>
    <w:rsid w:val="00AA025C"/>
    <w:rsid w:val="00AA62AC"/>
    <w:rsid w:val="00AF335C"/>
    <w:rsid w:val="00B12F7D"/>
    <w:rsid w:val="00B15338"/>
    <w:rsid w:val="00B531CD"/>
    <w:rsid w:val="00B8743F"/>
    <w:rsid w:val="00B969B9"/>
    <w:rsid w:val="00BD1176"/>
    <w:rsid w:val="00BD19F0"/>
    <w:rsid w:val="00C4269E"/>
    <w:rsid w:val="00C60EBF"/>
    <w:rsid w:val="00C92507"/>
    <w:rsid w:val="00CF4908"/>
    <w:rsid w:val="00D03962"/>
    <w:rsid w:val="00D056A1"/>
    <w:rsid w:val="00D16BBE"/>
    <w:rsid w:val="00D76CD2"/>
    <w:rsid w:val="00DC4111"/>
    <w:rsid w:val="00DE47CA"/>
    <w:rsid w:val="00E3738A"/>
    <w:rsid w:val="00E4285F"/>
    <w:rsid w:val="00E50E62"/>
    <w:rsid w:val="00EB2542"/>
    <w:rsid w:val="00F632EA"/>
    <w:rsid w:val="00F70A86"/>
    <w:rsid w:val="00F72BA4"/>
    <w:rsid w:val="00F76522"/>
    <w:rsid w:val="00FB5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D76F9"/>
  <w15:chartTrackingRefBased/>
  <w15:docId w15:val="{68FA6ADA-9B71-44C1-8CC1-8213D039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02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08258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4C746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3CF"/>
    <w:pPr>
      <w:ind w:left="720"/>
      <w:contextualSpacing/>
    </w:pPr>
    <w:rPr>
      <w:kern w:val="2"/>
      <w:lang w:val="en-US"/>
      <w14:ligatures w14:val="standardContextual"/>
    </w:rPr>
  </w:style>
  <w:style w:type="paragraph" w:styleId="NormalWeb">
    <w:name w:val="Normal (Web)"/>
    <w:basedOn w:val="Normal"/>
    <w:uiPriority w:val="99"/>
    <w:unhideWhenUsed/>
    <w:rsid w:val="00F70A8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rsid w:val="00923CC7"/>
    <w:rPr>
      <w:color w:val="0563C1"/>
      <w:u w:val="single"/>
    </w:rPr>
  </w:style>
  <w:style w:type="character" w:customStyle="1" w:styleId="mord">
    <w:name w:val="mord"/>
    <w:basedOn w:val="DefaultParagraphFont"/>
    <w:rsid w:val="00EB2542"/>
  </w:style>
  <w:style w:type="character" w:customStyle="1" w:styleId="vlist-s">
    <w:name w:val="vlist-s"/>
    <w:basedOn w:val="DefaultParagraphFont"/>
    <w:rsid w:val="00EB2542"/>
  </w:style>
  <w:style w:type="character" w:customStyle="1" w:styleId="mrel">
    <w:name w:val="mrel"/>
    <w:basedOn w:val="DefaultParagraphFont"/>
    <w:rsid w:val="00EB2542"/>
  </w:style>
  <w:style w:type="paragraph" w:styleId="NoSpacing">
    <w:name w:val="No Spacing"/>
    <w:uiPriority w:val="1"/>
    <w:qFormat/>
    <w:rsid w:val="00EB2542"/>
    <w:pPr>
      <w:spacing w:after="0" w:line="240" w:lineRule="auto"/>
    </w:pPr>
  </w:style>
  <w:style w:type="character" w:customStyle="1" w:styleId="Heading1Char">
    <w:name w:val="Heading 1 Char"/>
    <w:basedOn w:val="DefaultParagraphFont"/>
    <w:link w:val="Heading1"/>
    <w:uiPriority w:val="9"/>
    <w:rsid w:val="00AA025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082587"/>
    <w:rPr>
      <w:rFonts w:ascii="Times New Roman" w:eastAsia="Times New Roman" w:hAnsi="Times New Roman" w:cs="Times New Roman"/>
      <w:b/>
      <w:bCs/>
      <w:sz w:val="27"/>
      <w:szCs w:val="27"/>
      <w:lang w:eastAsia="en-GB"/>
    </w:rPr>
  </w:style>
  <w:style w:type="character" w:customStyle="1" w:styleId="mbin">
    <w:name w:val="mbin"/>
    <w:basedOn w:val="DefaultParagraphFont"/>
    <w:rsid w:val="00082587"/>
  </w:style>
  <w:style w:type="character" w:customStyle="1" w:styleId="mopen">
    <w:name w:val="mopen"/>
    <w:basedOn w:val="DefaultParagraphFont"/>
    <w:rsid w:val="00082587"/>
  </w:style>
  <w:style w:type="character" w:customStyle="1" w:styleId="mpunct">
    <w:name w:val="mpunct"/>
    <w:basedOn w:val="DefaultParagraphFont"/>
    <w:rsid w:val="00082587"/>
  </w:style>
  <w:style w:type="character" w:customStyle="1" w:styleId="mclose">
    <w:name w:val="mclose"/>
    <w:basedOn w:val="DefaultParagraphFont"/>
    <w:rsid w:val="00082587"/>
  </w:style>
  <w:style w:type="character" w:styleId="Strong">
    <w:name w:val="Strong"/>
    <w:basedOn w:val="DefaultParagraphFont"/>
    <w:uiPriority w:val="22"/>
    <w:qFormat/>
    <w:rsid w:val="00F632EA"/>
    <w:rPr>
      <w:b/>
      <w:bCs/>
    </w:rPr>
  </w:style>
  <w:style w:type="character" w:customStyle="1" w:styleId="math-inline">
    <w:name w:val="math-inline"/>
    <w:basedOn w:val="DefaultParagraphFont"/>
    <w:rsid w:val="00F632EA"/>
  </w:style>
  <w:style w:type="character" w:styleId="HTMLCode">
    <w:name w:val="HTML Code"/>
    <w:basedOn w:val="DefaultParagraphFont"/>
    <w:uiPriority w:val="99"/>
    <w:semiHidden/>
    <w:unhideWhenUsed/>
    <w:rsid w:val="004D7082"/>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semiHidden/>
    <w:rsid w:val="004C746E"/>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0F1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9D3187"/>
    <w:rPr>
      <w:i/>
      <w:iCs/>
    </w:rPr>
  </w:style>
  <w:style w:type="paragraph" w:customStyle="1" w:styleId="Default">
    <w:name w:val="Default"/>
    <w:qFormat/>
    <w:rsid w:val="009D3187"/>
    <w:pPr>
      <w:autoSpaceDE w:val="0"/>
      <w:autoSpaceDN w:val="0"/>
      <w:adjustRightInd w:val="0"/>
      <w:spacing w:after="0" w:line="240" w:lineRule="auto"/>
    </w:pPr>
    <w:rPr>
      <w:rFonts w:ascii="Times New Roman" w:hAnsi="Times New Roman" w:cs="Times New Roman"/>
      <w:color w:val="000000"/>
      <w:sz w:val="24"/>
      <w:szCs w:val="24"/>
      <w:lang w:val="en-US"/>
      <w14:ligatures w14:val="standardContextual"/>
    </w:rPr>
  </w:style>
  <w:style w:type="character" w:customStyle="1" w:styleId="value">
    <w:name w:val="value"/>
    <w:basedOn w:val="DefaultParagraphFont"/>
    <w:rsid w:val="009D3187"/>
  </w:style>
  <w:style w:type="character" w:customStyle="1" w:styleId="c-bibliographic-informationvalue">
    <w:name w:val="c-bibliographic-information__value"/>
    <w:basedOn w:val="DefaultParagraphFont"/>
    <w:rsid w:val="009D3187"/>
  </w:style>
  <w:style w:type="character" w:styleId="UnresolvedMention">
    <w:name w:val="Unresolved Mention"/>
    <w:basedOn w:val="DefaultParagraphFont"/>
    <w:uiPriority w:val="99"/>
    <w:semiHidden/>
    <w:unhideWhenUsed/>
    <w:rsid w:val="00B12F7D"/>
    <w:rPr>
      <w:color w:val="605E5C"/>
      <w:shd w:val="clear" w:color="auto" w:fill="E1DFDD"/>
    </w:rPr>
  </w:style>
  <w:style w:type="character" w:customStyle="1" w:styleId="qu">
    <w:name w:val="qu"/>
    <w:basedOn w:val="DefaultParagraphFont"/>
    <w:rsid w:val="009B0EF4"/>
  </w:style>
  <w:style w:type="character" w:customStyle="1" w:styleId="gd">
    <w:name w:val="gd"/>
    <w:basedOn w:val="DefaultParagraphFont"/>
    <w:rsid w:val="009B0EF4"/>
  </w:style>
  <w:style w:type="paragraph" w:styleId="Header">
    <w:name w:val="header"/>
    <w:basedOn w:val="Normal"/>
    <w:link w:val="HeaderChar"/>
    <w:uiPriority w:val="99"/>
    <w:unhideWhenUsed/>
    <w:rsid w:val="000B54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54E3"/>
  </w:style>
  <w:style w:type="paragraph" w:styleId="Footer">
    <w:name w:val="footer"/>
    <w:basedOn w:val="Normal"/>
    <w:link w:val="FooterChar"/>
    <w:uiPriority w:val="99"/>
    <w:unhideWhenUsed/>
    <w:rsid w:val="000B54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5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8564">
      <w:bodyDiv w:val="1"/>
      <w:marLeft w:val="0"/>
      <w:marRight w:val="0"/>
      <w:marTop w:val="0"/>
      <w:marBottom w:val="0"/>
      <w:divBdr>
        <w:top w:val="none" w:sz="0" w:space="0" w:color="auto"/>
        <w:left w:val="none" w:sz="0" w:space="0" w:color="auto"/>
        <w:bottom w:val="none" w:sz="0" w:space="0" w:color="auto"/>
        <w:right w:val="none" w:sz="0" w:space="0" w:color="auto"/>
      </w:divBdr>
      <w:divsChild>
        <w:div w:id="1950428166">
          <w:marLeft w:val="0"/>
          <w:marRight w:val="0"/>
          <w:marTop w:val="0"/>
          <w:marBottom w:val="0"/>
          <w:divBdr>
            <w:top w:val="none" w:sz="0" w:space="0" w:color="auto"/>
            <w:left w:val="none" w:sz="0" w:space="0" w:color="auto"/>
            <w:bottom w:val="none" w:sz="0" w:space="0" w:color="auto"/>
            <w:right w:val="none" w:sz="0" w:space="0" w:color="auto"/>
          </w:divBdr>
          <w:divsChild>
            <w:div w:id="146291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55266">
      <w:bodyDiv w:val="1"/>
      <w:marLeft w:val="0"/>
      <w:marRight w:val="0"/>
      <w:marTop w:val="0"/>
      <w:marBottom w:val="0"/>
      <w:divBdr>
        <w:top w:val="none" w:sz="0" w:space="0" w:color="auto"/>
        <w:left w:val="none" w:sz="0" w:space="0" w:color="auto"/>
        <w:bottom w:val="none" w:sz="0" w:space="0" w:color="auto"/>
        <w:right w:val="none" w:sz="0" w:space="0" w:color="auto"/>
      </w:divBdr>
      <w:divsChild>
        <w:div w:id="86579946">
          <w:marLeft w:val="0"/>
          <w:marRight w:val="0"/>
          <w:marTop w:val="0"/>
          <w:marBottom w:val="0"/>
          <w:divBdr>
            <w:top w:val="none" w:sz="0" w:space="0" w:color="auto"/>
            <w:left w:val="none" w:sz="0" w:space="0" w:color="auto"/>
            <w:bottom w:val="none" w:sz="0" w:space="0" w:color="auto"/>
            <w:right w:val="none" w:sz="0" w:space="0" w:color="auto"/>
          </w:divBdr>
          <w:divsChild>
            <w:div w:id="150590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4557">
      <w:bodyDiv w:val="1"/>
      <w:marLeft w:val="0"/>
      <w:marRight w:val="0"/>
      <w:marTop w:val="0"/>
      <w:marBottom w:val="0"/>
      <w:divBdr>
        <w:top w:val="none" w:sz="0" w:space="0" w:color="auto"/>
        <w:left w:val="none" w:sz="0" w:space="0" w:color="auto"/>
        <w:bottom w:val="none" w:sz="0" w:space="0" w:color="auto"/>
        <w:right w:val="none" w:sz="0" w:space="0" w:color="auto"/>
      </w:divBdr>
      <w:divsChild>
        <w:div w:id="759329303">
          <w:marLeft w:val="0"/>
          <w:marRight w:val="0"/>
          <w:marTop w:val="0"/>
          <w:marBottom w:val="0"/>
          <w:divBdr>
            <w:top w:val="none" w:sz="0" w:space="0" w:color="auto"/>
            <w:left w:val="none" w:sz="0" w:space="0" w:color="auto"/>
            <w:bottom w:val="none" w:sz="0" w:space="0" w:color="auto"/>
            <w:right w:val="none" w:sz="0" w:space="0" w:color="auto"/>
          </w:divBdr>
          <w:divsChild>
            <w:div w:id="113521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51691">
      <w:bodyDiv w:val="1"/>
      <w:marLeft w:val="0"/>
      <w:marRight w:val="0"/>
      <w:marTop w:val="0"/>
      <w:marBottom w:val="0"/>
      <w:divBdr>
        <w:top w:val="none" w:sz="0" w:space="0" w:color="auto"/>
        <w:left w:val="none" w:sz="0" w:space="0" w:color="auto"/>
        <w:bottom w:val="none" w:sz="0" w:space="0" w:color="auto"/>
        <w:right w:val="none" w:sz="0" w:space="0" w:color="auto"/>
      </w:divBdr>
      <w:divsChild>
        <w:div w:id="1609313774">
          <w:marLeft w:val="0"/>
          <w:marRight w:val="0"/>
          <w:marTop w:val="0"/>
          <w:marBottom w:val="0"/>
          <w:divBdr>
            <w:top w:val="none" w:sz="0" w:space="0" w:color="auto"/>
            <w:left w:val="none" w:sz="0" w:space="0" w:color="auto"/>
            <w:bottom w:val="none" w:sz="0" w:space="0" w:color="auto"/>
            <w:right w:val="none" w:sz="0" w:space="0" w:color="auto"/>
          </w:divBdr>
          <w:divsChild>
            <w:div w:id="113344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885180">
      <w:bodyDiv w:val="1"/>
      <w:marLeft w:val="0"/>
      <w:marRight w:val="0"/>
      <w:marTop w:val="0"/>
      <w:marBottom w:val="0"/>
      <w:divBdr>
        <w:top w:val="none" w:sz="0" w:space="0" w:color="auto"/>
        <w:left w:val="none" w:sz="0" w:space="0" w:color="auto"/>
        <w:bottom w:val="none" w:sz="0" w:space="0" w:color="auto"/>
        <w:right w:val="none" w:sz="0" w:space="0" w:color="auto"/>
      </w:divBdr>
      <w:divsChild>
        <w:div w:id="255096277">
          <w:marLeft w:val="0"/>
          <w:marRight w:val="0"/>
          <w:marTop w:val="0"/>
          <w:marBottom w:val="0"/>
          <w:divBdr>
            <w:top w:val="none" w:sz="0" w:space="0" w:color="auto"/>
            <w:left w:val="none" w:sz="0" w:space="0" w:color="auto"/>
            <w:bottom w:val="none" w:sz="0" w:space="0" w:color="auto"/>
            <w:right w:val="none" w:sz="0" w:space="0" w:color="auto"/>
          </w:divBdr>
          <w:divsChild>
            <w:div w:id="157169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984603">
      <w:bodyDiv w:val="1"/>
      <w:marLeft w:val="0"/>
      <w:marRight w:val="0"/>
      <w:marTop w:val="0"/>
      <w:marBottom w:val="0"/>
      <w:divBdr>
        <w:top w:val="none" w:sz="0" w:space="0" w:color="auto"/>
        <w:left w:val="none" w:sz="0" w:space="0" w:color="auto"/>
        <w:bottom w:val="none" w:sz="0" w:space="0" w:color="auto"/>
        <w:right w:val="none" w:sz="0" w:space="0" w:color="auto"/>
      </w:divBdr>
    </w:div>
    <w:div w:id="401955377">
      <w:bodyDiv w:val="1"/>
      <w:marLeft w:val="0"/>
      <w:marRight w:val="0"/>
      <w:marTop w:val="0"/>
      <w:marBottom w:val="0"/>
      <w:divBdr>
        <w:top w:val="none" w:sz="0" w:space="0" w:color="auto"/>
        <w:left w:val="none" w:sz="0" w:space="0" w:color="auto"/>
        <w:bottom w:val="none" w:sz="0" w:space="0" w:color="auto"/>
        <w:right w:val="none" w:sz="0" w:space="0" w:color="auto"/>
      </w:divBdr>
      <w:divsChild>
        <w:div w:id="1734620254">
          <w:marLeft w:val="0"/>
          <w:marRight w:val="0"/>
          <w:marTop w:val="0"/>
          <w:marBottom w:val="0"/>
          <w:divBdr>
            <w:top w:val="none" w:sz="0" w:space="0" w:color="auto"/>
            <w:left w:val="none" w:sz="0" w:space="0" w:color="auto"/>
            <w:bottom w:val="none" w:sz="0" w:space="0" w:color="auto"/>
            <w:right w:val="none" w:sz="0" w:space="0" w:color="auto"/>
          </w:divBdr>
          <w:divsChild>
            <w:div w:id="36552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794421">
      <w:bodyDiv w:val="1"/>
      <w:marLeft w:val="0"/>
      <w:marRight w:val="0"/>
      <w:marTop w:val="0"/>
      <w:marBottom w:val="0"/>
      <w:divBdr>
        <w:top w:val="none" w:sz="0" w:space="0" w:color="auto"/>
        <w:left w:val="none" w:sz="0" w:space="0" w:color="auto"/>
        <w:bottom w:val="none" w:sz="0" w:space="0" w:color="auto"/>
        <w:right w:val="none" w:sz="0" w:space="0" w:color="auto"/>
      </w:divBdr>
      <w:divsChild>
        <w:div w:id="372779028">
          <w:marLeft w:val="0"/>
          <w:marRight w:val="0"/>
          <w:marTop w:val="0"/>
          <w:marBottom w:val="0"/>
          <w:divBdr>
            <w:top w:val="none" w:sz="0" w:space="0" w:color="auto"/>
            <w:left w:val="none" w:sz="0" w:space="0" w:color="auto"/>
            <w:bottom w:val="none" w:sz="0" w:space="0" w:color="auto"/>
            <w:right w:val="none" w:sz="0" w:space="0" w:color="auto"/>
          </w:divBdr>
          <w:divsChild>
            <w:div w:id="211886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4536">
      <w:bodyDiv w:val="1"/>
      <w:marLeft w:val="0"/>
      <w:marRight w:val="0"/>
      <w:marTop w:val="0"/>
      <w:marBottom w:val="0"/>
      <w:divBdr>
        <w:top w:val="none" w:sz="0" w:space="0" w:color="auto"/>
        <w:left w:val="none" w:sz="0" w:space="0" w:color="auto"/>
        <w:bottom w:val="none" w:sz="0" w:space="0" w:color="auto"/>
        <w:right w:val="none" w:sz="0" w:space="0" w:color="auto"/>
      </w:divBdr>
    </w:div>
    <w:div w:id="539245202">
      <w:bodyDiv w:val="1"/>
      <w:marLeft w:val="0"/>
      <w:marRight w:val="0"/>
      <w:marTop w:val="0"/>
      <w:marBottom w:val="0"/>
      <w:divBdr>
        <w:top w:val="none" w:sz="0" w:space="0" w:color="auto"/>
        <w:left w:val="none" w:sz="0" w:space="0" w:color="auto"/>
        <w:bottom w:val="none" w:sz="0" w:space="0" w:color="auto"/>
        <w:right w:val="none" w:sz="0" w:space="0" w:color="auto"/>
      </w:divBdr>
      <w:divsChild>
        <w:div w:id="440686686">
          <w:marLeft w:val="0"/>
          <w:marRight w:val="0"/>
          <w:marTop w:val="0"/>
          <w:marBottom w:val="0"/>
          <w:divBdr>
            <w:top w:val="none" w:sz="0" w:space="0" w:color="auto"/>
            <w:left w:val="none" w:sz="0" w:space="0" w:color="auto"/>
            <w:bottom w:val="none" w:sz="0" w:space="0" w:color="auto"/>
            <w:right w:val="none" w:sz="0" w:space="0" w:color="auto"/>
          </w:divBdr>
          <w:divsChild>
            <w:div w:id="1028800587">
              <w:marLeft w:val="0"/>
              <w:marRight w:val="0"/>
              <w:marTop w:val="0"/>
              <w:marBottom w:val="0"/>
              <w:divBdr>
                <w:top w:val="none" w:sz="0" w:space="0" w:color="auto"/>
                <w:left w:val="none" w:sz="0" w:space="0" w:color="auto"/>
                <w:bottom w:val="none" w:sz="0" w:space="0" w:color="auto"/>
                <w:right w:val="none" w:sz="0" w:space="0" w:color="auto"/>
              </w:divBdr>
              <w:divsChild>
                <w:div w:id="1800682266">
                  <w:marLeft w:val="0"/>
                  <w:marRight w:val="0"/>
                  <w:marTop w:val="0"/>
                  <w:marBottom w:val="0"/>
                  <w:divBdr>
                    <w:top w:val="none" w:sz="0" w:space="0" w:color="auto"/>
                    <w:left w:val="none" w:sz="0" w:space="0" w:color="auto"/>
                    <w:bottom w:val="none" w:sz="0" w:space="0" w:color="auto"/>
                    <w:right w:val="none" w:sz="0" w:space="0" w:color="auto"/>
                  </w:divBdr>
                  <w:divsChild>
                    <w:div w:id="570625835">
                      <w:marLeft w:val="0"/>
                      <w:marRight w:val="0"/>
                      <w:marTop w:val="0"/>
                      <w:marBottom w:val="0"/>
                      <w:divBdr>
                        <w:top w:val="none" w:sz="0" w:space="0" w:color="auto"/>
                        <w:left w:val="none" w:sz="0" w:space="0" w:color="auto"/>
                        <w:bottom w:val="none" w:sz="0" w:space="0" w:color="auto"/>
                        <w:right w:val="none" w:sz="0" w:space="0" w:color="auto"/>
                      </w:divBdr>
                      <w:divsChild>
                        <w:div w:id="1748989090">
                          <w:marLeft w:val="0"/>
                          <w:marRight w:val="0"/>
                          <w:marTop w:val="0"/>
                          <w:marBottom w:val="0"/>
                          <w:divBdr>
                            <w:top w:val="none" w:sz="0" w:space="0" w:color="auto"/>
                            <w:left w:val="none" w:sz="0" w:space="0" w:color="auto"/>
                            <w:bottom w:val="none" w:sz="0" w:space="0" w:color="auto"/>
                            <w:right w:val="none" w:sz="0" w:space="0" w:color="auto"/>
                          </w:divBdr>
                          <w:divsChild>
                            <w:div w:id="23547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46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58877658">
      <w:bodyDiv w:val="1"/>
      <w:marLeft w:val="0"/>
      <w:marRight w:val="0"/>
      <w:marTop w:val="0"/>
      <w:marBottom w:val="0"/>
      <w:divBdr>
        <w:top w:val="none" w:sz="0" w:space="0" w:color="auto"/>
        <w:left w:val="none" w:sz="0" w:space="0" w:color="auto"/>
        <w:bottom w:val="none" w:sz="0" w:space="0" w:color="auto"/>
        <w:right w:val="none" w:sz="0" w:space="0" w:color="auto"/>
      </w:divBdr>
    </w:div>
    <w:div w:id="963779495">
      <w:bodyDiv w:val="1"/>
      <w:marLeft w:val="0"/>
      <w:marRight w:val="0"/>
      <w:marTop w:val="0"/>
      <w:marBottom w:val="0"/>
      <w:divBdr>
        <w:top w:val="none" w:sz="0" w:space="0" w:color="auto"/>
        <w:left w:val="none" w:sz="0" w:space="0" w:color="auto"/>
        <w:bottom w:val="none" w:sz="0" w:space="0" w:color="auto"/>
        <w:right w:val="none" w:sz="0" w:space="0" w:color="auto"/>
      </w:divBdr>
      <w:divsChild>
        <w:div w:id="1606644862">
          <w:marLeft w:val="0"/>
          <w:marRight w:val="0"/>
          <w:marTop w:val="0"/>
          <w:marBottom w:val="0"/>
          <w:divBdr>
            <w:top w:val="none" w:sz="0" w:space="0" w:color="auto"/>
            <w:left w:val="none" w:sz="0" w:space="0" w:color="auto"/>
            <w:bottom w:val="none" w:sz="0" w:space="0" w:color="auto"/>
            <w:right w:val="none" w:sz="0" w:space="0" w:color="auto"/>
          </w:divBdr>
          <w:divsChild>
            <w:div w:id="42207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3610">
      <w:bodyDiv w:val="1"/>
      <w:marLeft w:val="0"/>
      <w:marRight w:val="0"/>
      <w:marTop w:val="0"/>
      <w:marBottom w:val="0"/>
      <w:divBdr>
        <w:top w:val="none" w:sz="0" w:space="0" w:color="auto"/>
        <w:left w:val="none" w:sz="0" w:space="0" w:color="auto"/>
        <w:bottom w:val="none" w:sz="0" w:space="0" w:color="auto"/>
        <w:right w:val="none" w:sz="0" w:space="0" w:color="auto"/>
      </w:divBdr>
      <w:divsChild>
        <w:div w:id="704064840">
          <w:marLeft w:val="0"/>
          <w:marRight w:val="0"/>
          <w:marTop w:val="0"/>
          <w:marBottom w:val="0"/>
          <w:divBdr>
            <w:top w:val="none" w:sz="0" w:space="0" w:color="auto"/>
            <w:left w:val="none" w:sz="0" w:space="0" w:color="auto"/>
            <w:bottom w:val="none" w:sz="0" w:space="0" w:color="auto"/>
            <w:right w:val="none" w:sz="0" w:space="0" w:color="auto"/>
          </w:divBdr>
          <w:divsChild>
            <w:div w:id="663971171">
              <w:marLeft w:val="0"/>
              <w:marRight w:val="0"/>
              <w:marTop w:val="0"/>
              <w:marBottom w:val="0"/>
              <w:divBdr>
                <w:top w:val="none" w:sz="0" w:space="0" w:color="auto"/>
                <w:left w:val="none" w:sz="0" w:space="0" w:color="auto"/>
                <w:bottom w:val="none" w:sz="0" w:space="0" w:color="auto"/>
                <w:right w:val="none" w:sz="0" w:space="0" w:color="auto"/>
              </w:divBdr>
              <w:divsChild>
                <w:div w:id="1632397985">
                  <w:marLeft w:val="0"/>
                  <w:marRight w:val="0"/>
                  <w:marTop w:val="0"/>
                  <w:marBottom w:val="0"/>
                  <w:divBdr>
                    <w:top w:val="none" w:sz="0" w:space="0" w:color="auto"/>
                    <w:left w:val="none" w:sz="0" w:space="0" w:color="auto"/>
                    <w:bottom w:val="none" w:sz="0" w:space="0" w:color="auto"/>
                    <w:right w:val="none" w:sz="0" w:space="0" w:color="auto"/>
                  </w:divBdr>
                  <w:divsChild>
                    <w:div w:id="87772848">
                      <w:marLeft w:val="0"/>
                      <w:marRight w:val="0"/>
                      <w:marTop w:val="0"/>
                      <w:marBottom w:val="0"/>
                      <w:divBdr>
                        <w:top w:val="none" w:sz="0" w:space="0" w:color="auto"/>
                        <w:left w:val="none" w:sz="0" w:space="0" w:color="auto"/>
                        <w:bottom w:val="none" w:sz="0" w:space="0" w:color="auto"/>
                        <w:right w:val="none" w:sz="0" w:space="0" w:color="auto"/>
                      </w:divBdr>
                    </w:div>
                  </w:divsChild>
                </w:div>
                <w:div w:id="183518777">
                  <w:marLeft w:val="0"/>
                  <w:marRight w:val="0"/>
                  <w:marTop w:val="0"/>
                  <w:marBottom w:val="0"/>
                  <w:divBdr>
                    <w:top w:val="none" w:sz="0" w:space="0" w:color="auto"/>
                    <w:left w:val="none" w:sz="0" w:space="0" w:color="auto"/>
                    <w:bottom w:val="none" w:sz="0" w:space="0" w:color="auto"/>
                    <w:right w:val="none" w:sz="0" w:space="0" w:color="auto"/>
                  </w:divBdr>
                  <w:divsChild>
                    <w:div w:id="1414819314">
                      <w:marLeft w:val="0"/>
                      <w:marRight w:val="0"/>
                      <w:marTop w:val="0"/>
                      <w:marBottom w:val="0"/>
                      <w:divBdr>
                        <w:top w:val="none" w:sz="0" w:space="0" w:color="auto"/>
                        <w:left w:val="none" w:sz="0" w:space="0" w:color="auto"/>
                        <w:bottom w:val="none" w:sz="0" w:space="0" w:color="auto"/>
                        <w:right w:val="none" w:sz="0" w:space="0" w:color="auto"/>
                      </w:divBdr>
                    </w:div>
                  </w:divsChild>
                </w:div>
                <w:div w:id="185564251">
                  <w:marLeft w:val="0"/>
                  <w:marRight w:val="0"/>
                  <w:marTop w:val="0"/>
                  <w:marBottom w:val="0"/>
                  <w:divBdr>
                    <w:top w:val="none" w:sz="0" w:space="0" w:color="auto"/>
                    <w:left w:val="none" w:sz="0" w:space="0" w:color="auto"/>
                    <w:bottom w:val="none" w:sz="0" w:space="0" w:color="auto"/>
                    <w:right w:val="none" w:sz="0" w:space="0" w:color="auto"/>
                  </w:divBdr>
                  <w:divsChild>
                    <w:div w:id="505218626">
                      <w:marLeft w:val="0"/>
                      <w:marRight w:val="0"/>
                      <w:marTop w:val="0"/>
                      <w:marBottom w:val="0"/>
                      <w:divBdr>
                        <w:top w:val="none" w:sz="0" w:space="0" w:color="auto"/>
                        <w:left w:val="none" w:sz="0" w:space="0" w:color="auto"/>
                        <w:bottom w:val="none" w:sz="0" w:space="0" w:color="auto"/>
                        <w:right w:val="none" w:sz="0" w:space="0" w:color="auto"/>
                      </w:divBdr>
                    </w:div>
                  </w:divsChild>
                </w:div>
                <w:div w:id="988090423">
                  <w:marLeft w:val="0"/>
                  <w:marRight w:val="0"/>
                  <w:marTop w:val="0"/>
                  <w:marBottom w:val="0"/>
                  <w:divBdr>
                    <w:top w:val="none" w:sz="0" w:space="0" w:color="auto"/>
                    <w:left w:val="none" w:sz="0" w:space="0" w:color="auto"/>
                    <w:bottom w:val="none" w:sz="0" w:space="0" w:color="auto"/>
                    <w:right w:val="none" w:sz="0" w:space="0" w:color="auto"/>
                  </w:divBdr>
                  <w:divsChild>
                    <w:div w:id="13558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504554">
      <w:bodyDiv w:val="1"/>
      <w:marLeft w:val="0"/>
      <w:marRight w:val="0"/>
      <w:marTop w:val="0"/>
      <w:marBottom w:val="0"/>
      <w:divBdr>
        <w:top w:val="none" w:sz="0" w:space="0" w:color="auto"/>
        <w:left w:val="none" w:sz="0" w:space="0" w:color="auto"/>
        <w:bottom w:val="none" w:sz="0" w:space="0" w:color="auto"/>
        <w:right w:val="none" w:sz="0" w:space="0" w:color="auto"/>
      </w:divBdr>
    </w:div>
    <w:div w:id="1079012316">
      <w:bodyDiv w:val="1"/>
      <w:marLeft w:val="0"/>
      <w:marRight w:val="0"/>
      <w:marTop w:val="0"/>
      <w:marBottom w:val="0"/>
      <w:divBdr>
        <w:top w:val="none" w:sz="0" w:space="0" w:color="auto"/>
        <w:left w:val="none" w:sz="0" w:space="0" w:color="auto"/>
        <w:bottom w:val="none" w:sz="0" w:space="0" w:color="auto"/>
        <w:right w:val="none" w:sz="0" w:space="0" w:color="auto"/>
      </w:divBdr>
    </w:div>
    <w:div w:id="1939869184">
      <w:bodyDiv w:val="1"/>
      <w:marLeft w:val="0"/>
      <w:marRight w:val="0"/>
      <w:marTop w:val="0"/>
      <w:marBottom w:val="0"/>
      <w:divBdr>
        <w:top w:val="none" w:sz="0" w:space="0" w:color="auto"/>
        <w:left w:val="none" w:sz="0" w:space="0" w:color="auto"/>
        <w:bottom w:val="none" w:sz="0" w:space="0" w:color="auto"/>
        <w:right w:val="none" w:sz="0" w:space="0" w:color="auto"/>
      </w:divBdr>
    </w:div>
    <w:div w:id="1999112590">
      <w:bodyDiv w:val="1"/>
      <w:marLeft w:val="0"/>
      <w:marRight w:val="0"/>
      <w:marTop w:val="0"/>
      <w:marBottom w:val="0"/>
      <w:divBdr>
        <w:top w:val="none" w:sz="0" w:space="0" w:color="auto"/>
        <w:left w:val="none" w:sz="0" w:space="0" w:color="auto"/>
        <w:bottom w:val="none" w:sz="0" w:space="0" w:color="auto"/>
        <w:right w:val="none" w:sz="0" w:space="0" w:color="auto"/>
      </w:divBdr>
      <w:divsChild>
        <w:div w:id="275530573">
          <w:marLeft w:val="0"/>
          <w:marRight w:val="0"/>
          <w:marTop w:val="0"/>
          <w:marBottom w:val="0"/>
          <w:divBdr>
            <w:top w:val="none" w:sz="0" w:space="0" w:color="auto"/>
            <w:left w:val="none" w:sz="0" w:space="0" w:color="auto"/>
            <w:bottom w:val="none" w:sz="0" w:space="0" w:color="auto"/>
            <w:right w:val="none" w:sz="0" w:space="0" w:color="auto"/>
          </w:divBdr>
          <w:divsChild>
            <w:div w:id="537162917">
              <w:marLeft w:val="0"/>
              <w:marRight w:val="0"/>
              <w:marTop w:val="0"/>
              <w:marBottom w:val="0"/>
              <w:divBdr>
                <w:top w:val="none" w:sz="0" w:space="0" w:color="auto"/>
                <w:left w:val="none" w:sz="0" w:space="0" w:color="auto"/>
                <w:bottom w:val="none" w:sz="0" w:space="0" w:color="auto"/>
                <w:right w:val="none" w:sz="0" w:space="0" w:color="auto"/>
              </w:divBdr>
              <w:divsChild>
                <w:div w:id="436683458">
                  <w:marLeft w:val="0"/>
                  <w:marRight w:val="0"/>
                  <w:marTop w:val="0"/>
                  <w:marBottom w:val="0"/>
                  <w:divBdr>
                    <w:top w:val="none" w:sz="0" w:space="0" w:color="auto"/>
                    <w:left w:val="none" w:sz="0" w:space="0" w:color="auto"/>
                    <w:bottom w:val="none" w:sz="0" w:space="0" w:color="auto"/>
                    <w:right w:val="none" w:sz="0" w:space="0" w:color="auto"/>
                  </w:divBdr>
                  <w:divsChild>
                    <w:div w:id="793911132">
                      <w:marLeft w:val="0"/>
                      <w:marRight w:val="0"/>
                      <w:marTop w:val="0"/>
                      <w:marBottom w:val="0"/>
                      <w:divBdr>
                        <w:top w:val="none" w:sz="0" w:space="0" w:color="auto"/>
                        <w:left w:val="none" w:sz="0" w:space="0" w:color="auto"/>
                        <w:bottom w:val="none" w:sz="0" w:space="0" w:color="auto"/>
                        <w:right w:val="none" w:sz="0" w:space="0" w:color="auto"/>
                      </w:divBdr>
                    </w:div>
                  </w:divsChild>
                </w:div>
                <w:div w:id="361133296">
                  <w:marLeft w:val="0"/>
                  <w:marRight w:val="0"/>
                  <w:marTop w:val="0"/>
                  <w:marBottom w:val="0"/>
                  <w:divBdr>
                    <w:top w:val="none" w:sz="0" w:space="0" w:color="auto"/>
                    <w:left w:val="none" w:sz="0" w:space="0" w:color="auto"/>
                    <w:bottom w:val="none" w:sz="0" w:space="0" w:color="auto"/>
                    <w:right w:val="none" w:sz="0" w:space="0" w:color="auto"/>
                  </w:divBdr>
                  <w:divsChild>
                    <w:div w:id="670716447">
                      <w:marLeft w:val="0"/>
                      <w:marRight w:val="0"/>
                      <w:marTop w:val="0"/>
                      <w:marBottom w:val="0"/>
                      <w:divBdr>
                        <w:top w:val="none" w:sz="0" w:space="0" w:color="auto"/>
                        <w:left w:val="none" w:sz="0" w:space="0" w:color="auto"/>
                        <w:bottom w:val="none" w:sz="0" w:space="0" w:color="auto"/>
                        <w:right w:val="none" w:sz="0" w:space="0" w:color="auto"/>
                      </w:divBdr>
                    </w:div>
                  </w:divsChild>
                </w:div>
                <w:div w:id="1500659480">
                  <w:marLeft w:val="0"/>
                  <w:marRight w:val="0"/>
                  <w:marTop w:val="0"/>
                  <w:marBottom w:val="0"/>
                  <w:divBdr>
                    <w:top w:val="none" w:sz="0" w:space="0" w:color="auto"/>
                    <w:left w:val="none" w:sz="0" w:space="0" w:color="auto"/>
                    <w:bottom w:val="none" w:sz="0" w:space="0" w:color="auto"/>
                    <w:right w:val="none" w:sz="0" w:space="0" w:color="auto"/>
                  </w:divBdr>
                  <w:divsChild>
                    <w:div w:id="107231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2991/aebmr.k.210507.059" TargetMode="External"/><Relationship Id="rId18" Type="http://schemas.openxmlformats.org/officeDocument/2006/relationships/hyperlink" Target="https://doi.org/10.32479/ijefi.8595" TargetMode="External"/><Relationship Id="rId26" Type="http://schemas.openxmlformats.org/officeDocument/2006/relationships/hyperlink" Target="https://jurnal.ittc.web.id/index.php/jebd/article/view/2387" TargetMode="External"/><Relationship Id="rId39" Type="http://schemas.openxmlformats.org/officeDocument/2006/relationships/footer" Target="footer3.xml"/><Relationship Id="rId21" Type="http://schemas.openxmlformats.org/officeDocument/2006/relationships/hyperlink" Target="https://doi.org/10.32497/keunis.v13i1.5790" TargetMode="External"/><Relationship Id="rId34" Type="http://schemas.openxmlformats.org/officeDocument/2006/relationships/header" Target="header1.xml"/><Relationship Id="rId7" Type="http://schemas.openxmlformats.org/officeDocument/2006/relationships/hyperlink" Target="https://doi.org/10.1108/JFC-04-2023-0087" TargetMode="External"/><Relationship Id="rId2" Type="http://schemas.openxmlformats.org/officeDocument/2006/relationships/styles" Target="styles.xml"/><Relationship Id="rId16" Type="http://schemas.openxmlformats.org/officeDocument/2006/relationships/hyperlink" Target="https://doi.org/10.1080/23311975.2024.2371062" TargetMode="External"/><Relationship Id="rId20" Type="http://schemas.openxmlformats.org/officeDocument/2006/relationships/hyperlink" Target="https://e-journal.upr.ac.id/index.php/SAJ/article/view/19527" TargetMode="External"/><Relationship Id="rId29" Type="http://schemas.openxmlformats.org/officeDocument/2006/relationships/hyperlink" Target="https://doi.org/10.46306/rev.v5i2.604"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j.univ-danubius.ro/index.php/AUDOE/article/view/2841" TargetMode="External"/><Relationship Id="rId24" Type="http://schemas.openxmlformats.org/officeDocument/2006/relationships/hyperlink" Target="https://doi.org/10.35870/jemsi.v11i1.3732" TargetMode="External"/><Relationship Id="rId32" Type="http://schemas.openxmlformats.org/officeDocument/2006/relationships/hyperlink" Target="https://doi.org/10.1080/23311975.2022.2144097"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103.97.100.158/index.php/EBiC/article/view/377" TargetMode="External"/><Relationship Id="rId23" Type="http://schemas.openxmlformats.org/officeDocument/2006/relationships/hyperlink" Target="https://doi.org/10.23969/jrbm.v18i1.20287" TargetMode="External"/><Relationship Id="rId28" Type="http://schemas.openxmlformats.org/officeDocument/2006/relationships/hyperlink" Target="https://doi.org/10.30574/gscarr.2024.21.1.0346" TargetMode="External"/><Relationship Id="rId36" Type="http://schemas.openxmlformats.org/officeDocument/2006/relationships/footer" Target="footer1.xml"/><Relationship Id="rId10" Type="http://schemas.openxmlformats.org/officeDocument/2006/relationships/hyperlink" Target="https://www.abfrjournal.com/index.php/abfr/article/view/343" TargetMode="External"/><Relationship Id="rId19" Type="http://schemas.openxmlformats.org/officeDocument/2006/relationships/hyperlink" Target="https://doi.org/10.1007/s13132-024-02412-y" TargetMode="External"/><Relationship Id="rId31" Type="http://schemas.openxmlformats.org/officeDocument/2006/relationships/hyperlink" Target="https://sia-iaikpd.fdaptsu.org/index.php/sia/article/view/292" TargetMode="External"/><Relationship Id="rId4" Type="http://schemas.openxmlformats.org/officeDocument/2006/relationships/webSettings" Target="webSettings.xml"/><Relationship Id="rId9" Type="http://schemas.openxmlformats.org/officeDocument/2006/relationships/hyperlink" Target="https://doi.org/10.5281/zenodo.14742659" TargetMode="External"/><Relationship Id="rId14" Type="http://schemas.openxmlformats.org/officeDocument/2006/relationships/hyperlink" Target="https://ojs.proaksara.com/index.php/jaffa/article/view/7" TargetMode="External"/><Relationship Id="rId22" Type="http://schemas.openxmlformats.org/officeDocument/2006/relationships/hyperlink" Target="https://www.um.edu.mt/library/oar/handle/123456789/131983" TargetMode="External"/><Relationship Id="rId27" Type="http://schemas.openxmlformats.org/officeDocument/2006/relationships/hyperlink" Target="https://doi.org/10.36555/jasa.v4i2.1378" TargetMode="External"/><Relationship Id="rId30" Type="http://schemas.openxmlformats.org/officeDocument/2006/relationships/hyperlink" Target="https://journal.uii.ac.id/inCAF/article/view/38330" TargetMode="External"/><Relationship Id="rId35" Type="http://schemas.openxmlformats.org/officeDocument/2006/relationships/header" Target="header2.xml"/><Relationship Id="rId8" Type="http://schemas.openxmlformats.org/officeDocument/2006/relationships/hyperlink" Target="https://doi.org/10.5897/JAT2023.0571" TargetMode="External"/><Relationship Id="rId3" Type="http://schemas.openxmlformats.org/officeDocument/2006/relationships/settings" Target="settings.xml"/><Relationship Id="rId12" Type="http://schemas.openxmlformats.org/officeDocument/2006/relationships/hyperlink" Target="https://www.theguardian.com/business" TargetMode="External"/><Relationship Id="rId17" Type="http://schemas.openxmlformats.org/officeDocument/2006/relationships/hyperlink" Target="https://doi.org/10.1108/GM-03-2023-0094" TargetMode="External"/><Relationship Id="rId25" Type="http://schemas.openxmlformats.org/officeDocument/2006/relationships/hyperlink" Target="https://doi.org/10.1108/CFRI-09-2024-0496" TargetMode="External"/><Relationship Id="rId33" Type="http://schemas.openxmlformats.org/officeDocument/2006/relationships/hyperlink" Target="https://doi.org/10.1108/JFRC-06-2024-0106"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16</Pages>
  <Words>6782</Words>
  <Characters>38661</Characters>
  <Application>Microsoft Office Word</Application>
  <DocSecurity>0</DocSecurity>
  <Lines>322</Lines>
  <Paragraphs>90</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Abstract</vt:lpstr>
      <vt:lpstr>        This study investigated the effects of corporate tax planning and structural res</vt:lpstr>
      <vt:lpstr>        Keywords:  Corporate tax planning, capital intensity, current ratio, financial s</vt:lpstr>
      <vt:lpstr>        4.1	 Unit Root Tests for Stationarity</vt:lpstr>
      <vt:lpstr>        This section presents the results of the panel unit root tests conducted to inve</vt:lpstr>
      <vt:lpstr>        4.1.1	Discussion of Unit Root Results</vt:lpstr>
      <vt:lpstr>        The empirical results from the Fisher-type ADF panel unit root tests demonstrate</vt:lpstr>
    </vt:vector>
  </TitlesOfParts>
  <Company/>
  <LinksUpToDate>false</LinksUpToDate>
  <CharactersWithSpaces>45353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SDI 1166</cp:lastModifiedBy>
  <cp:revision>46</cp:revision>
  <dcterms:created xsi:type="dcterms:W3CDTF">2026-06-27T16:43:00Z</dcterms:created>
  <dcterms:modified xsi:type="dcterms:W3CDTF">2026-07-03T12:11:00Z</dcterms:modified>
</cp:coreProperties>
</file>