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26299" w14:textId="77777777" w:rsidR="00CC3706" w:rsidRDefault="00000000">
      <w:pPr>
        <w:pStyle w:val="Title"/>
        <w:jc w:val="center"/>
      </w:pPr>
      <w:r>
        <w:t>An Adaptive Explainable AI Framework for Reliable Decision-Making in Real-World Environments</w:t>
      </w:r>
    </w:p>
    <w:p w14:paraId="5C56EEB1" w14:textId="77777777" w:rsidR="008F536B" w:rsidRDefault="008F536B">
      <w:pPr>
        <w:pStyle w:val="Heading1"/>
      </w:pPr>
    </w:p>
    <w:p w14:paraId="3CEC6DBC" w14:textId="04EEE86A" w:rsidR="00CC3706" w:rsidRDefault="00000000">
      <w:pPr>
        <w:pStyle w:val="Heading1"/>
      </w:pPr>
      <w:r>
        <w:t>Abstract</w:t>
      </w:r>
    </w:p>
    <w:p w14:paraId="553A9266" w14:textId="77777777" w:rsidR="00CC3706" w:rsidRDefault="00000000">
      <w:pPr>
        <w:jc w:val="both"/>
      </w:pPr>
      <w:r>
        <w:t>Artificial intelligence (AI) systems increasingly support decisions in environments where data distributions, operational conditions, user needs, and risk levels change over time. Models that perform well during development may become unreliable after deployment because of data drift, concept drift, sensor degradation, population changes, or unexpected interactions. At the same time, predictive performance alone is insufficient for high-impact decisions: users need explanations that are understandable, relevant to the decision context, and accompanied by appropriate uncertainty information. This paper proposes an Adaptive Explainable AI (A-XAI) framework intended to integrate reliability monitoring, explanation generation, uncertainty estimation, human oversight, and controlled model adaptation within a unified lifecycle. The framework contains nine conceptual components: contextual data acquisition; data-quality, privacy, and drift assessment; prediction with uncertainty estimation; context-sensitive explanation generation; decision support and human oversight; risk-aware reliability gating; feedback and audit logging; controlled adaptation; and post-adaptation revalidation with version control. A formal decision policy is presented to connect predictive confidence, drift evidence, explanation quality, and consequence severity to actions such as automated recommendation, human review, abstention, or retraining. The paper also proposes an evaluation protocol spanning predictive performance, calibration, robustness, explanation fidelity and stability, fairness, latency, and operational outcomes. As a conceptual contribution, the framework is not presented as experimentally validated; its effectiveness must be tested in domain-specific studies using real deployment data and pre-registered evaluation criteria. The proposed design offers a structured basis for developing AI systems that remain interpretable and risk-aware as real-world conditions evolve.</w:t>
      </w:r>
    </w:p>
    <w:p w14:paraId="430F295F" w14:textId="77777777" w:rsidR="00CC3706" w:rsidRDefault="00000000">
      <w:r>
        <w:rPr>
          <w:b/>
        </w:rPr>
        <w:t xml:space="preserve">Keywords: </w:t>
      </w:r>
      <w:r>
        <w:t>Explainable artificial intelligence; adaptive learning; reliable decision-making; concept drift; uncertainty estimation; human-AI interaction; trustworthy AI</w:t>
      </w:r>
    </w:p>
    <w:p w14:paraId="37B304F1" w14:textId="77777777" w:rsidR="00CC3706" w:rsidRDefault="00000000">
      <w:pPr>
        <w:pStyle w:val="Heading1"/>
      </w:pPr>
      <w:r>
        <w:lastRenderedPageBreak/>
        <w:t>1. Introduction</w:t>
      </w:r>
    </w:p>
    <w:p w14:paraId="69D16CD0" w14:textId="77777777" w:rsidR="00CC3706" w:rsidRDefault="00000000">
      <w:pPr>
        <w:jc w:val="both"/>
      </w:pPr>
      <w:r>
        <w:t>Artificial intelligence is increasingly embedded in decision-support systems across healthcare, agriculture, finance, manufacturing, education, public services, and infrastructure. In these settings, model outputs can influence resource allocation, diagnosis, maintenance, risk assessment, and service delivery. However, real-world environments are not static. Data collection processes change, sensors degrade, users adapt their behaviour, populations shift, and the relationship between inputs and outcomes may evolve. A model trained on historical data can therefore experience reduced performance after deployment even when its initial test results were satisfactory. Research on concept drift emphasizes that evolving data streams require monitoring and mechanisms for detecting, localizing, and understanding change (Hinder et al., 2024).</w:t>
      </w:r>
    </w:p>
    <w:p w14:paraId="22484A8B" w14:textId="77777777" w:rsidR="00CC3706" w:rsidRDefault="00000000">
      <w:pPr>
        <w:jc w:val="both"/>
      </w:pPr>
      <w:r>
        <w:t>A second challenge concerns the opacity of complex predictive models. Explainable artificial intelligence (XAI) methods seek to make model behaviour more understandable through feature attribution, local approximations, example-based explanations, counterfactuals, and other techniques. LIME provides local surrogate explanations for individual predictions, while SHAP formalizes additive feature attribution using concepts from cooperative game theory (Lundberg &amp; Lee, 2017; Ribeiro et al., 2016). Nevertheless, a technically plausible explanation does not automatically establish that a model is correct, fair, robust, or safe. Explanation usefulness depends on the audience, decision context, and the question being asked. Human-centred XAI therefore emphasizes user needs and actionable communication rather than treating explanation as a purely algorithmic output (McLaughlin, 2025).</w:t>
      </w:r>
    </w:p>
    <w:p w14:paraId="4A608E50" w14:textId="77777777" w:rsidR="00CC3706" w:rsidRDefault="00000000">
      <w:pPr>
        <w:jc w:val="both"/>
      </w:pPr>
      <w:r>
        <w:t>Trustworthy AI must be considered across the system lifecycle rather than as a final compliance check. The National Institute of Standards and Technology identifies validity and reliability, safety, security and resilience, accountability and transparency, explainability and interpretability, privacy enhancement, and fairness as interrelated characteristics of trustworthy AI (Tabassi, 2023). These characteristics can conflict and must be assessed in relation to the context of use. For example, a system may need to defer a high-impact decision when uncertainty is elevated, even if its average predictive accuracy appears acceptable.</w:t>
      </w:r>
    </w:p>
    <w:p w14:paraId="75406867" w14:textId="77777777" w:rsidR="00CC3706" w:rsidRDefault="00000000">
      <w:pPr>
        <w:jc w:val="both"/>
      </w:pPr>
      <w:r>
        <w:t xml:space="preserve">This paper proposes an Adaptive Explainable AI (A-XAI) framework that combines monitoring, explanations, uncertainty, risk-sensitive decision policies, human oversight, and controlled adaptation. Its central premise is that reliable decision-making should not depend on a prediction </w:t>
      </w:r>
      <w:r>
        <w:lastRenderedPageBreak/>
        <w:t>alone. It should depend on the prediction, the quality and stability of its supporting evidence, the current operating context, the explanation’s limitations, and the consequences of error.</w:t>
      </w:r>
    </w:p>
    <w:p w14:paraId="42F23359" w14:textId="77777777" w:rsidR="00CC3706" w:rsidRDefault="00000000">
      <w:pPr>
        <w:pStyle w:val="Heading2"/>
      </w:pPr>
      <w:r>
        <w:t>1.1 Research Problem</w:t>
      </w:r>
    </w:p>
    <w:p w14:paraId="60A8C7F4" w14:textId="77777777" w:rsidR="00CC3706" w:rsidRDefault="00000000">
      <w:pPr>
        <w:jc w:val="both"/>
      </w:pPr>
      <w:r>
        <w:t>Many AI deployments treat model inference, explanation generation, monitoring, and model updating as separate tasks. This separation can lead to inconsistent explanations after model updates, delayed responses to distribution shift, inadequate escalation of uncertain predictions, and weak auditability. A lifecycle-level design is needed to coordinate these functions while preserving human accountability.</w:t>
      </w:r>
    </w:p>
    <w:p w14:paraId="460BC7B0" w14:textId="77777777" w:rsidR="00CC3706" w:rsidRDefault="00000000">
      <w:pPr>
        <w:pStyle w:val="Heading2"/>
      </w:pPr>
      <w:r>
        <w:t>1.2 Aim and Objectives</w:t>
      </w:r>
    </w:p>
    <w:p w14:paraId="4CF881EE" w14:textId="77777777" w:rsidR="00CC3706" w:rsidRDefault="00000000">
      <w:pPr>
        <w:jc w:val="both"/>
      </w:pPr>
      <w:r>
        <w:t>The aim is to propose a conceptual framework for adaptive, explainable, and risk-aware AI decision support in changing environments. The objectives are to:</w:t>
      </w:r>
    </w:p>
    <w:p w14:paraId="749D5CE0" w14:textId="77777777" w:rsidR="00CC3706" w:rsidRDefault="00000000">
      <w:pPr>
        <w:pStyle w:val="ListBullet"/>
      </w:pPr>
      <w:r>
        <w:t>integrate data-quality and drift monitoring with prediction and explanation generation;</w:t>
      </w:r>
    </w:p>
    <w:p w14:paraId="54010046" w14:textId="77777777" w:rsidR="00CC3706" w:rsidRDefault="00000000">
      <w:pPr>
        <w:pStyle w:val="ListBullet"/>
      </w:pPr>
      <w:r>
        <w:t>incorporate uncertainty and consequence severity into decision routing;</w:t>
      </w:r>
    </w:p>
    <w:p w14:paraId="457463DB" w14:textId="77777777" w:rsidR="00CC3706" w:rsidRDefault="00000000">
      <w:pPr>
        <w:pStyle w:val="ListBullet"/>
      </w:pPr>
      <w:r>
        <w:t>define controlled adaptation and post-update validation procedures;</w:t>
      </w:r>
    </w:p>
    <w:p w14:paraId="1D27AE04" w14:textId="77777777" w:rsidR="00CC3706" w:rsidRDefault="00000000">
      <w:pPr>
        <w:pStyle w:val="ListBullet"/>
      </w:pPr>
      <w:r>
        <w:t>propose a multidimensional evaluation protocol for reliability, explanation quality, fairness, and operational performance; and</w:t>
      </w:r>
    </w:p>
    <w:p w14:paraId="164B80AF" w14:textId="77777777" w:rsidR="00CC3706" w:rsidRDefault="00000000">
      <w:pPr>
        <w:pStyle w:val="ListBullet"/>
      </w:pPr>
      <w:r>
        <w:t>identify implementation challenges and research questions for future empirical validation.</w:t>
      </w:r>
    </w:p>
    <w:p w14:paraId="69947A03" w14:textId="77777777" w:rsidR="00CC3706" w:rsidRDefault="00000000">
      <w:pPr>
        <w:pStyle w:val="Heading2"/>
      </w:pPr>
      <w:r>
        <w:t>1.3 Research Questions</w:t>
      </w:r>
    </w:p>
    <w:p w14:paraId="0019A706" w14:textId="77777777" w:rsidR="00CC3706" w:rsidRDefault="00000000">
      <w:pPr>
        <w:pStyle w:val="ListBullet"/>
      </w:pPr>
      <w:r>
        <w:t>RQ1: How can predictive reliability, uncertainty, drift evidence, and explanation quality be combined in a unified decision policy?</w:t>
      </w:r>
    </w:p>
    <w:p w14:paraId="7329542A" w14:textId="77777777" w:rsidR="00CC3706" w:rsidRDefault="00000000">
      <w:pPr>
        <w:pStyle w:val="ListBullet"/>
      </w:pPr>
      <w:r>
        <w:t>RQ2: How should an AI system respond when environmental change makes its current model or explanations less dependable?</w:t>
      </w:r>
    </w:p>
    <w:p w14:paraId="138EB7F0" w14:textId="77777777" w:rsidR="00CC3706" w:rsidRDefault="00000000">
      <w:pPr>
        <w:pStyle w:val="ListBullet"/>
      </w:pPr>
      <w:r>
        <w:t>RQ3: Which technical and human-centred metrics are required to evaluate an adaptive explainable AI system in real-world settings?</w:t>
      </w:r>
    </w:p>
    <w:p w14:paraId="653329DB" w14:textId="77777777" w:rsidR="00CC3706" w:rsidRDefault="00000000">
      <w:pPr>
        <w:pStyle w:val="Heading1"/>
      </w:pPr>
      <w:r>
        <w:t>2. Literature Review</w:t>
      </w:r>
    </w:p>
    <w:p w14:paraId="76D9B52F" w14:textId="77777777" w:rsidR="00CC3706" w:rsidRDefault="00000000">
      <w:pPr>
        <w:pStyle w:val="Heading2"/>
      </w:pPr>
      <w:r>
        <w:t>2.1 Explainable AI and Explanation Methods</w:t>
      </w:r>
    </w:p>
    <w:p w14:paraId="1908CB3B" w14:textId="77777777" w:rsidR="00CC3706" w:rsidRDefault="00000000">
      <w:pPr>
        <w:jc w:val="both"/>
      </w:pPr>
      <w:r>
        <w:t xml:space="preserve">XAI includes intrinsic interpretability and post-hoc explanation. Intrinsically interpretable models expose decision logic directly, while post-hoc methods explain a trained model without necessarily </w:t>
      </w:r>
      <w:r>
        <w:lastRenderedPageBreak/>
        <w:t>changing its internal structure. LIME approximates a model locally around a selected instance to produce a simpler explanation (Ribeiro et al., 2016). SHAP assigns feature contributions under a unified additive attribution framework (Lundberg &amp; Lee, 2017). These methods can help users inspect influential variables, but they have limitations: explanations may be sensitive to sampling choices, correlated features, background distributions, and the choice of explanation method. Explanation should therefore be evaluated for fidelity, stability, comprehensibility, and decision relevance rather than treated as proof of model correctness.</w:t>
      </w:r>
    </w:p>
    <w:p w14:paraId="0169535B" w14:textId="77777777" w:rsidR="00CC3706" w:rsidRDefault="00000000">
      <w:pPr>
        <w:pStyle w:val="Heading2"/>
      </w:pPr>
      <w:r>
        <w:t>2.2 Reliability and Trustworthy AI</w:t>
      </w:r>
    </w:p>
    <w:p w14:paraId="40AF7106" w14:textId="77777777" w:rsidR="00CC3706" w:rsidRDefault="00000000">
      <w:pPr>
        <w:jc w:val="both"/>
      </w:pPr>
      <w:r>
        <w:t>Reliability is broader than average accuracy. It includes calibration, robustness to perturbations, predictable failure behaviour, security, fairness, monitoring, and the ability to recover from unexpected conditions. The NIST AI Risk Management Framework organizes risk management around governing, mapping, measuring, and managing AI risks and encourages lifecycle-based assessment (Tabassi, 2023). Recent synthesis work similarly identifies human agency, fairness, transparency, robustness, privacy, security, and accountability as connected dimensions, while noting the importance of context and evolving systems (Establishing and evaluating trustworthy AI, 2024). The A-XAI proposal uses this lifecycle perspective but makes explicit how reliability signals affect the immediate decision path.</w:t>
      </w:r>
    </w:p>
    <w:p w14:paraId="258FB80B" w14:textId="77777777" w:rsidR="00CC3706" w:rsidRDefault="00000000">
      <w:pPr>
        <w:pStyle w:val="Heading2"/>
      </w:pPr>
      <w:r>
        <w:t>2.3 Adaptation and Concept Drift</w:t>
      </w:r>
    </w:p>
    <w:p w14:paraId="15943A2B" w14:textId="77777777" w:rsidR="00CC3706" w:rsidRDefault="00000000">
      <w:pPr>
        <w:jc w:val="both"/>
      </w:pPr>
      <w:r>
        <w:t>Concept drift occurs when the statistical properties relevant to prediction change over time. Changes may involve the input distribution, the relationship between input and target, class prevalence, or the data-generation process. Drift detectors can flag changes in error rates, feature distributions, prediction confidence, or representation statistics. However, a detected shift is not necessarily harmful, and an undetected shift does not guarantee stability. The system should distinguish monitoring signals from confirmed performance degradation and should avoid automatic retraining solely because a detector has fired. Hinder et al. (2024) highlight the importance of locating and explaining drift, not merely detecting it.</w:t>
      </w:r>
    </w:p>
    <w:p w14:paraId="728831A0" w14:textId="77777777" w:rsidR="00CC3706" w:rsidRDefault="00000000">
      <w:pPr>
        <w:pStyle w:val="Heading2"/>
      </w:pPr>
      <w:r>
        <w:t>2.4 Research Gap</w:t>
      </w:r>
    </w:p>
    <w:p w14:paraId="6DE4B531" w14:textId="77777777" w:rsidR="00CC3706" w:rsidRDefault="00000000">
      <w:pPr>
        <w:jc w:val="both"/>
      </w:pPr>
      <w:r>
        <w:t xml:space="preserve">Existing XAI, drift-monitoring, and trustworthy-AI approaches provide important individual capabilities, but deployment teams still need a practical control loop that connects them. The specific gap addressed here is the absence, in many application designs, of an explicit decision policy that jointly considers prediction uncertainty, drift status, explanation reliability, risk </w:t>
      </w:r>
      <w:r>
        <w:lastRenderedPageBreak/>
        <w:t>severity, and human-review availability. This paper contributes a proposed integration architecture and an evaluation blueprint. It does not claim that all existing systems lack these capabilities, nor does it claim empirical superiority over published methods.</w:t>
      </w:r>
    </w:p>
    <w:p w14:paraId="7A08128E" w14:textId="77777777" w:rsidR="00CC3706" w:rsidRDefault="00000000">
      <w:pPr>
        <w:pStyle w:val="Heading1"/>
      </w:pPr>
      <w:r>
        <w:t>3. Research Methodology</w:t>
      </w:r>
    </w:p>
    <w:p w14:paraId="22BCD83C" w14:textId="77777777" w:rsidR="00CC3706" w:rsidRDefault="00000000">
      <w:pPr>
        <w:pStyle w:val="Heading2"/>
      </w:pPr>
      <w:r>
        <w:t>3.1 Research Design</w:t>
      </w:r>
    </w:p>
    <w:p w14:paraId="41C03902" w14:textId="77777777" w:rsidR="00CC3706" w:rsidRDefault="00000000">
      <w:pPr>
        <w:jc w:val="both"/>
      </w:pPr>
      <w:r>
        <w:t>This work uses a conceptual framework-development design grounded in a focused synthesis of literature on explainable AI, concept drift, and trustworthy AI risk management. The purpose is to define components, interfaces, decision rules, and an empirical validation plan rather than to report a completed experiment. No original dataset, user study, benchmark run, or deployment trial is claimed in this manuscript. A future empirical study should document databases searched, search strings, inclusion and exclusion criteria, screening counts, and quality appraisal if the work is expanded into a systematic review.</w:t>
      </w:r>
    </w:p>
    <w:p w14:paraId="0657D8F2" w14:textId="77777777" w:rsidR="00CC3706" w:rsidRDefault="00000000">
      <w:pPr>
        <w:pStyle w:val="Heading2"/>
      </w:pPr>
      <w:r>
        <w:t>3.2 Proposed Framework Components</w:t>
      </w:r>
    </w:p>
    <w:p w14:paraId="732A7FDF" w14:textId="77777777" w:rsidR="00CC3706" w:rsidRDefault="00000000">
      <w:pPr>
        <w:jc w:val="both"/>
      </w:pPr>
      <w:r>
        <w:t>The proposed A-XAI lifecycle contains nine connected components. Figure 1 summarizes their relationships.</w:t>
      </w:r>
    </w:p>
    <w:p w14:paraId="4078848C" w14:textId="77777777" w:rsidR="00CC3706" w:rsidRDefault="00000000">
      <w:pPr>
        <w:keepLines/>
        <w:jc w:val="both"/>
      </w:pPr>
      <w:r>
        <w:rPr>
          <w:b/>
        </w:rPr>
        <w:t xml:space="preserve">1. Real-world data and context acquisition. </w:t>
      </w:r>
      <w:r>
        <w:t>Collect inputs with timestamps, provenance, operational context, and relevant metadata. Record the intended use and the population or environment to which the model applies.</w:t>
      </w:r>
    </w:p>
    <w:p w14:paraId="6A81D67C" w14:textId="77777777" w:rsidR="00CC3706" w:rsidRDefault="00000000">
      <w:pPr>
        <w:keepLines/>
        <w:jc w:val="both"/>
      </w:pPr>
      <w:r>
        <w:rPr>
          <w:b/>
        </w:rPr>
        <w:t xml:space="preserve">2. Data-quality, privacy, and drift checks. </w:t>
      </w:r>
      <w:r>
        <w:t>Assess missingness, schema changes, out-of-range values, sensor anomalies, data provenance, privacy constraints, and distribution shift. Store alerts and evidence for audit.</w:t>
      </w:r>
    </w:p>
    <w:p w14:paraId="120E34E8" w14:textId="77777777" w:rsidR="00CC3706" w:rsidRDefault="00000000">
      <w:pPr>
        <w:keepLines/>
        <w:jc w:val="both"/>
      </w:pPr>
      <w:r>
        <w:rPr>
          <w:b/>
        </w:rPr>
        <w:t xml:space="preserve">3. Predictive model with uncertainty estimation. </w:t>
      </w:r>
      <w:r>
        <w:t>Generate a prediction and an uncertainty signal. Depending on the task, uncertainty may be estimated using calibrated probabilities, ensembles, conformal prediction, Bayesian methods, or other justified approaches.</w:t>
      </w:r>
    </w:p>
    <w:p w14:paraId="4610644C" w14:textId="77777777" w:rsidR="00CC3706" w:rsidRDefault="00000000">
      <w:pPr>
        <w:keepLines/>
        <w:jc w:val="both"/>
      </w:pPr>
      <w:r>
        <w:rPr>
          <w:b/>
        </w:rPr>
        <w:t xml:space="preserve">4. Context-sensitive explanation engine. </w:t>
      </w:r>
      <w:r>
        <w:t>Generate explanations appropriate to the model, input type, audience, and decision. Candidate methods include feature attribution, counterfactuals, example-based explanations, rule lists, or visual explanations.</w:t>
      </w:r>
    </w:p>
    <w:p w14:paraId="7DE4A467" w14:textId="77777777" w:rsidR="00CC3706" w:rsidRDefault="00000000">
      <w:pPr>
        <w:keepLines/>
        <w:jc w:val="both"/>
      </w:pPr>
      <w:r>
        <w:rPr>
          <w:b/>
        </w:rPr>
        <w:lastRenderedPageBreak/>
        <w:t xml:space="preserve">5. Decision support and human oversight. </w:t>
      </w:r>
      <w:r>
        <w:t>Present the prediction, uncertainty, explanation, data-quality status, and recommended next step. Provide a route for human review and a way to record disagreement or override.</w:t>
      </w:r>
    </w:p>
    <w:p w14:paraId="4783F9BB" w14:textId="77777777" w:rsidR="00CC3706" w:rsidRDefault="00000000">
      <w:pPr>
        <w:keepLines/>
        <w:jc w:val="both"/>
      </w:pPr>
      <w:r>
        <w:rPr>
          <w:b/>
        </w:rPr>
        <w:t xml:space="preserve">6. Risk-aware reliability gate. </w:t>
      </w:r>
      <w:r>
        <w:t>Combine uncertainty, drift evidence, explanation diagnostics, and consequence severity to choose between automated support, human review, abstention, or a restricted operating mode.</w:t>
      </w:r>
    </w:p>
    <w:p w14:paraId="2D104D95" w14:textId="77777777" w:rsidR="00CC3706" w:rsidRDefault="00000000">
      <w:pPr>
        <w:keepLines/>
        <w:jc w:val="both"/>
      </w:pPr>
      <w:r>
        <w:rPr>
          <w:b/>
        </w:rPr>
        <w:t xml:space="preserve">7. Feedback, monitoring, and audit. </w:t>
      </w:r>
      <w:r>
        <w:t>Track outcomes when available, user overrides, delayed labels, explanation feedback, fairness indicators, incidents, and model/data versions.</w:t>
      </w:r>
    </w:p>
    <w:p w14:paraId="657D0E04" w14:textId="77777777" w:rsidR="00CC3706" w:rsidRDefault="00000000">
      <w:pPr>
        <w:keepLines/>
        <w:jc w:val="both"/>
      </w:pPr>
      <w:r>
        <w:rPr>
          <w:b/>
        </w:rPr>
        <w:t xml:space="preserve">8. Controlled adaptation. </w:t>
      </w:r>
      <w:r>
        <w:t>When evidence justifies change, initiate a governed process such as recalibration, threshold adjustment, retraining, or model replacement. Use approval rules appropriate to the application’s risk.</w:t>
      </w:r>
    </w:p>
    <w:p w14:paraId="098F94D6" w14:textId="77777777" w:rsidR="00CC3706" w:rsidRDefault="00000000">
      <w:pPr>
        <w:keepLines/>
        <w:jc w:val="both"/>
      </w:pPr>
      <w:r>
        <w:rPr>
          <w:b/>
        </w:rPr>
        <w:t xml:space="preserve">9. Revalidation and version control. </w:t>
      </w:r>
      <w:r>
        <w:t>Evaluate candidate changes against a frozen test set, recent data, stress tests, subgroup metrics, and explanation consistency. Release only when predefined acceptance criteria are met.</w:t>
      </w:r>
    </w:p>
    <w:p w14:paraId="644D8000" w14:textId="77777777" w:rsidR="00CC3706" w:rsidRDefault="00000000">
      <w:r>
        <w:rPr>
          <w:noProof/>
        </w:rPr>
        <w:drawing>
          <wp:inline distT="0" distB="0" distL="0" distR="0" wp14:anchorId="4D8F7A59" wp14:editId="14557403">
            <wp:extent cx="5852160" cy="33923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aptive_xai_framework_architecture.png"/>
                    <pic:cNvPicPr/>
                  </pic:nvPicPr>
                  <pic:blipFill>
                    <a:blip r:embed="rId8"/>
                    <a:stretch>
                      <a:fillRect/>
                    </a:stretch>
                  </pic:blipFill>
                  <pic:spPr>
                    <a:xfrm>
                      <a:off x="0" y="0"/>
                      <a:ext cx="5852160" cy="3392330"/>
                    </a:xfrm>
                    <a:prstGeom prst="rect">
                      <a:avLst/>
                    </a:prstGeom>
                  </pic:spPr>
                </pic:pic>
              </a:graphicData>
            </a:graphic>
          </wp:inline>
        </w:drawing>
      </w:r>
    </w:p>
    <w:p w14:paraId="0C346AED" w14:textId="77777777" w:rsidR="00CC3706" w:rsidRDefault="00000000">
      <w:pPr>
        <w:jc w:val="center"/>
      </w:pPr>
      <w:r>
        <w:rPr>
          <w:i/>
          <w:sz w:val="20"/>
        </w:rPr>
        <w:t>Figure 1. Proposed lifecycle architecture for the Adaptive Explainable AI (A-XAI) framework.</w:t>
      </w:r>
    </w:p>
    <w:p w14:paraId="51F6C14A" w14:textId="77777777" w:rsidR="00CC3706" w:rsidRDefault="00000000">
      <w:pPr>
        <w:pStyle w:val="Heading2"/>
      </w:pPr>
      <w:r>
        <w:lastRenderedPageBreak/>
        <w:t>3.3 Risk-Aware Decision Policy</w:t>
      </w:r>
    </w:p>
    <w:p w14:paraId="026220C2" w14:textId="77777777" w:rsidR="00CC3706" w:rsidRDefault="00000000">
      <w:pPr>
        <w:jc w:val="both"/>
      </w:pPr>
      <w:r>
        <w:t>Let x_t denote the input at time t, f_{θ_</w:t>
      </w:r>
      <w:proofErr w:type="gramStart"/>
      <w:r>
        <w:t>t}(</w:t>
      </w:r>
      <w:proofErr w:type="gramEnd"/>
      <w:r>
        <w:t>x_t) the model prediction, u_t an uncertainty score, d_t a drift indicator, e_t an explanation-quality score, and r_t the consequence severity associated with the decision. The framework does not prescribe one universal estimator for these quantities; each must be operationalized for the task and validated against domain requirements.</w:t>
      </w:r>
    </w:p>
    <w:p w14:paraId="098F6309" w14:textId="77777777" w:rsidR="00CC3706" w:rsidRDefault="00000000">
      <w:pPr>
        <w:jc w:val="both"/>
      </w:pPr>
      <w:r>
        <w:t>A conceptual reliability score can be expressed as:</w:t>
      </w:r>
    </w:p>
    <w:p w14:paraId="5CD6F85B" w14:textId="77777777" w:rsidR="00CC3706" w:rsidRDefault="00000000">
      <w:pPr>
        <w:jc w:val="center"/>
      </w:pPr>
      <w:r>
        <w:rPr>
          <w:i/>
        </w:rPr>
        <w:t>R_t = w_p P_t + w_c C_t + w_e E_t − w_u U_t − w_d D_t − w_q Q_t</w:t>
      </w:r>
    </w:p>
    <w:p w14:paraId="3E02B2B6" w14:textId="77777777" w:rsidR="00CC3706" w:rsidRDefault="00000000">
      <w:pPr>
        <w:jc w:val="both"/>
      </w:pPr>
      <w:r>
        <w:t>where P_t represents a task-specific predictive performance signal, C_t represents calibration or confidence validity, E_t represents explanation diagnostics, U_t represents uncertainty, D_t represents drift severity, and Q_t represents data-quality risk. The weights w are non-negative design parameters and should be calibrated for a specific application. This expression is a conceptual design aid, not a validated universal reliability formula. All component values should be normalized to a documented scale before combination.</w:t>
      </w:r>
    </w:p>
    <w:p w14:paraId="088EBDBF" w14:textId="77777777" w:rsidR="00CC3706" w:rsidRDefault="00000000">
      <w:pPr>
        <w:jc w:val="both"/>
      </w:pPr>
      <w:r>
        <w:t>A risk-aware policy can then be stated as a set of conditional rules:</w:t>
      </w:r>
    </w:p>
    <w:p w14:paraId="671202C1" w14:textId="77777777" w:rsidR="00CC3706" w:rsidRDefault="00000000">
      <w:pPr>
        <w:pStyle w:val="ListBullet"/>
      </w:pPr>
      <w:r>
        <w:t>Automated support: permit only when risk is within the approved operating envelope, uncertainty is below a validated threshold, data quality is acceptable, and no critical drift alert is active.</w:t>
      </w:r>
    </w:p>
    <w:p w14:paraId="3900930F" w14:textId="77777777" w:rsidR="00CC3706" w:rsidRDefault="00000000">
      <w:pPr>
        <w:pStyle w:val="ListBullet"/>
      </w:pPr>
      <w:r>
        <w:t>Human review: route the case to a qualified reviewer when uncertainty, drift, explanation instability, or consequence severity exceeds a review threshold.</w:t>
      </w:r>
    </w:p>
    <w:p w14:paraId="66168455" w14:textId="77777777" w:rsidR="00CC3706" w:rsidRDefault="00000000">
      <w:pPr>
        <w:pStyle w:val="ListBullet"/>
      </w:pPr>
      <w:r>
        <w:t>Abstention or safe fallback: withhold a definitive recommendation when evidence is insufficient or the case is outside the validated domain.</w:t>
      </w:r>
    </w:p>
    <w:p w14:paraId="08DFA193" w14:textId="77777777" w:rsidR="00CC3706" w:rsidRDefault="00000000">
      <w:pPr>
        <w:pStyle w:val="ListBullet"/>
      </w:pPr>
      <w:r>
        <w:t>Adaptation candidate: initiate investigation when sustained drift or outcome degradation is observed; do not automatically deploy an updated model.</w:t>
      </w:r>
    </w:p>
    <w:p w14:paraId="06463F13" w14:textId="77777777" w:rsidR="00CC3706" w:rsidRDefault="00000000">
      <w:pPr>
        <w:pStyle w:val="ListBullet"/>
      </w:pPr>
      <w:r>
        <w:t>Release after change: approve a new model only after it passes predefined predictive, calibration, robustness, fairness, explanation, latency, and safety checks.</w:t>
      </w:r>
    </w:p>
    <w:p w14:paraId="4FEE77FF" w14:textId="77777777" w:rsidR="00CC3706" w:rsidRDefault="00000000">
      <w:pPr>
        <w:jc w:val="both"/>
      </w:pPr>
      <w:r>
        <w:t>Thresholds should be selected through domain consultation and validation, not copied across applications. In a low-risk recommendation task, a modest uncertainty threshold may be acceptable; in a safety-critical or high-impact task, the system may require a conservative threshold, mandatory human review, or complete abstention.</w:t>
      </w:r>
    </w:p>
    <w:p w14:paraId="0A7E3F0B" w14:textId="77777777" w:rsidR="00CC3706" w:rsidRDefault="00000000">
      <w:pPr>
        <w:pStyle w:val="Heading2"/>
      </w:pPr>
      <w:r>
        <w:lastRenderedPageBreak/>
        <w:t>3.4 Algorithmic Workflow</w:t>
      </w:r>
    </w:p>
    <w:p w14:paraId="28452E76" w14:textId="77777777" w:rsidR="00CC3706" w:rsidRDefault="00000000">
      <w:pPr>
        <w:pStyle w:val="ListBullet"/>
      </w:pPr>
      <w:r>
        <w:t>Receive an input and attach provenance, timestamp, and context metadata.</w:t>
      </w:r>
    </w:p>
    <w:p w14:paraId="011437D1" w14:textId="77777777" w:rsidR="00CC3706" w:rsidRDefault="00000000">
      <w:pPr>
        <w:pStyle w:val="ListBullet"/>
      </w:pPr>
      <w:r>
        <w:t>Run data validation and privacy/security checks; reject or quarantine invalid inputs.</w:t>
      </w:r>
    </w:p>
    <w:p w14:paraId="7FAE0352" w14:textId="77777777" w:rsidR="00CC3706" w:rsidRDefault="00000000">
      <w:pPr>
        <w:pStyle w:val="ListBullet"/>
      </w:pPr>
      <w:r>
        <w:t>Estimate drift and determine whether the input is within the model’s validated operating domain.</w:t>
      </w:r>
    </w:p>
    <w:p w14:paraId="51C25C0C" w14:textId="77777777" w:rsidR="00CC3706" w:rsidRDefault="00000000">
      <w:pPr>
        <w:pStyle w:val="ListBullet"/>
      </w:pPr>
      <w:r>
        <w:t>Generate prediction and uncertainty estimates.</w:t>
      </w:r>
    </w:p>
    <w:p w14:paraId="28521619" w14:textId="77777777" w:rsidR="00CC3706" w:rsidRDefault="00000000">
      <w:pPr>
        <w:pStyle w:val="ListBullet"/>
      </w:pPr>
      <w:r>
        <w:t>Generate an explanation and calculate available explanation diagnostics.</w:t>
      </w:r>
    </w:p>
    <w:p w14:paraId="70267979" w14:textId="77777777" w:rsidR="00CC3706" w:rsidRDefault="00000000">
      <w:pPr>
        <w:pStyle w:val="ListBullet"/>
      </w:pPr>
      <w:r>
        <w:t>Apply the risk-aware gate to select automated support, human review, abstention, or safe fallback.</w:t>
      </w:r>
    </w:p>
    <w:p w14:paraId="0F0F003C" w14:textId="77777777" w:rsidR="00CC3706" w:rsidRDefault="00000000">
      <w:pPr>
        <w:pStyle w:val="ListBullet"/>
      </w:pPr>
      <w:r>
        <w:t>Log the prediction, explanation method/version, decision route, and reviewer feedback.</w:t>
      </w:r>
    </w:p>
    <w:p w14:paraId="4D88B937" w14:textId="77777777" w:rsidR="00CC3706" w:rsidRDefault="00000000">
      <w:pPr>
        <w:pStyle w:val="ListBullet"/>
      </w:pPr>
      <w:r>
        <w:t>When sustained drift or degraded outcomes are supported by evidence, train or recalibrate a candidate model in a controlled environment.</w:t>
      </w:r>
    </w:p>
    <w:p w14:paraId="11364E65" w14:textId="77777777" w:rsidR="00CC3706" w:rsidRDefault="00000000">
      <w:pPr>
        <w:pStyle w:val="ListBullet"/>
      </w:pPr>
      <w:r>
        <w:t>Revalidate the candidate and its explanations; deploy only after approval, while retaining rollback capability.</w:t>
      </w:r>
    </w:p>
    <w:p w14:paraId="6B6A433E" w14:textId="77777777" w:rsidR="00CC3706" w:rsidRDefault="00000000">
      <w:pPr>
        <w:pStyle w:val="Heading2"/>
      </w:pPr>
      <w:r>
        <w:t>3.5 Governance and Human Oversight</w:t>
      </w:r>
    </w:p>
    <w:p w14:paraId="66A29775" w14:textId="77777777" w:rsidR="00CC3706" w:rsidRDefault="00000000">
      <w:pPr>
        <w:jc w:val="both"/>
      </w:pPr>
      <w:r>
        <w:t>Governance should define the accountable owner, acceptable use, escalation authority, audit retention, privacy controls, incident response, and rollback conditions. Human review should be meaningful: reviewers need sufficient domain expertise, relevant context, and authority to challenge the output. Interface design should avoid presenting explanation visualizations as unquestionable evidence and should communicate uncertainty in language appropriate to the user. The framework should also document cases in which no explanation is available or an explanation is known to be unreliable.</w:t>
      </w:r>
    </w:p>
    <w:p w14:paraId="0699601D" w14:textId="77777777" w:rsidR="00CC3706" w:rsidRDefault="00000000">
      <w:pPr>
        <w:pStyle w:val="Heading1"/>
      </w:pPr>
      <w:r>
        <w:t>4. Proposed Evaluation Framework</w:t>
      </w:r>
    </w:p>
    <w:p w14:paraId="4508EEA2" w14:textId="77777777" w:rsidR="00CC3706" w:rsidRDefault="00000000">
      <w:pPr>
        <w:jc w:val="both"/>
      </w:pPr>
      <w:r>
        <w:t>The framework requires empirical validation before claims can be made about its effectiveness. Evaluation should compare the proposed lifecycle with an appropriate baseline, such as a model with post-hoc explanations but no adaptive reliability gate, or a monitored model without integrated explanation diagnostics. Comparisons must use identical data partitions and disclose the compute environment, hyperparameters, and evaluation protocol.</w:t>
      </w:r>
    </w:p>
    <w:tbl>
      <w:tblPr>
        <w:tblStyle w:val="TableGrid"/>
        <w:tblW w:w="0" w:type="auto"/>
        <w:jc w:val="center"/>
        <w:tblLook w:val="04A0" w:firstRow="1" w:lastRow="0" w:firstColumn="1" w:lastColumn="0" w:noHBand="0" w:noVBand="1"/>
      </w:tblPr>
      <w:tblGrid>
        <w:gridCol w:w="3117"/>
        <w:gridCol w:w="3117"/>
        <w:gridCol w:w="3116"/>
      </w:tblGrid>
      <w:tr w:rsidR="00CC3706" w14:paraId="456FBB11" w14:textId="77777777">
        <w:trPr>
          <w:jc w:val="center"/>
        </w:trPr>
        <w:tc>
          <w:tcPr>
            <w:tcW w:w="3120" w:type="dxa"/>
          </w:tcPr>
          <w:p w14:paraId="02B79C3D" w14:textId="77777777" w:rsidR="00CC3706" w:rsidRDefault="00000000">
            <w:pPr>
              <w:spacing w:after="60" w:line="240" w:lineRule="auto"/>
            </w:pPr>
            <w:r>
              <w:rPr>
                <w:sz w:val="18"/>
              </w:rPr>
              <w:t>Evaluation dimension</w:t>
            </w:r>
          </w:p>
        </w:tc>
        <w:tc>
          <w:tcPr>
            <w:tcW w:w="3120" w:type="dxa"/>
          </w:tcPr>
          <w:p w14:paraId="58F18C67" w14:textId="77777777" w:rsidR="00CC3706" w:rsidRDefault="00000000">
            <w:pPr>
              <w:spacing w:after="60" w:line="240" w:lineRule="auto"/>
            </w:pPr>
            <w:r>
              <w:rPr>
                <w:sz w:val="18"/>
              </w:rPr>
              <w:t>Candidate metrics</w:t>
            </w:r>
          </w:p>
        </w:tc>
        <w:tc>
          <w:tcPr>
            <w:tcW w:w="3120" w:type="dxa"/>
          </w:tcPr>
          <w:p w14:paraId="45A426C2" w14:textId="77777777" w:rsidR="00CC3706" w:rsidRDefault="00000000">
            <w:pPr>
              <w:spacing w:after="60" w:line="240" w:lineRule="auto"/>
            </w:pPr>
            <w:r>
              <w:rPr>
                <w:sz w:val="18"/>
              </w:rPr>
              <w:t>Purpose</w:t>
            </w:r>
          </w:p>
        </w:tc>
      </w:tr>
      <w:tr w:rsidR="00CC3706" w14:paraId="116A6B85" w14:textId="77777777">
        <w:trPr>
          <w:jc w:val="center"/>
        </w:trPr>
        <w:tc>
          <w:tcPr>
            <w:tcW w:w="3120" w:type="dxa"/>
            <w:vAlign w:val="center"/>
          </w:tcPr>
          <w:p w14:paraId="6A6845CD" w14:textId="77777777" w:rsidR="00CC3706" w:rsidRDefault="00000000">
            <w:pPr>
              <w:spacing w:after="60" w:line="240" w:lineRule="auto"/>
            </w:pPr>
            <w:r>
              <w:rPr>
                <w:sz w:val="18"/>
              </w:rPr>
              <w:lastRenderedPageBreak/>
              <w:t>Predictive performance</w:t>
            </w:r>
          </w:p>
        </w:tc>
        <w:tc>
          <w:tcPr>
            <w:tcW w:w="3120" w:type="dxa"/>
            <w:vAlign w:val="center"/>
          </w:tcPr>
          <w:p w14:paraId="3D4AC661" w14:textId="77777777" w:rsidR="00CC3706" w:rsidRDefault="00000000">
            <w:pPr>
              <w:spacing w:after="60" w:line="240" w:lineRule="auto"/>
            </w:pPr>
            <w:r>
              <w:rPr>
                <w:sz w:val="18"/>
              </w:rPr>
              <w:t>Accuracy, precision, recall, F1, AUROC or task-specific loss</w:t>
            </w:r>
          </w:p>
        </w:tc>
        <w:tc>
          <w:tcPr>
            <w:tcW w:w="3120" w:type="dxa"/>
            <w:vAlign w:val="center"/>
          </w:tcPr>
          <w:p w14:paraId="78A94935" w14:textId="77777777" w:rsidR="00CC3706" w:rsidRDefault="00000000">
            <w:pPr>
              <w:spacing w:after="60" w:line="240" w:lineRule="auto"/>
            </w:pPr>
            <w:r>
              <w:rPr>
                <w:sz w:val="18"/>
              </w:rPr>
              <w:t>Measure task performance; select metrics suitable for class balance and decision costs.</w:t>
            </w:r>
          </w:p>
        </w:tc>
      </w:tr>
      <w:tr w:rsidR="00CC3706" w14:paraId="6A99938B" w14:textId="77777777">
        <w:trPr>
          <w:jc w:val="center"/>
        </w:trPr>
        <w:tc>
          <w:tcPr>
            <w:tcW w:w="3120" w:type="dxa"/>
            <w:vAlign w:val="center"/>
          </w:tcPr>
          <w:p w14:paraId="3AAB8B22" w14:textId="77777777" w:rsidR="00CC3706" w:rsidRDefault="00000000">
            <w:pPr>
              <w:spacing w:after="60" w:line="240" w:lineRule="auto"/>
            </w:pPr>
            <w:r>
              <w:rPr>
                <w:sz w:val="18"/>
              </w:rPr>
              <w:t>Calibration and uncertainty</w:t>
            </w:r>
          </w:p>
        </w:tc>
        <w:tc>
          <w:tcPr>
            <w:tcW w:w="3120" w:type="dxa"/>
            <w:vAlign w:val="center"/>
          </w:tcPr>
          <w:p w14:paraId="62056B92" w14:textId="77777777" w:rsidR="00CC3706" w:rsidRDefault="00000000">
            <w:pPr>
              <w:spacing w:after="60" w:line="240" w:lineRule="auto"/>
            </w:pPr>
            <w:r>
              <w:rPr>
                <w:sz w:val="18"/>
              </w:rPr>
              <w:t>Brier score, log loss, expected calibration error, coverage/abstention rate</w:t>
            </w:r>
          </w:p>
        </w:tc>
        <w:tc>
          <w:tcPr>
            <w:tcW w:w="3120" w:type="dxa"/>
            <w:vAlign w:val="center"/>
          </w:tcPr>
          <w:p w14:paraId="04FCA02D" w14:textId="77777777" w:rsidR="00CC3706" w:rsidRDefault="00000000">
            <w:pPr>
              <w:spacing w:after="60" w:line="240" w:lineRule="auto"/>
            </w:pPr>
            <w:r>
              <w:rPr>
                <w:sz w:val="18"/>
              </w:rPr>
              <w:t>Assess whether confidence and uncertainty signals correspond to observed outcomes.</w:t>
            </w:r>
          </w:p>
        </w:tc>
      </w:tr>
      <w:tr w:rsidR="00CC3706" w14:paraId="75B39A72" w14:textId="77777777">
        <w:trPr>
          <w:jc w:val="center"/>
        </w:trPr>
        <w:tc>
          <w:tcPr>
            <w:tcW w:w="3120" w:type="dxa"/>
            <w:vAlign w:val="center"/>
          </w:tcPr>
          <w:p w14:paraId="20BE3A5A" w14:textId="77777777" w:rsidR="00CC3706" w:rsidRDefault="00000000">
            <w:pPr>
              <w:spacing w:after="60" w:line="240" w:lineRule="auto"/>
            </w:pPr>
            <w:r>
              <w:rPr>
                <w:sz w:val="18"/>
              </w:rPr>
              <w:t>Drift response</w:t>
            </w:r>
          </w:p>
        </w:tc>
        <w:tc>
          <w:tcPr>
            <w:tcW w:w="3120" w:type="dxa"/>
            <w:vAlign w:val="center"/>
          </w:tcPr>
          <w:p w14:paraId="3CD15607" w14:textId="77777777" w:rsidR="00CC3706" w:rsidRDefault="00000000">
            <w:pPr>
              <w:spacing w:after="60" w:line="240" w:lineRule="auto"/>
            </w:pPr>
            <w:r>
              <w:rPr>
                <w:sz w:val="18"/>
              </w:rPr>
              <w:t>Detection delay, false-alarm rate, missed-drift rate, recovery time</w:t>
            </w:r>
          </w:p>
        </w:tc>
        <w:tc>
          <w:tcPr>
            <w:tcW w:w="3120" w:type="dxa"/>
            <w:vAlign w:val="center"/>
          </w:tcPr>
          <w:p w14:paraId="45DE2163" w14:textId="77777777" w:rsidR="00CC3706" w:rsidRDefault="00000000">
            <w:pPr>
              <w:spacing w:after="60" w:line="240" w:lineRule="auto"/>
            </w:pPr>
            <w:r>
              <w:rPr>
                <w:sz w:val="18"/>
              </w:rPr>
              <w:t>Assess monitoring quality and response to evolving conditions.</w:t>
            </w:r>
          </w:p>
        </w:tc>
      </w:tr>
      <w:tr w:rsidR="00CC3706" w14:paraId="69A3915D" w14:textId="77777777">
        <w:trPr>
          <w:jc w:val="center"/>
        </w:trPr>
        <w:tc>
          <w:tcPr>
            <w:tcW w:w="3120" w:type="dxa"/>
            <w:vAlign w:val="center"/>
          </w:tcPr>
          <w:p w14:paraId="0638EC32" w14:textId="77777777" w:rsidR="00CC3706" w:rsidRDefault="00000000">
            <w:pPr>
              <w:spacing w:after="60" w:line="240" w:lineRule="auto"/>
            </w:pPr>
            <w:r>
              <w:rPr>
                <w:sz w:val="18"/>
              </w:rPr>
              <w:t>Explanation quality</w:t>
            </w:r>
          </w:p>
        </w:tc>
        <w:tc>
          <w:tcPr>
            <w:tcW w:w="3120" w:type="dxa"/>
            <w:vAlign w:val="center"/>
          </w:tcPr>
          <w:p w14:paraId="50C9F97A" w14:textId="77777777" w:rsidR="00CC3706" w:rsidRDefault="00000000">
            <w:pPr>
              <w:spacing w:after="60" w:line="240" w:lineRule="auto"/>
            </w:pPr>
            <w:r>
              <w:rPr>
                <w:sz w:val="18"/>
              </w:rPr>
              <w:t>Fidelity, stability under small perturbations, sparsity, comprehensibility, usefulness ratings</w:t>
            </w:r>
          </w:p>
        </w:tc>
        <w:tc>
          <w:tcPr>
            <w:tcW w:w="3120" w:type="dxa"/>
            <w:vAlign w:val="center"/>
          </w:tcPr>
          <w:p w14:paraId="6F74A9D0" w14:textId="77777777" w:rsidR="00CC3706" w:rsidRDefault="00000000">
            <w:pPr>
              <w:spacing w:after="60" w:line="240" w:lineRule="auto"/>
            </w:pPr>
            <w:r>
              <w:rPr>
                <w:sz w:val="18"/>
              </w:rPr>
              <w:t>Evaluate whether explanations are faithful, stable, and useful for the intended audience.</w:t>
            </w:r>
          </w:p>
        </w:tc>
      </w:tr>
      <w:tr w:rsidR="00CC3706" w14:paraId="40EF65DE" w14:textId="77777777">
        <w:trPr>
          <w:jc w:val="center"/>
        </w:trPr>
        <w:tc>
          <w:tcPr>
            <w:tcW w:w="3120" w:type="dxa"/>
            <w:vAlign w:val="center"/>
          </w:tcPr>
          <w:p w14:paraId="430C7FEA" w14:textId="77777777" w:rsidR="00CC3706" w:rsidRDefault="00000000">
            <w:pPr>
              <w:spacing w:after="60" w:line="240" w:lineRule="auto"/>
            </w:pPr>
            <w:r>
              <w:rPr>
                <w:sz w:val="18"/>
              </w:rPr>
              <w:t>Fairness</w:t>
            </w:r>
          </w:p>
        </w:tc>
        <w:tc>
          <w:tcPr>
            <w:tcW w:w="3120" w:type="dxa"/>
            <w:vAlign w:val="center"/>
          </w:tcPr>
          <w:p w14:paraId="519419C2" w14:textId="77777777" w:rsidR="00CC3706" w:rsidRDefault="00000000">
            <w:pPr>
              <w:spacing w:after="60" w:line="240" w:lineRule="auto"/>
            </w:pPr>
            <w:r>
              <w:rPr>
                <w:sz w:val="18"/>
              </w:rPr>
              <w:t>Group-wise error and calibration gaps; suitable fairness measures for the domain</w:t>
            </w:r>
          </w:p>
        </w:tc>
        <w:tc>
          <w:tcPr>
            <w:tcW w:w="3120" w:type="dxa"/>
            <w:vAlign w:val="center"/>
          </w:tcPr>
          <w:p w14:paraId="39AD1AF1" w14:textId="77777777" w:rsidR="00CC3706" w:rsidRDefault="00000000">
            <w:pPr>
              <w:spacing w:after="60" w:line="240" w:lineRule="auto"/>
            </w:pPr>
            <w:r>
              <w:rPr>
                <w:sz w:val="18"/>
              </w:rPr>
              <w:t>Identify uneven error burdens and performance degradation across groups.</w:t>
            </w:r>
          </w:p>
        </w:tc>
      </w:tr>
      <w:tr w:rsidR="00CC3706" w14:paraId="7E290AFE" w14:textId="77777777">
        <w:trPr>
          <w:jc w:val="center"/>
        </w:trPr>
        <w:tc>
          <w:tcPr>
            <w:tcW w:w="3120" w:type="dxa"/>
            <w:vAlign w:val="center"/>
          </w:tcPr>
          <w:p w14:paraId="3B23D914" w14:textId="77777777" w:rsidR="00CC3706" w:rsidRDefault="00000000">
            <w:pPr>
              <w:spacing w:after="60" w:line="240" w:lineRule="auto"/>
            </w:pPr>
            <w:r>
              <w:rPr>
                <w:sz w:val="18"/>
              </w:rPr>
              <w:t>Robustness and safety</w:t>
            </w:r>
          </w:p>
        </w:tc>
        <w:tc>
          <w:tcPr>
            <w:tcW w:w="3120" w:type="dxa"/>
            <w:vAlign w:val="center"/>
          </w:tcPr>
          <w:p w14:paraId="694BAF87" w14:textId="77777777" w:rsidR="00CC3706" w:rsidRDefault="00000000">
            <w:pPr>
              <w:spacing w:after="60" w:line="240" w:lineRule="auto"/>
            </w:pPr>
            <w:r>
              <w:rPr>
                <w:sz w:val="18"/>
              </w:rPr>
              <w:t>Performance under noise, missing data, out-of-domain inputs, and stress tests</w:t>
            </w:r>
          </w:p>
        </w:tc>
        <w:tc>
          <w:tcPr>
            <w:tcW w:w="3120" w:type="dxa"/>
            <w:vAlign w:val="center"/>
          </w:tcPr>
          <w:p w14:paraId="1799B107" w14:textId="77777777" w:rsidR="00CC3706" w:rsidRDefault="00000000">
            <w:pPr>
              <w:spacing w:after="60" w:line="240" w:lineRule="auto"/>
            </w:pPr>
            <w:r>
              <w:rPr>
                <w:sz w:val="18"/>
              </w:rPr>
              <w:t>Assess behaviour under foreseeable disruptions and failure conditions.</w:t>
            </w:r>
          </w:p>
        </w:tc>
      </w:tr>
      <w:tr w:rsidR="00CC3706" w14:paraId="7A84A5B4" w14:textId="77777777">
        <w:trPr>
          <w:jc w:val="center"/>
        </w:trPr>
        <w:tc>
          <w:tcPr>
            <w:tcW w:w="3120" w:type="dxa"/>
            <w:vAlign w:val="center"/>
          </w:tcPr>
          <w:p w14:paraId="0797ADFC" w14:textId="77777777" w:rsidR="00CC3706" w:rsidRDefault="00000000">
            <w:pPr>
              <w:spacing w:after="60" w:line="240" w:lineRule="auto"/>
            </w:pPr>
            <w:r>
              <w:rPr>
                <w:sz w:val="18"/>
              </w:rPr>
              <w:t>Operational performance</w:t>
            </w:r>
          </w:p>
        </w:tc>
        <w:tc>
          <w:tcPr>
            <w:tcW w:w="3120" w:type="dxa"/>
            <w:vAlign w:val="center"/>
          </w:tcPr>
          <w:p w14:paraId="60FA4BD3" w14:textId="77777777" w:rsidR="00CC3706" w:rsidRDefault="00000000">
            <w:pPr>
              <w:spacing w:after="60" w:line="240" w:lineRule="auto"/>
            </w:pPr>
            <w:r>
              <w:rPr>
                <w:sz w:val="18"/>
              </w:rPr>
              <w:t>Latency, throughput, compute/memory use, review workload, rollback time</w:t>
            </w:r>
          </w:p>
        </w:tc>
        <w:tc>
          <w:tcPr>
            <w:tcW w:w="3120" w:type="dxa"/>
            <w:vAlign w:val="center"/>
          </w:tcPr>
          <w:p w14:paraId="7D3BCF17" w14:textId="77777777" w:rsidR="00CC3706" w:rsidRDefault="00000000">
            <w:pPr>
              <w:spacing w:after="60" w:line="240" w:lineRule="auto"/>
            </w:pPr>
            <w:r>
              <w:rPr>
                <w:sz w:val="18"/>
              </w:rPr>
              <w:t>Determine whether the framework is deployable within operational constraints.</w:t>
            </w:r>
          </w:p>
        </w:tc>
      </w:tr>
      <w:tr w:rsidR="00CC3706" w14:paraId="65706A46" w14:textId="77777777">
        <w:trPr>
          <w:jc w:val="center"/>
        </w:trPr>
        <w:tc>
          <w:tcPr>
            <w:tcW w:w="3120" w:type="dxa"/>
            <w:vAlign w:val="center"/>
          </w:tcPr>
          <w:p w14:paraId="4DD5F070" w14:textId="77777777" w:rsidR="00CC3706" w:rsidRDefault="00000000">
            <w:pPr>
              <w:spacing w:after="60" w:line="240" w:lineRule="auto"/>
            </w:pPr>
            <w:r>
              <w:rPr>
                <w:sz w:val="18"/>
              </w:rPr>
              <w:t>Human factors</w:t>
            </w:r>
          </w:p>
        </w:tc>
        <w:tc>
          <w:tcPr>
            <w:tcW w:w="3120" w:type="dxa"/>
            <w:vAlign w:val="center"/>
          </w:tcPr>
          <w:p w14:paraId="2375D0E1" w14:textId="77777777" w:rsidR="00CC3706" w:rsidRDefault="00000000">
            <w:pPr>
              <w:spacing w:after="60" w:line="240" w:lineRule="auto"/>
            </w:pPr>
            <w:r>
              <w:rPr>
                <w:sz w:val="18"/>
              </w:rPr>
              <w:t>Decision quality, override rate, reviewer agreement, time to decision, trust calibration</w:t>
            </w:r>
          </w:p>
        </w:tc>
        <w:tc>
          <w:tcPr>
            <w:tcW w:w="3120" w:type="dxa"/>
            <w:vAlign w:val="center"/>
          </w:tcPr>
          <w:p w14:paraId="79DB198F" w14:textId="77777777" w:rsidR="00CC3706" w:rsidRDefault="00000000">
            <w:pPr>
              <w:spacing w:after="60" w:line="240" w:lineRule="auto"/>
            </w:pPr>
            <w:r>
              <w:rPr>
                <w:sz w:val="18"/>
              </w:rPr>
              <w:t>Evaluate human-AI collaboration and the risk of over-reliance.</w:t>
            </w:r>
          </w:p>
        </w:tc>
      </w:tr>
    </w:tbl>
    <w:p w14:paraId="24A9EBDA" w14:textId="77777777" w:rsidR="00CC3706" w:rsidRDefault="00000000">
      <w:pPr>
        <w:jc w:val="both"/>
      </w:pPr>
      <w:r>
        <w:t>Table 1. Proposed evaluation dimensions and metrics. Metric selection should be adapted to the domain; no values are reported because the framework has not been experimentally evaluated in this paper.</w:t>
      </w:r>
    </w:p>
    <w:p w14:paraId="25C9DDAB" w14:textId="77777777" w:rsidR="00CC3706" w:rsidRDefault="00000000">
      <w:pPr>
        <w:pStyle w:val="Heading2"/>
      </w:pPr>
      <w:r>
        <w:t>4.1 Suggested Experimental Protocol</w:t>
      </w:r>
    </w:p>
    <w:p w14:paraId="4C49A9EF" w14:textId="77777777" w:rsidR="00CC3706" w:rsidRDefault="00000000">
      <w:pPr>
        <w:jc w:val="both"/>
      </w:pPr>
      <w:r>
        <w:t>A future validation study should use temporally ordered data where possible, so the test period reflects realistic deployment conditions. The protocol should include a stable period and one or more controlled or naturally occurring distribution shifts. Training, validation, and test partitions must be separated to prevent leakage. Where labels arrive late, the evaluation should specify the label-delay mechanism. At least one baseline should represent current practice, and ablation studies should remove or disable key components one at a time, including drift monitoring, uncertainty gating, explanation diagnostics, and controlled adaptation.</w:t>
      </w:r>
    </w:p>
    <w:p w14:paraId="4109143C" w14:textId="77777777" w:rsidR="00CC3706" w:rsidRDefault="00000000">
      <w:pPr>
        <w:jc w:val="both"/>
      </w:pPr>
      <w:r>
        <w:t>For quantitative comparisons, report the number of runs, mean and standard deviation or confidence intervals where appropriate, and statistical tests justified by the experimental design. Report subgroup performance and failure cases, not only aggregate scores. Explanation evaluation should combine quantitative tests with domain-expert or end-user assessment. The study should publish configuration details, model versions, preprocessing steps, thresholds, and data limitations to support reproducibility.</w:t>
      </w:r>
    </w:p>
    <w:p w14:paraId="145A168B" w14:textId="77777777" w:rsidR="00CC3706" w:rsidRDefault="00000000">
      <w:pPr>
        <w:pStyle w:val="Heading2"/>
      </w:pPr>
      <w:r>
        <w:lastRenderedPageBreak/>
        <w:t>4.2 Hypotheses for Future Testing</w:t>
      </w:r>
    </w:p>
    <w:p w14:paraId="5F1F96AE" w14:textId="77777777" w:rsidR="00CC3706" w:rsidRDefault="00000000">
      <w:pPr>
        <w:pStyle w:val="ListBullet"/>
      </w:pPr>
      <w:r>
        <w:t>H1: A risk-aware decision gate will reduce high-confidence errors or unsafe automated decisions under distribution shift compared with an ungated baseline.</w:t>
      </w:r>
    </w:p>
    <w:p w14:paraId="59E4764A" w14:textId="77777777" w:rsidR="00CC3706" w:rsidRDefault="00000000">
      <w:pPr>
        <w:pStyle w:val="ListBullet"/>
      </w:pPr>
      <w:r>
        <w:t>H2: Integrating uncertainty and drift information will improve the appropriateness of human-review and abstention decisions.</w:t>
      </w:r>
    </w:p>
    <w:p w14:paraId="2C9ACFFF" w14:textId="77777777" w:rsidR="00CC3706" w:rsidRDefault="00000000">
      <w:pPr>
        <w:pStyle w:val="ListBullet"/>
      </w:pPr>
      <w:r>
        <w:t>H3: Explanation stability checks will identify a subset of cases in which explanations are too unstable for unqualified decision support.</w:t>
      </w:r>
    </w:p>
    <w:p w14:paraId="4A2A3EAE" w14:textId="77777777" w:rsidR="00CC3706" w:rsidRDefault="00000000">
      <w:pPr>
        <w:pStyle w:val="ListBullet"/>
      </w:pPr>
      <w:r>
        <w:t>H4: Controlled adaptation with post-update validation will recover performance more safely than immediate, unvalidated model replacement.</w:t>
      </w:r>
    </w:p>
    <w:p w14:paraId="51B37945" w14:textId="77777777" w:rsidR="00CC3706" w:rsidRDefault="00000000">
      <w:pPr>
        <w:jc w:val="both"/>
      </w:pPr>
      <w:r>
        <w:t>These hypotheses are proposed for testing and must not be interpreted as established findings.</w:t>
      </w:r>
    </w:p>
    <w:p w14:paraId="6D4020A8" w14:textId="77777777" w:rsidR="00CC3706" w:rsidRDefault="00000000">
      <w:pPr>
        <w:pStyle w:val="Heading1"/>
      </w:pPr>
      <w:r>
        <w:t>5. Discussion</w:t>
      </w:r>
    </w:p>
    <w:p w14:paraId="5031D001" w14:textId="77777777" w:rsidR="00CC3706" w:rsidRDefault="00000000">
      <w:pPr>
        <w:pStyle w:val="Heading2"/>
      </w:pPr>
      <w:r>
        <w:t>5.1 Expected Contribution</w:t>
      </w:r>
    </w:p>
    <w:p w14:paraId="2205A3B0" w14:textId="77777777" w:rsidR="00CC3706" w:rsidRDefault="00000000">
      <w:pPr>
        <w:jc w:val="both"/>
      </w:pPr>
      <w:r>
        <w:t>The principal contribution is an integration-oriented design that connects explanation generation to operational control. In many decision-support settings, an explanation is displayed after a prediction has been made, while reliability monitoring and model maintenance operate in separate pipelines. A-XAI instead treats explanation diagnostics, uncertainty, drift, and risk as signals that can influence whether a recommendation is released, reviewed, or withheld. This can make the system’s limits more visible and create a clearer audit trail.</w:t>
      </w:r>
    </w:p>
    <w:p w14:paraId="4D654AF0" w14:textId="77777777" w:rsidR="00CC3706" w:rsidRDefault="00000000">
      <w:pPr>
        <w:pStyle w:val="Heading2"/>
      </w:pPr>
      <w:r>
        <w:t>5.2 Adaptation Without Uncontrolled Self-Modification</w:t>
      </w:r>
    </w:p>
    <w:p w14:paraId="41F8B546" w14:textId="77777777" w:rsidR="00CC3706" w:rsidRDefault="00000000">
      <w:pPr>
        <w:jc w:val="both"/>
      </w:pPr>
      <w:r>
        <w:t>Adaptivity should not mean unrestricted online self-modification. Updating a model can change its error profile, feature attributions, counterfactuals, calibration, and fairness characteristics. Therefore, each candidate update should be versioned and tested against acceptance criteria. A rollback mechanism is essential when post-deployment monitoring detects regressions. In high-impact domains, changes to thresholds, training data, or model parameters may require documented human approval.</w:t>
      </w:r>
    </w:p>
    <w:p w14:paraId="7D4F2155" w14:textId="77777777" w:rsidR="00CC3706" w:rsidRDefault="00000000">
      <w:pPr>
        <w:pStyle w:val="Heading2"/>
      </w:pPr>
      <w:r>
        <w:t>5.3 Explanation Reliability and User-Centred Design</w:t>
      </w:r>
    </w:p>
    <w:p w14:paraId="5FBEB117" w14:textId="77777777" w:rsidR="00CC3706" w:rsidRDefault="00000000">
      <w:pPr>
        <w:jc w:val="both"/>
      </w:pPr>
      <w:r>
        <w:t xml:space="preserve">Explanations can be misleading when they are unstable, incomplete, or interpreted beyond their intended scope. Feature attribution identifies associations used by a model; it does not by itself prove causality. Counterfactual explanations can be infeasible if they recommend changes that are </w:t>
      </w:r>
      <w:r>
        <w:lastRenderedPageBreak/>
        <w:t>impossible, unethical, or outside a user’s control. The framework therefore treats explanations as decision-support artifacts that need their own diagnostics and user testing. Explanation formats should be selected for the task and audience, and users should be informed when an explanation is approximate or unavailable.</w:t>
      </w:r>
    </w:p>
    <w:p w14:paraId="319C98E5" w14:textId="77777777" w:rsidR="00CC3706" w:rsidRDefault="00000000">
      <w:pPr>
        <w:pStyle w:val="Heading2"/>
      </w:pPr>
      <w:r>
        <w:t>5.4 Fairness, Privacy, and Accountability</w:t>
      </w:r>
    </w:p>
    <w:p w14:paraId="5FA2655A" w14:textId="77777777" w:rsidR="00CC3706" w:rsidRDefault="00000000">
      <w:pPr>
        <w:jc w:val="both"/>
      </w:pPr>
      <w:r>
        <w:t>Adaptation can improve performance for changing conditions but may also reinforce historical biases if new data are unrepresentative or labels reflect unequal treatment. Monitoring should include subgroup outcomes where legally and ethically appropriate, with privacy-preserving data practices. Audit logs should capture the data/model version, relevant risk signals, explanation method, decision route, and human intervention. Access controls and retention periods should be proportionate to the sensitivity of the application.</w:t>
      </w:r>
    </w:p>
    <w:p w14:paraId="74171791" w14:textId="77777777" w:rsidR="00CC3706" w:rsidRDefault="00000000">
      <w:pPr>
        <w:pStyle w:val="Heading2"/>
      </w:pPr>
      <w:r>
        <w:t>5.5 Practical Deployment Considerations</w:t>
      </w:r>
    </w:p>
    <w:p w14:paraId="34F008C4" w14:textId="77777777" w:rsidR="00CC3706" w:rsidRDefault="00000000">
      <w:pPr>
        <w:jc w:val="both"/>
      </w:pPr>
      <w:r>
        <w:t>A production implementation requires integration with data pipelines, model registries, monitoring systems, user interfaces, and incident-management processes. Computational cost is another trade-off: generating multiple explanations or running ensembles may increase latency. The framework can use tiered explanation policies—for example, a lightweight explanation for routine cases and a more detailed explanation for cases escalated to review—provided the policy is validated and does not conceal material information. Low-resource deployments may need compact models and selective explanation generation.</w:t>
      </w:r>
    </w:p>
    <w:p w14:paraId="778D210A" w14:textId="77777777" w:rsidR="00CC3706" w:rsidRDefault="00000000">
      <w:pPr>
        <w:pStyle w:val="Heading2"/>
      </w:pPr>
      <w:r>
        <w:t>5.6 Limitations</w:t>
      </w:r>
    </w:p>
    <w:p w14:paraId="7C3974AA" w14:textId="77777777" w:rsidR="00CC3706" w:rsidRDefault="00000000">
      <w:pPr>
        <w:jc w:val="both"/>
      </w:pPr>
      <w:r>
        <w:t>This paper is conceptual and does not report original experiments, quantitative performance, or user evaluations. The reliability score and decision policy are illustrative design formulations whose terms, normalization, and thresholds require domain-specific validation. No single set of metrics is sufficient for every application, and some dimensions—such as explanation usefulness, fairness, and acceptable risk—require stakeholder judgment. The framework also cannot eliminate risks arising from poor governance, adversarial behaviour, inadequate data, or inappropriate use. Its value must be assessed through transparent empirical studies in defined deployment settings.</w:t>
      </w:r>
    </w:p>
    <w:p w14:paraId="433D9DA9" w14:textId="77777777" w:rsidR="00CC3706" w:rsidRDefault="00000000">
      <w:pPr>
        <w:pStyle w:val="Heading1"/>
      </w:pPr>
      <w:r>
        <w:lastRenderedPageBreak/>
        <w:t>6. Conclusion and Future Work</w:t>
      </w:r>
    </w:p>
    <w:p w14:paraId="2DD638A2" w14:textId="77777777" w:rsidR="00CC3706" w:rsidRDefault="00000000">
      <w:pPr>
        <w:jc w:val="both"/>
      </w:pPr>
      <w:r>
        <w:t>This paper proposed an Adaptive Explainable AI framework for reliable decision-making in real-world environments. The design connects contextual data validation, drift monitoring, uncertainty-aware prediction, context-sensitive explanations, risk-based decision routing, human oversight, feedback, controlled adaptation, and post-update validation. Its key principle is that AI systems should not treat a prediction or explanation as sufficient evidence for action when the data are unreliable, the environment has shifted, or the consequences of error are substantial. Instead, the system should be able to recommend, escalate, abstain, or enter a governed adaptation process.</w:t>
      </w:r>
    </w:p>
    <w:p w14:paraId="0E476955" w14:textId="77777777" w:rsidR="00CC3706" w:rsidRDefault="00000000">
      <w:pPr>
        <w:jc w:val="both"/>
      </w:pPr>
      <w:r>
        <w:t>Future work should instantiate the framework in a clearly defined domain, select validated uncertainty and drift measures, establish stakeholder-approved thresholds, and compare the integrated approach with relevant baselines. It should evaluate not only predictive metrics but also calibration, explanation fidelity and stability, subgroup performance, operational latency, reviewer workload, and incident outcomes. Until such studies are completed, A-XAI should be regarded as a testable conceptual framework rather than a proven solution.</w:t>
      </w:r>
    </w:p>
    <w:p w14:paraId="0A00CF4B" w14:textId="77777777" w:rsidR="008705D5" w:rsidRDefault="008705D5">
      <w:pPr>
        <w:jc w:val="both"/>
      </w:pPr>
    </w:p>
    <w:p w14:paraId="1925BC3E" w14:textId="77777777" w:rsidR="008705D5" w:rsidRPr="008705D5" w:rsidRDefault="008705D5" w:rsidP="008705D5">
      <w:pPr>
        <w:spacing w:after="0" w:line="240" w:lineRule="auto"/>
        <w:rPr>
          <w:rFonts w:ascii="Arial" w:eastAsia="Calibri" w:hAnsi="Arial" w:cs="Arial"/>
          <w:b/>
          <w:sz w:val="20"/>
          <w:szCs w:val="20"/>
        </w:rPr>
      </w:pPr>
      <w:bookmarkStart w:id="0" w:name="_Hlk238550938"/>
      <w:r w:rsidRPr="008705D5">
        <w:rPr>
          <w:rFonts w:ascii="Arial" w:eastAsia="Calibri" w:hAnsi="Arial" w:cs="Arial"/>
          <w:b/>
          <w:sz w:val="20"/>
          <w:szCs w:val="20"/>
        </w:rPr>
        <w:t>Declaration of AI Use</w:t>
      </w:r>
    </w:p>
    <w:p w14:paraId="57B3608D" w14:textId="77777777" w:rsidR="008705D5" w:rsidRPr="008705D5" w:rsidRDefault="008705D5" w:rsidP="008705D5">
      <w:pPr>
        <w:spacing w:after="0" w:line="240" w:lineRule="auto"/>
        <w:rPr>
          <w:rFonts w:ascii="Arial" w:eastAsia="Calibri" w:hAnsi="Arial" w:cs="Arial"/>
          <w:sz w:val="20"/>
          <w:szCs w:val="20"/>
        </w:rPr>
      </w:pPr>
    </w:p>
    <w:p w14:paraId="6443C9A3" w14:textId="178BECBF" w:rsidR="008705D5" w:rsidRDefault="008705D5" w:rsidP="008705D5">
      <w:pPr>
        <w:jc w:val="both"/>
      </w:pPr>
      <w:r w:rsidRPr="008705D5">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p>
    <w:p w14:paraId="686F361F" w14:textId="77777777" w:rsidR="00CC3706" w:rsidRDefault="00000000">
      <w:pPr>
        <w:pStyle w:val="Heading1"/>
      </w:pPr>
      <w:r>
        <w:t>References</w:t>
      </w:r>
    </w:p>
    <w:p w14:paraId="0D7C2D70" w14:textId="77777777" w:rsidR="00CC3706" w:rsidRDefault="00000000">
      <w:pPr>
        <w:spacing w:line="276" w:lineRule="auto"/>
        <w:ind w:left="432" w:hanging="432"/>
      </w:pPr>
      <w:r>
        <w:t>Establishing and evaluating trustworthy AI: Overview and research challenges. (2024). Frontiers in Big Data, 7, Article 1467222. https://doi.org/10.3389/fdata.2024.1467222</w:t>
      </w:r>
    </w:p>
    <w:p w14:paraId="6FE7E3EC" w14:textId="77777777" w:rsidR="00CC3706" w:rsidRDefault="00000000">
      <w:pPr>
        <w:spacing w:line="276" w:lineRule="auto"/>
        <w:ind w:left="432" w:hanging="432"/>
      </w:pPr>
      <w:r>
        <w:t>Hinder, F., Vaquet, V., &amp; Hammer, B. (2024). One or two things we know about concept drift—A survey on monitoring in evolving environments. Part B: Locating and explaining concept drift. Frontiers in Artificial Intelligence, 7, Article 1330258. https://doi.org/10.3389/frai.2024.1330258</w:t>
      </w:r>
    </w:p>
    <w:p w14:paraId="2E1FC474" w14:textId="77777777" w:rsidR="00CC3706" w:rsidRDefault="00000000">
      <w:pPr>
        <w:spacing w:line="276" w:lineRule="auto"/>
        <w:ind w:left="432" w:hanging="432"/>
      </w:pPr>
      <w:r>
        <w:t>Lundberg, S. M., &amp; Lee, S.-I. (2017). A unified approach to interpreting model predictions. In Advances in Neural Information Processing Systems (Vol. 30). https://proceedings.neurips.cc/paper/2017/hash/8a20a8621978632d76c43dfd28b67767-Abstract.html</w:t>
      </w:r>
    </w:p>
    <w:p w14:paraId="13C06964" w14:textId="77777777" w:rsidR="00CC3706" w:rsidRDefault="00000000">
      <w:pPr>
        <w:spacing w:line="276" w:lineRule="auto"/>
        <w:ind w:left="432" w:hanging="432"/>
      </w:pPr>
      <w:r>
        <w:lastRenderedPageBreak/>
        <w:t>McLaughlin, J. (2025). Human-centered explainable artificial intelligence: An Annual Review of Information Science and Technology (ARIST) paper. Journal of the Association for Information Science and Technology, 76(1), 98–120. https://doi.org/10.1002/asi.24889</w:t>
      </w:r>
    </w:p>
    <w:p w14:paraId="5797CD3C" w14:textId="77777777" w:rsidR="00CC3706" w:rsidRDefault="00000000">
      <w:pPr>
        <w:spacing w:line="276" w:lineRule="auto"/>
        <w:ind w:left="432" w:hanging="432"/>
      </w:pPr>
      <w:r>
        <w:t>Mersha, M., Lam, K., Wood, J., AlShami, A., &amp; Kalita, J. (2024). Explainable artificial intelligence: A survey of needs, techniques, applications, and future direction. Neurocomputing, 599, Article 128111. https://doi.org/10.1016/j.neucom.2024.128111</w:t>
      </w:r>
    </w:p>
    <w:p w14:paraId="75A96191" w14:textId="77777777" w:rsidR="00CC3706" w:rsidRDefault="00000000">
      <w:pPr>
        <w:spacing w:line="276" w:lineRule="auto"/>
        <w:ind w:left="432" w:hanging="432"/>
      </w:pPr>
      <w:r>
        <w:t>Ribeiro, M. T., Singh, S., &amp; Guestrin, C. (2016). “Why should I trust you?” Explaining the predictions of any classifier. In Proceedings of the 22nd ACM SIGKDD International Conference on Knowledge Discovery and Data Mining (pp. 1135–1144). Association for Computing Machinery. https://doi.org/10.1145/2939672.2939778</w:t>
      </w:r>
    </w:p>
    <w:p w14:paraId="7E10F1A8" w14:textId="77777777" w:rsidR="00CC3706" w:rsidRDefault="00000000">
      <w:pPr>
        <w:spacing w:line="276" w:lineRule="auto"/>
        <w:ind w:left="432" w:hanging="432"/>
      </w:pPr>
      <w:r>
        <w:t>Tabassi, E. (2023). Artificial intelligence risk management framework (AI RMF 1.0) (NIST AI 100-1). National Institute of Standards and Technology. https://doi.org/10.6028/NIST.AI.100-1</w:t>
      </w:r>
    </w:p>
    <w:p w14:paraId="6B13AF24" w14:textId="77777777" w:rsidR="00CC3706" w:rsidRDefault="00000000">
      <w:pPr>
        <w:spacing w:line="276" w:lineRule="auto"/>
        <w:ind w:left="432" w:hanging="432"/>
      </w:pPr>
      <w:r>
        <w:t>Explainability and interpretability in concept and data drift: A systematic literature review. (2025). Algorithms, 18(7), Article 443. https://doi.org/10.3390/a18070443</w:t>
      </w:r>
    </w:p>
    <w:p w14:paraId="6D32F4AE" w14:textId="77777777" w:rsidR="00CC3706" w:rsidRDefault="00000000">
      <w:pPr>
        <w:spacing w:line="276" w:lineRule="auto"/>
        <w:ind w:left="432" w:hanging="432"/>
      </w:pPr>
      <w:r>
        <w:t>Explainable artificial intelligence (XAI) 2.0: A manifesto of open challenges and interdisciplinary research directions. (2024). Information Fusion, 106, Article 102301. https://doi.org/10.1016/j.inffus.2024.102301</w:t>
      </w:r>
    </w:p>
    <w:p w14:paraId="56BA8BBB" w14:textId="4639F6D7" w:rsidR="00CC3706" w:rsidRDefault="00CC3706" w:rsidP="00B35FD6">
      <w:pPr>
        <w:pStyle w:val="ListBullet"/>
        <w:numPr>
          <w:ilvl w:val="0"/>
          <w:numId w:val="0"/>
        </w:numPr>
        <w:ind w:left="360" w:hanging="360"/>
      </w:pPr>
    </w:p>
    <w:sectPr w:rsidR="00CC3706" w:rsidSect="00034616">
      <w:headerReference w:type="even" r:id="rId9"/>
      <w:headerReference w:type="default" r:id="rId10"/>
      <w:footerReference w:type="even" r:id="rId11"/>
      <w:footerReference w:type="default" r:id="rId12"/>
      <w:headerReference w:type="first" r:id="rId13"/>
      <w:footerReference w:type="first" r:id="rId14"/>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BBE2B" w14:textId="77777777" w:rsidR="00A407FF" w:rsidRDefault="00A407FF">
      <w:pPr>
        <w:spacing w:after="0" w:line="240" w:lineRule="auto"/>
      </w:pPr>
      <w:r>
        <w:separator/>
      </w:r>
    </w:p>
  </w:endnote>
  <w:endnote w:type="continuationSeparator" w:id="0">
    <w:p w14:paraId="61B62059" w14:textId="77777777" w:rsidR="00A407FF" w:rsidRDefault="00A40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autami">
    <w:panose1 w:val="02000500000000000000"/>
    <w:charset w:val="00"/>
    <w:family w:val="swiss"/>
    <w:pitch w:val="variable"/>
    <w:sig w:usb0="002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AD84D" w14:textId="77777777" w:rsidR="008F536B" w:rsidRDefault="008F53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29B83" w14:textId="77777777" w:rsidR="00CC3706" w:rsidRDefault="00000000">
    <w:pPr>
      <w:pStyle w:val="Footer"/>
      <w:jc w:val="center"/>
    </w:pPr>
    <w:r>
      <w:t xml:space="preserve">Page </w:t>
    </w:r>
    <w:r>
      <w:fldChar w:fldCharType="begin"/>
    </w:r>
    <w:r>
      <w:instrText>PAGE</w:instrText>
    </w:r>
    <w:r>
      <w:fldChar w:fldCharType="separate"/>
    </w:r>
    <w:r w:rsidR="00B35FD6">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AD34F" w14:textId="77777777" w:rsidR="008F536B" w:rsidRDefault="008F53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600CD" w14:textId="77777777" w:rsidR="00A407FF" w:rsidRDefault="00A407FF">
      <w:pPr>
        <w:spacing w:after="0" w:line="240" w:lineRule="auto"/>
      </w:pPr>
      <w:r>
        <w:separator/>
      </w:r>
    </w:p>
  </w:footnote>
  <w:footnote w:type="continuationSeparator" w:id="0">
    <w:p w14:paraId="2A82E6B0" w14:textId="77777777" w:rsidR="00A407FF" w:rsidRDefault="00A407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215B" w14:textId="5DD70360" w:rsidR="008F536B" w:rsidRDefault="008F536B">
    <w:pPr>
      <w:pStyle w:val="Header"/>
    </w:pPr>
    <w:r>
      <w:rPr>
        <w:noProof/>
      </w:rPr>
      <w:pict w14:anchorId="1410A6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99594"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B88B9" w14:textId="2BAF4732" w:rsidR="008F536B" w:rsidRDefault="008F536B">
    <w:pPr>
      <w:pStyle w:val="Header"/>
    </w:pPr>
    <w:r>
      <w:rPr>
        <w:noProof/>
      </w:rPr>
      <w:pict w14:anchorId="434791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99595"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12CD3" w14:textId="2BE5FA6A" w:rsidR="008F536B" w:rsidRDefault="008F536B">
    <w:pPr>
      <w:pStyle w:val="Header"/>
    </w:pPr>
    <w:r>
      <w:rPr>
        <w:noProof/>
      </w:rPr>
      <w:pict w14:anchorId="500005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99593"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79331662">
    <w:abstractNumId w:val="8"/>
  </w:num>
  <w:num w:numId="2" w16cid:durableId="2022662344">
    <w:abstractNumId w:val="6"/>
  </w:num>
  <w:num w:numId="3" w16cid:durableId="1288928130">
    <w:abstractNumId w:val="5"/>
  </w:num>
  <w:num w:numId="4" w16cid:durableId="996030572">
    <w:abstractNumId w:val="4"/>
  </w:num>
  <w:num w:numId="5" w16cid:durableId="1551460825">
    <w:abstractNumId w:val="7"/>
  </w:num>
  <w:num w:numId="6" w16cid:durableId="1160779711">
    <w:abstractNumId w:val="3"/>
  </w:num>
  <w:num w:numId="7" w16cid:durableId="1580603930">
    <w:abstractNumId w:val="2"/>
  </w:num>
  <w:num w:numId="8" w16cid:durableId="538274569">
    <w:abstractNumId w:val="1"/>
  </w:num>
  <w:num w:numId="9" w16cid:durableId="25255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79B9"/>
    <w:rsid w:val="0012117B"/>
    <w:rsid w:val="0015074B"/>
    <w:rsid w:val="001C3DF8"/>
    <w:rsid w:val="0029639D"/>
    <w:rsid w:val="00326F90"/>
    <w:rsid w:val="00470896"/>
    <w:rsid w:val="008705D5"/>
    <w:rsid w:val="008D0802"/>
    <w:rsid w:val="008F536B"/>
    <w:rsid w:val="009B16D5"/>
    <w:rsid w:val="00A407FF"/>
    <w:rsid w:val="00AA1D8D"/>
    <w:rsid w:val="00B35FD6"/>
    <w:rsid w:val="00B47730"/>
    <w:rsid w:val="00CB0664"/>
    <w:rsid w:val="00CC3706"/>
    <w:rsid w:val="00DF7EE3"/>
    <w:rsid w:val="00E80F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e-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A6A71B"/>
  <w14:defaultImageDpi w14:val="300"/>
  <w15:docId w15:val="{835833BC-D04A-4412-8AD6-CC89F1668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i/>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35FD6"/>
    <w:rPr>
      <w:color w:val="0000FF" w:themeColor="hyperlink"/>
      <w:u w:val="single"/>
    </w:rPr>
  </w:style>
  <w:style w:type="character" w:styleId="UnresolvedMention">
    <w:name w:val="Unresolved Mention"/>
    <w:basedOn w:val="DefaultParagraphFont"/>
    <w:uiPriority w:val="99"/>
    <w:semiHidden/>
    <w:unhideWhenUsed/>
    <w:rsid w:val="00B35F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4161</Words>
  <Characters>23724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1084</cp:lastModifiedBy>
  <cp:revision>5</cp:revision>
  <dcterms:created xsi:type="dcterms:W3CDTF">2026-10-10T07:27:00Z</dcterms:created>
  <dcterms:modified xsi:type="dcterms:W3CDTF">2026-10-10T12:23:00Z</dcterms:modified>
  <cp:category/>
</cp:coreProperties>
</file>