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4703" w14:textId="11DC310F" w:rsidR="00462B59" w:rsidRPr="00344FD1" w:rsidRDefault="002237C7" w:rsidP="00055D83">
      <w:pPr>
        <w:spacing w:before="0" w:line="240" w:lineRule="auto"/>
        <w:jc w:val="center"/>
        <w:rPr>
          <w:rFonts w:cs="Times New Roman"/>
          <w:b/>
          <w:bCs/>
          <w:color w:val="000000" w:themeColor="text1"/>
          <w:sz w:val="36"/>
          <w:szCs w:val="36"/>
        </w:rPr>
      </w:pPr>
      <w:r w:rsidRPr="00344FD1">
        <w:rPr>
          <w:rFonts w:cs="Times New Roman"/>
          <w:b/>
          <w:bCs/>
          <w:color w:val="000000" w:themeColor="text1"/>
          <w:sz w:val="36"/>
          <w:szCs w:val="36"/>
        </w:rPr>
        <w:t>STRATEGIC MANAGEMENT PRACTICES AND COMPETITIVENESS OF SELECTED SUPERMARKETS IN NAIROBI CITY COUNTY, KENYA</w:t>
      </w:r>
    </w:p>
    <w:p w14:paraId="19B4D42B" w14:textId="6B0BD392" w:rsidR="00870856" w:rsidRPr="00344FD1" w:rsidRDefault="00870856" w:rsidP="00055D83">
      <w:pPr>
        <w:spacing w:before="0" w:line="240" w:lineRule="auto"/>
        <w:jc w:val="center"/>
        <w:rPr>
          <w:rFonts w:cs="Times New Roman"/>
          <w:b/>
          <w:bCs/>
          <w:color w:val="000000" w:themeColor="text1"/>
          <w:sz w:val="36"/>
          <w:szCs w:val="36"/>
        </w:rPr>
      </w:pPr>
    </w:p>
    <w:p w14:paraId="3FC0670C" w14:textId="77777777" w:rsidR="00870856" w:rsidRPr="00344FD1" w:rsidRDefault="00870856" w:rsidP="00055D83">
      <w:pPr>
        <w:spacing w:before="0" w:line="240" w:lineRule="auto"/>
        <w:jc w:val="center"/>
        <w:rPr>
          <w:rFonts w:cs="Times New Roman"/>
          <w:b/>
          <w:bCs/>
          <w:color w:val="000000" w:themeColor="text1"/>
          <w:sz w:val="36"/>
          <w:szCs w:val="36"/>
        </w:rPr>
      </w:pPr>
    </w:p>
    <w:p w14:paraId="3F108D69" w14:textId="77777777" w:rsidR="003607E2" w:rsidRPr="00344FD1" w:rsidRDefault="003607E2" w:rsidP="00055D83">
      <w:pPr>
        <w:spacing w:before="0" w:line="240" w:lineRule="auto"/>
        <w:jc w:val="center"/>
        <w:rPr>
          <w:rFonts w:cs="Times New Roman"/>
          <w:b/>
          <w:color w:val="000000" w:themeColor="text1"/>
          <w:szCs w:val="24"/>
        </w:rPr>
      </w:pPr>
    </w:p>
    <w:p w14:paraId="472C06E0" w14:textId="71B736FC" w:rsidR="00870856" w:rsidRPr="00344FD1" w:rsidRDefault="00870856" w:rsidP="00055D83">
      <w:pPr>
        <w:spacing w:before="0" w:line="240" w:lineRule="auto"/>
        <w:jc w:val="center"/>
        <w:rPr>
          <w:rStyle w:val="Hyperlink"/>
          <w:rFonts w:cs="Times New Roman"/>
          <w:szCs w:val="24"/>
        </w:rPr>
      </w:pPr>
    </w:p>
    <w:p w14:paraId="1CC559E2" w14:textId="77777777" w:rsidR="00870856" w:rsidRPr="00344FD1" w:rsidRDefault="00870856" w:rsidP="00870856">
      <w:pPr>
        <w:spacing w:before="0" w:line="240" w:lineRule="auto"/>
        <w:jc w:val="center"/>
        <w:rPr>
          <w:rFonts w:cs="Times New Roman"/>
          <w:color w:val="000000" w:themeColor="text1"/>
          <w:szCs w:val="24"/>
        </w:rPr>
      </w:pPr>
    </w:p>
    <w:p w14:paraId="42946DD8" w14:textId="77777777" w:rsidR="00055D83" w:rsidRPr="00344FD1" w:rsidRDefault="00055D83" w:rsidP="004737A8">
      <w:pPr>
        <w:spacing w:before="0" w:line="240" w:lineRule="auto"/>
        <w:jc w:val="center"/>
        <w:rPr>
          <w:b/>
          <w:sz w:val="28"/>
        </w:rPr>
      </w:pPr>
      <w:bookmarkStart w:id="0" w:name="_Toc488404692"/>
      <w:bookmarkStart w:id="1" w:name="_Toc102409737"/>
      <w:r w:rsidRPr="00344FD1">
        <w:rPr>
          <w:b/>
          <w:sz w:val="28"/>
        </w:rPr>
        <w:t>ABSTRACT</w:t>
      </w:r>
      <w:bookmarkEnd w:id="0"/>
      <w:bookmarkEnd w:id="1"/>
    </w:p>
    <w:p w14:paraId="05B0CB2B" w14:textId="0226A7F6" w:rsidR="008C3E27" w:rsidRPr="00344FD1" w:rsidRDefault="00627228" w:rsidP="008C3E27">
      <w:pPr>
        <w:spacing w:line="240" w:lineRule="auto"/>
        <w:rPr>
          <w:rFonts w:cs="Times New Roman"/>
          <w:color w:val="000000" w:themeColor="text1"/>
          <w:szCs w:val="24"/>
        </w:rPr>
      </w:pPr>
      <w:r w:rsidRPr="00344FD1">
        <w:rPr>
          <w:rFonts w:cs="Times New Roman"/>
          <w:color w:val="000000" w:themeColor="text1"/>
          <w:szCs w:val="24"/>
        </w:rPr>
        <w:t xml:space="preserve">Strategic management practices are important for enhancing organizational competitiveness, particularly in supermarkets operating within a highly competitive retail environment characterized by thin profit margins, changing customer preferences, supply chain complexities, and intense market rivalry. This study investigated the influence of strategic management practices on the competitiveness of selected supermarkets in Nairobi City County, Kenya. Specifically, the study examined the effects of strategic planning, strategic leadership, resource allocation, and positioning strategies on supermarket competitiveness. The study focused on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and Carrefour supermarkets and was anchored on Strategic Leadership Theory, Strategic Fit Theory, Dynamic Capabilities Theory, and Strategic Agility Theory. A descriptive research design was adopted, targeting 150 employees, with 109 respondents selected using Yamane’s formula and purposive sampling. Primary data were collected using structured questionnaires based on a five-point Likert scale. A pilot study involving 11 respondents was conducted, while validity and reliability were assessed through expert judgment and Cronbach’s alpha, respectively. Data were analyzed and presented using tables, figures, and bar charts. The findings established that strategic planning positively influenced competitiveness through environmental scanning, goal formulation, and effective implementation of strategic plans. Strategic leadership enhanced competitiveness through effective decision-making, employee motivation, and goal-oriented leadership. Efficient resource allocation, particularly in financial planning, budgeting, and human resource deployment, improved operational efficiency and market responsiveness. Positioning strategies, including product differentiation, pricing, and brand positioning, enhanced customer loyalty and market share. Regression results indicated that all independent variables had positive and statistically significant effects on competitiveness. The study concluded that strategic management practices are critical determinants of supermarket competitiveness and recommended strengthening strategic planning, adaptive leadership, strategic resource allocation, and differentiated market positioning.</w:t>
      </w:r>
    </w:p>
    <w:p w14:paraId="6A6EF33B" w14:textId="77777777" w:rsidR="008C3E27" w:rsidRPr="00344FD1" w:rsidRDefault="008C3E27" w:rsidP="008C3E27">
      <w:pPr>
        <w:spacing w:line="240" w:lineRule="auto"/>
        <w:rPr>
          <w:rFonts w:cs="Times New Roman"/>
          <w:color w:val="000000" w:themeColor="text1"/>
          <w:szCs w:val="24"/>
        </w:rPr>
      </w:pPr>
    </w:p>
    <w:p w14:paraId="283625D9" w14:textId="778E8E45" w:rsidR="00D2350E" w:rsidRPr="00344FD1" w:rsidRDefault="008C3E27" w:rsidP="008C3E27">
      <w:pPr>
        <w:spacing w:line="240" w:lineRule="auto"/>
        <w:rPr>
          <w:rFonts w:cs="Times New Roman"/>
          <w:color w:val="000000" w:themeColor="text1"/>
          <w:szCs w:val="24"/>
        </w:rPr>
      </w:pPr>
      <w:r w:rsidRPr="00344FD1">
        <w:rPr>
          <w:rFonts w:cs="Times New Roman"/>
          <w:b/>
          <w:color w:val="000000" w:themeColor="text1"/>
          <w:szCs w:val="24"/>
        </w:rPr>
        <w:t>Keywords:</w:t>
      </w:r>
      <w:r w:rsidRPr="00344FD1">
        <w:rPr>
          <w:rFonts w:cs="Times New Roman"/>
          <w:color w:val="000000" w:themeColor="text1"/>
          <w:szCs w:val="24"/>
        </w:rPr>
        <w:t xml:space="preserve"> </w:t>
      </w:r>
      <w:r w:rsidR="00627228" w:rsidRPr="00344FD1">
        <w:rPr>
          <w:rFonts w:cs="Times New Roman"/>
          <w:i/>
          <w:color w:val="000000" w:themeColor="text1"/>
          <w:szCs w:val="24"/>
        </w:rPr>
        <w:t>Strategic management, strategic planning, strategic leadership, resource allocation, positioning strategies, competitiveness, supermarkets</w:t>
      </w:r>
      <w:r w:rsidRPr="00344FD1">
        <w:rPr>
          <w:rFonts w:cs="Times New Roman"/>
          <w:color w:val="000000" w:themeColor="text1"/>
          <w:szCs w:val="24"/>
        </w:rPr>
        <w:t>.</w:t>
      </w:r>
    </w:p>
    <w:p w14:paraId="4056C615" w14:textId="77777777" w:rsidR="00D2350E" w:rsidRPr="00344FD1" w:rsidRDefault="00D2350E" w:rsidP="00D2350E">
      <w:pPr>
        <w:spacing w:line="240" w:lineRule="auto"/>
        <w:rPr>
          <w:rFonts w:cs="Times New Roman"/>
          <w:color w:val="000000" w:themeColor="text1"/>
          <w:szCs w:val="24"/>
        </w:rPr>
      </w:pPr>
    </w:p>
    <w:p w14:paraId="46C09BC5" w14:textId="32AC91A2" w:rsidR="00442FDE" w:rsidRPr="00344FD1" w:rsidRDefault="00055D83" w:rsidP="00442FDE">
      <w:pPr>
        <w:shd w:val="clear" w:color="auto" w:fill="FFFFFF"/>
        <w:spacing w:line="240" w:lineRule="auto"/>
        <w:rPr>
          <w:rFonts w:eastAsia="Times New Roman" w:cs="Times New Roman"/>
          <w:b/>
          <w:bCs/>
          <w:color w:val="000000" w:themeColor="text1"/>
          <w:sz w:val="28"/>
          <w:szCs w:val="28"/>
        </w:rPr>
      </w:pPr>
      <w:r w:rsidRPr="00344FD1">
        <w:rPr>
          <w:rFonts w:eastAsia="Times New Roman" w:cs="Times New Roman"/>
          <w:b/>
          <w:bCs/>
          <w:color w:val="000000" w:themeColor="text1"/>
          <w:sz w:val="28"/>
          <w:szCs w:val="28"/>
        </w:rPr>
        <w:t>1.0 INTRODUCTION</w:t>
      </w:r>
    </w:p>
    <w:p w14:paraId="286EBB84" w14:textId="1674F52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 xml:space="preserve">In today’s competitive business environment, organizations are required to remain relevant, innovative, and profitable (Miano and Wamalwa, 2021). Globalization, technological advancement, changing consumer </w:t>
      </w:r>
      <w:proofErr w:type="spellStart"/>
      <w:r w:rsidRPr="00344FD1">
        <w:rPr>
          <w:rFonts w:cs="Times New Roman"/>
          <w:color w:val="000000" w:themeColor="text1"/>
          <w:szCs w:val="24"/>
        </w:rPr>
        <w:t>behaviour</w:t>
      </w:r>
      <w:proofErr w:type="spellEnd"/>
      <w:r w:rsidRPr="00344FD1">
        <w:rPr>
          <w:rFonts w:cs="Times New Roman"/>
          <w:color w:val="000000" w:themeColor="text1"/>
          <w:szCs w:val="24"/>
        </w:rPr>
        <w:t>, and economic disruptions have created markets requiring continuous adaptation (Mwangi &amp; Omwenga, 2022). Strategic management supports competition, opportunity exploitation, and uncertainty management (Narayanan, 2021).</w:t>
      </w:r>
    </w:p>
    <w:p w14:paraId="4E5696AC" w14:textId="02ED4B2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lastRenderedPageBreak/>
        <w:t xml:space="preserve">The retail industry has experienced transformation in market competition (Liem, 2019). Supermarkets operate under thin margins, demanding customers, and complex supply chains (Cheboi, Mulili, &amp; </w:t>
      </w:r>
      <w:proofErr w:type="spellStart"/>
      <w:r w:rsidRPr="00344FD1">
        <w:rPr>
          <w:rFonts w:cs="Times New Roman"/>
          <w:color w:val="000000" w:themeColor="text1"/>
          <w:szCs w:val="24"/>
        </w:rPr>
        <w:t>Nyiva</w:t>
      </w:r>
      <w:proofErr w:type="spellEnd"/>
      <w:r w:rsidRPr="00344FD1">
        <w:rPr>
          <w:rFonts w:cs="Times New Roman"/>
          <w:color w:val="000000" w:themeColor="text1"/>
          <w:szCs w:val="24"/>
        </w:rPr>
        <w:t>, 2022). Local expansion and international entry have intensified rivalry, while consumers consider price, convenience, and innovation (</w:t>
      </w:r>
      <w:proofErr w:type="spellStart"/>
      <w:r w:rsidRPr="00344FD1">
        <w:rPr>
          <w:rFonts w:cs="Times New Roman"/>
          <w:color w:val="000000" w:themeColor="text1"/>
          <w:szCs w:val="24"/>
        </w:rPr>
        <w:t>Kanano</w:t>
      </w:r>
      <w:proofErr w:type="spellEnd"/>
      <w:r w:rsidRPr="00344FD1">
        <w:rPr>
          <w:rFonts w:cs="Times New Roman"/>
          <w:color w:val="000000" w:themeColor="text1"/>
          <w:szCs w:val="24"/>
        </w:rPr>
        <w:t xml:space="preserve"> &amp; Wanjira, 2021). Strategic management involves establishing goals, developing strategies, and assessing performance (Henry, 2021). Long-term performance is influenced by strategic decisions and actions (</w:t>
      </w:r>
      <w:proofErr w:type="spellStart"/>
      <w:r w:rsidRPr="00344FD1">
        <w:rPr>
          <w:rFonts w:cs="Times New Roman"/>
          <w:color w:val="000000" w:themeColor="text1"/>
          <w:szCs w:val="24"/>
        </w:rPr>
        <w:t>Kanano</w:t>
      </w:r>
      <w:proofErr w:type="spellEnd"/>
      <w:r w:rsidRPr="00344FD1">
        <w:rPr>
          <w:rFonts w:cs="Times New Roman"/>
          <w:color w:val="000000" w:themeColor="text1"/>
          <w:szCs w:val="24"/>
        </w:rPr>
        <w:t xml:space="preserve"> &amp; Wanjira, 2021). Strategic planning aligns goals with market opportunities, anticipates consumer needs, and guides resource allocation (Ferlie &amp; Ongaro, 2022).</w:t>
      </w:r>
    </w:p>
    <w:p w14:paraId="4EB295A7" w14:textId="61BD708A"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Supermarket competitiveness is reflected in customer satisfaction, growth, market share, and brand loyalty (Mutua, 2023; Miano &amp; Wamalwa, 2021). Strategic positioning and efficient resource utilization can strengthen resilience to market disruptions (Moocher, 2021). The United Kingdom supermarket industry is characterized by intense rivalry among Sainsbury’s, Tesco, Asda, Morrisons, Aldi, and Lidl (Dobson et al., 2020). Johnson et al. (2020) found that leading supermarkets rely on strategic planning and market positioning for competitive advantage. Valey &amp; Rafiq (2019) noted that major brands prioritize digitization, supply chain optimization, and data analytics to improve efficiency and customer retention.</w:t>
      </w:r>
    </w:p>
    <w:p w14:paraId="673A88CA" w14:textId="23B85D03"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 xml:space="preserve">South Africa has one of Africa’s most competitive retail sectors, characterized by market concentration, expansion, and changing consumer </w:t>
      </w:r>
      <w:proofErr w:type="spellStart"/>
      <w:r w:rsidRPr="00344FD1">
        <w:rPr>
          <w:rFonts w:cs="Times New Roman"/>
          <w:color w:val="000000" w:themeColor="text1"/>
          <w:szCs w:val="24"/>
        </w:rPr>
        <w:t>behaviour</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Thi</w:t>
      </w:r>
      <w:proofErr w:type="spellEnd"/>
      <w:r w:rsidRPr="00344FD1">
        <w:rPr>
          <w:rFonts w:cs="Times New Roman"/>
          <w:color w:val="000000" w:themeColor="text1"/>
          <w:szCs w:val="24"/>
        </w:rPr>
        <w:t xml:space="preserve"> et al., 2024). Shoprite, Woolworths, and Massmart have intensified rivalry in urban markets (Das Nair et al., 2020). Strategic management influences resource allocation, supply chain coordination, and market positioning (</w:t>
      </w:r>
      <w:proofErr w:type="spellStart"/>
      <w:r w:rsidRPr="00344FD1">
        <w:rPr>
          <w:rFonts w:cs="Times New Roman"/>
          <w:color w:val="000000" w:themeColor="text1"/>
          <w:szCs w:val="24"/>
        </w:rPr>
        <w:t>Chikazunga</w:t>
      </w:r>
      <w:proofErr w:type="spellEnd"/>
      <w:r w:rsidRPr="00344FD1">
        <w:rPr>
          <w:rFonts w:cs="Times New Roman"/>
          <w:color w:val="000000" w:themeColor="text1"/>
          <w:szCs w:val="24"/>
        </w:rPr>
        <w:t xml:space="preserve"> et al., 2021). Supermarkets have adopted strategic planning, expansion, and diversification to sustain competitiveness (</w:t>
      </w:r>
      <w:proofErr w:type="spellStart"/>
      <w:r w:rsidRPr="00344FD1">
        <w:rPr>
          <w:rFonts w:cs="Times New Roman"/>
          <w:color w:val="000000" w:themeColor="text1"/>
          <w:szCs w:val="24"/>
        </w:rPr>
        <w:t>Reardrom</w:t>
      </w:r>
      <w:proofErr w:type="spellEnd"/>
      <w:r w:rsidRPr="00344FD1">
        <w:rPr>
          <w:rFonts w:cs="Times New Roman"/>
          <w:color w:val="000000" w:themeColor="text1"/>
          <w:szCs w:val="24"/>
        </w:rPr>
        <w:t xml:space="preserve"> et al., 2019).</w:t>
      </w:r>
    </w:p>
    <w:p w14:paraId="026BBA69" w14:textId="3161D79A"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 xml:space="preserve">Kenyan supermarkets face aggressive competition from price-sensitive consumers, international entrants, and changing preferences (Muriithi &amp; Wanyoike, 2021). Kenyan players include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xml:space="preserve">, Carrefour, Chandarana </w:t>
      </w:r>
      <w:proofErr w:type="spellStart"/>
      <w:r w:rsidRPr="00344FD1">
        <w:rPr>
          <w:rFonts w:cs="Times New Roman"/>
          <w:color w:val="000000" w:themeColor="text1"/>
          <w:szCs w:val="24"/>
        </w:rPr>
        <w:t>Foodplus</w:t>
      </w:r>
      <w:proofErr w:type="spellEnd"/>
      <w:r w:rsidRPr="00344FD1">
        <w:rPr>
          <w:rFonts w:cs="Times New Roman"/>
          <w:color w:val="000000" w:themeColor="text1"/>
          <w:szCs w:val="24"/>
        </w:rPr>
        <w:t xml:space="preserve">, and </w:t>
      </w:r>
      <w:proofErr w:type="spellStart"/>
      <w:r w:rsidRPr="00344FD1">
        <w:rPr>
          <w:rFonts w:cs="Times New Roman"/>
          <w:color w:val="000000" w:themeColor="text1"/>
          <w:szCs w:val="24"/>
        </w:rPr>
        <w:t>Cleanshelf</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Cytonn</w:t>
      </w:r>
      <w:proofErr w:type="spellEnd"/>
      <w:r w:rsidRPr="00344FD1">
        <w:rPr>
          <w:rFonts w:cs="Times New Roman"/>
          <w:color w:val="000000" w:themeColor="text1"/>
          <w:szCs w:val="24"/>
        </w:rPr>
        <w:t xml:space="preserve"> Investments, 2024). Competition has contributed to instability through closures, restructuring, mergers, and Nakumatt’s collapse (Wambugu &amp; Ombui, 2020). Supermarkets have adopted formal strategic planning to align operations with competitive pressures (Muturi &amp; </w:t>
      </w:r>
      <w:proofErr w:type="spellStart"/>
      <w:r w:rsidRPr="00344FD1">
        <w:rPr>
          <w:rFonts w:cs="Times New Roman"/>
          <w:color w:val="000000" w:themeColor="text1"/>
          <w:szCs w:val="24"/>
        </w:rPr>
        <w:t>Kilika</w:t>
      </w:r>
      <w:proofErr w:type="spellEnd"/>
      <w:r w:rsidRPr="00344FD1">
        <w:rPr>
          <w:rFonts w:cs="Times New Roman"/>
          <w:color w:val="000000" w:themeColor="text1"/>
          <w:szCs w:val="24"/>
        </w:rPr>
        <w:t xml:space="preserve">, 2021). Wambua and Muli (2020) observed that participative and transformational leadership influence productivity and decision-making in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and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w:t>
      </w:r>
    </w:p>
    <w:p w14:paraId="600E1720" w14:textId="2B731913"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 xml:space="preserve">Competitiveness refers to an organization’s capacity to sustain or improve its market position relative to competitors (Wibowo and </w:t>
      </w:r>
      <w:proofErr w:type="spellStart"/>
      <w:r w:rsidRPr="00344FD1">
        <w:rPr>
          <w:rFonts w:cs="Times New Roman"/>
          <w:color w:val="000000" w:themeColor="text1"/>
          <w:szCs w:val="24"/>
        </w:rPr>
        <w:t>Nurcahyo</w:t>
      </w:r>
      <w:proofErr w:type="spellEnd"/>
      <w:r w:rsidRPr="00344FD1">
        <w:rPr>
          <w:rFonts w:cs="Times New Roman"/>
          <w:color w:val="000000" w:themeColor="text1"/>
          <w:szCs w:val="24"/>
        </w:rPr>
        <w:t>, 2020). It is reflected through performance, innovation, operational efficiency, and customer satisfaction (Grewal et al., 2020). Supermarket competitiveness can be operationalized using market-based and financial indicators because they reflect competitive outcomes (Pantano et al., 2021). Competitive supermarkets deliver value, adapt to market changes, and perform strongly across dimensions (Steinbaum &amp; Stucke, 2020).</w:t>
      </w:r>
    </w:p>
    <w:p w14:paraId="0E88B36F" w14:textId="23818CE2"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Market share indicates a retailer’s ability to attract and retain customers relative to competitors (Ailawadi et al., 2020). It captures effects of pricing, location, product assortment, and customer loyalty (Grewal et al., 2020). Innovation, reliable supply chains, customer-</w:t>
      </w:r>
      <w:proofErr w:type="spellStart"/>
      <w:r w:rsidRPr="00344FD1">
        <w:rPr>
          <w:rFonts w:cs="Times New Roman"/>
          <w:color w:val="000000" w:themeColor="text1"/>
          <w:szCs w:val="24"/>
        </w:rPr>
        <w:t>centred</w:t>
      </w:r>
      <w:proofErr w:type="spellEnd"/>
      <w:r w:rsidRPr="00344FD1">
        <w:rPr>
          <w:rFonts w:cs="Times New Roman"/>
          <w:color w:val="000000" w:themeColor="text1"/>
          <w:szCs w:val="24"/>
        </w:rPr>
        <w:t xml:space="preserve"> strategies, and data-driven decisions can further influence market share (Muthoni and Karanja, 2022). Sales and revenue represent financial outcomes of competitive strategies and efficiency (Ailawadi &amp; Farris, 2021), while sustained growth may indicate competitive positioning (Pantano et al., 2021). Sales and profit measures can provide stable assessments because profitability is influenced by accounting factors (Hübner et al., 2022). In Nairobi City County, competition is shaped by product range, pricing, location, customer service, and shopping experience. Loyalty </w:t>
      </w:r>
      <w:proofErr w:type="spellStart"/>
      <w:r w:rsidRPr="00344FD1">
        <w:rPr>
          <w:rFonts w:cs="Times New Roman"/>
          <w:color w:val="000000" w:themeColor="text1"/>
          <w:szCs w:val="24"/>
        </w:rPr>
        <w:t>programmes</w:t>
      </w:r>
      <w:proofErr w:type="spellEnd"/>
      <w:r w:rsidRPr="00344FD1">
        <w:rPr>
          <w:rFonts w:cs="Times New Roman"/>
          <w:color w:val="000000" w:themeColor="text1"/>
          <w:szCs w:val="24"/>
        </w:rPr>
        <w:t xml:space="preserve"> and technology adoption can improve market share and sales revenue (Githinji &amp; Wambua, 2022), while strategic management and performance monitoring relate to returns and customer retention (Mwangi and Njuguna, 2022). Thus, this study measures competitiveness using market share growth and sales and revenue performance.</w:t>
      </w:r>
    </w:p>
    <w:p w14:paraId="06538158" w14:textId="67CE65D8"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 xml:space="preserve">Strategic management practices comprise systematic decisions and actions through which organizations define direction, allocate resources, and maintain competitiveness (Momoh &amp; Itohan, 2023). Strategic planning, </w:t>
      </w:r>
      <w:r w:rsidRPr="00344FD1">
        <w:rPr>
          <w:rFonts w:cs="Times New Roman"/>
          <w:color w:val="000000" w:themeColor="text1"/>
          <w:szCs w:val="24"/>
        </w:rPr>
        <w:lastRenderedPageBreak/>
        <w:t xml:space="preserve">implementation, and evaluation are central components aligned with organizational objectives (Cheboi, 2022). Their importance has increased because of competition, changing preferences, and digital retail trends (Fuertes et al., 2020). Effective strategic management enables supermarkets to anticipate trends, maintain efficiency, and achieve profitability (Schneller, Abdulsalam, Conway, &amp; Eckler, 2023). Strategy formulation includes market research, environmental scanning, and goal setting, while implementation translates plans into action (Sang, Komen, &amp; Korir, 2017). </w:t>
      </w:r>
      <w:proofErr w:type="spellStart"/>
      <w:r w:rsidRPr="00344FD1">
        <w:rPr>
          <w:rFonts w:cs="Times New Roman"/>
          <w:color w:val="000000" w:themeColor="text1"/>
          <w:szCs w:val="24"/>
        </w:rPr>
        <w:t>Akingunola</w:t>
      </w:r>
      <w:proofErr w:type="spellEnd"/>
      <w:r w:rsidRPr="00344FD1">
        <w:rPr>
          <w:rFonts w:cs="Times New Roman"/>
          <w:color w:val="000000" w:themeColor="text1"/>
          <w:szCs w:val="24"/>
        </w:rPr>
        <w:t xml:space="preserve"> et al. (2023) found that strategic planning with innovation strengthens competitiveness through adaptation and differentiation. Al-Tamimi &amp; Mahmood (2023) found that strategic planning, environmental scanning, and formal goal setting explained substantial variation in performance among Iraqi manufacturing firms. Khan et al. (2023) found that strategic leadership connects competitive strategy with firm performance in Pakistan’s manufacturing sector.</w:t>
      </w:r>
    </w:p>
    <w:p w14:paraId="4C95C790" w14:textId="77777777" w:rsidR="00442FDE" w:rsidRPr="00344FD1" w:rsidRDefault="00442FDE" w:rsidP="00442FDE">
      <w:pPr>
        <w:shd w:val="clear" w:color="auto" w:fill="FFFFFF"/>
        <w:spacing w:line="240" w:lineRule="auto"/>
        <w:rPr>
          <w:rFonts w:cs="Times New Roman"/>
          <w:color w:val="000000" w:themeColor="text1"/>
          <w:szCs w:val="24"/>
        </w:rPr>
      </w:pPr>
    </w:p>
    <w:p w14:paraId="408A58F9" w14:textId="2915BACD" w:rsidR="00416E73"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In Nigeria, strategic leadership has been associated with efficiency, innovation, and market responsiveness, with strategic communication and stakeholder engagement as important enablers (Okeke and Nwaeze, 2021). In retail chains, effective strategic management is reflected in clear objectives, performance monitoring, staff alignment, and responsiveness to competitive changes (Githinji and Wambua, 2022). Strategic leadership provides vision and fosters agility (Mintzberg, Ahlstrand, &amp; Lampel, 2020). Resource allocation supports expansion, innovation, and consistent customer experiences (Cheboi et al., 2022). Market positioning through pricing, product variety, branding, and location influences purchasing decisions (Narayanan et al., 2021).</w:t>
      </w:r>
    </w:p>
    <w:p w14:paraId="48C38FDC" w14:textId="6CD37EFA" w:rsidR="00055D83" w:rsidRPr="00344FD1" w:rsidRDefault="00055D83" w:rsidP="00CE4C91">
      <w:pPr>
        <w:shd w:val="clear" w:color="auto" w:fill="FFFFFF"/>
        <w:spacing w:line="240" w:lineRule="auto"/>
        <w:rPr>
          <w:rFonts w:eastAsia="Times New Roman" w:cs="Times New Roman"/>
          <w:b/>
          <w:bCs/>
          <w:i/>
          <w:iCs/>
          <w:color w:val="000000" w:themeColor="text1"/>
          <w:sz w:val="28"/>
          <w:szCs w:val="28"/>
        </w:rPr>
      </w:pPr>
      <w:r w:rsidRPr="00344FD1">
        <w:rPr>
          <w:rFonts w:eastAsia="Times New Roman" w:cs="Times New Roman"/>
          <w:b/>
          <w:bCs/>
          <w:i/>
          <w:iCs/>
          <w:color w:val="000000" w:themeColor="text1"/>
          <w:sz w:val="28"/>
          <w:szCs w:val="28"/>
        </w:rPr>
        <w:t>Research Problem</w:t>
      </w:r>
    </w:p>
    <w:p w14:paraId="17015FF1" w14:textId="06AE6DE8" w:rsidR="00C933BB" w:rsidRPr="00344FD1" w:rsidRDefault="00C933BB" w:rsidP="00C933BB">
      <w:pPr>
        <w:spacing w:after="240" w:line="240" w:lineRule="auto"/>
        <w:rPr>
          <w:rFonts w:cs="Times New Roman"/>
          <w:color w:val="000000" w:themeColor="text1"/>
          <w:szCs w:val="24"/>
        </w:rPr>
      </w:pPr>
      <w:r w:rsidRPr="00344FD1">
        <w:rPr>
          <w:rFonts w:cs="Times New Roman"/>
          <w:color w:val="000000" w:themeColor="text1"/>
          <w:szCs w:val="24"/>
        </w:rPr>
        <w:t>Strategic management practices can enhance decision-making, resource alignment, customer satisfaction, and market performance (Miano &amp; Wamalwa, 2021). In supermarkets, effective strategic implementation has been associated with improved operational efficiency, customer loyalty, and profitability (</w:t>
      </w:r>
      <w:proofErr w:type="spellStart"/>
      <w:r w:rsidRPr="00344FD1">
        <w:rPr>
          <w:rFonts w:cs="Times New Roman"/>
          <w:color w:val="000000" w:themeColor="text1"/>
          <w:szCs w:val="24"/>
        </w:rPr>
        <w:t>Kourdi</w:t>
      </w:r>
      <w:proofErr w:type="spellEnd"/>
      <w:r w:rsidRPr="00344FD1">
        <w:rPr>
          <w:rFonts w:cs="Times New Roman"/>
          <w:color w:val="000000" w:themeColor="text1"/>
          <w:szCs w:val="24"/>
        </w:rPr>
        <w:t xml:space="preserve">, 2021). However, supermarkets in Nairobi continue to face competitiveness challenges arising from market liberalization, changing consumer </w:t>
      </w:r>
      <w:proofErr w:type="spellStart"/>
      <w:r w:rsidRPr="00344FD1">
        <w:rPr>
          <w:rFonts w:cs="Times New Roman"/>
          <w:color w:val="000000" w:themeColor="text1"/>
          <w:szCs w:val="24"/>
        </w:rPr>
        <w:t>behaviour</w:t>
      </w:r>
      <w:proofErr w:type="spellEnd"/>
      <w:r w:rsidRPr="00344FD1">
        <w:rPr>
          <w:rFonts w:cs="Times New Roman"/>
          <w:color w:val="000000" w:themeColor="text1"/>
          <w:szCs w:val="24"/>
        </w:rPr>
        <w:t>, intense rivalry, inefficient resource utilization, and limited innovation (KIPPRA, 2024).</w:t>
      </w:r>
    </w:p>
    <w:p w14:paraId="32FA4BB2" w14:textId="16936647" w:rsidR="00C933BB" w:rsidRPr="00344FD1" w:rsidRDefault="00C933BB" w:rsidP="00C933BB">
      <w:pPr>
        <w:spacing w:after="240" w:line="240" w:lineRule="auto"/>
        <w:rPr>
          <w:rFonts w:cs="Times New Roman"/>
          <w:color w:val="000000" w:themeColor="text1"/>
          <w:szCs w:val="24"/>
        </w:rPr>
      </w:pPr>
      <w:r w:rsidRPr="00344FD1">
        <w:rPr>
          <w:rFonts w:cs="Times New Roman"/>
          <w:color w:val="000000" w:themeColor="text1"/>
          <w:szCs w:val="24"/>
        </w:rPr>
        <w:t xml:space="preserve">Kenya’s retail sector contributes significantly to the economy, accounting for 7.8% of GDP, with supermarkets playing an important role in urban markets such as Nairobi (KNBS, 2023). The Micro and Small Enterprises Authority (2021) emphasizes that strategic management practices enhance operational performance and market responsiveness. Major supermarket chains, including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and Carrefour, have adopted strategic expansion, digital technologies, and customer-focused innovations to strengthen their market positions (</w:t>
      </w:r>
      <w:proofErr w:type="spellStart"/>
      <w:r w:rsidRPr="00344FD1">
        <w:rPr>
          <w:rFonts w:cs="Times New Roman"/>
          <w:color w:val="000000" w:themeColor="text1"/>
          <w:szCs w:val="24"/>
        </w:rPr>
        <w:t>Kanano</w:t>
      </w:r>
      <w:proofErr w:type="spellEnd"/>
      <w:r w:rsidRPr="00344FD1">
        <w:rPr>
          <w:rFonts w:cs="Times New Roman"/>
          <w:color w:val="000000" w:themeColor="text1"/>
          <w:szCs w:val="24"/>
        </w:rPr>
        <w:t xml:space="preserve"> &amp; Wanjira, 2021). Nevertheless, persistent competitive pressures suggest the need for broader examination of strategic management practices within the sector.</w:t>
      </w:r>
    </w:p>
    <w:p w14:paraId="6CA09799" w14:textId="4736C32E" w:rsidR="005C09D0" w:rsidRPr="00344FD1" w:rsidRDefault="00C933BB" w:rsidP="00C933BB">
      <w:pPr>
        <w:spacing w:after="240" w:line="240" w:lineRule="auto"/>
        <w:rPr>
          <w:rFonts w:cs="Times New Roman"/>
          <w:color w:val="000000" w:themeColor="text1"/>
          <w:szCs w:val="24"/>
        </w:rPr>
      </w:pPr>
      <w:r w:rsidRPr="00344FD1">
        <w:rPr>
          <w:rFonts w:cs="Times New Roman"/>
          <w:color w:val="000000" w:themeColor="text1"/>
          <w:szCs w:val="24"/>
        </w:rPr>
        <w:t xml:space="preserve">Mutisya (2025) established a positive relationship between strategic objectives and organizational performance, using market share and revenue as measures of supermarket performance. However, the study did not sufficiently examine other strategic management practices across multiple supermarket outlets. Similarly, Closer, </w:t>
      </w:r>
      <w:proofErr w:type="spellStart"/>
      <w:r w:rsidRPr="00344FD1">
        <w:rPr>
          <w:rFonts w:cs="Times New Roman"/>
          <w:color w:val="000000" w:themeColor="text1"/>
          <w:szCs w:val="24"/>
        </w:rPr>
        <w:t>Imujaro</w:t>
      </w:r>
      <w:proofErr w:type="spellEnd"/>
      <w:r w:rsidRPr="00344FD1">
        <w:rPr>
          <w:rFonts w:cs="Times New Roman"/>
          <w:color w:val="000000" w:themeColor="text1"/>
          <w:szCs w:val="24"/>
        </w:rPr>
        <w:t xml:space="preserve"> and Mwanzia (2025) examined strategic alliances and supermarket performance but focused narrowly on alliances rather than strategic management as a multidimensional practice. This leaves a gap in understanding how strategic planning, strategic leadership, resource allocation, and market positioning collectively influence competitiveness. Therefore, this study examined their influence on the competitiveness of selected supermarkets in Nairobi City, Kenya.</w:t>
      </w:r>
    </w:p>
    <w:p w14:paraId="7860FC20" w14:textId="1CFD514F" w:rsidR="00055D83" w:rsidRPr="00344FD1" w:rsidRDefault="00055D83" w:rsidP="00CC04B9">
      <w:pPr>
        <w:spacing w:after="240" w:line="240" w:lineRule="auto"/>
        <w:rPr>
          <w:rFonts w:cs="Times New Roman"/>
          <w:b/>
          <w:bCs/>
          <w:i/>
          <w:iCs/>
          <w:color w:val="000000" w:themeColor="text1"/>
          <w:sz w:val="28"/>
          <w:szCs w:val="28"/>
        </w:rPr>
      </w:pPr>
      <w:r w:rsidRPr="00344FD1">
        <w:rPr>
          <w:rFonts w:cs="Times New Roman"/>
          <w:b/>
          <w:bCs/>
          <w:i/>
          <w:iCs/>
          <w:color w:val="000000" w:themeColor="text1"/>
          <w:sz w:val="28"/>
          <w:szCs w:val="28"/>
        </w:rPr>
        <w:t>Research Objective</w:t>
      </w:r>
    </w:p>
    <w:p w14:paraId="3A006523" w14:textId="531BAACF" w:rsidR="0054398C" w:rsidRPr="00344FD1" w:rsidRDefault="00055D83" w:rsidP="0054398C">
      <w:pPr>
        <w:spacing w:line="240" w:lineRule="auto"/>
        <w:rPr>
          <w:rFonts w:cs="Times New Roman"/>
          <w:color w:val="000000" w:themeColor="text1"/>
          <w:szCs w:val="24"/>
        </w:rPr>
      </w:pPr>
      <w:r w:rsidRPr="00344FD1">
        <w:rPr>
          <w:rFonts w:cs="Times New Roman"/>
          <w:color w:val="000000" w:themeColor="text1"/>
          <w:szCs w:val="24"/>
        </w:rPr>
        <w:t>This study was guided by the following general objective to:</w:t>
      </w:r>
      <w:r w:rsidR="00784B96" w:rsidRPr="00344FD1">
        <w:rPr>
          <w:rFonts w:cs="Times New Roman"/>
          <w:color w:val="000000" w:themeColor="text1"/>
          <w:szCs w:val="24"/>
        </w:rPr>
        <w:t xml:space="preserve"> </w:t>
      </w:r>
      <w:r w:rsidR="00C933BB" w:rsidRPr="00344FD1">
        <w:rPr>
          <w:rFonts w:cs="Times New Roman"/>
          <w:color w:val="000000" w:themeColor="text1"/>
          <w:szCs w:val="24"/>
        </w:rPr>
        <w:t>examine the effects of strategic management practices on competitiveness of selected supermarkets in Nairobi City County, Kenya</w:t>
      </w:r>
      <w:r w:rsidR="00D54CAA" w:rsidRPr="00344FD1">
        <w:rPr>
          <w:rFonts w:cs="Times New Roman"/>
          <w:color w:val="000000" w:themeColor="text1"/>
          <w:szCs w:val="24"/>
        </w:rPr>
        <w:t>.</w:t>
      </w:r>
    </w:p>
    <w:p w14:paraId="6B071E8F" w14:textId="77777777" w:rsidR="00E448DE" w:rsidRPr="00344FD1" w:rsidRDefault="0054398C" w:rsidP="00F42A52">
      <w:pPr>
        <w:spacing w:line="240" w:lineRule="auto"/>
        <w:rPr>
          <w:rFonts w:cs="Times New Roman"/>
          <w:color w:val="000000" w:themeColor="text1"/>
          <w:szCs w:val="24"/>
        </w:rPr>
      </w:pPr>
      <w:r w:rsidRPr="00344FD1">
        <w:rPr>
          <w:rFonts w:cs="Times New Roman"/>
          <w:color w:val="000000" w:themeColor="text1"/>
          <w:szCs w:val="24"/>
        </w:rPr>
        <w:lastRenderedPageBreak/>
        <w:t>Specific Objectives were to;</w:t>
      </w:r>
      <w:r w:rsidR="00784B96" w:rsidRPr="00344FD1">
        <w:rPr>
          <w:rFonts w:cs="Times New Roman"/>
          <w:color w:val="000000" w:themeColor="text1"/>
          <w:szCs w:val="24"/>
        </w:rPr>
        <w:t xml:space="preserve"> </w:t>
      </w:r>
    </w:p>
    <w:p w14:paraId="02F15A00" w14:textId="77777777" w:rsidR="00ED1179"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strategic planning on the competitiveness of selected supermarkets in Nairobi City County, Kenya.</w:t>
      </w:r>
    </w:p>
    <w:p w14:paraId="00166B19" w14:textId="77777777" w:rsidR="00ED1179"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strategic leadership on the competitiveness of selected supermarkets in Nairobi City County, Kenya.</w:t>
      </w:r>
    </w:p>
    <w:p w14:paraId="7717614B" w14:textId="77777777" w:rsidR="00ED1179"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resource allocation on the competitiveness of selected supermarkets in Nairobi City County, Kenya.</w:t>
      </w:r>
    </w:p>
    <w:p w14:paraId="0E964A2D" w14:textId="52470951" w:rsidR="003A4F31"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positioning strategies on the competitiveness of selected supermarkets in Nairobi City County, Kenya</w:t>
      </w:r>
      <w:r w:rsidR="003A4F31" w:rsidRPr="00344FD1">
        <w:rPr>
          <w:rFonts w:ascii="Times New Roman" w:hAnsi="Times New Roman"/>
          <w:sz w:val="24"/>
          <w:szCs w:val="28"/>
        </w:rPr>
        <w:t>.</w:t>
      </w:r>
    </w:p>
    <w:p w14:paraId="0B5F07F3" w14:textId="77777777" w:rsidR="0052143B" w:rsidRPr="00344FD1" w:rsidRDefault="0052143B" w:rsidP="000F4C94">
      <w:pPr>
        <w:spacing w:before="0" w:line="240" w:lineRule="auto"/>
        <w:rPr>
          <w:b/>
          <w:bCs/>
          <w:i/>
          <w:iCs/>
          <w:sz w:val="28"/>
          <w:szCs w:val="24"/>
        </w:rPr>
      </w:pPr>
      <w:r w:rsidRPr="00344FD1">
        <w:rPr>
          <w:b/>
          <w:bCs/>
          <w:i/>
          <w:iCs/>
          <w:sz w:val="28"/>
          <w:szCs w:val="24"/>
        </w:rPr>
        <w:t>Significance of the Study</w:t>
      </w:r>
    </w:p>
    <w:p w14:paraId="01448711" w14:textId="7A84B0AE" w:rsidR="001E21F0" w:rsidRPr="00344FD1" w:rsidRDefault="00ED1179" w:rsidP="00AE4AA5">
      <w:pPr>
        <w:spacing w:before="0" w:line="240" w:lineRule="auto"/>
        <w:rPr>
          <w:rFonts w:cs="Times New Roman"/>
          <w:color w:val="000000" w:themeColor="text1"/>
        </w:rPr>
      </w:pPr>
      <w:r w:rsidRPr="00344FD1">
        <w:t xml:space="preserve">The study provided insights into how strategic management practices influence competitiveness in the supermarket industry amid intensifying competition and changing consumer </w:t>
      </w:r>
      <w:proofErr w:type="spellStart"/>
      <w:r w:rsidRPr="00344FD1">
        <w:t>behaviour</w:t>
      </w:r>
      <w:proofErr w:type="spellEnd"/>
      <w:r w:rsidRPr="00344FD1">
        <w:t>. The findings benefited supermarket managers by informing decisions aimed at improving operational efficiency, customer satisfaction, supplier relationships, and market positioning. Retail investors also gained insights into critical success factors and strategic challenges, supporting assessment of supermarket performance and strategy alignment. Additionally, the study generated evidence useful to regulators, including the Competition Authority of Kenya, in developing policies that promote fair competition and sustainable performance within the retail sector</w:t>
      </w:r>
      <w:r w:rsidR="0051797F" w:rsidRPr="00344FD1">
        <w:t>.</w:t>
      </w:r>
      <w:r w:rsidR="001E21F0" w:rsidRPr="00344FD1">
        <w:rPr>
          <w:rFonts w:cs="Times New Roman"/>
          <w:color w:val="000000" w:themeColor="text1"/>
        </w:rPr>
        <w:br w:type="page"/>
      </w:r>
    </w:p>
    <w:p w14:paraId="60555E06" w14:textId="2D326474" w:rsidR="00055D83" w:rsidRPr="00344FD1" w:rsidRDefault="00055D83" w:rsidP="00055D83">
      <w:pPr>
        <w:pStyle w:val="ListParagraph"/>
        <w:autoSpaceDE w:val="0"/>
        <w:autoSpaceDN w:val="0"/>
        <w:adjustRightInd w:val="0"/>
        <w:spacing w:before="480" w:after="240" w:line="240" w:lineRule="auto"/>
        <w:ind w:left="0"/>
        <w:rPr>
          <w:rFonts w:ascii="Times New Roman" w:hAnsi="Times New Roman"/>
          <w:b/>
          <w:color w:val="000000" w:themeColor="text1"/>
          <w:sz w:val="28"/>
          <w:szCs w:val="28"/>
          <w:lang w:val="en-GB"/>
        </w:rPr>
      </w:pPr>
      <w:r w:rsidRPr="00344FD1">
        <w:rPr>
          <w:rFonts w:ascii="Times New Roman" w:hAnsi="Times New Roman"/>
          <w:b/>
          <w:color w:val="000000" w:themeColor="text1"/>
          <w:sz w:val="28"/>
          <w:szCs w:val="28"/>
          <w:lang w:val="en-GB"/>
        </w:rPr>
        <w:lastRenderedPageBreak/>
        <w:t xml:space="preserve">2.0 LITERATURE REVIEW  </w:t>
      </w:r>
    </w:p>
    <w:p w14:paraId="198B1387" w14:textId="59109A18" w:rsidR="00070A96" w:rsidRPr="00344FD1" w:rsidRDefault="00001A44" w:rsidP="00070A96">
      <w:pPr>
        <w:spacing w:before="0" w:after="160" w:line="259" w:lineRule="auto"/>
        <w:rPr>
          <w:rFonts w:cs="Times New Roman"/>
          <w:b/>
          <w:i/>
          <w:iCs/>
          <w:color w:val="000000" w:themeColor="text1"/>
          <w:kern w:val="2"/>
          <w:szCs w:val="24"/>
          <w:lang w:val="en-GB"/>
        </w:rPr>
      </w:pPr>
      <w:r w:rsidRPr="00344FD1">
        <w:rPr>
          <w:rFonts w:cs="Times New Roman"/>
          <w:b/>
          <w:i/>
          <w:iCs/>
          <w:color w:val="000000" w:themeColor="text1"/>
          <w:kern w:val="2"/>
          <w:szCs w:val="24"/>
          <w:lang w:val="en-GB"/>
        </w:rPr>
        <w:t>Theoretical Review</w:t>
      </w:r>
    </w:p>
    <w:p w14:paraId="457B34C2" w14:textId="4579C941" w:rsidR="00070A96" w:rsidRPr="00344FD1" w:rsidRDefault="00071FCE"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Strategic Leadership Theory</w:t>
      </w:r>
    </w:p>
    <w:p w14:paraId="22A3D9E9" w14:textId="77777777" w:rsidR="00070A96" w:rsidRPr="00344FD1" w:rsidRDefault="00070A96" w:rsidP="00070A96">
      <w:pPr>
        <w:spacing w:before="0" w:after="160" w:line="259" w:lineRule="auto"/>
        <w:rPr>
          <w:rFonts w:cs="Times New Roman"/>
          <w:bCs/>
          <w:color w:val="000000" w:themeColor="text1"/>
          <w:kern w:val="2"/>
          <w:szCs w:val="24"/>
          <w:lang w:val="en-GB"/>
        </w:rPr>
      </w:pPr>
      <w:r w:rsidRPr="00344FD1">
        <w:rPr>
          <w:rFonts w:cs="Times New Roman"/>
          <w:bCs/>
          <w:color w:val="000000" w:themeColor="text1"/>
          <w:kern w:val="2"/>
          <w:szCs w:val="24"/>
          <w:lang w:val="en-GB"/>
        </w:rPr>
        <w:t xml:space="preserve">Strategic Leadership Theory was developed by Boal and </w:t>
      </w:r>
      <w:proofErr w:type="spellStart"/>
      <w:r w:rsidRPr="00344FD1">
        <w:rPr>
          <w:rFonts w:cs="Times New Roman"/>
          <w:bCs/>
          <w:color w:val="000000" w:themeColor="text1"/>
          <w:kern w:val="2"/>
          <w:szCs w:val="24"/>
          <w:lang w:val="en-GB"/>
        </w:rPr>
        <w:t>Hooijberg</w:t>
      </w:r>
      <w:proofErr w:type="spellEnd"/>
      <w:r w:rsidRPr="00344FD1">
        <w:rPr>
          <w:rFonts w:cs="Times New Roman"/>
          <w:bCs/>
          <w:color w:val="000000" w:themeColor="text1"/>
          <w:kern w:val="2"/>
          <w:szCs w:val="24"/>
          <w:lang w:val="en-GB"/>
        </w:rPr>
        <w:t xml:space="preserve"> (2001), emphasizing that organizational performance depends on the quality and strategic orientation of leaders (Finkelstein, Hambrick, &amp; Cannella, 2009). It emerged because traditional models inadequately explained leadership in dynamic environments (Kiptoo &amp; Jeptoo Sawe, 2022). Strategic leaders set goals, align resources, anticipate trends, and facilitate strategy (Najmi, Kadir, &amp; Kadir, 2018; Cortes &amp; Herrmann, 2021). However, it overemphasizes top executives, overlooking middle managers and organizational systems (Hitt et al., 2021), assumes stable hierarchies and is difficult to measure because effects are indirect (Samimi et al., 2022; Finkelstein et al., 2020). Kurzhals, Graf‐</w:t>
      </w:r>
      <w:proofErr w:type="spellStart"/>
      <w:r w:rsidRPr="00344FD1">
        <w:rPr>
          <w:rFonts w:cs="Times New Roman"/>
          <w:bCs/>
          <w:color w:val="000000" w:themeColor="text1"/>
          <w:kern w:val="2"/>
          <w:szCs w:val="24"/>
          <w:lang w:val="en-GB"/>
        </w:rPr>
        <w:t>Vlachy</w:t>
      </w:r>
      <w:proofErr w:type="spellEnd"/>
      <w:r w:rsidRPr="00344FD1">
        <w:rPr>
          <w:rFonts w:cs="Times New Roman"/>
          <w:bCs/>
          <w:color w:val="000000" w:themeColor="text1"/>
          <w:kern w:val="2"/>
          <w:szCs w:val="24"/>
          <w:lang w:val="en-GB"/>
        </w:rPr>
        <w:t>, and König (2020) found that leaders significantly influenced manufacturing-firm performance, while Kim and Yoon (2022) associated strategic leadership with faster innovation adoption and stronger market performance in South Korea’s technology sector. In Nairobi’s dynamic supermarket sector, shaped by urbanization, preferences, technology, and macroeconomic fluctuations (</w:t>
      </w:r>
      <w:proofErr w:type="spellStart"/>
      <w:r w:rsidRPr="00344FD1">
        <w:rPr>
          <w:rFonts w:cs="Times New Roman"/>
          <w:bCs/>
          <w:color w:val="000000" w:themeColor="text1"/>
          <w:kern w:val="2"/>
          <w:szCs w:val="24"/>
          <w:lang w:val="en-GB"/>
        </w:rPr>
        <w:t>Kanano</w:t>
      </w:r>
      <w:proofErr w:type="spellEnd"/>
      <w:r w:rsidRPr="00344FD1">
        <w:rPr>
          <w:rFonts w:cs="Times New Roman"/>
          <w:bCs/>
          <w:color w:val="000000" w:themeColor="text1"/>
          <w:kern w:val="2"/>
          <w:szCs w:val="24"/>
          <w:lang w:val="en-GB"/>
        </w:rPr>
        <w:t xml:space="preserve"> &amp; Wanjira, 2021), the theory explains how leadership influences strategic decisions and competitiveness.</w:t>
      </w:r>
    </w:p>
    <w:p w14:paraId="02EB748C"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1DE2DB7B" w14:textId="657D0FAC" w:rsidR="00070A96" w:rsidRPr="00344FD1" w:rsidRDefault="00070A96"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Strategic Fit Theory</w:t>
      </w:r>
    </w:p>
    <w:p w14:paraId="230AAF24"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6BEDBE0F" w14:textId="77777777" w:rsidR="00070A96" w:rsidRPr="00344FD1" w:rsidRDefault="00070A96" w:rsidP="00070A96">
      <w:pPr>
        <w:spacing w:before="0" w:after="160" w:line="259" w:lineRule="auto"/>
        <w:rPr>
          <w:rFonts w:cs="Times New Roman"/>
          <w:bCs/>
          <w:color w:val="000000" w:themeColor="text1"/>
          <w:kern w:val="2"/>
          <w:szCs w:val="24"/>
          <w:lang w:val="en-GB"/>
        </w:rPr>
      </w:pPr>
      <w:r w:rsidRPr="00344FD1">
        <w:rPr>
          <w:rFonts w:cs="Times New Roman"/>
          <w:bCs/>
          <w:color w:val="000000" w:themeColor="text1"/>
          <w:kern w:val="2"/>
          <w:szCs w:val="24"/>
          <w:lang w:val="en-GB"/>
        </w:rPr>
        <w:t>Strategic Fit Theory was developed by Venkatraman, Henderson, and Oldach (1993) and refined by Porter (1996). It proposes that performance and competitive advantage arise when resources, structures, processes, and strategies align with internal capabilities and external environmental demands (Apaydin et al., 2021). Alignment improves competitiveness, whereas poor alignment may cause inefficiency and drift (</w:t>
      </w:r>
      <w:proofErr w:type="spellStart"/>
      <w:r w:rsidRPr="00344FD1">
        <w:rPr>
          <w:rFonts w:cs="Times New Roman"/>
          <w:bCs/>
          <w:color w:val="000000" w:themeColor="text1"/>
          <w:kern w:val="2"/>
          <w:szCs w:val="24"/>
          <w:lang w:val="en-GB"/>
        </w:rPr>
        <w:t>Saebi</w:t>
      </w:r>
      <w:proofErr w:type="spellEnd"/>
      <w:r w:rsidRPr="00344FD1">
        <w:rPr>
          <w:rFonts w:cs="Times New Roman"/>
          <w:bCs/>
          <w:color w:val="000000" w:themeColor="text1"/>
          <w:kern w:val="2"/>
          <w:szCs w:val="24"/>
          <w:lang w:val="en-GB"/>
        </w:rPr>
        <w:t>, Lien, &amp; Foss, 2017). The theory is criticized for its static orientation under rapid change (Venkatraman, 2020), and its matching assumption may be unrealistic under uncertainty (</w:t>
      </w:r>
      <w:proofErr w:type="spellStart"/>
      <w:r w:rsidRPr="00344FD1">
        <w:rPr>
          <w:rFonts w:cs="Times New Roman"/>
          <w:bCs/>
          <w:color w:val="000000" w:themeColor="text1"/>
          <w:kern w:val="2"/>
          <w:szCs w:val="24"/>
          <w:lang w:val="en-GB"/>
        </w:rPr>
        <w:t>Lengnick</w:t>
      </w:r>
      <w:proofErr w:type="spellEnd"/>
      <w:r w:rsidRPr="00344FD1">
        <w:rPr>
          <w:rFonts w:cs="Times New Roman"/>
          <w:bCs/>
          <w:color w:val="000000" w:themeColor="text1"/>
          <w:kern w:val="2"/>
          <w:szCs w:val="24"/>
          <w:lang w:val="en-GB"/>
        </w:rPr>
        <w:t xml:space="preserve">-Hall et al., 2021). </w:t>
      </w:r>
      <w:proofErr w:type="spellStart"/>
      <w:r w:rsidRPr="00344FD1">
        <w:rPr>
          <w:rFonts w:cs="Times New Roman"/>
          <w:bCs/>
          <w:color w:val="000000" w:themeColor="text1"/>
          <w:kern w:val="2"/>
          <w:szCs w:val="24"/>
          <w:lang w:val="en-GB"/>
        </w:rPr>
        <w:t>Ghoniim</w:t>
      </w:r>
      <w:proofErr w:type="spellEnd"/>
      <w:r w:rsidRPr="00344FD1">
        <w:rPr>
          <w:rFonts w:cs="Times New Roman"/>
          <w:bCs/>
          <w:color w:val="000000" w:themeColor="text1"/>
          <w:kern w:val="2"/>
          <w:szCs w:val="24"/>
          <w:lang w:val="en-GB"/>
        </w:rPr>
        <w:t xml:space="preserve"> et al. (2022) found that aligned U.S. firms outperformed fragmented firms. </w:t>
      </w:r>
      <w:proofErr w:type="spellStart"/>
      <w:r w:rsidRPr="00344FD1">
        <w:rPr>
          <w:rFonts w:cs="Times New Roman"/>
          <w:bCs/>
          <w:color w:val="000000" w:themeColor="text1"/>
          <w:kern w:val="2"/>
          <w:szCs w:val="24"/>
          <w:lang w:val="en-GB"/>
        </w:rPr>
        <w:t>Zhaing</w:t>
      </w:r>
      <w:proofErr w:type="spellEnd"/>
      <w:r w:rsidRPr="00344FD1">
        <w:rPr>
          <w:rFonts w:cs="Times New Roman"/>
          <w:bCs/>
          <w:color w:val="000000" w:themeColor="text1"/>
          <w:kern w:val="2"/>
          <w:szCs w:val="24"/>
          <w:lang w:val="en-GB"/>
        </w:rPr>
        <w:t xml:space="preserve"> and Zhu (2021) linked strategic fit between technology investment and market focus to greater innovation and customer retention in Chinese manufacturing firms. In Ghana, Ofori, Boateng, and Atiku (2023) found competitiveness significantly influenced by alignment between operational capabilities and market needs, while Gichuki and Wambugu (2020) reported that strategically aligned Nairobi supermarkets were more likely to gain and retain market share. The theory supports analysis of planning, resource allocation, leadership, and market positioning.</w:t>
      </w:r>
    </w:p>
    <w:p w14:paraId="1AA13851"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35FA4070" w14:textId="1CB95278" w:rsidR="00070A96" w:rsidRPr="00344FD1" w:rsidRDefault="00070A96"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Dynamic Capabilities Theory</w:t>
      </w:r>
    </w:p>
    <w:p w14:paraId="5C86C753"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3999B5A9" w14:textId="77777777" w:rsidR="00070A96" w:rsidRPr="00344FD1" w:rsidRDefault="00070A96" w:rsidP="00070A96">
      <w:pPr>
        <w:spacing w:before="0" w:after="160" w:line="259" w:lineRule="auto"/>
        <w:rPr>
          <w:rFonts w:cs="Times New Roman"/>
          <w:bCs/>
          <w:color w:val="000000" w:themeColor="text1"/>
          <w:kern w:val="2"/>
          <w:szCs w:val="24"/>
          <w:lang w:val="en-GB"/>
        </w:rPr>
      </w:pPr>
      <w:r w:rsidRPr="00344FD1">
        <w:rPr>
          <w:rFonts w:cs="Times New Roman"/>
          <w:bCs/>
          <w:color w:val="000000" w:themeColor="text1"/>
          <w:kern w:val="2"/>
          <w:szCs w:val="24"/>
          <w:lang w:val="en-GB"/>
        </w:rPr>
        <w:t xml:space="preserve">Dynamic Capabilities Theory, developed by Teece, Pisano, and Shuen (1990), argues that competitiveness in changing environments depends on integrating, building, and reconfiguring internal and external competences, not merely possessing resources (Teece, 2023). Market uncertainty requires firms to anticipate change and continuously adapt capabilities (Gohr &amp; Rodrigues, 2025). These include innovation management, decision-making, process redesign, and organizational learning (Quansah et al., 2022). However, Schilke et al. (2018) noted difficulties in consistently operationalizing sensing, seizing, and reconfiguring capabilities. Breznik and Hisrich (2021) further argued that the theory underestimates structural and institutional constraints, particularly in developing economies. </w:t>
      </w:r>
      <w:r w:rsidRPr="00344FD1">
        <w:rPr>
          <w:rFonts w:cs="Times New Roman"/>
          <w:bCs/>
          <w:color w:val="000000" w:themeColor="text1"/>
          <w:kern w:val="2"/>
          <w:szCs w:val="24"/>
          <w:lang w:val="en-GB"/>
        </w:rPr>
        <w:lastRenderedPageBreak/>
        <w:t>Chiarelli (2021) found that firms with strong dynamic capabilities could outperform competitors through responses to change, while Das, Perera, Senaratne, and Osei-Kyei (2025) reported that reconfiguring marketing and digital strategies improved competitiveness among UK SMEs. The theory explains how supermarket planning and resource allocation support adaptation to inflation, technology, and customer preferences.</w:t>
      </w:r>
    </w:p>
    <w:p w14:paraId="58DAED8F"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61D866A2" w14:textId="6D968CE6" w:rsidR="00070A96" w:rsidRPr="00344FD1" w:rsidRDefault="00070A96"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Strategic Agility Theory</w:t>
      </w:r>
    </w:p>
    <w:p w14:paraId="45E62CF8"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6C213BBC" w14:textId="2A57F0F3" w:rsidR="00B449E1" w:rsidRPr="00344FD1" w:rsidRDefault="00070A96" w:rsidP="00070A96">
      <w:pPr>
        <w:spacing w:before="0" w:after="160" w:line="259" w:lineRule="auto"/>
        <w:rPr>
          <w:rFonts w:cs="Times New Roman"/>
          <w:bCs/>
          <w:color w:val="000000" w:themeColor="text1"/>
          <w:szCs w:val="24"/>
        </w:rPr>
      </w:pPr>
      <w:r w:rsidRPr="00344FD1">
        <w:rPr>
          <w:rFonts w:cs="Times New Roman"/>
          <w:bCs/>
          <w:color w:val="000000" w:themeColor="text1"/>
          <w:kern w:val="2"/>
          <w:szCs w:val="24"/>
          <w:lang w:val="en-GB"/>
        </w:rPr>
        <w:t xml:space="preserve">Strategic Agility Theory was developed by </w:t>
      </w:r>
      <w:proofErr w:type="spellStart"/>
      <w:r w:rsidRPr="00344FD1">
        <w:rPr>
          <w:rFonts w:cs="Times New Roman"/>
          <w:bCs/>
          <w:color w:val="000000" w:themeColor="text1"/>
          <w:kern w:val="2"/>
          <w:szCs w:val="24"/>
          <w:lang w:val="en-GB"/>
        </w:rPr>
        <w:t>Doz</w:t>
      </w:r>
      <w:proofErr w:type="spellEnd"/>
      <w:r w:rsidRPr="00344FD1">
        <w:rPr>
          <w:rFonts w:cs="Times New Roman"/>
          <w:bCs/>
          <w:color w:val="000000" w:themeColor="text1"/>
          <w:kern w:val="2"/>
          <w:szCs w:val="24"/>
          <w:lang w:val="en-GB"/>
        </w:rPr>
        <w:t xml:space="preserve"> and Kosonen (2008) and describes the ability to anticipate change, respond rapidly, realign strategies, and reconfigure operations. Its core dimensions are strategic sensitivity, resource fluidity, and leadership unity (Mueller‐</w:t>
      </w:r>
      <w:proofErr w:type="spellStart"/>
      <w:r w:rsidRPr="00344FD1">
        <w:rPr>
          <w:rFonts w:cs="Times New Roman"/>
          <w:bCs/>
          <w:color w:val="000000" w:themeColor="text1"/>
          <w:kern w:val="2"/>
          <w:szCs w:val="24"/>
          <w:lang w:val="en-GB"/>
        </w:rPr>
        <w:t>Saegebrecht</w:t>
      </w:r>
      <w:proofErr w:type="spellEnd"/>
      <w:r w:rsidRPr="00344FD1">
        <w:rPr>
          <w:rFonts w:cs="Times New Roman"/>
          <w:bCs/>
          <w:color w:val="000000" w:themeColor="text1"/>
          <w:kern w:val="2"/>
          <w:szCs w:val="24"/>
          <w:lang w:val="en-GB"/>
        </w:rPr>
        <w:t xml:space="preserve"> &amp; Walter, 2025). </w:t>
      </w:r>
      <w:proofErr w:type="spellStart"/>
      <w:r w:rsidRPr="00344FD1">
        <w:rPr>
          <w:rFonts w:cs="Times New Roman"/>
          <w:bCs/>
          <w:color w:val="000000" w:themeColor="text1"/>
          <w:kern w:val="2"/>
          <w:szCs w:val="24"/>
          <w:lang w:val="en-GB"/>
        </w:rPr>
        <w:t>Karuiki</w:t>
      </w:r>
      <w:proofErr w:type="spellEnd"/>
      <w:r w:rsidRPr="00344FD1">
        <w:rPr>
          <w:rFonts w:cs="Times New Roman"/>
          <w:bCs/>
          <w:color w:val="000000" w:themeColor="text1"/>
          <w:kern w:val="2"/>
          <w:szCs w:val="24"/>
          <w:lang w:val="en-GB"/>
        </w:rPr>
        <w:t xml:space="preserve"> (2023) linked strategic agility with competitiveness under turbulence. However, </w:t>
      </w:r>
      <w:proofErr w:type="spellStart"/>
      <w:r w:rsidRPr="00344FD1">
        <w:rPr>
          <w:rFonts w:cs="Times New Roman"/>
          <w:bCs/>
          <w:color w:val="000000" w:themeColor="text1"/>
          <w:kern w:val="2"/>
          <w:szCs w:val="24"/>
          <w:lang w:val="en-GB"/>
        </w:rPr>
        <w:t>Doz</w:t>
      </w:r>
      <w:proofErr w:type="spellEnd"/>
      <w:r w:rsidRPr="00344FD1">
        <w:rPr>
          <w:rFonts w:cs="Times New Roman"/>
          <w:bCs/>
          <w:color w:val="000000" w:themeColor="text1"/>
          <w:kern w:val="2"/>
          <w:szCs w:val="24"/>
          <w:lang w:val="en-GB"/>
        </w:rPr>
        <w:t xml:space="preserve"> and Kosonen (2020) cautioned that agility involves costs and risks, while Appelbaum et al. (2021) noted unclear boundaries on required agility. </w:t>
      </w:r>
      <w:proofErr w:type="spellStart"/>
      <w:r w:rsidRPr="00344FD1">
        <w:rPr>
          <w:rFonts w:cs="Times New Roman"/>
          <w:bCs/>
          <w:color w:val="000000" w:themeColor="text1"/>
          <w:kern w:val="2"/>
          <w:szCs w:val="24"/>
          <w:lang w:val="en-GB"/>
        </w:rPr>
        <w:t>Côrte</w:t>
      </w:r>
      <w:proofErr w:type="spellEnd"/>
      <w:r w:rsidRPr="00344FD1">
        <w:rPr>
          <w:rFonts w:cs="Times New Roman"/>
          <w:bCs/>
          <w:color w:val="000000" w:themeColor="text1"/>
          <w:kern w:val="2"/>
          <w:szCs w:val="24"/>
          <w:lang w:val="en-GB"/>
        </w:rPr>
        <w:t xml:space="preserve">-Real et al. (2022) observed that reconfiguration may be constrained in regulated and capital-intensive sectors. Reed (2021) found that strategic agility improved customer engagement and sustained SME profitability, while Idris and Mohd Nor (2020) reported that agile retail </w:t>
      </w:r>
      <w:proofErr w:type="gramStart"/>
      <w:r w:rsidRPr="00344FD1">
        <w:rPr>
          <w:rFonts w:cs="Times New Roman"/>
          <w:bCs/>
          <w:color w:val="000000" w:themeColor="text1"/>
          <w:kern w:val="2"/>
          <w:szCs w:val="24"/>
          <w:lang w:val="en-GB"/>
        </w:rPr>
        <w:t>firms maintained</w:t>
      </w:r>
      <w:proofErr w:type="gramEnd"/>
      <w:r w:rsidRPr="00344FD1">
        <w:rPr>
          <w:rFonts w:cs="Times New Roman"/>
          <w:bCs/>
          <w:color w:val="000000" w:themeColor="text1"/>
          <w:kern w:val="2"/>
          <w:szCs w:val="24"/>
          <w:lang w:val="en-GB"/>
        </w:rPr>
        <w:t xml:space="preserve"> market share and customer satisfaction through product realignment and digital expansion. Mokena and Dlamini (2022) found that flexible retail supply chains and customer-service systems enhanced competitiveness during South African disruptions. In Kenya, Mugambi and Njeru (2021) linked digital transformation, lean decision-making, and market scanning to stronger ICT-firm performance, while </w:t>
      </w:r>
      <w:proofErr w:type="spellStart"/>
      <w:r w:rsidRPr="00344FD1">
        <w:rPr>
          <w:rFonts w:cs="Times New Roman"/>
          <w:bCs/>
          <w:color w:val="000000" w:themeColor="text1"/>
          <w:kern w:val="2"/>
          <w:szCs w:val="24"/>
          <w:lang w:val="en-GB"/>
        </w:rPr>
        <w:t>Ngana</w:t>
      </w:r>
      <w:proofErr w:type="spellEnd"/>
      <w:r w:rsidRPr="00344FD1">
        <w:rPr>
          <w:rFonts w:cs="Times New Roman"/>
          <w:bCs/>
          <w:color w:val="000000" w:themeColor="text1"/>
          <w:kern w:val="2"/>
          <w:szCs w:val="24"/>
          <w:lang w:val="en-GB"/>
        </w:rPr>
        <w:t xml:space="preserve"> (2022) reported that adaptive Nairobi supermarkets sustained operations and customer retention. The theory therefore supports analysis of strategic planning, leadership, resource use, and competitiveness in Nairobi’s retail environment.</w:t>
      </w:r>
    </w:p>
    <w:p w14:paraId="278E39F4" w14:textId="77777777" w:rsidR="00001A44" w:rsidRPr="00344FD1" w:rsidRDefault="00001A44" w:rsidP="00151266">
      <w:pPr>
        <w:spacing w:before="0" w:after="160" w:line="259" w:lineRule="auto"/>
        <w:rPr>
          <w:rFonts w:cs="Times New Roman"/>
          <w:b/>
          <w:bCs/>
          <w:i/>
          <w:iCs/>
          <w:color w:val="000000" w:themeColor="text1"/>
          <w:sz w:val="28"/>
          <w:szCs w:val="28"/>
        </w:rPr>
      </w:pPr>
      <w:r w:rsidRPr="00344FD1">
        <w:rPr>
          <w:rFonts w:cs="Times New Roman"/>
          <w:b/>
          <w:bCs/>
          <w:i/>
          <w:iCs/>
          <w:color w:val="000000" w:themeColor="text1"/>
          <w:sz w:val="28"/>
          <w:szCs w:val="28"/>
        </w:rPr>
        <w:t xml:space="preserve">Empirical Review </w:t>
      </w:r>
    </w:p>
    <w:p w14:paraId="5FC02B6B" w14:textId="77777777" w:rsidR="00A32436" w:rsidRPr="00344FD1" w:rsidRDefault="00A32436" w:rsidP="00A32436">
      <w:pPr>
        <w:pStyle w:val="NormalWeb"/>
        <w:jc w:val="both"/>
      </w:pPr>
      <w:r w:rsidRPr="00344FD1">
        <w:t>Strategic planning supports competitiveness by providing direction, coordinating resources, and improving organizational responsiveness. Soomro, Mangi, and Shah (2021) used a quantitative cross-sectional design to examine strategic factors, innovation, organizational learning, and performance. Their findings showed that transformational leadership, shared vision, proactivity, and environmental factors positively influenced innovation and learning, which supported performance. However, the multi-sector Pakistani setting and broad performance measures limit direct application to supermarkets. The present study therefore focuses on selected Nairobi supermarkets and retail competitiveness indicators.</w:t>
      </w:r>
    </w:p>
    <w:p w14:paraId="6A4EA1A1" w14:textId="77777777" w:rsidR="00A32436" w:rsidRPr="00344FD1" w:rsidRDefault="00A32436" w:rsidP="00A32436">
      <w:pPr>
        <w:pStyle w:val="NormalWeb"/>
        <w:jc w:val="both"/>
      </w:pPr>
      <w:r w:rsidRPr="00344FD1">
        <w:t>Angiola et al. (2023) found that integrating structured strategic planning with innovation strengthens competitiveness by improving adaptation and differentiation. The present study extends this perspective to Nairobi supermarkets. Al-Tamimi and Mahmood (2023) examined strategic planning in Iraqi manufacturing firms and found that environmental scanning, formal goal setting, and strategic techniques explained approximately 48% of performance variation. The finding supports the contribution of strategic planning to organizational outcomes, although the manufacturing context differs from retail. The present study adapts these planning practices to supermarkets and assesses their relationship with competitiveness.</w:t>
      </w:r>
    </w:p>
    <w:p w14:paraId="659B7DB2" w14:textId="77777777" w:rsidR="00A32436" w:rsidRPr="00344FD1" w:rsidRDefault="00A32436" w:rsidP="00A32436">
      <w:pPr>
        <w:pStyle w:val="NormalWeb"/>
        <w:jc w:val="both"/>
      </w:pPr>
      <w:proofErr w:type="spellStart"/>
      <w:r w:rsidRPr="00344FD1">
        <w:t>Tarifi</w:t>
      </w:r>
      <w:proofErr w:type="spellEnd"/>
      <w:r w:rsidRPr="00344FD1">
        <w:t xml:space="preserve"> (2021) established that clear vision and mission statements, updated strategic goals, objective-strategy alignment, and continuous environmental scanning support competitive advantage. Although based on a desk review, the study provides a basis for operationalizing vision and mission clarity as a strategic-planning practice. The present study applies these insights to selected Nairobi supermarkets.</w:t>
      </w:r>
    </w:p>
    <w:p w14:paraId="1931F833" w14:textId="77777777" w:rsidR="00A32436" w:rsidRPr="00344FD1" w:rsidRDefault="00A32436" w:rsidP="00A32436">
      <w:pPr>
        <w:pStyle w:val="NormalWeb"/>
        <w:jc w:val="both"/>
      </w:pPr>
      <w:proofErr w:type="spellStart"/>
      <w:r w:rsidRPr="00344FD1">
        <w:lastRenderedPageBreak/>
        <w:t>Mulyaningsih</w:t>
      </w:r>
      <w:proofErr w:type="spellEnd"/>
      <w:r w:rsidRPr="00344FD1">
        <w:t xml:space="preserve"> et al. (2021) used a quantitative explanatory survey and structural equation modelling to examine strategic planning and competitive advantage among Indonesian SMEs. Strategic planning significantly influenced competitive advantage, with external-stakeholder considerations showing the strongest influence. While the SME setting differs from supermarkets, the finding supports examining planning as a competitiveness determinant.</w:t>
      </w:r>
    </w:p>
    <w:p w14:paraId="2A02D17A" w14:textId="77777777" w:rsidR="00A32436" w:rsidRPr="00344FD1" w:rsidRDefault="00A32436" w:rsidP="00A32436">
      <w:pPr>
        <w:pStyle w:val="NormalWeb"/>
        <w:jc w:val="both"/>
      </w:pPr>
      <w:r w:rsidRPr="00344FD1">
        <w:t xml:space="preserve">Strategic leadership shapes organizational direction, culture, decision making, adaptability, and strategy implementation (Shore &amp; Chung, 2022). </w:t>
      </w:r>
      <w:proofErr w:type="spellStart"/>
      <w:r w:rsidRPr="00344FD1">
        <w:t>Munyeka</w:t>
      </w:r>
      <w:proofErr w:type="spellEnd"/>
      <w:r w:rsidRPr="00344FD1">
        <w:t xml:space="preserve"> (2023) associates it with anticipating trends, making strategic decisions, and mobilizing employees toward shared goals, while </w:t>
      </w:r>
      <w:proofErr w:type="spellStart"/>
      <w:r w:rsidRPr="00344FD1">
        <w:t>Kasraie</w:t>
      </w:r>
      <w:proofErr w:type="spellEnd"/>
      <w:r w:rsidRPr="00344FD1">
        <w:t xml:space="preserve"> (2019) links it to adaptability, employee engagement, and effective implementation.</w:t>
      </w:r>
    </w:p>
    <w:p w14:paraId="492B08A4" w14:textId="77777777" w:rsidR="00A32436" w:rsidRPr="00344FD1" w:rsidRDefault="00A32436" w:rsidP="00A32436">
      <w:pPr>
        <w:pStyle w:val="NormalWeb"/>
        <w:jc w:val="both"/>
      </w:pPr>
      <w:r w:rsidRPr="00344FD1">
        <w:t>Ali and Anwar (2021) found that firms aligning internal resources with external opportunities achieved stronger competitive positioning. Although their study focused on multinational corporations, it directly supports the relationship between strategic leadership and competitiveness. The present study examines this relationship among selected Nairobi supermarkets.</w:t>
      </w:r>
    </w:p>
    <w:p w14:paraId="12F754D2" w14:textId="77777777" w:rsidR="00A32436" w:rsidRPr="00344FD1" w:rsidRDefault="00A32436" w:rsidP="00A32436">
      <w:pPr>
        <w:pStyle w:val="NormalWeb"/>
        <w:jc w:val="both"/>
      </w:pPr>
      <w:proofErr w:type="spellStart"/>
      <w:r w:rsidRPr="00344FD1">
        <w:t>Laoi</w:t>
      </w:r>
      <w:proofErr w:type="spellEnd"/>
      <w:r w:rsidRPr="00344FD1">
        <w:t>, Taing, and Lin (2020), using 507 employees from 44 teams, found that visionary, ethical, and adaptive leadership supported employee engagement and job performance. The present study therefore examines goal-oriented leadership, decision-making capacity, and employee motivation as strategic leadership practices.</w:t>
      </w:r>
    </w:p>
    <w:p w14:paraId="357DBC94" w14:textId="77777777" w:rsidR="00A32436" w:rsidRPr="00344FD1" w:rsidRDefault="00A32436" w:rsidP="00A32436">
      <w:pPr>
        <w:pStyle w:val="NormalWeb"/>
        <w:jc w:val="both"/>
      </w:pPr>
      <w:r w:rsidRPr="00344FD1">
        <w:t>Kim and Yoon (2022) found that strategic leadership in South Korean technology firms was associated with faster decision making, clearer priorities, rapid resource coordination, innovation, and brand performance. The present study assesses decision-making capacity using indicators such as approval speed and use of sales and stock information.</w:t>
      </w:r>
    </w:p>
    <w:p w14:paraId="33B84DC3" w14:textId="77777777" w:rsidR="00A32436" w:rsidRPr="00344FD1" w:rsidRDefault="00A32436" w:rsidP="00A32436">
      <w:pPr>
        <w:pStyle w:val="NormalWeb"/>
        <w:jc w:val="both"/>
      </w:pPr>
      <w:r w:rsidRPr="00344FD1">
        <w:t>Okeke and Nwaeze (2021) found that strategic leadership among Nigerian firms enhanced operational efficiency, innovation, and market responsiveness, with leadership vision and strategic communication emerging as important enablers. Although not retail-specific, the study supports examining leadership vision, communication, recognition, and goal setting in relation to supermarket competitiveness.</w:t>
      </w:r>
    </w:p>
    <w:p w14:paraId="55785D1A" w14:textId="77777777" w:rsidR="00A32436" w:rsidRPr="00344FD1" w:rsidRDefault="00A32436" w:rsidP="00A32436">
      <w:pPr>
        <w:pStyle w:val="NormalWeb"/>
        <w:jc w:val="both"/>
      </w:pPr>
      <w:r w:rsidRPr="00344FD1">
        <w:t xml:space="preserve">Resource allocation determines how financial, human, technological, and physical resources are prioritized and deployed. Achieng, Awino, </w:t>
      </w:r>
      <w:proofErr w:type="spellStart"/>
      <w:r w:rsidRPr="00344FD1">
        <w:t>K’Obonyo</w:t>
      </w:r>
      <w:proofErr w:type="spellEnd"/>
      <w:r w:rsidRPr="00344FD1">
        <w:t xml:space="preserve">, and </w:t>
      </w:r>
      <w:proofErr w:type="spellStart"/>
      <w:r w:rsidRPr="00344FD1">
        <w:t>Kitiabi</w:t>
      </w:r>
      <w:proofErr w:type="spellEnd"/>
      <w:r w:rsidRPr="00344FD1">
        <w:t xml:space="preserve"> (2020) identified effective resource allocation as an important component of strategic management because it guides asset deployment toward competitive advantage.</w:t>
      </w:r>
    </w:p>
    <w:p w14:paraId="059885D1" w14:textId="77777777" w:rsidR="00A32436" w:rsidRPr="00344FD1" w:rsidRDefault="00A32436" w:rsidP="00A32436">
      <w:pPr>
        <w:pStyle w:val="NormalWeb"/>
        <w:jc w:val="both"/>
      </w:pPr>
      <w:r w:rsidRPr="00344FD1">
        <w:t>Johnson and Smith (2023), studying United States technology start-ups, found that aligning financial investment with strategic priorities such as digital transformation and customer service was associated with higher market share and investor confidence. Although the setting differs, the finding supports examining budget-strategy alignment in Nairobi supermarkets.</w:t>
      </w:r>
    </w:p>
    <w:p w14:paraId="47524E76" w14:textId="77777777" w:rsidR="00A32436" w:rsidRPr="00344FD1" w:rsidRDefault="00A32436" w:rsidP="00A32436">
      <w:pPr>
        <w:pStyle w:val="NormalWeb"/>
        <w:jc w:val="both"/>
      </w:pPr>
      <w:r w:rsidRPr="00344FD1">
        <w:t>Zhang and Zhu (2021) found that flexible resource allocation systems enabled Chinese firms to respond to market changes and improve innovation and customer responsiveness. Strategic budgeting and cross-functional resource sharing were key mechanisms. The present study examines financial allocation, human-resource deployment, and operational resource flexibility among supermarkets.</w:t>
      </w:r>
    </w:p>
    <w:p w14:paraId="3B98CCCD" w14:textId="77777777" w:rsidR="00A32436" w:rsidRPr="00344FD1" w:rsidRDefault="00A32436" w:rsidP="00A32436">
      <w:pPr>
        <w:pStyle w:val="NormalWeb"/>
        <w:jc w:val="both"/>
      </w:pPr>
      <w:r w:rsidRPr="00344FD1">
        <w:t>Ahmed et al. (2022) found among Malaysian manufacturing SMEs that competitive performance was higher where human and technological resources aligned with strategic goals, while misallocation contributed to inefficiency and missed opportunities. The present study examines technology alignment, employee training, and human-resource deployment.</w:t>
      </w:r>
    </w:p>
    <w:p w14:paraId="6FF59655" w14:textId="77777777" w:rsidR="00A32436" w:rsidRPr="00344FD1" w:rsidRDefault="00A32436" w:rsidP="00A32436">
      <w:pPr>
        <w:pStyle w:val="NormalWeb"/>
        <w:jc w:val="both"/>
      </w:pPr>
      <w:r w:rsidRPr="00344FD1">
        <w:lastRenderedPageBreak/>
        <w:t>Dlamini and Mokoena (2021), based on 239 South African SME respondents, found that data-driven allocation of financial and human resources strengthened competitiveness. Mwangi and Kamau (2022), studying 80 retail firms across East Africa, found that allocating resources to technology, employee training, and store infrastructure improved operational efficiency and service quality. The present study narrows this regional evidence to supermarkets in Nairobi City County. Karanja and Mugambi (2020) also found that financial and human-resource investment improved customer satisfaction in Kenya’s hospitality industry, providing further support for examining budget allocation and human-resource deployment in retail.</w:t>
      </w:r>
    </w:p>
    <w:p w14:paraId="65171CD2" w14:textId="77777777" w:rsidR="00A32436" w:rsidRPr="00344FD1" w:rsidRDefault="00A32436" w:rsidP="00A32436">
      <w:pPr>
        <w:pStyle w:val="NormalWeb"/>
        <w:jc w:val="both"/>
      </w:pPr>
      <w:r w:rsidRPr="00344FD1">
        <w:t xml:space="preserve">Positioning strategies enable firms to differentiate offerings and establish distinctive value in customers’ minds. Iyer, Davari, </w:t>
      </w:r>
      <w:proofErr w:type="spellStart"/>
      <w:r w:rsidRPr="00344FD1">
        <w:t>Zolfagharian</w:t>
      </w:r>
      <w:proofErr w:type="spellEnd"/>
      <w:r w:rsidRPr="00344FD1">
        <w:t xml:space="preserve">, and Paswan (2019) emphasize differentiation, while Keller and Kotler (2022) associate effective positioning with stronger brands, customer loyalty, and competitive advantage. </w:t>
      </w:r>
      <w:proofErr w:type="spellStart"/>
      <w:r w:rsidRPr="00344FD1">
        <w:t>Kotabe</w:t>
      </w:r>
      <w:proofErr w:type="spellEnd"/>
      <w:r w:rsidRPr="00344FD1">
        <w:t xml:space="preserve"> and Helsen (2021) similarly link clear value propositions based on price, service, or technological innovation with customer loyalty and financial outcomes.</w:t>
      </w:r>
    </w:p>
    <w:p w14:paraId="42B9A205" w14:textId="77777777" w:rsidR="00A32436" w:rsidRPr="00344FD1" w:rsidRDefault="00A32436" w:rsidP="00A32436">
      <w:pPr>
        <w:pStyle w:val="NormalWeb"/>
        <w:jc w:val="both"/>
      </w:pPr>
      <w:r w:rsidRPr="00344FD1">
        <w:t>Müller and Schneider (2020) found that European hotels pursuing differentiation through luxury, environmental orientation, and personalized service achieved higher customer satisfaction and repeat bookings. Although hospitality differs from supermarkets, the study supports examining product and service differentiation.</w:t>
      </w:r>
    </w:p>
    <w:p w14:paraId="66896BB6" w14:textId="77777777" w:rsidR="00A32436" w:rsidRPr="00344FD1" w:rsidRDefault="00A32436" w:rsidP="00A32436">
      <w:pPr>
        <w:pStyle w:val="NormalWeb"/>
        <w:jc w:val="both"/>
      </w:pPr>
      <w:r w:rsidRPr="00344FD1">
        <w:t>Hassan and Salem (2021), studying 156 respondents in multinational retail brands in the Middle East, found that consistent brand messaging and focused positioning were associated with customer trust and market share growth. The present study examines positioning consistency among Nairobi supermarkets.</w:t>
      </w:r>
    </w:p>
    <w:p w14:paraId="40F61369" w14:textId="77777777" w:rsidR="00A32436" w:rsidRPr="00344FD1" w:rsidRDefault="00A32436" w:rsidP="00A32436">
      <w:pPr>
        <w:pStyle w:val="NormalWeb"/>
        <w:jc w:val="both"/>
      </w:pPr>
      <w:proofErr w:type="spellStart"/>
      <w:r w:rsidRPr="00344FD1">
        <w:t>Thi</w:t>
      </w:r>
      <w:proofErr w:type="spellEnd"/>
      <w:r w:rsidRPr="00344FD1">
        <w:t xml:space="preserve"> Thoan, Thuy, and Long (2024), using 562 Vietnamese listed firms over 2010–2019, found that increasing competition encouraged repositioning toward differentiation and that adapting positioning to customer expectations improved strategic responsiveness. Siregar and </w:t>
      </w:r>
      <w:proofErr w:type="spellStart"/>
      <w:r w:rsidRPr="00344FD1">
        <w:t>Harahap</w:t>
      </w:r>
      <w:proofErr w:type="spellEnd"/>
      <w:r w:rsidRPr="00344FD1">
        <w:t xml:space="preserve"> (2021) found that ethical positioning in Indonesia’s cosmetics industry strengthened customer trust and product uptake. Karanja and Mwema (2022) found that niche positioning among Nairobi ICT service providers enhanced service uptake and customer loyalty. Otieno and Barasa (2024) similarly reported that differentiated positioning among Nairobi CBD restaurants improved customer satisfaction and differentiation. The present study examines these dimensions among selected Nairobi supermarkets.</w:t>
      </w:r>
    </w:p>
    <w:p w14:paraId="3B538B5F" w14:textId="77777777" w:rsidR="00A32436" w:rsidRPr="00344FD1" w:rsidRDefault="00A32436" w:rsidP="00A32436">
      <w:pPr>
        <w:pStyle w:val="NormalWeb"/>
        <w:jc w:val="both"/>
      </w:pPr>
      <w:r w:rsidRPr="00344FD1">
        <w:t>This focus addresses the contextual limitation in prior research, which largely examines manufacturing, SMEs, hospitality, technology, or multinational organizations. It also permits assessment of competitiveness through measures that reflect the realities of supermarkets, where customer retention, sales growth, and market presence are outcomes. By concentrating on Nairobi City County, the study provides evidence that complements findings from international and regional settings.</w:t>
      </w:r>
    </w:p>
    <w:p w14:paraId="0D50E38C" w14:textId="7D7EE2D7" w:rsidR="00C003DF" w:rsidRPr="00344FD1" w:rsidRDefault="00055D83" w:rsidP="008A3771">
      <w:pPr>
        <w:spacing w:line="240" w:lineRule="auto"/>
        <w:rPr>
          <w:rFonts w:cs="Times New Roman"/>
          <w:b/>
          <w:bCs/>
          <w:color w:val="000000" w:themeColor="text1"/>
          <w:sz w:val="28"/>
          <w:szCs w:val="28"/>
        </w:rPr>
      </w:pPr>
      <w:r w:rsidRPr="00344FD1">
        <w:rPr>
          <w:rFonts w:cs="Times New Roman"/>
          <w:b/>
          <w:bCs/>
          <w:color w:val="000000" w:themeColor="text1"/>
          <w:sz w:val="28"/>
          <w:szCs w:val="28"/>
        </w:rPr>
        <w:t>3.0 RESEARCH METHODOLOGY</w:t>
      </w:r>
    </w:p>
    <w:p w14:paraId="733618F8"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 xml:space="preserve">Dubey and Kothari (2022) defined research design as a scheme of action undertaken to obtain responses on a subject. The study adopted a descriptive research design because it facilitates systematic collection of information concerning the status of a phenomenon without manipulating the variables. Cozby (2010) noted that descriptive design is appropriate for examining individuals’ perceptions, attitudes, </w:t>
      </w:r>
      <w:proofErr w:type="spellStart"/>
      <w:r w:rsidRPr="00344FD1">
        <w:rPr>
          <w:rFonts w:cs="Times New Roman"/>
          <w:color w:val="000000" w:themeColor="text1"/>
          <w:szCs w:val="24"/>
        </w:rPr>
        <w:t>behaviours</w:t>
      </w:r>
      <w:proofErr w:type="spellEnd"/>
      <w:r w:rsidRPr="00344FD1">
        <w:rPr>
          <w:rFonts w:cs="Times New Roman"/>
          <w:color w:val="000000" w:themeColor="text1"/>
          <w:szCs w:val="24"/>
        </w:rPr>
        <w:t>, and values. Similarly, Pandey and Pandey (2021) emphasized its suitability where the objective is to systematically describe variables under observation.</w:t>
      </w:r>
    </w:p>
    <w:p w14:paraId="111C54C6" w14:textId="27DF899A" w:rsidR="00C003DF" w:rsidRPr="00344FD1" w:rsidRDefault="00C003DF" w:rsidP="00C003DF">
      <w:pPr>
        <w:spacing w:after="160" w:line="259" w:lineRule="auto"/>
        <w:rPr>
          <w:rFonts w:cs="Times New Roman"/>
          <w:color w:val="000000" w:themeColor="text1"/>
          <w:szCs w:val="24"/>
        </w:rPr>
      </w:pPr>
    </w:p>
    <w:p w14:paraId="06ECDDCA"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lastRenderedPageBreak/>
        <w:t xml:space="preserve">The target population comprised employees of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and Carrefour supermarkets. Respondents were drawn from top-, middle-, and lower-level management to ensure representation across organizational levels. Each supermarket contributed 50 respondents, resulting in a total target population of 150 employees.</w:t>
      </w:r>
    </w:p>
    <w:p w14:paraId="61D36D6C" w14:textId="4025052F" w:rsidR="00C003DF" w:rsidRPr="00344FD1" w:rsidRDefault="00C003DF" w:rsidP="00C003DF">
      <w:pPr>
        <w:spacing w:after="160" w:line="259" w:lineRule="auto"/>
        <w:rPr>
          <w:rFonts w:cs="Times New Roman"/>
          <w:color w:val="000000" w:themeColor="text1"/>
          <w:szCs w:val="24"/>
        </w:rPr>
      </w:pPr>
    </w:p>
    <w:p w14:paraId="0719B5EF"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Cluster sampling was used to divide the population into homogeneous groups based on management levels, after which simple random sampling was employed to select participants. This approach minimized selection bias and provided each member of the population with an opportunity for inclusion (</w:t>
      </w:r>
      <w:proofErr w:type="spellStart"/>
      <w:r w:rsidRPr="00344FD1">
        <w:rPr>
          <w:rFonts w:cs="Times New Roman"/>
          <w:color w:val="000000" w:themeColor="text1"/>
          <w:szCs w:val="24"/>
        </w:rPr>
        <w:t>Etikan</w:t>
      </w:r>
      <w:proofErr w:type="spellEnd"/>
      <w:r w:rsidRPr="00344FD1">
        <w:rPr>
          <w:rFonts w:cs="Times New Roman"/>
          <w:color w:val="000000" w:themeColor="text1"/>
          <w:szCs w:val="24"/>
        </w:rPr>
        <w:t xml:space="preserve"> &amp; Bala, 2020). Using Yamane’s (1967) formula, with a population of 150 and a 5% sampling error, the study obtained a sample size of 109 respondents:</w:t>
      </w:r>
    </w:p>
    <w:p w14:paraId="0065424F" w14:textId="77777777" w:rsidR="00C003DF" w:rsidRPr="00344FD1" w:rsidRDefault="00C003DF" w:rsidP="00C003DF">
      <w:pPr>
        <w:spacing w:after="160" w:line="259" w:lineRule="auto"/>
        <w:rPr>
          <w:rFonts w:cs="Times New Roman"/>
          <w:color w:val="000000" w:themeColor="text1"/>
          <w:szCs w:val="24"/>
        </w:rPr>
      </w:pPr>
    </w:p>
    <w:p w14:paraId="47AD71D1" w14:textId="2D046330"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n = N</w:t>
      </w:r>
      <w:proofErr w:type="gramStart"/>
      <w:r w:rsidRPr="00344FD1">
        <w:rPr>
          <w:rFonts w:cs="Times New Roman"/>
          <w:color w:val="000000" w:themeColor="text1"/>
          <w:szCs w:val="24"/>
        </w:rPr>
        <w:t>/[</w:t>
      </w:r>
      <w:proofErr w:type="gramEnd"/>
      <w:r w:rsidRPr="00344FD1">
        <w:rPr>
          <w:rFonts w:cs="Times New Roman"/>
          <w:color w:val="000000" w:themeColor="text1"/>
          <w:szCs w:val="24"/>
        </w:rPr>
        <w:t>1 + N(e)²]</w:t>
      </w:r>
      <w:r w:rsidR="008A3771" w:rsidRPr="00344FD1">
        <w:rPr>
          <w:rFonts w:cs="Times New Roman"/>
          <w:color w:val="000000" w:themeColor="text1"/>
          <w:szCs w:val="24"/>
        </w:rPr>
        <w:t xml:space="preserve"> = 150</w:t>
      </w:r>
      <w:proofErr w:type="gramStart"/>
      <w:r w:rsidR="008A3771" w:rsidRPr="00344FD1">
        <w:rPr>
          <w:rFonts w:cs="Times New Roman"/>
          <w:color w:val="000000" w:themeColor="text1"/>
          <w:szCs w:val="24"/>
        </w:rPr>
        <w:t>/[</w:t>
      </w:r>
      <w:proofErr w:type="gramEnd"/>
      <w:r w:rsidR="008A3771" w:rsidRPr="00344FD1">
        <w:rPr>
          <w:rFonts w:cs="Times New Roman"/>
          <w:color w:val="000000" w:themeColor="text1"/>
          <w:szCs w:val="24"/>
        </w:rPr>
        <w:t>1 + 150(</w:t>
      </w:r>
      <w:proofErr w:type="gramStart"/>
      <w:r w:rsidR="008A3771" w:rsidRPr="00344FD1">
        <w:rPr>
          <w:rFonts w:cs="Times New Roman"/>
          <w:color w:val="000000" w:themeColor="text1"/>
          <w:szCs w:val="24"/>
        </w:rPr>
        <w:t>0.05)²</w:t>
      </w:r>
      <w:proofErr w:type="gramEnd"/>
      <w:r w:rsidR="008A3771" w:rsidRPr="00344FD1">
        <w:rPr>
          <w:rFonts w:cs="Times New Roman"/>
          <w:color w:val="000000" w:themeColor="text1"/>
          <w:szCs w:val="24"/>
        </w:rPr>
        <w:t>] = 109.</w:t>
      </w:r>
    </w:p>
    <w:p w14:paraId="63F443B4" w14:textId="77777777" w:rsidR="00C003DF" w:rsidRPr="00344FD1" w:rsidRDefault="00C003DF" w:rsidP="00C003DF">
      <w:pPr>
        <w:spacing w:after="160" w:line="259" w:lineRule="auto"/>
        <w:rPr>
          <w:rFonts w:cs="Times New Roman"/>
          <w:color w:val="000000" w:themeColor="text1"/>
          <w:szCs w:val="24"/>
        </w:rPr>
      </w:pPr>
    </w:p>
    <w:p w14:paraId="2CD64462"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 xml:space="preserve">The sample comprised 37 respondents from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36 from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and 36 from Carrefour.</w:t>
      </w:r>
    </w:p>
    <w:p w14:paraId="19047D85" w14:textId="2DC0BC99" w:rsidR="00C003DF" w:rsidRPr="00344FD1" w:rsidRDefault="00C003DF" w:rsidP="00C003DF">
      <w:pPr>
        <w:spacing w:after="160" w:line="259" w:lineRule="auto"/>
        <w:rPr>
          <w:rFonts w:cs="Times New Roman"/>
          <w:color w:val="000000" w:themeColor="text1"/>
          <w:szCs w:val="24"/>
        </w:rPr>
      </w:pPr>
    </w:p>
    <w:p w14:paraId="5C5021A5"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Primary data were collected using a structured questionnaire because questionnaires are relatively affordable and provide standardized responses that facilitate data collection and analysis (Pellerin &amp; Perrier, 2019). The instrument contained closed- and open-ended questions and employed a five-point Likert scale. It consisted of five sections covering background information and the four study objectives. A pilot study involving 11 respondents, representing 10% of the sample, was conducted, and the participants were excluded from the main study.</w:t>
      </w:r>
    </w:p>
    <w:p w14:paraId="0368976A" w14:textId="10D2E052" w:rsidR="00C003DF" w:rsidRPr="00344FD1" w:rsidRDefault="00C003DF" w:rsidP="00C003DF">
      <w:pPr>
        <w:spacing w:after="160" w:line="259" w:lineRule="auto"/>
        <w:rPr>
          <w:rFonts w:cs="Times New Roman"/>
          <w:color w:val="000000" w:themeColor="text1"/>
          <w:szCs w:val="24"/>
        </w:rPr>
      </w:pPr>
    </w:p>
    <w:p w14:paraId="5E8562F8"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Validity was established through expert judgement and pre-testing during the pilot study. Ambiguous items were revised to enhance clarity, relevance, and accuracy (Kothari, 2014; Creswell &amp; Creswell, 2018). Reliability was assessed using Cronbach’s alpha coefficient, with a minimum threshold of 0.70 considered acceptable (Dubey &amp; Kothari, 2022; Mugenda &amp; Mugenda, 2019).</w:t>
      </w:r>
    </w:p>
    <w:p w14:paraId="7602BA9A" w14:textId="21C615BC" w:rsidR="00C003DF" w:rsidRPr="00344FD1" w:rsidRDefault="00C003DF" w:rsidP="00C003DF">
      <w:pPr>
        <w:spacing w:after="160" w:line="259" w:lineRule="auto"/>
        <w:rPr>
          <w:rFonts w:cs="Times New Roman"/>
          <w:color w:val="000000" w:themeColor="text1"/>
          <w:szCs w:val="24"/>
        </w:rPr>
      </w:pPr>
    </w:p>
    <w:p w14:paraId="68ECED9B" w14:textId="2D6A46C8" w:rsidR="009B3203"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 xml:space="preserve">Following approval from the graduate school and acquisition of a NACOSTI permit, questionnaires were administered using a drop-and-pick-later approach. Data were coded and </w:t>
      </w:r>
      <w:proofErr w:type="spellStart"/>
      <w:r w:rsidRPr="00344FD1">
        <w:rPr>
          <w:rFonts w:cs="Times New Roman"/>
          <w:color w:val="000000" w:themeColor="text1"/>
          <w:szCs w:val="24"/>
        </w:rPr>
        <w:t>analysed</w:t>
      </w:r>
      <w:proofErr w:type="spellEnd"/>
      <w:r w:rsidRPr="00344FD1">
        <w:rPr>
          <w:rFonts w:cs="Times New Roman"/>
          <w:color w:val="000000" w:themeColor="text1"/>
          <w:szCs w:val="24"/>
        </w:rPr>
        <w:t xml:space="preserve"> using SPSS version 21 and presented through tables, figures, and bar charts. Inferential analysis employed multiple regression to examine the relationship between strategic planning, strategic leadership, resource allocation, positioning strategies, and supermarket competitiveness. Ethical considerations included informed consent, confidentiality, anonymity, privacy, intellectual property, legal complian</w:t>
      </w:r>
      <w:r w:rsidR="008A3771" w:rsidRPr="00344FD1">
        <w:rPr>
          <w:rFonts w:cs="Times New Roman"/>
          <w:color w:val="000000" w:themeColor="text1"/>
          <w:szCs w:val="24"/>
        </w:rPr>
        <w:t>ce, and voluntary participation</w:t>
      </w:r>
      <w:r w:rsidR="00CD35B1" w:rsidRPr="00344FD1">
        <w:rPr>
          <w:rFonts w:cs="Times New Roman"/>
          <w:color w:val="000000" w:themeColor="text1"/>
          <w:szCs w:val="24"/>
        </w:rPr>
        <w:t>.</w:t>
      </w:r>
    </w:p>
    <w:p w14:paraId="6FFA7782" w14:textId="7410F3B0" w:rsidR="00012AEB" w:rsidRPr="00344FD1" w:rsidRDefault="00012AEB" w:rsidP="00CD35B1">
      <w:pPr>
        <w:spacing w:after="160" w:line="259" w:lineRule="auto"/>
        <w:rPr>
          <w:rFonts w:cs="Times New Roman"/>
          <w:color w:val="000000" w:themeColor="text1"/>
          <w:szCs w:val="24"/>
        </w:rPr>
      </w:pPr>
    </w:p>
    <w:p w14:paraId="496191DC" w14:textId="77777777" w:rsidR="0045178A" w:rsidRPr="00344FD1" w:rsidRDefault="0045178A" w:rsidP="00CD35B1">
      <w:pPr>
        <w:spacing w:after="160" w:line="259" w:lineRule="auto"/>
        <w:rPr>
          <w:rFonts w:cs="Times New Roman"/>
          <w:color w:val="000000" w:themeColor="text1"/>
          <w:szCs w:val="24"/>
        </w:rPr>
      </w:pPr>
    </w:p>
    <w:p w14:paraId="52CF87B1" w14:textId="77777777" w:rsidR="00012AEB" w:rsidRPr="00344FD1" w:rsidRDefault="00012AEB" w:rsidP="00CD35B1">
      <w:pPr>
        <w:spacing w:after="160" w:line="259" w:lineRule="auto"/>
        <w:rPr>
          <w:rFonts w:cs="Times New Roman"/>
          <w:color w:val="000000" w:themeColor="text1"/>
          <w:szCs w:val="24"/>
        </w:rPr>
      </w:pPr>
    </w:p>
    <w:p w14:paraId="14C2E9C9" w14:textId="5BFB7189" w:rsidR="00055D83" w:rsidRPr="00344FD1" w:rsidRDefault="002B2D3C" w:rsidP="00711AB4">
      <w:pPr>
        <w:spacing w:before="0"/>
        <w:rPr>
          <w:b/>
          <w:bCs/>
          <w:color w:val="000000" w:themeColor="text1"/>
          <w:sz w:val="28"/>
          <w:szCs w:val="24"/>
        </w:rPr>
      </w:pPr>
      <w:r w:rsidRPr="00344FD1">
        <w:rPr>
          <w:b/>
          <w:bCs/>
          <w:color w:val="000000" w:themeColor="text1"/>
          <w:sz w:val="28"/>
          <w:szCs w:val="24"/>
        </w:rPr>
        <w:lastRenderedPageBreak/>
        <w:t xml:space="preserve">4.0 </w:t>
      </w:r>
      <w:r w:rsidR="00055D83" w:rsidRPr="00344FD1">
        <w:rPr>
          <w:b/>
          <w:bCs/>
          <w:color w:val="000000" w:themeColor="text1"/>
          <w:sz w:val="28"/>
          <w:szCs w:val="24"/>
        </w:rPr>
        <w:t xml:space="preserve">RESULTS </w:t>
      </w:r>
      <w:r w:rsidR="00307DE7" w:rsidRPr="00344FD1">
        <w:rPr>
          <w:b/>
          <w:bCs/>
          <w:color w:val="000000" w:themeColor="text1"/>
          <w:sz w:val="28"/>
          <w:szCs w:val="24"/>
        </w:rPr>
        <w:t>AND DISCUSSION</w:t>
      </w:r>
    </w:p>
    <w:p w14:paraId="0FC25F82" w14:textId="54EDD69B" w:rsidR="007B652A" w:rsidRPr="00344FD1" w:rsidRDefault="006A2D8F" w:rsidP="00711AB4">
      <w:pPr>
        <w:spacing w:before="0" w:line="240" w:lineRule="auto"/>
        <w:rPr>
          <w:b/>
          <w:bCs/>
          <w:i/>
          <w:iCs/>
          <w:color w:val="000000" w:themeColor="text1"/>
          <w:sz w:val="28"/>
          <w:szCs w:val="24"/>
        </w:rPr>
      </w:pPr>
      <w:r w:rsidRPr="00344FD1">
        <w:rPr>
          <w:b/>
          <w:bCs/>
          <w:i/>
          <w:iCs/>
          <w:color w:val="000000" w:themeColor="text1"/>
          <w:sz w:val="28"/>
          <w:szCs w:val="24"/>
        </w:rPr>
        <w:t>Response Rate</w:t>
      </w:r>
    </w:p>
    <w:p w14:paraId="77E64A52" w14:textId="77777777" w:rsidR="002203E3" w:rsidRPr="00344FD1" w:rsidRDefault="002203E3" w:rsidP="002203E3">
      <w:pPr>
        <w:spacing w:before="100" w:beforeAutospacing="1" w:after="100" w:afterAutospacing="1" w:line="240" w:lineRule="auto"/>
        <w:rPr>
          <w:rFonts w:eastAsia="Times New Roman" w:cs="Times New Roman"/>
          <w:color w:val="auto"/>
          <w:szCs w:val="24"/>
          <w14:ligatures w14:val="none"/>
        </w:rPr>
      </w:pPr>
      <w:r w:rsidRPr="00344FD1">
        <w:rPr>
          <w:rFonts w:eastAsia="Times New Roman" w:cs="Times New Roman"/>
          <w:color w:val="auto"/>
          <w:szCs w:val="24"/>
          <w14:ligatures w14:val="none"/>
        </w:rPr>
        <w:t xml:space="preserve">The study distributed 109 questionnaires across </w:t>
      </w:r>
      <w:proofErr w:type="spellStart"/>
      <w:r w:rsidRPr="00344FD1">
        <w:rPr>
          <w:rFonts w:eastAsia="Times New Roman" w:cs="Times New Roman"/>
          <w:color w:val="auto"/>
          <w:szCs w:val="24"/>
          <w14:ligatures w14:val="none"/>
        </w:rPr>
        <w:t>Naivas</w:t>
      </w:r>
      <w:proofErr w:type="spellEnd"/>
      <w:r w:rsidRPr="00344FD1">
        <w:rPr>
          <w:rFonts w:eastAsia="Times New Roman" w:cs="Times New Roman"/>
          <w:color w:val="auto"/>
          <w:szCs w:val="24"/>
          <w14:ligatures w14:val="none"/>
        </w:rPr>
        <w:t xml:space="preserve">, </w:t>
      </w:r>
      <w:proofErr w:type="spellStart"/>
      <w:r w:rsidRPr="00344FD1">
        <w:rPr>
          <w:rFonts w:eastAsia="Times New Roman" w:cs="Times New Roman"/>
          <w:color w:val="auto"/>
          <w:szCs w:val="24"/>
          <w14:ligatures w14:val="none"/>
        </w:rPr>
        <w:t>Quickmart</w:t>
      </w:r>
      <w:proofErr w:type="spellEnd"/>
      <w:r w:rsidRPr="00344FD1">
        <w:rPr>
          <w:rFonts w:eastAsia="Times New Roman" w:cs="Times New Roman"/>
          <w:color w:val="auto"/>
          <w:szCs w:val="24"/>
          <w14:ligatures w14:val="none"/>
        </w:rPr>
        <w:t xml:space="preserve">, and Carrefour supermarkets using cluster sampling stratified by management level. Of these, 100 were returned, yielding an overall response rate of 92%. </w:t>
      </w:r>
      <w:proofErr w:type="spellStart"/>
      <w:r w:rsidRPr="00344FD1">
        <w:rPr>
          <w:rFonts w:eastAsia="Times New Roman" w:cs="Times New Roman"/>
          <w:color w:val="auto"/>
          <w:szCs w:val="24"/>
          <w14:ligatures w14:val="none"/>
        </w:rPr>
        <w:t>Naivas</w:t>
      </w:r>
      <w:proofErr w:type="spellEnd"/>
      <w:r w:rsidRPr="00344FD1">
        <w:rPr>
          <w:rFonts w:eastAsia="Times New Roman" w:cs="Times New Roman"/>
          <w:color w:val="auto"/>
          <w:szCs w:val="24"/>
          <w14:ligatures w14:val="none"/>
        </w:rPr>
        <w:t xml:space="preserve"> recorded the highest response rate (97%), followed by </w:t>
      </w:r>
      <w:proofErr w:type="spellStart"/>
      <w:r w:rsidRPr="00344FD1">
        <w:rPr>
          <w:rFonts w:eastAsia="Times New Roman" w:cs="Times New Roman"/>
          <w:color w:val="auto"/>
          <w:szCs w:val="24"/>
          <w14:ligatures w14:val="none"/>
        </w:rPr>
        <w:t>Quickmart</w:t>
      </w:r>
      <w:proofErr w:type="spellEnd"/>
      <w:r w:rsidRPr="00344FD1">
        <w:rPr>
          <w:rFonts w:eastAsia="Times New Roman" w:cs="Times New Roman"/>
          <w:color w:val="auto"/>
          <w:szCs w:val="24"/>
          <w14:ligatures w14:val="none"/>
        </w:rPr>
        <w:t xml:space="preserve"> (92%) and Carrefour (86%). The relatively lower response at Carrefour was attributed to stricter access controls and demanding management shift schedules during data collection. All supermarkets achieved response rates above the 70% minimum recommended for social science research by Mugenda and Mugenda (2019), confirming the adequacy of the responses for analysis.</w:t>
      </w:r>
    </w:p>
    <w:p w14:paraId="58BE1703" w14:textId="1B8BE0D5" w:rsidR="002203E3" w:rsidRPr="00344FD1" w:rsidRDefault="002203E3" w:rsidP="002203E3">
      <w:pPr>
        <w:spacing w:before="100" w:beforeAutospacing="1" w:after="100" w:afterAutospacing="1" w:line="240" w:lineRule="auto"/>
        <w:jc w:val="left"/>
        <w:rPr>
          <w:rFonts w:eastAsia="Times New Roman" w:cs="Times New Roman"/>
          <w:color w:val="auto"/>
          <w:szCs w:val="24"/>
          <w14:ligatures w14:val="none"/>
        </w:rPr>
      </w:pPr>
      <w:r w:rsidRPr="00344FD1">
        <w:rPr>
          <w:rFonts w:eastAsia="Times New Roman" w:cs="Times New Roman"/>
          <w:b/>
          <w:bCs/>
          <w:color w:val="auto"/>
          <w:szCs w:val="24"/>
          <w14:ligatures w14:val="none"/>
        </w:rPr>
        <w:t>Table 1: Response Rate</w:t>
      </w:r>
    </w:p>
    <w:tbl>
      <w:tblPr>
        <w:tblStyle w:val="TableGrid1"/>
        <w:tblW w:w="0" w:type="auto"/>
        <w:tblLook w:val="04A0" w:firstRow="1" w:lastRow="0" w:firstColumn="1" w:lastColumn="0" w:noHBand="0" w:noVBand="1"/>
      </w:tblPr>
      <w:tblGrid>
        <w:gridCol w:w="1576"/>
        <w:gridCol w:w="1390"/>
        <w:gridCol w:w="1190"/>
        <w:gridCol w:w="1623"/>
        <w:gridCol w:w="456"/>
      </w:tblGrid>
      <w:tr w:rsidR="002203E3" w:rsidRPr="00344FD1" w14:paraId="46CDCBB5" w14:textId="77777777" w:rsidTr="002203E3">
        <w:tc>
          <w:tcPr>
            <w:tcW w:w="0" w:type="auto"/>
            <w:hideMark/>
          </w:tcPr>
          <w:p w14:paraId="0F85A53C" w14:textId="77777777" w:rsidR="002203E3" w:rsidRPr="00344FD1" w:rsidRDefault="002203E3" w:rsidP="002203E3">
            <w:pPr>
              <w:spacing w:before="0" w:line="240" w:lineRule="auto"/>
              <w:jc w:val="center"/>
              <w:rPr>
                <w:rFonts w:eastAsia="Times New Roman" w:cs="Times New Roman"/>
                <w:b/>
                <w:bCs/>
                <w:color w:val="auto"/>
                <w:szCs w:val="24"/>
              </w:rPr>
            </w:pPr>
            <w:r w:rsidRPr="00344FD1">
              <w:rPr>
                <w:rFonts w:eastAsia="Times New Roman" w:cs="Times New Roman"/>
                <w:b/>
                <w:bCs/>
                <w:color w:val="auto"/>
                <w:szCs w:val="24"/>
              </w:rPr>
              <w:t>Supermarket</w:t>
            </w:r>
          </w:p>
        </w:tc>
        <w:tc>
          <w:tcPr>
            <w:tcW w:w="0" w:type="auto"/>
            <w:hideMark/>
          </w:tcPr>
          <w:p w14:paraId="1520ABCB"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Distributed</w:t>
            </w:r>
          </w:p>
        </w:tc>
        <w:tc>
          <w:tcPr>
            <w:tcW w:w="0" w:type="auto"/>
            <w:hideMark/>
          </w:tcPr>
          <w:p w14:paraId="216B38AE"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Returned</w:t>
            </w:r>
          </w:p>
        </w:tc>
        <w:tc>
          <w:tcPr>
            <w:tcW w:w="0" w:type="auto"/>
            <w:hideMark/>
          </w:tcPr>
          <w:p w14:paraId="296A2BF3"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Not Returned</w:t>
            </w:r>
          </w:p>
        </w:tc>
        <w:tc>
          <w:tcPr>
            <w:tcW w:w="0" w:type="auto"/>
            <w:hideMark/>
          </w:tcPr>
          <w:p w14:paraId="6924E0B7"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w:t>
            </w:r>
          </w:p>
        </w:tc>
      </w:tr>
      <w:tr w:rsidR="002203E3" w:rsidRPr="00344FD1" w14:paraId="57177354" w14:textId="77777777" w:rsidTr="002203E3">
        <w:tc>
          <w:tcPr>
            <w:tcW w:w="0" w:type="auto"/>
            <w:hideMark/>
          </w:tcPr>
          <w:p w14:paraId="600CC8ED" w14:textId="77777777" w:rsidR="002203E3" w:rsidRPr="00344FD1" w:rsidRDefault="002203E3" w:rsidP="002203E3">
            <w:pPr>
              <w:spacing w:before="0" w:line="240" w:lineRule="auto"/>
              <w:jc w:val="left"/>
              <w:rPr>
                <w:rFonts w:eastAsia="Times New Roman" w:cs="Times New Roman"/>
                <w:color w:val="auto"/>
                <w:szCs w:val="24"/>
              </w:rPr>
            </w:pPr>
            <w:proofErr w:type="spellStart"/>
            <w:r w:rsidRPr="00344FD1">
              <w:rPr>
                <w:rFonts w:eastAsia="Times New Roman" w:cs="Times New Roman"/>
                <w:color w:val="auto"/>
                <w:szCs w:val="24"/>
              </w:rPr>
              <w:t>Naivas</w:t>
            </w:r>
            <w:proofErr w:type="spellEnd"/>
          </w:p>
        </w:tc>
        <w:tc>
          <w:tcPr>
            <w:tcW w:w="0" w:type="auto"/>
            <w:hideMark/>
          </w:tcPr>
          <w:p w14:paraId="658514B2"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37</w:t>
            </w:r>
          </w:p>
        </w:tc>
        <w:tc>
          <w:tcPr>
            <w:tcW w:w="0" w:type="auto"/>
            <w:hideMark/>
          </w:tcPr>
          <w:p w14:paraId="3D77E062"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36</w:t>
            </w:r>
          </w:p>
        </w:tc>
        <w:tc>
          <w:tcPr>
            <w:tcW w:w="0" w:type="auto"/>
            <w:hideMark/>
          </w:tcPr>
          <w:p w14:paraId="3AE7E2C6"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1</w:t>
            </w:r>
          </w:p>
        </w:tc>
        <w:tc>
          <w:tcPr>
            <w:tcW w:w="0" w:type="auto"/>
            <w:hideMark/>
          </w:tcPr>
          <w:p w14:paraId="6CF3913B"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97</w:t>
            </w:r>
          </w:p>
        </w:tc>
      </w:tr>
      <w:tr w:rsidR="002203E3" w:rsidRPr="00344FD1" w14:paraId="05D9087D" w14:textId="77777777" w:rsidTr="002203E3">
        <w:tc>
          <w:tcPr>
            <w:tcW w:w="0" w:type="auto"/>
            <w:hideMark/>
          </w:tcPr>
          <w:p w14:paraId="39B030C3" w14:textId="77777777" w:rsidR="002203E3" w:rsidRPr="00344FD1" w:rsidRDefault="002203E3" w:rsidP="002203E3">
            <w:pPr>
              <w:spacing w:before="0" w:line="240" w:lineRule="auto"/>
              <w:jc w:val="left"/>
              <w:rPr>
                <w:rFonts w:eastAsia="Times New Roman" w:cs="Times New Roman"/>
                <w:color w:val="auto"/>
                <w:szCs w:val="24"/>
              </w:rPr>
            </w:pPr>
            <w:proofErr w:type="spellStart"/>
            <w:r w:rsidRPr="00344FD1">
              <w:rPr>
                <w:rFonts w:eastAsia="Times New Roman" w:cs="Times New Roman"/>
                <w:color w:val="auto"/>
                <w:szCs w:val="24"/>
              </w:rPr>
              <w:t>Quickmart</w:t>
            </w:r>
            <w:proofErr w:type="spellEnd"/>
          </w:p>
        </w:tc>
        <w:tc>
          <w:tcPr>
            <w:tcW w:w="0" w:type="auto"/>
            <w:hideMark/>
          </w:tcPr>
          <w:p w14:paraId="374B7B1D"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36</w:t>
            </w:r>
          </w:p>
        </w:tc>
        <w:tc>
          <w:tcPr>
            <w:tcW w:w="0" w:type="auto"/>
            <w:hideMark/>
          </w:tcPr>
          <w:p w14:paraId="65BECBF1"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33</w:t>
            </w:r>
          </w:p>
        </w:tc>
        <w:tc>
          <w:tcPr>
            <w:tcW w:w="0" w:type="auto"/>
            <w:hideMark/>
          </w:tcPr>
          <w:p w14:paraId="63A2D688"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w:t>
            </w:r>
          </w:p>
        </w:tc>
        <w:tc>
          <w:tcPr>
            <w:tcW w:w="0" w:type="auto"/>
            <w:hideMark/>
          </w:tcPr>
          <w:p w14:paraId="790D1484"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92</w:t>
            </w:r>
          </w:p>
        </w:tc>
      </w:tr>
      <w:tr w:rsidR="002203E3" w:rsidRPr="00344FD1" w14:paraId="511A16CD" w14:textId="77777777" w:rsidTr="002203E3">
        <w:tc>
          <w:tcPr>
            <w:tcW w:w="0" w:type="auto"/>
            <w:hideMark/>
          </w:tcPr>
          <w:p w14:paraId="722752B0" w14:textId="77777777" w:rsidR="002203E3" w:rsidRPr="00344FD1" w:rsidRDefault="002203E3" w:rsidP="002203E3">
            <w:pPr>
              <w:spacing w:before="0" w:line="240" w:lineRule="auto"/>
              <w:jc w:val="left"/>
              <w:rPr>
                <w:rFonts w:eastAsia="Times New Roman" w:cs="Times New Roman"/>
                <w:color w:val="auto"/>
                <w:szCs w:val="24"/>
              </w:rPr>
            </w:pPr>
            <w:r w:rsidRPr="00344FD1">
              <w:rPr>
                <w:rFonts w:eastAsia="Times New Roman" w:cs="Times New Roman"/>
                <w:color w:val="auto"/>
                <w:szCs w:val="24"/>
              </w:rPr>
              <w:t>Carrefour</w:t>
            </w:r>
          </w:p>
        </w:tc>
        <w:tc>
          <w:tcPr>
            <w:tcW w:w="0" w:type="auto"/>
            <w:hideMark/>
          </w:tcPr>
          <w:p w14:paraId="699C1B60"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36</w:t>
            </w:r>
          </w:p>
        </w:tc>
        <w:tc>
          <w:tcPr>
            <w:tcW w:w="0" w:type="auto"/>
            <w:hideMark/>
          </w:tcPr>
          <w:p w14:paraId="24D33261"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31</w:t>
            </w:r>
          </w:p>
        </w:tc>
        <w:tc>
          <w:tcPr>
            <w:tcW w:w="0" w:type="auto"/>
            <w:hideMark/>
          </w:tcPr>
          <w:p w14:paraId="55407A6B"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5</w:t>
            </w:r>
          </w:p>
        </w:tc>
        <w:tc>
          <w:tcPr>
            <w:tcW w:w="0" w:type="auto"/>
            <w:hideMark/>
          </w:tcPr>
          <w:p w14:paraId="25A54A24"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86</w:t>
            </w:r>
          </w:p>
        </w:tc>
      </w:tr>
      <w:tr w:rsidR="002203E3" w:rsidRPr="00344FD1" w14:paraId="4EDD7AD3" w14:textId="77777777" w:rsidTr="002203E3">
        <w:tc>
          <w:tcPr>
            <w:tcW w:w="0" w:type="auto"/>
            <w:hideMark/>
          </w:tcPr>
          <w:p w14:paraId="70E99A80" w14:textId="77777777" w:rsidR="002203E3" w:rsidRPr="00344FD1" w:rsidRDefault="002203E3" w:rsidP="002203E3">
            <w:pPr>
              <w:spacing w:before="0" w:line="240" w:lineRule="auto"/>
              <w:jc w:val="left"/>
              <w:rPr>
                <w:rFonts w:eastAsia="Times New Roman" w:cs="Times New Roman"/>
                <w:color w:val="auto"/>
                <w:szCs w:val="24"/>
              </w:rPr>
            </w:pPr>
            <w:r w:rsidRPr="00344FD1">
              <w:rPr>
                <w:rFonts w:eastAsia="Times New Roman" w:cs="Times New Roman"/>
                <w:b/>
                <w:bCs/>
                <w:color w:val="auto"/>
                <w:szCs w:val="24"/>
              </w:rPr>
              <w:t>Total</w:t>
            </w:r>
          </w:p>
        </w:tc>
        <w:tc>
          <w:tcPr>
            <w:tcW w:w="0" w:type="auto"/>
            <w:hideMark/>
          </w:tcPr>
          <w:p w14:paraId="4CD90D25"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109</w:t>
            </w:r>
          </w:p>
        </w:tc>
        <w:tc>
          <w:tcPr>
            <w:tcW w:w="0" w:type="auto"/>
            <w:hideMark/>
          </w:tcPr>
          <w:p w14:paraId="3DDA2CF8"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100</w:t>
            </w:r>
          </w:p>
        </w:tc>
        <w:tc>
          <w:tcPr>
            <w:tcW w:w="0" w:type="auto"/>
            <w:hideMark/>
          </w:tcPr>
          <w:p w14:paraId="75FBE87A"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9</w:t>
            </w:r>
          </w:p>
        </w:tc>
        <w:tc>
          <w:tcPr>
            <w:tcW w:w="0" w:type="auto"/>
            <w:hideMark/>
          </w:tcPr>
          <w:p w14:paraId="5C128DF9"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92</w:t>
            </w:r>
          </w:p>
        </w:tc>
      </w:tr>
    </w:tbl>
    <w:p w14:paraId="21BDC3AD" w14:textId="77777777" w:rsidR="002203E3" w:rsidRPr="00344FD1" w:rsidRDefault="002203E3" w:rsidP="002203E3">
      <w:pPr>
        <w:spacing w:before="100" w:beforeAutospacing="1" w:after="100" w:afterAutospacing="1" w:line="240" w:lineRule="auto"/>
        <w:jc w:val="left"/>
        <w:rPr>
          <w:rFonts w:eastAsia="Times New Roman" w:cs="Times New Roman"/>
          <w:color w:val="auto"/>
          <w:szCs w:val="24"/>
          <w14:ligatures w14:val="none"/>
        </w:rPr>
      </w:pPr>
      <w:r w:rsidRPr="00344FD1">
        <w:rPr>
          <w:rFonts w:eastAsia="Times New Roman" w:cs="Times New Roman"/>
          <w:i/>
          <w:iCs/>
          <w:color w:val="auto"/>
          <w:szCs w:val="24"/>
          <w14:ligatures w14:val="none"/>
        </w:rPr>
        <w:t>Source: Survey Data (2026)</w:t>
      </w:r>
    </w:p>
    <w:p w14:paraId="07394F54" w14:textId="77777777" w:rsidR="00C852EB" w:rsidRPr="00344FD1" w:rsidRDefault="00C852EB" w:rsidP="00C852EB">
      <w:pPr>
        <w:spacing w:after="120" w:line="240" w:lineRule="auto"/>
        <w:jc w:val="left"/>
        <w:outlineLvl w:val="1"/>
        <w:rPr>
          <w:rFonts w:eastAsia="Times New Roman" w:cs="Times New Roman"/>
          <w:b/>
          <w:bCs/>
          <w:szCs w:val="24"/>
        </w:rPr>
      </w:pPr>
      <w:r w:rsidRPr="00344FD1">
        <w:rPr>
          <w:rFonts w:eastAsia="Times New Roman" w:cs="Times New Roman"/>
          <w:b/>
          <w:bCs/>
          <w:szCs w:val="24"/>
        </w:rPr>
        <w:t>Reliability Analysis</w:t>
      </w:r>
    </w:p>
    <w:p w14:paraId="3CA506BC" w14:textId="5F7E7719" w:rsidR="00C852EB" w:rsidRPr="00344FD1" w:rsidRDefault="00C852EB" w:rsidP="00C852EB">
      <w:pPr>
        <w:spacing w:before="120" w:after="120"/>
        <w:rPr>
          <w:rFonts w:eastAsia="Times New Roman" w:cs="Times New Roman"/>
          <w:szCs w:val="24"/>
        </w:rPr>
      </w:pPr>
      <w:r w:rsidRPr="00344FD1">
        <w:rPr>
          <w:rFonts w:eastAsia="Times New Roman" w:cs="Times New Roman"/>
          <w:szCs w:val="24"/>
        </w:rPr>
        <w:t>A pilot test of 11 respondents, who made up 10% of the respondents, were drawn before the main research, and ignored after to gauge the reliability of the research instrument. Cronbach's Alpha Coefficient, with a threshold of 0.7 and above considered acceptable (Mugenda &amp; Mugenda, 2019) as in Table 2.</w:t>
      </w:r>
    </w:p>
    <w:p w14:paraId="22001D23" w14:textId="7993D353" w:rsidR="00C852EB" w:rsidRPr="00344FD1" w:rsidRDefault="00C852EB" w:rsidP="00C852EB">
      <w:bookmarkStart w:id="2" w:name="_Toc230361170"/>
      <w:r w:rsidRPr="00344FD1">
        <w:t>Table 2: Cronbach's Alpha Reliability Coefficients</w:t>
      </w:r>
      <w:bookmarkEnd w:id="2"/>
    </w:p>
    <w:tbl>
      <w:tblPr>
        <w:tblStyle w:val="PlainTable21"/>
        <w:tblW w:w="7200" w:type="dxa"/>
        <w:tblLook w:val="04A0" w:firstRow="1" w:lastRow="0" w:firstColumn="1" w:lastColumn="0" w:noHBand="0" w:noVBand="1"/>
      </w:tblPr>
      <w:tblGrid>
        <w:gridCol w:w="3600"/>
        <w:gridCol w:w="1800"/>
        <w:gridCol w:w="1800"/>
      </w:tblGrid>
      <w:tr w:rsidR="00C852EB" w:rsidRPr="00344FD1" w14:paraId="627C6DBB" w14:textId="77777777" w:rsidTr="00DB29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796A7C16" w14:textId="77777777" w:rsidR="00C852EB" w:rsidRPr="00344FD1" w:rsidRDefault="00C852EB" w:rsidP="00C852EB">
            <w:pPr>
              <w:spacing w:before="0" w:line="240" w:lineRule="auto"/>
              <w:jc w:val="left"/>
            </w:pPr>
            <w:r w:rsidRPr="00344FD1">
              <w:t>Variable</w:t>
            </w:r>
          </w:p>
        </w:tc>
        <w:tc>
          <w:tcPr>
            <w:tcW w:w="1800" w:type="dxa"/>
          </w:tcPr>
          <w:p w14:paraId="052756ED" w14:textId="77777777" w:rsidR="00C852EB" w:rsidRPr="00344FD1" w:rsidRDefault="00C852EB" w:rsidP="00C852EB">
            <w:pPr>
              <w:spacing w:before="0" w:line="240" w:lineRule="auto"/>
              <w:jc w:val="center"/>
              <w:cnfStyle w:val="100000000000" w:firstRow="1" w:lastRow="0" w:firstColumn="0" w:lastColumn="0" w:oddVBand="0" w:evenVBand="0" w:oddHBand="0" w:evenHBand="0" w:firstRowFirstColumn="0" w:firstRowLastColumn="0" w:lastRowFirstColumn="0" w:lastRowLastColumn="0"/>
            </w:pPr>
            <w:r w:rsidRPr="00344FD1">
              <w:t>No. of Items</w:t>
            </w:r>
          </w:p>
        </w:tc>
        <w:tc>
          <w:tcPr>
            <w:tcW w:w="1800" w:type="dxa"/>
          </w:tcPr>
          <w:p w14:paraId="513E6A2F" w14:textId="77777777" w:rsidR="00C852EB" w:rsidRPr="00344FD1" w:rsidRDefault="00C852EB" w:rsidP="00C852EB">
            <w:pPr>
              <w:spacing w:before="0" w:line="240" w:lineRule="auto"/>
              <w:jc w:val="center"/>
              <w:cnfStyle w:val="100000000000" w:firstRow="1" w:lastRow="0" w:firstColumn="0" w:lastColumn="0" w:oddVBand="0" w:evenVBand="0" w:oddHBand="0" w:evenHBand="0" w:firstRowFirstColumn="0" w:firstRowLastColumn="0" w:lastRowFirstColumn="0" w:lastRowLastColumn="0"/>
            </w:pPr>
            <w:r w:rsidRPr="00344FD1">
              <w:t>Cronbach's Alpha</w:t>
            </w:r>
          </w:p>
        </w:tc>
      </w:tr>
      <w:tr w:rsidR="00C852EB" w:rsidRPr="00344FD1" w14:paraId="32B90851" w14:textId="77777777" w:rsidTr="00DB2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A8A84E9" w14:textId="77777777" w:rsidR="00C852EB" w:rsidRPr="00344FD1" w:rsidRDefault="00C852EB" w:rsidP="00C852EB">
            <w:pPr>
              <w:spacing w:before="0" w:line="240" w:lineRule="auto"/>
              <w:jc w:val="left"/>
            </w:pPr>
            <w:r w:rsidRPr="00344FD1">
              <w:t>Strategic Planning</w:t>
            </w:r>
          </w:p>
        </w:tc>
        <w:tc>
          <w:tcPr>
            <w:tcW w:w="1800" w:type="dxa"/>
          </w:tcPr>
          <w:p w14:paraId="0F19C0A7"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8</w:t>
            </w:r>
          </w:p>
        </w:tc>
        <w:tc>
          <w:tcPr>
            <w:tcW w:w="1800" w:type="dxa"/>
          </w:tcPr>
          <w:p w14:paraId="6A00909F"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0.812</w:t>
            </w:r>
          </w:p>
        </w:tc>
      </w:tr>
      <w:tr w:rsidR="00C852EB" w:rsidRPr="00344FD1" w14:paraId="1B7C9D31" w14:textId="77777777" w:rsidTr="00DB295D">
        <w:tc>
          <w:tcPr>
            <w:cnfStyle w:val="001000000000" w:firstRow="0" w:lastRow="0" w:firstColumn="1" w:lastColumn="0" w:oddVBand="0" w:evenVBand="0" w:oddHBand="0" w:evenHBand="0" w:firstRowFirstColumn="0" w:firstRowLastColumn="0" w:lastRowFirstColumn="0" w:lastRowLastColumn="0"/>
            <w:tcW w:w="3600" w:type="dxa"/>
          </w:tcPr>
          <w:p w14:paraId="7F80DC1F" w14:textId="77777777" w:rsidR="00C852EB" w:rsidRPr="00344FD1" w:rsidRDefault="00C852EB" w:rsidP="00C852EB">
            <w:pPr>
              <w:spacing w:before="0" w:line="240" w:lineRule="auto"/>
              <w:jc w:val="left"/>
            </w:pPr>
            <w:r w:rsidRPr="00344FD1">
              <w:t>Strategic Leadership</w:t>
            </w:r>
          </w:p>
        </w:tc>
        <w:tc>
          <w:tcPr>
            <w:tcW w:w="1800" w:type="dxa"/>
          </w:tcPr>
          <w:p w14:paraId="0D898328"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9</w:t>
            </w:r>
          </w:p>
        </w:tc>
        <w:tc>
          <w:tcPr>
            <w:tcW w:w="1800" w:type="dxa"/>
          </w:tcPr>
          <w:p w14:paraId="6F794C9A"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0.834</w:t>
            </w:r>
          </w:p>
        </w:tc>
      </w:tr>
      <w:tr w:rsidR="00C852EB" w:rsidRPr="00344FD1" w14:paraId="5D632FC5" w14:textId="77777777" w:rsidTr="00DB2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16A73459" w14:textId="77777777" w:rsidR="00C852EB" w:rsidRPr="00344FD1" w:rsidRDefault="00C852EB" w:rsidP="00C852EB">
            <w:pPr>
              <w:spacing w:before="0" w:line="240" w:lineRule="auto"/>
              <w:jc w:val="left"/>
            </w:pPr>
            <w:r w:rsidRPr="00344FD1">
              <w:t>Resource Allocation</w:t>
            </w:r>
          </w:p>
        </w:tc>
        <w:tc>
          <w:tcPr>
            <w:tcW w:w="1800" w:type="dxa"/>
          </w:tcPr>
          <w:p w14:paraId="2790021D"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9</w:t>
            </w:r>
          </w:p>
        </w:tc>
        <w:tc>
          <w:tcPr>
            <w:tcW w:w="1800" w:type="dxa"/>
          </w:tcPr>
          <w:p w14:paraId="5AADECD3"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0.798</w:t>
            </w:r>
          </w:p>
        </w:tc>
      </w:tr>
      <w:tr w:rsidR="00C852EB" w:rsidRPr="00344FD1" w14:paraId="459BDB51" w14:textId="77777777" w:rsidTr="00DB295D">
        <w:tc>
          <w:tcPr>
            <w:cnfStyle w:val="001000000000" w:firstRow="0" w:lastRow="0" w:firstColumn="1" w:lastColumn="0" w:oddVBand="0" w:evenVBand="0" w:oddHBand="0" w:evenHBand="0" w:firstRowFirstColumn="0" w:firstRowLastColumn="0" w:lastRowFirstColumn="0" w:lastRowLastColumn="0"/>
            <w:tcW w:w="3600" w:type="dxa"/>
          </w:tcPr>
          <w:p w14:paraId="412C7F98" w14:textId="77777777" w:rsidR="00C852EB" w:rsidRPr="00344FD1" w:rsidRDefault="00C852EB" w:rsidP="00C852EB">
            <w:pPr>
              <w:spacing w:before="0" w:line="240" w:lineRule="auto"/>
              <w:jc w:val="left"/>
            </w:pPr>
            <w:r w:rsidRPr="00344FD1">
              <w:t>Positioning Strategies</w:t>
            </w:r>
          </w:p>
        </w:tc>
        <w:tc>
          <w:tcPr>
            <w:tcW w:w="1800" w:type="dxa"/>
          </w:tcPr>
          <w:p w14:paraId="6327BAB1"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9</w:t>
            </w:r>
          </w:p>
        </w:tc>
        <w:tc>
          <w:tcPr>
            <w:tcW w:w="1800" w:type="dxa"/>
          </w:tcPr>
          <w:p w14:paraId="0631F54A"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0.821</w:t>
            </w:r>
          </w:p>
        </w:tc>
      </w:tr>
      <w:tr w:rsidR="00C852EB" w:rsidRPr="00344FD1" w14:paraId="60AA8A67" w14:textId="77777777" w:rsidTr="00DB2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07399E8D" w14:textId="77777777" w:rsidR="00C852EB" w:rsidRPr="00344FD1" w:rsidRDefault="00C852EB" w:rsidP="00C852EB">
            <w:pPr>
              <w:spacing w:before="0" w:line="240" w:lineRule="auto"/>
              <w:jc w:val="left"/>
            </w:pPr>
            <w:r w:rsidRPr="00344FD1">
              <w:t>Competitiveness</w:t>
            </w:r>
          </w:p>
        </w:tc>
        <w:tc>
          <w:tcPr>
            <w:tcW w:w="1800" w:type="dxa"/>
          </w:tcPr>
          <w:p w14:paraId="48843ED2"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rPr>
                <w:b/>
              </w:rPr>
            </w:pPr>
            <w:r w:rsidRPr="00344FD1">
              <w:rPr>
                <w:b/>
              </w:rPr>
              <w:t>10</w:t>
            </w:r>
          </w:p>
        </w:tc>
        <w:tc>
          <w:tcPr>
            <w:tcW w:w="1800" w:type="dxa"/>
          </w:tcPr>
          <w:p w14:paraId="146ACF97"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rPr>
                <w:b/>
              </w:rPr>
            </w:pPr>
            <w:r w:rsidRPr="00344FD1">
              <w:rPr>
                <w:b/>
              </w:rPr>
              <w:t>0.846</w:t>
            </w:r>
          </w:p>
        </w:tc>
      </w:tr>
    </w:tbl>
    <w:p w14:paraId="098C7441" w14:textId="77777777" w:rsidR="00C852EB" w:rsidRPr="00344FD1" w:rsidRDefault="00C852EB" w:rsidP="00C852EB">
      <w:pPr>
        <w:spacing w:before="60" w:after="160" w:line="240" w:lineRule="auto"/>
        <w:jc w:val="left"/>
        <w:rPr>
          <w:rFonts w:eastAsia="Times New Roman" w:cs="Times New Roman"/>
          <w:szCs w:val="24"/>
        </w:rPr>
      </w:pPr>
      <w:r w:rsidRPr="00344FD1">
        <w:rPr>
          <w:rFonts w:eastAsia="Times New Roman" w:cs="Times New Roman"/>
          <w:i/>
          <w:iCs/>
          <w:szCs w:val="24"/>
        </w:rPr>
        <w:t>Source: Survey Data (2026)</w:t>
      </w:r>
    </w:p>
    <w:p w14:paraId="3B815D9C" w14:textId="7922ECB4" w:rsidR="00BF3783" w:rsidRPr="00344FD1" w:rsidRDefault="00BF3783" w:rsidP="00BF3783">
      <w:pPr>
        <w:spacing w:before="0" w:line="240" w:lineRule="auto"/>
      </w:pPr>
    </w:p>
    <w:p w14:paraId="25CCAC41" w14:textId="14C3F057" w:rsidR="00C852EB" w:rsidRPr="00344FD1" w:rsidRDefault="00C852EB" w:rsidP="0030195B">
      <w:pPr>
        <w:rPr>
          <w:b/>
        </w:rPr>
      </w:pPr>
      <w:r w:rsidRPr="00344FD1">
        <w:rPr>
          <w:b/>
        </w:rPr>
        <w:t>Correlation Analysis</w:t>
      </w:r>
    </w:p>
    <w:p w14:paraId="37F8FE8C" w14:textId="59637753" w:rsidR="00C852EB" w:rsidRPr="00344FD1" w:rsidRDefault="00C852EB" w:rsidP="00C852EB">
      <w:pPr>
        <w:pStyle w:val="NormalWeb"/>
      </w:pPr>
      <w:r w:rsidRPr="00344FD1">
        <w:t xml:space="preserve">Pearson correlation analysis was conducted to establish the strength and direction of relationships between strategic planning, strategic leadership, resource allocation, positioning strategies, and competitiveness. As shown in Table </w:t>
      </w:r>
      <w:r w:rsidR="0030195B" w:rsidRPr="00344FD1">
        <w:t>3</w:t>
      </w:r>
      <w:r w:rsidRPr="00344FD1">
        <w:t xml:space="preserve">, all four independent variables had strong, positive, and statistically significant relationships with competitiveness at the 0.01 level. Positioning strategies recorded the strongest correlation with competitiveness (r </w:t>
      </w:r>
      <w:r w:rsidRPr="00344FD1">
        <w:lastRenderedPageBreak/>
        <w:t xml:space="preserve">= 0.712), followed by strategic planning (r = 0.693), strategic leadership (r = 0.671), and resource allocation (r = 0.648). These findings demonstrate that the strategic management practices were closely associated with supermarket competitiveness. The results support </w:t>
      </w:r>
      <w:proofErr w:type="spellStart"/>
      <w:r w:rsidRPr="00344FD1">
        <w:t>Kanano</w:t>
      </w:r>
      <w:proofErr w:type="spellEnd"/>
      <w:r w:rsidRPr="00344FD1">
        <w:t xml:space="preserve"> and Wanjira (2021), who established significant associations between strategic management practices and supermarket performance in Kenya. The significant correlations among the predictors also support Maina and Njoroge (2022), who noted that strategic management practices in retail organizations are interrelated, with planning providing direction, leadership supporting implementation, resource allocation supplying operational capacity, and positioning converting these capabilities into market advantage.</w:t>
      </w:r>
    </w:p>
    <w:p w14:paraId="664A1EE4" w14:textId="578DE09F" w:rsidR="00C852EB" w:rsidRPr="00344FD1" w:rsidRDefault="00C852EB" w:rsidP="00C852EB">
      <w:pPr>
        <w:pStyle w:val="NormalWeb"/>
      </w:pPr>
      <w:r w:rsidRPr="00344FD1">
        <w:rPr>
          <w:rStyle w:val="Strong"/>
        </w:rPr>
        <w:t xml:space="preserve">Table </w:t>
      </w:r>
      <w:r w:rsidR="0030195B" w:rsidRPr="00344FD1">
        <w:rPr>
          <w:rStyle w:val="Strong"/>
        </w:rPr>
        <w:t>3</w:t>
      </w:r>
      <w:r w:rsidRPr="00344FD1">
        <w:rPr>
          <w:rStyle w:val="Strong"/>
        </w:rPr>
        <w:t>: Pearson Correlation Matrix</w:t>
      </w:r>
    </w:p>
    <w:tbl>
      <w:tblPr>
        <w:tblStyle w:val="TableGrid1"/>
        <w:tblW w:w="0" w:type="auto"/>
        <w:tblLook w:val="04A0" w:firstRow="1" w:lastRow="0" w:firstColumn="1" w:lastColumn="0" w:noHBand="0" w:noVBand="1"/>
      </w:tblPr>
      <w:tblGrid>
        <w:gridCol w:w="2316"/>
        <w:gridCol w:w="876"/>
        <w:gridCol w:w="876"/>
        <w:gridCol w:w="876"/>
        <w:gridCol w:w="876"/>
        <w:gridCol w:w="756"/>
      </w:tblGrid>
      <w:tr w:rsidR="00C852EB" w:rsidRPr="00344FD1" w14:paraId="0C2F6EC9" w14:textId="77777777" w:rsidTr="0030195B">
        <w:tc>
          <w:tcPr>
            <w:tcW w:w="0" w:type="auto"/>
            <w:hideMark/>
          </w:tcPr>
          <w:p w14:paraId="44900F75" w14:textId="77777777" w:rsidR="00C852EB" w:rsidRPr="00344FD1" w:rsidRDefault="00C852EB" w:rsidP="0030195B">
            <w:pPr>
              <w:spacing w:line="240" w:lineRule="auto"/>
              <w:jc w:val="center"/>
              <w:rPr>
                <w:b/>
                <w:bCs/>
              </w:rPr>
            </w:pPr>
            <w:r w:rsidRPr="00344FD1">
              <w:rPr>
                <w:b/>
                <w:bCs/>
              </w:rPr>
              <w:t>Variable</w:t>
            </w:r>
          </w:p>
        </w:tc>
        <w:tc>
          <w:tcPr>
            <w:tcW w:w="0" w:type="auto"/>
            <w:hideMark/>
          </w:tcPr>
          <w:p w14:paraId="65ADD44B" w14:textId="77777777" w:rsidR="00C852EB" w:rsidRPr="00344FD1" w:rsidRDefault="00C852EB" w:rsidP="0030195B">
            <w:pPr>
              <w:spacing w:line="240" w:lineRule="auto"/>
              <w:jc w:val="right"/>
              <w:rPr>
                <w:b/>
                <w:bCs/>
              </w:rPr>
            </w:pPr>
            <w:r w:rsidRPr="00344FD1">
              <w:rPr>
                <w:b/>
                <w:bCs/>
              </w:rPr>
              <w:t>1</w:t>
            </w:r>
          </w:p>
        </w:tc>
        <w:tc>
          <w:tcPr>
            <w:tcW w:w="0" w:type="auto"/>
            <w:hideMark/>
          </w:tcPr>
          <w:p w14:paraId="58B62473" w14:textId="77777777" w:rsidR="00C852EB" w:rsidRPr="00344FD1" w:rsidRDefault="00C852EB" w:rsidP="0030195B">
            <w:pPr>
              <w:spacing w:line="240" w:lineRule="auto"/>
              <w:jc w:val="right"/>
              <w:rPr>
                <w:b/>
                <w:bCs/>
              </w:rPr>
            </w:pPr>
            <w:r w:rsidRPr="00344FD1">
              <w:rPr>
                <w:b/>
                <w:bCs/>
              </w:rPr>
              <w:t>2</w:t>
            </w:r>
          </w:p>
        </w:tc>
        <w:tc>
          <w:tcPr>
            <w:tcW w:w="0" w:type="auto"/>
            <w:hideMark/>
          </w:tcPr>
          <w:p w14:paraId="5EA13C7F" w14:textId="77777777" w:rsidR="00C852EB" w:rsidRPr="00344FD1" w:rsidRDefault="00C852EB" w:rsidP="0030195B">
            <w:pPr>
              <w:spacing w:line="240" w:lineRule="auto"/>
              <w:jc w:val="right"/>
              <w:rPr>
                <w:b/>
                <w:bCs/>
              </w:rPr>
            </w:pPr>
            <w:r w:rsidRPr="00344FD1">
              <w:rPr>
                <w:b/>
                <w:bCs/>
              </w:rPr>
              <w:t>3</w:t>
            </w:r>
          </w:p>
        </w:tc>
        <w:tc>
          <w:tcPr>
            <w:tcW w:w="0" w:type="auto"/>
            <w:hideMark/>
          </w:tcPr>
          <w:p w14:paraId="6A9AC37A" w14:textId="77777777" w:rsidR="00C852EB" w:rsidRPr="00344FD1" w:rsidRDefault="00C852EB" w:rsidP="0030195B">
            <w:pPr>
              <w:spacing w:line="240" w:lineRule="auto"/>
              <w:jc w:val="right"/>
              <w:rPr>
                <w:b/>
                <w:bCs/>
              </w:rPr>
            </w:pPr>
            <w:r w:rsidRPr="00344FD1">
              <w:rPr>
                <w:b/>
                <w:bCs/>
              </w:rPr>
              <w:t>4</w:t>
            </w:r>
          </w:p>
        </w:tc>
        <w:tc>
          <w:tcPr>
            <w:tcW w:w="0" w:type="auto"/>
            <w:hideMark/>
          </w:tcPr>
          <w:p w14:paraId="4E4A1C60" w14:textId="77777777" w:rsidR="00C852EB" w:rsidRPr="00344FD1" w:rsidRDefault="00C852EB" w:rsidP="0030195B">
            <w:pPr>
              <w:spacing w:line="240" w:lineRule="auto"/>
              <w:jc w:val="right"/>
              <w:rPr>
                <w:b/>
                <w:bCs/>
              </w:rPr>
            </w:pPr>
            <w:r w:rsidRPr="00344FD1">
              <w:rPr>
                <w:b/>
                <w:bCs/>
              </w:rPr>
              <w:t>5</w:t>
            </w:r>
          </w:p>
        </w:tc>
      </w:tr>
      <w:tr w:rsidR="00C852EB" w:rsidRPr="00344FD1" w14:paraId="68E64464" w14:textId="77777777" w:rsidTr="0030195B">
        <w:tc>
          <w:tcPr>
            <w:tcW w:w="0" w:type="auto"/>
            <w:hideMark/>
          </w:tcPr>
          <w:p w14:paraId="12B9DBAE" w14:textId="77777777" w:rsidR="00C852EB" w:rsidRPr="00344FD1" w:rsidRDefault="00C852EB" w:rsidP="0030195B">
            <w:pPr>
              <w:spacing w:line="240" w:lineRule="auto"/>
              <w:jc w:val="left"/>
            </w:pPr>
            <w:r w:rsidRPr="00344FD1">
              <w:t>Strategic Planning</w:t>
            </w:r>
          </w:p>
        </w:tc>
        <w:tc>
          <w:tcPr>
            <w:tcW w:w="0" w:type="auto"/>
            <w:hideMark/>
          </w:tcPr>
          <w:p w14:paraId="7F2D60B3" w14:textId="77777777" w:rsidR="00C852EB" w:rsidRPr="00344FD1" w:rsidRDefault="00C852EB" w:rsidP="0030195B">
            <w:pPr>
              <w:spacing w:line="240" w:lineRule="auto"/>
              <w:jc w:val="right"/>
            </w:pPr>
            <w:r w:rsidRPr="00344FD1">
              <w:t>1.000</w:t>
            </w:r>
          </w:p>
        </w:tc>
        <w:tc>
          <w:tcPr>
            <w:tcW w:w="0" w:type="auto"/>
            <w:hideMark/>
          </w:tcPr>
          <w:p w14:paraId="0AE39F9A" w14:textId="77777777" w:rsidR="00C852EB" w:rsidRPr="00344FD1" w:rsidRDefault="00C852EB" w:rsidP="0030195B">
            <w:pPr>
              <w:spacing w:line="240" w:lineRule="auto"/>
              <w:jc w:val="right"/>
            </w:pPr>
          </w:p>
        </w:tc>
        <w:tc>
          <w:tcPr>
            <w:tcW w:w="0" w:type="auto"/>
            <w:hideMark/>
          </w:tcPr>
          <w:p w14:paraId="596E9210" w14:textId="77777777" w:rsidR="00C852EB" w:rsidRPr="00344FD1" w:rsidRDefault="00C852EB" w:rsidP="0030195B">
            <w:pPr>
              <w:spacing w:line="240" w:lineRule="auto"/>
              <w:jc w:val="right"/>
              <w:rPr>
                <w:sz w:val="20"/>
              </w:rPr>
            </w:pPr>
          </w:p>
        </w:tc>
        <w:tc>
          <w:tcPr>
            <w:tcW w:w="0" w:type="auto"/>
            <w:hideMark/>
          </w:tcPr>
          <w:p w14:paraId="01E655B8" w14:textId="77777777" w:rsidR="00C852EB" w:rsidRPr="00344FD1" w:rsidRDefault="00C852EB" w:rsidP="0030195B">
            <w:pPr>
              <w:spacing w:line="240" w:lineRule="auto"/>
              <w:jc w:val="right"/>
              <w:rPr>
                <w:sz w:val="20"/>
              </w:rPr>
            </w:pPr>
          </w:p>
        </w:tc>
        <w:tc>
          <w:tcPr>
            <w:tcW w:w="0" w:type="auto"/>
            <w:hideMark/>
          </w:tcPr>
          <w:p w14:paraId="7C732884" w14:textId="77777777" w:rsidR="00C852EB" w:rsidRPr="00344FD1" w:rsidRDefault="00C852EB" w:rsidP="0030195B">
            <w:pPr>
              <w:spacing w:line="240" w:lineRule="auto"/>
              <w:jc w:val="right"/>
              <w:rPr>
                <w:sz w:val="20"/>
              </w:rPr>
            </w:pPr>
          </w:p>
        </w:tc>
      </w:tr>
      <w:tr w:rsidR="00C852EB" w:rsidRPr="00344FD1" w14:paraId="0FEB3B56" w14:textId="77777777" w:rsidTr="0030195B">
        <w:tc>
          <w:tcPr>
            <w:tcW w:w="0" w:type="auto"/>
            <w:hideMark/>
          </w:tcPr>
          <w:p w14:paraId="64DAAB95" w14:textId="77777777" w:rsidR="00C852EB" w:rsidRPr="00344FD1" w:rsidRDefault="00C852EB" w:rsidP="0030195B">
            <w:pPr>
              <w:spacing w:line="240" w:lineRule="auto"/>
              <w:jc w:val="left"/>
              <w:rPr>
                <w:szCs w:val="24"/>
              </w:rPr>
            </w:pPr>
            <w:r w:rsidRPr="00344FD1">
              <w:t>Strategic Leadership</w:t>
            </w:r>
          </w:p>
        </w:tc>
        <w:tc>
          <w:tcPr>
            <w:tcW w:w="0" w:type="auto"/>
            <w:hideMark/>
          </w:tcPr>
          <w:p w14:paraId="33F56B9D" w14:textId="77777777" w:rsidR="00C852EB" w:rsidRPr="00344FD1" w:rsidRDefault="00C852EB" w:rsidP="0030195B">
            <w:pPr>
              <w:spacing w:line="240" w:lineRule="auto"/>
              <w:jc w:val="right"/>
            </w:pPr>
            <w:r w:rsidRPr="00344FD1">
              <w:t>.614**</w:t>
            </w:r>
          </w:p>
        </w:tc>
        <w:tc>
          <w:tcPr>
            <w:tcW w:w="0" w:type="auto"/>
            <w:hideMark/>
          </w:tcPr>
          <w:p w14:paraId="692E42DE" w14:textId="77777777" w:rsidR="00C852EB" w:rsidRPr="00344FD1" w:rsidRDefault="00C852EB" w:rsidP="0030195B">
            <w:pPr>
              <w:spacing w:line="240" w:lineRule="auto"/>
              <w:jc w:val="right"/>
            </w:pPr>
            <w:r w:rsidRPr="00344FD1">
              <w:t>1.000</w:t>
            </w:r>
          </w:p>
        </w:tc>
        <w:tc>
          <w:tcPr>
            <w:tcW w:w="0" w:type="auto"/>
            <w:hideMark/>
          </w:tcPr>
          <w:p w14:paraId="2EC840E0" w14:textId="77777777" w:rsidR="00C852EB" w:rsidRPr="00344FD1" w:rsidRDefault="00C852EB" w:rsidP="0030195B">
            <w:pPr>
              <w:spacing w:line="240" w:lineRule="auto"/>
              <w:jc w:val="right"/>
            </w:pPr>
          </w:p>
        </w:tc>
        <w:tc>
          <w:tcPr>
            <w:tcW w:w="0" w:type="auto"/>
            <w:hideMark/>
          </w:tcPr>
          <w:p w14:paraId="536D9F60" w14:textId="77777777" w:rsidR="00C852EB" w:rsidRPr="00344FD1" w:rsidRDefault="00C852EB" w:rsidP="0030195B">
            <w:pPr>
              <w:spacing w:line="240" w:lineRule="auto"/>
              <w:jc w:val="right"/>
              <w:rPr>
                <w:sz w:val="20"/>
              </w:rPr>
            </w:pPr>
          </w:p>
        </w:tc>
        <w:tc>
          <w:tcPr>
            <w:tcW w:w="0" w:type="auto"/>
            <w:hideMark/>
          </w:tcPr>
          <w:p w14:paraId="2F880316" w14:textId="77777777" w:rsidR="00C852EB" w:rsidRPr="00344FD1" w:rsidRDefault="00C852EB" w:rsidP="0030195B">
            <w:pPr>
              <w:spacing w:line="240" w:lineRule="auto"/>
              <w:jc w:val="right"/>
              <w:rPr>
                <w:sz w:val="20"/>
              </w:rPr>
            </w:pPr>
          </w:p>
        </w:tc>
      </w:tr>
      <w:tr w:rsidR="00C852EB" w:rsidRPr="00344FD1" w14:paraId="6A48636A" w14:textId="77777777" w:rsidTr="0030195B">
        <w:tc>
          <w:tcPr>
            <w:tcW w:w="0" w:type="auto"/>
            <w:hideMark/>
          </w:tcPr>
          <w:p w14:paraId="4E500BA3" w14:textId="77777777" w:rsidR="00C852EB" w:rsidRPr="00344FD1" w:rsidRDefault="00C852EB" w:rsidP="0030195B">
            <w:pPr>
              <w:spacing w:line="240" w:lineRule="auto"/>
              <w:jc w:val="left"/>
              <w:rPr>
                <w:szCs w:val="24"/>
              </w:rPr>
            </w:pPr>
            <w:r w:rsidRPr="00344FD1">
              <w:t>Resource Allocation</w:t>
            </w:r>
          </w:p>
        </w:tc>
        <w:tc>
          <w:tcPr>
            <w:tcW w:w="0" w:type="auto"/>
            <w:hideMark/>
          </w:tcPr>
          <w:p w14:paraId="6FDB4B4C" w14:textId="77777777" w:rsidR="00C852EB" w:rsidRPr="00344FD1" w:rsidRDefault="00C852EB" w:rsidP="0030195B">
            <w:pPr>
              <w:spacing w:line="240" w:lineRule="auto"/>
              <w:jc w:val="right"/>
            </w:pPr>
            <w:r w:rsidRPr="00344FD1">
              <w:t>.589**</w:t>
            </w:r>
          </w:p>
        </w:tc>
        <w:tc>
          <w:tcPr>
            <w:tcW w:w="0" w:type="auto"/>
            <w:hideMark/>
          </w:tcPr>
          <w:p w14:paraId="4AE48FB4" w14:textId="77777777" w:rsidR="00C852EB" w:rsidRPr="00344FD1" w:rsidRDefault="00C852EB" w:rsidP="0030195B">
            <w:pPr>
              <w:spacing w:line="240" w:lineRule="auto"/>
              <w:jc w:val="right"/>
            </w:pPr>
            <w:r w:rsidRPr="00344FD1">
              <w:t>.571**</w:t>
            </w:r>
          </w:p>
        </w:tc>
        <w:tc>
          <w:tcPr>
            <w:tcW w:w="0" w:type="auto"/>
            <w:hideMark/>
          </w:tcPr>
          <w:p w14:paraId="3D69D837" w14:textId="77777777" w:rsidR="00C852EB" w:rsidRPr="00344FD1" w:rsidRDefault="00C852EB" w:rsidP="0030195B">
            <w:pPr>
              <w:spacing w:line="240" w:lineRule="auto"/>
              <w:jc w:val="right"/>
            </w:pPr>
            <w:r w:rsidRPr="00344FD1">
              <w:t>1.000</w:t>
            </w:r>
          </w:p>
        </w:tc>
        <w:tc>
          <w:tcPr>
            <w:tcW w:w="0" w:type="auto"/>
            <w:hideMark/>
          </w:tcPr>
          <w:p w14:paraId="20987812" w14:textId="77777777" w:rsidR="00C852EB" w:rsidRPr="00344FD1" w:rsidRDefault="00C852EB" w:rsidP="0030195B">
            <w:pPr>
              <w:spacing w:line="240" w:lineRule="auto"/>
              <w:jc w:val="right"/>
            </w:pPr>
          </w:p>
        </w:tc>
        <w:tc>
          <w:tcPr>
            <w:tcW w:w="0" w:type="auto"/>
            <w:hideMark/>
          </w:tcPr>
          <w:p w14:paraId="144305F6" w14:textId="77777777" w:rsidR="00C852EB" w:rsidRPr="00344FD1" w:rsidRDefault="00C852EB" w:rsidP="0030195B">
            <w:pPr>
              <w:spacing w:line="240" w:lineRule="auto"/>
              <w:jc w:val="right"/>
              <w:rPr>
                <w:sz w:val="20"/>
              </w:rPr>
            </w:pPr>
          </w:p>
        </w:tc>
      </w:tr>
      <w:tr w:rsidR="00C852EB" w:rsidRPr="00344FD1" w14:paraId="2710F19F" w14:textId="77777777" w:rsidTr="0030195B">
        <w:tc>
          <w:tcPr>
            <w:tcW w:w="0" w:type="auto"/>
            <w:hideMark/>
          </w:tcPr>
          <w:p w14:paraId="761ACA6C" w14:textId="77777777" w:rsidR="00C852EB" w:rsidRPr="00344FD1" w:rsidRDefault="00C852EB" w:rsidP="0030195B">
            <w:pPr>
              <w:spacing w:line="240" w:lineRule="auto"/>
              <w:jc w:val="left"/>
              <w:rPr>
                <w:szCs w:val="24"/>
              </w:rPr>
            </w:pPr>
            <w:r w:rsidRPr="00344FD1">
              <w:t>Positioning Strategies</w:t>
            </w:r>
          </w:p>
        </w:tc>
        <w:tc>
          <w:tcPr>
            <w:tcW w:w="0" w:type="auto"/>
            <w:hideMark/>
          </w:tcPr>
          <w:p w14:paraId="7CD4872B" w14:textId="77777777" w:rsidR="00C852EB" w:rsidRPr="00344FD1" w:rsidRDefault="00C852EB" w:rsidP="0030195B">
            <w:pPr>
              <w:spacing w:line="240" w:lineRule="auto"/>
              <w:jc w:val="right"/>
            </w:pPr>
            <w:r w:rsidRPr="00344FD1">
              <w:t>.627**</w:t>
            </w:r>
          </w:p>
        </w:tc>
        <w:tc>
          <w:tcPr>
            <w:tcW w:w="0" w:type="auto"/>
            <w:hideMark/>
          </w:tcPr>
          <w:p w14:paraId="0052793B" w14:textId="77777777" w:rsidR="00C852EB" w:rsidRPr="00344FD1" w:rsidRDefault="00C852EB" w:rsidP="0030195B">
            <w:pPr>
              <w:spacing w:line="240" w:lineRule="auto"/>
              <w:jc w:val="right"/>
            </w:pPr>
            <w:r w:rsidRPr="00344FD1">
              <w:t>.598**</w:t>
            </w:r>
          </w:p>
        </w:tc>
        <w:tc>
          <w:tcPr>
            <w:tcW w:w="0" w:type="auto"/>
            <w:hideMark/>
          </w:tcPr>
          <w:p w14:paraId="7701829B" w14:textId="77777777" w:rsidR="00C852EB" w:rsidRPr="00344FD1" w:rsidRDefault="00C852EB" w:rsidP="0030195B">
            <w:pPr>
              <w:spacing w:line="240" w:lineRule="auto"/>
              <w:jc w:val="right"/>
            </w:pPr>
            <w:r w:rsidRPr="00344FD1">
              <w:t>.541**</w:t>
            </w:r>
          </w:p>
        </w:tc>
        <w:tc>
          <w:tcPr>
            <w:tcW w:w="0" w:type="auto"/>
            <w:hideMark/>
          </w:tcPr>
          <w:p w14:paraId="0FFC5AAA" w14:textId="77777777" w:rsidR="00C852EB" w:rsidRPr="00344FD1" w:rsidRDefault="00C852EB" w:rsidP="0030195B">
            <w:pPr>
              <w:spacing w:line="240" w:lineRule="auto"/>
              <w:jc w:val="right"/>
            </w:pPr>
            <w:r w:rsidRPr="00344FD1">
              <w:t>1.000</w:t>
            </w:r>
          </w:p>
        </w:tc>
        <w:tc>
          <w:tcPr>
            <w:tcW w:w="0" w:type="auto"/>
            <w:hideMark/>
          </w:tcPr>
          <w:p w14:paraId="5F2EF244" w14:textId="77777777" w:rsidR="00C852EB" w:rsidRPr="00344FD1" w:rsidRDefault="00C852EB" w:rsidP="0030195B">
            <w:pPr>
              <w:spacing w:line="240" w:lineRule="auto"/>
              <w:jc w:val="right"/>
            </w:pPr>
          </w:p>
        </w:tc>
      </w:tr>
      <w:tr w:rsidR="00C852EB" w:rsidRPr="00344FD1" w14:paraId="62E7C9F5" w14:textId="77777777" w:rsidTr="0030195B">
        <w:tc>
          <w:tcPr>
            <w:tcW w:w="0" w:type="auto"/>
            <w:hideMark/>
          </w:tcPr>
          <w:p w14:paraId="50122F36" w14:textId="77777777" w:rsidR="00C852EB" w:rsidRPr="00344FD1" w:rsidRDefault="00C852EB" w:rsidP="0030195B">
            <w:pPr>
              <w:spacing w:line="240" w:lineRule="auto"/>
              <w:jc w:val="left"/>
              <w:rPr>
                <w:szCs w:val="24"/>
              </w:rPr>
            </w:pPr>
            <w:r w:rsidRPr="00344FD1">
              <w:t>Competitiveness</w:t>
            </w:r>
          </w:p>
        </w:tc>
        <w:tc>
          <w:tcPr>
            <w:tcW w:w="0" w:type="auto"/>
            <w:hideMark/>
          </w:tcPr>
          <w:p w14:paraId="64AA0B46" w14:textId="77777777" w:rsidR="00C852EB" w:rsidRPr="00344FD1" w:rsidRDefault="00C852EB" w:rsidP="0030195B">
            <w:pPr>
              <w:spacing w:line="240" w:lineRule="auto"/>
              <w:jc w:val="right"/>
            </w:pPr>
            <w:r w:rsidRPr="00344FD1">
              <w:t>.693**</w:t>
            </w:r>
          </w:p>
        </w:tc>
        <w:tc>
          <w:tcPr>
            <w:tcW w:w="0" w:type="auto"/>
            <w:hideMark/>
          </w:tcPr>
          <w:p w14:paraId="6A7F6268" w14:textId="77777777" w:rsidR="00C852EB" w:rsidRPr="00344FD1" w:rsidRDefault="00C852EB" w:rsidP="0030195B">
            <w:pPr>
              <w:spacing w:line="240" w:lineRule="auto"/>
              <w:jc w:val="right"/>
            </w:pPr>
            <w:r w:rsidRPr="00344FD1">
              <w:t>.671**</w:t>
            </w:r>
          </w:p>
        </w:tc>
        <w:tc>
          <w:tcPr>
            <w:tcW w:w="0" w:type="auto"/>
            <w:hideMark/>
          </w:tcPr>
          <w:p w14:paraId="33EF11CA" w14:textId="77777777" w:rsidR="00C852EB" w:rsidRPr="00344FD1" w:rsidRDefault="00C852EB" w:rsidP="0030195B">
            <w:pPr>
              <w:spacing w:line="240" w:lineRule="auto"/>
              <w:jc w:val="right"/>
            </w:pPr>
            <w:r w:rsidRPr="00344FD1">
              <w:t>.648**</w:t>
            </w:r>
          </w:p>
        </w:tc>
        <w:tc>
          <w:tcPr>
            <w:tcW w:w="0" w:type="auto"/>
            <w:hideMark/>
          </w:tcPr>
          <w:p w14:paraId="758A3C56" w14:textId="77777777" w:rsidR="00C852EB" w:rsidRPr="00344FD1" w:rsidRDefault="00C852EB" w:rsidP="0030195B">
            <w:pPr>
              <w:spacing w:line="240" w:lineRule="auto"/>
              <w:jc w:val="right"/>
            </w:pPr>
            <w:r w:rsidRPr="00344FD1">
              <w:t>.712**</w:t>
            </w:r>
          </w:p>
        </w:tc>
        <w:tc>
          <w:tcPr>
            <w:tcW w:w="0" w:type="auto"/>
            <w:hideMark/>
          </w:tcPr>
          <w:p w14:paraId="533993CC" w14:textId="77777777" w:rsidR="00C852EB" w:rsidRPr="00344FD1" w:rsidRDefault="00C852EB" w:rsidP="0030195B">
            <w:pPr>
              <w:spacing w:line="240" w:lineRule="auto"/>
              <w:jc w:val="right"/>
            </w:pPr>
            <w:r w:rsidRPr="00344FD1">
              <w:t>1.000</w:t>
            </w:r>
          </w:p>
        </w:tc>
      </w:tr>
    </w:tbl>
    <w:p w14:paraId="713B9577" w14:textId="77777777" w:rsidR="00C852EB" w:rsidRPr="00344FD1" w:rsidRDefault="00C852EB" w:rsidP="00C852EB">
      <w:pPr>
        <w:pStyle w:val="NormalWeb"/>
      </w:pPr>
      <w:r w:rsidRPr="00344FD1">
        <w:rPr>
          <w:rStyle w:val="Strong"/>
        </w:rPr>
        <w:t>Note:</w:t>
      </w:r>
      <w:r w:rsidRPr="00344FD1">
        <w:t xml:space="preserve"> ** Correlation is significant at the 0.01 level (2-tailed).</w:t>
      </w:r>
      <w:r w:rsidRPr="00344FD1">
        <w:br/>
      </w:r>
      <w:r w:rsidRPr="00344FD1">
        <w:rPr>
          <w:rStyle w:val="Strong"/>
        </w:rPr>
        <w:t>Source:</w:t>
      </w:r>
      <w:r w:rsidRPr="00344FD1">
        <w:t xml:space="preserve"> Survey Data (2026)</w:t>
      </w:r>
    </w:p>
    <w:p w14:paraId="15E1F1CA" w14:textId="18E59AAF" w:rsidR="00C852EB" w:rsidRPr="00344FD1" w:rsidRDefault="00C852EB" w:rsidP="0030195B">
      <w:pPr>
        <w:rPr>
          <w:b/>
        </w:rPr>
      </w:pPr>
      <w:r w:rsidRPr="00344FD1">
        <w:rPr>
          <w:b/>
        </w:rPr>
        <w:t>Regression Analysis</w:t>
      </w:r>
    </w:p>
    <w:p w14:paraId="18059A18" w14:textId="511BFFEC" w:rsidR="00C852EB" w:rsidRPr="00344FD1" w:rsidRDefault="00C852EB" w:rsidP="00C852EB">
      <w:pPr>
        <w:pStyle w:val="NormalWeb"/>
      </w:pPr>
      <w:r w:rsidRPr="00344FD1">
        <w:t>Multiple linear regression was subsequently conducted to determine the collective and individual effects of the predictors on competitiveness. The model specified competitiveness as a function of strategic planning, strategic leadership, resource allocation, and positioning strategies. Table 4 indicates an R value of 0.841, demonstrating a strong multiple correlation. The R-squared value of 0.707 shows that the four predictors jointly explained 70.7% of the variance in competitiveness, while the adjusted R-squared of 0.694 confirmed substantial explanatory power after accounting for the number of predictors.</w:t>
      </w:r>
    </w:p>
    <w:p w14:paraId="29F537AD" w14:textId="743B408D" w:rsidR="00C852EB" w:rsidRPr="00344FD1" w:rsidRDefault="00C852EB" w:rsidP="00C852EB">
      <w:pPr>
        <w:pStyle w:val="NormalWeb"/>
      </w:pPr>
      <w:r w:rsidRPr="00344FD1">
        <w:rPr>
          <w:rStyle w:val="Strong"/>
        </w:rPr>
        <w:t>Table 4: Model Summary</w:t>
      </w:r>
    </w:p>
    <w:tbl>
      <w:tblPr>
        <w:tblStyle w:val="TableGrid1"/>
        <w:tblW w:w="0" w:type="auto"/>
        <w:tblLook w:val="04A0" w:firstRow="1" w:lastRow="0" w:firstColumn="1" w:lastColumn="0" w:noHBand="0" w:noVBand="1"/>
      </w:tblPr>
      <w:tblGrid>
        <w:gridCol w:w="636"/>
        <w:gridCol w:w="1183"/>
        <w:gridCol w:w="2177"/>
        <w:gridCol w:w="2509"/>
      </w:tblGrid>
      <w:tr w:rsidR="00C852EB" w:rsidRPr="00344FD1" w14:paraId="2C4E846F" w14:textId="77777777" w:rsidTr="0030195B">
        <w:tc>
          <w:tcPr>
            <w:tcW w:w="0" w:type="auto"/>
            <w:hideMark/>
          </w:tcPr>
          <w:p w14:paraId="3F65C116" w14:textId="77777777" w:rsidR="00C852EB" w:rsidRPr="00344FD1" w:rsidRDefault="00C852EB">
            <w:pPr>
              <w:jc w:val="right"/>
              <w:rPr>
                <w:b/>
                <w:bCs/>
              </w:rPr>
            </w:pPr>
            <w:r w:rsidRPr="00344FD1">
              <w:rPr>
                <w:b/>
                <w:bCs/>
              </w:rPr>
              <w:t>R</w:t>
            </w:r>
          </w:p>
        </w:tc>
        <w:tc>
          <w:tcPr>
            <w:tcW w:w="0" w:type="auto"/>
            <w:hideMark/>
          </w:tcPr>
          <w:p w14:paraId="3DAD4FA5" w14:textId="77777777" w:rsidR="00C852EB" w:rsidRPr="00344FD1" w:rsidRDefault="00C852EB">
            <w:pPr>
              <w:jc w:val="right"/>
              <w:rPr>
                <w:b/>
                <w:bCs/>
              </w:rPr>
            </w:pPr>
            <w:r w:rsidRPr="00344FD1">
              <w:rPr>
                <w:b/>
                <w:bCs/>
              </w:rPr>
              <w:t>R Square</w:t>
            </w:r>
          </w:p>
        </w:tc>
        <w:tc>
          <w:tcPr>
            <w:tcW w:w="0" w:type="auto"/>
            <w:hideMark/>
          </w:tcPr>
          <w:p w14:paraId="3CD540F0" w14:textId="77777777" w:rsidR="00C852EB" w:rsidRPr="00344FD1" w:rsidRDefault="00C852EB">
            <w:pPr>
              <w:jc w:val="right"/>
              <w:rPr>
                <w:b/>
                <w:bCs/>
              </w:rPr>
            </w:pPr>
            <w:r w:rsidRPr="00344FD1">
              <w:rPr>
                <w:b/>
                <w:bCs/>
              </w:rPr>
              <w:t>Adjusted R Square</w:t>
            </w:r>
          </w:p>
        </w:tc>
        <w:tc>
          <w:tcPr>
            <w:tcW w:w="0" w:type="auto"/>
            <w:hideMark/>
          </w:tcPr>
          <w:p w14:paraId="5C29026A" w14:textId="77777777" w:rsidR="00C852EB" w:rsidRPr="00344FD1" w:rsidRDefault="00C852EB">
            <w:pPr>
              <w:jc w:val="right"/>
              <w:rPr>
                <w:b/>
                <w:bCs/>
              </w:rPr>
            </w:pPr>
            <w:r w:rsidRPr="00344FD1">
              <w:rPr>
                <w:b/>
                <w:bCs/>
              </w:rPr>
              <w:t>Std. Error of Estimate</w:t>
            </w:r>
          </w:p>
        </w:tc>
      </w:tr>
      <w:tr w:rsidR="00C852EB" w:rsidRPr="00344FD1" w14:paraId="358003D0" w14:textId="77777777" w:rsidTr="0030195B">
        <w:tc>
          <w:tcPr>
            <w:tcW w:w="0" w:type="auto"/>
            <w:hideMark/>
          </w:tcPr>
          <w:p w14:paraId="5B3B6DB0" w14:textId="77777777" w:rsidR="00C852EB" w:rsidRPr="00344FD1" w:rsidRDefault="00C852EB">
            <w:pPr>
              <w:jc w:val="right"/>
            </w:pPr>
            <w:r w:rsidRPr="00344FD1">
              <w:t>.841</w:t>
            </w:r>
          </w:p>
        </w:tc>
        <w:tc>
          <w:tcPr>
            <w:tcW w:w="0" w:type="auto"/>
            <w:hideMark/>
          </w:tcPr>
          <w:p w14:paraId="11EBF133" w14:textId="77777777" w:rsidR="00C852EB" w:rsidRPr="00344FD1" w:rsidRDefault="00C852EB">
            <w:pPr>
              <w:jc w:val="right"/>
            </w:pPr>
            <w:r w:rsidRPr="00344FD1">
              <w:t>.707</w:t>
            </w:r>
          </w:p>
        </w:tc>
        <w:tc>
          <w:tcPr>
            <w:tcW w:w="0" w:type="auto"/>
            <w:hideMark/>
          </w:tcPr>
          <w:p w14:paraId="2390F976" w14:textId="77777777" w:rsidR="00C852EB" w:rsidRPr="00344FD1" w:rsidRDefault="00C852EB">
            <w:pPr>
              <w:jc w:val="right"/>
            </w:pPr>
            <w:r w:rsidRPr="00344FD1">
              <w:t>.694</w:t>
            </w:r>
          </w:p>
        </w:tc>
        <w:tc>
          <w:tcPr>
            <w:tcW w:w="0" w:type="auto"/>
            <w:hideMark/>
          </w:tcPr>
          <w:p w14:paraId="0BBEE5BC" w14:textId="77777777" w:rsidR="00C852EB" w:rsidRPr="00344FD1" w:rsidRDefault="00C852EB">
            <w:pPr>
              <w:jc w:val="right"/>
            </w:pPr>
            <w:r w:rsidRPr="00344FD1">
              <w:t>.31242</w:t>
            </w:r>
          </w:p>
        </w:tc>
      </w:tr>
    </w:tbl>
    <w:p w14:paraId="0B1F03FA" w14:textId="77777777" w:rsidR="00C852EB" w:rsidRPr="00344FD1" w:rsidRDefault="00C852EB" w:rsidP="00C852EB">
      <w:pPr>
        <w:pStyle w:val="NormalWeb"/>
      </w:pPr>
      <w:r w:rsidRPr="00344FD1">
        <w:rPr>
          <w:rStyle w:val="Strong"/>
        </w:rPr>
        <w:t>Source:</w:t>
      </w:r>
      <w:r w:rsidRPr="00344FD1">
        <w:t xml:space="preserve"> Survey Data (2026)</w:t>
      </w:r>
    </w:p>
    <w:p w14:paraId="3FE85740" w14:textId="1D3C07B6" w:rsidR="00C852EB" w:rsidRPr="00344FD1" w:rsidRDefault="00C852EB" w:rsidP="00C852EB">
      <w:pPr>
        <w:pStyle w:val="NormalWeb"/>
      </w:pPr>
      <w:r w:rsidRPr="00344FD1">
        <w:lastRenderedPageBreak/>
        <w:t xml:space="preserve">The ANOVA results in Table </w:t>
      </w:r>
      <w:r w:rsidR="0030195B" w:rsidRPr="00344FD1">
        <w:t>5</w:t>
      </w:r>
      <w:r w:rsidRPr="00344FD1">
        <w:t xml:space="preserve"> show that the regression model was statistically significant, </w:t>
      </w:r>
      <w:proofErr w:type="gramStart"/>
      <w:r w:rsidRPr="00344FD1">
        <w:t>F(</w:t>
      </w:r>
      <w:proofErr w:type="gramEnd"/>
      <w:r w:rsidRPr="00344FD1">
        <w:t>4,95) = 56.012, p &lt; 0.001. Thus, the predictors jointly explained significant variation in supermarket competitiveness, confirming the suitability of the model for statistical inference.</w:t>
      </w:r>
    </w:p>
    <w:p w14:paraId="4F680C63" w14:textId="56B90474" w:rsidR="00C852EB" w:rsidRPr="00344FD1" w:rsidRDefault="00C852EB" w:rsidP="00C852EB">
      <w:pPr>
        <w:pStyle w:val="NormalWeb"/>
      </w:pPr>
      <w:r w:rsidRPr="00344FD1">
        <w:rPr>
          <w:rStyle w:val="Strong"/>
        </w:rPr>
        <w:t xml:space="preserve">Table </w:t>
      </w:r>
      <w:r w:rsidR="0030195B" w:rsidRPr="00344FD1">
        <w:rPr>
          <w:rStyle w:val="Strong"/>
        </w:rPr>
        <w:t>5</w:t>
      </w:r>
      <w:r w:rsidRPr="00344FD1">
        <w:rPr>
          <w:rStyle w:val="Strong"/>
        </w:rPr>
        <w:t>: ANOVA Results</w:t>
      </w:r>
    </w:p>
    <w:tbl>
      <w:tblPr>
        <w:tblStyle w:val="TableGrid1"/>
        <w:tblW w:w="0" w:type="auto"/>
        <w:tblLook w:val="04A0" w:firstRow="1" w:lastRow="0" w:firstColumn="1" w:lastColumn="0" w:noHBand="0" w:noVBand="1"/>
      </w:tblPr>
      <w:tblGrid>
        <w:gridCol w:w="1283"/>
        <w:gridCol w:w="1830"/>
        <w:gridCol w:w="456"/>
        <w:gridCol w:w="1596"/>
        <w:gridCol w:w="876"/>
        <w:gridCol w:w="636"/>
      </w:tblGrid>
      <w:tr w:rsidR="00C852EB" w:rsidRPr="00344FD1" w14:paraId="5FF2F80F" w14:textId="77777777" w:rsidTr="0030195B">
        <w:tc>
          <w:tcPr>
            <w:tcW w:w="0" w:type="auto"/>
            <w:hideMark/>
          </w:tcPr>
          <w:p w14:paraId="65B01F82" w14:textId="77777777" w:rsidR="00C852EB" w:rsidRPr="00344FD1" w:rsidRDefault="00C852EB">
            <w:pPr>
              <w:jc w:val="center"/>
              <w:rPr>
                <w:b/>
                <w:bCs/>
              </w:rPr>
            </w:pPr>
            <w:r w:rsidRPr="00344FD1">
              <w:rPr>
                <w:b/>
                <w:bCs/>
              </w:rPr>
              <w:t>Model</w:t>
            </w:r>
          </w:p>
        </w:tc>
        <w:tc>
          <w:tcPr>
            <w:tcW w:w="0" w:type="auto"/>
            <w:hideMark/>
          </w:tcPr>
          <w:p w14:paraId="30B5AD7F" w14:textId="77777777" w:rsidR="00C852EB" w:rsidRPr="00344FD1" w:rsidRDefault="00C852EB">
            <w:pPr>
              <w:jc w:val="right"/>
              <w:rPr>
                <w:b/>
                <w:bCs/>
              </w:rPr>
            </w:pPr>
            <w:r w:rsidRPr="00344FD1">
              <w:rPr>
                <w:b/>
                <w:bCs/>
              </w:rPr>
              <w:t>Sum of Squares</w:t>
            </w:r>
          </w:p>
        </w:tc>
        <w:tc>
          <w:tcPr>
            <w:tcW w:w="0" w:type="auto"/>
            <w:hideMark/>
          </w:tcPr>
          <w:p w14:paraId="44CDB0DC" w14:textId="77777777" w:rsidR="00C852EB" w:rsidRPr="00344FD1" w:rsidRDefault="00C852EB">
            <w:pPr>
              <w:jc w:val="right"/>
              <w:rPr>
                <w:b/>
                <w:bCs/>
              </w:rPr>
            </w:pPr>
            <w:proofErr w:type="spellStart"/>
            <w:r w:rsidRPr="00344FD1">
              <w:rPr>
                <w:b/>
                <w:bCs/>
              </w:rPr>
              <w:t>df</w:t>
            </w:r>
            <w:proofErr w:type="spellEnd"/>
          </w:p>
        </w:tc>
        <w:tc>
          <w:tcPr>
            <w:tcW w:w="0" w:type="auto"/>
            <w:hideMark/>
          </w:tcPr>
          <w:p w14:paraId="2206CBF4" w14:textId="77777777" w:rsidR="00C852EB" w:rsidRPr="00344FD1" w:rsidRDefault="00C852EB">
            <w:pPr>
              <w:jc w:val="right"/>
              <w:rPr>
                <w:b/>
                <w:bCs/>
              </w:rPr>
            </w:pPr>
            <w:r w:rsidRPr="00344FD1">
              <w:rPr>
                <w:b/>
                <w:bCs/>
              </w:rPr>
              <w:t>Mean Square</w:t>
            </w:r>
          </w:p>
        </w:tc>
        <w:tc>
          <w:tcPr>
            <w:tcW w:w="0" w:type="auto"/>
            <w:hideMark/>
          </w:tcPr>
          <w:p w14:paraId="79CB15EC" w14:textId="77777777" w:rsidR="00C852EB" w:rsidRPr="00344FD1" w:rsidRDefault="00C852EB">
            <w:pPr>
              <w:jc w:val="right"/>
              <w:rPr>
                <w:b/>
                <w:bCs/>
              </w:rPr>
            </w:pPr>
            <w:r w:rsidRPr="00344FD1">
              <w:rPr>
                <w:b/>
                <w:bCs/>
              </w:rPr>
              <w:t>F</w:t>
            </w:r>
          </w:p>
        </w:tc>
        <w:tc>
          <w:tcPr>
            <w:tcW w:w="0" w:type="auto"/>
            <w:hideMark/>
          </w:tcPr>
          <w:p w14:paraId="7F14E71B" w14:textId="77777777" w:rsidR="00C852EB" w:rsidRPr="00344FD1" w:rsidRDefault="00C852EB">
            <w:pPr>
              <w:jc w:val="right"/>
              <w:rPr>
                <w:b/>
                <w:bCs/>
              </w:rPr>
            </w:pPr>
            <w:r w:rsidRPr="00344FD1">
              <w:rPr>
                <w:b/>
                <w:bCs/>
              </w:rPr>
              <w:t>Sig.</w:t>
            </w:r>
          </w:p>
        </w:tc>
      </w:tr>
      <w:tr w:rsidR="00C852EB" w:rsidRPr="00344FD1" w14:paraId="48D4E2EF" w14:textId="77777777" w:rsidTr="0030195B">
        <w:tc>
          <w:tcPr>
            <w:tcW w:w="0" w:type="auto"/>
            <w:hideMark/>
          </w:tcPr>
          <w:p w14:paraId="07233E08" w14:textId="77777777" w:rsidR="00C852EB" w:rsidRPr="00344FD1" w:rsidRDefault="00C852EB">
            <w:pPr>
              <w:jc w:val="left"/>
            </w:pPr>
            <w:r w:rsidRPr="00344FD1">
              <w:t>Regression</w:t>
            </w:r>
          </w:p>
        </w:tc>
        <w:tc>
          <w:tcPr>
            <w:tcW w:w="0" w:type="auto"/>
            <w:hideMark/>
          </w:tcPr>
          <w:p w14:paraId="6E0F5F91" w14:textId="77777777" w:rsidR="00C852EB" w:rsidRPr="00344FD1" w:rsidRDefault="00C852EB">
            <w:pPr>
              <w:jc w:val="right"/>
            </w:pPr>
            <w:r w:rsidRPr="00344FD1">
              <w:t>21.847</w:t>
            </w:r>
          </w:p>
        </w:tc>
        <w:tc>
          <w:tcPr>
            <w:tcW w:w="0" w:type="auto"/>
            <w:hideMark/>
          </w:tcPr>
          <w:p w14:paraId="5ED23363" w14:textId="77777777" w:rsidR="00C852EB" w:rsidRPr="00344FD1" w:rsidRDefault="00C852EB">
            <w:pPr>
              <w:jc w:val="right"/>
            </w:pPr>
            <w:r w:rsidRPr="00344FD1">
              <w:t>4</w:t>
            </w:r>
          </w:p>
        </w:tc>
        <w:tc>
          <w:tcPr>
            <w:tcW w:w="0" w:type="auto"/>
            <w:hideMark/>
          </w:tcPr>
          <w:p w14:paraId="410A4497" w14:textId="77777777" w:rsidR="00C852EB" w:rsidRPr="00344FD1" w:rsidRDefault="00C852EB">
            <w:pPr>
              <w:jc w:val="right"/>
            </w:pPr>
            <w:r w:rsidRPr="00344FD1">
              <w:t>5.462</w:t>
            </w:r>
          </w:p>
        </w:tc>
        <w:tc>
          <w:tcPr>
            <w:tcW w:w="0" w:type="auto"/>
            <w:hideMark/>
          </w:tcPr>
          <w:p w14:paraId="41F636B6" w14:textId="77777777" w:rsidR="00C852EB" w:rsidRPr="00344FD1" w:rsidRDefault="00C852EB">
            <w:pPr>
              <w:jc w:val="right"/>
            </w:pPr>
            <w:r w:rsidRPr="00344FD1">
              <w:t>56.012</w:t>
            </w:r>
          </w:p>
        </w:tc>
        <w:tc>
          <w:tcPr>
            <w:tcW w:w="0" w:type="auto"/>
            <w:hideMark/>
          </w:tcPr>
          <w:p w14:paraId="1D9DC680" w14:textId="77777777" w:rsidR="00C852EB" w:rsidRPr="00344FD1" w:rsidRDefault="00C852EB">
            <w:pPr>
              <w:jc w:val="right"/>
            </w:pPr>
            <w:r w:rsidRPr="00344FD1">
              <w:t>.000</w:t>
            </w:r>
          </w:p>
        </w:tc>
      </w:tr>
      <w:tr w:rsidR="00C852EB" w:rsidRPr="00344FD1" w14:paraId="3511489C" w14:textId="77777777" w:rsidTr="0030195B">
        <w:tc>
          <w:tcPr>
            <w:tcW w:w="0" w:type="auto"/>
            <w:hideMark/>
          </w:tcPr>
          <w:p w14:paraId="2A12BAC6" w14:textId="77777777" w:rsidR="00C852EB" w:rsidRPr="00344FD1" w:rsidRDefault="00C852EB">
            <w:pPr>
              <w:jc w:val="left"/>
            </w:pPr>
            <w:r w:rsidRPr="00344FD1">
              <w:t>Residual</w:t>
            </w:r>
          </w:p>
        </w:tc>
        <w:tc>
          <w:tcPr>
            <w:tcW w:w="0" w:type="auto"/>
            <w:hideMark/>
          </w:tcPr>
          <w:p w14:paraId="2B941081" w14:textId="77777777" w:rsidR="00C852EB" w:rsidRPr="00344FD1" w:rsidRDefault="00C852EB">
            <w:pPr>
              <w:jc w:val="right"/>
            </w:pPr>
            <w:r w:rsidRPr="00344FD1">
              <w:t>9.074</w:t>
            </w:r>
          </w:p>
        </w:tc>
        <w:tc>
          <w:tcPr>
            <w:tcW w:w="0" w:type="auto"/>
            <w:hideMark/>
          </w:tcPr>
          <w:p w14:paraId="6A49DEC8" w14:textId="77777777" w:rsidR="00C852EB" w:rsidRPr="00344FD1" w:rsidRDefault="00C852EB">
            <w:pPr>
              <w:jc w:val="right"/>
            </w:pPr>
            <w:r w:rsidRPr="00344FD1">
              <w:t>95</w:t>
            </w:r>
          </w:p>
        </w:tc>
        <w:tc>
          <w:tcPr>
            <w:tcW w:w="0" w:type="auto"/>
            <w:hideMark/>
          </w:tcPr>
          <w:p w14:paraId="2EF48828" w14:textId="77777777" w:rsidR="00C852EB" w:rsidRPr="00344FD1" w:rsidRDefault="00C852EB">
            <w:pPr>
              <w:jc w:val="right"/>
            </w:pPr>
            <w:r w:rsidRPr="00344FD1">
              <w:t>.0955</w:t>
            </w:r>
          </w:p>
        </w:tc>
        <w:tc>
          <w:tcPr>
            <w:tcW w:w="0" w:type="auto"/>
            <w:hideMark/>
          </w:tcPr>
          <w:p w14:paraId="761836C7" w14:textId="77777777" w:rsidR="00C852EB" w:rsidRPr="00344FD1" w:rsidRDefault="00C852EB">
            <w:pPr>
              <w:jc w:val="right"/>
            </w:pPr>
          </w:p>
        </w:tc>
        <w:tc>
          <w:tcPr>
            <w:tcW w:w="0" w:type="auto"/>
            <w:hideMark/>
          </w:tcPr>
          <w:p w14:paraId="19FA5EBD" w14:textId="77777777" w:rsidR="00C852EB" w:rsidRPr="00344FD1" w:rsidRDefault="00C852EB">
            <w:pPr>
              <w:jc w:val="right"/>
              <w:rPr>
                <w:sz w:val="20"/>
              </w:rPr>
            </w:pPr>
          </w:p>
        </w:tc>
      </w:tr>
      <w:tr w:rsidR="00C852EB" w:rsidRPr="00344FD1" w14:paraId="22A96FA1" w14:textId="77777777" w:rsidTr="0030195B">
        <w:tc>
          <w:tcPr>
            <w:tcW w:w="0" w:type="auto"/>
            <w:hideMark/>
          </w:tcPr>
          <w:p w14:paraId="731B5B3D" w14:textId="77777777" w:rsidR="00C852EB" w:rsidRPr="00344FD1" w:rsidRDefault="00C852EB">
            <w:pPr>
              <w:jc w:val="left"/>
              <w:rPr>
                <w:szCs w:val="24"/>
              </w:rPr>
            </w:pPr>
            <w:r w:rsidRPr="00344FD1">
              <w:t>Total</w:t>
            </w:r>
          </w:p>
        </w:tc>
        <w:tc>
          <w:tcPr>
            <w:tcW w:w="0" w:type="auto"/>
            <w:hideMark/>
          </w:tcPr>
          <w:p w14:paraId="7B8839CE" w14:textId="77777777" w:rsidR="00C852EB" w:rsidRPr="00344FD1" w:rsidRDefault="00C852EB">
            <w:pPr>
              <w:jc w:val="right"/>
            </w:pPr>
            <w:r w:rsidRPr="00344FD1">
              <w:t>30.921</w:t>
            </w:r>
          </w:p>
        </w:tc>
        <w:tc>
          <w:tcPr>
            <w:tcW w:w="0" w:type="auto"/>
            <w:hideMark/>
          </w:tcPr>
          <w:p w14:paraId="341E7D69" w14:textId="77777777" w:rsidR="00C852EB" w:rsidRPr="00344FD1" w:rsidRDefault="00C852EB">
            <w:pPr>
              <w:jc w:val="right"/>
            </w:pPr>
            <w:r w:rsidRPr="00344FD1">
              <w:t>99</w:t>
            </w:r>
          </w:p>
        </w:tc>
        <w:tc>
          <w:tcPr>
            <w:tcW w:w="0" w:type="auto"/>
            <w:hideMark/>
          </w:tcPr>
          <w:p w14:paraId="10BDFC70" w14:textId="77777777" w:rsidR="00C852EB" w:rsidRPr="00344FD1" w:rsidRDefault="00C852EB">
            <w:pPr>
              <w:jc w:val="right"/>
            </w:pPr>
          </w:p>
        </w:tc>
        <w:tc>
          <w:tcPr>
            <w:tcW w:w="0" w:type="auto"/>
            <w:hideMark/>
          </w:tcPr>
          <w:p w14:paraId="638A1F9D" w14:textId="77777777" w:rsidR="00C852EB" w:rsidRPr="00344FD1" w:rsidRDefault="00C852EB">
            <w:pPr>
              <w:jc w:val="right"/>
              <w:rPr>
                <w:sz w:val="20"/>
              </w:rPr>
            </w:pPr>
          </w:p>
        </w:tc>
        <w:tc>
          <w:tcPr>
            <w:tcW w:w="0" w:type="auto"/>
            <w:hideMark/>
          </w:tcPr>
          <w:p w14:paraId="44EBBC73" w14:textId="77777777" w:rsidR="00C852EB" w:rsidRPr="00344FD1" w:rsidRDefault="00C852EB">
            <w:pPr>
              <w:jc w:val="right"/>
              <w:rPr>
                <w:sz w:val="20"/>
              </w:rPr>
            </w:pPr>
          </w:p>
        </w:tc>
      </w:tr>
    </w:tbl>
    <w:p w14:paraId="592C43E3" w14:textId="77777777" w:rsidR="00C852EB" w:rsidRPr="00344FD1" w:rsidRDefault="00C852EB" w:rsidP="00C852EB">
      <w:pPr>
        <w:pStyle w:val="NormalWeb"/>
      </w:pPr>
      <w:r w:rsidRPr="00344FD1">
        <w:rPr>
          <w:rStyle w:val="Strong"/>
        </w:rPr>
        <w:t>Predictors:</w:t>
      </w:r>
      <w:r w:rsidRPr="00344FD1">
        <w:t xml:space="preserve"> (Constant), Strategic Planning, Strategic Leadership, Resource Allocation, Positioning Strategies.</w:t>
      </w:r>
      <w:r w:rsidRPr="00344FD1">
        <w:br/>
      </w:r>
      <w:r w:rsidRPr="00344FD1">
        <w:rPr>
          <w:rStyle w:val="Strong"/>
        </w:rPr>
        <w:t>Dependent Variable:</w:t>
      </w:r>
      <w:r w:rsidRPr="00344FD1">
        <w:t xml:space="preserve"> Competitiveness.</w:t>
      </w:r>
      <w:r w:rsidRPr="00344FD1">
        <w:br/>
      </w:r>
      <w:r w:rsidRPr="00344FD1">
        <w:rPr>
          <w:rStyle w:val="Strong"/>
        </w:rPr>
        <w:t>Source:</w:t>
      </w:r>
      <w:r w:rsidRPr="00344FD1">
        <w:t xml:space="preserve"> Survey Data (2026)</w:t>
      </w:r>
    </w:p>
    <w:p w14:paraId="1235317C" w14:textId="4239A69B" w:rsidR="00C852EB" w:rsidRPr="00344FD1" w:rsidRDefault="00C852EB" w:rsidP="00C852EB">
      <w:pPr>
        <w:pStyle w:val="NormalWeb"/>
      </w:pPr>
      <w:r w:rsidRPr="00344FD1">
        <w:t xml:space="preserve">Table </w:t>
      </w:r>
      <w:r w:rsidR="00844748" w:rsidRPr="00344FD1">
        <w:t>5</w:t>
      </w:r>
      <w:r w:rsidRPr="00344FD1">
        <w:t xml:space="preserve"> shows that all four predictors made statistically significant positive contributions. Positioning strategies had the largest standardized coefficient (β = 0.303, p &lt; 0.001), followed by strategic planning (β = 0.281, p &lt; 0.001), strategic leadership (β = 0.254, p &lt; 0.001), and resource allocation (β = 0.226, p = 0.001). The resulting regression equation was Y = 0.312 + 0.274X1 + 0.248X2 + 0.221X3 + 0.296X4. The unstandardized coefficients indicate positive changes in competitiveness associated with each predictor, holding other variables constant. These findings are consistent with Iyer et al. (2019) and Hassan and Salem (2021), who identified market positioning as an important driver of retail competitiveness. The significant planning effect supports Al-Tamimi and Mahmood (2023) and Njeru and Wanjiku (2022), while the resource allocation finding agrees with Cheboi et al. (2022), who linked adequate resources with operational growth and consistent customer experiences.</w:t>
      </w:r>
    </w:p>
    <w:p w14:paraId="1DB8299B" w14:textId="77777777" w:rsidR="00C852EB" w:rsidRPr="00344FD1" w:rsidRDefault="00C852EB" w:rsidP="00C852EB">
      <w:pPr>
        <w:pStyle w:val="NormalWeb"/>
      </w:pPr>
      <w:r w:rsidRPr="00344FD1">
        <w:t>The findings further indicate that the predictors complemented one another rather than operating independently. Correlation alone did not establish causality; however, regression results demonstrated that each predictor retained a significant positive contribution after controlling for the others. This strengthens the evidence that competitiveness was associated with coordinated strategic practices. The combined explanatory capacity also suggests that competitiveness was influenced by several organizational and market-oriented practices rather than a single strategic factor. The remaining unexplained variance may reflect other organizational and environmental factors. These results provide an integrated basis for understanding supermarket competitiveness within a strategic management perspective and generally.</w:t>
      </w:r>
    </w:p>
    <w:p w14:paraId="359E84B3" w14:textId="69EAA060" w:rsidR="00055D83" w:rsidRPr="00344FD1" w:rsidRDefault="00055D83" w:rsidP="00055D83">
      <w:pPr>
        <w:shd w:val="clear" w:color="auto" w:fill="FFFFFF"/>
        <w:spacing w:line="240" w:lineRule="auto"/>
        <w:rPr>
          <w:rFonts w:eastAsia="Times New Roman" w:cs="Times New Roman"/>
          <w:b/>
          <w:bCs/>
          <w:color w:val="000000" w:themeColor="text1"/>
          <w:sz w:val="28"/>
          <w:szCs w:val="28"/>
        </w:rPr>
      </w:pPr>
      <w:r w:rsidRPr="00344FD1">
        <w:rPr>
          <w:rFonts w:eastAsia="Times New Roman" w:cs="Times New Roman"/>
          <w:b/>
          <w:bCs/>
          <w:color w:val="000000" w:themeColor="text1"/>
          <w:sz w:val="28"/>
          <w:szCs w:val="28"/>
        </w:rPr>
        <w:t xml:space="preserve">5.0 CONCLUSIONS </w:t>
      </w:r>
    </w:p>
    <w:p w14:paraId="5F60DD1C" w14:textId="1CDC08F7" w:rsidR="00497EBF" w:rsidRPr="00344FD1" w:rsidRDefault="00497EBF" w:rsidP="00497EBF">
      <w:pPr>
        <w:spacing w:line="240" w:lineRule="auto"/>
        <w:rPr>
          <w:rFonts w:cs="Times New Roman"/>
          <w:color w:val="000000" w:themeColor="text1"/>
          <w:szCs w:val="24"/>
        </w:rPr>
      </w:pPr>
      <w:r w:rsidRPr="00344FD1">
        <w:rPr>
          <w:rFonts w:cs="Times New Roman"/>
          <w:color w:val="000000" w:themeColor="text1"/>
          <w:szCs w:val="24"/>
        </w:rPr>
        <w:t>The study concludes that strategic planning significantly and positively influences the competitiveness of selected supermarkets in Nairobi City County. Supermarkets with documented, actionable, and well-communicated strategic plans, measurable targets, and alignment between departmental and corporate objectives demonstrate stronger competitive positions. Continuous environmental analysis enables supermarkets to anticipate competitive pressures, align resources with emerging priorities, and respond effectively to changing consumer preferences.</w:t>
      </w:r>
    </w:p>
    <w:p w14:paraId="4148A53F" w14:textId="36D0054D" w:rsidR="00497EBF" w:rsidRPr="00344FD1" w:rsidRDefault="00497EBF" w:rsidP="00497EBF">
      <w:pPr>
        <w:spacing w:line="240" w:lineRule="auto"/>
        <w:rPr>
          <w:rFonts w:cs="Times New Roman"/>
          <w:color w:val="000000" w:themeColor="text1"/>
          <w:szCs w:val="24"/>
        </w:rPr>
      </w:pPr>
      <w:r w:rsidRPr="00344FD1">
        <w:rPr>
          <w:rFonts w:cs="Times New Roman"/>
          <w:color w:val="000000" w:themeColor="text1"/>
          <w:szCs w:val="24"/>
        </w:rPr>
        <w:lastRenderedPageBreak/>
        <w:t>Strategic leadership also significantly contributes to supermarket competitiveness. Leaders who establish clear customer-oriented goals, empower employees to make timely operational decisions, and invest in human capital development promote organizational agility and responsiveness. However, relatively lower ratings for employee recognition and reward systems indicate the need to strengthen performance management practices to maximize the benefits of strategic leadership.</w:t>
      </w:r>
    </w:p>
    <w:p w14:paraId="415590CB" w14:textId="1AF82ACB" w:rsidR="00766A2F" w:rsidRPr="00344FD1" w:rsidRDefault="00497EBF" w:rsidP="00497EBF">
      <w:pPr>
        <w:spacing w:line="240" w:lineRule="auto"/>
        <w:rPr>
          <w:rFonts w:cs="Times New Roman"/>
          <w:color w:val="000000" w:themeColor="text1"/>
          <w:szCs w:val="24"/>
        </w:rPr>
      </w:pPr>
      <w:r w:rsidRPr="00344FD1">
        <w:rPr>
          <w:rFonts w:cs="Times New Roman"/>
          <w:color w:val="000000" w:themeColor="text1"/>
          <w:szCs w:val="24"/>
        </w:rPr>
        <w:t>Resource allocation significantly enhances competitiveness when financial, technological, and human resources are aligned with strategic priorities. The use of data systems for operational decision-making and investment in digital technologies contribute to stronger competitive outcomes. Nevertheless, inadequate training and limited investment in human capital remain important concerns that require sustained attention to maintain competitiveness</w:t>
      </w:r>
      <w:r w:rsidR="00E27800" w:rsidRPr="00344FD1">
        <w:rPr>
          <w:rFonts w:cs="Times New Roman"/>
          <w:color w:val="000000" w:themeColor="text1"/>
          <w:szCs w:val="24"/>
        </w:rPr>
        <w:t>.</w:t>
      </w:r>
      <w:r w:rsidR="00E05059" w:rsidRPr="00344FD1">
        <w:rPr>
          <w:rFonts w:cs="Times New Roman"/>
          <w:color w:val="000000" w:themeColor="text1"/>
          <w:szCs w:val="24"/>
        </w:rPr>
        <w:t xml:space="preserve"> </w:t>
      </w:r>
    </w:p>
    <w:p w14:paraId="750144BF" w14:textId="7E52FE3F" w:rsidR="00055D83" w:rsidRPr="00344FD1" w:rsidRDefault="00055D83" w:rsidP="00D26C8B">
      <w:pPr>
        <w:spacing w:line="240" w:lineRule="auto"/>
        <w:rPr>
          <w:rFonts w:cs="Times New Roman"/>
          <w:b/>
          <w:bCs/>
          <w:color w:val="000000" w:themeColor="text1"/>
          <w:sz w:val="28"/>
          <w:szCs w:val="28"/>
        </w:rPr>
      </w:pPr>
      <w:r w:rsidRPr="00344FD1">
        <w:rPr>
          <w:rFonts w:cs="Times New Roman"/>
          <w:b/>
          <w:bCs/>
          <w:color w:val="000000" w:themeColor="text1"/>
          <w:sz w:val="28"/>
          <w:szCs w:val="28"/>
        </w:rPr>
        <w:t>6.0 RECOMMENDATIONS</w:t>
      </w:r>
    </w:p>
    <w:p w14:paraId="4F4A7D8A" w14:textId="77777777" w:rsidR="0045178A" w:rsidRPr="00344FD1" w:rsidRDefault="0045178A" w:rsidP="0045178A">
      <w:pPr>
        <w:spacing w:before="0" w:line="240" w:lineRule="auto"/>
      </w:pPr>
    </w:p>
    <w:p w14:paraId="5AFAFB3F" w14:textId="77777777" w:rsidR="003F1DA1" w:rsidRPr="00344FD1" w:rsidRDefault="003F1DA1" w:rsidP="003F1DA1">
      <w:pPr>
        <w:spacing w:before="0" w:line="240" w:lineRule="auto"/>
      </w:pPr>
      <w:r w:rsidRPr="00344FD1">
        <w:t>Positioning strategies have the strongest influence on supermarket competitiveness. Supermarkets that establish recognizable, consistent, and customer-responsive market positions through competitive pricing, differentiated product assortments, and effective brand communication achieve stronger competitive outcomes. Given the price sensitivity of Nairobi consumers, competitive pricing remains particularly important, while sustained investment in brand identity is necessary for differentiation and customer loyalty.</w:t>
      </w:r>
    </w:p>
    <w:p w14:paraId="69857F7E" w14:textId="77777777" w:rsidR="003F1DA1" w:rsidRPr="00344FD1" w:rsidRDefault="003F1DA1" w:rsidP="003F1DA1">
      <w:pPr>
        <w:spacing w:before="0" w:line="240" w:lineRule="auto"/>
      </w:pPr>
    </w:p>
    <w:p w14:paraId="4178FC49" w14:textId="77777777" w:rsidR="003F1DA1" w:rsidRPr="00344FD1" w:rsidRDefault="003F1DA1" w:rsidP="003F1DA1">
      <w:pPr>
        <w:spacing w:before="0" w:line="240" w:lineRule="auto"/>
      </w:pPr>
      <w:r w:rsidRPr="00344FD1">
        <w:t>At the policy level, the Competition Authority of Kenya (CAK) should develop guidelines encouraging formal retail outlets to adopt transparent and documented strategic planning frameworks. The Ministry of Trade should consider developing a Retail Sector Strategic Management Framework providing benchmarks for strategic planning, leadership, resource management, and market positioning. The Kenya National Qualifications Authority (KNQA), in collaboration with relevant trade bodies, should develop standardized competency frameworks emphasizing digital proficiency and strategic decision-making among retail employees.</w:t>
      </w:r>
    </w:p>
    <w:p w14:paraId="59734B7E" w14:textId="77777777" w:rsidR="003F1DA1" w:rsidRPr="00344FD1" w:rsidRDefault="003F1DA1" w:rsidP="003F1DA1">
      <w:pPr>
        <w:spacing w:before="0" w:line="240" w:lineRule="auto"/>
      </w:pPr>
    </w:p>
    <w:p w14:paraId="37240BD9" w14:textId="77777777" w:rsidR="003F1DA1" w:rsidRPr="00344FD1" w:rsidRDefault="003F1DA1" w:rsidP="003F1DA1">
      <w:pPr>
        <w:spacing w:before="0" w:line="240" w:lineRule="auto"/>
      </w:pPr>
      <w:r w:rsidRPr="00344FD1">
        <w:t xml:space="preserve">In practice, supermarket managers should institutionalize annual strategic planning and quarterly environmental scanning involving middle-level managers. Store and departmental leaders should receive clearer decision-making authority, while recognition and reward systems should be strengthened. Supermarkets should also increase investment in employee training on POS systems, ERP platforms, and data analytics, supported by structured training calendars and planned infrastructure renewal. Regarding positioning, long-term brand communication, loyalty </w:t>
      </w:r>
      <w:proofErr w:type="spellStart"/>
      <w:r w:rsidRPr="00344FD1">
        <w:t>programmes</w:t>
      </w:r>
      <w:proofErr w:type="spellEnd"/>
      <w:r w:rsidRPr="00344FD1">
        <w:t>, customer feedback mechanisms, and differentiated product assortments should be strengthened to improve customer retention and brand identity.</w:t>
      </w:r>
    </w:p>
    <w:p w14:paraId="7CE74CF5" w14:textId="77777777" w:rsidR="003F1DA1" w:rsidRPr="00344FD1" w:rsidRDefault="003F1DA1" w:rsidP="003F1DA1">
      <w:pPr>
        <w:spacing w:before="0" w:line="240" w:lineRule="auto"/>
      </w:pPr>
    </w:p>
    <w:p w14:paraId="648B633B" w14:textId="41D32BAE" w:rsidR="00D16476" w:rsidRPr="00344FD1" w:rsidRDefault="003F1DA1" w:rsidP="003F1DA1">
      <w:pPr>
        <w:spacing w:before="0" w:line="240" w:lineRule="auto"/>
      </w:pPr>
      <w:r w:rsidRPr="00344FD1">
        <w:t>Future studies should employ longitudinal designs to examine changes in strategic management practices and competitiveness over time. Research should also extend to supermarkets in counties such as Mombasa, Nakuru, and Kisumu to improve generalizability. Incorporating consumer perspectives, including customer satisfaction measures alongside employee responses, would further provide a comprehensive understanding of how strategic practices translate into competitive outcomes</w:t>
      </w:r>
      <w:r w:rsidR="00E207BA" w:rsidRPr="00344FD1">
        <w:t>.</w:t>
      </w:r>
    </w:p>
    <w:p w14:paraId="38ACF2C4" w14:textId="66B88ADC" w:rsidR="007A56B8" w:rsidRPr="00344FD1" w:rsidRDefault="007A56B8">
      <w:pPr>
        <w:spacing w:before="0" w:after="160" w:line="259" w:lineRule="auto"/>
        <w:jc w:val="left"/>
        <w:rPr>
          <w:rFonts w:eastAsia="Times New Roman" w:cs="Times New Roman"/>
          <w:b/>
          <w:bCs/>
          <w:color w:val="000000" w:themeColor="text1"/>
          <w:sz w:val="28"/>
          <w:szCs w:val="28"/>
        </w:rPr>
      </w:pPr>
    </w:p>
    <w:p w14:paraId="2E3E103F" w14:textId="77777777" w:rsidR="00DF7169" w:rsidRPr="00344FD1" w:rsidRDefault="00DF7169">
      <w:pPr>
        <w:spacing w:before="0" w:after="160" w:line="259" w:lineRule="auto"/>
        <w:jc w:val="left"/>
        <w:rPr>
          <w:rFonts w:eastAsia="Times New Roman" w:cs="Times New Roman"/>
          <w:b/>
          <w:bCs/>
          <w:color w:val="000000" w:themeColor="text1"/>
          <w:sz w:val="28"/>
          <w:szCs w:val="28"/>
        </w:rPr>
      </w:pPr>
    </w:p>
    <w:p w14:paraId="199AE57A" w14:textId="77777777" w:rsidR="00DF7169" w:rsidRPr="00344FD1" w:rsidRDefault="00DF7169" w:rsidP="00DF7169">
      <w:pPr>
        <w:spacing w:before="0" w:line="240" w:lineRule="auto"/>
        <w:jc w:val="left"/>
        <w:rPr>
          <w:rFonts w:ascii="Arial" w:hAnsi="Arial" w:cs="Arial"/>
          <w:b/>
          <w:color w:val="auto"/>
          <w:sz w:val="20"/>
          <w:szCs w:val="20"/>
          <w14:ligatures w14:val="none"/>
        </w:rPr>
      </w:pPr>
      <w:bookmarkStart w:id="3" w:name="_Hlk238550938"/>
      <w:bookmarkStart w:id="4" w:name="_Hlk237856463"/>
      <w:r w:rsidRPr="00344FD1">
        <w:rPr>
          <w:rFonts w:ascii="Arial" w:hAnsi="Arial" w:cs="Arial"/>
          <w:b/>
          <w:color w:val="auto"/>
          <w:sz w:val="20"/>
          <w:szCs w:val="20"/>
          <w14:ligatures w14:val="none"/>
        </w:rPr>
        <w:t>Declaration of AI Use</w:t>
      </w:r>
    </w:p>
    <w:p w14:paraId="66623B7B" w14:textId="77777777" w:rsidR="00DF7169" w:rsidRPr="00344FD1" w:rsidRDefault="00DF7169" w:rsidP="00DF7169">
      <w:pPr>
        <w:spacing w:before="0" w:line="240" w:lineRule="auto"/>
        <w:jc w:val="left"/>
        <w:rPr>
          <w:rFonts w:ascii="Arial" w:hAnsi="Arial" w:cs="Arial"/>
          <w:color w:val="auto"/>
          <w:sz w:val="20"/>
          <w:szCs w:val="20"/>
          <w14:ligatures w14:val="none"/>
        </w:rPr>
      </w:pPr>
      <w:bookmarkStart w:id="5" w:name="_Hlk239068730"/>
    </w:p>
    <w:p w14:paraId="6190C66E" w14:textId="77777777" w:rsidR="00DF7169" w:rsidRDefault="00DF7169" w:rsidP="00DF7169">
      <w:pPr>
        <w:spacing w:before="0" w:line="240" w:lineRule="auto"/>
        <w:jc w:val="left"/>
        <w:rPr>
          <w:rFonts w:ascii="Arial" w:hAnsi="Arial" w:cs="Arial"/>
          <w:color w:val="auto"/>
          <w:sz w:val="20"/>
          <w:szCs w:val="20"/>
          <w14:ligatures w14:val="none"/>
        </w:rPr>
      </w:pPr>
      <w:bookmarkStart w:id="6" w:name="_Hlk237862032"/>
      <w:r w:rsidRPr="00344FD1">
        <w:rPr>
          <w:rFonts w:ascii="Arial" w:hAnsi="Arial" w:cs="Arial"/>
          <w:color w:val="auto"/>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r w:rsidRPr="00344FD1">
        <w:rPr>
          <w:rFonts w:ascii="Arial" w:hAnsi="Arial" w:cs="Arial"/>
          <w:color w:val="auto"/>
          <w:sz w:val="20"/>
          <w:szCs w:val="20"/>
          <w14:ligatures w14:val="none"/>
        </w:rPr>
        <w:t>.</w:t>
      </w:r>
    </w:p>
    <w:p w14:paraId="12F5D9FF" w14:textId="77777777" w:rsidR="00CD4F87" w:rsidRDefault="00CD4F87" w:rsidP="00DF7169">
      <w:pPr>
        <w:spacing w:before="0" w:line="240" w:lineRule="auto"/>
        <w:jc w:val="left"/>
        <w:rPr>
          <w:rFonts w:ascii="Arial" w:hAnsi="Arial" w:cs="Arial"/>
          <w:color w:val="auto"/>
          <w:sz w:val="20"/>
          <w:szCs w:val="20"/>
          <w14:ligatures w14:val="none"/>
        </w:rPr>
      </w:pPr>
    </w:p>
    <w:p w14:paraId="573F03EF" w14:textId="77777777" w:rsidR="00A242ED" w:rsidRDefault="00A242ED" w:rsidP="00CD4F87">
      <w:pPr>
        <w:spacing w:before="0" w:line="240" w:lineRule="auto"/>
        <w:jc w:val="left"/>
        <w:rPr>
          <w:rFonts w:ascii="Arial" w:hAnsi="Arial" w:cs="Arial"/>
          <w:color w:val="auto"/>
          <w:sz w:val="20"/>
          <w:szCs w:val="20"/>
          <w14:ligatures w14:val="none"/>
        </w:rPr>
      </w:pPr>
    </w:p>
    <w:p w14:paraId="78028574" w14:textId="77777777" w:rsidR="00A242ED" w:rsidRDefault="00A242ED" w:rsidP="00CD4F87">
      <w:pPr>
        <w:spacing w:before="0" w:line="240" w:lineRule="auto"/>
        <w:jc w:val="left"/>
        <w:rPr>
          <w:rFonts w:ascii="Arial" w:hAnsi="Arial" w:cs="Arial"/>
          <w:color w:val="auto"/>
          <w:sz w:val="20"/>
          <w:szCs w:val="20"/>
          <w14:ligatures w14:val="none"/>
        </w:rPr>
      </w:pPr>
    </w:p>
    <w:p w14:paraId="11E4F41A" w14:textId="2786C363" w:rsidR="00CD4F87" w:rsidRPr="00CD4F87" w:rsidRDefault="00CD4F87" w:rsidP="00CD4F87">
      <w:pPr>
        <w:spacing w:before="0" w:line="240" w:lineRule="auto"/>
        <w:jc w:val="left"/>
        <w:rPr>
          <w:rFonts w:ascii="Arial" w:hAnsi="Arial" w:cs="Arial"/>
          <w:color w:val="auto"/>
          <w:sz w:val="20"/>
          <w:szCs w:val="20"/>
          <w14:ligatures w14:val="none"/>
        </w:rPr>
      </w:pPr>
      <w:r w:rsidRPr="00CD4F87">
        <w:rPr>
          <w:rFonts w:ascii="Arial" w:hAnsi="Arial" w:cs="Arial"/>
          <w:color w:val="auto"/>
          <w:sz w:val="20"/>
          <w:szCs w:val="20"/>
          <w14:ligatures w14:val="none"/>
        </w:rPr>
        <w:lastRenderedPageBreak/>
        <w:t>COMPETING INTERESTS DISCLAIMER:</w:t>
      </w:r>
    </w:p>
    <w:p w14:paraId="4B79191E" w14:textId="177542D8" w:rsidR="00CD4F87" w:rsidRPr="00344FD1" w:rsidRDefault="00CD4F87" w:rsidP="00CD4F87">
      <w:pPr>
        <w:spacing w:before="0" w:line="240" w:lineRule="auto"/>
        <w:jc w:val="left"/>
        <w:rPr>
          <w:rFonts w:ascii="Arial" w:hAnsi="Arial" w:cs="Arial"/>
          <w:color w:val="auto"/>
          <w:sz w:val="20"/>
          <w:szCs w:val="20"/>
          <w14:ligatures w14:val="none"/>
        </w:rPr>
      </w:pPr>
      <w:r w:rsidRPr="00CD4F87">
        <w:rPr>
          <w:rFonts w:ascii="Arial" w:hAnsi="Arial" w:cs="Arial"/>
          <w:color w:val="auto"/>
          <w:sz w:val="20"/>
          <w:szCs w:val="20"/>
          <w14:ligatures w14:val="none"/>
        </w:rPr>
        <w:t>Authors have declared that they have no known competing financial interests OR non-financial interests OR personal relationships that could have appeared to influence the work reported in this paper.</w:t>
      </w:r>
    </w:p>
    <w:bookmarkEnd w:id="4"/>
    <w:bookmarkEnd w:id="5"/>
    <w:bookmarkEnd w:id="6"/>
    <w:p w14:paraId="4D80F484" w14:textId="77777777" w:rsidR="00DF7169" w:rsidRPr="00344FD1" w:rsidRDefault="00DF7169">
      <w:pPr>
        <w:spacing w:before="0" w:after="160" w:line="259" w:lineRule="auto"/>
        <w:jc w:val="left"/>
        <w:rPr>
          <w:rFonts w:eastAsia="Times New Roman" w:cs="Times New Roman"/>
          <w:b/>
          <w:bCs/>
          <w:color w:val="000000" w:themeColor="text1"/>
          <w:sz w:val="28"/>
          <w:szCs w:val="28"/>
        </w:rPr>
      </w:pPr>
    </w:p>
    <w:p w14:paraId="5A202687" w14:textId="2912289E" w:rsidR="00B55CEF" w:rsidRPr="00344FD1" w:rsidRDefault="00055D83" w:rsidP="002151BA">
      <w:pPr>
        <w:shd w:val="clear" w:color="auto" w:fill="FFFFFF"/>
        <w:spacing w:line="240" w:lineRule="auto"/>
        <w:rPr>
          <w:rFonts w:eastAsia="Times New Roman" w:cs="Times New Roman"/>
          <w:b/>
          <w:bCs/>
          <w:color w:val="000000" w:themeColor="text1"/>
          <w:sz w:val="28"/>
          <w:szCs w:val="28"/>
        </w:rPr>
      </w:pPr>
      <w:r w:rsidRPr="00344FD1">
        <w:rPr>
          <w:rFonts w:eastAsia="Times New Roman" w:cs="Times New Roman"/>
          <w:b/>
          <w:bCs/>
          <w:color w:val="000000" w:themeColor="text1"/>
          <w:sz w:val="28"/>
          <w:szCs w:val="28"/>
        </w:rPr>
        <w:t>REFERENCES</w:t>
      </w:r>
    </w:p>
    <w:p w14:paraId="4075A0F1"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Achieng, M. E., Awino, Z. B., </w:t>
      </w:r>
      <w:proofErr w:type="spellStart"/>
      <w:r w:rsidRPr="00344FD1">
        <w:rPr>
          <w:rFonts w:eastAsia="Times New Roman" w:cs="Times New Roman"/>
          <w:szCs w:val="24"/>
        </w:rPr>
        <w:t>K’Obonyo</w:t>
      </w:r>
      <w:proofErr w:type="spellEnd"/>
      <w:r w:rsidRPr="00344FD1">
        <w:rPr>
          <w:rFonts w:eastAsia="Times New Roman" w:cs="Times New Roman"/>
          <w:szCs w:val="24"/>
        </w:rPr>
        <w:t xml:space="preserve">, P., &amp; </w:t>
      </w:r>
      <w:proofErr w:type="spellStart"/>
      <w:r w:rsidRPr="00344FD1">
        <w:rPr>
          <w:rFonts w:eastAsia="Times New Roman" w:cs="Times New Roman"/>
          <w:szCs w:val="24"/>
        </w:rPr>
        <w:t>Kitiabi</w:t>
      </w:r>
      <w:proofErr w:type="spellEnd"/>
      <w:r w:rsidRPr="00344FD1">
        <w:rPr>
          <w:rFonts w:eastAsia="Times New Roman" w:cs="Times New Roman"/>
          <w:szCs w:val="24"/>
        </w:rPr>
        <w:t xml:space="preserve">, R. (2020). Advanced manufacturing technology, organizational resources and performance of large manufacturing companies in Kenya. </w:t>
      </w:r>
      <w:r w:rsidRPr="00344FD1">
        <w:rPr>
          <w:rFonts w:eastAsia="Times New Roman" w:cs="Times New Roman"/>
          <w:i/>
          <w:iCs/>
          <w:szCs w:val="24"/>
        </w:rPr>
        <w:t>DBA Africa Management Review, 10</w:t>
      </w:r>
      <w:r w:rsidRPr="00344FD1">
        <w:rPr>
          <w:rFonts w:eastAsia="Times New Roman" w:cs="Times New Roman"/>
          <w:szCs w:val="24"/>
        </w:rPr>
        <w:t>(2), 1–33.</w:t>
      </w:r>
    </w:p>
    <w:p w14:paraId="7BAC04CE"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Akingunola</w:t>
      </w:r>
      <w:proofErr w:type="spellEnd"/>
      <w:r w:rsidRPr="00344FD1">
        <w:rPr>
          <w:rFonts w:eastAsia="Times New Roman" w:cs="Times New Roman"/>
          <w:szCs w:val="24"/>
        </w:rPr>
        <w:t xml:space="preserve">, R. O., Olusegun, A. A., &amp; </w:t>
      </w:r>
      <w:proofErr w:type="spellStart"/>
      <w:r w:rsidRPr="00344FD1">
        <w:rPr>
          <w:rFonts w:eastAsia="Times New Roman" w:cs="Times New Roman"/>
          <w:szCs w:val="24"/>
        </w:rPr>
        <w:t>Adedipe</w:t>
      </w:r>
      <w:proofErr w:type="spellEnd"/>
      <w:r w:rsidRPr="00344FD1">
        <w:rPr>
          <w:rFonts w:eastAsia="Times New Roman" w:cs="Times New Roman"/>
          <w:szCs w:val="24"/>
        </w:rPr>
        <w:t xml:space="preserve">, A. (2023). Strategic planning and firm performance: Evidence from Nigerian retail enterprises. </w:t>
      </w:r>
      <w:r w:rsidRPr="00344FD1">
        <w:rPr>
          <w:rFonts w:eastAsia="Times New Roman" w:cs="Times New Roman"/>
          <w:i/>
          <w:iCs/>
          <w:szCs w:val="24"/>
        </w:rPr>
        <w:t>Journal of Business and Management Research, 12</w:t>
      </w:r>
      <w:r w:rsidRPr="00344FD1">
        <w:rPr>
          <w:rFonts w:eastAsia="Times New Roman" w:cs="Times New Roman"/>
          <w:szCs w:val="24"/>
        </w:rPr>
        <w:t>(1), 45–61.</w:t>
      </w:r>
    </w:p>
    <w:p w14:paraId="1141491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Ali, B. J., &amp; Anwar, G. (2021). Strategic leadership effectiveness and its influence on organizational effectiveness. </w:t>
      </w:r>
      <w:r w:rsidRPr="00344FD1">
        <w:rPr>
          <w:rFonts w:eastAsia="Times New Roman" w:cs="Times New Roman"/>
          <w:i/>
          <w:iCs/>
          <w:szCs w:val="24"/>
        </w:rPr>
        <w:t>International Journal of Electrical, Electronics and Computers, 6</w:t>
      </w:r>
      <w:r w:rsidRPr="00344FD1">
        <w:rPr>
          <w:rFonts w:eastAsia="Times New Roman" w:cs="Times New Roman"/>
          <w:szCs w:val="24"/>
        </w:rPr>
        <w:t>(2).</w:t>
      </w:r>
    </w:p>
    <w:p w14:paraId="109D29A8"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Al-Tamimi, H. A., &amp; Mahmood, R. (2023). Strategic management practices and </w:t>
      </w:r>
      <w:proofErr w:type="spellStart"/>
      <w:r w:rsidRPr="00344FD1">
        <w:rPr>
          <w:rFonts w:eastAsia="Times New Roman" w:cs="Times New Roman"/>
          <w:szCs w:val="24"/>
        </w:rPr>
        <w:t>organisational</w:t>
      </w:r>
      <w:proofErr w:type="spellEnd"/>
      <w:r w:rsidRPr="00344FD1">
        <w:rPr>
          <w:rFonts w:eastAsia="Times New Roman" w:cs="Times New Roman"/>
          <w:szCs w:val="24"/>
        </w:rPr>
        <w:t xml:space="preserve"> performance: A study of retail firms in the Middle East. </w:t>
      </w:r>
      <w:r w:rsidRPr="00344FD1">
        <w:rPr>
          <w:rFonts w:eastAsia="Times New Roman" w:cs="Times New Roman"/>
          <w:i/>
          <w:iCs/>
          <w:szCs w:val="24"/>
        </w:rPr>
        <w:t>International Journal of Strategic Management, 20</w:t>
      </w:r>
      <w:r w:rsidRPr="00344FD1">
        <w:rPr>
          <w:rFonts w:eastAsia="Times New Roman" w:cs="Times New Roman"/>
          <w:szCs w:val="24"/>
        </w:rPr>
        <w:t>(3), 112–128.</w:t>
      </w:r>
    </w:p>
    <w:p w14:paraId="7853DE01"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Apaydin, M., Jiang, G. F., </w:t>
      </w:r>
      <w:proofErr w:type="spellStart"/>
      <w:r w:rsidRPr="00344FD1">
        <w:rPr>
          <w:rFonts w:eastAsia="Times New Roman" w:cs="Times New Roman"/>
          <w:szCs w:val="24"/>
        </w:rPr>
        <w:t>Demirbag</w:t>
      </w:r>
      <w:proofErr w:type="spellEnd"/>
      <w:r w:rsidRPr="00344FD1">
        <w:rPr>
          <w:rFonts w:eastAsia="Times New Roman" w:cs="Times New Roman"/>
          <w:szCs w:val="24"/>
        </w:rPr>
        <w:t xml:space="preserve">, M., &amp; Jamali, D. (2021). The importance of corporate social responsibility strategic fit and times of economic hardship. </w:t>
      </w:r>
      <w:r w:rsidRPr="00344FD1">
        <w:rPr>
          <w:rFonts w:eastAsia="Times New Roman" w:cs="Times New Roman"/>
          <w:i/>
          <w:iCs/>
          <w:szCs w:val="24"/>
        </w:rPr>
        <w:t>British Journal of Management, 32</w:t>
      </w:r>
      <w:r w:rsidRPr="00344FD1">
        <w:rPr>
          <w:rFonts w:eastAsia="Times New Roman" w:cs="Times New Roman"/>
          <w:szCs w:val="24"/>
        </w:rPr>
        <w:t>(2), 399–415.</w:t>
      </w:r>
    </w:p>
    <w:p w14:paraId="4478D39C"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Bogers, M., Chesbrough, H., Heaton, S., &amp; Teece, D. J. (2019). Strategic management of open innovation: A dynamic capabilities perspective. </w:t>
      </w:r>
      <w:r w:rsidRPr="00344FD1">
        <w:rPr>
          <w:rFonts w:eastAsia="Times New Roman" w:cs="Times New Roman"/>
          <w:i/>
          <w:iCs/>
          <w:szCs w:val="24"/>
        </w:rPr>
        <w:t>California Management Review, 62</w:t>
      </w:r>
      <w:r w:rsidRPr="00344FD1">
        <w:rPr>
          <w:rFonts w:eastAsia="Times New Roman" w:cs="Times New Roman"/>
          <w:szCs w:val="24"/>
        </w:rPr>
        <w:t>(1), 77–94.</w:t>
      </w:r>
    </w:p>
    <w:p w14:paraId="6A5ADC4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Cheboi, D. J., </w:t>
      </w:r>
      <w:proofErr w:type="spellStart"/>
      <w:r w:rsidRPr="00344FD1">
        <w:rPr>
          <w:rFonts w:eastAsia="Times New Roman" w:cs="Times New Roman"/>
          <w:szCs w:val="24"/>
        </w:rPr>
        <w:t>Mulili</w:t>
      </w:r>
      <w:proofErr w:type="spellEnd"/>
      <w:r w:rsidRPr="00344FD1">
        <w:rPr>
          <w:rFonts w:eastAsia="Times New Roman" w:cs="Times New Roman"/>
          <w:szCs w:val="24"/>
        </w:rPr>
        <w:t xml:space="preserve">, B., &amp; </w:t>
      </w:r>
      <w:proofErr w:type="spellStart"/>
      <w:r w:rsidRPr="00344FD1">
        <w:rPr>
          <w:rFonts w:eastAsia="Times New Roman" w:cs="Times New Roman"/>
          <w:szCs w:val="24"/>
        </w:rPr>
        <w:t>Nyiva</w:t>
      </w:r>
      <w:proofErr w:type="spellEnd"/>
      <w:r w:rsidRPr="00344FD1">
        <w:rPr>
          <w:rFonts w:eastAsia="Times New Roman" w:cs="Times New Roman"/>
          <w:szCs w:val="24"/>
        </w:rPr>
        <w:t xml:space="preserve">, M. (2022). Strategic alliances and firm competitiveness: A survey of supermarkets in Nairobi-Kenya. </w:t>
      </w:r>
      <w:r w:rsidRPr="00344FD1">
        <w:rPr>
          <w:rFonts w:eastAsia="Times New Roman" w:cs="Times New Roman"/>
          <w:i/>
          <w:iCs/>
          <w:szCs w:val="24"/>
        </w:rPr>
        <w:t>Journal of Strategic Management, 6</w:t>
      </w:r>
      <w:r w:rsidRPr="00344FD1">
        <w:rPr>
          <w:rFonts w:eastAsia="Times New Roman" w:cs="Times New Roman"/>
          <w:szCs w:val="24"/>
        </w:rPr>
        <w:t>(2), 11–24.</w:t>
      </w:r>
    </w:p>
    <w:p w14:paraId="3AC0F951"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Cheboi, J., Maina, J., &amp; Kosgei, D. (2022). Resource allocation and performance of supermarket chains in Kenya. </w:t>
      </w:r>
      <w:r w:rsidRPr="00344FD1">
        <w:rPr>
          <w:rFonts w:eastAsia="Times New Roman" w:cs="Times New Roman"/>
          <w:i/>
          <w:iCs/>
          <w:szCs w:val="24"/>
        </w:rPr>
        <w:t>African Journal of Business and Economic Research, 17</w:t>
      </w:r>
      <w:r w:rsidRPr="00344FD1">
        <w:rPr>
          <w:rFonts w:eastAsia="Times New Roman" w:cs="Times New Roman"/>
          <w:szCs w:val="24"/>
        </w:rPr>
        <w:t>(2), 89–107.</w:t>
      </w:r>
    </w:p>
    <w:p w14:paraId="18295F6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Chiarelli, A. (2021). The impact of dynamic capabilities and market orientation on firm performance: A case study of higher education consulting firms. </w:t>
      </w:r>
      <w:r w:rsidRPr="00344FD1">
        <w:rPr>
          <w:rFonts w:eastAsia="Times New Roman" w:cs="Times New Roman"/>
          <w:i/>
          <w:iCs/>
          <w:szCs w:val="24"/>
        </w:rPr>
        <w:t>Small Business International Review, 5</w:t>
      </w:r>
      <w:r w:rsidRPr="00344FD1">
        <w:rPr>
          <w:rFonts w:eastAsia="Times New Roman" w:cs="Times New Roman"/>
          <w:szCs w:val="24"/>
        </w:rPr>
        <w:t>(1), e312.</w:t>
      </w:r>
    </w:p>
    <w:p w14:paraId="063D0CF8"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Chikán</w:t>
      </w:r>
      <w:proofErr w:type="spellEnd"/>
      <w:r w:rsidRPr="00344FD1">
        <w:rPr>
          <w:rFonts w:eastAsia="Times New Roman" w:cs="Times New Roman"/>
          <w:szCs w:val="24"/>
        </w:rPr>
        <w:t>, A., Czakó, E., Kiss-</w:t>
      </w:r>
      <w:proofErr w:type="spellStart"/>
      <w:r w:rsidRPr="00344FD1">
        <w:rPr>
          <w:rFonts w:eastAsia="Times New Roman" w:cs="Times New Roman"/>
          <w:szCs w:val="24"/>
        </w:rPr>
        <w:t>Dobronyi</w:t>
      </w:r>
      <w:proofErr w:type="spellEnd"/>
      <w:r w:rsidRPr="00344FD1">
        <w:rPr>
          <w:rFonts w:eastAsia="Times New Roman" w:cs="Times New Roman"/>
          <w:szCs w:val="24"/>
        </w:rPr>
        <w:t xml:space="preserve">, B., &amp; </w:t>
      </w:r>
      <w:proofErr w:type="spellStart"/>
      <w:r w:rsidRPr="00344FD1">
        <w:rPr>
          <w:rFonts w:eastAsia="Times New Roman" w:cs="Times New Roman"/>
          <w:szCs w:val="24"/>
        </w:rPr>
        <w:t>Losonci</w:t>
      </w:r>
      <w:proofErr w:type="spellEnd"/>
      <w:r w:rsidRPr="00344FD1">
        <w:rPr>
          <w:rFonts w:eastAsia="Times New Roman" w:cs="Times New Roman"/>
          <w:szCs w:val="24"/>
        </w:rPr>
        <w:t xml:space="preserve">, D. (2022). Firm competitiveness: A general model and a manufacturing application. </w:t>
      </w:r>
      <w:r w:rsidRPr="00344FD1">
        <w:rPr>
          <w:rFonts w:eastAsia="Times New Roman" w:cs="Times New Roman"/>
          <w:i/>
          <w:iCs/>
          <w:szCs w:val="24"/>
        </w:rPr>
        <w:t>International Journal of Production Economics, 243</w:t>
      </w:r>
      <w:r w:rsidRPr="00344FD1">
        <w:rPr>
          <w:rFonts w:eastAsia="Times New Roman" w:cs="Times New Roman"/>
          <w:szCs w:val="24"/>
        </w:rPr>
        <w:t>, 108316.</w:t>
      </w:r>
    </w:p>
    <w:p w14:paraId="6F273BD1"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Correia, R. J., Dias, J. G., &amp; Teixeira, M. S. (2020). Dynamic capabilities and competitive advantages as mediator variables between market orientation and business performance. </w:t>
      </w:r>
      <w:r w:rsidRPr="00344FD1">
        <w:rPr>
          <w:rFonts w:eastAsia="Times New Roman" w:cs="Times New Roman"/>
          <w:i/>
          <w:iCs/>
          <w:szCs w:val="24"/>
        </w:rPr>
        <w:t>Journal of Strategy and Management, 14</w:t>
      </w:r>
      <w:r w:rsidRPr="00344FD1">
        <w:rPr>
          <w:rFonts w:eastAsia="Times New Roman" w:cs="Times New Roman"/>
          <w:szCs w:val="24"/>
        </w:rPr>
        <w:t>(2), 187–206.</w:t>
      </w:r>
    </w:p>
    <w:p w14:paraId="4F2EA3D5"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Cortes, A. F., &amp; Herrmann, P. (2021). Strategic leadership of innovation: A framework for future research. </w:t>
      </w:r>
      <w:r w:rsidRPr="00344FD1">
        <w:rPr>
          <w:rFonts w:eastAsia="Times New Roman" w:cs="Times New Roman"/>
          <w:i/>
          <w:iCs/>
          <w:szCs w:val="24"/>
        </w:rPr>
        <w:t>International Journal of Management Reviews, 23</w:t>
      </w:r>
      <w:r w:rsidRPr="00344FD1">
        <w:rPr>
          <w:rFonts w:eastAsia="Times New Roman" w:cs="Times New Roman"/>
          <w:szCs w:val="24"/>
        </w:rPr>
        <w:t>(2), 224–243.</w:t>
      </w:r>
    </w:p>
    <w:p w14:paraId="4B4FF33A"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Das, P., Perera, S., Senaratne, S., &amp; Osei-Kyei, R. (2025). A smart modern construction enterprise maturity model for business scenarios leading to Industry 4.0. </w:t>
      </w:r>
      <w:r w:rsidRPr="00344FD1">
        <w:rPr>
          <w:rFonts w:eastAsia="Times New Roman" w:cs="Times New Roman"/>
          <w:i/>
          <w:iCs/>
          <w:szCs w:val="24"/>
        </w:rPr>
        <w:t>Smart and Sustainable Built Environment, 14</w:t>
      </w:r>
      <w:r w:rsidRPr="00344FD1">
        <w:rPr>
          <w:rFonts w:eastAsia="Times New Roman" w:cs="Times New Roman"/>
          <w:szCs w:val="24"/>
        </w:rPr>
        <w:t>(1), 23–49.</w:t>
      </w:r>
    </w:p>
    <w:p w14:paraId="5532D189"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Druhova</w:t>
      </w:r>
      <w:proofErr w:type="spellEnd"/>
      <w:r w:rsidRPr="00344FD1">
        <w:rPr>
          <w:rFonts w:eastAsia="Times New Roman" w:cs="Times New Roman"/>
          <w:szCs w:val="24"/>
        </w:rPr>
        <w:t xml:space="preserve">, O., &amp; </w:t>
      </w:r>
      <w:proofErr w:type="spellStart"/>
      <w:r w:rsidRPr="00344FD1">
        <w:rPr>
          <w:rFonts w:eastAsia="Times New Roman" w:cs="Times New Roman"/>
          <w:szCs w:val="24"/>
        </w:rPr>
        <w:t>Mosumova</w:t>
      </w:r>
      <w:proofErr w:type="spellEnd"/>
      <w:r w:rsidRPr="00344FD1">
        <w:rPr>
          <w:rFonts w:eastAsia="Times New Roman" w:cs="Times New Roman"/>
          <w:szCs w:val="24"/>
        </w:rPr>
        <w:t>, A. (2024). Competitiveness as a key factor in successful strategic business management.</w:t>
      </w:r>
    </w:p>
    <w:p w14:paraId="199D49F7"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lastRenderedPageBreak/>
        <w:t xml:space="preserve">Dubey, U. K. B., &amp; Kothari, D. P. (2022). </w:t>
      </w:r>
      <w:r w:rsidRPr="00344FD1">
        <w:rPr>
          <w:rFonts w:eastAsia="Times New Roman" w:cs="Times New Roman"/>
          <w:i/>
          <w:iCs/>
          <w:szCs w:val="24"/>
        </w:rPr>
        <w:t>Research methodology: Techniques and trends</w:t>
      </w:r>
      <w:r w:rsidRPr="00344FD1">
        <w:rPr>
          <w:rFonts w:eastAsia="Times New Roman" w:cs="Times New Roman"/>
          <w:szCs w:val="24"/>
        </w:rPr>
        <w:t>. Chapman and Hall/CRC.</w:t>
      </w:r>
    </w:p>
    <w:p w14:paraId="422B505D"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Ferlie, E., &amp; Ongaro, E. (2022). </w:t>
      </w:r>
      <w:r w:rsidRPr="00344FD1">
        <w:rPr>
          <w:rFonts w:eastAsia="Times New Roman" w:cs="Times New Roman"/>
          <w:i/>
          <w:iCs/>
          <w:szCs w:val="24"/>
        </w:rPr>
        <w:t>Strategic management in public services organizations: Concepts, schools and contemporary issues</w:t>
      </w:r>
      <w:r w:rsidRPr="00344FD1">
        <w:rPr>
          <w:rFonts w:eastAsia="Times New Roman" w:cs="Times New Roman"/>
          <w:szCs w:val="24"/>
        </w:rPr>
        <w:t>. Routledge.</w:t>
      </w:r>
    </w:p>
    <w:p w14:paraId="12B6CC2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Finkelstein, S., Hambrick, D. C., &amp; Cannella, A. A. (2009). </w:t>
      </w:r>
      <w:r w:rsidRPr="00344FD1">
        <w:rPr>
          <w:rFonts w:eastAsia="Times New Roman" w:cs="Times New Roman"/>
          <w:i/>
          <w:iCs/>
          <w:szCs w:val="24"/>
        </w:rPr>
        <w:t>Strategic leadership: Theory and research on executives, top management teams, and boards</w:t>
      </w:r>
      <w:r w:rsidRPr="00344FD1">
        <w:rPr>
          <w:rFonts w:eastAsia="Times New Roman" w:cs="Times New Roman"/>
          <w:szCs w:val="24"/>
        </w:rPr>
        <w:t>. Oxford University Press.</w:t>
      </w:r>
    </w:p>
    <w:p w14:paraId="09C2381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Fuertes, G., Alfaro, M., Vargas, M., Gutierrez, S., </w:t>
      </w:r>
      <w:proofErr w:type="spellStart"/>
      <w:r w:rsidRPr="00344FD1">
        <w:rPr>
          <w:rFonts w:eastAsia="Times New Roman" w:cs="Times New Roman"/>
          <w:szCs w:val="24"/>
        </w:rPr>
        <w:t>Ternero</w:t>
      </w:r>
      <w:proofErr w:type="spellEnd"/>
      <w:r w:rsidRPr="00344FD1">
        <w:rPr>
          <w:rFonts w:eastAsia="Times New Roman" w:cs="Times New Roman"/>
          <w:szCs w:val="24"/>
        </w:rPr>
        <w:t xml:space="preserve">, R., &amp; </w:t>
      </w:r>
      <w:proofErr w:type="spellStart"/>
      <w:r w:rsidRPr="00344FD1">
        <w:rPr>
          <w:rFonts w:eastAsia="Times New Roman" w:cs="Times New Roman"/>
          <w:szCs w:val="24"/>
        </w:rPr>
        <w:t>Sabattin</w:t>
      </w:r>
      <w:proofErr w:type="spellEnd"/>
      <w:r w:rsidRPr="00344FD1">
        <w:rPr>
          <w:rFonts w:eastAsia="Times New Roman" w:cs="Times New Roman"/>
          <w:szCs w:val="24"/>
        </w:rPr>
        <w:t xml:space="preserve">, J. (2020). Conceptual framework for the strategic management: A literature review—descriptive. </w:t>
      </w:r>
      <w:r w:rsidRPr="00344FD1">
        <w:rPr>
          <w:rFonts w:eastAsia="Times New Roman" w:cs="Times New Roman"/>
          <w:i/>
          <w:iCs/>
          <w:szCs w:val="24"/>
        </w:rPr>
        <w:t>Journal of Engineering, 2020</w:t>
      </w:r>
      <w:r w:rsidRPr="00344FD1">
        <w:rPr>
          <w:rFonts w:eastAsia="Times New Roman" w:cs="Times New Roman"/>
          <w:szCs w:val="24"/>
        </w:rPr>
        <w:t>(1), 6253013.</w:t>
      </w:r>
    </w:p>
    <w:p w14:paraId="7AEE172D"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Ghonim, M. A., </w:t>
      </w:r>
      <w:proofErr w:type="spellStart"/>
      <w:r w:rsidRPr="00344FD1">
        <w:rPr>
          <w:rFonts w:eastAsia="Times New Roman" w:cs="Times New Roman"/>
          <w:szCs w:val="24"/>
        </w:rPr>
        <w:t>Khashaba</w:t>
      </w:r>
      <w:proofErr w:type="spellEnd"/>
      <w:r w:rsidRPr="00344FD1">
        <w:rPr>
          <w:rFonts w:eastAsia="Times New Roman" w:cs="Times New Roman"/>
          <w:szCs w:val="24"/>
        </w:rPr>
        <w:t>, N. M., Al-</w:t>
      </w:r>
      <w:proofErr w:type="spellStart"/>
      <w:r w:rsidRPr="00344FD1">
        <w:rPr>
          <w:rFonts w:eastAsia="Times New Roman" w:cs="Times New Roman"/>
          <w:szCs w:val="24"/>
        </w:rPr>
        <w:t>Najaar</w:t>
      </w:r>
      <w:proofErr w:type="spellEnd"/>
      <w:r w:rsidRPr="00344FD1">
        <w:rPr>
          <w:rFonts w:eastAsia="Times New Roman" w:cs="Times New Roman"/>
          <w:szCs w:val="24"/>
        </w:rPr>
        <w:t xml:space="preserve">, H. M., &amp; Khashan, M. A. (2022). Strategic alignment and its impact on decision effectiveness: A comprehensive model. </w:t>
      </w:r>
      <w:r w:rsidRPr="00344FD1">
        <w:rPr>
          <w:rFonts w:eastAsia="Times New Roman" w:cs="Times New Roman"/>
          <w:i/>
          <w:iCs/>
          <w:szCs w:val="24"/>
        </w:rPr>
        <w:t>International Journal of Emerging Markets, 17</w:t>
      </w:r>
      <w:r w:rsidRPr="00344FD1">
        <w:rPr>
          <w:rFonts w:eastAsia="Times New Roman" w:cs="Times New Roman"/>
          <w:szCs w:val="24"/>
        </w:rPr>
        <w:t>(1), 198–218.</w:t>
      </w:r>
    </w:p>
    <w:p w14:paraId="1AFC173B"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Gohr, C. F., &amp; Rodrigues, B. C. B. (2025). Dynamic capabilities as enablers for sustainability‐oriented innovation: A case study in a footwear industry. </w:t>
      </w:r>
      <w:r w:rsidRPr="00344FD1">
        <w:rPr>
          <w:rFonts w:eastAsia="Times New Roman" w:cs="Times New Roman"/>
          <w:i/>
          <w:iCs/>
          <w:szCs w:val="24"/>
        </w:rPr>
        <w:t>Business Strategy and the Environment, 34</w:t>
      </w:r>
      <w:r w:rsidRPr="00344FD1">
        <w:rPr>
          <w:rFonts w:eastAsia="Times New Roman" w:cs="Times New Roman"/>
          <w:szCs w:val="24"/>
        </w:rPr>
        <w:t>(3), 3114–3140.</w:t>
      </w:r>
    </w:p>
    <w:p w14:paraId="5413EBE7"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Hassan, M., &amp; Salem, F. (2021). Brand positioning and the performance of multinational retail firms in emerging markets. </w:t>
      </w:r>
      <w:r w:rsidRPr="00344FD1">
        <w:rPr>
          <w:rFonts w:eastAsia="Times New Roman" w:cs="Times New Roman"/>
          <w:i/>
          <w:iCs/>
          <w:szCs w:val="24"/>
        </w:rPr>
        <w:t>Journal of Retailing and Consumer Services, 58</w:t>
      </w:r>
      <w:r w:rsidRPr="00344FD1">
        <w:rPr>
          <w:rFonts w:eastAsia="Times New Roman" w:cs="Times New Roman"/>
          <w:szCs w:val="24"/>
        </w:rPr>
        <w:t xml:space="preserve">, 102–117. </w:t>
      </w:r>
      <w:hyperlink r:id="rId7" w:tgtFrame="_new" w:history="1">
        <w:r w:rsidRPr="00344FD1">
          <w:rPr>
            <w:rFonts w:eastAsia="Times New Roman" w:cs="Times New Roman"/>
            <w:color w:val="0000FF"/>
            <w:szCs w:val="24"/>
            <w:u w:val="single"/>
          </w:rPr>
          <w:t>https://doi.org/10.1016/j.jretconser.2020.102300</w:t>
        </w:r>
      </w:hyperlink>
    </w:p>
    <w:p w14:paraId="1B4DE2F9"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Hassan, M., &amp; Salem, M. (2021). Brand positioning and performance of multinational retail firms in the Middle East. </w:t>
      </w:r>
      <w:r w:rsidRPr="00344FD1">
        <w:rPr>
          <w:rFonts w:eastAsia="Times New Roman" w:cs="Times New Roman"/>
          <w:i/>
          <w:iCs/>
          <w:szCs w:val="24"/>
        </w:rPr>
        <w:t>Journal of Retailing and Consumer Services, 61</w:t>
      </w:r>
      <w:r w:rsidRPr="00344FD1">
        <w:rPr>
          <w:rFonts w:eastAsia="Times New Roman" w:cs="Times New Roman"/>
          <w:szCs w:val="24"/>
        </w:rPr>
        <w:t>, 102523.</w:t>
      </w:r>
    </w:p>
    <w:p w14:paraId="16092D12"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Henry, A. (2021). </w:t>
      </w:r>
      <w:r w:rsidRPr="00344FD1">
        <w:rPr>
          <w:rFonts w:eastAsia="Times New Roman" w:cs="Times New Roman"/>
          <w:i/>
          <w:iCs/>
          <w:szCs w:val="24"/>
        </w:rPr>
        <w:t>Understanding strategic management</w:t>
      </w:r>
      <w:r w:rsidRPr="00344FD1">
        <w:rPr>
          <w:rFonts w:eastAsia="Times New Roman" w:cs="Times New Roman"/>
          <w:szCs w:val="24"/>
        </w:rPr>
        <w:t>. Oxford University Press.</w:t>
      </w:r>
    </w:p>
    <w:p w14:paraId="7912D15E"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Iyer, P., Davari, A., </w:t>
      </w:r>
      <w:proofErr w:type="spellStart"/>
      <w:r w:rsidRPr="00344FD1">
        <w:rPr>
          <w:rFonts w:eastAsia="Times New Roman" w:cs="Times New Roman"/>
          <w:szCs w:val="24"/>
        </w:rPr>
        <w:t>Zolfagharian</w:t>
      </w:r>
      <w:proofErr w:type="spellEnd"/>
      <w:r w:rsidRPr="00344FD1">
        <w:rPr>
          <w:rFonts w:eastAsia="Times New Roman" w:cs="Times New Roman"/>
          <w:szCs w:val="24"/>
        </w:rPr>
        <w:t xml:space="preserve">, M., &amp; Paswan, A. (2019). Market orientation, positioning strategy and brand performance. </w:t>
      </w:r>
      <w:r w:rsidRPr="00344FD1">
        <w:rPr>
          <w:rFonts w:eastAsia="Times New Roman" w:cs="Times New Roman"/>
          <w:i/>
          <w:iCs/>
          <w:szCs w:val="24"/>
        </w:rPr>
        <w:t>Industrial Marketing Management, 81</w:t>
      </w:r>
      <w:r w:rsidRPr="00344FD1">
        <w:rPr>
          <w:rFonts w:eastAsia="Times New Roman" w:cs="Times New Roman"/>
          <w:szCs w:val="24"/>
        </w:rPr>
        <w:t xml:space="preserve">, 16–29. </w:t>
      </w:r>
      <w:hyperlink r:id="rId8" w:tgtFrame="_new" w:history="1">
        <w:r w:rsidRPr="00344FD1">
          <w:rPr>
            <w:rFonts w:eastAsia="Times New Roman" w:cs="Times New Roman"/>
            <w:color w:val="0000FF"/>
            <w:szCs w:val="24"/>
            <w:u w:val="single"/>
          </w:rPr>
          <w:t>https://doi.org/10.1016/j.indmarman.2018.11.004</w:t>
        </w:r>
      </w:hyperlink>
    </w:p>
    <w:p w14:paraId="61F70E7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Kanano</w:t>
      </w:r>
      <w:proofErr w:type="spellEnd"/>
      <w:r w:rsidRPr="00344FD1">
        <w:rPr>
          <w:rFonts w:eastAsia="Times New Roman" w:cs="Times New Roman"/>
          <w:szCs w:val="24"/>
        </w:rPr>
        <w:t xml:space="preserve">, A. G., &amp; Wanjira, J. (2021). Strategic management practices and performance of supermarkets in Nakuru County, Kenya. </w:t>
      </w:r>
      <w:r w:rsidRPr="00344FD1">
        <w:rPr>
          <w:rFonts w:eastAsia="Times New Roman" w:cs="Times New Roman"/>
          <w:i/>
          <w:iCs/>
          <w:szCs w:val="24"/>
        </w:rPr>
        <w:t>International Academic Journal of Human Resource and Business Administration, 3</w:t>
      </w:r>
      <w:r w:rsidRPr="00344FD1">
        <w:rPr>
          <w:rFonts w:eastAsia="Times New Roman" w:cs="Times New Roman"/>
          <w:szCs w:val="24"/>
        </w:rPr>
        <w:t>(9), 385–399.</w:t>
      </w:r>
    </w:p>
    <w:p w14:paraId="5DF1D24D"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Kanano</w:t>
      </w:r>
      <w:proofErr w:type="spellEnd"/>
      <w:r w:rsidRPr="00344FD1">
        <w:rPr>
          <w:rFonts w:eastAsia="Times New Roman" w:cs="Times New Roman"/>
          <w:szCs w:val="24"/>
        </w:rPr>
        <w:t xml:space="preserve">, M., &amp; Wanjira, J. (2021). Strategic management practices and performance of supermarkets in Nairobi County, Kenya. </w:t>
      </w:r>
      <w:r w:rsidRPr="00344FD1">
        <w:rPr>
          <w:rFonts w:eastAsia="Times New Roman" w:cs="Times New Roman"/>
          <w:i/>
          <w:iCs/>
          <w:szCs w:val="24"/>
        </w:rPr>
        <w:t>Journal of Business and Strategic Management, 6</w:t>
      </w:r>
      <w:r w:rsidRPr="00344FD1">
        <w:rPr>
          <w:rFonts w:eastAsia="Times New Roman" w:cs="Times New Roman"/>
          <w:szCs w:val="24"/>
        </w:rPr>
        <w:t xml:space="preserve">(3), 1–19. </w:t>
      </w:r>
      <w:hyperlink r:id="rId9" w:tgtFrame="_new" w:history="1">
        <w:r w:rsidRPr="00344FD1">
          <w:rPr>
            <w:rFonts w:eastAsia="Times New Roman" w:cs="Times New Roman"/>
            <w:color w:val="0000FF"/>
            <w:szCs w:val="24"/>
            <w:u w:val="single"/>
          </w:rPr>
          <w:t>https://doi.org/10.47604/jbsm.1324</w:t>
        </w:r>
      </w:hyperlink>
    </w:p>
    <w:p w14:paraId="211DB83B"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Karanja, J. G., &amp; Mwema, F. M. (2022). Niche positioning strategies and performance of ICT service providers in Nairobi City County, Kenya. </w:t>
      </w:r>
      <w:r w:rsidRPr="00344FD1">
        <w:rPr>
          <w:rFonts w:eastAsia="Times New Roman" w:cs="Times New Roman"/>
          <w:i/>
          <w:iCs/>
          <w:szCs w:val="24"/>
        </w:rPr>
        <w:t>International Journal of Strategic Management, 11</w:t>
      </w:r>
      <w:r w:rsidRPr="00344FD1">
        <w:rPr>
          <w:rFonts w:eastAsia="Times New Roman" w:cs="Times New Roman"/>
          <w:szCs w:val="24"/>
        </w:rPr>
        <w:t>(2), 45–58.</w:t>
      </w:r>
    </w:p>
    <w:p w14:paraId="0C31644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Kasraie</w:t>
      </w:r>
      <w:proofErr w:type="spellEnd"/>
      <w:r w:rsidRPr="00344FD1">
        <w:rPr>
          <w:rFonts w:eastAsia="Times New Roman" w:cs="Times New Roman"/>
          <w:szCs w:val="24"/>
        </w:rPr>
        <w:t xml:space="preserve">, S. (2019). </w:t>
      </w:r>
      <w:r w:rsidRPr="00344FD1">
        <w:rPr>
          <w:rFonts w:eastAsia="Times New Roman" w:cs="Times New Roman"/>
          <w:i/>
          <w:iCs/>
          <w:szCs w:val="24"/>
        </w:rPr>
        <w:t xml:space="preserve">The relationship between leadership, </w:t>
      </w:r>
      <w:proofErr w:type="spellStart"/>
      <w:r w:rsidRPr="00344FD1">
        <w:rPr>
          <w:rFonts w:eastAsia="Times New Roman" w:cs="Times New Roman"/>
          <w:i/>
          <w:iCs/>
          <w:szCs w:val="24"/>
        </w:rPr>
        <w:t>organisational</w:t>
      </w:r>
      <w:proofErr w:type="spellEnd"/>
      <w:r w:rsidRPr="00344FD1">
        <w:rPr>
          <w:rFonts w:eastAsia="Times New Roman" w:cs="Times New Roman"/>
          <w:i/>
          <w:iCs/>
          <w:szCs w:val="24"/>
        </w:rPr>
        <w:t xml:space="preserve"> culture and </w:t>
      </w:r>
      <w:proofErr w:type="spellStart"/>
      <w:r w:rsidRPr="00344FD1">
        <w:rPr>
          <w:rFonts w:eastAsia="Times New Roman" w:cs="Times New Roman"/>
          <w:i/>
          <w:iCs/>
          <w:szCs w:val="24"/>
        </w:rPr>
        <w:t>organisational</w:t>
      </w:r>
      <w:proofErr w:type="spellEnd"/>
      <w:r w:rsidRPr="00344FD1">
        <w:rPr>
          <w:rFonts w:eastAsia="Times New Roman" w:cs="Times New Roman"/>
          <w:i/>
          <w:iCs/>
          <w:szCs w:val="24"/>
        </w:rPr>
        <w:t xml:space="preserve"> performance in Australian SMEs</w:t>
      </w:r>
      <w:r w:rsidRPr="00344FD1">
        <w:rPr>
          <w:rFonts w:eastAsia="Times New Roman" w:cs="Times New Roman"/>
          <w:szCs w:val="24"/>
        </w:rPr>
        <w:t xml:space="preserve"> [Doctoral dissertation, RMIT University].</w:t>
      </w:r>
    </w:p>
    <w:p w14:paraId="5DE013FD"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Keller, K. L., &amp; Kotler, P. (2022). </w:t>
      </w:r>
      <w:r w:rsidRPr="00344FD1">
        <w:rPr>
          <w:rFonts w:eastAsia="Times New Roman" w:cs="Times New Roman"/>
          <w:i/>
          <w:iCs/>
          <w:szCs w:val="24"/>
        </w:rPr>
        <w:t>Strategic brand management: Building, measuring, and managing brand equity</w:t>
      </w:r>
      <w:r w:rsidRPr="00344FD1">
        <w:rPr>
          <w:rFonts w:eastAsia="Times New Roman" w:cs="Times New Roman"/>
          <w:szCs w:val="24"/>
        </w:rPr>
        <w:t xml:space="preserve"> (5th ed.). Pearson Education.</w:t>
      </w:r>
    </w:p>
    <w:p w14:paraId="786BACD8"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Kipkoech, S., &amp; Bett, H. (2023). ICT infrastructure investment and operational performance in Kenyan supermarkets. </w:t>
      </w:r>
      <w:r w:rsidRPr="00344FD1">
        <w:rPr>
          <w:rFonts w:eastAsia="Times New Roman" w:cs="Times New Roman"/>
          <w:i/>
          <w:iCs/>
          <w:szCs w:val="24"/>
        </w:rPr>
        <w:t>East African Journal of Business and Economics, 5</w:t>
      </w:r>
      <w:r w:rsidRPr="00344FD1">
        <w:rPr>
          <w:rFonts w:eastAsia="Times New Roman" w:cs="Times New Roman"/>
          <w:szCs w:val="24"/>
        </w:rPr>
        <w:t>(1), 34–52.</w:t>
      </w:r>
    </w:p>
    <w:p w14:paraId="55D2D5CD"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lastRenderedPageBreak/>
        <w:t xml:space="preserve">Kiptoo, I., &amp; Jeptoo Sawe, C. (2022). Strategic leadership practices on organizational performance: A case study of Kenya Ports Authority. </w:t>
      </w:r>
      <w:r w:rsidRPr="00344FD1">
        <w:rPr>
          <w:rFonts w:eastAsia="Times New Roman" w:cs="Times New Roman"/>
          <w:i/>
          <w:iCs/>
          <w:szCs w:val="24"/>
        </w:rPr>
        <w:t>Asian Journal of Economics, Business and Accounting</w:t>
      </w:r>
      <w:r w:rsidRPr="00344FD1">
        <w:rPr>
          <w:rFonts w:eastAsia="Times New Roman" w:cs="Times New Roman"/>
          <w:szCs w:val="24"/>
        </w:rPr>
        <w:t>.</w:t>
      </w:r>
    </w:p>
    <w:p w14:paraId="1460F2B7"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Kotabe</w:t>
      </w:r>
      <w:proofErr w:type="spellEnd"/>
      <w:r w:rsidRPr="00344FD1">
        <w:rPr>
          <w:rFonts w:eastAsia="Times New Roman" w:cs="Times New Roman"/>
          <w:szCs w:val="24"/>
        </w:rPr>
        <w:t xml:space="preserve">, M., &amp; Helsen, K. (2021). </w:t>
      </w:r>
      <w:r w:rsidRPr="00344FD1">
        <w:rPr>
          <w:rFonts w:eastAsia="Times New Roman" w:cs="Times New Roman"/>
          <w:i/>
          <w:iCs/>
          <w:szCs w:val="24"/>
        </w:rPr>
        <w:t>Global marketing management</w:t>
      </w:r>
      <w:r w:rsidRPr="00344FD1">
        <w:rPr>
          <w:rFonts w:eastAsia="Times New Roman" w:cs="Times New Roman"/>
          <w:szCs w:val="24"/>
        </w:rPr>
        <w:t xml:space="preserve"> (8th ed.). Wiley.</w:t>
      </w:r>
    </w:p>
    <w:p w14:paraId="664C16C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Kurzhals, C., Graf‐</w:t>
      </w:r>
      <w:proofErr w:type="spellStart"/>
      <w:r w:rsidRPr="00344FD1">
        <w:rPr>
          <w:rFonts w:eastAsia="Times New Roman" w:cs="Times New Roman"/>
          <w:szCs w:val="24"/>
        </w:rPr>
        <w:t>Vlachy</w:t>
      </w:r>
      <w:proofErr w:type="spellEnd"/>
      <w:r w:rsidRPr="00344FD1">
        <w:rPr>
          <w:rFonts w:eastAsia="Times New Roman" w:cs="Times New Roman"/>
          <w:szCs w:val="24"/>
        </w:rPr>
        <w:t xml:space="preserve">, L., &amp; König, A. (2020). Strategic leadership and technological innovation: A comprehensive review and research agenda. </w:t>
      </w:r>
      <w:r w:rsidRPr="00344FD1">
        <w:rPr>
          <w:rFonts w:eastAsia="Times New Roman" w:cs="Times New Roman"/>
          <w:i/>
          <w:iCs/>
          <w:szCs w:val="24"/>
        </w:rPr>
        <w:t>Corporate Governance: An International Review, 28</w:t>
      </w:r>
      <w:r w:rsidRPr="00344FD1">
        <w:rPr>
          <w:rFonts w:eastAsia="Times New Roman" w:cs="Times New Roman"/>
          <w:szCs w:val="24"/>
        </w:rPr>
        <w:t>(6), 437–464.</w:t>
      </w:r>
    </w:p>
    <w:p w14:paraId="1012579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Lai, F.-Y., Tang, H.-C., Lu, S.-C., Lee, Y.-C., &amp; Lin, C.-C. (2020). Transformational leadership and job performance: The mediating role of work engagement. </w:t>
      </w:r>
      <w:r w:rsidRPr="00344FD1">
        <w:rPr>
          <w:rFonts w:eastAsia="Times New Roman" w:cs="Times New Roman"/>
          <w:i/>
          <w:iCs/>
          <w:szCs w:val="24"/>
        </w:rPr>
        <w:t>SAGE Open, 10</w:t>
      </w:r>
      <w:r w:rsidRPr="00344FD1">
        <w:rPr>
          <w:rFonts w:eastAsia="Times New Roman" w:cs="Times New Roman"/>
          <w:szCs w:val="24"/>
        </w:rPr>
        <w:t>(1), 2158244019899085.</w:t>
      </w:r>
    </w:p>
    <w:p w14:paraId="2AB5FA8B"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Liem, N. T. (2019). Supermarkets’ brand management: Comparative analysis between AEON and Coop Mart in Vietnam retail market. </w:t>
      </w:r>
      <w:r w:rsidRPr="00344FD1">
        <w:rPr>
          <w:rFonts w:eastAsia="Times New Roman" w:cs="Times New Roman"/>
          <w:i/>
          <w:iCs/>
          <w:szCs w:val="24"/>
        </w:rPr>
        <w:t>International Journal of Research in Marketing Management and Sales, 1</w:t>
      </w:r>
      <w:r w:rsidRPr="00344FD1">
        <w:rPr>
          <w:rFonts w:eastAsia="Times New Roman" w:cs="Times New Roman"/>
          <w:szCs w:val="24"/>
        </w:rPr>
        <w:t>(2), 112–117.</w:t>
      </w:r>
    </w:p>
    <w:p w14:paraId="2259680F"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Maina, P., &amp; Njoroge, C. (2022). Strategic management constructs and competitive advantage in the Kenyan retail sector. </w:t>
      </w:r>
      <w:r w:rsidRPr="00344FD1">
        <w:rPr>
          <w:rFonts w:eastAsia="Times New Roman" w:cs="Times New Roman"/>
          <w:i/>
          <w:iCs/>
          <w:szCs w:val="24"/>
        </w:rPr>
        <w:t>International Journal of Business and Commerce, 9</w:t>
      </w:r>
      <w:r w:rsidRPr="00344FD1">
        <w:rPr>
          <w:rFonts w:eastAsia="Times New Roman" w:cs="Times New Roman"/>
          <w:szCs w:val="24"/>
        </w:rPr>
        <w:t>(2), 55–73.</w:t>
      </w:r>
    </w:p>
    <w:p w14:paraId="5AF9DED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Miano, C., &amp; Wamalwa, L. (2021). Effect of differentiation strategies on sustainable competitive advantage of five-star hotels in Nairobi, Kenya. </w:t>
      </w:r>
      <w:r w:rsidRPr="00344FD1">
        <w:rPr>
          <w:rFonts w:eastAsia="Times New Roman" w:cs="Times New Roman"/>
          <w:i/>
          <w:iCs/>
          <w:szCs w:val="24"/>
        </w:rPr>
        <w:t>Journal of International Business, Innovation and Strategic Management, 5</w:t>
      </w:r>
      <w:r w:rsidRPr="00344FD1">
        <w:rPr>
          <w:rFonts w:eastAsia="Times New Roman" w:cs="Times New Roman"/>
          <w:szCs w:val="24"/>
        </w:rPr>
        <w:t>(2), 102–116.</w:t>
      </w:r>
    </w:p>
    <w:p w14:paraId="3EE5C9D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Mintzberg, H., Ahlstrand, B., &amp; Lampel, J. B. (2020). </w:t>
      </w:r>
      <w:r w:rsidRPr="00344FD1">
        <w:rPr>
          <w:rFonts w:eastAsia="Times New Roman" w:cs="Times New Roman"/>
          <w:i/>
          <w:iCs/>
          <w:szCs w:val="24"/>
        </w:rPr>
        <w:t>Strategy safari: The complete guide through the wilds of strategic management</w:t>
      </w:r>
      <w:r w:rsidRPr="00344FD1">
        <w:rPr>
          <w:rFonts w:eastAsia="Times New Roman" w:cs="Times New Roman"/>
          <w:szCs w:val="24"/>
        </w:rPr>
        <w:t>. Pearson UK.</w:t>
      </w:r>
    </w:p>
    <w:p w14:paraId="107C6B96"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Mugenda, O. M., &amp; Mugenda, A. G. (2019). </w:t>
      </w:r>
      <w:r w:rsidRPr="00344FD1">
        <w:rPr>
          <w:rFonts w:eastAsia="Times New Roman" w:cs="Times New Roman"/>
          <w:i/>
          <w:iCs/>
          <w:szCs w:val="24"/>
        </w:rPr>
        <w:t>Research methods: Quantitative and qualitative approaches</w:t>
      </w:r>
      <w:r w:rsidRPr="00344FD1">
        <w:rPr>
          <w:rFonts w:eastAsia="Times New Roman" w:cs="Times New Roman"/>
          <w:szCs w:val="24"/>
        </w:rPr>
        <w:t xml:space="preserve"> (3rd ed.). African Centre for Technology Studies.</w:t>
      </w:r>
    </w:p>
    <w:p w14:paraId="10381B5B"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Mueller‐</w:t>
      </w:r>
      <w:proofErr w:type="spellStart"/>
      <w:r w:rsidRPr="00344FD1">
        <w:rPr>
          <w:rFonts w:eastAsia="Times New Roman" w:cs="Times New Roman"/>
          <w:szCs w:val="24"/>
        </w:rPr>
        <w:t>Saegebrecht</w:t>
      </w:r>
      <w:proofErr w:type="spellEnd"/>
      <w:r w:rsidRPr="00344FD1">
        <w:rPr>
          <w:rFonts w:eastAsia="Times New Roman" w:cs="Times New Roman"/>
          <w:szCs w:val="24"/>
        </w:rPr>
        <w:t xml:space="preserve">, S., &amp; Walter, A. T. (2025). Strategic agility—An urgent capability for successful business model innovation? A conceptual process model and theoretical framework. </w:t>
      </w:r>
      <w:r w:rsidRPr="00344FD1">
        <w:rPr>
          <w:rFonts w:eastAsia="Times New Roman" w:cs="Times New Roman"/>
          <w:i/>
          <w:iCs/>
          <w:szCs w:val="24"/>
        </w:rPr>
        <w:t>Strategic Change, 34</w:t>
      </w:r>
      <w:r w:rsidRPr="00344FD1">
        <w:rPr>
          <w:rFonts w:eastAsia="Times New Roman" w:cs="Times New Roman"/>
          <w:szCs w:val="24"/>
        </w:rPr>
        <w:t>(3), 407–428.</w:t>
      </w:r>
    </w:p>
    <w:p w14:paraId="537E3EEF"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Müller, S., &amp; Schneider, A. (2020). Positioning strategies and performance in the European hospitality industry. </w:t>
      </w:r>
      <w:r w:rsidRPr="00344FD1">
        <w:rPr>
          <w:rFonts w:eastAsia="Times New Roman" w:cs="Times New Roman"/>
          <w:i/>
          <w:iCs/>
          <w:szCs w:val="24"/>
        </w:rPr>
        <w:t>International Journal of Hospitality Management, 87</w:t>
      </w:r>
      <w:r w:rsidRPr="00344FD1">
        <w:rPr>
          <w:rFonts w:eastAsia="Times New Roman" w:cs="Times New Roman"/>
          <w:szCs w:val="24"/>
        </w:rPr>
        <w:t>, 102493.</w:t>
      </w:r>
    </w:p>
    <w:p w14:paraId="2D413E9A"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Munyeka</w:t>
      </w:r>
      <w:proofErr w:type="spellEnd"/>
      <w:r w:rsidRPr="00344FD1">
        <w:rPr>
          <w:rFonts w:eastAsia="Times New Roman" w:cs="Times New Roman"/>
          <w:szCs w:val="24"/>
        </w:rPr>
        <w:t xml:space="preserve">, W. (2023). Leadership, well-being, organizational commitment and quality of work life among hotel employees during COVID-19. </w:t>
      </w:r>
      <w:r w:rsidRPr="00344FD1">
        <w:rPr>
          <w:rFonts w:eastAsia="Times New Roman" w:cs="Times New Roman"/>
          <w:i/>
          <w:iCs/>
          <w:szCs w:val="24"/>
        </w:rPr>
        <w:t>Social Sciences and Education Research Review, 10</w:t>
      </w:r>
      <w:r w:rsidRPr="00344FD1">
        <w:rPr>
          <w:rFonts w:eastAsia="Times New Roman" w:cs="Times New Roman"/>
          <w:szCs w:val="24"/>
        </w:rPr>
        <w:t>(1), 189–202.</w:t>
      </w:r>
    </w:p>
    <w:p w14:paraId="3B0B636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Muriuki, P., &amp; </w:t>
      </w:r>
      <w:proofErr w:type="spellStart"/>
      <w:r w:rsidRPr="00344FD1">
        <w:rPr>
          <w:rFonts w:eastAsia="Times New Roman" w:cs="Times New Roman"/>
          <w:szCs w:val="24"/>
        </w:rPr>
        <w:t>Gachora</w:t>
      </w:r>
      <w:proofErr w:type="spellEnd"/>
      <w:r w:rsidRPr="00344FD1">
        <w:rPr>
          <w:rFonts w:eastAsia="Times New Roman" w:cs="Times New Roman"/>
          <w:szCs w:val="24"/>
        </w:rPr>
        <w:t xml:space="preserve">, J. (2023). Leadership style, decision clarity and service quality in Kenyan retail chains. </w:t>
      </w:r>
      <w:r w:rsidRPr="00344FD1">
        <w:rPr>
          <w:rFonts w:eastAsia="Times New Roman" w:cs="Times New Roman"/>
          <w:i/>
          <w:iCs/>
          <w:szCs w:val="24"/>
        </w:rPr>
        <w:t>Journal of Management and Strategy, 14</w:t>
      </w:r>
      <w:r w:rsidRPr="00344FD1">
        <w:rPr>
          <w:rFonts w:eastAsia="Times New Roman" w:cs="Times New Roman"/>
          <w:szCs w:val="24"/>
        </w:rPr>
        <w:t>(1), 22–39.</w:t>
      </w:r>
    </w:p>
    <w:p w14:paraId="3EF0340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Mutisya, C. M., &amp; </w:t>
      </w:r>
      <w:proofErr w:type="spellStart"/>
      <w:r w:rsidRPr="00344FD1">
        <w:rPr>
          <w:rFonts w:eastAsia="Times New Roman" w:cs="Times New Roman"/>
          <w:szCs w:val="24"/>
        </w:rPr>
        <w:t>Maende</w:t>
      </w:r>
      <w:proofErr w:type="spellEnd"/>
      <w:r w:rsidRPr="00344FD1">
        <w:rPr>
          <w:rFonts w:eastAsia="Times New Roman" w:cs="Times New Roman"/>
          <w:szCs w:val="24"/>
        </w:rPr>
        <w:t xml:space="preserve">, C. (2025). </w:t>
      </w:r>
      <w:proofErr w:type="spellStart"/>
      <w:r w:rsidRPr="00344FD1">
        <w:rPr>
          <w:rFonts w:eastAsia="Times New Roman" w:cs="Times New Roman"/>
          <w:szCs w:val="24"/>
        </w:rPr>
        <w:t>Organisational</w:t>
      </w:r>
      <w:proofErr w:type="spellEnd"/>
      <w:r w:rsidRPr="00344FD1">
        <w:rPr>
          <w:rFonts w:eastAsia="Times New Roman" w:cs="Times New Roman"/>
          <w:szCs w:val="24"/>
        </w:rPr>
        <w:t xml:space="preserve"> performance as outcome of strategic partnerships in the context of selected </w:t>
      </w:r>
      <w:proofErr w:type="spellStart"/>
      <w:r w:rsidRPr="00344FD1">
        <w:rPr>
          <w:rFonts w:eastAsia="Times New Roman" w:cs="Times New Roman"/>
          <w:szCs w:val="24"/>
        </w:rPr>
        <w:t>Quickmart</w:t>
      </w:r>
      <w:proofErr w:type="spellEnd"/>
      <w:r w:rsidRPr="00344FD1">
        <w:rPr>
          <w:rFonts w:eastAsia="Times New Roman" w:cs="Times New Roman"/>
          <w:szCs w:val="24"/>
        </w:rPr>
        <w:t xml:space="preserve"> supermarkets in Nairobi City County, Kenya. </w:t>
      </w:r>
      <w:r w:rsidRPr="00344FD1">
        <w:rPr>
          <w:rFonts w:eastAsia="Times New Roman" w:cs="Times New Roman"/>
          <w:i/>
          <w:iCs/>
          <w:szCs w:val="24"/>
        </w:rPr>
        <w:t>Journal of Strategic Management, 5</w:t>
      </w:r>
      <w:r w:rsidRPr="00344FD1">
        <w:rPr>
          <w:rFonts w:eastAsia="Times New Roman" w:cs="Times New Roman"/>
          <w:szCs w:val="24"/>
        </w:rPr>
        <w:t>(2), 1–9.</w:t>
      </w:r>
    </w:p>
    <w:p w14:paraId="200844A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Mutua, J., &amp; Ndegwa, P. (2022). Pricing and differentiation strategies among supermarkets in Nairobi City County, Kenya. </w:t>
      </w:r>
      <w:r w:rsidRPr="00344FD1">
        <w:rPr>
          <w:rFonts w:eastAsia="Times New Roman" w:cs="Times New Roman"/>
          <w:i/>
          <w:iCs/>
          <w:szCs w:val="24"/>
        </w:rPr>
        <w:t>African Journal of Marketing Management, 14</w:t>
      </w:r>
      <w:r w:rsidRPr="00344FD1">
        <w:rPr>
          <w:rFonts w:eastAsia="Times New Roman" w:cs="Times New Roman"/>
          <w:szCs w:val="24"/>
        </w:rPr>
        <w:t>(3), 61–78.</w:t>
      </w:r>
    </w:p>
    <w:p w14:paraId="783DEA1E"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Mwangi, J. K., &amp; Omwenga, J. Q. (2022). Strategic management capabilities and performance of commercial banks in Kenya. </w:t>
      </w:r>
      <w:r w:rsidRPr="00344FD1">
        <w:rPr>
          <w:rFonts w:eastAsia="Times New Roman" w:cs="Times New Roman"/>
          <w:i/>
          <w:iCs/>
          <w:szCs w:val="24"/>
        </w:rPr>
        <w:t>International Journal of Social Science and Humanities Research, 10</w:t>
      </w:r>
      <w:r w:rsidRPr="00344FD1">
        <w:rPr>
          <w:rFonts w:eastAsia="Times New Roman" w:cs="Times New Roman"/>
          <w:szCs w:val="24"/>
        </w:rPr>
        <w:t>(4), 48–69.</w:t>
      </w:r>
    </w:p>
    <w:p w14:paraId="7A4B76FB"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lastRenderedPageBreak/>
        <w:t xml:space="preserve">Mwangi, S., &amp; Kariuki, D. (2023). Customer loyalty indicators and revenue performance in urban Kenyan supermarkets: A temporal analysis. </w:t>
      </w:r>
      <w:r w:rsidRPr="00344FD1">
        <w:rPr>
          <w:rFonts w:eastAsia="Times New Roman" w:cs="Times New Roman"/>
          <w:i/>
          <w:iCs/>
          <w:szCs w:val="24"/>
        </w:rPr>
        <w:t>Journal of African Business, 24</w:t>
      </w:r>
      <w:r w:rsidRPr="00344FD1">
        <w:rPr>
          <w:rFonts w:eastAsia="Times New Roman" w:cs="Times New Roman"/>
          <w:szCs w:val="24"/>
        </w:rPr>
        <w:t xml:space="preserve">(2), 197–214. </w:t>
      </w:r>
      <w:hyperlink r:id="rId10" w:tgtFrame="_new" w:history="1">
        <w:r w:rsidRPr="00344FD1">
          <w:rPr>
            <w:rFonts w:eastAsia="Times New Roman" w:cs="Times New Roman"/>
            <w:color w:val="0000FF"/>
            <w:szCs w:val="24"/>
            <w:u w:val="single"/>
          </w:rPr>
          <w:t>https://doi.org/10.1080/15228916.2022.2063481</w:t>
        </w:r>
      </w:hyperlink>
    </w:p>
    <w:p w14:paraId="3C20859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Najmi, K., Kadir, A. R., &amp; Kadir, M. I. A. (2018). Mediation effect of dynamic capability in the relationship between knowledge management and strategic leadership on organizational performance accountability. </w:t>
      </w:r>
      <w:r w:rsidRPr="00344FD1">
        <w:rPr>
          <w:rFonts w:eastAsia="Times New Roman" w:cs="Times New Roman"/>
          <w:i/>
          <w:iCs/>
          <w:szCs w:val="24"/>
        </w:rPr>
        <w:t>International Journal of Law and Management, 60</w:t>
      </w:r>
      <w:r w:rsidRPr="00344FD1">
        <w:rPr>
          <w:rFonts w:eastAsia="Times New Roman" w:cs="Times New Roman"/>
          <w:szCs w:val="24"/>
        </w:rPr>
        <w:t>(2), 517–529.</w:t>
      </w:r>
    </w:p>
    <w:p w14:paraId="46B1452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Narayanan, V., </w:t>
      </w:r>
      <w:proofErr w:type="spellStart"/>
      <w:r w:rsidRPr="00344FD1">
        <w:rPr>
          <w:rFonts w:eastAsia="Times New Roman" w:cs="Times New Roman"/>
          <w:szCs w:val="24"/>
        </w:rPr>
        <w:t>Wokutch</w:t>
      </w:r>
      <w:proofErr w:type="spellEnd"/>
      <w:r w:rsidRPr="00344FD1">
        <w:rPr>
          <w:rFonts w:eastAsia="Times New Roman" w:cs="Times New Roman"/>
          <w:szCs w:val="24"/>
        </w:rPr>
        <w:t xml:space="preserve">, R. E., </w:t>
      </w:r>
      <w:proofErr w:type="spellStart"/>
      <w:r w:rsidRPr="00344FD1">
        <w:rPr>
          <w:rFonts w:eastAsia="Times New Roman" w:cs="Times New Roman"/>
          <w:szCs w:val="24"/>
        </w:rPr>
        <w:t>Ghobadian</w:t>
      </w:r>
      <w:proofErr w:type="spellEnd"/>
      <w:r w:rsidRPr="00344FD1">
        <w:rPr>
          <w:rFonts w:eastAsia="Times New Roman" w:cs="Times New Roman"/>
          <w:szCs w:val="24"/>
        </w:rPr>
        <w:t xml:space="preserve">, A., &amp; O'Regan, N. (2021). Toward a strategic approach to studying COVID-19 pandemic. </w:t>
      </w:r>
      <w:r w:rsidRPr="00344FD1">
        <w:rPr>
          <w:rFonts w:eastAsia="Times New Roman" w:cs="Times New Roman"/>
          <w:i/>
          <w:iCs/>
          <w:szCs w:val="24"/>
        </w:rPr>
        <w:t>Journal of Strategy and Management, 14</w:t>
      </w:r>
      <w:r w:rsidRPr="00344FD1">
        <w:rPr>
          <w:rFonts w:eastAsia="Times New Roman" w:cs="Times New Roman"/>
          <w:szCs w:val="24"/>
        </w:rPr>
        <w:t>(3), 285–299.</w:t>
      </w:r>
    </w:p>
    <w:p w14:paraId="19B5A59C"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Ngana</w:t>
      </w:r>
      <w:proofErr w:type="spellEnd"/>
      <w:r w:rsidRPr="00344FD1">
        <w:rPr>
          <w:rFonts w:eastAsia="Times New Roman" w:cs="Times New Roman"/>
          <w:szCs w:val="24"/>
        </w:rPr>
        <w:t xml:space="preserve">, D. (2022). </w:t>
      </w:r>
      <w:r w:rsidRPr="00344FD1">
        <w:rPr>
          <w:rFonts w:eastAsia="Times New Roman" w:cs="Times New Roman"/>
          <w:i/>
          <w:iCs/>
          <w:szCs w:val="24"/>
        </w:rPr>
        <w:t xml:space="preserve">Strategies applied by </w:t>
      </w:r>
      <w:proofErr w:type="spellStart"/>
      <w:r w:rsidRPr="00344FD1">
        <w:rPr>
          <w:rFonts w:eastAsia="Times New Roman" w:cs="Times New Roman"/>
          <w:i/>
          <w:iCs/>
          <w:szCs w:val="24"/>
        </w:rPr>
        <w:t>Naivas</w:t>
      </w:r>
      <w:proofErr w:type="spellEnd"/>
      <w:r w:rsidRPr="00344FD1">
        <w:rPr>
          <w:rFonts w:eastAsia="Times New Roman" w:cs="Times New Roman"/>
          <w:i/>
          <w:iCs/>
          <w:szCs w:val="24"/>
        </w:rPr>
        <w:t xml:space="preserve"> Supermarket Limited to gain competitive advantage in Kenya</w:t>
      </w:r>
      <w:r w:rsidRPr="00344FD1">
        <w:rPr>
          <w:rFonts w:eastAsia="Times New Roman" w:cs="Times New Roman"/>
          <w:szCs w:val="24"/>
        </w:rPr>
        <w:t xml:space="preserve"> [Master’s thesis, University of Nairobi].</w:t>
      </w:r>
    </w:p>
    <w:p w14:paraId="689F020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Njeru, W., &amp; Wanjiku, M. (2022). Strategic planning </w:t>
      </w:r>
      <w:proofErr w:type="spellStart"/>
      <w:r w:rsidRPr="00344FD1">
        <w:rPr>
          <w:rFonts w:eastAsia="Times New Roman" w:cs="Times New Roman"/>
          <w:szCs w:val="24"/>
        </w:rPr>
        <w:t>formalisation</w:t>
      </w:r>
      <w:proofErr w:type="spellEnd"/>
      <w:r w:rsidRPr="00344FD1">
        <w:rPr>
          <w:rFonts w:eastAsia="Times New Roman" w:cs="Times New Roman"/>
          <w:szCs w:val="24"/>
        </w:rPr>
        <w:t xml:space="preserve"> and performance of supermarkets in Kenya's urban </w:t>
      </w:r>
      <w:proofErr w:type="spellStart"/>
      <w:r w:rsidRPr="00344FD1">
        <w:rPr>
          <w:rFonts w:eastAsia="Times New Roman" w:cs="Times New Roman"/>
          <w:szCs w:val="24"/>
        </w:rPr>
        <w:t>centres</w:t>
      </w:r>
      <w:proofErr w:type="spellEnd"/>
      <w:r w:rsidRPr="00344FD1">
        <w:rPr>
          <w:rFonts w:eastAsia="Times New Roman" w:cs="Times New Roman"/>
          <w:szCs w:val="24"/>
        </w:rPr>
        <w:t xml:space="preserve">. </w:t>
      </w:r>
      <w:r w:rsidRPr="00344FD1">
        <w:rPr>
          <w:rFonts w:eastAsia="Times New Roman" w:cs="Times New Roman"/>
          <w:i/>
          <w:iCs/>
          <w:szCs w:val="24"/>
        </w:rPr>
        <w:t>Journal of Business and Management, 24</w:t>
      </w:r>
      <w:r w:rsidRPr="00344FD1">
        <w:rPr>
          <w:rFonts w:eastAsia="Times New Roman" w:cs="Times New Roman"/>
          <w:szCs w:val="24"/>
        </w:rPr>
        <w:t>(4), 1–15.</w:t>
      </w:r>
    </w:p>
    <w:p w14:paraId="371C99E9"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Ofori, J., Boateng, F., &amp; Atiku, S. O. (2023). Supply-side factors and uptake of insurance products among Ghanaian households. </w:t>
      </w:r>
      <w:r w:rsidRPr="00344FD1">
        <w:rPr>
          <w:rFonts w:eastAsia="Times New Roman" w:cs="Times New Roman"/>
          <w:i/>
          <w:iCs/>
          <w:szCs w:val="24"/>
        </w:rPr>
        <w:t>Cogent Business &amp; Management, 10</w:t>
      </w:r>
      <w:r w:rsidRPr="00344FD1">
        <w:rPr>
          <w:rFonts w:eastAsia="Times New Roman" w:cs="Times New Roman"/>
          <w:szCs w:val="24"/>
        </w:rPr>
        <w:t>(2), 2217641.</w:t>
      </w:r>
    </w:p>
    <w:p w14:paraId="5F49464D"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Okeke, M. N., &amp; Nwaeze, C. (2021). Strategic leadership and </w:t>
      </w:r>
      <w:proofErr w:type="spellStart"/>
      <w:r w:rsidRPr="00344FD1">
        <w:rPr>
          <w:rFonts w:eastAsia="Times New Roman" w:cs="Times New Roman"/>
          <w:szCs w:val="24"/>
        </w:rPr>
        <w:t>organisational</w:t>
      </w:r>
      <w:proofErr w:type="spellEnd"/>
      <w:r w:rsidRPr="00344FD1">
        <w:rPr>
          <w:rFonts w:eastAsia="Times New Roman" w:cs="Times New Roman"/>
          <w:szCs w:val="24"/>
        </w:rPr>
        <w:t xml:space="preserve"> performance: Evidence from retail firms. </w:t>
      </w:r>
      <w:r w:rsidRPr="00344FD1">
        <w:rPr>
          <w:rFonts w:eastAsia="Times New Roman" w:cs="Times New Roman"/>
          <w:i/>
          <w:iCs/>
          <w:szCs w:val="24"/>
        </w:rPr>
        <w:t>Journal of Management Sciences, 8</w:t>
      </w:r>
      <w:r w:rsidRPr="00344FD1">
        <w:rPr>
          <w:rFonts w:eastAsia="Times New Roman" w:cs="Times New Roman"/>
          <w:szCs w:val="24"/>
        </w:rPr>
        <w:t>(2), 77–94.</w:t>
      </w:r>
    </w:p>
    <w:p w14:paraId="191ADCD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Otieno, R. O., &amp; Barasa, L. N. (2024). Positioning strategy and performance of restaurants in Nairobi central business district, Kenya. </w:t>
      </w:r>
      <w:r w:rsidRPr="00344FD1">
        <w:rPr>
          <w:rFonts w:eastAsia="Times New Roman" w:cs="Times New Roman"/>
          <w:i/>
          <w:iCs/>
          <w:szCs w:val="24"/>
        </w:rPr>
        <w:t>Journal of Hospitality and Tourism Management, 58</w:t>
      </w:r>
      <w:r w:rsidRPr="00344FD1">
        <w:rPr>
          <w:rFonts w:eastAsia="Times New Roman" w:cs="Times New Roman"/>
          <w:szCs w:val="24"/>
        </w:rPr>
        <w:t>, 201–210.</w:t>
      </w:r>
    </w:p>
    <w:p w14:paraId="36967739"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Pandey, P., &amp; Pandey, M. M. (2021). </w:t>
      </w:r>
      <w:r w:rsidRPr="00344FD1">
        <w:rPr>
          <w:rFonts w:eastAsia="Times New Roman" w:cs="Times New Roman"/>
          <w:i/>
          <w:iCs/>
          <w:szCs w:val="24"/>
        </w:rPr>
        <w:t>Research methodology tools and techniques</w:t>
      </w:r>
      <w:r w:rsidRPr="00344FD1">
        <w:rPr>
          <w:rFonts w:eastAsia="Times New Roman" w:cs="Times New Roman"/>
          <w:szCs w:val="24"/>
        </w:rPr>
        <w:t>. Bridge Center.</w:t>
      </w:r>
    </w:p>
    <w:p w14:paraId="4568A71D"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Pantano, E., Pizzi, G., Bilotta, E., &amp; Pantano, P. (2021). Competing in the retail environment: Drivers of competitive advantage in the grocery sector. </w:t>
      </w:r>
      <w:r w:rsidRPr="00344FD1">
        <w:rPr>
          <w:rFonts w:eastAsia="Times New Roman" w:cs="Times New Roman"/>
          <w:i/>
          <w:iCs/>
          <w:szCs w:val="24"/>
        </w:rPr>
        <w:t>Journal of Retailing and Consumer Services, 60</w:t>
      </w:r>
      <w:r w:rsidRPr="00344FD1">
        <w:rPr>
          <w:rFonts w:eastAsia="Times New Roman" w:cs="Times New Roman"/>
          <w:szCs w:val="24"/>
        </w:rPr>
        <w:t xml:space="preserve">, 102–117. </w:t>
      </w:r>
      <w:hyperlink r:id="rId11" w:tgtFrame="_new" w:history="1">
        <w:r w:rsidRPr="00344FD1">
          <w:rPr>
            <w:rFonts w:eastAsia="Times New Roman" w:cs="Times New Roman"/>
            <w:color w:val="0000FF"/>
            <w:szCs w:val="24"/>
            <w:u w:val="single"/>
          </w:rPr>
          <w:t>https://doi.org/10.1016/j.jretconser.2021.102454</w:t>
        </w:r>
      </w:hyperlink>
    </w:p>
    <w:p w14:paraId="5ADFE278"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Pellerin, R., &amp; Perrier, N. (2019). A review of methods, techniques and tools for project planning and control. </w:t>
      </w:r>
      <w:r w:rsidRPr="00344FD1">
        <w:rPr>
          <w:rFonts w:eastAsia="Times New Roman" w:cs="Times New Roman"/>
          <w:i/>
          <w:iCs/>
          <w:szCs w:val="24"/>
        </w:rPr>
        <w:t>International Journal of Production Research, 57</w:t>
      </w:r>
      <w:r w:rsidRPr="00344FD1">
        <w:rPr>
          <w:rFonts w:eastAsia="Times New Roman" w:cs="Times New Roman"/>
          <w:szCs w:val="24"/>
        </w:rPr>
        <w:t>(7), 2160–2178.</w:t>
      </w:r>
    </w:p>
    <w:p w14:paraId="59FFF4C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Porter, M. E. (1996). Competitive advantage, agglomeration economies, and regional policy. </w:t>
      </w:r>
      <w:r w:rsidRPr="00344FD1">
        <w:rPr>
          <w:rFonts w:eastAsia="Times New Roman" w:cs="Times New Roman"/>
          <w:i/>
          <w:iCs/>
          <w:szCs w:val="24"/>
        </w:rPr>
        <w:t>International Regional Science Review, 19</w:t>
      </w:r>
      <w:r w:rsidRPr="00344FD1">
        <w:rPr>
          <w:rFonts w:eastAsia="Times New Roman" w:cs="Times New Roman"/>
          <w:szCs w:val="24"/>
        </w:rPr>
        <w:t>(1–2), 85–90.</w:t>
      </w:r>
    </w:p>
    <w:p w14:paraId="4B5D5DD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Quansah, E., Moghaddam, K., Solansky, S., &amp; Wang, Y. (2022). Strategic leadership in SMEs: The mediating role of dynamic capabilities. </w:t>
      </w:r>
      <w:r w:rsidRPr="00344FD1">
        <w:rPr>
          <w:rFonts w:eastAsia="Times New Roman" w:cs="Times New Roman"/>
          <w:i/>
          <w:iCs/>
          <w:szCs w:val="24"/>
        </w:rPr>
        <w:t>Leadership &amp; Organization Development Journal, 43</w:t>
      </w:r>
      <w:r w:rsidRPr="00344FD1">
        <w:rPr>
          <w:rFonts w:eastAsia="Times New Roman" w:cs="Times New Roman"/>
          <w:szCs w:val="24"/>
        </w:rPr>
        <w:t>(8), 1308–1320.</w:t>
      </w:r>
    </w:p>
    <w:p w14:paraId="57E4DC4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Reed, J. H. (2021). Strategic agility and the effects of firm age and environmental turbulence. </w:t>
      </w:r>
      <w:r w:rsidRPr="00344FD1">
        <w:rPr>
          <w:rFonts w:eastAsia="Times New Roman" w:cs="Times New Roman"/>
          <w:i/>
          <w:iCs/>
          <w:szCs w:val="24"/>
        </w:rPr>
        <w:t>Journal of Strategy and Management, 14</w:t>
      </w:r>
      <w:r w:rsidRPr="00344FD1">
        <w:rPr>
          <w:rFonts w:eastAsia="Times New Roman" w:cs="Times New Roman"/>
          <w:szCs w:val="24"/>
        </w:rPr>
        <w:t>(2), 129–149.</w:t>
      </w:r>
    </w:p>
    <w:p w14:paraId="01E2DF2B"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Saebi</w:t>
      </w:r>
      <w:proofErr w:type="spellEnd"/>
      <w:r w:rsidRPr="00344FD1">
        <w:rPr>
          <w:rFonts w:eastAsia="Times New Roman" w:cs="Times New Roman"/>
          <w:szCs w:val="24"/>
        </w:rPr>
        <w:t xml:space="preserve">, T., Lien, L., &amp; Foss, N. J. (2017). What drives business model adaptation? The impact of opportunities, threats and strategic orientation. </w:t>
      </w:r>
      <w:r w:rsidRPr="00344FD1">
        <w:rPr>
          <w:rFonts w:eastAsia="Times New Roman" w:cs="Times New Roman"/>
          <w:i/>
          <w:iCs/>
          <w:szCs w:val="24"/>
        </w:rPr>
        <w:t>Long Range Planning, 50</w:t>
      </w:r>
      <w:r w:rsidRPr="00344FD1">
        <w:rPr>
          <w:rFonts w:eastAsia="Times New Roman" w:cs="Times New Roman"/>
          <w:szCs w:val="24"/>
        </w:rPr>
        <w:t>(5), 567–581.</w:t>
      </w:r>
    </w:p>
    <w:p w14:paraId="77982C8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lastRenderedPageBreak/>
        <w:t xml:space="preserve">Sang, D. K., Komen, J., &amp; Korir, M. (2017). Effect of strategic change management on performance of large and medium hotels in Nairobi County, Kenya. </w:t>
      </w:r>
      <w:r w:rsidRPr="00344FD1">
        <w:rPr>
          <w:rFonts w:eastAsia="Times New Roman" w:cs="Times New Roman"/>
          <w:i/>
          <w:iCs/>
          <w:szCs w:val="24"/>
        </w:rPr>
        <w:t>International Journal of Economics, Commerce and Management, 4</w:t>
      </w:r>
      <w:r w:rsidRPr="00344FD1">
        <w:rPr>
          <w:rFonts w:eastAsia="Times New Roman" w:cs="Times New Roman"/>
          <w:szCs w:val="24"/>
        </w:rPr>
        <w:t>(5).</w:t>
      </w:r>
    </w:p>
    <w:p w14:paraId="23F0B121"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Schneller, E., Abdulsalam, Y., Conway, K., &amp; Eckler, J. (2023). </w:t>
      </w:r>
      <w:r w:rsidRPr="00344FD1">
        <w:rPr>
          <w:rFonts w:eastAsia="Times New Roman" w:cs="Times New Roman"/>
          <w:i/>
          <w:iCs/>
          <w:szCs w:val="24"/>
        </w:rPr>
        <w:t>Strategic management of the healthcare supply chain</w:t>
      </w:r>
      <w:r w:rsidRPr="00344FD1">
        <w:rPr>
          <w:rFonts w:eastAsia="Times New Roman" w:cs="Times New Roman"/>
          <w:szCs w:val="24"/>
        </w:rPr>
        <w:t>. John Wiley &amp; Sons.</w:t>
      </w:r>
    </w:p>
    <w:p w14:paraId="63C7FC0E"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Shore, L. M., &amp; Chung, B. G. (2022). Inclusive leadership: How leaders sustain or discourage work group inclusion. </w:t>
      </w:r>
      <w:r w:rsidRPr="00344FD1">
        <w:rPr>
          <w:rFonts w:eastAsia="Times New Roman" w:cs="Times New Roman"/>
          <w:i/>
          <w:iCs/>
          <w:szCs w:val="24"/>
        </w:rPr>
        <w:t>Group &amp; Organization Management, 47</w:t>
      </w:r>
      <w:r w:rsidRPr="00344FD1">
        <w:rPr>
          <w:rFonts w:eastAsia="Times New Roman" w:cs="Times New Roman"/>
          <w:szCs w:val="24"/>
        </w:rPr>
        <w:t>(4), 723–754.</w:t>
      </w:r>
    </w:p>
    <w:p w14:paraId="0A1D805A"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Siregar, R. T., &amp; </w:t>
      </w:r>
      <w:proofErr w:type="spellStart"/>
      <w:r w:rsidRPr="00344FD1">
        <w:rPr>
          <w:rFonts w:eastAsia="Times New Roman" w:cs="Times New Roman"/>
          <w:szCs w:val="24"/>
        </w:rPr>
        <w:t>Harahap</w:t>
      </w:r>
      <w:proofErr w:type="spellEnd"/>
      <w:r w:rsidRPr="00344FD1">
        <w:rPr>
          <w:rFonts w:eastAsia="Times New Roman" w:cs="Times New Roman"/>
          <w:szCs w:val="24"/>
        </w:rPr>
        <w:t xml:space="preserve">, M. A. (2021). Positioning strategy and competitiveness of cosmetics firms in Indonesia. </w:t>
      </w:r>
      <w:r w:rsidRPr="00344FD1">
        <w:rPr>
          <w:rFonts w:eastAsia="Times New Roman" w:cs="Times New Roman"/>
          <w:i/>
          <w:iCs/>
          <w:szCs w:val="24"/>
        </w:rPr>
        <w:t>Journal of Asian Business and Economic Studies, 28</w:t>
      </w:r>
      <w:r w:rsidRPr="00344FD1">
        <w:rPr>
          <w:rFonts w:eastAsia="Times New Roman" w:cs="Times New Roman"/>
          <w:szCs w:val="24"/>
        </w:rPr>
        <w:t>(3), 245–259.</w:t>
      </w:r>
    </w:p>
    <w:p w14:paraId="28D1B950"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Soomro, B. A., Mangi, S., &amp; Shah, N. (2021). Strategic factors and significance of organizational innovation and organizational learning in organizational performance. </w:t>
      </w:r>
      <w:r w:rsidRPr="00344FD1">
        <w:rPr>
          <w:rFonts w:eastAsia="Times New Roman" w:cs="Times New Roman"/>
          <w:i/>
          <w:iCs/>
          <w:szCs w:val="24"/>
        </w:rPr>
        <w:t>European Journal of Innovation Management, 24</w:t>
      </w:r>
      <w:r w:rsidRPr="00344FD1">
        <w:rPr>
          <w:rFonts w:eastAsia="Times New Roman" w:cs="Times New Roman"/>
          <w:szCs w:val="24"/>
        </w:rPr>
        <w:t>(2), 481–506.</w:t>
      </w:r>
    </w:p>
    <w:p w14:paraId="10BF09E2"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Steinbaum, M., &amp; Stucke, M. E. (2020). The effective competition standard. </w:t>
      </w:r>
      <w:r w:rsidRPr="00344FD1">
        <w:rPr>
          <w:rFonts w:eastAsia="Times New Roman" w:cs="Times New Roman"/>
          <w:i/>
          <w:iCs/>
          <w:szCs w:val="24"/>
        </w:rPr>
        <w:t>The University of Chicago Law Review, 87</w:t>
      </w:r>
      <w:r w:rsidRPr="00344FD1">
        <w:rPr>
          <w:rFonts w:eastAsia="Times New Roman" w:cs="Times New Roman"/>
          <w:szCs w:val="24"/>
        </w:rPr>
        <w:t>(2), 595–623.</w:t>
      </w:r>
    </w:p>
    <w:p w14:paraId="0BEAD216"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Syed, H. I. (2024). </w:t>
      </w:r>
      <w:r w:rsidRPr="00344FD1">
        <w:rPr>
          <w:rFonts w:eastAsia="Times New Roman" w:cs="Times New Roman"/>
          <w:i/>
          <w:iCs/>
          <w:szCs w:val="24"/>
        </w:rPr>
        <w:t>The impact of EU GDPR on EU SMEs competitive advantage</w:t>
      </w:r>
      <w:r w:rsidRPr="00344FD1">
        <w:rPr>
          <w:rFonts w:eastAsia="Times New Roman" w:cs="Times New Roman"/>
          <w:szCs w:val="24"/>
        </w:rPr>
        <w:t>.</w:t>
      </w:r>
    </w:p>
    <w:p w14:paraId="4A8A4532"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Teece, D. J. (2023). The evolution of the dynamic </w:t>
      </w:r>
      <w:proofErr w:type="gramStart"/>
      <w:r w:rsidRPr="00344FD1">
        <w:rPr>
          <w:rFonts w:eastAsia="Times New Roman" w:cs="Times New Roman"/>
          <w:szCs w:val="24"/>
        </w:rPr>
        <w:t>capabilities</w:t>
      </w:r>
      <w:proofErr w:type="gramEnd"/>
      <w:r w:rsidRPr="00344FD1">
        <w:rPr>
          <w:rFonts w:eastAsia="Times New Roman" w:cs="Times New Roman"/>
          <w:szCs w:val="24"/>
        </w:rPr>
        <w:t xml:space="preserve"> framework. </w:t>
      </w:r>
      <w:r w:rsidRPr="00344FD1">
        <w:rPr>
          <w:rFonts w:eastAsia="Times New Roman" w:cs="Times New Roman"/>
          <w:i/>
          <w:iCs/>
          <w:szCs w:val="24"/>
        </w:rPr>
        <w:t>Artificiality and Sustainability in Entrepreneurship, 113</w:t>
      </w:r>
      <w:r w:rsidRPr="00344FD1">
        <w:rPr>
          <w:rFonts w:eastAsia="Times New Roman" w:cs="Times New Roman"/>
          <w:szCs w:val="24"/>
        </w:rPr>
        <w:t>, 238.</w:t>
      </w:r>
    </w:p>
    <w:p w14:paraId="358D79A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proofErr w:type="spellStart"/>
      <w:r w:rsidRPr="00344FD1">
        <w:rPr>
          <w:rFonts w:eastAsia="Times New Roman" w:cs="Times New Roman"/>
          <w:szCs w:val="24"/>
        </w:rPr>
        <w:t>Thi</w:t>
      </w:r>
      <w:proofErr w:type="spellEnd"/>
      <w:r w:rsidRPr="00344FD1">
        <w:rPr>
          <w:rFonts w:eastAsia="Times New Roman" w:cs="Times New Roman"/>
          <w:szCs w:val="24"/>
        </w:rPr>
        <w:t xml:space="preserve"> Thoan, L., Thuy, V. T. N., &amp; Long, T. T. (2024). Does market competition make a difference in business strategy for listed companies? </w:t>
      </w:r>
      <w:r w:rsidRPr="00344FD1">
        <w:rPr>
          <w:rFonts w:eastAsia="Times New Roman" w:cs="Times New Roman"/>
          <w:i/>
          <w:iCs/>
          <w:szCs w:val="24"/>
        </w:rPr>
        <w:t>Cogent Business &amp; Management, 11</w:t>
      </w:r>
      <w:r w:rsidRPr="00344FD1">
        <w:rPr>
          <w:rFonts w:eastAsia="Times New Roman" w:cs="Times New Roman"/>
          <w:szCs w:val="24"/>
        </w:rPr>
        <w:t>(1), 2312591.</w:t>
      </w:r>
    </w:p>
    <w:p w14:paraId="0F804054"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Valey, M., &amp; Rafiq, M. (2019). Resource allocation and supply chain </w:t>
      </w:r>
      <w:proofErr w:type="spellStart"/>
      <w:r w:rsidRPr="00344FD1">
        <w:rPr>
          <w:rFonts w:eastAsia="Times New Roman" w:cs="Times New Roman"/>
          <w:szCs w:val="24"/>
        </w:rPr>
        <w:t>optimisation</w:t>
      </w:r>
      <w:proofErr w:type="spellEnd"/>
      <w:r w:rsidRPr="00344FD1">
        <w:rPr>
          <w:rFonts w:eastAsia="Times New Roman" w:cs="Times New Roman"/>
          <w:szCs w:val="24"/>
        </w:rPr>
        <w:t xml:space="preserve"> in global retail brands. </w:t>
      </w:r>
      <w:r w:rsidRPr="00344FD1">
        <w:rPr>
          <w:rFonts w:eastAsia="Times New Roman" w:cs="Times New Roman"/>
          <w:i/>
          <w:iCs/>
          <w:szCs w:val="24"/>
        </w:rPr>
        <w:t>International Journal of Retail and Distribution Management, 47</w:t>
      </w:r>
      <w:r w:rsidRPr="00344FD1">
        <w:rPr>
          <w:rFonts w:eastAsia="Times New Roman" w:cs="Times New Roman"/>
          <w:szCs w:val="24"/>
        </w:rPr>
        <w:t xml:space="preserve">(8), 835–851. </w:t>
      </w:r>
      <w:hyperlink r:id="rId12" w:tgtFrame="_new" w:history="1">
        <w:r w:rsidRPr="00344FD1">
          <w:rPr>
            <w:rFonts w:eastAsia="Times New Roman" w:cs="Times New Roman"/>
            <w:color w:val="0000FF"/>
            <w:szCs w:val="24"/>
            <w:u w:val="single"/>
          </w:rPr>
          <w:t>https://doi.org/10.1108/IJRDM-03-2018-0046</w:t>
        </w:r>
      </w:hyperlink>
    </w:p>
    <w:p w14:paraId="46308F63"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Venkatraman, N., Henderson, J. C., &amp; Oldach, S. (1993). Continuous strategic alignment: Exploiting information technology capabilities for competitive success. </w:t>
      </w:r>
      <w:r w:rsidRPr="00344FD1">
        <w:rPr>
          <w:rFonts w:eastAsia="Times New Roman" w:cs="Times New Roman"/>
          <w:i/>
          <w:iCs/>
          <w:szCs w:val="24"/>
        </w:rPr>
        <w:t>European Management Journal, 11</w:t>
      </w:r>
      <w:r w:rsidRPr="00344FD1">
        <w:rPr>
          <w:rFonts w:eastAsia="Times New Roman" w:cs="Times New Roman"/>
          <w:szCs w:val="24"/>
        </w:rPr>
        <w:t>(2), 139–149.</w:t>
      </w:r>
    </w:p>
    <w:p w14:paraId="4FF99DA2"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Waithaka, E. N. (2022). Performance incentive structures and employee motivation in Kenyan medium-to-large retail enterprises. </w:t>
      </w:r>
      <w:r w:rsidRPr="00344FD1">
        <w:rPr>
          <w:rFonts w:eastAsia="Times New Roman" w:cs="Times New Roman"/>
          <w:i/>
          <w:iCs/>
          <w:szCs w:val="24"/>
        </w:rPr>
        <w:t>African Management Review, 3</w:t>
      </w:r>
      <w:r w:rsidRPr="00344FD1">
        <w:rPr>
          <w:rFonts w:eastAsia="Times New Roman" w:cs="Times New Roman"/>
          <w:szCs w:val="24"/>
        </w:rPr>
        <w:t>(1), 44–60.</w:t>
      </w:r>
    </w:p>
    <w:p w14:paraId="3621336F"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Wibowo, N., &amp; </w:t>
      </w:r>
      <w:proofErr w:type="spellStart"/>
      <w:r w:rsidRPr="00344FD1">
        <w:rPr>
          <w:rFonts w:eastAsia="Times New Roman" w:cs="Times New Roman"/>
          <w:szCs w:val="24"/>
        </w:rPr>
        <w:t>Nurcahyo</w:t>
      </w:r>
      <w:proofErr w:type="spellEnd"/>
      <w:r w:rsidRPr="00344FD1">
        <w:rPr>
          <w:rFonts w:eastAsia="Times New Roman" w:cs="Times New Roman"/>
          <w:szCs w:val="24"/>
        </w:rPr>
        <w:t xml:space="preserve">, R. (2020). Competitiveness in global transformation: A systematic review. In </w:t>
      </w:r>
      <w:r w:rsidRPr="00344FD1">
        <w:rPr>
          <w:rFonts w:eastAsia="Times New Roman" w:cs="Times New Roman"/>
          <w:i/>
          <w:iCs/>
          <w:szCs w:val="24"/>
        </w:rPr>
        <w:t>Proceedings of the International Conference on Industrial Engineering and Operations Management</w:t>
      </w:r>
      <w:r w:rsidRPr="00344FD1">
        <w:rPr>
          <w:rFonts w:eastAsia="Times New Roman" w:cs="Times New Roman"/>
          <w:szCs w:val="24"/>
        </w:rPr>
        <w:t>.</w:t>
      </w:r>
    </w:p>
    <w:p w14:paraId="32BEEC29" w14:textId="77777777" w:rsidR="004E03E3" w:rsidRPr="00344FD1" w:rsidRDefault="004E03E3" w:rsidP="00E6128C">
      <w:pPr>
        <w:spacing w:before="100" w:beforeAutospacing="1" w:after="100" w:afterAutospacing="1" w:line="240" w:lineRule="auto"/>
        <w:ind w:left="426" w:hanging="426"/>
        <w:rPr>
          <w:rFonts w:eastAsia="Times New Roman" w:cs="Times New Roman"/>
          <w:szCs w:val="24"/>
        </w:rPr>
      </w:pPr>
      <w:r w:rsidRPr="00344FD1">
        <w:rPr>
          <w:rFonts w:eastAsia="Times New Roman" w:cs="Times New Roman"/>
          <w:szCs w:val="24"/>
        </w:rPr>
        <w:t xml:space="preserve">Wu, W., Huang, X., Wu, C.-H., &amp; Tsai, S.-B. (2022). Pricing strategy and performance investment decisions in competitive crowdfunding markets. </w:t>
      </w:r>
      <w:r w:rsidRPr="00344FD1">
        <w:rPr>
          <w:rFonts w:eastAsia="Times New Roman" w:cs="Times New Roman"/>
          <w:i/>
          <w:iCs/>
          <w:szCs w:val="24"/>
        </w:rPr>
        <w:t>Journal of Business Research, 140</w:t>
      </w:r>
      <w:r w:rsidRPr="00344FD1">
        <w:rPr>
          <w:rFonts w:eastAsia="Times New Roman" w:cs="Times New Roman"/>
          <w:szCs w:val="24"/>
        </w:rPr>
        <w:t>, 491–497.</w:t>
      </w:r>
    </w:p>
    <w:p w14:paraId="2F1FAE08" w14:textId="6176BBA2" w:rsidR="007625DB" w:rsidRPr="006C1B71" w:rsidRDefault="004E03E3" w:rsidP="00E6128C">
      <w:pPr>
        <w:spacing w:before="0" w:line="240" w:lineRule="auto"/>
        <w:ind w:left="426" w:hanging="426"/>
        <w:rPr>
          <w:rFonts w:cs="Times New Roman"/>
          <w:szCs w:val="24"/>
        </w:rPr>
      </w:pPr>
      <w:r w:rsidRPr="00344FD1">
        <w:rPr>
          <w:rFonts w:eastAsia="Times New Roman" w:cs="Times New Roman"/>
          <w:szCs w:val="24"/>
        </w:rPr>
        <w:t xml:space="preserve">Zhang, F., &amp; Zhu, L. (2021). Social media strategic capability, organizational unlearning, and disruptive innovation of SMEs: The moderating roles of TMT heterogeneity and environmental dynamism. </w:t>
      </w:r>
      <w:r w:rsidRPr="00344FD1">
        <w:rPr>
          <w:rFonts w:eastAsia="Times New Roman" w:cs="Times New Roman"/>
          <w:i/>
          <w:iCs/>
          <w:szCs w:val="24"/>
        </w:rPr>
        <w:t>Journal of Business Research, 133</w:t>
      </w:r>
      <w:r w:rsidRPr="00344FD1">
        <w:rPr>
          <w:rFonts w:eastAsia="Times New Roman" w:cs="Times New Roman"/>
          <w:szCs w:val="24"/>
        </w:rPr>
        <w:t>, 183–193</w:t>
      </w:r>
    </w:p>
    <w:p w14:paraId="22A005A7" w14:textId="4700F760" w:rsidR="00B55CEF" w:rsidRPr="00D2350E" w:rsidRDefault="00B55CEF" w:rsidP="007625DB">
      <w:pPr>
        <w:tabs>
          <w:tab w:val="left" w:pos="3150"/>
        </w:tabs>
        <w:spacing w:before="0" w:line="240" w:lineRule="auto"/>
        <w:ind w:left="720" w:hanging="720"/>
        <w:rPr>
          <w:rFonts w:cs="Times New Roman"/>
          <w:color w:val="000000" w:themeColor="text1"/>
          <w:szCs w:val="24"/>
        </w:rPr>
      </w:pPr>
    </w:p>
    <w:sectPr w:rsidR="00B55CEF" w:rsidRPr="00D2350E" w:rsidSect="00055D83">
      <w:headerReference w:type="even" r:id="rId13"/>
      <w:headerReference w:type="default" r:id="rId14"/>
      <w:footerReference w:type="even" r:id="rId15"/>
      <w:footerReference w:type="default" r:id="rId16"/>
      <w:headerReference w:type="first" r:id="rId17"/>
      <w:footerReference w:type="first" r:id="rId18"/>
      <w:pgSz w:w="12240" w:h="15840" w:code="1"/>
      <w:pgMar w:top="1094" w:right="605" w:bottom="605" w:left="605" w:header="34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25A2C" w14:textId="77777777" w:rsidR="008B7A20" w:rsidRDefault="008B7A20">
      <w:pPr>
        <w:spacing w:before="0" w:line="240" w:lineRule="auto"/>
      </w:pPr>
      <w:r>
        <w:separator/>
      </w:r>
    </w:p>
  </w:endnote>
  <w:endnote w:type="continuationSeparator" w:id="0">
    <w:p w14:paraId="262C0D76" w14:textId="77777777" w:rsidR="008B7A20" w:rsidRDefault="008B7A2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0F94" w14:textId="77777777" w:rsidR="00A242ED" w:rsidRDefault="00A24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236679"/>
      <w:docPartObj>
        <w:docPartGallery w:val="Page Numbers (Bottom of Page)"/>
        <w:docPartUnique/>
      </w:docPartObj>
    </w:sdtPr>
    <w:sdtEndPr>
      <w:rPr>
        <w:noProof/>
        <w:sz w:val="20"/>
        <w:szCs w:val="18"/>
      </w:rPr>
    </w:sdtEndPr>
    <w:sdtContent>
      <w:p w14:paraId="78E128D3" w14:textId="2540A424" w:rsidR="004A12F4" w:rsidRPr="008A0558" w:rsidRDefault="00556C7C">
        <w:pPr>
          <w:pStyle w:val="Footer"/>
          <w:jc w:val="center"/>
          <w:rPr>
            <w:sz w:val="20"/>
            <w:szCs w:val="18"/>
          </w:rPr>
        </w:pPr>
        <w:r w:rsidRPr="008A0558">
          <w:rPr>
            <w:sz w:val="20"/>
            <w:szCs w:val="18"/>
          </w:rPr>
          <w:fldChar w:fldCharType="begin"/>
        </w:r>
        <w:r w:rsidRPr="008A0558">
          <w:rPr>
            <w:sz w:val="20"/>
            <w:szCs w:val="18"/>
          </w:rPr>
          <w:instrText xml:space="preserve"> PAGE   \* MERGEFORMAT </w:instrText>
        </w:r>
        <w:r w:rsidRPr="008A0558">
          <w:rPr>
            <w:sz w:val="20"/>
            <w:szCs w:val="18"/>
          </w:rPr>
          <w:fldChar w:fldCharType="separate"/>
        </w:r>
        <w:r w:rsidR="003106BE">
          <w:rPr>
            <w:noProof/>
            <w:sz w:val="20"/>
            <w:szCs w:val="18"/>
          </w:rPr>
          <w:t>1</w:t>
        </w:r>
        <w:r w:rsidRPr="008A0558">
          <w:rPr>
            <w:noProof/>
            <w:sz w:val="20"/>
            <w:szCs w:val="18"/>
          </w:rPr>
          <w:fldChar w:fldCharType="end"/>
        </w:r>
      </w:p>
    </w:sdtContent>
  </w:sdt>
  <w:p w14:paraId="70E80D4D" w14:textId="77777777" w:rsidR="004A12F4" w:rsidRDefault="004A1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2B0FF" w14:textId="77777777" w:rsidR="00A242ED" w:rsidRDefault="00A24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79B6" w14:textId="77777777" w:rsidR="008B7A20" w:rsidRDefault="008B7A20">
      <w:pPr>
        <w:spacing w:before="0" w:line="240" w:lineRule="auto"/>
      </w:pPr>
      <w:r>
        <w:separator/>
      </w:r>
    </w:p>
  </w:footnote>
  <w:footnote w:type="continuationSeparator" w:id="0">
    <w:p w14:paraId="224D43E2" w14:textId="77777777" w:rsidR="008B7A20" w:rsidRDefault="008B7A2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50896" w14:textId="7BD0B027" w:rsidR="00A242ED" w:rsidRDefault="00A242ED">
    <w:pPr>
      <w:pStyle w:val="Header"/>
    </w:pPr>
    <w:r>
      <w:rPr>
        <w:noProof/>
      </w:rPr>
      <w:pict w14:anchorId="661CD9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284766" o:spid="_x0000_s1026" type="#_x0000_t136" style="position:absolute;left:0;text-align:left;margin-left:0;margin-top:0;width:699.8pt;height:77.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1A3D" w14:textId="77224D20" w:rsidR="00A242ED" w:rsidRDefault="00A242ED">
    <w:pPr>
      <w:pStyle w:val="Header"/>
    </w:pPr>
    <w:r>
      <w:rPr>
        <w:noProof/>
      </w:rPr>
      <w:pict w14:anchorId="76E981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284767" o:spid="_x0000_s1027" type="#_x0000_t136" style="position:absolute;left:0;text-align:left;margin-left:0;margin-top:0;width:699.8pt;height:77.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33C5" w14:textId="3DB2EA94" w:rsidR="00A242ED" w:rsidRDefault="00A242ED">
    <w:pPr>
      <w:pStyle w:val="Header"/>
    </w:pPr>
    <w:r>
      <w:rPr>
        <w:noProof/>
      </w:rPr>
      <w:pict w14:anchorId="1491F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284765" o:spid="_x0000_s1025" type="#_x0000_t136" style="position:absolute;left:0;text-align:left;margin-left:0;margin-top:0;width:699.8pt;height:77.7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87400"/>
    <w:multiLevelType w:val="hybridMultilevel"/>
    <w:tmpl w:val="0718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6D1"/>
    <w:multiLevelType w:val="hybridMultilevel"/>
    <w:tmpl w:val="7BAE53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7C9E"/>
    <w:multiLevelType w:val="multilevel"/>
    <w:tmpl w:val="0C88FA2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14F32EA"/>
    <w:multiLevelType w:val="hybridMultilevel"/>
    <w:tmpl w:val="E7D6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C5E"/>
    <w:multiLevelType w:val="hybridMultilevel"/>
    <w:tmpl w:val="F65823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733DE"/>
    <w:multiLevelType w:val="hybridMultilevel"/>
    <w:tmpl w:val="1BD88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56848"/>
    <w:multiLevelType w:val="hybridMultilevel"/>
    <w:tmpl w:val="AD36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C196C"/>
    <w:multiLevelType w:val="hybridMultilevel"/>
    <w:tmpl w:val="E9F03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4A1EAC"/>
    <w:multiLevelType w:val="hybridMultilevel"/>
    <w:tmpl w:val="A7EA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E5C35"/>
    <w:multiLevelType w:val="hybridMultilevel"/>
    <w:tmpl w:val="4A0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1490C"/>
    <w:multiLevelType w:val="hybridMultilevel"/>
    <w:tmpl w:val="30E2D4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B47B39"/>
    <w:multiLevelType w:val="hybridMultilevel"/>
    <w:tmpl w:val="0D0A84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FD2ADC"/>
    <w:multiLevelType w:val="hybridMultilevel"/>
    <w:tmpl w:val="390E2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2D3349"/>
    <w:multiLevelType w:val="hybridMultilevel"/>
    <w:tmpl w:val="7B7E2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46DE2"/>
    <w:multiLevelType w:val="hybridMultilevel"/>
    <w:tmpl w:val="C33094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D63F92"/>
    <w:multiLevelType w:val="hybridMultilevel"/>
    <w:tmpl w:val="0010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8732FF"/>
    <w:multiLevelType w:val="multilevel"/>
    <w:tmpl w:val="56846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374EA5"/>
    <w:multiLevelType w:val="hybridMultilevel"/>
    <w:tmpl w:val="CAF83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C22F9"/>
    <w:multiLevelType w:val="hybridMultilevel"/>
    <w:tmpl w:val="DDBAC8F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6B58F2"/>
    <w:multiLevelType w:val="multilevel"/>
    <w:tmpl w:val="EC12FE2E"/>
    <w:lvl w:ilvl="0">
      <w:start w:val="4"/>
      <w:numFmt w:val="decimal"/>
      <w:lvlText w:val="%1"/>
      <w:lvlJc w:val="left"/>
      <w:pPr>
        <w:ind w:left="375" w:hanging="375"/>
      </w:pPr>
      <w:rPr>
        <w:rFonts w:cs="SimSun" w:hint="default"/>
        <w:color w:val="000000"/>
        <w:sz w:val="24"/>
      </w:rPr>
    </w:lvl>
    <w:lvl w:ilvl="1">
      <w:start w:val="1"/>
      <w:numFmt w:val="decimal"/>
      <w:lvlText w:val="%1.%2"/>
      <w:lvlJc w:val="left"/>
      <w:pPr>
        <w:ind w:left="375" w:hanging="375"/>
      </w:pPr>
      <w:rPr>
        <w:rFonts w:cs="SimSun" w:hint="default"/>
        <w:color w:val="000000"/>
        <w:sz w:val="24"/>
      </w:rPr>
    </w:lvl>
    <w:lvl w:ilvl="2">
      <w:start w:val="1"/>
      <w:numFmt w:val="decimal"/>
      <w:lvlText w:val="%1.%2.%3"/>
      <w:lvlJc w:val="left"/>
      <w:pPr>
        <w:ind w:left="720" w:hanging="720"/>
      </w:pPr>
      <w:rPr>
        <w:rFonts w:cs="SimSun" w:hint="default"/>
        <w:color w:val="000000"/>
        <w:sz w:val="24"/>
      </w:rPr>
    </w:lvl>
    <w:lvl w:ilvl="3">
      <w:start w:val="1"/>
      <w:numFmt w:val="decimal"/>
      <w:lvlText w:val="%1.%2.%3.%4"/>
      <w:lvlJc w:val="left"/>
      <w:pPr>
        <w:ind w:left="720" w:hanging="720"/>
      </w:pPr>
      <w:rPr>
        <w:rFonts w:cs="SimSun" w:hint="default"/>
        <w:color w:val="000000"/>
        <w:sz w:val="24"/>
      </w:rPr>
    </w:lvl>
    <w:lvl w:ilvl="4">
      <w:start w:val="1"/>
      <w:numFmt w:val="decimal"/>
      <w:lvlText w:val="%1.%2.%3.%4.%5"/>
      <w:lvlJc w:val="left"/>
      <w:pPr>
        <w:ind w:left="1080" w:hanging="1080"/>
      </w:pPr>
      <w:rPr>
        <w:rFonts w:cs="SimSun" w:hint="default"/>
        <w:color w:val="000000"/>
        <w:sz w:val="24"/>
      </w:rPr>
    </w:lvl>
    <w:lvl w:ilvl="5">
      <w:start w:val="1"/>
      <w:numFmt w:val="decimal"/>
      <w:lvlText w:val="%1.%2.%3.%4.%5.%6"/>
      <w:lvlJc w:val="left"/>
      <w:pPr>
        <w:ind w:left="1080" w:hanging="1080"/>
      </w:pPr>
      <w:rPr>
        <w:rFonts w:cs="SimSun" w:hint="default"/>
        <w:color w:val="000000"/>
        <w:sz w:val="24"/>
      </w:rPr>
    </w:lvl>
    <w:lvl w:ilvl="6">
      <w:start w:val="1"/>
      <w:numFmt w:val="decimal"/>
      <w:lvlText w:val="%1.%2.%3.%4.%5.%6.%7"/>
      <w:lvlJc w:val="left"/>
      <w:pPr>
        <w:ind w:left="1440" w:hanging="1440"/>
      </w:pPr>
      <w:rPr>
        <w:rFonts w:cs="SimSun" w:hint="default"/>
        <w:color w:val="000000"/>
        <w:sz w:val="24"/>
      </w:rPr>
    </w:lvl>
    <w:lvl w:ilvl="7">
      <w:start w:val="1"/>
      <w:numFmt w:val="decimal"/>
      <w:lvlText w:val="%1.%2.%3.%4.%5.%6.%7.%8"/>
      <w:lvlJc w:val="left"/>
      <w:pPr>
        <w:ind w:left="1440" w:hanging="1440"/>
      </w:pPr>
      <w:rPr>
        <w:rFonts w:cs="SimSun" w:hint="default"/>
        <w:color w:val="000000"/>
        <w:sz w:val="24"/>
      </w:rPr>
    </w:lvl>
    <w:lvl w:ilvl="8">
      <w:start w:val="1"/>
      <w:numFmt w:val="decimal"/>
      <w:lvlText w:val="%1.%2.%3.%4.%5.%6.%7.%8.%9"/>
      <w:lvlJc w:val="left"/>
      <w:pPr>
        <w:ind w:left="1800" w:hanging="1800"/>
      </w:pPr>
      <w:rPr>
        <w:rFonts w:cs="SimSun" w:hint="default"/>
        <w:color w:val="000000"/>
        <w:sz w:val="24"/>
      </w:rPr>
    </w:lvl>
  </w:abstractNum>
  <w:abstractNum w:abstractNumId="21" w15:restartNumberingAfterBreak="0">
    <w:nsid w:val="79B72972"/>
    <w:multiLevelType w:val="hybridMultilevel"/>
    <w:tmpl w:val="4F30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C84D78"/>
    <w:multiLevelType w:val="multilevel"/>
    <w:tmpl w:val="C2EA0EBE"/>
    <w:lvl w:ilvl="0">
      <w:start w:val="4"/>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960" w:hanging="540"/>
      </w:pPr>
      <w:rPr>
        <w:rFonts w:hint="default"/>
        <w:lang w:val="en-US" w:eastAsia="en-US" w:bidi="ar-SA"/>
      </w:rPr>
    </w:lvl>
    <w:lvl w:ilvl="4">
      <w:numFmt w:val="bullet"/>
      <w:lvlText w:val="•"/>
      <w:lvlJc w:val="left"/>
      <w:pPr>
        <w:ind w:left="1090" w:hanging="540"/>
      </w:pPr>
      <w:rPr>
        <w:rFonts w:hint="default"/>
        <w:lang w:val="en-US" w:eastAsia="en-US" w:bidi="ar-SA"/>
      </w:rPr>
    </w:lvl>
    <w:lvl w:ilvl="5">
      <w:numFmt w:val="bullet"/>
      <w:lvlText w:val="•"/>
      <w:lvlJc w:val="left"/>
      <w:pPr>
        <w:ind w:left="1220" w:hanging="540"/>
      </w:pPr>
      <w:rPr>
        <w:rFonts w:hint="default"/>
        <w:lang w:val="en-US" w:eastAsia="en-US" w:bidi="ar-SA"/>
      </w:rPr>
    </w:lvl>
    <w:lvl w:ilvl="6">
      <w:numFmt w:val="bullet"/>
      <w:lvlText w:val="•"/>
      <w:lvlJc w:val="left"/>
      <w:pPr>
        <w:ind w:left="1351" w:hanging="540"/>
      </w:pPr>
      <w:rPr>
        <w:rFonts w:hint="default"/>
        <w:lang w:val="en-US" w:eastAsia="en-US" w:bidi="ar-SA"/>
      </w:rPr>
    </w:lvl>
    <w:lvl w:ilvl="7">
      <w:numFmt w:val="bullet"/>
      <w:lvlText w:val="•"/>
      <w:lvlJc w:val="left"/>
      <w:pPr>
        <w:ind w:left="1481" w:hanging="540"/>
      </w:pPr>
      <w:rPr>
        <w:rFonts w:hint="default"/>
        <w:lang w:val="en-US" w:eastAsia="en-US" w:bidi="ar-SA"/>
      </w:rPr>
    </w:lvl>
    <w:lvl w:ilvl="8">
      <w:numFmt w:val="bullet"/>
      <w:lvlText w:val="•"/>
      <w:lvlJc w:val="left"/>
      <w:pPr>
        <w:ind w:left="1611" w:hanging="540"/>
      </w:pPr>
      <w:rPr>
        <w:rFonts w:hint="default"/>
        <w:lang w:val="en-US" w:eastAsia="en-US" w:bidi="ar-SA"/>
      </w:rPr>
    </w:lvl>
  </w:abstractNum>
  <w:num w:numId="1" w16cid:durableId="1388532679">
    <w:abstractNumId w:val="4"/>
  </w:num>
  <w:num w:numId="2" w16cid:durableId="405568557">
    <w:abstractNumId w:val="16"/>
  </w:num>
  <w:num w:numId="3" w16cid:durableId="1862477953">
    <w:abstractNumId w:val="22"/>
  </w:num>
  <w:num w:numId="4" w16cid:durableId="616788998">
    <w:abstractNumId w:val="21"/>
  </w:num>
  <w:num w:numId="5" w16cid:durableId="1520654065">
    <w:abstractNumId w:val="17"/>
  </w:num>
  <w:num w:numId="6" w16cid:durableId="1742024827">
    <w:abstractNumId w:val="20"/>
  </w:num>
  <w:num w:numId="7" w16cid:durableId="1153644215">
    <w:abstractNumId w:val="3"/>
  </w:num>
  <w:num w:numId="8" w16cid:durableId="1104034285">
    <w:abstractNumId w:val="0"/>
  </w:num>
  <w:num w:numId="9" w16cid:durableId="464278923">
    <w:abstractNumId w:val="12"/>
  </w:num>
  <w:num w:numId="10" w16cid:durableId="815221843">
    <w:abstractNumId w:val="5"/>
  </w:num>
  <w:num w:numId="11" w16cid:durableId="305748611">
    <w:abstractNumId w:val="1"/>
  </w:num>
  <w:num w:numId="12" w16cid:durableId="601690485">
    <w:abstractNumId w:val="10"/>
  </w:num>
  <w:num w:numId="13" w16cid:durableId="2109157352">
    <w:abstractNumId w:val="14"/>
  </w:num>
  <w:num w:numId="14" w16cid:durableId="1070007424">
    <w:abstractNumId w:val="19"/>
  </w:num>
  <w:num w:numId="15" w16cid:durableId="658845144">
    <w:abstractNumId w:val="2"/>
  </w:num>
  <w:num w:numId="16" w16cid:durableId="1320186060">
    <w:abstractNumId w:val="9"/>
  </w:num>
  <w:num w:numId="17" w16cid:durableId="592469212">
    <w:abstractNumId w:val="7"/>
  </w:num>
  <w:num w:numId="18" w16cid:durableId="407073099">
    <w:abstractNumId w:val="15"/>
  </w:num>
  <w:num w:numId="19" w16cid:durableId="1804154569">
    <w:abstractNumId w:val="13"/>
  </w:num>
  <w:num w:numId="20" w16cid:durableId="1401825569">
    <w:abstractNumId w:val="6"/>
  </w:num>
  <w:num w:numId="21" w16cid:durableId="46999598">
    <w:abstractNumId w:val="8"/>
  </w:num>
  <w:num w:numId="22" w16cid:durableId="1701079204">
    <w:abstractNumId w:val="11"/>
  </w:num>
  <w:num w:numId="23" w16cid:durableId="16022545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D83"/>
    <w:rsid w:val="00001A44"/>
    <w:rsid w:val="00005286"/>
    <w:rsid w:val="00012AEB"/>
    <w:rsid w:val="00014726"/>
    <w:rsid w:val="0001490C"/>
    <w:rsid w:val="0003088B"/>
    <w:rsid w:val="00036654"/>
    <w:rsid w:val="000410EC"/>
    <w:rsid w:val="000443AB"/>
    <w:rsid w:val="000446E8"/>
    <w:rsid w:val="00045AD9"/>
    <w:rsid w:val="00047D61"/>
    <w:rsid w:val="00055D83"/>
    <w:rsid w:val="000577EB"/>
    <w:rsid w:val="0006448B"/>
    <w:rsid w:val="00064933"/>
    <w:rsid w:val="000661F9"/>
    <w:rsid w:val="00070A96"/>
    <w:rsid w:val="00071FCE"/>
    <w:rsid w:val="00073097"/>
    <w:rsid w:val="000747C2"/>
    <w:rsid w:val="000750F8"/>
    <w:rsid w:val="00076BA5"/>
    <w:rsid w:val="00082DAA"/>
    <w:rsid w:val="00087A1D"/>
    <w:rsid w:val="0009733F"/>
    <w:rsid w:val="000A199C"/>
    <w:rsid w:val="000A3BD7"/>
    <w:rsid w:val="000A57EC"/>
    <w:rsid w:val="000A6884"/>
    <w:rsid w:val="000B496D"/>
    <w:rsid w:val="000C037E"/>
    <w:rsid w:val="000C57D5"/>
    <w:rsid w:val="000C5C0E"/>
    <w:rsid w:val="000D075E"/>
    <w:rsid w:val="000D0F56"/>
    <w:rsid w:val="000D1B44"/>
    <w:rsid w:val="000D7152"/>
    <w:rsid w:val="000D7DAA"/>
    <w:rsid w:val="000E11E7"/>
    <w:rsid w:val="000E2349"/>
    <w:rsid w:val="000F4C94"/>
    <w:rsid w:val="00111B62"/>
    <w:rsid w:val="001163C7"/>
    <w:rsid w:val="00130874"/>
    <w:rsid w:val="00131EAA"/>
    <w:rsid w:val="00135580"/>
    <w:rsid w:val="001403AD"/>
    <w:rsid w:val="00142F60"/>
    <w:rsid w:val="001450C8"/>
    <w:rsid w:val="001452A3"/>
    <w:rsid w:val="00147E4C"/>
    <w:rsid w:val="00151266"/>
    <w:rsid w:val="00154669"/>
    <w:rsid w:val="00162029"/>
    <w:rsid w:val="00167079"/>
    <w:rsid w:val="00167C75"/>
    <w:rsid w:val="0017796D"/>
    <w:rsid w:val="0018163F"/>
    <w:rsid w:val="00185BCB"/>
    <w:rsid w:val="00185FFD"/>
    <w:rsid w:val="0018600E"/>
    <w:rsid w:val="001938DE"/>
    <w:rsid w:val="001A1E1C"/>
    <w:rsid w:val="001A5880"/>
    <w:rsid w:val="001C0412"/>
    <w:rsid w:val="001C35CA"/>
    <w:rsid w:val="001C4B7D"/>
    <w:rsid w:val="001D0253"/>
    <w:rsid w:val="001D23A9"/>
    <w:rsid w:val="001D4A55"/>
    <w:rsid w:val="001D6A60"/>
    <w:rsid w:val="001E0043"/>
    <w:rsid w:val="001E21F0"/>
    <w:rsid w:val="001E5289"/>
    <w:rsid w:val="001E649F"/>
    <w:rsid w:val="001F024F"/>
    <w:rsid w:val="001F27A6"/>
    <w:rsid w:val="001F2B0E"/>
    <w:rsid w:val="001F51C1"/>
    <w:rsid w:val="001F7468"/>
    <w:rsid w:val="00204AAD"/>
    <w:rsid w:val="00207C41"/>
    <w:rsid w:val="0021142D"/>
    <w:rsid w:val="002151BA"/>
    <w:rsid w:val="00217B45"/>
    <w:rsid w:val="002203E3"/>
    <w:rsid w:val="0022048F"/>
    <w:rsid w:val="0022156B"/>
    <w:rsid w:val="00223099"/>
    <w:rsid w:val="002237C7"/>
    <w:rsid w:val="00223A1A"/>
    <w:rsid w:val="0022500A"/>
    <w:rsid w:val="00231033"/>
    <w:rsid w:val="00243C69"/>
    <w:rsid w:val="0024737A"/>
    <w:rsid w:val="002479E0"/>
    <w:rsid w:val="0025131C"/>
    <w:rsid w:val="0025160E"/>
    <w:rsid w:val="0025635B"/>
    <w:rsid w:val="00260B2D"/>
    <w:rsid w:val="00262277"/>
    <w:rsid w:val="002645C1"/>
    <w:rsid w:val="00270AED"/>
    <w:rsid w:val="00271CF6"/>
    <w:rsid w:val="00274AC6"/>
    <w:rsid w:val="00276CE5"/>
    <w:rsid w:val="002779A5"/>
    <w:rsid w:val="00280B3D"/>
    <w:rsid w:val="00281B4F"/>
    <w:rsid w:val="002856C7"/>
    <w:rsid w:val="002859D4"/>
    <w:rsid w:val="002860AE"/>
    <w:rsid w:val="002B2D3C"/>
    <w:rsid w:val="002B5578"/>
    <w:rsid w:val="002C2F8F"/>
    <w:rsid w:val="002C5E15"/>
    <w:rsid w:val="002C6F25"/>
    <w:rsid w:val="002C72A3"/>
    <w:rsid w:val="002D089D"/>
    <w:rsid w:val="002D1CB2"/>
    <w:rsid w:val="002D32ED"/>
    <w:rsid w:val="002D4259"/>
    <w:rsid w:val="002D7340"/>
    <w:rsid w:val="002E3874"/>
    <w:rsid w:val="002E784F"/>
    <w:rsid w:val="002F03DA"/>
    <w:rsid w:val="002F3573"/>
    <w:rsid w:val="00300BE0"/>
    <w:rsid w:val="0030195B"/>
    <w:rsid w:val="00301FD6"/>
    <w:rsid w:val="003029F0"/>
    <w:rsid w:val="00307DE7"/>
    <w:rsid w:val="003106BE"/>
    <w:rsid w:val="00311377"/>
    <w:rsid w:val="00311DFA"/>
    <w:rsid w:val="003128C6"/>
    <w:rsid w:val="003131D7"/>
    <w:rsid w:val="003140FD"/>
    <w:rsid w:val="00323D68"/>
    <w:rsid w:val="00324548"/>
    <w:rsid w:val="0033028F"/>
    <w:rsid w:val="0033151D"/>
    <w:rsid w:val="00336C6D"/>
    <w:rsid w:val="00337145"/>
    <w:rsid w:val="0034183D"/>
    <w:rsid w:val="00342FD9"/>
    <w:rsid w:val="00343363"/>
    <w:rsid w:val="003436F3"/>
    <w:rsid w:val="00344733"/>
    <w:rsid w:val="00344FD1"/>
    <w:rsid w:val="003518C1"/>
    <w:rsid w:val="003607E2"/>
    <w:rsid w:val="0036344E"/>
    <w:rsid w:val="00370F8B"/>
    <w:rsid w:val="00372DCB"/>
    <w:rsid w:val="00374FD9"/>
    <w:rsid w:val="00376BF4"/>
    <w:rsid w:val="0038103F"/>
    <w:rsid w:val="003851AE"/>
    <w:rsid w:val="003959CD"/>
    <w:rsid w:val="003A22F0"/>
    <w:rsid w:val="003A2387"/>
    <w:rsid w:val="003A4F31"/>
    <w:rsid w:val="003C4227"/>
    <w:rsid w:val="003C581F"/>
    <w:rsid w:val="003C59BB"/>
    <w:rsid w:val="003C7107"/>
    <w:rsid w:val="003D2541"/>
    <w:rsid w:val="003D39AB"/>
    <w:rsid w:val="003D4D6F"/>
    <w:rsid w:val="003D7198"/>
    <w:rsid w:val="003E0D69"/>
    <w:rsid w:val="003E0FAD"/>
    <w:rsid w:val="003F01AE"/>
    <w:rsid w:val="003F1DA1"/>
    <w:rsid w:val="003F72A0"/>
    <w:rsid w:val="0040626D"/>
    <w:rsid w:val="00406845"/>
    <w:rsid w:val="004071F4"/>
    <w:rsid w:val="00407977"/>
    <w:rsid w:val="0041566F"/>
    <w:rsid w:val="00415ABE"/>
    <w:rsid w:val="004165B3"/>
    <w:rsid w:val="00416E73"/>
    <w:rsid w:val="00421CF2"/>
    <w:rsid w:val="0042251A"/>
    <w:rsid w:val="00426617"/>
    <w:rsid w:val="00426CDB"/>
    <w:rsid w:val="00437393"/>
    <w:rsid w:val="00440EF7"/>
    <w:rsid w:val="00442282"/>
    <w:rsid w:val="00442FDE"/>
    <w:rsid w:val="0045178A"/>
    <w:rsid w:val="00455234"/>
    <w:rsid w:val="00462B59"/>
    <w:rsid w:val="00466181"/>
    <w:rsid w:val="00466A4D"/>
    <w:rsid w:val="004737A8"/>
    <w:rsid w:val="004855D1"/>
    <w:rsid w:val="004916BB"/>
    <w:rsid w:val="004963A4"/>
    <w:rsid w:val="00496991"/>
    <w:rsid w:val="00497EBF"/>
    <w:rsid w:val="004A12F4"/>
    <w:rsid w:val="004A3F7C"/>
    <w:rsid w:val="004A5357"/>
    <w:rsid w:val="004B7C71"/>
    <w:rsid w:val="004C3121"/>
    <w:rsid w:val="004C41F7"/>
    <w:rsid w:val="004C4596"/>
    <w:rsid w:val="004C7D5D"/>
    <w:rsid w:val="004D0812"/>
    <w:rsid w:val="004D081D"/>
    <w:rsid w:val="004D5CCD"/>
    <w:rsid w:val="004D6AC0"/>
    <w:rsid w:val="004E03E3"/>
    <w:rsid w:val="004E3D2D"/>
    <w:rsid w:val="004E4A2C"/>
    <w:rsid w:val="004F5A5D"/>
    <w:rsid w:val="00500683"/>
    <w:rsid w:val="00505972"/>
    <w:rsid w:val="0051495F"/>
    <w:rsid w:val="0051797F"/>
    <w:rsid w:val="00517C58"/>
    <w:rsid w:val="0052143B"/>
    <w:rsid w:val="00526412"/>
    <w:rsid w:val="0052667E"/>
    <w:rsid w:val="00531B5F"/>
    <w:rsid w:val="005417F4"/>
    <w:rsid w:val="0054398C"/>
    <w:rsid w:val="00546369"/>
    <w:rsid w:val="005508BF"/>
    <w:rsid w:val="00556C7C"/>
    <w:rsid w:val="00561737"/>
    <w:rsid w:val="00563CE7"/>
    <w:rsid w:val="005666F9"/>
    <w:rsid w:val="00571717"/>
    <w:rsid w:val="00571F99"/>
    <w:rsid w:val="005740B5"/>
    <w:rsid w:val="00575F00"/>
    <w:rsid w:val="00591997"/>
    <w:rsid w:val="00591DBD"/>
    <w:rsid w:val="005926C9"/>
    <w:rsid w:val="00594F68"/>
    <w:rsid w:val="005A1956"/>
    <w:rsid w:val="005B04D7"/>
    <w:rsid w:val="005B0558"/>
    <w:rsid w:val="005C09D0"/>
    <w:rsid w:val="005D3FE1"/>
    <w:rsid w:val="005D72F4"/>
    <w:rsid w:val="005E3D2C"/>
    <w:rsid w:val="005F1DA5"/>
    <w:rsid w:val="005F2F50"/>
    <w:rsid w:val="0060683F"/>
    <w:rsid w:val="00610BEF"/>
    <w:rsid w:val="0061111A"/>
    <w:rsid w:val="00615B2D"/>
    <w:rsid w:val="00616E93"/>
    <w:rsid w:val="006177C4"/>
    <w:rsid w:val="006211E5"/>
    <w:rsid w:val="00622E5D"/>
    <w:rsid w:val="00623C02"/>
    <w:rsid w:val="00627228"/>
    <w:rsid w:val="00632E53"/>
    <w:rsid w:val="00652189"/>
    <w:rsid w:val="0065654C"/>
    <w:rsid w:val="00661AAF"/>
    <w:rsid w:val="00675C16"/>
    <w:rsid w:val="006826A1"/>
    <w:rsid w:val="00683F32"/>
    <w:rsid w:val="00685965"/>
    <w:rsid w:val="0068692A"/>
    <w:rsid w:val="006A0520"/>
    <w:rsid w:val="006A2D8F"/>
    <w:rsid w:val="006B1220"/>
    <w:rsid w:val="006B3C88"/>
    <w:rsid w:val="006B4BA6"/>
    <w:rsid w:val="006B5A8E"/>
    <w:rsid w:val="006B5CA2"/>
    <w:rsid w:val="006C3DFD"/>
    <w:rsid w:val="006C41A9"/>
    <w:rsid w:val="006C4D79"/>
    <w:rsid w:val="006D16E8"/>
    <w:rsid w:val="006E1D74"/>
    <w:rsid w:val="006E3F3F"/>
    <w:rsid w:val="006E526B"/>
    <w:rsid w:val="0070085D"/>
    <w:rsid w:val="00707641"/>
    <w:rsid w:val="00711AB4"/>
    <w:rsid w:val="00714562"/>
    <w:rsid w:val="0071731F"/>
    <w:rsid w:val="007173FC"/>
    <w:rsid w:val="007205CE"/>
    <w:rsid w:val="00722A32"/>
    <w:rsid w:val="00723B81"/>
    <w:rsid w:val="007313ED"/>
    <w:rsid w:val="00750F50"/>
    <w:rsid w:val="0076188C"/>
    <w:rsid w:val="007625DB"/>
    <w:rsid w:val="00762807"/>
    <w:rsid w:val="007656A9"/>
    <w:rsid w:val="00766A2F"/>
    <w:rsid w:val="0077042C"/>
    <w:rsid w:val="00772A04"/>
    <w:rsid w:val="00774F84"/>
    <w:rsid w:val="007769D0"/>
    <w:rsid w:val="00777615"/>
    <w:rsid w:val="007846B3"/>
    <w:rsid w:val="00784B96"/>
    <w:rsid w:val="00785F6F"/>
    <w:rsid w:val="00790BF9"/>
    <w:rsid w:val="00795B86"/>
    <w:rsid w:val="00797B58"/>
    <w:rsid w:val="007A0442"/>
    <w:rsid w:val="007A2567"/>
    <w:rsid w:val="007A48D9"/>
    <w:rsid w:val="007A56B8"/>
    <w:rsid w:val="007A602B"/>
    <w:rsid w:val="007A6B64"/>
    <w:rsid w:val="007A7328"/>
    <w:rsid w:val="007A784F"/>
    <w:rsid w:val="007A7BFC"/>
    <w:rsid w:val="007B3AE1"/>
    <w:rsid w:val="007B652A"/>
    <w:rsid w:val="007B75C6"/>
    <w:rsid w:val="007C3182"/>
    <w:rsid w:val="007C6929"/>
    <w:rsid w:val="007D08AC"/>
    <w:rsid w:val="007D4F35"/>
    <w:rsid w:val="007E3458"/>
    <w:rsid w:val="007E5A6C"/>
    <w:rsid w:val="007F1318"/>
    <w:rsid w:val="007F4F3C"/>
    <w:rsid w:val="007F7A41"/>
    <w:rsid w:val="008003E7"/>
    <w:rsid w:val="00805FDE"/>
    <w:rsid w:val="00814B34"/>
    <w:rsid w:val="0081762C"/>
    <w:rsid w:val="008209F0"/>
    <w:rsid w:val="00822A7E"/>
    <w:rsid w:val="008263C5"/>
    <w:rsid w:val="00844748"/>
    <w:rsid w:val="008456FF"/>
    <w:rsid w:val="00854FF7"/>
    <w:rsid w:val="00857BF9"/>
    <w:rsid w:val="00860F17"/>
    <w:rsid w:val="00864FF4"/>
    <w:rsid w:val="00870856"/>
    <w:rsid w:val="00870B4E"/>
    <w:rsid w:val="008718EE"/>
    <w:rsid w:val="00872612"/>
    <w:rsid w:val="00876501"/>
    <w:rsid w:val="00877BF9"/>
    <w:rsid w:val="00880213"/>
    <w:rsid w:val="00895281"/>
    <w:rsid w:val="008A3771"/>
    <w:rsid w:val="008A5E87"/>
    <w:rsid w:val="008B0097"/>
    <w:rsid w:val="008B4F87"/>
    <w:rsid w:val="008B511B"/>
    <w:rsid w:val="008B630B"/>
    <w:rsid w:val="008B7836"/>
    <w:rsid w:val="008B7A20"/>
    <w:rsid w:val="008B7D65"/>
    <w:rsid w:val="008C2098"/>
    <w:rsid w:val="008C3E27"/>
    <w:rsid w:val="008D43EA"/>
    <w:rsid w:val="008E2312"/>
    <w:rsid w:val="008F4E62"/>
    <w:rsid w:val="00906288"/>
    <w:rsid w:val="00912F66"/>
    <w:rsid w:val="0092006B"/>
    <w:rsid w:val="00923D0A"/>
    <w:rsid w:val="00925466"/>
    <w:rsid w:val="0092720B"/>
    <w:rsid w:val="00935ABF"/>
    <w:rsid w:val="00942EC1"/>
    <w:rsid w:val="00945F70"/>
    <w:rsid w:val="00961903"/>
    <w:rsid w:val="00963A57"/>
    <w:rsid w:val="00973355"/>
    <w:rsid w:val="009841F2"/>
    <w:rsid w:val="00984917"/>
    <w:rsid w:val="009864E7"/>
    <w:rsid w:val="00993BED"/>
    <w:rsid w:val="009963FB"/>
    <w:rsid w:val="009A067C"/>
    <w:rsid w:val="009A1D5D"/>
    <w:rsid w:val="009A2D28"/>
    <w:rsid w:val="009B17C5"/>
    <w:rsid w:val="009B2CE5"/>
    <w:rsid w:val="009B3203"/>
    <w:rsid w:val="009B38E7"/>
    <w:rsid w:val="009B7DE4"/>
    <w:rsid w:val="009C0C7F"/>
    <w:rsid w:val="009C11BB"/>
    <w:rsid w:val="009D5CE2"/>
    <w:rsid w:val="009E0B92"/>
    <w:rsid w:val="009E0CF9"/>
    <w:rsid w:val="009E42B6"/>
    <w:rsid w:val="009E457F"/>
    <w:rsid w:val="009E783A"/>
    <w:rsid w:val="009F3871"/>
    <w:rsid w:val="009F5632"/>
    <w:rsid w:val="009F6D2D"/>
    <w:rsid w:val="00A00A05"/>
    <w:rsid w:val="00A0120F"/>
    <w:rsid w:val="00A01B25"/>
    <w:rsid w:val="00A01E19"/>
    <w:rsid w:val="00A22EB7"/>
    <w:rsid w:val="00A242ED"/>
    <w:rsid w:val="00A27439"/>
    <w:rsid w:val="00A31119"/>
    <w:rsid w:val="00A32436"/>
    <w:rsid w:val="00A40F08"/>
    <w:rsid w:val="00A52C12"/>
    <w:rsid w:val="00A57832"/>
    <w:rsid w:val="00A616A9"/>
    <w:rsid w:val="00A6679B"/>
    <w:rsid w:val="00A67F40"/>
    <w:rsid w:val="00A73EDF"/>
    <w:rsid w:val="00A75341"/>
    <w:rsid w:val="00A755D3"/>
    <w:rsid w:val="00A81F27"/>
    <w:rsid w:val="00A82DFB"/>
    <w:rsid w:val="00A85593"/>
    <w:rsid w:val="00A85B82"/>
    <w:rsid w:val="00A91ACF"/>
    <w:rsid w:val="00A91C98"/>
    <w:rsid w:val="00A94D23"/>
    <w:rsid w:val="00A9586C"/>
    <w:rsid w:val="00A9631D"/>
    <w:rsid w:val="00A96A1E"/>
    <w:rsid w:val="00AC0D69"/>
    <w:rsid w:val="00AD0959"/>
    <w:rsid w:val="00AD4106"/>
    <w:rsid w:val="00AD51A6"/>
    <w:rsid w:val="00AD6429"/>
    <w:rsid w:val="00AE3911"/>
    <w:rsid w:val="00AE4AA5"/>
    <w:rsid w:val="00AE69E8"/>
    <w:rsid w:val="00AF253B"/>
    <w:rsid w:val="00AF38F9"/>
    <w:rsid w:val="00AF46F3"/>
    <w:rsid w:val="00B00FCB"/>
    <w:rsid w:val="00B013C1"/>
    <w:rsid w:val="00B03327"/>
    <w:rsid w:val="00B04E6C"/>
    <w:rsid w:val="00B108BB"/>
    <w:rsid w:val="00B14EAC"/>
    <w:rsid w:val="00B2188D"/>
    <w:rsid w:val="00B22173"/>
    <w:rsid w:val="00B40B7A"/>
    <w:rsid w:val="00B40DD3"/>
    <w:rsid w:val="00B449E1"/>
    <w:rsid w:val="00B44B78"/>
    <w:rsid w:val="00B55CEF"/>
    <w:rsid w:val="00B55DC9"/>
    <w:rsid w:val="00B67158"/>
    <w:rsid w:val="00B717D1"/>
    <w:rsid w:val="00B836B4"/>
    <w:rsid w:val="00B85E42"/>
    <w:rsid w:val="00B87A83"/>
    <w:rsid w:val="00B93488"/>
    <w:rsid w:val="00B9497F"/>
    <w:rsid w:val="00BA58DB"/>
    <w:rsid w:val="00BA790C"/>
    <w:rsid w:val="00BB1899"/>
    <w:rsid w:val="00BB3A83"/>
    <w:rsid w:val="00BC2524"/>
    <w:rsid w:val="00BC4935"/>
    <w:rsid w:val="00BC6A0A"/>
    <w:rsid w:val="00BC7830"/>
    <w:rsid w:val="00BD0E33"/>
    <w:rsid w:val="00BD15A0"/>
    <w:rsid w:val="00BD64EB"/>
    <w:rsid w:val="00BD7BE1"/>
    <w:rsid w:val="00BE1869"/>
    <w:rsid w:val="00BE24E1"/>
    <w:rsid w:val="00BE5008"/>
    <w:rsid w:val="00BE754B"/>
    <w:rsid w:val="00BF3783"/>
    <w:rsid w:val="00BF3C23"/>
    <w:rsid w:val="00BF6F97"/>
    <w:rsid w:val="00C003DF"/>
    <w:rsid w:val="00C01423"/>
    <w:rsid w:val="00C0320B"/>
    <w:rsid w:val="00C03297"/>
    <w:rsid w:val="00C053F5"/>
    <w:rsid w:val="00C06731"/>
    <w:rsid w:val="00C10FCA"/>
    <w:rsid w:val="00C1335A"/>
    <w:rsid w:val="00C237CE"/>
    <w:rsid w:val="00C25488"/>
    <w:rsid w:val="00C32AB8"/>
    <w:rsid w:val="00C4118B"/>
    <w:rsid w:val="00C504A7"/>
    <w:rsid w:val="00C54577"/>
    <w:rsid w:val="00C67694"/>
    <w:rsid w:val="00C852EB"/>
    <w:rsid w:val="00C864EE"/>
    <w:rsid w:val="00C933BB"/>
    <w:rsid w:val="00C9348C"/>
    <w:rsid w:val="00C936A9"/>
    <w:rsid w:val="00C95979"/>
    <w:rsid w:val="00CA2418"/>
    <w:rsid w:val="00CA37C0"/>
    <w:rsid w:val="00CA6BD4"/>
    <w:rsid w:val="00CB397D"/>
    <w:rsid w:val="00CB6E82"/>
    <w:rsid w:val="00CC04B9"/>
    <w:rsid w:val="00CD35B1"/>
    <w:rsid w:val="00CD4F87"/>
    <w:rsid w:val="00CE4C91"/>
    <w:rsid w:val="00CF7125"/>
    <w:rsid w:val="00CF7422"/>
    <w:rsid w:val="00D15E77"/>
    <w:rsid w:val="00D16476"/>
    <w:rsid w:val="00D16825"/>
    <w:rsid w:val="00D20B1E"/>
    <w:rsid w:val="00D21679"/>
    <w:rsid w:val="00D2350E"/>
    <w:rsid w:val="00D242AA"/>
    <w:rsid w:val="00D257C4"/>
    <w:rsid w:val="00D257F6"/>
    <w:rsid w:val="00D26C8B"/>
    <w:rsid w:val="00D309F6"/>
    <w:rsid w:val="00D352C1"/>
    <w:rsid w:val="00D35C0E"/>
    <w:rsid w:val="00D36322"/>
    <w:rsid w:val="00D54CAA"/>
    <w:rsid w:val="00D56393"/>
    <w:rsid w:val="00D56DAA"/>
    <w:rsid w:val="00D6298D"/>
    <w:rsid w:val="00D656A4"/>
    <w:rsid w:val="00D665A0"/>
    <w:rsid w:val="00D73F27"/>
    <w:rsid w:val="00D74259"/>
    <w:rsid w:val="00D7477F"/>
    <w:rsid w:val="00D7785F"/>
    <w:rsid w:val="00D85955"/>
    <w:rsid w:val="00D916BC"/>
    <w:rsid w:val="00D94638"/>
    <w:rsid w:val="00DA0813"/>
    <w:rsid w:val="00DB19EB"/>
    <w:rsid w:val="00DB266B"/>
    <w:rsid w:val="00DB408B"/>
    <w:rsid w:val="00DC406B"/>
    <w:rsid w:val="00DC4076"/>
    <w:rsid w:val="00DC411F"/>
    <w:rsid w:val="00DD21C0"/>
    <w:rsid w:val="00DE2430"/>
    <w:rsid w:val="00DE5974"/>
    <w:rsid w:val="00DF126E"/>
    <w:rsid w:val="00DF2A42"/>
    <w:rsid w:val="00DF7169"/>
    <w:rsid w:val="00E05059"/>
    <w:rsid w:val="00E0554F"/>
    <w:rsid w:val="00E05F7C"/>
    <w:rsid w:val="00E07021"/>
    <w:rsid w:val="00E1065F"/>
    <w:rsid w:val="00E1453F"/>
    <w:rsid w:val="00E160F3"/>
    <w:rsid w:val="00E17890"/>
    <w:rsid w:val="00E207BA"/>
    <w:rsid w:val="00E22B03"/>
    <w:rsid w:val="00E22FC8"/>
    <w:rsid w:val="00E236F2"/>
    <w:rsid w:val="00E24AB2"/>
    <w:rsid w:val="00E27800"/>
    <w:rsid w:val="00E31A3E"/>
    <w:rsid w:val="00E3230A"/>
    <w:rsid w:val="00E3709F"/>
    <w:rsid w:val="00E41E2F"/>
    <w:rsid w:val="00E448DE"/>
    <w:rsid w:val="00E468EC"/>
    <w:rsid w:val="00E5141C"/>
    <w:rsid w:val="00E54B24"/>
    <w:rsid w:val="00E550A5"/>
    <w:rsid w:val="00E57ADC"/>
    <w:rsid w:val="00E60AE6"/>
    <w:rsid w:val="00E6128C"/>
    <w:rsid w:val="00E63B72"/>
    <w:rsid w:val="00E63DD0"/>
    <w:rsid w:val="00E70601"/>
    <w:rsid w:val="00E728DB"/>
    <w:rsid w:val="00E730D7"/>
    <w:rsid w:val="00E737F5"/>
    <w:rsid w:val="00E73E17"/>
    <w:rsid w:val="00E7572C"/>
    <w:rsid w:val="00E75DCB"/>
    <w:rsid w:val="00E77DD3"/>
    <w:rsid w:val="00E77E87"/>
    <w:rsid w:val="00E819C7"/>
    <w:rsid w:val="00E85394"/>
    <w:rsid w:val="00E85589"/>
    <w:rsid w:val="00E85EDC"/>
    <w:rsid w:val="00E87A78"/>
    <w:rsid w:val="00EA355D"/>
    <w:rsid w:val="00EA6B12"/>
    <w:rsid w:val="00EA7AE3"/>
    <w:rsid w:val="00EC58C5"/>
    <w:rsid w:val="00ED008A"/>
    <w:rsid w:val="00ED1179"/>
    <w:rsid w:val="00EE0214"/>
    <w:rsid w:val="00EF2DD5"/>
    <w:rsid w:val="00F00D01"/>
    <w:rsid w:val="00F01BA4"/>
    <w:rsid w:val="00F02225"/>
    <w:rsid w:val="00F05D67"/>
    <w:rsid w:val="00F111A2"/>
    <w:rsid w:val="00F12F5E"/>
    <w:rsid w:val="00F14915"/>
    <w:rsid w:val="00F16858"/>
    <w:rsid w:val="00F2302B"/>
    <w:rsid w:val="00F23691"/>
    <w:rsid w:val="00F341B9"/>
    <w:rsid w:val="00F42712"/>
    <w:rsid w:val="00F42A52"/>
    <w:rsid w:val="00F42B0A"/>
    <w:rsid w:val="00F46BA3"/>
    <w:rsid w:val="00F61F6F"/>
    <w:rsid w:val="00F6655B"/>
    <w:rsid w:val="00F74A68"/>
    <w:rsid w:val="00F74BD5"/>
    <w:rsid w:val="00F857CA"/>
    <w:rsid w:val="00F926C6"/>
    <w:rsid w:val="00F933EE"/>
    <w:rsid w:val="00F93EB9"/>
    <w:rsid w:val="00FA3A0A"/>
    <w:rsid w:val="00FA74EF"/>
    <w:rsid w:val="00FB2158"/>
    <w:rsid w:val="00FB2E0F"/>
    <w:rsid w:val="00FB3030"/>
    <w:rsid w:val="00FB4E25"/>
    <w:rsid w:val="00FC34D0"/>
    <w:rsid w:val="00FC3558"/>
    <w:rsid w:val="00FC4A1C"/>
    <w:rsid w:val="00FD3DAC"/>
    <w:rsid w:val="00FD4A02"/>
    <w:rsid w:val="00FE2102"/>
    <w:rsid w:val="00FE5B93"/>
    <w:rsid w:val="00FE6B26"/>
    <w:rsid w:val="00FE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0C7A"/>
  <w15:chartTrackingRefBased/>
  <w15:docId w15:val="{F58B4E4C-2E9A-4CEF-A397-9B648E9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83"/>
    <w:pPr>
      <w:spacing w:before="240" w:after="0" w:line="480" w:lineRule="auto"/>
      <w:jc w:val="both"/>
    </w:pPr>
    <w:rPr>
      <w:rFonts w:ascii="Times New Roman" w:eastAsia="Calibri" w:hAnsi="Times New Roman" w:cs="SimSun"/>
      <w:color w:val="000000"/>
      <w:kern w:val="0"/>
      <w:sz w:val="24"/>
    </w:rPr>
  </w:style>
  <w:style w:type="paragraph" w:styleId="Heading1">
    <w:name w:val="heading 1"/>
    <w:basedOn w:val="Normal"/>
    <w:next w:val="Normal"/>
    <w:link w:val="Heading1Char"/>
    <w:autoRedefine/>
    <w:uiPriority w:val="9"/>
    <w:qFormat/>
    <w:rsid w:val="00BF3783"/>
    <w:pPr>
      <w:keepNext/>
      <w:keepLines/>
      <w:spacing w:before="0" w:line="240" w:lineRule="auto"/>
      <w:outlineLvl w:val="0"/>
    </w:pPr>
    <w:rPr>
      <w:rFonts w:eastAsia="Times New Roman" w:cs="Times New Roman"/>
      <w:b/>
      <w:color w:val="000000" w:themeColor="text1"/>
      <w:kern w:val="2"/>
      <w:sz w:val="28"/>
      <w:szCs w:val="28"/>
    </w:rPr>
  </w:style>
  <w:style w:type="paragraph" w:styleId="Heading2">
    <w:name w:val="heading 2"/>
    <w:basedOn w:val="Normal"/>
    <w:next w:val="Normal"/>
    <w:link w:val="Heading2Char"/>
    <w:uiPriority w:val="9"/>
    <w:semiHidden/>
    <w:unhideWhenUsed/>
    <w:qFormat/>
    <w:rsid w:val="006068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11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D719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5D8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783"/>
    <w:rPr>
      <w:rFonts w:ascii="Times New Roman" w:eastAsia="Times New Roman" w:hAnsi="Times New Roman" w:cs="Times New Roman"/>
      <w:b/>
      <w:color w:val="000000" w:themeColor="text1"/>
      <w:sz w:val="28"/>
      <w:szCs w:val="28"/>
    </w:rPr>
  </w:style>
  <w:style w:type="character" w:customStyle="1" w:styleId="Heading5Char">
    <w:name w:val="Heading 5 Char"/>
    <w:basedOn w:val="DefaultParagraphFont"/>
    <w:link w:val="Heading5"/>
    <w:uiPriority w:val="9"/>
    <w:rsid w:val="00055D83"/>
    <w:rPr>
      <w:rFonts w:asciiTheme="majorHAnsi" w:eastAsiaTheme="majorEastAsia" w:hAnsiTheme="majorHAnsi" w:cstheme="majorBidi"/>
      <w:color w:val="2F5496" w:themeColor="accent1" w:themeShade="BF"/>
      <w:kern w:val="0"/>
      <w:sz w:val="24"/>
    </w:rPr>
  </w:style>
  <w:style w:type="character" w:customStyle="1" w:styleId="ListParagraphChar">
    <w:name w:val="List Paragraph Char"/>
    <w:link w:val="ListParagraph"/>
    <w:uiPriority w:val="34"/>
    <w:rsid w:val="00055D83"/>
    <w:rPr>
      <w:rFonts w:ascii="Calibri" w:eastAsia="Calibri" w:hAnsi="Calibri" w:cs="Times New Roman"/>
    </w:rPr>
  </w:style>
  <w:style w:type="paragraph" w:styleId="ListParagraph">
    <w:name w:val="List Paragraph"/>
    <w:basedOn w:val="Normal"/>
    <w:link w:val="ListParagraphChar"/>
    <w:uiPriority w:val="34"/>
    <w:qFormat/>
    <w:rsid w:val="00055D83"/>
    <w:pPr>
      <w:spacing w:before="120" w:after="200"/>
      <w:ind w:left="720"/>
      <w:contextualSpacing/>
    </w:pPr>
    <w:rPr>
      <w:rFonts w:ascii="Calibri" w:hAnsi="Calibri" w:cs="Times New Roman"/>
      <w:color w:val="auto"/>
      <w:kern w:val="2"/>
      <w:sz w:val="22"/>
    </w:rPr>
  </w:style>
  <w:style w:type="paragraph" w:styleId="Footer">
    <w:name w:val="footer"/>
    <w:basedOn w:val="Normal"/>
    <w:link w:val="FooterChar"/>
    <w:uiPriority w:val="99"/>
    <w:unhideWhenUsed/>
    <w:rsid w:val="00055D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5D83"/>
    <w:rPr>
      <w:rFonts w:ascii="Times New Roman" w:eastAsia="Calibri" w:hAnsi="Times New Roman" w:cs="SimSun"/>
      <w:color w:val="000000"/>
      <w:kern w:val="0"/>
      <w:sz w:val="24"/>
    </w:rPr>
  </w:style>
  <w:style w:type="paragraph" w:styleId="BodyText">
    <w:name w:val="Body Text"/>
    <w:basedOn w:val="Normal"/>
    <w:link w:val="BodyTextChar"/>
    <w:uiPriority w:val="1"/>
    <w:qFormat/>
    <w:rsid w:val="00055D83"/>
    <w:pPr>
      <w:widowControl w:val="0"/>
      <w:autoSpaceDE w:val="0"/>
      <w:autoSpaceDN w:val="0"/>
      <w:spacing w:before="0" w:line="240" w:lineRule="auto"/>
      <w:jc w:val="left"/>
    </w:pPr>
    <w:rPr>
      <w:rFonts w:eastAsia="Times New Roman" w:cs="Times New Roman"/>
      <w:color w:val="auto"/>
      <w:szCs w:val="24"/>
      <w:lang w:val="en-GB"/>
      <w14:ligatures w14:val="none"/>
    </w:rPr>
  </w:style>
  <w:style w:type="character" w:customStyle="1" w:styleId="BodyTextChar">
    <w:name w:val="Body Text Char"/>
    <w:basedOn w:val="DefaultParagraphFont"/>
    <w:link w:val="BodyText"/>
    <w:uiPriority w:val="1"/>
    <w:rsid w:val="00055D83"/>
    <w:rPr>
      <w:rFonts w:ascii="Times New Roman" w:eastAsia="Times New Roman" w:hAnsi="Times New Roman" w:cs="Times New Roman"/>
      <w:kern w:val="0"/>
      <w:sz w:val="24"/>
      <w:szCs w:val="24"/>
      <w:lang w:val="en-GB"/>
      <w14:ligatures w14:val="none"/>
    </w:rPr>
  </w:style>
  <w:style w:type="paragraph" w:customStyle="1" w:styleId="Default">
    <w:name w:val="Default"/>
    <w:rsid w:val="00055D83"/>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apple-converted-space">
    <w:name w:val="apple-converted-space"/>
    <w:basedOn w:val="DefaultParagraphFont"/>
    <w:rsid w:val="007F1318"/>
  </w:style>
  <w:style w:type="paragraph" w:customStyle="1" w:styleId="TableParagraph">
    <w:name w:val="Table Paragraph"/>
    <w:basedOn w:val="Normal"/>
    <w:uiPriority w:val="1"/>
    <w:qFormat/>
    <w:rsid w:val="00A6679B"/>
    <w:pPr>
      <w:widowControl w:val="0"/>
      <w:autoSpaceDE w:val="0"/>
      <w:autoSpaceDN w:val="0"/>
      <w:spacing w:before="0" w:line="240" w:lineRule="auto"/>
      <w:jc w:val="left"/>
    </w:pPr>
    <w:rPr>
      <w:rFonts w:eastAsia="Times New Roman" w:cs="Times New Roman"/>
      <w:color w:val="auto"/>
      <w:sz w:val="22"/>
      <w14:ligatures w14:val="none"/>
    </w:rPr>
  </w:style>
  <w:style w:type="character" w:customStyle="1" w:styleId="Heading2Char">
    <w:name w:val="Heading 2 Char"/>
    <w:basedOn w:val="DefaultParagraphFont"/>
    <w:link w:val="Heading2"/>
    <w:uiPriority w:val="9"/>
    <w:semiHidden/>
    <w:rsid w:val="0060683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rsid w:val="003D7198"/>
    <w:rPr>
      <w:rFonts w:asciiTheme="majorHAnsi" w:eastAsiaTheme="majorEastAsia" w:hAnsiTheme="majorHAnsi" w:cstheme="majorBidi"/>
      <w:i/>
      <w:iCs/>
      <w:color w:val="2F5496" w:themeColor="accent1" w:themeShade="BF"/>
      <w:kern w:val="0"/>
      <w:sz w:val="24"/>
    </w:rPr>
  </w:style>
  <w:style w:type="character" w:styleId="Emphasis">
    <w:name w:val="Emphasis"/>
    <w:uiPriority w:val="20"/>
    <w:qFormat/>
    <w:rsid w:val="00E1453F"/>
    <w:rPr>
      <w:i/>
      <w:iCs/>
    </w:rPr>
  </w:style>
  <w:style w:type="character" w:customStyle="1" w:styleId="Heading3Char">
    <w:name w:val="Heading 3 Char"/>
    <w:basedOn w:val="DefaultParagraphFont"/>
    <w:link w:val="Heading3"/>
    <w:uiPriority w:val="9"/>
    <w:qFormat/>
    <w:rsid w:val="00F111A2"/>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BB3A83"/>
    <w:pPr>
      <w:spacing w:after="0" w:line="240" w:lineRule="auto"/>
      <w:jc w:val="center"/>
    </w:pPr>
    <w:rPr>
      <w:rFonts w:ascii="Times New Roman" w:hAnsi="Times New Roman"/>
      <w:b/>
      <w:i/>
      <w:color w:val="000000" w:themeColor="text1"/>
      <w:kern w:val="0"/>
      <w:sz w:val="24"/>
      <w14:ligatures w14:val="none"/>
    </w:rPr>
  </w:style>
  <w:style w:type="table" w:styleId="TableGrid">
    <w:name w:val="Table Grid"/>
    <w:basedOn w:val="TableNormal"/>
    <w:uiPriority w:val="39"/>
    <w:qFormat/>
    <w:rsid w:val="00BB3A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A83"/>
    <w:pPr>
      <w:spacing w:before="0" w:after="200" w:line="240" w:lineRule="auto"/>
    </w:pPr>
    <w:rPr>
      <w:rFonts w:eastAsia="Times New Roman" w:cs="Times New Roman"/>
      <w:b/>
      <w:bCs/>
      <w:color w:val="4472C4" w:themeColor="accent1"/>
      <w:sz w:val="18"/>
      <w:szCs w:val="18"/>
      <w14:ligatures w14:val="none"/>
    </w:rPr>
  </w:style>
  <w:style w:type="character" w:customStyle="1" w:styleId="markedcontent">
    <w:name w:val="markedcontent"/>
    <w:basedOn w:val="DefaultParagraphFont"/>
    <w:rsid w:val="002D7340"/>
  </w:style>
  <w:style w:type="paragraph" w:customStyle="1" w:styleId="Tables">
    <w:name w:val="Tables"/>
    <w:basedOn w:val="Normal"/>
    <w:link w:val="TablesChar"/>
    <w:qFormat/>
    <w:rsid w:val="00076BA5"/>
    <w:pPr>
      <w:spacing w:before="0" w:line="240" w:lineRule="auto"/>
      <w:jc w:val="left"/>
    </w:pPr>
    <w:rPr>
      <w:rFonts w:eastAsiaTheme="minorHAnsi" w:cs="Times New Roman"/>
      <w:b/>
      <w:color w:val="auto"/>
      <w:szCs w:val="24"/>
      <w14:ligatures w14:val="none"/>
    </w:rPr>
  </w:style>
  <w:style w:type="character" w:customStyle="1" w:styleId="TablesChar">
    <w:name w:val="Tables Char"/>
    <w:basedOn w:val="DefaultParagraphFont"/>
    <w:link w:val="Tables"/>
    <w:rsid w:val="00076BA5"/>
    <w:rPr>
      <w:rFonts w:ascii="Times New Roman" w:hAnsi="Times New Roman" w:cs="Times New Roman"/>
      <w:b/>
      <w:kern w:val="0"/>
      <w:sz w:val="24"/>
      <w:szCs w:val="24"/>
      <w14:ligatures w14:val="none"/>
    </w:rPr>
  </w:style>
  <w:style w:type="character" w:styleId="Hyperlink">
    <w:name w:val="Hyperlink"/>
    <w:basedOn w:val="DefaultParagraphFont"/>
    <w:uiPriority w:val="99"/>
    <w:unhideWhenUsed/>
    <w:rsid w:val="001E649F"/>
    <w:rPr>
      <w:color w:val="0563C1" w:themeColor="hyperlink"/>
      <w:u w:val="single"/>
    </w:rPr>
  </w:style>
  <w:style w:type="character" w:customStyle="1" w:styleId="UnresolvedMention1">
    <w:name w:val="Unresolved Mention1"/>
    <w:basedOn w:val="DefaultParagraphFont"/>
    <w:uiPriority w:val="99"/>
    <w:semiHidden/>
    <w:unhideWhenUsed/>
    <w:rsid w:val="001E649F"/>
    <w:rPr>
      <w:color w:val="605E5C"/>
      <w:shd w:val="clear" w:color="auto" w:fill="E1DFDD"/>
    </w:rPr>
  </w:style>
  <w:style w:type="paragraph" w:styleId="NormalWeb">
    <w:name w:val="Normal (Web)"/>
    <w:basedOn w:val="Normal"/>
    <w:uiPriority w:val="99"/>
    <w:unhideWhenUsed/>
    <w:rsid w:val="00D16476"/>
    <w:pPr>
      <w:spacing w:before="100" w:beforeAutospacing="1" w:after="100" w:afterAutospacing="1" w:line="240" w:lineRule="auto"/>
      <w:jc w:val="left"/>
    </w:pPr>
    <w:rPr>
      <w:rFonts w:eastAsia="Times New Roman" w:cs="Times New Roman"/>
      <w:color w:val="auto"/>
      <w:szCs w:val="24"/>
      <w14:ligatures w14:val="none"/>
    </w:rPr>
  </w:style>
  <w:style w:type="paragraph" w:customStyle="1" w:styleId="TABLES0">
    <w:name w:val="TABLES"/>
    <w:basedOn w:val="Normal"/>
    <w:qFormat/>
    <w:rsid w:val="00437393"/>
    <w:pPr>
      <w:spacing w:before="120" w:after="120"/>
    </w:pPr>
    <w:rPr>
      <w:rFonts w:cs="Times New Roman"/>
      <w:b/>
      <w:color w:val="auto"/>
      <w14:ligatures w14:val="none"/>
    </w:rPr>
  </w:style>
  <w:style w:type="table" w:styleId="PlainTable5">
    <w:name w:val="Plain Table 5"/>
    <w:basedOn w:val="TableNormal"/>
    <w:uiPriority w:val="45"/>
    <w:rsid w:val="00C053F5"/>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ofTables">
    <w:name w:val="List of Tables"/>
    <w:basedOn w:val="Caption"/>
    <w:next w:val="Caption"/>
    <w:qFormat/>
    <w:rsid w:val="00860F17"/>
    <w:pPr>
      <w:keepNext/>
      <w:jc w:val="left"/>
    </w:pPr>
    <w:rPr>
      <w:rFonts w:eastAsia="Calibri"/>
      <w:color w:val="auto"/>
      <w:kern w:val="2"/>
      <w:sz w:val="24"/>
      <w:szCs w:val="24"/>
      <w14:ligatures w14:val="standardContextual"/>
    </w:rPr>
  </w:style>
  <w:style w:type="character" w:customStyle="1" w:styleId="UnresolvedMention2">
    <w:name w:val="Unresolved Mention2"/>
    <w:basedOn w:val="DefaultParagraphFont"/>
    <w:uiPriority w:val="99"/>
    <w:semiHidden/>
    <w:unhideWhenUsed/>
    <w:rsid w:val="00790BF9"/>
    <w:rPr>
      <w:color w:val="605E5C"/>
      <w:shd w:val="clear" w:color="auto" w:fill="E1DFDD"/>
    </w:rPr>
  </w:style>
  <w:style w:type="character" w:styleId="Strong">
    <w:name w:val="Strong"/>
    <w:basedOn w:val="DefaultParagraphFont"/>
    <w:uiPriority w:val="22"/>
    <w:qFormat/>
    <w:rsid w:val="001F51C1"/>
    <w:rPr>
      <w:b/>
      <w:bCs/>
    </w:rPr>
  </w:style>
  <w:style w:type="table" w:customStyle="1" w:styleId="TableGrid1">
    <w:name w:val="Table Grid1"/>
    <w:basedOn w:val="TableNormal"/>
    <w:next w:val="TableGrid"/>
    <w:uiPriority w:val="39"/>
    <w:qFormat/>
    <w:rsid w:val="007E3458"/>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916BC"/>
    <w:pPr>
      <w:widowControl w:val="0"/>
      <w:autoSpaceDE w:val="0"/>
      <w:autoSpaceDN w:val="0"/>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D916BC"/>
    <w:pPr>
      <w:spacing w:after="0" w:line="240" w:lineRule="auto"/>
    </w:pPr>
    <w:rPr>
      <w:rFonts w:ascii="Calibri" w:eastAsia="Calibri" w:hAnsi="Calibri" w:cs="SimSun"/>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pagerange">
    <w:name w:val="page_range"/>
    <w:basedOn w:val="DefaultParagraphFont"/>
    <w:rsid w:val="009E42B6"/>
  </w:style>
  <w:style w:type="character" w:styleId="UnresolvedMention">
    <w:name w:val="Unresolved Mention"/>
    <w:basedOn w:val="DefaultParagraphFont"/>
    <w:uiPriority w:val="99"/>
    <w:semiHidden/>
    <w:unhideWhenUsed/>
    <w:rsid w:val="00FE2102"/>
    <w:rPr>
      <w:color w:val="605E5C"/>
      <w:shd w:val="clear" w:color="auto" w:fill="E1DFDD"/>
    </w:rPr>
  </w:style>
  <w:style w:type="paragraph" w:styleId="Header">
    <w:name w:val="header"/>
    <w:basedOn w:val="Normal"/>
    <w:link w:val="HeaderChar"/>
    <w:uiPriority w:val="99"/>
    <w:unhideWhenUsed/>
    <w:rsid w:val="00A242E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A242ED"/>
    <w:rPr>
      <w:rFonts w:ascii="Times New Roman" w:eastAsia="Calibri" w:hAnsi="Times New Roman" w:cs="SimSu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357">
      <w:bodyDiv w:val="1"/>
      <w:marLeft w:val="0"/>
      <w:marRight w:val="0"/>
      <w:marTop w:val="0"/>
      <w:marBottom w:val="0"/>
      <w:divBdr>
        <w:top w:val="none" w:sz="0" w:space="0" w:color="auto"/>
        <w:left w:val="none" w:sz="0" w:space="0" w:color="auto"/>
        <w:bottom w:val="none" w:sz="0" w:space="0" w:color="auto"/>
        <w:right w:val="none" w:sz="0" w:space="0" w:color="auto"/>
      </w:divBdr>
    </w:div>
    <w:div w:id="340470004">
      <w:bodyDiv w:val="1"/>
      <w:marLeft w:val="0"/>
      <w:marRight w:val="0"/>
      <w:marTop w:val="0"/>
      <w:marBottom w:val="0"/>
      <w:divBdr>
        <w:top w:val="none" w:sz="0" w:space="0" w:color="auto"/>
        <w:left w:val="none" w:sz="0" w:space="0" w:color="auto"/>
        <w:bottom w:val="none" w:sz="0" w:space="0" w:color="auto"/>
        <w:right w:val="none" w:sz="0" w:space="0" w:color="auto"/>
      </w:divBdr>
    </w:div>
    <w:div w:id="385884447">
      <w:bodyDiv w:val="1"/>
      <w:marLeft w:val="0"/>
      <w:marRight w:val="0"/>
      <w:marTop w:val="0"/>
      <w:marBottom w:val="0"/>
      <w:divBdr>
        <w:top w:val="none" w:sz="0" w:space="0" w:color="auto"/>
        <w:left w:val="none" w:sz="0" w:space="0" w:color="auto"/>
        <w:bottom w:val="none" w:sz="0" w:space="0" w:color="auto"/>
        <w:right w:val="none" w:sz="0" w:space="0" w:color="auto"/>
      </w:divBdr>
    </w:div>
    <w:div w:id="566765604">
      <w:bodyDiv w:val="1"/>
      <w:marLeft w:val="0"/>
      <w:marRight w:val="0"/>
      <w:marTop w:val="0"/>
      <w:marBottom w:val="0"/>
      <w:divBdr>
        <w:top w:val="none" w:sz="0" w:space="0" w:color="auto"/>
        <w:left w:val="none" w:sz="0" w:space="0" w:color="auto"/>
        <w:bottom w:val="none" w:sz="0" w:space="0" w:color="auto"/>
        <w:right w:val="none" w:sz="0" w:space="0" w:color="auto"/>
      </w:divBdr>
    </w:div>
    <w:div w:id="583222418">
      <w:bodyDiv w:val="1"/>
      <w:marLeft w:val="0"/>
      <w:marRight w:val="0"/>
      <w:marTop w:val="0"/>
      <w:marBottom w:val="0"/>
      <w:divBdr>
        <w:top w:val="none" w:sz="0" w:space="0" w:color="auto"/>
        <w:left w:val="none" w:sz="0" w:space="0" w:color="auto"/>
        <w:bottom w:val="none" w:sz="0" w:space="0" w:color="auto"/>
        <w:right w:val="none" w:sz="0" w:space="0" w:color="auto"/>
      </w:divBdr>
    </w:div>
    <w:div w:id="618725703">
      <w:bodyDiv w:val="1"/>
      <w:marLeft w:val="0"/>
      <w:marRight w:val="0"/>
      <w:marTop w:val="0"/>
      <w:marBottom w:val="0"/>
      <w:divBdr>
        <w:top w:val="none" w:sz="0" w:space="0" w:color="auto"/>
        <w:left w:val="none" w:sz="0" w:space="0" w:color="auto"/>
        <w:bottom w:val="none" w:sz="0" w:space="0" w:color="auto"/>
        <w:right w:val="none" w:sz="0" w:space="0" w:color="auto"/>
      </w:divBdr>
    </w:div>
    <w:div w:id="684986993">
      <w:bodyDiv w:val="1"/>
      <w:marLeft w:val="0"/>
      <w:marRight w:val="0"/>
      <w:marTop w:val="0"/>
      <w:marBottom w:val="0"/>
      <w:divBdr>
        <w:top w:val="none" w:sz="0" w:space="0" w:color="auto"/>
        <w:left w:val="none" w:sz="0" w:space="0" w:color="auto"/>
        <w:bottom w:val="none" w:sz="0" w:space="0" w:color="auto"/>
        <w:right w:val="none" w:sz="0" w:space="0" w:color="auto"/>
      </w:divBdr>
    </w:div>
    <w:div w:id="947202476">
      <w:bodyDiv w:val="1"/>
      <w:marLeft w:val="0"/>
      <w:marRight w:val="0"/>
      <w:marTop w:val="0"/>
      <w:marBottom w:val="0"/>
      <w:divBdr>
        <w:top w:val="none" w:sz="0" w:space="0" w:color="auto"/>
        <w:left w:val="none" w:sz="0" w:space="0" w:color="auto"/>
        <w:bottom w:val="none" w:sz="0" w:space="0" w:color="auto"/>
        <w:right w:val="none" w:sz="0" w:space="0" w:color="auto"/>
      </w:divBdr>
    </w:div>
    <w:div w:id="1041175574">
      <w:bodyDiv w:val="1"/>
      <w:marLeft w:val="0"/>
      <w:marRight w:val="0"/>
      <w:marTop w:val="0"/>
      <w:marBottom w:val="0"/>
      <w:divBdr>
        <w:top w:val="none" w:sz="0" w:space="0" w:color="auto"/>
        <w:left w:val="none" w:sz="0" w:space="0" w:color="auto"/>
        <w:bottom w:val="none" w:sz="0" w:space="0" w:color="auto"/>
        <w:right w:val="none" w:sz="0" w:space="0" w:color="auto"/>
      </w:divBdr>
    </w:div>
    <w:div w:id="1095251281">
      <w:bodyDiv w:val="1"/>
      <w:marLeft w:val="0"/>
      <w:marRight w:val="0"/>
      <w:marTop w:val="0"/>
      <w:marBottom w:val="0"/>
      <w:divBdr>
        <w:top w:val="none" w:sz="0" w:space="0" w:color="auto"/>
        <w:left w:val="none" w:sz="0" w:space="0" w:color="auto"/>
        <w:bottom w:val="none" w:sz="0" w:space="0" w:color="auto"/>
        <w:right w:val="none" w:sz="0" w:space="0" w:color="auto"/>
      </w:divBdr>
    </w:div>
    <w:div w:id="1208760504">
      <w:bodyDiv w:val="1"/>
      <w:marLeft w:val="0"/>
      <w:marRight w:val="0"/>
      <w:marTop w:val="0"/>
      <w:marBottom w:val="0"/>
      <w:divBdr>
        <w:top w:val="none" w:sz="0" w:space="0" w:color="auto"/>
        <w:left w:val="none" w:sz="0" w:space="0" w:color="auto"/>
        <w:bottom w:val="none" w:sz="0" w:space="0" w:color="auto"/>
        <w:right w:val="none" w:sz="0" w:space="0" w:color="auto"/>
      </w:divBdr>
    </w:div>
    <w:div w:id="1240483030">
      <w:bodyDiv w:val="1"/>
      <w:marLeft w:val="0"/>
      <w:marRight w:val="0"/>
      <w:marTop w:val="0"/>
      <w:marBottom w:val="0"/>
      <w:divBdr>
        <w:top w:val="none" w:sz="0" w:space="0" w:color="auto"/>
        <w:left w:val="none" w:sz="0" w:space="0" w:color="auto"/>
        <w:bottom w:val="none" w:sz="0" w:space="0" w:color="auto"/>
        <w:right w:val="none" w:sz="0" w:space="0" w:color="auto"/>
      </w:divBdr>
    </w:div>
    <w:div w:id="1380744296">
      <w:bodyDiv w:val="1"/>
      <w:marLeft w:val="0"/>
      <w:marRight w:val="0"/>
      <w:marTop w:val="0"/>
      <w:marBottom w:val="0"/>
      <w:divBdr>
        <w:top w:val="none" w:sz="0" w:space="0" w:color="auto"/>
        <w:left w:val="none" w:sz="0" w:space="0" w:color="auto"/>
        <w:bottom w:val="none" w:sz="0" w:space="0" w:color="auto"/>
        <w:right w:val="none" w:sz="0" w:space="0" w:color="auto"/>
      </w:divBdr>
    </w:div>
    <w:div w:id="1542210079">
      <w:bodyDiv w:val="1"/>
      <w:marLeft w:val="0"/>
      <w:marRight w:val="0"/>
      <w:marTop w:val="0"/>
      <w:marBottom w:val="0"/>
      <w:divBdr>
        <w:top w:val="none" w:sz="0" w:space="0" w:color="auto"/>
        <w:left w:val="none" w:sz="0" w:space="0" w:color="auto"/>
        <w:bottom w:val="none" w:sz="0" w:space="0" w:color="auto"/>
        <w:right w:val="none" w:sz="0" w:space="0" w:color="auto"/>
      </w:divBdr>
    </w:div>
    <w:div w:id="1746954200">
      <w:bodyDiv w:val="1"/>
      <w:marLeft w:val="0"/>
      <w:marRight w:val="0"/>
      <w:marTop w:val="0"/>
      <w:marBottom w:val="0"/>
      <w:divBdr>
        <w:top w:val="none" w:sz="0" w:space="0" w:color="auto"/>
        <w:left w:val="none" w:sz="0" w:space="0" w:color="auto"/>
        <w:bottom w:val="none" w:sz="0" w:space="0" w:color="auto"/>
        <w:right w:val="none" w:sz="0" w:space="0" w:color="auto"/>
      </w:divBdr>
    </w:div>
    <w:div w:id="1806503340">
      <w:bodyDiv w:val="1"/>
      <w:marLeft w:val="0"/>
      <w:marRight w:val="0"/>
      <w:marTop w:val="0"/>
      <w:marBottom w:val="0"/>
      <w:divBdr>
        <w:top w:val="none" w:sz="0" w:space="0" w:color="auto"/>
        <w:left w:val="none" w:sz="0" w:space="0" w:color="auto"/>
        <w:bottom w:val="none" w:sz="0" w:space="0" w:color="auto"/>
        <w:right w:val="none" w:sz="0" w:space="0" w:color="auto"/>
      </w:divBdr>
    </w:div>
    <w:div w:id="1830245444">
      <w:bodyDiv w:val="1"/>
      <w:marLeft w:val="0"/>
      <w:marRight w:val="0"/>
      <w:marTop w:val="0"/>
      <w:marBottom w:val="0"/>
      <w:divBdr>
        <w:top w:val="none" w:sz="0" w:space="0" w:color="auto"/>
        <w:left w:val="none" w:sz="0" w:space="0" w:color="auto"/>
        <w:bottom w:val="none" w:sz="0" w:space="0" w:color="auto"/>
        <w:right w:val="none" w:sz="0" w:space="0" w:color="auto"/>
      </w:divBdr>
    </w:div>
    <w:div w:id="20788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ndmarman.2018.11.004"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016/j.jretconser.2020.102300" TargetMode="External"/><Relationship Id="rId12" Type="http://schemas.openxmlformats.org/officeDocument/2006/relationships/hyperlink" Target="https://doi.org/10.1108/IJRDM-03-2018-0046"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retconser.2021.10245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080/15228916.2022.206348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47604/jbsm.1324"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8233</Words>
  <Characters>46934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WUCHERERIA BANCROFTI</dc:creator>
  <cp:keywords/>
  <dc:description/>
  <cp:lastModifiedBy>SDI 1166</cp:lastModifiedBy>
  <cp:revision>12</cp:revision>
  <dcterms:created xsi:type="dcterms:W3CDTF">2026-10-05T07:45:00Z</dcterms:created>
  <dcterms:modified xsi:type="dcterms:W3CDTF">2026-10-06T07:01:00Z</dcterms:modified>
</cp:coreProperties>
</file>