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24BD4" w14:textId="1F13498E" w:rsidR="00111541" w:rsidRDefault="00111541" w:rsidP="007D462E">
      <w:pPr>
        <w:spacing w:after="0"/>
        <w:jc w:val="center"/>
        <w:rPr>
          <w:b/>
          <w:bCs/>
          <w:sz w:val="28"/>
          <w:szCs w:val="28"/>
        </w:rPr>
      </w:pPr>
      <w:r w:rsidRPr="00111541">
        <w:rPr>
          <w:b/>
          <w:bCs/>
          <w:sz w:val="28"/>
          <w:szCs w:val="28"/>
        </w:rPr>
        <w:t>ELECTRONIC PAYMENT SYSTEMS AND THE PROFITABILITY OF COMMERCIAL BANKS IN NAIROBI CITY COUNTY, KENYA</w:t>
      </w:r>
    </w:p>
    <w:p w14:paraId="41F990D9" w14:textId="77777777" w:rsidR="007D0CD7" w:rsidRDefault="007D0CD7" w:rsidP="007D462E">
      <w:pPr>
        <w:spacing w:after="0"/>
        <w:jc w:val="center"/>
        <w:rPr>
          <w:b/>
          <w:bCs/>
          <w:sz w:val="28"/>
          <w:szCs w:val="28"/>
        </w:rPr>
      </w:pPr>
    </w:p>
    <w:p w14:paraId="5F52C51F" w14:textId="77777777" w:rsidR="00111541" w:rsidRPr="001C3B37" w:rsidRDefault="00111541" w:rsidP="00F867B6">
      <w:pPr>
        <w:spacing w:after="0"/>
        <w:jc w:val="center"/>
        <w:rPr>
          <w:b/>
          <w:sz w:val="28"/>
          <w:szCs w:val="28"/>
        </w:rPr>
      </w:pPr>
    </w:p>
    <w:p w14:paraId="2001513D" w14:textId="77777777" w:rsidR="00F867B6" w:rsidRPr="009C691A" w:rsidRDefault="00F867B6" w:rsidP="00F867B6">
      <w:pPr>
        <w:pBdr>
          <w:top w:val="single" w:sz="4" w:space="1" w:color="auto"/>
          <w:bottom w:val="single" w:sz="4" w:space="1" w:color="auto"/>
        </w:pBdr>
        <w:spacing w:after="0"/>
        <w:rPr>
          <w:b/>
          <w:szCs w:val="24"/>
        </w:rPr>
      </w:pPr>
      <w:r w:rsidRPr="009C691A">
        <w:rPr>
          <w:b/>
          <w:szCs w:val="24"/>
        </w:rPr>
        <w:t>Abstract</w:t>
      </w:r>
    </w:p>
    <w:p w14:paraId="16DA6EA4" w14:textId="0FB14AD9" w:rsidR="00111541" w:rsidRDefault="00111541" w:rsidP="007D462E">
      <w:pPr>
        <w:pStyle w:val="NoSpacing"/>
      </w:pPr>
      <w:r>
        <w:t>In addition to changing banking operations and service delivery, the growing usage of electronic payment systems has raised noteworthy concerns about their impact on financial performance. This study explores how electronic payment systems affects the profitability of commercial banks in Nairobi City County, Kenya. Innovation Diffusion Theory, Technology acceptance model, and financial intermediation theory, which together described the uptake of financial technology and their performance implication, served as the foundation for the study. Evaluating the impact of</w:t>
      </w:r>
      <w:r w:rsidRPr="00EA7223">
        <w:t xml:space="preserve"> </w:t>
      </w:r>
      <w:r>
        <w:t xml:space="preserve">automated teller machine, mobile banking, and internet banking on bank profitability were the explicit goals. The research approach chosen was descriptive. A sample of 157 respondents was chosen by simple random sampling from the target population, which consisted of 258 employees recruited </w:t>
      </w:r>
      <w:r w:rsidRPr="00A730EF">
        <w:t>from specific commercial banks in Kenya's Nairobi City County</w:t>
      </w:r>
      <w:r>
        <w:t xml:space="preserve">. </w:t>
      </w:r>
      <w:r w:rsidRPr="0073112F">
        <w:t xml:space="preserve">To collect primary data, structured questionnaires were </w:t>
      </w:r>
      <w:r>
        <w:t>utilized</w:t>
      </w:r>
      <w:r w:rsidRPr="0073112F">
        <w:t>.</w:t>
      </w:r>
      <w:r>
        <w:t xml:space="preserve"> </w:t>
      </w:r>
      <w:r w:rsidRPr="00A730EF">
        <w:t>The reliability</w:t>
      </w:r>
      <w:r>
        <w:t xml:space="preserve"> </w:t>
      </w:r>
      <w:r w:rsidRPr="00A730EF">
        <w:t>of the research tool was evaluated using Cronbach's Alpha coefficient.</w:t>
      </w:r>
      <w:r>
        <w:t xml:space="preserve"> With alpha value of 0.781 for automated teller machine, 0.843 for mobile banking, 0.802 for internet banking, and 0.865 for bank profitability, the results showed satisfactory internal consistency across all variables. </w:t>
      </w:r>
      <w:r w:rsidR="007D462E">
        <w:t>Assessments of</w:t>
      </w:r>
      <w:r>
        <w:t xml:space="preserve"> construct and content validity were used to guarantee the validity of the instrument. The data’s appropriateness for regression analysis was verified by diagnostic tests for autocorrelation, heteroscedasticity, multicollinearity, and normality. Descriptive and Multiple </w:t>
      </w:r>
      <w:r w:rsidRPr="00CE553F">
        <w:t>regression</w:t>
      </w:r>
      <w:r>
        <w:t xml:space="preserve"> estimation technique were utilized to assess the data at a 95 per cent confidence level. Strong support for the related goal was shown by the regression outcome, which denoted that mobile banking also showed a </w:t>
      </w:r>
      <w:proofErr w:type="spellStart"/>
      <w:r>
        <w:t>favourable</w:t>
      </w:r>
      <w:proofErr w:type="spellEnd"/>
      <w:r>
        <w:t xml:space="preserve"> and notable impact on profitability. Although its contribution was comparatively smaller because of slower adoption levels, internet banking also showed a </w:t>
      </w:r>
      <w:proofErr w:type="spellStart"/>
      <w:r>
        <w:t>favourable</w:t>
      </w:r>
      <w:proofErr w:type="spellEnd"/>
      <w:r>
        <w:t xml:space="preserve"> and noteworthy effect. Automated teller machine on the other hand, demonstrated a </w:t>
      </w:r>
      <w:proofErr w:type="spellStart"/>
      <w:r>
        <w:t>favourable</w:t>
      </w:r>
      <w:proofErr w:type="spellEnd"/>
      <w:r>
        <w:t xml:space="preserve"> but negligible impact on profitability, indicating indirect benefits primarily through increased efficiency and service accessibility rather than direct profit production. According to the inquiry’s outcome, electronic payment systems notably increase commercial banks’ profitability, especially when it comes to internet banking and mobile banking. To boost adoption and boost overall bank profitability, the study suggests consistent investment in automated teller machine infrastructure, ongoing innovation and user-centered enhancement of mobile banking platforms, improved customer education, and streamlining of internet banking systems. </w:t>
      </w:r>
    </w:p>
    <w:p w14:paraId="78D500EA" w14:textId="1E781BD1" w:rsidR="00F867B6" w:rsidRDefault="00F867B6" w:rsidP="007D462E">
      <w:pPr>
        <w:pStyle w:val="NoSpacing"/>
      </w:pPr>
      <w:r w:rsidRPr="009C691A">
        <w:rPr>
          <w:b/>
        </w:rPr>
        <w:t xml:space="preserve">Keywords: </w:t>
      </w:r>
      <w:r w:rsidR="00B40C63">
        <w:rPr>
          <w:rFonts w:eastAsia="Times New Roman"/>
        </w:rPr>
        <w:t>M</w:t>
      </w:r>
      <w:r w:rsidR="00B40C63" w:rsidRPr="00414725">
        <w:rPr>
          <w:rFonts w:eastAsia="Times New Roman"/>
        </w:rPr>
        <w:t xml:space="preserve">obile </w:t>
      </w:r>
      <w:r w:rsidR="00B40C63">
        <w:rPr>
          <w:rFonts w:eastAsia="Times New Roman"/>
        </w:rPr>
        <w:t>B</w:t>
      </w:r>
      <w:r w:rsidR="00B40C63" w:rsidRPr="00414725">
        <w:rPr>
          <w:rFonts w:eastAsia="Times New Roman"/>
        </w:rPr>
        <w:t>anking</w:t>
      </w:r>
      <w:r>
        <w:t>, Profitability, Commercial Banks</w:t>
      </w:r>
      <w:r w:rsidR="00B40C63">
        <w:t>, Electronic Banking, I</w:t>
      </w:r>
      <w:r w:rsidR="00B40C63" w:rsidRPr="00B40C63">
        <w:t xml:space="preserve">nternet </w:t>
      </w:r>
      <w:r w:rsidR="00B40C63">
        <w:t>B</w:t>
      </w:r>
      <w:r w:rsidR="00B40C63" w:rsidRPr="00B40C63">
        <w:t>anking</w:t>
      </w:r>
      <w:r w:rsidR="00B40C63">
        <w:t xml:space="preserve">, </w:t>
      </w:r>
      <w:r w:rsidR="00B40C63" w:rsidRPr="00B40C63">
        <w:t>Automated Teller Machine</w:t>
      </w:r>
    </w:p>
    <w:p w14:paraId="00CFDCF3" w14:textId="77777777" w:rsidR="00CB7914" w:rsidRPr="009C691A" w:rsidRDefault="00CB7914" w:rsidP="007D462E">
      <w:pPr>
        <w:pStyle w:val="NoSpacing"/>
        <w:rPr>
          <w:b/>
        </w:rPr>
      </w:pPr>
    </w:p>
    <w:p w14:paraId="1E9112C9" w14:textId="03817129" w:rsidR="00F867B6" w:rsidRPr="0076184A" w:rsidRDefault="00F867B6" w:rsidP="0082219B">
      <w:pPr>
        <w:pStyle w:val="Heading2"/>
      </w:pPr>
      <w:r>
        <w:t>1.</w:t>
      </w:r>
      <w:r w:rsidR="00816327">
        <w:t>1</w:t>
      </w:r>
      <w:r>
        <w:t xml:space="preserve"> Introduction</w:t>
      </w:r>
    </w:p>
    <w:p w14:paraId="5D6EB94C" w14:textId="0803A4CC" w:rsidR="00C519CA" w:rsidRDefault="00C519CA" w:rsidP="00C17128">
      <w:pPr>
        <w:rPr>
          <w:szCs w:val="24"/>
        </w:rPr>
      </w:pPr>
      <w:r w:rsidRPr="00C519CA">
        <w:t xml:space="preserve">One important indicator of the viability and soundness of commercial banks’ finances is profitability (Abu, Harrison &amp; Robert, 2026). According to Johnson and Smith (2022), banks can </w:t>
      </w:r>
      <w:r w:rsidRPr="00C519CA">
        <w:lastRenderedPageBreak/>
        <w:t>support daily operations, enhance service offering, satisfy stakeholder expectations, and make a noteworthy contribution to economic expansion by attaining and sustaining strong profit levels. Financial institutions may face difficulties like instability, diminished lending potential, and eroded investor confidence in the absence of steady profitability. As a result, increasing profitability continues to be a top priority for banks all over the world (Sabti &amp; Mohammed, 2020).</w:t>
      </w:r>
      <w:r>
        <w:t xml:space="preserve"> </w:t>
      </w:r>
      <w:r>
        <w:rPr>
          <w:szCs w:val="24"/>
        </w:rPr>
        <w:t>Profitability is a crucial measure of a commercial banks’ long-term sustainability, financial health, and capacity to foster wider economic expansion (Abu,</w:t>
      </w:r>
      <w:r w:rsidRPr="0047160C">
        <w:rPr>
          <w:szCs w:val="24"/>
        </w:rPr>
        <w:t xml:space="preserve"> Har</w:t>
      </w:r>
      <w:r>
        <w:rPr>
          <w:szCs w:val="24"/>
        </w:rPr>
        <w:t>rison &amp; Robert, 2026;</w:t>
      </w:r>
      <w:r w:rsidRPr="0047160C">
        <w:t xml:space="preserve"> </w:t>
      </w:r>
      <w:r>
        <w:rPr>
          <w:szCs w:val="24"/>
        </w:rPr>
        <w:t>Achor</w:t>
      </w:r>
      <w:r w:rsidRPr="0047160C">
        <w:rPr>
          <w:szCs w:val="24"/>
        </w:rPr>
        <w:t xml:space="preserve"> &amp; Utulu, 2026</w:t>
      </w:r>
      <w:r>
        <w:rPr>
          <w:szCs w:val="24"/>
        </w:rPr>
        <w:t xml:space="preserve">). </w:t>
      </w:r>
    </w:p>
    <w:p w14:paraId="13BBCFC4" w14:textId="74E19A79" w:rsidR="00C519CA" w:rsidRDefault="00C519CA" w:rsidP="00C17128">
      <w:r>
        <w:rPr>
          <w:szCs w:val="24"/>
        </w:rPr>
        <w:t xml:space="preserve">Profitability shows how well a bank produces enough returns to support its operations, add value for shareholders, and keep a competitive edge in a financial industry that is changing quickly. According to Johnson and Smith (2022), profitability is an </w:t>
      </w:r>
      <w:r w:rsidRPr="00A730EF">
        <w:rPr>
          <w:szCs w:val="24"/>
        </w:rPr>
        <w:t>indicator of a bank's ability to</w:t>
      </w:r>
      <w:r>
        <w:rPr>
          <w:szCs w:val="24"/>
        </w:rPr>
        <w:t xml:space="preserve"> meet regulatory capital requirements as well as its resilience in the face of economic instability.</w:t>
      </w:r>
      <w:r w:rsidRPr="00C519CA">
        <w:rPr>
          <w:szCs w:val="24"/>
        </w:rPr>
        <w:t xml:space="preserve"> </w:t>
      </w:r>
      <w:r>
        <w:rPr>
          <w:szCs w:val="24"/>
        </w:rPr>
        <w:t>Regaining Assets (REAs) is a crucial statistic for evaluating profitability since the present investigation shows how well banks employ their resources to generate net profits (Basnet, 2024;</w:t>
      </w:r>
      <w:r w:rsidRPr="0047160C">
        <w:t xml:space="preserve"> </w:t>
      </w:r>
      <w:proofErr w:type="spellStart"/>
      <w:r>
        <w:rPr>
          <w:szCs w:val="24"/>
        </w:rPr>
        <w:t>Oyasor</w:t>
      </w:r>
      <w:proofErr w:type="spellEnd"/>
      <w:r>
        <w:rPr>
          <w:szCs w:val="24"/>
        </w:rPr>
        <w:t>, 2025).</w:t>
      </w:r>
      <w:r w:rsidRPr="00C519CA">
        <w:t xml:space="preserve"> As a result</w:t>
      </w:r>
      <w:r>
        <w:t xml:space="preserve"> of how important it is</w:t>
      </w:r>
      <w:r w:rsidRPr="00C519CA">
        <w:t>, increasing profitability continues to be a top priority for banks all over the world (Sabti &amp; Mohammed, 2020).</w:t>
      </w:r>
    </w:p>
    <w:p w14:paraId="518BDD0D" w14:textId="42C5E592" w:rsidR="00C519CA" w:rsidRDefault="00C519CA" w:rsidP="00C17128">
      <w:r w:rsidRPr="00C519CA">
        <w:t>Global banking systems have undergone radical transformation as a result of technological innovation. For instance, digital payment methods have surpassed cash in the United States, where more than 78 percent of people regularly use online and mobile banking (Federal Reserve, 2023). Carter and Martin (2023) asserts that, banks that use electronic payment systems like internet banking (IB), mobile banking (MB), and Automated Teller Machines (ATMs) services typically report a Return on Equity (ROE) that is 15 percent higher than those that mainly use traditional banking methods (Wang &amp; Gunawan, 2022; Sarker, Sarker, Shaha, Saha &amp; Sarker, 2024). The transition to digital financial services has evolved notably in the European region. The European Central Bank (2023) asserts, over 65 per cent of people in the Eurozone conduct business online. Early adopters of digital technology have seen improvements in profit margins and operational efficiency of between 8 and 12 per cent, particularly in countries like Germany and throughout the Scandinavian region (Schmidt &amp; Vogel, 2022).</w:t>
      </w:r>
    </w:p>
    <w:p w14:paraId="7FFB1026" w14:textId="77777777" w:rsidR="00C519CA" w:rsidRDefault="00C519CA" w:rsidP="00C519CA">
      <w:r w:rsidRPr="00C519CA">
        <w:t xml:space="preserve">Due to increased access to mobile devices and the desire for greater financial inclusion, the usage of electronic banking has also grown rapidly throughout Africa (Olaseni, Oyeyemi, Dairo, Omotola, </w:t>
      </w:r>
      <w:proofErr w:type="spellStart"/>
      <w:r w:rsidRPr="00C519CA">
        <w:t>Saduwa</w:t>
      </w:r>
      <w:proofErr w:type="spellEnd"/>
      <w:r w:rsidRPr="00C519CA">
        <w:t xml:space="preserve"> &amp; Sesan, 2025). According GSMA (2023), there were more than 760 million </w:t>
      </w:r>
      <w:r w:rsidRPr="00C519CA">
        <w:lastRenderedPageBreak/>
        <w:t>mobile money users in Sahara in 2022, and trading volumes exceeded $836 million. Mensah and Ofori (2022) asserted that, banks that combine internet and mobile banking platforms have shown increase in efficiency of up to 15 per cent. However, different infrastructure capacities and legal frameworks in African nations lead to different financial outcomes.</w:t>
      </w:r>
    </w:p>
    <w:p w14:paraId="55B9671B" w14:textId="42861D98" w:rsidR="00C519CA" w:rsidRDefault="00C519CA" w:rsidP="00405F39">
      <w:r>
        <w:t xml:space="preserve">Kenya is also not left behind when it comes to adoption of digital banking systems. With platforms like M-Pesa greatly enhancing access to financial services, Kenya distinguishes itself as a pioneer in digital banking innovation on the continent. According to Central Bank of Kenya (CBK, 2023; </w:t>
      </w:r>
      <w:proofErr w:type="spellStart"/>
      <w:r>
        <w:t>Osiolo</w:t>
      </w:r>
      <w:proofErr w:type="spellEnd"/>
      <w:r>
        <w:t xml:space="preserve"> &amp; </w:t>
      </w:r>
      <w:proofErr w:type="spellStart"/>
      <w:r>
        <w:t>Sije</w:t>
      </w:r>
      <w:proofErr w:type="spellEnd"/>
      <w:r>
        <w:t xml:space="preserve">, 2023), mobile money transaction totaled 12.1 trillion </w:t>
      </w:r>
      <w:proofErr w:type="spellStart"/>
      <w:r>
        <w:t>Ksh</w:t>
      </w:r>
      <w:proofErr w:type="spellEnd"/>
      <w:r>
        <w:t xml:space="preserve"> or almost $1 billion USD, in 2023. Additionally, Kenya </w:t>
      </w:r>
      <w:proofErr w:type="gramStart"/>
      <w:r>
        <w:t>bankers</w:t>
      </w:r>
      <w:proofErr w:type="gramEnd"/>
      <w:r>
        <w:t xml:space="preserve"> association (2023) stated that, 89 per cent of adults with bank accounts currently use internet, mobile, and ATMs banking services. Even though these technologies have made money more accessible and convenient. More research is needed to determine how they directly affect bank profitability in Kenya (Otieno &amp; Muriuki, 2022). Electric payment systems are especially prevalent at Kenya’s primary Commercial and Financial Hub in Nairobi County. According to data from Kenya Communications Agency (2024), Nairobi accounts for about 5 per cent of the nation’s electronic transactions. The service bank racing in the city’s banking industry has changed as a result of the increased adoption of ATMs, MB, Point </w:t>
      </w:r>
      <w:r w:rsidR="00E1126F">
        <w:t>of</w:t>
      </w:r>
      <w:r>
        <w:t xml:space="preserve"> Sales (POS), and IB. Despite these developments, issues including system waste, cyber threats, and high infrastructure expenses still have an impact on profit margins (Kamau &amp; Gitau, 2022).</w:t>
      </w:r>
    </w:p>
    <w:p w14:paraId="0B640909" w14:textId="10A405C0" w:rsidR="00657B8B" w:rsidRPr="003B6D65" w:rsidRDefault="00816327" w:rsidP="0082219B">
      <w:pPr>
        <w:pStyle w:val="Heading2"/>
      </w:pPr>
      <w:bookmarkStart w:id="0" w:name="_Toc173177633"/>
      <w:bookmarkStart w:id="1" w:name="_Toc219224669"/>
      <w:r>
        <w:t>1</w:t>
      </w:r>
      <w:r w:rsidR="004A273E">
        <w:rPr>
          <w:lang w:val="en-US"/>
        </w:rPr>
        <w:t>.</w:t>
      </w:r>
      <w:r>
        <w:rPr>
          <w:lang w:val="en-US"/>
        </w:rPr>
        <w:t>2</w:t>
      </w:r>
      <w:r w:rsidR="005E1A18" w:rsidRPr="003B6D65">
        <w:t xml:space="preserve"> </w:t>
      </w:r>
      <w:r w:rsidR="00657B8B" w:rsidRPr="003B6D65">
        <w:t xml:space="preserve">Statement of the </w:t>
      </w:r>
      <w:r w:rsidR="00F57766" w:rsidRPr="003B6D65">
        <w:t>P</w:t>
      </w:r>
      <w:r w:rsidR="00657B8B" w:rsidRPr="003B6D65">
        <w:t>roblem</w:t>
      </w:r>
      <w:bookmarkEnd w:id="0"/>
      <w:bookmarkEnd w:id="1"/>
    </w:p>
    <w:p w14:paraId="3C129227" w14:textId="77777777" w:rsidR="0095654A" w:rsidRDefault="00C82F1C" w:rsidP="00315F9D">
      <w:pPr>
        <w:rPr>
          <w:szCs w:val="24"/>
        </w:rPr>
      </w:pPr>
      <w:r w:rsidRPr="00C82F1C">
        <w:rPr>
          <w:szCs w:val="24"/>
        </w:rPr>
        <w:t>Within the banking industry, payment services are a fundamental activity that contributes substantially to operating revenues and costs and influences the market share of banking institutions, particularly through credit provision (</w:t>
      </w:r>
      <w:proofErr w:type="spellStart"/>
      <w:r w:rsidRPr="00C82F1C">
        <w:rPr>
          <w:szCs w:val="24"/>
        </w:rPr>
        <w:t>Misati</w:t>
      </w:r>
      <w:proofErr w:type="spellEnd"/>
      <w:r w:rsidRPr="00C82F1C">
        <w:rPr>
          <w:szCs w:val="24"/>
        </w:rPr>
        <w:t xml:space="preserve">, Njoroge, Kamau, &amp; Ouma, 2020). </w:t>
      </w:r>
      <w:r>
        <w:rPr>
          <w:szCs w:val="24"/>
        </w:rPr>
        <w:t xml:space="preserve">Recent report by </w:t>
      </w:r>
      <w:r w:rsidRPr="006B5DD2">
        <w:rPr>
          <w:szCs w:val="24"/>
        </w:rPr>
        <w:t>Kimonye</w:t>
      </w:r>
      <w:r>
        <w:rPr>
          <w:szCs w:val="24"/>
        </w:rPr>
        <w:t xml:space="preserve"> and</w:t>
      </w:r>
      <w:r w:rsidRPr="006B5DD2">
        <w:rPr>
          <w:szCs w:val="24"/>
        </w:rPr>
        <w:t xml:space="preserve"> </w:t>
      </w:r>
      <w:proofErr w:type="spellStart"/>
      <w:r w:rsidRPr="006B5DD2">
        <w:rPr>
          <w:szCs w:val="24"/>
        </w:rPr>
        <w:t>Muchelule</w:t>
      </w:r>
      <w:proofErr w:type="spellEnd"/>
      <w:r w:rsidRPr="006B5DD2">
        <w:rPr>
          <w:szCs w:val="24"/>
        </w:rPr>
        <w:t xml:space="preserve"> (2024)</w:t>
      </w:r>
      <w:r>
        <w:rPr>
          <w:szCs w:val="24"/>
        </w:rPr>
        <w:t xml:space="preserve"> </w:t>
      </w:r>
      <w:r w:rsidRPr="00C82F1C">
        <w:rPr>
          <w:szCs w:val="24"/>
        </w:rPr>
        <w:t xml:space="preserve">indicated that bank customers in Kenya previously encountered long queues, transaction-related challenges, security risks, and network failures. Such difficulties </w:t>
      </w:r>
      <w:r>
        <w:rPr>
          <w:szCs w:val="24"/>
        </w:rPr>
        <w:t>are mostly</w:t>
      </w:r>
      <w:r w:rsidRPr="00C82F1C">
        <w:rPr>
          <w:szCs w:val="24"/>
        </w:rPr>
        <w:t xml:space="preserve"> associated with the sector’s limited consideration of customer interests in its efforts to satisfy customer requirements.</w:t>
      </w:r>
      <w:r>
        <w:rPr>
          <w:szCs w:val="24"/>
        </w:rPr>
        <w:t xml:space="preserve"> </w:t>
      </w:r>
      <w:r w:rsidR="00C07D71">
        <w:rPr>
          <w:szCs w:val="24"/>
        </w:rPr>
        <w:t xml:space="preserve">Although digital technologies are being quickly incorporated into Kenya’s banking sector, it is yet unclear how these advances will actually affect profitability. Some academics contend that by reducing operating costs and increasing transaction efficiency, digital banking platforms improve financial results. </w:t>
      </w:r>
    </w:p>
    <w:p w14:paraId="30B63416" w14:textId="3120380A" w:rsidR="00C07D71" w:rsidRDefault="006B5DD2" w:rsidP="00315F9D">
      <w:pPr>
        <w:rPr>
          <w:szCs w:val="24"/>
        </w:rPr>
      </w:pPr>
      <w:r w:rsidRPr="006B5DD2">
        <w:rPr>
          <w:szCs w:val="24"/>
        </w:rPr>
        <w:lastRenderedPageBreak/>
        <w:t xml:space="preserve">The study </w:t>
      </w:r>
      <w:r>
        <w:rPr>
          <w:szCs w:val="24"/>
        </w:rPr>
        <w:t xml:space="preserve">by </w:t>
      </w:r>
      <w:r w:rsidRPr="006B5DD2">
        <w:rPr>
          <w:szCs w:val="24"/>
        </w:rPr>
        <w:t>Kimonye</w:t>
      </w:r>
      <w:r>
        <w:rPr>
          <w:szCs w:val="24"/>
        </w:rPr>
        <w:t xml:space="preserve"> and</w:t>
      </w:r>
      <w:r w:rsidRPr="006B5DD2">
        <w:rPr>
          <w:szCs w:val="24"/>
        </w:rPr>
        <w:t xml:space="preserve"> </w:t>
      </w:r>
      <w:proofErr w:type="spellStart"/>
      <w:r w:rsidRPr="006B5DD2">
        <w:rPr>
          <w:szCs w:val="24"/>
        </w:rPr>
        <w:t>Muchelule</w:t>
      </w:r>
      <w:proofErr w:type="spellEnd"/>
      <w:r w:rsidRPr="006B5DD2">
        <w:rPr>
          <w:szCs w:val="24"/>
        </w:rPr>
        <w:t xml:space="preserve"> (2024)</w:t>
      </w:r>
      <w:r>
        <w:rPr>
          <w:szCs w:val="24"/>
        </w:rPr>
        <w:t xml:space="preserve"> </w:t>
      </w:r>
      <w:r w:rsidR="00C82F1C">
        <w:rPr>
          <w:szCs w:val="24"/>
        </w:rPr>
        <w:t xml:space="preserve">for instance </w:t>
      </w:r>
      <w:r w:rsidRPr="006B5DD2">
        <w:rPr>
          <w:szCs w:val="24"/>
        </w:rPr>
        <w:t>sought to establish the relationship between electronic payment systems and the financial performance of commercial banks in Kenya</w:t>
      </w:r>
      <w:r>
        <w:rPr>
          <w:szCs w:val="24"/>
        </w:rPr>
        <w:t xml:space="preserve"> and t</w:t>
      </w:r>
      <w:r w:rsidRPr="006B5DD2">
        <w:rPr>
          <w:szCs w:val="24"/>
        </w:rPr>
        <w:t>he results established a significant relationship between electronic payment systems and the financial performance of commercial banks.</w:t>
      </w:r>
      <w:r w:rsidR="00A81865">
        <w:rPr>
          <w:szCs w:val="24"/>
        </w:rPr>
        <w:t xml:space="preserve"> Also, </w:t>
      </w:r>
      <w:r w:rsidR="00A81865" w:rsidRPr="00A81865">
        <w:rPr>
          <w:szCs w:val="24"/>
        </w:rPr>
        <w:t>Akan (2023) investigated the effect of electronic payment systems on the return on equity of quoted commercial banks in Nigeria</w:t>
      </w:r>
      <w:r w:rsidR="00A81865">
        <w:rPr>
          <w:szCs w:val="24"/>
        </w:rPr>
        <w:t xml:space="preserve"> with the study</w:t>
      </w:r>
      <w:r w:rsidR="00A81865" w:rsidRPr="00A81865">
        <w:rPr>
          <w:szCs w:val="24"/>
        </w:rPr>
        <w:t xml:space="preserve"> establish</w:t>
      </w:r>
      <w:r w:rsidR="00A81865">
        <w:rPr>
          <w:szCs w:val="24"/>
        </w:rPr>
        <w:t>ing</w:t>
      </w:r>
      <w:r w:rsidR="00A81865" w:rsidRPr="00A81865">
        <w:rPr>
          <w:szCs w:val="24"/>
        </w:rPr>
        <w:t xml:space="preserve"> that electronic payment systems significantly </w:t>
      </w:r>
      <w:r w:rsidR="0095654A" w:rsidRPr="00A81865">
        <w:rPr>
          <w:szCs w:val="24"/>
        </w:rPr>
        <w:t>influence</w:t>
      </w:r>
      <w:r w:rsidR="00A81865" w:rsidRPr="00A81865">
        <w:rPr>
          <w:szCs w:val="24"/>
        </w:rPr>
        <w:t xml:space="preserve"> the profitability of quoted commercial banks in Nigeria.</w:t>
      </w:r>
      <w:r w:rsidR="00A81865">
        <w:rPr>
          <w:szCs w:val="24"/>
        </w:rPr>
        <w:t xml:space="preserve"> </w:t>
      </w:r>
      <w:r w:rsidR="00A81865" w:rsidRPr="00A81865">
        <w:rPr>
          <w:szCs w:val="24"/>
        </w:rPr>
        <w:t>However, opposing viewpoints point out that these possible advantages can be outweighed by the high expenses of setting up and maintaining digital systems. Additionally, some consumers are reluctant to completely adopt digital banking channels due to worries about cybersecurity, technical reliability, and user-friendliness (</w:t>
      </w:r>
      <w:proofErr w:type="spellStart"/>
      <w:r w:rsidR="00A81865" w:rsidRPr="00A81865">
        <w:rPr>
          <w:szCs w:val="24"/>
        </w:rPr>
        <w:t>Osiolo</w:t>
      </w:r>
      <w:proofErr w:type="spellEnd"/>
      <w:r w:rsidR="00A81865" w:rsidRPr="00A81865">
        <w:rPr>
          <w:szCs w:val="24"/>
        </w:rPr>
        <w:t xml:space="preserve"> &amp; </w:t>
      </w:r>
      <w:proofErr w:type="spellStart"/>
      <w:r w:rsidR="00A81865" w:rsidRPr="00A81865">
        <w:rPr>
          <w:szCs w:val="24"/>
        </w:rPr>
        <w:t>Sije</w:t>
      </w:r>
      <w:proofErr w:type="spellEnd"/>
      <w:r w:rsidR="00A81865" w:rsidRPr="00A81865">
        <w:rPr>
          <w:szCs w:val="24"/>
        </w:rPr>
        <w:t>, 2023).</w:t>
      </w:r>
      <w:r w:rsidR="0095654A">
        <w:rPr>
          <w:szCs w:val="24"/>
        </w:rPr>
        <w:t xml:space="preserve"> </w:t>
      </w:r>
      <w:r w:rsidR="00C07D71">
        <w:rPr>
          <w:szCs w:val="24"/>
        </w:rPr>
        <w:t>Given those combined perspectives in the current literature, it might be worthwhile to take a close look at how distinctive digital fee methods, particularly ATMs, IB, and MB, affect Nairobi’s commercial banks’ profitability. ROA is the most important overall performance metric.</w:t>
      </w:r>
      <w:r w:rsidR="0095654A">
        <w:rPr>
          <w:szCs w:val="24"/>
        </w:rPr>
        <w:t xml:space="preserve"> Hence this study will seek to </w:t>
      </w:r>
      <w:r w:rsidR="0095654A" w:rsidRPr="00414725">
        <w:rPr>
          <w:szCs w:val="24"/>
        </w:rPr>
        <w:t xml:space="preserve">analyze </w:t>
      </w:r>
      <w:r w:rsidR="0095654A">
        <w:rPr>
          <w:szCs w:val="24"/>
        </w:rPr>
        <w:t>how</w:t>
      </w:r>
      <w:r w:rsidR="0095654A" w:rsidRPr="00414725">
        <w:rPr>
          <w:szCs w:val="24"/>
        </w:rPr>
        <w:t xml:space="preserve"> </w:t>
      </w:r>
      <w:r w:rsidR="0095654A">
        <w:rPr>
          <w:szCs w:val="24"/>
        </w:rPr>
        <w:t>electronic payment systems</w:t>
      </w:r>
      <w:r w:rsidR="0095654A" w:rsidRPr="00414725">
        <w:rPr>
          <w:szCs w:val="24"/>
        </w:rPr>
        <w:t xml:space="preserve"> </w:t>
      </w:r>
      <w:r w:rsidR="0095654A">
        <w:rPr>
          <w:szCs w:val="24"/>
        </w:rPr>
        <w:t>affects the profitability</w:t>
      </w:r>
      <w:r w:rsidR="0095654A" w:rsidRPr="00414725">
        <w:rPr>
          <w:szCs w:val="24"/>
        </w:rPr>
        <w:t xml:space="preserve"> of </w:t>
      </w:r>
      <w:r w:rsidR="0095654A" w:rsidRPr="00F069CB">
        <w:rPr>
          <w:szCs w:val="24"/>
        </w:rPr>
        <w:t>commercial banks in Nairobi County, Kenya</w:t>
      </w:r>
      <w:r w:rsidR="0095654A" w:rsidRPr="00414725">
        <w:rPr>
          <w:szCs w:val="24"/>
        </w:rPr>
        <w:t>.</w:t>
      </w:r>
    </w:p>
    <w:p w14:paraId="5B9E705C" w14:textId="77777777" w:rsidR="0082219B" w:rsidRDefault="0082219B" w:rsidP="0082219B">
      <w:pPr>
        <w:pStyle w:val="Heading2"/>
      </w:pPr>
      <w:bookmarkStart w:id="2" w:name="_Toc234236500"/>
      <w:bookmarkStart w:id="3" w:name="_Toc219224681"/>
      <w:r w:rsidRPr="00414725">
        <w:t xml:space="preserve">1.3 </w:t>
      </w:r>
      <w:r>
        <w:t>Study’s</w:t>
      </w:r>
      <w:r w:rsidRPr="00414725">
        <w:t xml:space="preserve"> Objective</w:t>
      </w:r>
      <w:bookmarkEnd w:id="2"/>
      <w:r>
        <w:t xml:space="preserve"> </w:t>
      </w:r>
    </w:p>
    <w:p w14:paraId="68495249" w14:textId="77777777" w:rsidR="0082219B" w:rsidRPr="00414725" w:rsidRDefault="0082219B" w:rsidP="0082219B">
      <w:pPr>
        <w:pStyle w:val="Heading3"/>
      </w:pPr>
      <w:bookmarkStart w:id="4" w:name="_Toc234236501"/>
      <w:r w:rsidRPr="00414725">
        <w:t>1.3.1 General Objectives</w:t>
      </w:r>
      <w:bookmarkEnd w:id="4"/>
    </w:p>
    <w:p w14:paraId="5FE6A4B1" w14:textId="4966C796" w:rsidR="0082219B" w:rsidRDefault="0082219B" w:rsidP="00CE553F">
      <w:pPr>
        <w:spacing w:after="240" w:line="240" w:lineRule="auto"/>
        <w:rPr>
          <w:szCs w:val="24"/>
        </w:rPr>
      </w:pPr>
      <w:r w:rsidRPr="00414725">
        <w:rPr>
          <w:szCs w:val="24"/>
        </w:rPr>
        <w:t xml:space="preserve">The major goal of </w:t>
      </w:r>
      <w:r>
        <w:rPr>
          <w:szCs w:val="24"/>
        </w:rPr>
        <w:t>th</w:t>
      </w:r>
      <w:r w:rsidR="00A81865">
        <w:rPr>
          <w:szCs w:val="24"/>
        </w:rPr>
        <w:t>is i</w:t>
      </w:r>
      <w:r>
        <w:rPr>
          <w:szCs w:val="24"/>
        </w:rPr>
        <w:t>nvestigation</w:t>
      </w:r>
      <w:r w:rsidRPr="00414725">
        <w:rPr>
          <w:szCs w:val="24"/>
        </w:rPr>
        <w:t xml:space="preserve"> is to analyze </w:t>
      </w:r>
      <w:r>
        <w:rPr>
          <w:szCs w:val="24"/>
        </w:rPr>
        <w:t>how</w:t>
      </w:r>
      <w:r w:rsidRPr="00414725">
        <w:rPr>
          <w:szCs w:val="24"/>
        </w:rPr>
        <w:t xml:space="preserve"> </w:t>
      </w:r>
      <w:r>
        <w:rPr>
          <w:szCs w:val="24"/>
        </w:rPr>
        <w:t>electronic payment systems</w:t>
      </w:r>
      <w:r w:rsidRPr="00414725">
        <w:rPr>
          <w:szCs w:val="24"/>
        </w:rPr>
        <w:t xml:space="preserve"> </w:t>
      </w:r>
      <w:r>
        <w:rPr>
          <w:szCs w:val="24"/>
        </w:rPr>
        <w:t>affects the profitability</w:t>
      </w:r>
      <w:r w:rsidRPr="00414725">
        <w:rPr>
          <w:szCs w:val="24"/>
        </w:rPr>
        <w:t xml:space="preserve"> of </w:t>
      </w:r>
      <w:r w:rsidRPr="00F069CB">
        <w:rPr>
          <w:szCs w:val="24"/>
        </w:rPr>
        <w:t>commercial banks in Nairobi County, Kenya</w:t>
      </w:r>
      <w:r w:rsidRPr="00414725">
        <w:rPr>
          <w:szCs w:val="24"/>
        </w:rPr>
        <w:t>.</w:t>
      </w:r>
    </w:p>
    <w:p w14:paraId="2E4902E7" w14:textId="77777777" w:rsidR="0082219B" w:rsidRPr="00414725" w:rsidRDefault="0082219B" w:rsidP="00CE553F">
      <w:pPr>
        <w:pStyle w:val="Heading3"/>
        <w:spacing w:line="240" w:lineRule="auto"/>
      </w:pPr>
      <w:bookmarkStart w:id="5" w:name="_Toc234236502"/>
      <w:r w:rsidRPr="00414725">
        <w:t xml:space="preserve">1.3.1 Specific </w:t>
      </w:r>
      <w:r w:rsidRPr="0082219B">
        <w:t>Objectives</w:t>
      </w:r>
      <w:bookmarkEnd w:id="5"/>
    </w:p>
    <w:p w14:paraId="42012146" w14:textId="77777777" w:rsidR="0082219B" w:rsidRPr="00414725" w:rsidRDefault="0082219B" w:rsidP="00CE553F">
      <w:pPr>
        <w:numPr>
          <w:ilvl w:val="0"/>
          <w:numId w:val="16"/>
        </w:numPr>
        <w:spacing w:after="240" w:line="276" w:lineRule="auto"/>
        <w:contextualSpacing/>
        <w:rPr>
          <w:rFonts w:eastAsia="Calibri"/>
          <w:szCs w:val="24"/>
        </w:rPr>
      </w:pPr>
      <w:r w:rsidRPr="00414725">
        <w:rPr>
          <w:rFonts w:eastAsia="Calibri"/>
          <w:szCs w:val="24"/>
        </w:rPr>
        <w:t xml:space="preserve">To </w:t>
      </w:r>
      <w:r>
        <w:rPr>
          <w:rFonts w:eastAsia="Calibri"/>
          <w:szCs w:val="24"/>
        </w:rPr>
        <w:t>assess</w:t>
      </w:r>
      <w:r w:rsidRPr="00414725">
        <w:rPr>
          <w:rFonts w:eastAsia="Calibri"/>
          <w:szCs w:val="24"/>
        </w:rPr>
        <w:t xml:space="preserve"> how using Automated Teller Machines (ATMs) affects the profitability of commercial banks in Nairobi County, Kenya.</w:t>
      </w:r>
    </w:p>
    <w:p w14:paraId="40664D9A" w14:textId="77777777" w:rsidR="0082219B" w:rsidRDefault="0082219B" w:rsidP="00CE553F">
      <w:pPr>
        <w:numPr>
          <w:ilvl w:val="0"/>
          <w:numId w:val="16"/>
        </w:numPr>
        <w:spacing w:after="200" w:line="276" w:lineRule="auto"/>
        <w:contextualSpacing/>
        <w:rPr>
          <w:rFonts w:eastAsia="Calibri"/>
          <w:szCs w:val="24"/>
        </w:rPr>
      </w:pPr>
      <w:r w:rsidRPr="00414725">
        <w:rPr>
          <w:rFonts w:eastAsia="Calibri"/>
          <w:szCs w:val="24"/>
        </w:rPr>
        <w:t xml:space="preserve">To </w:t>
      </w:r>
      <w:r>
        <w:rPr>
          <w:rFonts w:eastAsia="Calibri"/>
          <w:szCs w:val="24"/>
        </w:rPr>
        <w:t xml:space="preserve">evaluate how </w:t>
      </w:r>
      <w:r w:rsidRPr="00414725">
        <w:rPr>
          <w:rFonts w:eastAsia="Calibri"/>
          <w:szCs w:val="24"/>
        </w:rPr>
        <w:t xml:space="preserve">internet banking </w:t>
      </w:r>
      <w:r>
        <w:rPr>
          <w:rFonts w:eastAsia="Calibri"/>
          <w:szCs w:val="24"/>
        </w:rPr>
        <w:t>affects the profitability</w:t>
      </w:r>
      <w:r w:rsidRPr="00414725">
        <w:rPr>
          <w:rFonts w:eastAsia="Calibri"/>
          <w:szCs w:val="24"/>
        </w:rPr>
        <w:t xml:space="preserve"> of commercial banks in Nairobi County, Kenya.</w:t>
      </w:r>
    </w:p>
    <w:p w14:paraId="2FBBD840" w14:textId="77777777" w:rsidR="0082219B" w:rsidRPr="00414725" w:rsidRDefault="0082219B" w:rsidP="00CE553F">
      <w:pPr>
        <w:numPr>
          <w:ilvl w:val="0"/>
          <w:numId w:val="16"/>
        </w:numPr>
        <w:spacing w:after="200" w:line="276" w:lineRule="auto"/>
        <w:contextualSpacing/>
        <w:rPr>
          <w:rFonts w:eastAsia="Calibri"/>
          <w:szCs w:val="24"/>
        </w:rPr>
      </w:pPr>
      <w:r w:rsidRPr="00414725">
        <w:rPr>
          <w:rFonts w:eastAsia="Times New Roman"/>
          <w:szCs w:val="24"/>
        </w:rPr>
        <w:t xml:space="preserve">To </w:t>
      </w:r>
      <w:r>
        <w:rPr>
          <w:rFonts w:eastAsia="Times New Roman"/>
          <w:szCs w:val="24"/>
        </w:rPr>
        <w:t>explore how</w:t>
      </w:r>
      <w:r w:rsidRPr="00414725">
        <w:rPr>
          <w:rFonts w:eastAsia="Times New Roman"/>
          <w:szCs w:val="24"/>
        </w:rPr>
        <w:t xml:space="preserve"> mobile banking </w:t>
      </w:r>
      <w:r>
        <w:rPr>
          <w:rFonts w:eastAsia="Times New Roman"/>
          <w:szCs w:val="24"/>
        </w:rPr>
        <w:t>influence</w:t>
      </w:r>
      <w:r w:rsidRPr="00414725">
        <w:rPr>
          <w:rFonts w:eastAsia="Times New Roman"/>
          <w:szCs w:val="24"/>
        </w:rPr>
        <w:t xml:space="preserve"> the profitability of commercial banks in Nairobi County, Kenya.</w:t>
      </w:r>
    </w:p>
    <w:p w14:paraId="5463D7C8" w14:textId="77777777" w:rsidR="0082219B" w:rsidRPr="00414725" w:rsidRDefault="0082219B" w:rsidP="00CE553F">
      <w:pPr>
        <w:pStyle w:val="Heading2"/>
        <w:spacing w:line="276" w:lineRule="auto"/>
      </w:pPr>
      <w:bookmarkStart w:id="6" w:name="_Toc234236503"/>
      <w:r w:rsidRPr="00414725">
        <w:t>1.4 Research Hypotheses</w:t>
      </w:r>
      <w:bookmarkEnd w:id="6"/>
    </w:p>
    <w:p w14:paraId="1559E6E8" w14:textId="569DF15B" w:rsidR="0082219B" w:rsidRPr="00414725" w:rsidRDefault="0082219B" w:rsidP="00CE553F">
      <w:pPr>
        <w:spacing w:after="240" w:line="276" w:lineRule="auto"/>
        <w:rPr>
          <w:rFonts w:eastAsia="Times New Roman"/>
          <w:szCs w:val="24"/>
        </w:rPr>
      </w:pPr>
      <w:r w:rsidRPr="00414725">
        <w:rPr>
          <w:rFonts w:eastAsia="Times New Roman"/>
          <w:szCs w:val="24"/>
        </w:rPr>
        <w:t xml:space="preserve">This </w:t>
      </w:r>
      <w:r w:rsidR="00192A55">
        <w:rPr>
          <w:rFonts w:eastAsia="Times New Roman"/>
          <w:szCs w:val="24"/>
        </w:rPr>
        <w:t>study</w:t>
      </w:r>
      <w:r w:rsidRPr="00414725">
        <w:rPr>
          <w:rFonts w:eastAsia="Times New Roman"/>
          <w:szCs w:val="24"/>
        </w:rPr>
        <w:t xml:space="preserve"> pursuits to check the subsequent null hypotheses:</w:t>
      </w:r>
    </w:p>
    <w:p w14:paraId="34FBFE31" w14:textId="77777777" w:rsidR="0082219B" w:rsidRPr="00414725" w:rsidRDefault="0082219B" w:rsidP="00CE553F">
      <w:pPr>
        <w:spacing w:after="0" w:line="276" w:lineRule="auto"/>
        <w:rPr>
          <w:rFonts w:eastAsia="Times New Roman"/>
          <w:szCs w:val="24"/>
        </w:rPr>
      </w:pPr>
      <w:r w:rsidRPr="00414725">
        <w:rPr>
          <w:rFonts w:eastAsia="Times New Roman"/>
          <w:b/>
          <w:szCs w:val="24"/>
        </w:rPr>
        <w:lastRenderedPageBreak/>
        <w:t>H₀1:</w:t>
      </w:r>
      <w:r w:rsidRPr="00414725">
        <w:rPr>
          <w:rFonts w:eastAsia="Times New Roman"/>
          <w:szCs w:val="24"/>
        </w:rPr>
        <w:t xml:space="preserve"> Automated Teller Machine utilization has no significant effect at the profitability of commercial banks in Nairobi County, Kenya.</w:t>
      </w:r>
    </w:p>
    <w:p w14:paraId="42536236" w14:textId="77777777" w:rsidR="0082219B" w:rsidRPr="00414725" w:rsidRDefault="0082219B" w:rsidP="00CE553F">
      <w:pPr>
        <w:spacing w:after="0" w:line="276" w:lineRule="auto"/>
        <w:rPr>
          <w:rFonts w:eastAsia="Times New Roman"/>
          <w:szCs w:val="24"/>
        </w:rPr>
      </w:pPr>
      <w:r w:rsidRPr="00414725">
        <w:rPr>
          <w:rFonts w:eastAsia="Times New Roman"/>
          <w:b/>
          <w:szCs w:val="24"/>
        </w:rPr>
        <w:t>H₀2:</w:t>
      </w:r>
      <w:r>
        <w:rPr>
          <w:rFonts w:eastAsia="Times New Roman"/>
          <w:b/>
          <w:szCs w:val="24"/>
        </w:rPr>
        <w:t xml:space="preserve"> </w:t>
      </w:r>
      <w:r w:rsidRPr="00414725">
        <w:rPr>
          <w:rFonts w:eastAsia="Times New Roman"/>
          <w:szCs w:val="24"/>
        </w:rPr>
        <w:t xml:space="preserve">Internet banking </w:t>
      </w:r>
      <w:r>
        <w:rPr>
          <w:rFonts w:eastAsia="Times New Roman"/>
          <w:szCs w:val="24"/>
        </w:rPr>
        <w:t>has</w:t>
      </w:r>
      <w:r w:rsidRPr="00BC4BA8">
        <w:rPr>
          <w:rFonts w:eastAsia="Times New Roman"/>
          <w:szCs w:val="24"/>
        </w:rPr>
        <w:t xml:space="preserve"> no significant effect </w:t>
      </w:r>
      <w:r w:rsidRPr="00414725">
        <w:rPr>
          <w:rFonts w:eastAsia="Times New Roman"/>
          <w:szCs w:val="24"/>
        </w:rPr>
        <w:t>on the profitability of commercial banks in Nairobi County, Kenya.</w:t>
      </w:r>
    </w:p>
    <w:p w14:paraId="13EB853D" w14:textId="77777777" w:rsidR="0082219B" w:rsidRDefault="0082219B" w:rsidP="00CE553F">
      <w:pPr>
        <w:spacing w:line="276" w:lineRule="auto"/>
        <w:rPr>
          <w:szCs w:val="24"/>
        </w:rPr>
      </w:pPr>
      <w:r w:rsidRPr="00414725">
        <w:rPr>
          <w:rFonts w:eastAsia="Times New Roman"/>
          <w:b/>
          <w:szCs w:val="24"/>
        </w:rPr>
        <w:t>H₀3:</w:t>
      </w:r>
      <w:r w:rsidRPr="00414725">
        <w:rPr>
          <w:rFonts w:eastAsia="Times New Roman"/>
          <w:szCs w:val="24"/>
        </w:rPr>
        <w:t xml:space="preserve"> Mobile banking do not have any significant effect at the profitability of commercial banks in Nairobi County, Kenya.</w:t>
      </w:r>
    </w:p>
    <w:p w14:paraId="375EDDD2" w14:textId="63D961D6" w:rsidR="005067F5" w:rsidRPr="003B6D65" w:rsidRDefault="00816327" w:rsidP="0082219B">
      <w:pPr>
        <w:pStyle w:val="Heading2"/>
      </w:pPr>
      <w:r>
        <w:rPr>
          <w:lang w:val="en-US"/>
        </w:rPr>
        <w:t>2.1</w:t>
      </w:r>
      <w:r w:rsidR="000306E6" w:rsidRPr="003B6D65">
        <w:t xml:space="preserve"> Theoretical </w:t>
      </w:r>
      <w:r w:rsidR="00F36832" w:rsidRPr="003B6D65">
        <w:t>R</w:t>
      </w:r>
      <w:r w:rsidR="000306E6" w:rsidRPr="003B6D65">
        <w:t>eview</w:t>
      </w:r>
      <w:bookmarkEnd w:id="3"/>
    </w:p>
    <w:p w14:paraId="624896C3" w14:textId="5923E7C4" w:rsidR="00D87983" w:rsidRDefault="003D3BE4" w:rsidP="00141B9B">
      <w:r>
        <w:rPr>
          <w:szCs w:val="24"/>
        </w:rPr>
        <w:t>Penrose (</w:t>
      </w:r>
      <w:r w:rsidRPr="008C1978">
        <w:rPr>
          <w:szCs w:val="24"/>
        </w:rPr>
        <w:t>1959</w:t>
      </w:r>
      <w:r>
        <w:rPr>
          <w:szCs w:val="24"/>
        </w:rPr>
        <w:t xml:space="preserve">) </w:t>
      </w:r>
      <w:r w:rsidRPr="008C1978">
        <w:rPr>
          <w:szCs w:val="24"/>
        </w:rPr>
        <w:t xml:space="preserve">proposed </w:t>
      </w:r>
      <w:r>
        <w:rPr>
          <w:szCs w:val="24"/>
        </w:rPr>
        <w:t>the Resource-</w:t>
      </w:r>
      <w:r w:rsidRPr="008C1978">
        <w:rPr>
          <w:szCs w:val="24"/>
        </w:rPr>
        <w:t xml:space="preserve">Based </w:t>
      </w:r>
      <w:r>
        <w:rPr>
          <w:szCs w:val="24"/>
        </w:rPr>
        <w:t xml:space="preserve">View </w:t>
      </w:r>
      <w:r w:rsidRPr="008C1978">
        <w:rPr>
          <w:szCs w:val="24"/>
        </w:rPr>
        <w:t>(RB</w:t>
      </w:r>
      <w:r>
        <w:rPr>
          <w:szCs w:val="24"/>
        </w:rPr>
        <w:t>V</w:t>
      </w:r>
      <w:r w:rsidRPr="008C1978">
        <w:rPr>
          <w:szCs w:val="24"/>
        </w:rPr>
        <w:t>) Theory.</w:t>
      </w:r>
      <w:r w:rsidRPr="008C1978">
        <w:t xml:space="preserve"> </w:t>
      </w:r>
      <w:r w:rsidRPr="00DD74AA">
        <w:rPr>
          <w:szCs w:val="24"/>
        </w:rPr>
        <w:t xml:space="preserve">According to the </w:t>
      </w:r>
      <w:r>
        <w:rPr>
          <w:szCs w:val="24"/>
        </w:rPr>
        <w:t>theory</w:t>
      </w:r>
      <w:r w:rsidRPr="00DD74AA">
        <w:rPr>
          <w:szCs w:val="24"/>
        </w:rPr>
        <w:t xml:space="preserve">, businesses can only obtain a sustained competitive </w:t>
      </w:r>
      <w:r>
        <w:rPr>
          <w:szCs w:val="24"/>
        </w:rPr>
        <w:t>edge</w:t>
      </w:r>
      <w:r w:rsidRPr="00DD74AA">
        <w:rPr>
          <w:szCs w:val="24"/>
        </w:rPr>
        <w:t xml:space="preserve"> by making value in a manner that is unusual and challenging for rivals to mimic.</w:t>
      </w:r>
      <w:r w:rsidRPr="00284A74">
        <w:rPr>
          <w:szCs w:val="24"/>
        </w:rPr>
        <w:t xml:space="preserve"> According to Freeman (2010), firm-specific </w:t>
      </w:r>
      <w:r>
        <w:rPr>
          <w:szCs w:val="24"/>
        </w:rPr>
        <w:t>features</w:t>
      </w:r>
      <w:r w:rsidRPr="00284A74">
        <w:rPr>
          <w:szCs w:val="24"/>
        </w:rPr>
        <w:t xml:space="preserve"> that are scarce, valuable, imperfectly replicable, and non-substitutable provide a firm with a competitive edge. These resources' accessibility gives a business advantages for expansion and improvement. In order to provide differentially more value and improve the firm's performance, resources should be essential (Kotler &amp; Armstrong, 2013).</w:t>
      </w:r>
      <w:r>
        <w:rPr>
          <w:szCs w:val="24"/>
        </w:rPr>
        <w:t xml:space="preserve"> </w:t>
      </w:r>
      <w:r w:rsidRPr="00284A74">
        <w:rPr>
          <w:szCs w:val="24"/>
        </w:rPr>
        <w:t xml:space="preserve">the theory is </w:t>
      </w:r>
      <w:r>
        <w:rPr>
          <w:szCs w:val="24"/>
        </w:rPr>
        <w:t xml:space="preserve">relevant </w:t>
      </w:r>
      <w:r w:rsidRPr="00284A74">
        <w:rPr>
          <w:szCs w:val="24"/>
        </w:rPr>
        <w:t xml:space="preserve">to </w:t>
      </w:r>
      <w:r>
        <w:rPr>
          <w:szCs w:val="24"/>
        </w:rPr>
        <w:t>this study</w:t>
      </w:r>
      <w:r w:rsidRPr="00284A74">
        <w:rPr>
          <w:szCs w:val="24"/>
        </w:rPr>
        <w:t xml:space="preserve"> </w:t>
      </w:r>
      <w:r>
        <w:rPr>
          <w:szCs w:val="24"/>
        </w:rPr>
        <w:t xml:space="preserve">as </w:t>
      </w:r>
      <w:r w:rsidRPr="00284A74">
        <w:rPr>
          <w:szCs w:val="24"/>
        </w:rPr>
        <w:t xml:space="preserve">it is predicated on the notion </w:t>
      </w:r>
      <w:r w:rsidRPr="008D4E16">
        <w:rPr>
          <w:szCs w:val="24"/>
        </w:rPr>
        <w:t>that a business's edge over competitors is</w:t>
      </w:r>
      <w:r w:rsidRPr="00284A74">
        <w:rPr>
          <w:szCs w:val="24"/>
        </w:rPr>
        <w:t xml:space="preserve"> determined by the </w:t>
      </w:r>
      <w:r>
        <w:rPr>
          <w:szCs w:val="24"/>
        </w:rPr>
        <w:t>good</w:t>
      </w:r>
      <w:r w:rsidRPr="00284A74">
        <w:rPr>
          <w:szCs w:val="24"/>
        </w:rPr>
        <w:t xml:space="preserve"> and proficient utilization of all valuable resources that it may obtain (Barney, 1991). </w:t>
      </w:r>
      <w:r w:rsidRPr="008D4E16">
        <w:rPr>
          <w:szCs w:val="24"/>
        </w:rPr>
        <w:t xml:space="preserve">In </w:t>
      </w:r>
      <w:r>
        <w:rPr>
          <w:szCs w:val="24"/>
        </w:rPr>
        <w:t>this investigation</w:t>
      </w:r>
      <w:r w:rsidRPr="008D4E16">
        <w:rPr>
          <w:szCs w:val="24"/>
        </w:rPr>
        <w:t>, a commercial bank is defined by RBT as a group of assets or capabilities. In the current economy, most of these resources and management abilities are intangible.</w:t>
      </w:r>
      <w:r w:rsidRPr="00284A74">
        <w:rPr>
          <w:szCs w:val="24"/>
        </w:rPr>
        <w:t xml:space="preserve"> Because RBV views resources as essential to improved performance, this viewpoint is pertinent to the study. ATMs and mobile banking are supported by this hypothesis.</w:t>
      </w:r>
    </w:p>
    <w:p w14:paraId="20829155" w14:textId="355850DE" w:rsidR="00DE55B4" w:rsidRDefault="00796816" w:rsidP="00141B9B">
      <w:r w:rsidRPr="00796816">
        <w:t>The Technology Acceptance Model (TAM), advanced through Davis (199</w:t>
      </w:r>
      <w:r w:rsidR="00E1126F">
        <w:t>3</w:t>
      </w:r>
      <w:r w:rsidRPr="00796816">
        <w:t xml:space="preserve">), offers a theoretical framework for </w:t>
      </w:r>
      <w:r>
        <w:t>understanding of</w:t>
      </w:r>
      <w:r w:rsidRPr="00796816">
        <w:t xml:space="preserve"> how customers come to simply accept and use new technologies. TAM is extensively implemented to evaluate behavioral intentions and real gadget utilization within the context of virtual innovation (</w:t>
      </w:r>
      <w:r w:rsidR="004719B2" w:rsidRPr="004719B2">
        <w:t>Bankole, Bankole &amp; Brown,</w:t>
      </w:r>
      <w:r w:rsidR="004719B2">
        <w:t xml:space="preserve"> </w:t>
      </w:r>
      <w:r w:rsidR="004719B2" w:rsidRPr="004719B2">
        <w:t>2011</w:t>
      </w:r>
      <w:r w:rsidRPr="00796816">
        <w:t>). According to the model, number one elements perceived usefulness (PU) and perceived ease of use (PEOU) form customers` attitudes closer to a technological gadget. These attitudes have an effect on their motive to apply the technology, which in the long run predicts real gadget adoption. Furthermore, PEOU has an instantaneous effect on PU, implying that person-pleasant structures also are regarded as greater beneficial (</w:t>
      </w:r>
      <w:proofErr w:type="spellStart"/>
      <w:r w:rsidRPr="00796816">
        <w:t>Chitungo</w:t>
      </w:r>
      <w:proofErr w:type="spellEnd"/>
      <w:r w:rsidRPr="00796816">
        <w:t xml:space="preserve"> &amp; </w:t>
      </w:r>
      <w:proofErr w:type="spellStart"/>
      <w:r w:rsidRPr="00796816">
        <w:t>Munongo</w:t>
      </w:r>
      <w:proofErr w:type="spellEnd"/>
      <w:r w:rsidRPr="00796816">
        <w:t>, 2013).</w:t>
      </w:r>
      <w:r>
        <w:t xml:space="preserve"> </w:t>
      </w:r>
      <w:r w:rsidRPr="00796816">
        <w:t>Later extensions of TAM have brought extra elements consisting of value perceptions, danger concerns, person innovativeness and records security (Hsu, Wang, &amp; Lin, 2011). TAM is in particular relevant to this</w:t>
      </w:r>
      <w:r>
        <w:t xml:space="preserve"> </w:t>
      </w:r>
      <w:proofErr w:type="spellStart"/>
      <w:r>
        <w:t>sudy</w:t>
      </w:r>
      <w:proofErr w:type="spellEnd"/>
      <w:r w:rsidRPr="00796816">
        <w:t xml:space="preserve"> as it offers </w:t>
      </w:r>
      <w:proofErr w:type="spellStart"/>
      <w:r w:rsidRPr="00796816">
        <w:t>per</w:t>
      </w:r>
      <w:r>
        <w:t>spetive</w:t>
      </w:r>
      <w:proofErr w:type="spellEnd"/>
      <w:r w:rsidRPr="00796816">
        <w:t xml:space="preserve"> </w:t>
      </w:r>
      <w:r w:rsidRPr="00796816">
        <w:lastRenderedPageBreak/>
        <w:t>into how consumer perceptions of virtual banking structures consisting of cell and internet banking effect adoption rates, which in flip have an effect on banks` profitability. When customers discover those structures beneficial and smooth to navigate, adoption increases, main to value financial savings and operational enhancements that definitely have an effect on ROA. Thus, TAM is applied to discover how consumer engagement with digital banking structures affects economic overall performance in Nairobi-primarily based totally commercial banks</w:t>
      </w:r>
      <w:r w:rsidR="009C1D89" w:rsidRPr="009C1D89">
        <w:t>.</w:t>
      </w:r>
    </w:p>
    <w:p w14:paraId="2AC6A2B5" w14:textId="6C0304B6" w:rsidR="00796816" w:rsidRPr="00796816" w:rsidRDefault="00696138" w:rsidP="00141B9B">
      <w:r w:rsidRPr="00696138">
        <w:t>Agency Theory, added through Jensen and Meckling (1976), explores the dynamics amid principals (shareholders) and agents (managers) in organizational decision-making. The concept addresses the difficulty of intention misalignment, which could stand up whilst agents, who normally own extra records approximately the firm`s operations, act of their personal hobby instead of prioritizing shareholder value (Eisenhardt, 1989). To deal with those conflicts, corporations put in force mechanisms consisting of monitoring, overall performance-related incentives and duty frameworks to align the pastimes of managers with the ones of shareholders (Daily, Dalton, &amp; Cannella, 2003).</w:t>
      </w:r>
      <w:r>
        <w:t xml:space="preserve"> For this study, </w:t>
      </w:r>
      <w:r w:rsidRPr="00696138">
        <w:t xml:space="preserve">Agency Theory </w:t>
      </w:r>
      <w:r>
        <w:t>help with the understanding of how</w:t>
      </w:r>
      <w:r w:rsidRPr="00696138">
        <w:t xml:space="preserve"> mobile banking investments improve financial performance like ROA or serve managerial agendas (Fama &amp; Jensen, 1983). It evaluates whether mobile banking reduces corporate costs and operational inefficiencies. It assesses if performance incentives tied to digital improvements motivate management toward profitability, supporting shareholder interests in commercial banks.</w:t>
      </w:r>
    </w:p>
    <w:p w14:paraId="53721DCE" w14:textId="2FC3EDB8" w:rsidR="000306E6" w:rsidRPr="003B6D65" w:rsidRDefault="00816327" w:rsidP="0082219B">
      <w:pPr>
        <w:pStyle w:val="Heading2"/>
      </w:pPr>
      <w:bookmarkStart w:id="7" w:name="_Toc219224686"/>
      <w:r>
        <w:rPr>
          <w:lang w:val="en-US"/>
        </w:rPr>
        <w:t>2.2</w:t>
      </w:r>
      <w:r w:rsidR="000306E6" w:rsidRPr="003B6D65">
        <w:t xml:space="preserve"> Empirical Review</w:t>
      </w:r>
      <w:bookmarkEnd w:id="7"/>
    </w:p>
    <w:p w14:paraId="0EF2314A" w14:textId="11A8389F" w:rsidR="00245249" w:rsidRDefault="00245249" w:rsidP="00141B9B">
      <w:bookmarkStart w:id="8" w:name="_Hlk178762087"/>
      <w:r w:rsidRPr="00245249">
        <w:t xml:space="preserve">Sabti and Mohammed (2020) assessed the risks and difficulties the Iraqi banking industry has as a result of using </w:t>
      </w:r>
      <w:proofErr w:type="spellStart"/>
      <w:r w:rsidRPr="00245249">
        <w:t>intermet</w:t>
      </w:r>
      <w:proofErr w:type="spellEnd"/>
      <w:r w:rsidRPr="00245249">
        <w:t xml:space="preserve"> banking, and they demonstrated how this affects commercial banks' profitability. The target audience consists of all Iraqi commercial banks. The inquiry utilized multiple regression estimates to estimate the inquiry’s data. The analysis's outcome demonstrated a strong moral effect connection between commercial banks' profitability and internet banking. The inquiry inferred that commercial banks have become more profitable as more of their transactions are completed online. The recent inquiry centered on the banking sector in Kenya, whereas the aforementioned investigation focused on the banking sector in Iraq.</w:t>
      </w:r>
    </w:p>
    <w:p w14:paraId="6FAD51A5" w14:textId="77777777" w:rsidR="00245249" w:rsidRDefault="00245249" w:rsidP="00141B9B">
      <w:r w:rsidRPr="00245249">
        <w:t xml:space="preserve">Using empirical approach, Wang and Gunawan (2022) explored how online banking affects China's money deposit banks. Digital payments and commercial bank productivity are tested using </w:t>
      </w:r>
      <w:r w:rsidRPr="00245249">
        <w:lastRenderedPageBreak/>
        <w:t>the Systematic Generalized Method of Moments (SYS-GMM). Data were assessed using Panel Vector Auto-Regression (Panel VAR). The outcome, which are based on data from 81 Chinese banks from 2013-2019, indicated that bank-involved digital payments are advantageous to commercial banks' efficiency and profitability. The inquiry established that, IB made by third parties decrease profitability without improving efficiency. As opposed to the aforesaid inquiry, the recent inquiry will center on Kenya commercial banks for the year 2026.</w:t>
      </w:r>
    </w:p>
    <w:p w14:paraId="42BBC665" w14:textId="03737C52" w:rsidR="00245249" w:rsidRDefault="00245249" w:rsidP="00141B9B">
      <w:proofErr w:type="spellStart"/>
      <w:r w:rsidRPr="00245249">
        <w:t>Osiolo</w:t>
      </w:r>
      <w:proofErr w:type="spellEnd"/>
      <w:r w:rsidRPr="00245249">
        <w:t xml:space="preserve"> and </w:t>
      </w:r>
      <w:proofErr w:type="spellStart"/>
      <w:r w:rsidRPr="00245249">
        <w:t>Sije</w:t>
      </w:r>
      <w:proofErr w:type="spellEnd"/>
      <w:r w:rsidRPr="00245249">
        <w:t xml:space="preserve"> (2023) investigated how MB affected Kenyan money deposit banks' effectiveness. The inquiry utilized a descriptive research approach. 42 Kenyan commercial banks with licenses made up the target audience. Each commercial bank had 3 employees targeted, for a total of 126 responders. Data were gathered using structured questionnaires. Both descriptive and inferential analyses were performed on the gathered data. The outcome demonstrated that mobile banking notably and </w:t>
      </w:r>
      <w:proofErr w:type="spellStart"/>
      <w:r w:rsidRPr="00245249">
        <w:t>favourably</w:t>
      </w:r>
      <w:proofErr w:type="spellEnd"/>
      <w:r w:rsidRPr="00245249">
        <w:t xml:space="preserve"> affects Kenyan money deposit banks' effectiveness. The inquiry inferred that if Kenyan commercial banks are to function better, MB should be given primary emphasis. Similar to this, the recent inquiry will similarly center on Kenyan commercial banks; however, its time frame will be 2026, so it will offer recent empirical data.</w:t>
      </w:r>
    </w:p>
    <w:p w14:paraId="02E0C1B2" w14:textId="77777777" w:rsidR="00245249" w:rsidRDefault="00245249" w:rsidP="00141B9B">
      <w:r w:rsidRPr="00245249">
        <w:t xml:space="preserve">Basnet (2024) investigated how mobile banking affected Nepalese commercial banks' profits. The chosen dependent variables are ROA and ROE. Eight commercial banks with 130 respondents provided primary and secondary data for the inquiry. A structured questionnaire is created in order to accomplish the inquiry's goal. Regression models and correlation coefficients were used to estimate the data. According to the outcome, ROA and ROE are </w:t>
      </w:r>
      <w:proofErr w:type="spellStart"/>
      <w:r w:rsidRPr="00245249">
        <w:t>favourably</w:t>
      </w:r>
      <w:proofErr w:type="spellEnd"/>
      <w:r w:rsidRPr="00245249">
        <w:t xml:space="preserve"> linked with mobile banking. The inquiry established that ROE and ROA will increase with the quality of mobile banking services offered by banks. Although Basnet (2024) based on success of Nepalese commercial banks, the present investigation centered on success of Kenyan commercial banks.</w:t>
      </w:r>
    </w:p>
    <w:p w14:paraId="7D9FBB53" w14:textId="77777777" w:rsidR="00245249" w:rsidRDefault="00245249" w:rsidP="00141B9B">
      <w:r w:rsidRPr="00245249">
        <w:t>Chinaza (2025) assessed how ATMs affected Nigerian deposit money banks' profits from 2014-2024. The inquiry utilized a quantitative research approach. Panel regression estimation technique was employed to estimate the data. According to the outcome, ATM transactions greatly increase bank profitability by lowering cost-to-income ratios. The inquiry deduced that, ATMs help Nigeria's deposit money institutions operate more effectively overall. The recent investigation will focus on Kenyan banks, whereas the aforesaid investigation focused on banks in Nigeria.</w:t>
      </w:r>
    </w:p>
    <w:p w14:paraId="171E52EB" w14:textId="003B4A58" w:rsidR="00245249" w:rsidRDefault="00245249" w:rsidP="00141B9B">
      <w:r w:rsidRPr="00245249">
        <w:lastRenderedPageBreak/>
        <w:t xml:space="preserve">Abu, Harrison, and Robert (2026) investigated how ATMs affected Nigerian deposit money banks' profitability from 2010-2024. ROA served as a proxy for bank profitability. The data was estimated using the Autoregressive Distributed Lag (ARDL) model. The outcome showed that ATM transactions had a noteworthy and </w:t>
      </w:r>
      <w:proofErr w:type="spellStart"/>
      <w:r w:rsidRPr="00245249">
        <w:t>favourable</w:t>
      </w:r>
      <w:proofErr w:type="spellEnd"/>
      <w:r w:rsidRPr="00245249">
        <w:t xml:space="preserve"> impact on ROA, indicating that higher ATM usage boosts bank profitability. The analysis deduced that consistent investment in effective ATM infrastructure will increase cost effectiveness and service dependability. Although Abu et al. (2026) based on profitability of banks in Nigeria, the present investigation centered on success of Kenyan commercial banks.</w:t>
      </w:r>
    </w:p>
    <w:p w14:paraId="5792E2C6" w14:textId="39129F05" w:rsidR="001C3B37" w:rsidRPr="001C3B37" w:rsidRDefault="00816327" w:rsidP="001C3B37">
      <w:pPr>
        <w:pStyle w:val="Heading1"/>
        <w:spacing w:line="240" w:lineRule="auto"/>
        <w:jc w:val="left"/>
        <w:rPr>
          <w:b/>
          <w:bCs/>
          <w:color w:val="000000"/>
        </w:rPr>
      </w:pPr>
      <w:bookmarkStart w:id="9" w:name="_Toc219224695"/>
      <w:bookmarkEnd w:id="8"/>
      <w:r>
        <w:rPr>
          <w:b/>
          <w:bCs/>
          <w:color w:val="000000"/>
          <w:lang w:val="en-US"/>
        </w:rPr>
        <w:t>3.1</w:t>
      </w:r>
      <w:r w:rsidR="005B39A7">
        <w:rPr>
          <w:b/>
          <w:bCs/>
          <w:color w:val="000000"/>
          <w:lang w:val="en-US"/>
        </w:rPr>
        <w:t xml:space="preserve"> </w:t>
      </w:r>
      <w:r w:rsidR="00E1055D" w:rsidRPr="003B6D65">
        <w:rPr>
          <w:b/>
          <w:bCs/>
          <w:color w:val="000000"/>
        </w:rPr>
        <w:t>RESEARCH METHODOLOGY</w:t>
      </w:r>
      <w:bookmarkEnd w:id="9"/>
    </w:p>
    <w:p w14:paraId="7A2846A4" w14:textId="300B0492" w:rsidR="00F84513" w:rsidRDefault="0057485A" w:rsidP="00141B9B">
      <w:bookmarkStart w:id="10" w:name="_Toc162349280"/>
      <w:bookmarkStart w:id="11" w:name="_Toc177151964"/>
      <w:bookmarkStart w:id="12" w:name="_Toc219224701"/>
      <w:r>
        <w:t xml:space="preserve">This study </w:t>
      </w:r>
      <w:r w:rsidRPr="0057485A">
        <w:t xml:space="preserve">applied a descriptive investigation approach </w:t>
      </w:r>
      <w:r>
        <w:t xml:space="preserve">because it is </w:t>
      </w:r>
      <w:r w:rsidRPr="0057485A">
        <w:t>suitable for observing and analyzing relationships between variables without manipulating them. As Kerlinger (1973) emphasized, this design is effective in examining basic knowledge and answering important research questions. Cooper and Schindler (2003) also support this design, electronic payment techniques and bank profitability under real conditions, in this case, for assessing the natural link amongst the inquiry’s variables.</w:t>
      </w:r>
    </w:p>
    <w:p w14:paraId="6E1AF23E" w14:textId="0F49905A" w:rsidR="00F84513" w:rsidRDefault="00F84513" w:rsidP="00141B9B">
      <w:r w:rsidRPr="005B39A7">
        <w:t xml:space="preserve">The target population comprised </w:t>
      </w:r>
      <w:r>
        <w:t xml:space="preserve">of </w:t>
      </w:r>
      <w:r w:rsidRPr="00F84513">
        <w:t>employees of 3 commercial banks approved by the CBK and is active in Nairobi City County. The respondents include industry managers, managers, finance managers, ICT managers and customer relationship managers. Six people (1 person from each role, industry manager) are selected from each bank to ensure a balanced presentation, leading to a total of 258 participants (3 banks x 6 respondents).</w:t>
      </w:r>
      <w:r>
        <w:t xml:space="preserve"> </w:t>
      </w:r>
      <w:r w:rsidRPr="00F84513">
        <w:t>A stratified random sampling approach was used</w:t>
      </w:r>
      <w:r>
        <w:t xml:space="preserve"> with r</w:t>
      </w:r>
      <w:r w:rsidRPr="00F84513">
        <w:t xml:space="preserve">espondents </w:t>
      </w:r>
      <w:r>
        <w:t>been</w:t>
      </w:r>
      <w:r w:rsidRPr="00F84513">
        <w:t xml:space="preserve"> grouped in line with their job roles, after which a proportional selection was made using simple random sampling within each stratum. To determine the sample size, Yamane's (1967) formula for finite populations was applied, arriving at a sample size of 157.</w:t>
      </w:r>
    </w:p>
    <w:bookmarkEnd w:id="10"/>
    <w:bookmarkEnd w:id="11"/>
    <w:bookmarkEnd w:id="12"/>
    <w:p w14:paraId="6AA7A67A" w14:textId="319513D7" w:rsidR="00F84513" w:rsidRDefault="00F84513" w:rsidP="00BF2F55">
      <w:r>
        <w:t xml:space="preserve">Primary data was gathered for the study using questionnaires. The instrument was further assessed to ascertain the reliability as well as the validity. </w:t>
      </w:r>
      <w:r w:rsidR="006A4F97">
        <w:t xml:space="preserve">The gathered data was cleaned and then </w:t>
      </w:r>
      <w:r w:rsidR="006A4F97">
        <w:rPr>
          <w:szCs w:val="24"/>
        </w:rPr>
        <w:t xml:space="preserve">coded the underwent </w:t>
      </w:r>
      <w:r w:rsidR="006A4F97" w:rsidRPr="003779E3">
        <w:rPr>
          <w:szCs w:val="24"/>
        </w:rPr>
        <w:t>processing and statistical computations</w:t>
      </w:r>
      <w:r w:rsidR="006A4F97">
        <w:rPr>
          <w:szCs w:val="24"/>
        </w:rPr>
        <w:t xml:space="preserve">. </w:t>
      </w:r>
      <w:r w:rsidR="008760DB">
        <w:rPr>
          <w:szCs w:val="24"/>
        </w:rPr>
        <w:t>I</w:t>
      </w:r>
      <w:r w:rsidR="006A4F97">
        <w:rPr>
          <w:szCs w:val="24"/>
        </w:rPr>
        <w:t xml:space="preserve">nferential statistics was utilized for analysis. </w:t>
      </w:r>
      <w:r w:rsidR="006A4F97" w:rsidRPr="006A4F97">
        <w:rPr>
          <w:szCs w:val="24"/>
        </w:rPr>
        <w:t>The link amongst the dependent variable (bank profitability) and independent variables (EPS) was be modeled using multiple regression as follows:</w:t>
      </w:r>
    </w:p>
    <w:p w14:paraId="52A5042A" w14:textId="77777777" w:rsidR="006A4F97" w:rsidRPr="006A4F97" w:rsidRDefault="006A4F97" w:rsidP="006A4F97">
      <w:pPr>
        <w:rPr>
          <w:color w:val="000000"/>
          <w:szCs w:val="24"/>
        </w:rPr>
      </w:pPr>
      <w:r w:rsidRPr="006A4F97">
        <w:rPr>
          <w:rFonts w:ascii="Cambria Math" w:hAnsi="Cambria Math" w:cs="Cambria Math"/>
          <w:color w:val="000000"/>
          <w:szCs w:val="24"/>
        </w:rPr>
        <w:t>𝑌</w:t>
      </w:r>
      <w:r w:rsidRPr="006A4F97">
        <w:rPr>
          <w:color w:val="000000"/>
          <w:szCs w:val="24"/>
        </w:rPr>
        <w:t>=</w:t>
      </w:r>
      <w:r w:rsidRPr="006A4F97">
        <w:rPr>
          <w:rFonts w:ascii="Cambria Math" w:hAnsi="Cambria Math" w:cs="Cambria Math"/>
          <w:color w:val="000000"/>
          <w:szCs w:val="24"/>
        </w:rPr>
        <w:t>𝛽</w:t>
      </w:r>
      <w:r w:rsidRPr="006A4F97">
        <w:rPr>
          <w:color w:val="000000"/>
          <w:szCs w:val="24"/>
        </w:rPr>
        <w:t>0+</w:t>
      </w:r>
      <w:r w:rsidRPr="006A4F97">
        <w:rPr>
          <w:rFonts w:ascii="Cambria Math" w:hAnsi="Cambria Math" w:cs="Cambria Math"/>
          <w:color w:val="000000"/>
          <w:szCs w:val="24"/>
        </w:rPr>
        <w:t>𝛽</w:t>
      </w:r>
      <w:r w:rsidRPr="006A4F97">
        <w:rPr>
          <w:color w:val="000000"/>
          <w:szCs w:val="24"/>
        </w:rPr>
        <w:t>1</w:t>
      </w:r>
      <w:r w:rsidRPr="006A4F97">
        <w:rPr>
          <w:rFonts w:ascii="Cambria Math" w:hAnsi="Cambria Math" w:cs="Cambria Math"/>
          <w:color w:val="000000"/>
          <w:szCs w:val="24"/>
        </w:rPr>
        <w:t>𝑋</w:t>
      </w:r>
      <w:r w:rsidRPr="006A4F97">
        <w:rPr>
          <w:color w:val="000000"/>
          <w:szCs w:val="24"/>
        </w:rPr>
        <w:t>1+</w:t>
      </w:r>
      <w:r w:rsidRPr="006A4F97">
        <w:rPr>
          <w:rFonts w:ascii="Cambria Math" w:hAnsi="Cambria Math" w:cs="Cambria Math"/>
          <w:color w:val="000000"/>
          <w:szCs w:val="24"/>
        </w:rPr>
        <w:t>𝛽</w:t>
      </w:r>
      <w:r w:rsidRPr="006A4F97">
        <w:rPr>
          <w:color w:val="000000"/>
          <w:szCs w:val="24"/>
        </w:rPr>
        <w:t>2</w:t>
      </w:r>
      <w:r w:rsidRPr="006A4F97">
        <w:rPr>
          <w:rFonts w:ascii="Cambria Math" w:hAnsi="Cambria Math" w:cs="Cambria Math"/>
          <w:color w:val="000000"/>
          <w:szCs w:val="24"/>
        </w:rPr>
        <w:t>𝑋</w:t>
      </w:r>
      <w:r w:rsidRPr="006A4F97">
        <w:rPr>
          <w:color w:val="000000"/>
          <w:szCs w:val="24"/>
        </w:rPr>
        <w:t>2+</w:t>
      </w:r>
      <w:r w:rsidRPr="006A4F97">
        <w:rPr>
          <w:rFonts w:ascii="Cambria Math" w:hAnsi="Cambria Math" w:cs="Cambria Math"/>
          <w:color w:val="000000"/>
          <w:szCs w:val="24"/>
        </w:rPr>
        <w:t>𝛽</w:t>
      </w:r>
      <w:r w:rsidRPr="006A4F97">
        <w:rPr>
          <w:color w:val="000000"/>
          <w:szCs w:val="24"/>
        </w:rPr>
        <w:t>3</w:t>
      </w:r>
      <w:r w:rsidRPr="006A4F97">
        <w:rPr>
          <w:rFonts w:ascii="Cambria Math" w:hAnsi="Cambria Math" w:cs="Cambria Math"/>
          <w:color w:val="000000"/>
          <w:szCs w:val="24"/>
        </w:rPr>
        <w:t>𝑋</w:t>
      </w:r>
      <w:r w:rsidRPr="006A4F97">
        <w:rPr>
          <w:color w:val="000000"/>
          <w:szCs w:val="24"/>
        </w:rPr>
        <w:t>3+</w:t>
      </w:r>
      <w:r w:rsidRPr="006A4F97">
        <w:rPr>
          <w:rFonts w:ascii="Cambria Math" w:hAnsi="Cambria Math" w:cs="Cambria Math"/>
          <w:color w:val="000000"/>
          <w:szCs w:val="24"/>
        </w:rPr>
        <w:t>𝜀</w:t>
      </w:r>
    </w:p>
    <w:p w14:paraId="1F9D8F82" w14:textId="77777777" w:rsidR="006A4F97" w:rsidRPr="006A4F97" w:rsidRDefault="006A4F97" w:rsidP="006A4F97">
      <w:pPr>
        <w:rPr>
          <w:color w:val="000000"/>
          <w:szCs w:val="24"/>
        </w:rPr>
      </w:pPr>
      <w:r w:rsidRPr="006A4F97">
        <w:rPr>
          <w:color w:val="000000"/>
          <w:szCs w:val="24"/>
        </w:rPr>
        <w:lastRenderedPageBreak/>
        <w:t>Where:</w:t>
      </w:r>
    </w:p>
    <w:p w14:paraId="04AD441B" w14:textId="12DB5EAE" w:rsidR="007B32FA" w:rsidRPr="006A4F97" w:rsidRDefault="006A4F97" w:rsidP="006A4F97">
      <w:pPr>
        <w:rPr>
          <w:color w:val="000000"/>
          <w:szCs w:val="24"/>
        </w:rPr>
      </w:pPr>
      <w:r w:rsidRPr="006A4F97">
        <w:rPr>
          <w:color w:val="000000"/>
          <w:szCs w:val="24"/>
        </w:rPr>
        <w:t>Y = Bank Profitability</w:t>
      </w:r>
      <w:r>
        <w:rPr>
          <w:color w:val="000000"/>
          <w:szCs w:val="24"/>
        </w:rPr>
        <w:t xml:space="preserve">, </w:t>
      </w:r>
      <w:r w:rsidRPr="006A4F97">
        <w:rPr>
          <w:color w:val="000000"/>
          <w:szCs w:val="24"/>
        </w:rPr>
        <w:t>β₀ = Intercept</w:t>
      </w:r>
      <w:r>
        <w:rPr>
          <w:color w:val="000000"/>
          <w:szCs w:val="24"/>
        </w:rPr>
        <w:t xml:space="preserve">, </w:t>
      </w:r>
      <w:r w:rsidRPr="006A4F97">
        <w:rPr>
          <w:color w:val="000000"/>
          <w:szCs w:val="24"/>
        </w:rPr>
        <w:t>X₁ = ATM usage</w:t>
      </w:r>
      <w:r>
        <w:rPr>
          <w:color w:val="000000"/>
          <w:szCs w:val="24"/>
        </w:rPr>
        <w:t xml:space="preserve">, </w:t>
      </w:r>
      <w:r w:rsidRPr="006A4F97">
        <w:rPr>
          <w:color w:val="000000"/>
          <w:szCs w:val="24"/>
        </w:rPr>
        <w:t>X₂ = Internet banking</w:t>
      </w:r>
      <w:r>
        <w:rPr>
          <w:color w:val="000000"/>
          <w:szCs w:val="24"/>
        </w:rPr>
        <w:t xml:space="preserve">, </w:t>
      </w:r>
      <w:r w:rsidRPr="006A4F97">
        <w:rPr>
          <w:color w:val="000000"/>
          <w:szCs w:val="24"/>
        </w:rPr>
        <w:t>X₃ = Mobile banking</w:t>
      </w:r>
      <w:r>
        <w:rPr>
          <w:color w:val="000000"/>
          <w:szCs w:val="24"/>
        </w:rPr>
        <w:t xml:space="preserve">, </w:t>
      </w:r>
      <w:r w:rsidRPr="006A4F97">
        <w:rPr>
          <w:color w:val="000000"/>
          <w:szCs w:val="24"/>
        </w:rPr>
        <w:t>β₁–β₃ = Coefficients of respective variables</w:t>
      </w:r>
      <w:r>
        <w:rPr>
          <w:color w:val="000000"/>
          <w:szCs w:val="24"/>
        </w:rPr>
        <w:t xml:space="preserve">, and </w:t>
      </w:r>
      <w:r w:rsidRPr="006A4F97">
        <w:rPr>
          <w:color w:val="000000"/>
          <w:szCs w:val="24"/>
        </w:rPr>
        <w:t>ε = Error term</w:t>
      </w:r>
      <w:r w:rsidR="003666CF" w:rsidRPr="003B6D65">
        <w:t>.</w:t>
      </w:r>
    </w:p>
    <w:p w14:paraId="061A82A6" w14:textId="610E3E92" w:rsidR="00660A73" w:rsidRDefault="00816327" w:rsidP="00BF2F55">
      <w:pPr>
        <w:pStyle w:val="Heading1"/>
        <w:spacing w:before="0" w:line="240" w:lineRule="auto"/>
        <w:jc w:val="left"/>
        <w:rPr>
          <w:b/>
          <w:color w:val="000000"/>
        </w:rPr>
      </w:pPr>
      <w:bookmarkStart w:id="13" w:name="_Toc160108192"/>
      <w:bookmarkStart w:id="14" w:name="_Toc143583762"/>
      <w:bookmarkStart w:id="15" w:name="_Toc176355656"/>
      <w:bookmarkStart w:id="16" w:name="_Toc219224717"/>
      <w:r>
        <w:rPr>
          <w:b/>
          <w:color w:val="000000"/>
          <w:lang w:val="en-US"/>
        </w:rPr>
        <w:t>4.0</w:t>
      </w:r>
      <w:r w:rsidR="003B70C3">
        <w:rPr>
          <w:b/>
          <w:color w:val="000000"/>
          <w:lang w:val="en-US"/>
        </w:rPr>
        <w:t xml:space="preserve"> </w:t>
      </w:r>
      <w:r>
        <w:rPr>
          <w:b/>
          <w:color w:val="000000"/>
        </w:rPr>
        <w:t xml:space="preserve">DATA ANALYSIS </w:t>
      </w:r>
      <w:r>
        <w:rPr>
          <w:b/>
          <w:color w:val="000000"/>
          <w:lang w:val="en-US"/>
        </w:rPr>
        <w:t xml:space="preserve">AND </w:t>
      </w:r>
      <w:r w:rsidRPr="003B6D65">
        <w:rPr>
          <w:b/>
          <w:color w:val="000000"/>
        </w:rPr>
        <w:t>DISCUSSION</w:t>
      </w:r>
      <w:bookmarkStart w:id="17" w:name="_Toc63622237"/>
      <w:bookmarkEnd w:id="13"/>
      <w:bookmarkEnd w:id="14"/>
      <w:r w:rsidRPr="003B6D65">
        <w:rPr>
          <w:b/>
          <w:color w:val="000000"/>
        </w:rPr>
        <w:t>S</w:t>
      </w:r>
      <w:bookmarkEnd w:id="15"/>
      <w:bookmarkEnd w:id="16"/>
    </w:p>
    <w:p w14:paraId="20CF58FD" w14:textId="6D941E97" w:rsidR="00573224" w:rsidRPr="001D5127" w:rsidRDefault="008760DB" w:rsidP="008760DB">
      <w:pPr>
        <w:pStyle w:val="Heading2"/>
      </w:pPr>
      <w:r>
        <w:t xml:space="preserve">4.1 </w:t>
      </w:r>
      <w:r w:rsidR="00573224" w:rsidRPr="001D5127">
        <w:t>Regression Analysis Results</w:t>
      </w:r>
    </w:p>
    <w:p w14:paraId="4D959DDA" w14:textId="2EB05EB6" w:rsidR="00573224" w:rsidRPr="00B0596A" w:rsidRDefault="00573224" w:rsidP="008760DB">
      <w:pPr>
        <w:pStyle w:val="Heading3"/>
      </w:pPr>
      <w:bookmarkStart w:id="18" w:name="_Toc234236545"/>
      <w:r w:rsidRPr="00B0596A">
        <w:t>4.</w:t>
      </w:r>
      <w:r w:rsidR="008760DB">
        <w:t>1</w:t>
      </w:r>
      <w:r w:rsidRPr="00B0596A">
        <w:t>.1 Regression Model Summary</w:t>
      </w:r>
      <w:bookmarkEnd w:id="18"/>
    </w:p>
    <w:p w14:paraId="7FD59A05" w14:textId="77777777" w:rsidR="00573224" w:rsidRPr="001D5127" w:rsidRDefault="00573224" w:rsidP="008760DB">
      <w:r w:rsidRPr="001D5127">
        <w:t xml:space="preserve">To examine the effectiveness of how the regression model explains changes in bank profitability; he summary of the model was drafted. Which provides some key statistical tools to includes the following; Correlation Coefficient, the Coefficient of determination, the adjusted coefficient of determination and the standard error of the estimation. These measures indicate how effectively the electronic banking variables account for the differences in </w:t>
      </w:r>
      <w:r>
        <w:t>ROA</w:t>
      </w:r>
      <w:r w:rsidRPr="001D5127">
        <w:t xml:space="preserve"> among commercial banks in </w:t>
      </w:r>
      <w:r>
        <w:t>NCC</w:t>
      </w:r>
      <w:r w:rsidRPr="001D5127">
        <w:t xml:space="preserve">. The </w:t>
      </w:r>
      <w:r>
        <w:t>outcome denoted</w:t>
      </w:r>
      <w:r w:rsidRPr="001D5127">
        <w:t xml:space="preserve"> a strong </w:t>
      </w:r>
      <w:proofErr w:type="spellStart"/>
      <w:r>
        <w:t>favourable</w:t>
      </w:r>
      <w:proofErr w:type="spellEnd"/>
      <w:r w:rsidRPr="001D5127">
        <w:t xml:space="preserve"> link amongst electronic banking technologies and bank profitability; as shown by a correlation coefficient of 0.742. The R-square value of 0.551 </w:t>
      </w:r>
      <w:r>
        <w:t>denotes</w:t>
      </w:r>
      <w:r w:rsidRPr="001D5127">
        <w:t xml:space="preserve"> that </w:t>
      </w:r>
      <w:r>
        <w:t>ATM</w:t>
      </w:r>
      <w:r w:rsidRPr="001D5127">
        <w:t xml:space="preserve">, </w:t>
      </w:r>
      <w:r>
        <w:t>MB</w:t>
      </w:r>
      <w:r w:rsidRPr="001D5127">
        <w:t xml:space="preserve"> and </w:t>
      </w:r>
      <w:r>
        <w:t>IB</w:t>
      </w:r>
      <w:r w:rsidRPr="001D5127">
        <w:t xml:space="preserve"> unanimously explain that 55.1% of the variation in Return on Assets. As the number of predictors are taken into consideration, the adjusted R-square of 0.527 the model still retains a high level of descriptive strength which confirms the reliability explanation of bank profitability.</w:t>
      </w:r>
      <w:bookmarkStart w:id="19" w:name="_Toc220566238"/>
      <w:bookmarkStart w:id="20" w:name="_Toc220661947"/>
    </w:p>
    <w:p w14:paraId="4082AC40" w14:textId="4C675137" w:rsidR="00573224" w:rsidRPr="00B0596A" w:rsidRDefault="00573224" w:rsidP="00573224">
      <w:pPr>
        <w:rPr>
          <w:b/>
        </w:rPr>
      </w:pPr>
      <w:r w:rsidRPr="00B0596A">
        <w:rPr>
          <w:b/>
        </w:rPr>
        <w:t xml:space="preserve">Table </w:t>
      </w:r>
      <w:r w:rsidR="001F505F">
        <w:rPr>
          <w:b/>
        </w:rPr>
        <w:t>1</w:t>
      </w:r>
      <w:r w:rsidRPr="00B0596A">
        <w:rPr>
          <w:b/>
        </w:rPr>
        <w:t>: Regression Model Summary</w:t>
      </w:r>
      <w:bookmarkEnd w:id="19"/>
      <w:bookmarkEnd w:id="20"/>
    </w:p>
    <w:tbl>
      <w:tblPr>
        <w:tblW w:w="5000" w:type="pct"/>
        <w:tblBorders>
          <w:top w:val="single" w:sz="4" w:space="0" w:color="auto"/>
          <w:bottom w:val="single" w:sz="4" w:space="0" w:color="auto"/>
        </w:tblBorders>
        <w:tblLook w:val="04A0" w:firstRow="1" w:lastRow="0" w:firstColumn="1" w:lastColumn="0" w:noHBand="0" w:noVBand="1"/>
      </w:tblPr>
      <w:tblGrid>
        <w:gridCol w:w="1433"/>
        <w:gridCol w:w="1436"/>
        <w:gridCol w:w="1436"/>
        <w:gridCol w:w="2172"/>
        <w:gridCol w:w="2883"/>
      </w:tblGrid>
      <w:tr w:rsidR="00573224" w:rsidRPr="001D5127" w14:paraId="33FAD50F" w14:textId="77777777" w:rsidTr="00AB0977">
        <w:trPr>
          <w:trHeight w:val="300"/>
        </w:trPr>
        <w:tc>
          <w:tcPr>
            <w:tcW w:w="767" w:type="pct"/>
            <w:tcBorders>
              <w:top w:val="single" w:sz="4" w:space="0" w:color="auto"/>
              <w:bottom w:val="single" w:sz="4" w:space="0" w:color="auto"/>
            </w:tcBorders>
            <w:noWrap/>
            <w:vAlign w:val="center"/>
            <w:hideMark/>
          </w:tcPr>
          <w:p w14:paraId="7016E598"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Model</w:t>
            </w:r>
          </w:p>
        </w:tc>
        <w:tc>
          <w:tcPr>
            <w:tcW w:w="768" w:type="pct"/>
            <w:tcBorders>
              <w:top w:val="single" w:sz="4" w:space="0" w:color="auto"/>
              <w:bottom w:val="single" w:sz="4" w:space="0" w:color="auto"/>
            </w:tcBorders>
            <w:noWrap/>
            <w:vAlign w:val="center"/>
            <w:hideMark/>
          </w:tcPr>
          <w:p w14:paraId="3972E9F6"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R</w:t>
            </w:r>
          </w:p>
        </w:tc>
        <w:tc>
          <w:tcPr>
            <w:tcW w:w="768" w:type="pct"/>
            <w:tcBorders>
              <w:top w:val="single" w:sz="4" w:space="0" w:color="auto"/>
              <w:bottom w:val="single" w:sz="4" w:space="0" w:color="auto"/>
            </w:tcBorders>
            <w:noWrap/>
            <w:vAlign w:val="center"/>
            <w:hideMark/>
          </w:tcPr>
          <w:p w14:paraId="08865205"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R Square</w:t>
            </w:r>
          </w:p>
        </w:tc>
        <w:tc>
          <w:tcPr>
            <w:tcW w:w="1156" w:type="pct"/>
            <w:tcBorders>
              <w:top w:val="single" w:sz="4" w:space="0" w:color="auto"/>
              <w:bottom w:val="single" w:sz="4" w:space="0" w:color="auto"/>
            </w:tcBorders>
            <w:noWrap/>
            <w:vAlign w:val="center"/>
            <w:hideMark/>
          </w:tcPr>
          <w:p w14:paraId="24054084"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Adjusted R Square</w:t>
            </w:r>
          </w:p>
        </w:tc>
        <w:tc>
          <w:tcPr>
            <w:tcW w:w="1541" w:type="pct"/>
            <w:tcBorders>
              <w:top w:val="single" w:sz="4" w:space="0" w:color="auto"/>
              <w:bottom w:val="single" w:sz="4" w:space="0" w:color="auto"/>
            </w:tcBorders>
            <w:noWrap/>
            <w:vAlign w:val="center"/>
            <w:hideMark/>
          </w:tcPr>
          <w:p w14:paraId="7888D25B"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Std. Error of the Estimate</w:t>
            </w:r>
          </w:p>
        </w:tc>
      </w:tr>
      <w:tr w:rsidR="00573224" w:rsidRPr="001D5127" w14:paraId="7CBB31E5" w14:textId="77777777" w:rsidTr="00AB0977">
        <w:trPr>
          <w:trHeight w:val="300"/>
        </w:trPr>
        <w:tc>
          <w:tcPr>
            <w:tcW w:w="767" w:type="pct"/>
            <w:tcBorders>
              <w:top w:val="single" w:sz="4" w:space="0" w:color="auto"/>
            </w:tcBorders>
            <w:noWrap/>
            <w:vAlign w:val="center"/>
            <w:hideMark/>
          </w:tcPr>
          <w:p w14:paraId="38CC7EC9"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1</w:t>
            </w:r>
          </w:p>
        </w:tc>
        <w:tc>
          <w:tcPr>
            <w:tcW w:w="768" w:type="pct"/>
            <w:tcBorders>
              <w:top w:val="single" w:sz="4" w:space="0" w:color="auto"/>
            </w:tcBorders>
            <w:noWrap/>
            <w:vAlign w:val="center"/>
            <w:hideMark/>
          </w:tcPr>
          <w:p w14:paraId="1828B2CC"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0.742</w:t>
            </w:r>
          </w:p>
        </w:tc>
        <w:tc>
          <w:tcPr>
            <w:tcW w:w="768" w:type="pct"/>
            <w:tcBorders>
              <w:top w:val="single" w:sz="4" w:space="0" w:color="auto"/>
            </w:tcBorders>
            <w:noWrap/>
            <w:vAlign w:val="center"/>
            <w:hideMark/>
          </w:tcPr>
          <w:p w14:paraId="6C60046A"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0.551</w:t>
            </w:r>
          </w:p>
        </w:tc>
        <w:tc>
          <w:tcPr>
            <w:tcW w:w="1156" w:type="pct"/>
            <w:tcBorders>
              <w:top w:val="single" w:sz="4" w:space="0" w:color="auto"/>
            </w:tcBorders>
            <w:noWrap/>
            <w:vAlign w:val="center"/>
            <w:hideMark/>
          </w:tcPr>
          <w:p w14:paraId="3A963B36"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0.527</w:t>
            </w:r>
          </w:p>
        </w:tc>
        <w:tc>
          <w:tcPr>
            <w:tcW w:w="1541" w:type="pct"/>
            <w:tcBorders>
              <w:top w:val="single" w:sz="4" w:space="0" w:color="auto"/>
            </w:tcBorders>
            <w:noWrap/>
            <w:vAlign w:val="center"/>
            <w:hideMark/>
          </w:tcPr>
          <w:p w14:paraId="306A6541"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0.031</w:t>
            </w:r>
          </w:p>
        </w:tc>
      </w:tr>
    </w:tbl>
    <w:p w14:paraId="347622BE" w14:textId="77777777" w:rsidR="00573224" w:rsidRPr="001D5127" w:rsidRDefault="00573224" w:rsidP="00573224">
      <w:pPr>
        <w:spacing w:after="0" w:line="480" w:lineRule="auto"/>
        <w:rPr>
          <w:rFonts w:eastAsia="Times New Roman"/>
          <w:b/>
          <w:szCs w:val="24"/>
        </w:rPr>
      </w:pPr>
      <w:r w:rsidRPr="001D5127">
        <w:rPr>
          <w:rFonts w:eastAsia="Times New Roman"/>
          <w:b/>
          <w:szCs w:val="24"/>
        </w:rPr>
        <w:t>Source: Researchers, 2026</w:t>
      </w:r>
    </w:p>
    <w:p w14:paraId="331F92F0" w14:textId="6C642381" w:rsidR="00573224" w:rsidRPr="001D5127" w:rsidRDefault="00573224" w:rsidP="008760DB">
      <w:pPr>
        <w:pStyle w:val="Heading3"/>
      </w:pPr>
      <w:bookmarkStart w:id="21" w:name="_Toc234236546"/>
      <w:r w:rsidRPr="001D5127">
        <w:t>4.</w:t>
      </w:r>
      <w:r w:rsidR="008760DB">
        <w:t>1</w:t>
      </w:r>
      <w:r w:rsidRPr="001D5127">
        <w:t>.2 Analysis of Variance (ANOVA)</w:t>
      </w:r>
      <w:bookmarkEnd w:id="21"/>
    </w:p>
    <w:p w14:paraId="5D54D8B4" w14:textId="450BCAE5" w:rsidR="00573224" w:rsidRPr="001D5127" w:rsidRDefault="00573224" w:rsidP="008760DB">
      <w:r w:rsidRPr="001D5127">
        <w:t xml:space="preserve">To find out whether the model was statistically significant, an appropriate test was conducted. This was done using </w:t>
      </w:r>
      <w:r>
        <w:t>ANOVA</w:t>
      </w:r>
      <w:r w:rsidRPr="001D5127">
        <w:t xml:space="preserve">. The ANOVA test result was carried out to ascertain the joint effect of the independent variables are capable of influencing the dependent variable. The F-statistic value of and its equivalent value shows whether the regression model has provided a good explanation of the profitability of banks in the absence of predictors. The ANOVA </w:t>
      </w:r>
      <w:r>
        <w:t>outcomes</w:t>
      </w:r>
      <w:r w:rsidRPr="001D5127">
        <w:t xml:space="preserve"> in Table </w:t>
      </w:r>
      <w:r w:rsidR="001F505F">
        <w:t>2</w:t>
      </w:r>
      <w:r w:rsidRPr="001D5127">
        <w:t xml:space="preserve"> revealed </w:t>
      </w:r>
      <w:r w:rsidRPr="001D5127">
        <w:lastRenderedPageBreak/>
        <w:t xml:space="preserve">that the model is statistically significant (F = 12.84, p&lt; 0.05) which shows that the independent variables together have a </w:t>
      </w:r>
      <w:r>
        <w:t>notable impact</w:t>
      </w:r>
      <w:r w:rsidRPr="001D5127">
        <w:t xml:space="preserve"> on the profitability of the banks and it also shows that the model is fit for further investigation.</w:t>
      </w:r>
    </w:p>
    <w:p w14:paraId="1B0A513A" w14:textId="5EB01B3E" w:rsidR="00573224" w:rsidRPr="00B0596A" w:rsidRDefault="00573224" w:rsidP="00573224">
      <w:pPr>
        <w:rPr>
          <w:b/>
        </w:rPr>
      </w:pPr>
      <w:bookmarkStart w:id="22" w:name="_Toc220566240"/>
      <w:bookmarkStart w:id="23" w:name="_Toc220661949"/>
      <w:r w:rsidRPr="00B0596A">
        <w:rPr>
          <w:b/>
        </w:rPr>
        <w:t xml:space="preserve">Table </w:t>
      </w:r>
      <w:r w:rsidR="001F505F">
        <w:rPr>
          <w:b/>
        </w:rPr>
        <w:t>2</w:t>
      </w:r>
      <w:r w:rsidRPr="00B0596A">
        <w:rPr>
          <w:b/>
        </w:rPr>
        <w:t>: ANOVA Results</w:t>
      </w:r>
      <w:bookmarkEnd w:id="22"/>
      <w:bookmarkEnd w:id="23"/>
    </w:p>
    <w:tbl>
      <w:tblPr>
        <w:tblW w:w="5000" w:type="pct"/>
        <w:tblBorders>
          <w:top w:val="single" w:sz="4" w:space="0" w:color="auto"/>
          <w:bottom w:val="single" w:sz="4" w:space="0" w:color="auto"/>
        </w:tblBorders>
        <w:tblLook w:val="04A0" w:firstRow="1" w:lastRow="0" w:firstColumn="1" w:lastColumn="0" w:noHBand="0" w:noVBand="1"/>
      </w:tblPr>
      <w:tblGrid>
        <w:gridCol w:w="1735"/>
        <w:gridCol w:w="1859"/>
        <w:gridCol w:w="1376"/>
        <w:gridCol w:w="1636"/>
        <w:gridCol w:w="1376"/>
        <w:gridCol w:w="1378"/>
      </w:tblGrid>
      <w:tr w:rsidR="00573224" w:rsidRPr="001D5127" w14:paraId="4B094F55" w14:textId="77777777" w:rsidTr="00AB0977">
        <w:trPr>
          <w:trHeight w:val="300"/>
        </w:trPr>
        <w:tc>
          <w:tcPr>
            <w:tcW w:w="927" w:type="pct"/>
            <w:tcBorders>
              <w:top w:val="single" w:sz="4" w:space="0" w:color="auto"/>
              <w:bottom w:val="single" w:sz="4" w:space="0" w:color="auto"/>
            </w:tcBorders>
            <w:noWrap/>
            <w:vAlign w:val="center"/>
            <w:hideMark/>
          </w:tcPr>
          <w:p w14:paraId="75DADDC2"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Model</w:t>
            </w:r>
          </w:p>
        </w:tc>
        <w:tc>
          <w:tcPr>
            <w:tcW w:w="993" w:type="pct"/>
            <w:tcBorders>
              <w:top w:val="single" w:sz="4" w:space="0" w:color="auto"/>
              <w:bottom w:val="single" w:sz="4" w:space="0" w:color="auto"/>
            </w:tcBorders>
            <w:noWrap/>
            <w:vAlign w:val="center"/>
            <w:hideMark/>
          </w:tcPr>
          <w:p w14:paraId="687A4473"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Sum of Squares</w:t>
            </w:r>
          </w:p>
        </w:tc>
        <w:tc>
          <w:tcPr>
            <w:tcW w:w="735" w:type="pct"/>
            <w:tcBorders>
              <w:top w:val="single" w:sz="4" w:space="0" w:color="auto"/>
              <w:bottom w:val="single" w:sz="4" w:space="0" w:color="auto"/>
            </w:tcBorders>
            <w:noWrap/>
            <w:vAlign w:val="center"/>
            <w:hideMark/>
          </w:tcPr>
          <w:p w14:paraId="35A0DC0D"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Df</w:t>
            </w:r>
          </w:p>
        </w:tc>
        <w:tc>
          <w:tcPr>
            <w:tcW w:w="874" w:type="pct"/>
            <w:tcBorders>
              <w:top w:val="single" w:sz="4" w:space="0" w:color="auto"/>
              <w:bottom w:val="single" w:sz="4" w:space="0" w:color="auto"/>
            </w:tcBorders>
            <w:noWrap/>
            <w:vAlign w:val="center"/>
            <w:hideMark/>
          </w:tcPr>
          <w:p w14:paraId="7726A441"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Mean Square</w:t>
            </w:r>
          </w:p>
        </w:tc>
        <w:tc>
          <w:tcPr>
            <w:tcW w:w="735" w:type="pct"/>
            <w:tcBorders>
              <w:top w:val="single" w:sz="4" w:space="0" w:color="auto"/>
              <w:bottom w:val="single" w:sz="4" w:space="0" w:color="auto"/>
            </w:tcBorders>
            <w:noWrap/>
            <w:vAlign w:val="center"/>
            <w:hideMark/>
          </w:tcPr>
          <w:p w14:paraId="20784109"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F</w:t>
            </w:r>
          </w:p>
        </w:tc>
        <w:tc>
          <w:tcPr>
            <w:tcW w:w="736" w:type="pct"/>
            <w:tcBorders>
              <w:top w:val="single" w:sz="4" w:space="0" w:color="auto"/>
              <w:bottom w:val="single" w:sz="4" w:space="0" w:color="auto"/>
            </w:tcBorders>
            <w:noWrap/>
            <w:vAlign w:val="center"/>
            <w:hideMark/>
          </w:tcPr>
          <w:p w14:paraId="4063ADA4"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Sig.</w:t>
            </w:r>
          </w:p>
        </w:tc>
      </w:tr>
      <w:tr w:rsidR="00573224" w:rsidRPr="001D5127" w14:paraId="1E83AB3D" w14:textId="77777777" w:rsidTr="00AB0977">
        <w:trPr>
          <w:trHeight w:val="300"/>
        </w:trPr>
        <w:tc>
          <w:tcPr>
            <w:tcW w:w="927" w:type="pct"/>
            <w:tcBorders>
              <w:top w:val="single" w:sz="4" w:space="0" w:color="auto"/>
            </w:tcBorders>
            <w:noWrap/>
            <w:vAlign w:val="center"/>
            <w:hideMark/>
          </w:tcPr>
          <w:p w14:paraId="3F355927" w14:textId="77777777" w:rsidR="00573224" w:rsidRPr="001D5127" w:rsidRDefault="00573224" w:rsidP="00AB0977">
            <w:pPr>
              <w:spacing w:after="0" w:line="240" w:lineRule="auto"/>
              <w:rPr>
                <w:rFonts w:eastAsia="Times New Roman"/>
                <w:color w:val="000000"/>
                <w:szCs w:val="24"/>
              </w:rPr>
            </w:pPr>
            <w:r w:rsidRPr="001D5127">
              <w:rPr>
                <w:rFonts w:eastAsia="Times New Roman"/>
                <w:color w:val="000000"/>
                <w:szCs w:val="24"/>
              </w:rPr>
              <w:t>Regression</w:t>
            </w:r>
          </w:p>
        </w:tc>
        <w:tc>
          <w:tcPr>
            <w:tcW w:w="993" w:type="pct"/>
            <w:tcBorders>
              <w:top w:val="single" w:sz="4" w:space="0" w:color="auto"/>
            </w:tcBorders>
            <w:noWrap/>
            <w:vAlign w:val="center"/>
            <w:hideMark/>
          </w:tcPr>
          <w:p w14:paraId="7CAA0EDF"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0.118</w:t>
            </w:r>
          </w:p>
        </w:tc>
        <w:tc>
          <w:tcPr>
            <w:tcW w:w="735" w:type="pct"/>
            <w:tcBorders>
              <w:top w:val="single" w:sz="4" w:space="0" w:color="auto"/>
            </w:tcBorders>
            <w:noWrap/>
            <w:vAlign w:val="center"/>
            <w:hideMark/>
          </w:tcPr>
          <w:p w14:paraId="23097BD2"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3</w:t>
            </w:r>
          </w:p>
        </w:tc>
        <w:tc>
          <w:tcPr>
            <w:tcW w:w="874" w:type="pct"/>
            <w:tcBorders>
              <w:top w:val="single" w:sz="4" w:space="0" w:color="auto"/>
            </w:tcBorders>
            <w:noWrap/>
            <w:vAlign w:val="center"/>
            <w:hideMark/>
          </w:tcPr>
          <w:p w14:paraId="3DDFF60A"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0.039</w:t>
            </w:r>
          </w:p>
        </w:tc>
        <w:tc>
          <w:tcPr>
            <w:tcW w:w="735" w:type="pct"/>
            <w:tcBorders>
              <w:top w:val="single" w:sz="4" w:space="0" w:color="auto"/>
            </w:tcBorders>
            <w:noWrap/>
            <w:vAlign w:val="center"/>
            <w:hideMark/>
          </w:tcPr>
          <w:p w14:paraId="53EEB3CD"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12.84</w:t>
            </w:r>
          </w:p>
        </w:tc>
        <w:tc>
          <w:tcPr>
            <w:tcW w:w="736" w:type="pct"/>
            <w:tcBorders>
              <w:top w:val="single" w:sz="4" w:space="0" w:color="auto"/>
            </w:tcBorders>
            <w:noWrap/>
            <w:vAlign w:val="center"/>
            <w:hideMark/>
          </w:tcPr>
          <w:p w14:paraId="077494F8"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w:t>
            </w:r>
          </w:p>
        </w:tc>
      </w:tr>
      <w:tr w:rsidR="00573224" w:rsidRPr="001D5127" w14:paraId="6911708F" w14:textId="77777777" w:rsidTr="00AB0977">
        <w:trPr>
          <w:trHeight w:val="300"/>
        </w:trPr>
        <w:tc>
          <w:tcPr>
            <w:tcW w:w="927" w:type="pct"/>
            <w:tcBorders>
              <w:bottom w:val="single" w:sz="4" w:space="0" w:color="auto"/>
            </w:tcBorders>
            <w:noWrap/>
            <w:vAlign w:val="center"/>
            <w:hideMark/>
          </w:tcPr>
          <w:p w14:paraId="3C4CFF07" w14:textId="77777777" w:rsidR="00573224" w:rsidRPr="001D5127" w:rsidRDefault="00573224" w:rsidP="00AB0977">
            <w:pPr>
              <w:spacing w:after="0" w:line="240" w:lineRule="auto"/>
              <w:rPr>
                <w:rFonts w:eastAsia="Times New Roman"/>
                <w:color w:val="000000"/>
                <w:szCs w:val="24"/>
              </w:rPr>
            </w:pPr>
            <w:r w:rsidRPr="001D5127">
              <w:rPr>
                <w:rFonts w:eastAsia="Times New Roman"/>
                <w:color w:val="000000"/>
                <w:szCs w:val="24"/>
              </w:rPr>
              <w:t>Residual</w:t>
            </w:r>
          </w:p>
        </w:tc>
        <w:tc>
          <w:tcPr>
            <w:tcW w:w="993" w:type="pct"/>
            <w:tcBorders>
              <w:bottom w:val="single" w:sz="4" w:space="0" w:color="auto"/>
            </w:tcBorders>
            <w:noWrap/>
            <w:vAlign w:val="center"/>
            <w:hideMark/>
          </w:tcPr>
          <w:p w14:paraId="70E08E66"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0.096</w:t>
            </w:r>
          </w:p>
        </w:tc>
        <w:tc>
          <w:tcPr>
            <w:tcW w:w="735" w:type="pct"/>
            <w:tcBorders>
              <w:bottom w:val="single" w:sz="4" w:space="0" w:color="auto"/>
            </w:tcBorders>
            <w:noWrap/>
            <w:vAlign w:val="center"/>
            <w:hideMark/>
          </w:tcPr>
          <w:p w14:paraId="71C3DD9B"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31</w:t>
            </w:r>
          </w:p>
        </w:tc>
        <w:tc>
          <w:tcPr>
            <w:tcW w:w="874" w:type="pct"/>
            <w:tcBorders>
              <w:bottom w:val="single" w:sz="4" w:space="0" w:color="auto"/>
            </w:tcBorders>
            <w:noWrap/>
            <w:vAlign w:val="center"/>
            <w:hideMark/>
          </w:tcPr>
          <w:p w14:paraId="02197B93"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0.003</w:t>
            </w:r>
          </w:p>
        </w:tc>
        <w:tc>
          <w:tcPr>
            <w:tcW w:w="735" w:type="pct"/>
            <w:tcBorders>
              <w:bottom w:val="single" w:sz="4" w:space="0" w:color="auto"/>
            </w:tcBorders>
            <w:noWrap/>
            <w:vAlign w:val="center"/>
            <w:hideMark/>
          </w:tcPr>
          <w:p w14:paraId="26A6580C" w14:textId="77777777" w:rsidR="00573224" w:rsidRPr="001D5127" w:rsidRDefault="00573224" w:rsidP="00AB0977">
            <w:pPr>
              <w:spacing w:after="0" w:line="240" w:lineRule="auto"/>
              <w:rPr>
                <w:rFonts w:eastAsia="Times New Roman"/>
                <w:color w:val="000000"/>
                <w:szCs w:val="24"/>
              </w:rPr>
            </w:pPr>
            <w:r w:rsidRPr="001D5127">
              <w:rPr>
                <w:rFonts w:eastAsia="Times New Roman"/>
                <w:color w:val="000000"/>
                <w:szCs w:val="24"/>
              </w:rPr>
              <w:t> </w:t>
            </w:r>
          </w:p>
        </w:tc>
        <w:tc>
          <w:tcPr>
            <w:tcW w:w="736" w:type="pct"/>
            <w:tcBorders>
              <w:bottom w:val="single" w:sz="4" w:space="0" w:color="auto"/>
            </w:tcBorders>
            <w:noWrap/>
            <w:vAlign w:val="center"/>
            <w:hideMark/>
          </w:tcPr>
          <w:p w14:paraId="568C8D31" w14:textId="77777777" w:rsidR="00573224" w:rsidRPr="001D5127" w:rsidRDefault="00573224" w:rsidP="00AB0977">
            <w:pPr>
              <w:spacing w:after="0" w:line="240" w:lineRule="auto"/>
              <w:rPr>
                <w:rFonts w:eastAsia="Times New Roman"/>
                <w:color w:val="000000"/>
                <w:szCs w:val="24"/>
              </w:rPr>
            </w:pPr>
            <w:r w:rsidRPr="001D5127">
              <w:rPr>
                <w:rFonts w:eastAsia="Times New Roman"/>
                <w:color w:val="000000"/>
                <w:szCs w:val="24"/>
              </w:rPr>
              <w:t> </w:t>
            </w:r>
          </w:p>
        </w:tc>
      </w:tr>
      <w:tr w:rsidR="00573224" w:rsidRPr="001D5127" w14:paraId="1B6EF5BB" w14:textId="77777777" w:rsidTr="00AB0977">
        <w:trPr>
          <w:trHeight w:val="300"/>
        </w:trPr>
        <w:tc>
          <w:tcPr>
            <w:tcW w:w="927" w:type="pct"/>
            <w:tcBorders>
              <w:top w:val="single" w:sz="4" w:space="0" w:color="auto"/>
              <w:bottom w:val="single" w:sz="4" w:space="0" w:color="auto"/>
            </w:tcBorders>
            <w:noWrap/>
            <w:vAlign w:val="center"/>
            <w:hideMark/>
          </w:tcPr>
          <w:p w14:paraId="5D17FD08" w14:textId="77777777" w:rsidR="00573224" w:rsidRPr="001D5127" w:rsidRDefault="00573224" w:rsidP="00AB0977">
            <w:pPr>
              <w:spacing w:after="0" w:line="240" w:lineRule="auto"/>
              <w:rPr>
                <w:rFonts w:eastAsia="Times New Roman"/>
                <w:b/>
                <w:color w:val="000000"/>
                <w:szCs w:val="24"/>
              </w:rPr>
            </w:pPr>
            <w:r w:rsidRPr="001D5127">
              <w:rPr>
                <w:rFonts w:eastAsia="Times New Roman"/>
                <w:b/>
                <w:color w:val="000000"/>
                <w:szCs w:val="24"/>
              </w:rPr>
              <w:t>Total</w:t>
            </w:r>
          </w:p>
        </w:tc>
        <w:tc>
          <w:tcPr>
            <w:tcW w:w="993" w:type="pct"/>
            <w:tcBorders>
              <w:top w:val="single" w:sz="4" w:space="0" w:color="auto"/>
              <w:bottom w:val="single" w:sz="4" w:space="0" w:color="auto"/>
            </w:tcBorders>
            <w:noWrap/>
            <w:vAlign w:val="center"/>
            <w:hideMark/>
          </w:tcPr>
          <w:p w14:paraId="7C530900" w14:textId="77777777" w:rsidR="00573224" w:rsidRPr="001D5127" w:rsidRDefault="00573224" w:rsidP="00AB0977">
            <w:pPr>
              <w:spacing w:after="0" w:line="240" w:lineRule="auto"/>
              <w:jc w:val="right"/>
              <w:rPr>
                <w:rFonts w:eastAsia="Times New Roman"/>
                <w:b/>
                <w:color w:val="000000"/>
                <w:szCs w:val="24"/>
              </w:rPr>
            </w:pPr>
            <w:r w:rsidRPr="001D5127">
              <w:rPr>
                <w:rFonts w:eastAsia="Times New Roman"/>
                <w:b/>
                <w:color w:val="000000"/>
                <w:szCs w:val="24"/>
              </w:rPr>
              <w:t>0.214</w:t>
            </w:r>
          </w:p>
        </w:tc>
        <w:tc>
          <w:tcPr>
            <w:tcW w:w="735" w:type="pct"/>
            <w:tcBorders>
              <w:top w:val="single" w:sz="4" w:space="0" w:color="auto"/>
              <w:bottom w:val="single" w:sz="4" w:space="0" w:color="auto"/>
            </w:tcBorders>
            <w:noWrap/>
            <w:vAlign w:val="center"/>
            <w:hideMark/>
          </w:tcPr>
          <w:p w14:paraId="188D30D3" w14:textId="77777777" w:rsidR="00573224" w:rsidRPr="001D5127" w:rsidRDefault="00573224" w:rsidP="00AB0977">
            <w:pPr>
              <w:spacing w:after="0" w:line="240" w:lineRule="auto"/>
              <w:jc w:val="right"/>
              <w:rPr>
                <w:rFonts w:eastAsia="Times New Roman"/>
                <w:b/>
                <w:color w:val="000000"/>
                <w:szCs w:val="24"/>
              </w:rPr>
            </w:pPr>
            <w:r w:rsidRPr="001D5127">
              <w:rPr>
                <w:rFonts w:eastAsia="Times New Roman"/>
                <w:b/>
                <w:color w:val="000000"/>
                <w:szCs w:val="24"/>
              </w:rPr>
              <w:t>34</w:t>
            </w:r>
          </w:p>
        </w:tc>
        <w:tc>
          <w:tcPr>
            <w:tcW w:w="874" w:type="pct"/>
            <w:tcBorders>
              <w:top w:val="single" w:sz="4" w:space="0" w:color="auto"/>
              <w:bottom w:val="single" w:sz="4" w:space="0" w:color="auto"/>
            </w:tcBorders>
            <w:noWrap/>
            <w:vAlign w:val="center"/>
            <w:hideMark/>
          </w:tcPr>
          <w:p w14:paraId="7B96D0D0" w14:textId="77777777" w:rsidR="00573224" w:rsidRPr="001D5127" w:rsidRDefault="00573224" w:rsidP="00AB0977">
            <w:pPr>
              <w:spacing w:after="0" w:line="240" w:lineRule="auto"/>
              <w:rPr>
                <w:rFonts w:eastAsia="Times New Roman"/>
                <w:b/>
                <w:color w:val="000000"/>
                <w:szCs w:val="24"/>
              </w:rPr>
            </w:pPr>
            <w:r w:rsidRPr="001D5127">
              <w:rPr>
                <w:rFonts w:eastAsia="Times New Roman"/>
                <w:b/>
                <w:color w:val="000000"/>
                <w:szCs w:val="24"/>
              </w:rPr>
              <w:t> </w:t>
            </w:r>
          </w:p>
        </w:tc>
        <w:tc>
          <w:tcPr>
            <w:tcW w:w="735" w:type="pct"/>
            <w:tcBorders>
              <w:top w:val="single" w:sz="4" w:space="0" w:color="auto"/>
              <w:bottom w:val="single" w:sz="4" w:space="0" w:color="auto"/>
            </w:tcBorders>
            <w:noWrap/>
            <w:vAlign w:val="center"/>
            <w:hideMark/>
          </w:tcPr>
          <w:p w14:paraId="63D5A44F" w14:textId="77777777" w:rsidR="00573224" w:rsidRPr="001D5127" w:rsidRDefault="00573224" w:rsidP="00AB0977">
            <w:pPr>
              <w:spacing w:after="0" w:line="240" w:lineRule="auto"/>
              <w:rPr>
                <w:rFonts w:eastAsia="Times New Roman"/>
                <w:b/>
                <w:color w:val="000000"/>
                <w:szCs w:val="24"/>
              </w:rPr>
            </w:pPr>
            <w:r w:rsidRPr="001D5127">
              <w:rPr>
                <w:rFonts w:eastAsia="Times New Roman"/>
                <w:b/>
                <w:color w:val="000000"/>
                <w:szCs w:val="24"/>
              </w:rPr>
              <w:t> </w:t>
            </w:r>
          </w:p>
        </w:tc>
        <w:tc>
          <w:tcPr>
            <w:tcW w:w="736" w:type="pct"/>
            <w:tcBorders>
              <w:top w:val="single" w:sz="4" w:space="0" w:color="auto"/>
              <w:bottom w:val="single" w:sz="4" w:space="0" w:color="auto"/>
            </w:tcBorders>
            <w:noWrap/>
            <w:vAlign w:val="center"/>
            <w:hideMark/>
          </w:tcPr>
          <w:p w14:paraId="160D6882" w14:textId="77777777" w:rsidR="00573224" w:rsidRPr="001D5127" w:rsidRDefault="00573224" w:rsidP="00AB0977">
            <w:pPr>
              <w:spacing w:after="0" w:line="240" w:lineRule="auto"/>
              <w:rPr>
                <w:rFonts w:eastAsia="Times New Roman"/>
                <w:b/>
                <w:color w:val="000000"/>
                <w:szCs w:val="24"/>
              </w:rPr>
            </w:pPr>
            <w:r w:rsidRPr="001D5127">
              <w:rPr>
                <w:rFonts w:eastAsia="Times New Roman"/>
                <w:b/>
                <w:color w:val="000000"/>
                <w:szCs w:val="24"/>
              </w:rPr>
              <w:t> </w:t>
            </w:r>
          </w:p>
        </w:tc>
      </w:tr>
    </w:tbl>
    <w:p w14:paraId="0AD5CABF" w14:textId="77777777" w:rsidR="00573224" w:rsidRPr="001D5127" w:rsidRDefault="00573224" w:rsidP="00573224">
      <w:pPr>
        <w:spacing w:after="0" w:line="480" w:lineRule="auto"/>
        <w:rPr>
          <w:rFonts w:eastAsia="Times New Roman"/>
          <w:b/>
          <w:szCs w:val="24"/>
        </w:rPr>
      </w:pPr>
      <w:r w:rsidRPr="001D5127">
        <w:rPr>
          <w:rFonts w:eastAsia="Times New Roman"/>
          <w:b/>
          <w:szCs w:val="24"/>
        </w:rPr>
        <w:t>Source: Researchers, 2026</w:t>
      </w:r>
    </w:p>
    <w:p w14:paraId="46CFC3A0" w14:textId="6303320C" w:rsidR="00573224" w:rsidRPr="001D5127" w:rsidRDefault="00573224" w:rsidP="008760DB">
      <w:pPr>
        <w:pStyle w:val="Heading3"/>
      </w:pPr>
      <w:bookmarkStart w:id="24" w:name="_Toc234236547"/>
      <w:r w:rsidRPr="001D5127">
        <w:t>4.</w:t>
      </w:r>
      <w:r w:rsidR="008760DB">
        <w:t>1</w:t>
      </w:r>
      <w:r w:rsidRPr="001D5127">
        <w:t>.3 Regression Coefficients</w:t>
      </w:r>
      <w:bookmarkEnd w:id="24"/>
    </w:p>
    <w:p w14:paraId="2B909A7B" w14:textId="30FD9111" w:rsidR="00573224" w:rsidRPr="001D5127" w:rsidRDefault="00573224" w:rsidP="008760DB">
      <w:r w:rsidRPr="006E5AA0">
        <w:t xml:space="preserve">Regression analysis was performed to ascertain the individual impact of each </w:t>
      </w:r>
      <w:r>
        <w:t>explanatory</w:t>
      </w:r>
      <w:r w:rsidRPr="006E5AA0">
        <w:t xml:space="preserve"> variable on the </w:t>
      </w:r>
      <w:r>
        <w:t>explained</w:t>
      </w:r>
      <w:r w:rsidRPr="006E5AA0">
        <w:t xml:space="preserve"> variable in order to investigate the impact of each </w:t>
      </w:r>
      <w:r>
        <w:t>EPS</w:t>
      </w:r>
      <w:r w:rsidRPr="006E5AA0">
        <w:t xml:space="preserve"> variable on its profitability.</w:t>
      </w:r>
      <w:r w:rsidRPr="001D5127">
        <w:t xml:space="preserve"> The regression results provide the direction as well as the magnitude of the effects. It also shows the </w:t>
      </w:r>
      <w:r>
        <w:t>notable</w:t>
      </w:r>
      <w:r w:rsidRPr="001D5127">
        <w:t xml:space="preserve"> </w:t>
      </w:r>
      <w:r>
        <w:t>link</w:t>
      </w:r>
      <w:r w:rsidRPr="001D5127">
        <w:t xml:space="preserve"> amongst the </w:t>
      </w:r>
      <w:r>
        <w:t>investigation’s</w:t>
      </w:r>
      <w:r w:rsidRPr="001D5127">
        <w:t xml:space="preserve"> variable. </w:t>
      </w:r>
    </w:p>
    <w:p w14:paraId="658333DA" w14:textId="080331D3" w:rsidR="00573224" w:rsidRPr="001D5127" w:rsidRDefault="00573224" w:rsidP="008760DB">
      <w:pPr>
        <w:pStyle w:val="Heading3"/>
        <w:rPr>
          <w:b w:val="0"/>
        </w:rPr>
      </w:pPr>
      <w:bookmarkStart w:id="25" w:name="_Toc234236548"/>
      <w:r w:rsidRPr="001D5127">
        <w:t>4.</w:t>
      </w:r>
      <w:r w:rsidR="008760DB">
        <w:t>1</w:t>
      </w:r>
      <w:r w:rsidRPr="001D5127">
        <w:t xml:space="preserve">.3.1 Regression </w:t>
      </w:r>
      <w:r w:rsidRPr="008760DB">
        <w:t>Model</w:t>
      </w:r>
      <w:bookmarkEnd w:id="25"/>
    </w:p>
    <w:p w14:paraId="756923DC" w14:textId="3EB4914F" w:rsidR="00573224" w:rsidRPr="001D5127" w:rsidRDefault="00573224" w:rsidP="008760DB">
      <w:r w:rsidRPr="001D5127">
        <w:t xml:space="preserve">The coefficients of the regression analysis as reflected in Table </w:t>
      </w:r>
      <w:r w:rsidR="001F505F">
        <w:t>2</w:t>
      </w:r>
      <w:r w:rsidRPr="001D5127">
        <w:t xml:space="preserve"> indicates the link amongst the variables </w:t>
      </w:r>
      <w:r>
        <w:t>EPS</w:t>
      </w:r>
      <w:r w:rsidRPr="001D5127">
        <w:t xml:space="preserve"> and the profitability of banks. The </w:t>
      </w:r>
      <w:r>
        <w:t>explained</w:t>
      </w:r>
      <w:r w:rsidRPr="001D5127">
        <w:t xml:space="preserve"> variable was </w:t>
      </w:r>
      <w:r>
        <w:t>ROA</w:t>
      </w:r>
      <w:r w:rsidRPr="001D5127">
        <w:t xml:space="preserve"> while the </w:t>
      </w:r>
      <w:r>
        <w:t>explanatory</w:t>
      </w:r>
      <w:r w:rsidRPr="001D5127">
        <w:t xml:space="preserve"> variables were </w:t>
      </w:r>
      <w:r>
        <w:t>ATMs</w:t>
      </w:r>
      <w:r w:rsidRPr="001D5127">
        <w:t xml:space="preserve">, </w:t>
      </w:r>
      <w:r>
        <w:t>MB</w:t>
      </w:r>
      <w:r w:rsidRPr="001D5127">
        <w:t xml:space="preserve"> and </w:t>
      </w:r>
      <w:r>
        <w:t>IB</w:t>
      </w:r>
      <w:r w:rsidRPr="001D5127">
        <w:t xml:space="preserve">. The estimated equation is stated as follows: </w:t>
      </w:r>
    </w:p>
    <w:p w14:paraId="5D919DD0" w14:textId="77777777" w:rsidR="00573224" w:rsidRPr="001D5127" w:rsidRDefault="00573224" w:rsidP="00573224">
      <w:pPr>
        <w:spacing w:after="0" w:line="480" w:lineRule="auto"/>
        <w:rPr>
          <w:rFonts w:eastAsia="Times New Roman"/>
          <w:szCs w:val="24"/>
        </w:rPr>
      </w:pPr>
      <w:r w:rsidRPr="001D5127">
        <w:rPr>
          <w:rFonts w:eastAsia="Times New Roman"/>
          <w:szCs w:val="24"/>
        </w:rPr>
        <w:t xml:space="preserve">ROA </w:t>
      </w:r>
      <w:r w:rsidRPr="001D5127">
        <w:rPr>
          <w:rFonts w:eastAsia="Times New Roman"/>
          <w:szCs w:val="24"/>
        </w:rPr>
        <w:tab/>
        <w:t>=</w:t>
      </w:r>
      <w:r w:rsidRPr="001D5127">
        <w:rPr>
          <w:rFonts w:eastAsia="Times New Roman"/>
          <w:szCs w:val="24"/>
        </w:rPr>
        <w:tab/>
        <w:t>0.021 + 0.004ATM + 0.018MB + 0.011IB</w:t>
      </w:r>
    </w:p>
    <w:p w14:paraId="36602E2C" w14:textId="77777777" w:rsidR="00573224" w:rsidRPr="001D5127" w:rsidRDefault="00573224" w:rsidP="00573224">
      <w:pPr>
        <w:spacing w:after="0" w:line="480" w:lineRule="auto"/>
        <w:rPr>
          <w:rFonts w:eastAsia="Times New Roman"/>
          <w:szCs w:val="24"/>
        </w:rPr>
      </w:pPr>
      <w:r w:rsidRPr="001D5127">
        <w:rPr>
          <w:rFonts w:eastAsia="Times New Roman"/>
          <w:szCs w:val="24"/>
        </w:rPr>
        <w:t xml:space="preserve">Where: </w:t>
      </w:r>
    </w:p>
    <w:p w14:paraId="22D82042" w14:textId="77777777" w:rsidR="00573224" w:rsidRPr="001D5127" w:rsidRDefault="00573224" w:rsidP="00573224">
      <w:pPr>
        <w:spacing w:after="0" w:line="480" w:lineRule="auto"/>
        <w:rPr>
          <w:rFonts w:eastAsia="Times New Roman"/>
          <w:szCs w:val="24"/>
        </w:rPr>
      </w:pPr>
      <w:r w:rsidRPr="001D5127">
        <w:rPr>
          <w:rFonts w:eastAsia="Times New Roman"/>
          <w:szCs w:val="24"/>
        </w:rPr>
        <w:t xml:space="preserve">ROA </w:t>
      </w:r>
      <w:r w:rsidRPr="001D5127">
        <w:rPr>
          <w:rFonts w:eastAsia="Times New Roman"/>
          <w:szCs w:val="24"/>
        </w:rPr>
        <w:tab/>
        <w:t>=</w:t>
      </w:r>
      <w:r w:rsidRPr="001D5127">
        <w:rPr>
          <w:rFonts w:eastAsia="Times New Roman"/>
          <w:szCs w:val="24"/>
        </w:rPr>
        <w:tab/>
        <w:t>Return on Assets</w:t>
      </w:r>
    </w:p>
    <w:p w14:paraId="585A4863" w14:textId="77777777" w:rsidR="00573224" w:rsidRPr="001D5127" w:rsidRDefault="00573224" w:rsidP="00573224">
      <w:pPr>
        <w:spacing w:after="0" w:line="480" w:lineRule="auto"/>
        <w:rPr>
          <w:rFonts w:eastAsia="Times New Roman"/>
          <w:szCs w:val="24"/>
        </w:rPr>
      </w:pPr>
      <w:r w:rsidRPr="001D5127">
        <w:rPr>
          <w:rFonts w:eastAsia="Times New Roman"/>
          <w:szCs w:val="24"/>
        </w:rPr>
        <w:t xml:space="preserve">ATM </w:t>
      </w:r>
      <w:r w:rsidRPr="001D5127">
        <w:rPr>
          <w:rFonts w:eastAsia="Times New Roman"/>
          <w:szCs w:val="24"/>
        </w:rPr>
        <w:tab/>
        <w:t>=</w:t>
      </w:r>
      <w:r w:rsidRPr="001D5127">
        <w:rPr>
          <w:rFonts w:eastAsia="Times New Roman"/>
          <w:szCs w:val="24"/>
        </w:rPr>
        <w:tab/>
        <w:t>Automated Teller Machine</w:t>
      </w:r>
    </w:p>
    <w:p w14:paraId="1A97D196" w14:textId="77777777" w:rsidR="00573224" w:rsidRPr="001D5127" w:rsidRDefault="00573224" w:rsidP="00573224">
      <w:pPr>
        <w:spacing w:after="0" w:line="480" w:lineRule="auto"/>
        <w:rPr>
          <w:rFonts w:eastAsia="Times New Roman"/>
          <w:szCs w:val="24"/>
        </w:rPr>
      </w:pPr>
      <w:r w:rsidRPr="001D5127">
        <w:rPr>
          <w:rFonts w:eastAsia="Times New Roman"/>
          <w:szCs w:val="24"/>
        </w:rPr>
        <w:t>MB</w:t>
      </w:r>
      <w:r w:rsidRPr="001D5127">
        <w:rPr>
          <w:rFonts w:eastAsia="Times New Roman"/>
          <w:szCs w:val="24"/>
        </w:rPr>
        <w:tab/>
        <w:t>=</w:t>
      </w:r>
      <w:r w:rsidRPr="001D5127">
        <w:rPr>
          <w:rFonts w:eastAsia="Times New Roman"/>
          <w:szCs w:val="24"/>
        </w:rPr>
        <w:tab/>
        <w:t>Mobile Banking</w:t>
      </w:r>
    </w:p>
    <w:p w14:paraId="4D50363E" w14:textId="77777777" w:rsidR="00573224" w:rsidRPr="001D5127" w:rsidRDefault="00573224" w:rsidP="00573224">
      <w:pPr>
        <w:spacing w:after="0" w:line="480" w:lineRule="auto"/>
        <w:rPr>
          <w:rFonts w:eastAsia="Times New Roman"/>
          <w:szCs w:val="24"/>
        </w:rPr>
      </w:pPr>
      <w:r w:rsidRPr="001D5127">
        <w:rPr>
          <w:rFonts w:eastAsia="Times New Roman"/>
          <w:szCs w:val="24"/>
        </w:rPr>
        <w:t>IB</w:t>
      </w:r>
      <w:r w:rsidRPr="001D5127">
        <w:rPr>
          <w:rFonts w:eastAsia="Times New Roman"/>
          <w:szCs w:val="24"/>
        </w:rPr>
        <w:tab/>
        <w:t>=</w:t>
      </w:r>
      <w:r w:rsidRPr="001D5127">
        <w:rPr>
          <w:rFonts w:eastAsia="Times New Roman"/>
          <w:szCs w:val="24"/>
        </w:rPr>
        <w:tab/>
        <w:t>Represent Internet Banking</w:t>
      </w:r>
    </w:p>
    <w:p w14:paraId="193DBEB2" w14:textId="55AAB8B6" w:rsidR="00573224" w:rsidRPr="00B0596A" w:rsidRDefault="00573224" w:rsidP="00573224">
      <w:pPr>
        <w:rPr>
          <w:b/>
        </w:rPr>
      </w:pPr>
      <w:bookmarkStart w:id="26" w:name="_Toc220566243"/>
      <w:bookmarkStart w:id="27" w:name="_Toc220661952"/>
      <w:r w:rsidRPr="00B0596A">
        <w:rPr>
          <w:b/>
        </w:rPr>
        <w:t xml:space="preserve">Table </w:t>
      </w:r>
      <w:r w:rsidR="001F505F">
        <w:rPr>
          <w:b/>
        </w:rPr>
        <w:t>3</w:t>
      </w:r>
      <w:r w:rsidRPr="00B0596A">
        <w:rPr>
          <w:b/>
        </w:rPr>
        <w:t>: Regression Coefficients</w:t>
      </w:r>
      <w:bookmarkEnd w:id="26"/>
      <w:bookmarkEnd w:id="27"/>
    </w:p>
    <w:tbl>
      <w:tblPr>
        <w:tblW w:w="5000" w:type="pct"/>
        <w:tblBorders>
          <w:top w:val="single" w:sz="4" w:space="0" w:color="auto"/>
          <w:bottom w:val="single" w:sz="4" w:space="0" w:color="auto"/>
        </w:tblBorders>
        <w:tblLook w:val="04A0" w:firstRow="1" w:lastRow="0" w:firstColumn="1" w:lastColumn="0" w:noHBand="0" w:noVBand="1"/>
      </w:tblPr>
      <w:tblGrid>
        <w:gridCol w:w="3331"/>
        <w:gridCol w:w="2204"/>
        <w:gridCol w:w="1279"/>
        <w:gridCol w:w="1274"/>
        <w:gridCol w:w="1272"/>
      </w:tblGrid>
      <w:tr w:rsidR="00573224" w:rsidRPr="001D5127" w14:paraId="46654126" w14:textId="77777777" w:rsidTr="00AB0977">
        <w:trPr>
          <w:trHeight w:val="300"/>
        </w:trPr>
        <w:tc>
          <w:tcPr>
            <w:tcW w:w="1780" w:type="pct"/>
            <w:tcBorders>
              <w:top w:val="single" w:sz="4" w:space="0" w:color="auto"/>
              <w:bottom w:val="single" w:sz="4" w:space="0" w:color="auto"/>
            </w:tcBorders>
            <w:noWrap/>
            <w:vAlign w:val="center"/>
            <w:hideMark/>
          </w:tcPr>
          <w:p w14:paraId="70C961CB"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Variable</w:t>
            </w:r>
          </w:p>
        </w:tc>
        <w:tc>
          <w:tcPr>
            <w:tcW w:w="1178" w:type="pct"/>
            <w:tcBorders>
              <w:top w:val="single" w:sz="4" w:space="0" w:color="auto"/>
              <w:bottom w:val="single" w:sz="4" w:space="0" w:color="auto"/>
            </w:tcBorders>
            <w:noWrap/>
            <w:vAlign w:val="center"/>
            <w:hideMark/>
          </w:tcPr>
          <w:p w14:paraId="78B98C3F"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Unstandardized β</w:t>
            </w:r>
          </w:p>
        </w:tc>
        <w:tc>
          <w:tcPr>
            <w:tcW w:w="681" w:type="pct"/>
            <w:tcBorders>
              <w:top w:val="single" w:sz="4" w:space="0" w:color="auto"/>
              <w:bottom w:val="single" w:sz="4" w:space="0" w:color="auto"/>
            </w:tcBorders>
            <w:noWrap/>
            <w:vAlign w:val="center"/>
            <w:hideMark/>
          </w:tcPr>
          <w:p w14:paraId="0146557C"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Std. Error</w:t>
            </w:r>
          </w:p>
        </w:tc>
        <w:tc>
          <w:tcPr>
            <w:tcW w:w="681" w:type="pct"/>
            <w:tcBorders>
              <w:top w:val="single" w:sz="4" w:space="0" w:color="auto"/>
              <w:bottom w:val="single" w:sz="4" w:space="0" w:color="auto"/>
            </w:tcBorders>
            <w:noWrap/>
            <w:vAlign w:val="center"/>
            <w:hideMark/>
          </w:tcPr>
          <w:p w14:paraId="024A2E9F"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t-value</w:t>
            </w:r>
          </w:p>
        </w:tc>
        <w:tc>
          <w:tcPr>
            <w:tcW w:w="681" w:type="pct"/>
            <w:tcBorders>
              <w:top w:val="single" w:sz="4" w:space="0" w:color="auto"/>
              <w:bottom w:val="single" w:sz="4" w:space="0" w:color="auto"/>
            </w:tcBorders>
            <w:noWrap/>
            <w:vAlign w:val="center"/>
            <w:hideMark/>
          </w:tcPr>
          <w:p w14:paraId="72EB428E" w14:textId="77777777" w:rsidR="00573224" w:rsidRPr="001D5127" w:rsidRDefault="00573224" w:rsidP="00AB0977">
            <w:pPr>
              <w:spacing w:after="0" w:line="240" w:lineRule="auto"/>
              <w:jc w:val="center"/>
              <w:rPr>
                <w:rFonts w:eastAsia="Times New Roman"/>
                <w:b/>
                <w:bCs/>
                <w:color w:val="000000"/>
                <w:szCs w:val="24"/>
              </w:rPr>
            </w:pPr>
            <w:r w:rsidRPr="001D5127">
              <w:rPr>
                <w:rFonts w:eastAsia="Times New Roman"/>
                <w:b/>
                <w:bCs/>
                <w:color w:val="000000"/>
                <w:szCs w:val="24"/>
              </w:rPr>
              <w:t>Sig.</w:t>
            </w:r>
          </w:p>
        </w:tc>
      </w:tr>
      <w:tr w:rsidR="00573224" w:rsidRPr="001D5127" w14:paraId="327D18E9" w14:textId="77777777" w:rsidTr="00AB0977">
        <w:trPr>
          <w:trHeight w:val="300"/>
        </w:trPr>
        <w:tc>
          <w:tcPr>
            <w:tcW w:w="1780" w:type="pct"/>
            <w:tcBorders>
              <w:top w:val="single" w:sz="4" w:space="0" w:color="auto"/>
            </w:tcBorders>
            <w:noWrap/>
            <w:vAlign w:val="center"/>
            <w:hideMark/>
          </w:tcPr>
          <w:p w14:paraId="35812E30" w14:textId="77777777" w:rsidR="00573224" w:rsidRPr="001D5127" w:rsidRDefault="00573224" w:rsidP="00AB0977">
            <w:pPr>
              <w:spacing w:after="0" w:line="240" w:lineRule="auto"/>
              <w:rPr>
                <w:rFonts w:eastAsia="Times New Roman"/>
                <w:color w:val="000000"/>
                <w:szCs w:val="24"/>
              </w:rPr>
            </w:pPr>
            <w:r w:rsidRPr="001D5127">
              <w:rPr>
                <w:rFonts w:eastAsia="Times New Roman"/>
                <w:color w:val="000000"/>
                <w:szCs w:val="24"/>
              </w:rPr>
              <w:lastRenderedPageBreak/>
              <w:t>Constant</w:t>
            </w:r>
          </w:p>
        </w:tc>
        <w:tc>
          <w:tcPr>
            <w:tcW w:w="1178" w:type="pct"/>
            <w:tcBorders>
              <w:top w:val="single" w:sz="4" w:space="0" w:color="auto"/>
            </w:tcBorders>
            <w:noWrap/>
            <w:vAlign w:val="center"/>
            <w:hideMark/>
          </w:tcPr>
          <w:p w14:paraId="37D5CA0B"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0.021</w:t>
            </w:r>
          </w:p>
        </w:tc>
        <w:tc>
          <w:tcPr>
            <w:tcW w:w="681" w:type="pct"/>
            <w:tcBorders>
              <w:top w:val="single" w:sz="4" w:space="0" w:color="auto"/>
            </w:tcBorders>
            <w:noWrap/>
            <w:vAlign w:val="center"/>
            <w:hideMark/>
          </w:tcPr>
          <w:p w14:paraId="1FB4E356"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0.009</w:t>
            </w:r>
          </w:p>
        </w:tc>
        <w:tc>
          <w:tcPr>
            <w:tcW w:w="681" w:type="pct"/>
            <w:tcBorders>
              <w:top w:val="single" w:sz="4" w:space="0" w:color="auto"/>
            </w:tcBorders>
            <w:noWrap/>
            <w:vAlign w:val="center"/>
            <w:hideMark/>
          </w:tcPr>
          <w:p w14:paraId="79821DD3"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2.33</w:t>
            </w:r>
          </w:p>
        </w:tc>
        <w:tc>
          <w:tcPr>
            <w:tcW w:w="681" w:type="pct"/>
            <w:tcBorders>
              <w:top w:val="single" w:sz="4" w:space="0" w:color="auto"/>
            </w:tcBorders>
            <w:noWrap/>
            <w:vAlign w:val="center"/>
            <w:hideMark/>
          </w:tcPr>
          <w:p w14:paraId="0FBF21B7"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0.026</w:t>
            </w:r>
          </w:p>
        </w:tc>
      </w:tr>
      <w:tr w:rsidR="00573224" w:rsidRPr="001D5127" w14:paraId="6F07379C" w14:textId="77777777" w:rsidTr="00AB0977">
        <w:trPr>
          <w:trHeight w:val="300"/>
        </w:trPr>
        <w:tc>
          <w:tcPr>
            <w:tcW w:w="1780" w:type="pct"/>
            <w:noWrap/>
            <w:vAlign w:val="center"/>
            <w:hideMark/>
          </w:tcPr>
          <w:p w14:paraId="04317BAA" w14:textId="77777777" w:rsidR="00573224" w:rsidRPr="001D5127" w:rsidRDefault="00573224" w:rsidP="00AB0977">
            <w:pPr>
              <w:spacing w:after="0" w:line="240" w:lineRule="auto"/>
              <w:rPr>
                <w:rFonts w:eastAsia="Times New Roman"/>
                <w:color w:val="000000"/>
                <w:szCs w:val="24"/>
              </w:rPr>
            </w:pPr>
            <w:r>
              <w:rPr>
                <w:rFonts w:eastAsia="Times New Roman"/>
                <w:color w:val="000000"/>
                <w:szCs w:val="24"/>
              </w:rPr>
              <w:t>ATMs</w:t>
            </w:r>
          </w:p>
        </w:tc>
        <w:tc>
          <w:tcPr>
            <w:tcW w:w="1178" w:type="pct"/>
            <w:noWrap/>
            <w:vAlign w:val="center"/>
            <w:hideMark/>
          </w:tcPr>
          <w:p w14:paraId="7961D423"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0.004</w:t>
            </w:r>
          </w:p>
        </w:tc>
        <w:tc>
          <w:tcPr>
            <w:tcW w:w="681" w:type="pct"/>
            <w:noWrap/>
            <w:vAlign w:val="center"/>
            <w:hideMark/>
          </w:tcPr>
          <w:p w14:paraId="39144970"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0.003</w:t>
            </w:r>
          </w:p>
        </w:tc>
        <w:tc>
          <w:tcPr>
            <w:tcW w:w="681" w:type="pct"/>
            <w:noWrap/>
            <w:vAlign w:val="center"/>
            <w:hideMark/>
          </w:tcPr>
          <w:p w14:paraId="5A5217F1"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1.21</w:t>
            </w:r>
          </w:p>
        </w:tc>
        <w:tc>
          <w:tcPr>
            <w:tcW w:w="681" w:type="pct"/>
            <w:noWrap/>
            <w:vAlign w:val="center"/>
            <w:hideMark/>
          </w:tcPr>
          <w:p w14:paraId="1A6D529E"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0.235</w:t>
            </w:r>
          </w:p>
        </w:tc>
      </w:tr>
      <w:tr w:rsidR="00573224" w:rsidRPr="001D5127" w14:paraId="16F4CED1" w14:textId="77777777" w:rsidTr="00AB0977">
        <w:trPr>
          <w:trHeight w:val="300"/>
        </w:trPr>
        <w:tc>
          <w:tcPr>
            <w:tcW w:w="1780" w:type="pct"/>
            <w:noWrap/>
            <w:vAlign w:val="center"/>
            <w:hideMark/>
          </w:tcPr>
          <w:p w14:paraId="02ED4F11" w14:textId="77777777" w:rsidR="00573224" w:rsidRPr="001D5127" w:rsidRDefault="00573224" w:rsidP="00AB0977">
            <w:pPr>
              <w:spacing w:after="0" w:line="240" w:lineRule="auto"/>
              <w:rPr>
                <w:rFonts w:eastAsia="Times New Roman"/>
                <w:color w:val="000000"/>
                <w:szCs w:val="24"/>
              </w:rPr>
            </w:pPr>
            <w:r>
              <w:rPr>
                <w:rFonts w:eastAsia="Times New Roman"/>
                <w:color w:val="000000"/>
                <w:szCs w:val="24"/>
              </w:rPr>
              <w:t>MB</w:t>
            </w:r>
          </w:p>
        </w:tc>
        <w:tc>
          <w:tcPr>
            <w:tcW w:w="1178" w:type="pct"/>
            <w:noWrap/>
            <w:vAlign w:val="center"/>
            <w:hideMark/>
          </w:tcPr>
          <w:p w14:paraId="64FEE829"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0.018</w:t>
            </w:r>
          </w:p>
        </w:tc>
        <w:tc>
          <w:tcPr>
            <w:tcW w:w="681" w:type="pct"/>
            <w:noWrap/>
            <w:vAlign w:val="center"/>
            <w:hideMark/>
          </w:tcPr>
          <w:p w14:paraId="221D5473"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0.005</w:t>
            </w:r>
          </w:p>
        </w:tc>
        <w:tc>
          <w:tcPr>
            <w:tcW w:w="681" w:type="pct"/>
            <w:noWrap/>
            <w:vAlign w:val="center"/>
            <w:hideMark/>
          </w:tcPr>
          <w:p w14:paraId="5A3D8B4E"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3.6</w:t>
            </w:r>
          </w:p>
        </w:tc>
        <w:tc>
          <w:tcPr>
            <w:tcW w:w="681" w:type="pct"/>
            <w:noWrap/>
            <w:vAlign w:val="center"/>
            <w:hideMark/>
          </w:tcPr>
          <w:p w14:paraId="06160CC6"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0.001</w:t>
            </w:r>
          </w:p>
        </w:tc>
      </w:tr>
      <w:tr w:rsidR="00573224" w:rsidRPr="001D5127" w14:paraId="734AA772" w14:textId="77777777" w:rsidTr="00AB0977">
        <w:trPr>
          <w:trHeight w:val="300"/>
        </w:trPr>
        <w:tc>
          <w:tcPr>
            <w:tcW w:w="1780" w:type="pct"/>
            <w:noWrap/>
            <w:vAlign w:val="center"/>
            <w:hideMark/>
          </w:tcPr>
          <w:p w14:paraId="48AED4F5" w14:textId="77777777" w:rsidR="00573224" w:rsidRPr="001D5127" w:rsidRDefault="00573224" w:rsidP="00AB0977">
            <w:pPr>
              <w:spacing w:after="0" w:line="240" w:lineRule="auto"/>
              <w:rPr>
                <w:rFonts w:eastAsia="Times New Roman"/>
                <w:color w:val="000000"/>
                <w:szCs w:val="24"/>
              </w:rPr>
            </w:pPr>
            <w:r>
              <w:rPr>
                <w:rFonts w:eastAsia="Times New Roman"/>
                <w:color w:val="000000"/>
                <w:szCs w:val="24"/>
              </w:rPr>
              <w:t>IB</w:t>
            </w:r>
          </w:p>
        </w:tc>
        <w:tc>
          <w:tcPr>
            <w:tcW w:w="1178" w:type="pct"/>
            <w:noWrap/>
            <w:vAlign w:val="center"/>
            <w:hideMark/>
          </w:tcPr>
          <w:p w14:paraId="762C9B35"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0.011</w:t>
            </w:r>
          </w:p>
        </w:tc>
        <w:tc>
          <w:tcPr>
            <w:tcW w:w="681" w:type="pct"/>
            <w:noWrap/>
            <w:vAlign w:val="center"/>
            <w:hideMark/>
          </w:tcPr>
          <w:p w14:paraId="284B4926"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0.004</w:t>
            </w:r>
          </w:p>
        </w:tc>
        <w:tc>
          <w:tcPr>
            <w:tcW w:w="681" w:type="pct"/>
            <w:noWrap/>
            <w:vAlign w:val="center"/>
            <w:hideMark/>
          </w:tcPr>
          <w:p w14:paraId="6B420B3F"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2.75</w:t>
            </w:r>
          </w:p>
        </w:tc>
        <w:tc>
          <w:tcPr>
            <w:tcW w:w="681" w:type="pct"/>
            <w:noWrap/>
            <w:vAlign w:val="center"/>
            <w:hideMark/>
          </w:tcPr>
          <w:p w14:paraId="5FB664EC" w14:textId="77777777" w:rsidR="00573224" w:rsidRPr="001D5127" w:rsidRDefault="00573224" w:rsidP="00AB0977">
            <w:pPr>
              <w:spacing w:after="0" w:line="240" w:lineRule="auto"/>
              <w:jc w:val="right"/>
              <w:rPr>
                <w:rFonts w:eastAsia="Times New Roman"/>
                <w:color w:val="000000"/>
                <w:szCs w:val="24"/>
              </w:rPr>
            </w:pPr>
            <w:r w:rsidRPr="001D5127">
              <w:rPr>
                <w:rFonts w:eastAsia="Times New Roman"/>
                <w:color w:val="000000"/>
                <w:szCs w:val="24"/>
              </w:rPr>
              <w:t>0.009</w:t>
            </w:r>
          </w:p>
        </w:tc>
      </w:tr>
    </w:tbl>
    <w:p w14:paraId="1206A7F8" w14:textId="77777777" w:rsidR="00573224" w:rsidRPr="001D5127" w:rsidRDefault="00573224" w:rsidP="00573224">
      <w:pPr>
        <w:spacing w:after="0" w:line="480" w:lineRule="auto"/>
        <w:rPr>
          <w:rFonts w:eastAsia="Times New Roman"/>
          <w:b/>
          <w:szCs w:val="24"/>
        </w:rPr>
      </w:pPr>
      <w:r w:rsidRPr="001D5127">
        <w:rPr>
          <w:rFonts w:eastAsia="Times New Roman"/>
          <w:b/>
          <w:szCs w:val="24"/>
        </w:rPr>
        <w:t>Source: Researchers, 2026</w:t>
      </w:r>
    </w:p>
    <w:p w14:paraId="246689C5" w14:textId="7DF8C044" w:rsidR="00573224" w:rsidRPr="001D5127" w:rsidRDefault="00573224" w:rsidP="008760DB">
      <w:r w:rsidRPr="001D5127">
        <w:t xml:space="preserve">Table </w:t>
      </w:r>
      <w:r w:rsidR="001F505F">
        <w:t xml:space="preserve">3 </w:t>
      </w:r>
      <w:r w:rsidRPr="001D5127">
        <w:t xml:space="preserve">revealed that the constant term has a value of 0.021 which shows that all things been equal, when all other variables are held constant, bank profitability will stand at 0.021 which is positive. This means that banks in the study can still generate profit even where they did not </w:t>
      </w:r>
      <w:proofErr w:type="spellStart"/>
      <w:r w:rsidRPr="001D5127">
        <w:t>utilise</w:t>
      </w:r>
      <w:proofErr w:type="spellEnd"/>
      <w:r w:rsidRPr="001D5127">
        <w:t xml:space="preserve"> the various electronic tools or channels.  The </w:t>
      </w:r>
      <w:r>
        <w:t>outcome</w:t>
      </w:r>
      <w:r w:rsidRPr="001D5127">
        <w:t xml:space="preserve"> in the table further shows that </w:t>
      </w:r>
      <w:r>
        <w:t>ATMs</w:t>
      </w:r>
      <w:r w:rsidRPr="001D5127">
        <w:t xml:space="preserve"> has a positive (0.004) and statistically insignificant (p &gt; 0.05) relationship with returns on assets. This means that ATM has a moderate predictive power on banks profitability. However, the results </w:t>
      </w:r>
      <w:proofErr w:type="gramStart"/>
      <w:r w:rsidRPr="001D5127">
        <w:t>reveals</w:t>
      </w:r>
      <w:proofErr w:type="gramEnd"/>
      <w:r w:rsidRPr="001D5127">
        <w:t xml:space="preserve"> that </w:t>
      </w:r>
      <w:r>
        <w:t>MB</w:t>
      </w:r>
      <w:r w:rsidRPr="001D5127">
        <w:t xml:space="preserve"> exhibited a </w:t>
      </w:r>
      <w:proofErr w:type="spellStart"/>
      <w:r>
        <w:t>favourable</w:t>
      </w:r>
      <w:proofErr w:type="spellEnd"/>
      <w:r w:rsidRPr="001D5127">
        <w:t xml:space="preserve"> and </w:t>
      </w:r>
      <w:r>
        <w:t>noteworthy</w:t>
      </w:r>
      <w:r w:rsidRPr="001D5127">
        <w:t xml:space="preserve"> link with </w:t>
      </w:r>
      <w:r>
        <w:t>ROA</w:t>
      </w:r>
      <w:r w:rsidRPr="001D5127">
        <w:t xml:space="preserve"> with a coefficient of 0.018 and prob. = 0.001 which is less than 0.05. This means that mobile banking when adopted can enhance the effectiveness and performance of banking services, hence increase in profitability of banks. This results further indicates that mobile banking is </w:t>
      </w:r>
      <w:proofErr w:type="gramStart"/>
      <w:r w:rsidRPr="001D5127">
        <w:t>a</w:t>
      </w:r>
      <w:proofErr w:type="gramEnd"/>
      <w:r w:rsidRPr="001D5127">
        <w:t xml:space="preserve"> imitative that cannot be thrown away in the banking sector if profitability is to be achieved. In addition, the results </w:t>
      </w:r>
      <w:proofErr w:type="gramStart"/>
      <w:r w:rsidRPr="001D5127">
        <w:t>shows</w:t>
      </w:r>
      <w:proofErr w:type="gramEnd"/>
      <w:r w:rsidRPr="001D5127">
        <w:t xml:space="preserve"> that internet banking also has a </w:t>
      </w:r>
      <w:proofErr w:type="spellStart"/>
      <w:r>
        <w:t>favourable</w:t>
      </w:r>
      <w:proofErr w:type="spellEnd"/>
      <w:r w:rsidRPr="001D5127">
        <w:t xml:space="preserve"> and statistically </w:t>
      </w:r>
      <w:r>
        <w:t>notable</w:t>
      </w:r>
      <w:r w:rsidRPr="001D5127">
        <w:t xml:space="preserve"> link with </w:t>
      </w:r>
      <w:r>
        <w:t>ROA</w:t>
      </w:r>
      <w:r w:rsidRPr="001D5127">
        <w:t xml:space="preserve"> with a coefficient of 0.0011 and prob. = 0.009 which is less than 0.05. This is an indication that </w:t>
      </w:r>
      <w:r>
        <w:t>IB</w:t>
      </w:r>
      <w:r w:rsidRPr="001D5127">
        <w:t xml:space="preserve"> exerts a </w:t>
      </w:r>
      <w:proofErr w:type="spellStart"/>
      <w:r>
        <w:t>favourable</w:t>
      </w:r>
      <w:proofErr w:type="spellEnd"/>
      <w:r w:rsidRPr="001D5127">
        <w:t xml:space="preserve"> effect on the profitability of banks in the </w:t>
      </w:r>
      <w:r>
        <w:t>inquiry’s</w:t>
      </w:r>
      <w:r w:rsidRPr="001D5127">
        <w:t xml:space="preserve"> area. Based on this results internet banking is seen as a good channel that enhances banks financial operations which enhances their ability to make more profits.  </w:t>
      </w:r>
    </w:p>
    <w:p w14:paraId="0CC018A5" w14:textId="4ED68E2E" w:rsidR="00573224" w:rsidRPr="00F90E00" w:rsidRDefault="00573224" w:rsidP="008760DB">
      <w:pPr>
        <w:pStyle w:val="Heading2"/>
      </w:pPr>
      <w:bookmarkStart w:id="28" w:name="_Toc234236549"/>
      <w:r w:rsidRPr="00F90E00">
        <w:t>4.</w:t>
      </w:r>
      <w:r w:rsidR="008760DB">
        <w:t xml:space="preserve">2 </w:t>
      </w:r>
      <w:r w:rsidRPr="008760DB">
        <w:t>Discussion</w:t>
      </w:r>
      <w:r w:rsidRPr="00F90E00">
        <w:t xml:space="preserve"> of Findings</w:t>
      </w:r>
      <w:bookmarkEnd w:id="28"/>
      <w:r w:rsidRPr="00F90E00">
        <w:t xml:space="preserve"> </w:t>
      </w:r>
    </w:p>
    <w:p w14:paraId="407E2FC2" w14:textId="08BCF0EB" w:rsidR="00573224" w:rsidRPr="001D5127" w:rsidRDefault="00573224" w:rsidP="008760DB">
      <w:r w:rsidRPr="001D5127">
        <w:t xml:space="preserve">The discussion of findings of the </w:t>
      </w:r>
      <w:r>
        <w:t>ongoing investigation</w:t>
      </w:r>
      <w:r w:rsidRPr="001D5127">
        <w:t xml:space="preserve"> is done in line with the set </w:t>
      </w:r>
      <w:r>
        <w:t>goals</w:t>
      </w:r>
      <w:r w:rsidRPr="001D5127">
        <w:t xml:space="preserve"> of the </w:t>
      </w:r>
      <w:r>
        <w:t>inquiry</w:t>
      </w:r>
      <w:r w:rsidRPr="001D5127">
        <w:t xml:space="preserve"> which are presented as follows: </w:t>
      </w:r>
    </w:p>
    <w:p w14:paraId="43FAF9B2" w14:textId="45CC06B7" w:rsidR="00573224" w:rsidRPr="00F90E00" w:rsidRDefault="00573224" w:rsidP="008760DB">
      <w:pPr>
        <w:pStyle w:val="Heading3"/>
      </w:pPr>
      <w:bookmarkStart w:id="29" w:name="_Toc234236550"/>
      <w:r w:rsidRPr="00F90E00">
        <w:t>4.</w:t>
      </w:r>
      <w:r w:rsidR="008760DB">
        <w:t>2</w:t>
      </w:r>
      <w:r w:rsidRPr="00F90E00">
        <w:t>.1</w:t>
      </w:r>
      <w:r w:rsidR="008760DB">
        <w:t xml:space="preserve"> </w:t>
      </w:r>
      <w:r w:rsidRPr="00F90E00">
        <w:t>Effects of Automated Teller Machines (ATMs) on the profitability of Banks.</w:t>
      </w:r>
      <w:bookmarkEnd w:id="29"/>
      <w:r w:rsidRPr="00F90E00">
        <w:t xml:space="preserve"> </w:t>
      </w:r>
    </w:p>
    <w:p w14:paraId="0E4A01CD" w14:textId="58B83E8D" w:rsidR="00573224" w:rsidRPr="001D5127" w:rsidRDefault="00573224" w:rsidP="008760DB">
      <w:r>
        <w:t>Assessing</w:t>
      </w:r>
      <w:r w:rsidRPr="00490EAD">
        <w:t xml:space="preserve"> how </w:t>
      </w:r>
      <w:r>
        <w:t>ATMs</w:t>
      </w:r>
      <w:r w:rsidRPr="00490EAD">
        <w:t xml:space="preserve"> affected</w:t>
      </w:r>
      <w:r>
        <w:t xml:space="preserve"> NCC,</w:t>
      </w:r>
      <w:r w:rsidRPr="00490EAD">
        <w:t xml:space="preserve"> Kenya's banks' profitability was the </w:t>
      </w:r>
      <w:r>
        <w:t>investigation</w:t>
      </w:r>
      <w:r w:rsidRPr="00490EAD">
        <w:t xml:space="preserve">'s primary goal. Regression analysis was </w:t>
      </w:r>
      <w:r>
        <w:t>utilized</w:t>
      </w:r>
      <w:r w:rsidRPr="00490EAD">
        <w:t xml:space="preserve"> to accomplish this goal, and the </w:t>
      </w:r>
      <w:r>
        <w:t xml:space="preserve">outcome denoted </w:t>
      </w:r>
      <w:r w:rsidRPr="00490EAD">
        <w:t xml:space="preserve">that </w:t>
      </w:r>
      <w:r>
        <w:t>ATMs</w:t>
      </w:r>
      <w:r w:rsidRPr="00490EAD">
        <w:t xml:space="preserve"> had a </w:t>
      </w:r>
      <w:proofErr w:type="spellStart"/>
      <w:r>
        <w:t>favourable</w:t>
      </w:r>
      <w:proofErr w:type="spellEnd"/>
      <w:r w:rsidRPr="00490EAD">
        <w:t xml:space="preserve"> but statistically </w:t>
      </w:r>
      <w:r>
        <w:t>irrelevant</w:t>
      </w:r>
      <w:r w:rsidRPr="00490EAD">
        <w:t xml:space="preserve"> link with commercial banks' profitability.</w:t>
      </w:r>
      <w:r w:rsidRPr="001D5127">
        <w:t xml:space="preserve"> This result indicated that banks is dependent on the use of </w:t>
      </w:r>
      <w:r>
        <w:t>ATMs</w:t>
      </w:r>
      <w:r w:rsidRPr="001D5127">
        <w:t xml:space="preserve"> by banks, though the effect is not strong </w:t>
      </w:r>
      <w:r w:rsidRPr="001D5127">
        <w:lastRenderedPageBreak/>
        <w:t xml:space="preserve">enough. Since the result reveals a positive relationship, it shows that banks operations and efficient service delivery as well as customer satisfaction and convenience are supported by the use of Automated Teller Machines. This corroborates with the findings of Mang, John, and John (2023) who found that ATMs considerably boost GTB's profitability. The inquiry deduced that GTB's profitability is impacted by ATMs and e-banking channels, and that increasing investment in these channels boosts the company's operational profitability. This result also supported the findings of Chinaza (2025) and Abu, Harrison, and Robert (2026) who found that ATM transactions had a noteworthy and </w:t>
      </w:r>
      <w:proofErr w:type="spellStart"/>
      <w:r w:rsidRPr="001D5127">
        <w:t>favourable</w:t>
      </w:r>
      <w:proofErr w:type="spellEnd"/>
      <w:r w:rsidRPr="001D5127">
        <w:t xml:space="preserve"> impact on ROA, indicating that higher ATM usage boosts bank profitability. In addition, the finding is in line with the </w:t>
      </w:r>
      <w:r>
        <w:t>RBV</w:t>
      </w:r>
      <w:r w:rsidRPr="001D5127">
        <w:t xml:space="preserve"> as </w:t>
      </w:r>
      <w:r>
        <w:t>formulated</w:t>
      </w:r>
      <w:r w:rsidRPr="001D5127">
        <w:t xml:space="preserve"> by Wernerfelt, (1984) which stated that the resources of </w:t>
      </w:r>
      <w:proofErr w:type="spellStart"/>
      <w:r w:rsidRPr="001D5127">
        <w:t>organisations</w:t>
      </w:r>
      <w:proofErr w:type="spellEnd"/>
      <w:r w:rsidRPr="001D5127">
        <w:t xml:space="preserve"> are sustainable only if they are able to produce sustained competitive advantage and if they are not easily imitated and should be easily deployed. Even though, Automated Teller Machines are no longer rare resources as they have become part and parcel of the banking industry today due to their essential nature in driving efficiency and subsequently improving profitability. </w:t>
      </w:r>
    </w:p>
    <w:p w14:paraId="4833CAAC" w14:textId="5D5DE132" w:rsidR="00573224" w:rsidRPr="00F90E00" w:rsidRDefault="00573224" w:rsidP="00573224">
      <w:pPr>
        <w:pStyle w:val="Heading3"/>
      </w:pPr>
      <w:bookmarkStart w:id="30" w:name="_Toc234236551"/>
      <w:r w:rsidRPr="00F90E00">
        <w:t>4.</w:t>
      </w:r>
      <w:r w:rsidR="008760DB">
        <w:t>2</w:t>
      </w:r>
      <w:r w:rsidRPr="00F90E00">
        <w:t>.2</w:t>
      </w:r>
      <w:r w:rsidR="008760DB">
        <w:t xml:space="preserve"> </w:t>
      </w:r>
      <w:r w:rsidRPr="00F90E00">
        <w:t>Effect of Mobile Banking on the profitability of Commercial Banks</w:t>
      </w:r>
      <w:bookmarkEnd w:id="30"/>
      <w:r w:rsidRPr="00F90E00">
        <w:t xml:space="preserve">  </w:t>
      </w:r>
    </w:p>
    <w:p w14:paraId="05F300FB" w14:textId="574EC74B" w:rsidR="00573224" w:rsidRPr="001D5127" w:rsidRDefault="00573224" w:rsidP="008760DB">
      <w:r w:rsidRPr="001D5127">
        <w:t xml:space="preserve">The second objective of the </w:t>
      </w:r>
      <w:r>
        <w:t>recent investigation</w:t>
      </w:r>
      <w:r w:rsidRPr="001D5127">
        <w:t xml:space="preserve"> was to investigate how </w:t>
      </w:r>
      <w:r>
        <w:t>MB</w:t>
      </w:r>
      <w:r w:rsidRPr="001D5127">
        <w:t xml:space="preserve"> has influenced commercial banks profitability. The </w:t>
      </w:r>
      <w:r>
        <w:t>outcome denoted</w:t>
      </w:r>
      <w:r w:rsidRPr="001D5127">
        <w:t xml:space="preserve"> that </w:t>
      </w:r>
      <w:r>
        <w:t>MB</w:t>
      </w:r>
      <w:r w:rsidRPr="001D5127">
        <w:t xml:space="preserve"> has a positive and </w:t>
      </w:r>
      <w:r>
        <w:t>noteworthy</w:t>
      </w:r>
      <w:r w:rsidRPr="001D5127">
        <w:t xml:space="preserve"> link with commercial banks profitability in Nairobi, Kenya. This result shows that when banks implement the use of mobile banking in its operational dealings, it will impact positively on the banks profitability. This is because the world is already going digital, hence even banks operations must align with the trend. People can now asses banking services at the comfort of the homes/beds which reduces cost of transportation to assess the physical banking halls and reduces congestion as well as waiting time in the banks. It also means reduction in the costs of the bank’s operations, increase in the volume of transactions and customers access to mobile loans several other savings products on mobile applications. This </w:t>
      </w:r>
      <w:r>
        <w:t>outcome</w:t>
      </w:r>
      <w:r w:rsidRPr="001D5127">
        <w:t xml:space="preserve"> is in line with the </w:t>
      </w:r>
      <w:r>
        <w:t>outcomes from the inquiry by</w:t>
      </w:r>
      <w:r w:rsidRPr="001D5127">
        <w:t xml:space="preserve"> </w:t>
      </w:r>
      <w:proofErr w:type="spellStart"/>
      <w:r w:rsidRPr="001D5127">
        <w:t>Osiolo</w:t>
      </w:r>
      <w:proofErr w:type="spellEnd"/>
      <w:r w:rsidRPr="001D5127">
        <w:t xml:space="preserve"> and </w:t>
      </w:r>
      <w:proofErr w:type="spellStart"/>
      <w:r w:rsidRPr="001D5127">
        <w:t>Sije</w:t>
      </w:r>
      <w:proofErr w:type="spellEnd"/>
      <w:r w:rsidRPr="001D5127">
        <w:t xml:space="preserve"> (2023) who demonstrated that </w:t>
      </w:r>
      <w:r>
        <w:t>MB</w:t>
      </w:r>
      <w:r w:rsidRPr="001D5127">
        <w:t xml:space="preserve"> notably and </w:t>
      </w:r>
      <w:proofErr w:type="spellStart"/>
      <w:r w:rsidRPr="001D5127">
        <w:t>favourably</w:t>
      </w:r>
      <w:proofErr w:type="spellEnd"/>
      <w:r w:rsidRPr="001D5127">
        <w:t xml:space="preserve"> affects Kenyan commercial banks' performance. The </w:t>
      </w:r>
      <w:r>
        <w:t>outcome</w:t>
      </w:r>
      <w:r w:rsidRPr="001D5127">
        <w:t xml:space="preserve"> also corroborated with the </w:t>
      </w:r>
      <w:r>
        <w:t>investigation</w:t>
      </w:r>
      <w:r w:rsidRPr="001D5127">
        <w:t xml:space="preserve"> by Sarker, </w:t>
      </w:r>
      <w:r w:rsidRPr="00490EAD">
        <w:rPr>
          <w:i/>
        </w:rPr>
        <w:t>et al.,</w:t>
      </w:r>
      <w:r w:rsidRPr="001D5127">
        <w:t xml:space="preserve"> (2024) and Achor and Utulu (2026) who deduced that strengthening mobile banking platforms is beneficial for long-term profitability. Furthermore, the finding aligned with the TAM by Davis (1989) where it was emphasized that number one elements </w:t>
      </w:r>
      <w:r>
        <w:t>PU</w:t>
      </w:r>
      <w:r w:rsidRPr="001D5127">
        <w:t xml:space="preserve"> and </w:t>
      </w:r>
      <w:r>
        <w:t>PEOU</w:t>
      </w:r>
      <w:r w:rsidRPr="001D5127">
        <w:t xml:space="preserve"> form </w:t>
      </w:r>
      <w:r w:rsidRPr="001D5127">
        <w:lastRenderedPageBreak/>
        <w:t>customers` attitudes closer to a technological gadget. These attitudes have an effect on their motive to apply the technology, which in the long run predicts real gadget adoption.</w:t>
      </w:r>
    </w:p>
    <w:p w14:paraId="56793E27" w14:textId="7838E0A5" w:rsidR="00573224" w:rsidRPr="00F90E00" w:rsidRDefault="00573224" w:rsidP="008760DB">
      <w:pPr>
        <w:pStyle w:val="Heading3"/>
      </w:pPr>
      <w:bookmarkStart w:id="31" w:name="_Toc234236552"/>
      <w:r w:rsidRPr="00F90E00">
        <w:t>4.</w:t>
      </w:r>
      <w:r w:rsidR="008760DB">
        <w:t>2</w:t>
      </w:r>
      <w:r w:rsidRPr="00F90E00">
        <w:t>.3</w:t>
      </w:r>
      <w:r w:rsidR="008760DB">
        <w:t xml:space="preserve"> </w:t>
      </w:r>
      <w:r w:rsidRPr="00F90E00">
        <w:t>Effect of internet banking on the profitability of commercial banks</w:t>
      </w:r>
      <w:bookmarkEnd w:id="31"/>
    </w:p>
    <w:p w14:paraId="63587A45" w14:textId="3095252F" w:rsidR="00573224" w:rsidRPr="008760DB" w:rsidRDefault="00573224" w:rsidP="007D462E">
      <w:r w:rsidRPr="001D5127">
        <w:t xml:space="preserve">The third </w:t>
      </w:r>
      <w:r>
        <w:t>goal</w:t>
      </w:r>
      <w:r w:rsidRPr="001D5127">
        <w:t xml:space="preserve"> of the </w:t>
      </w:r>
      <w:r>
        <w:t>recent investigation</w:t>
      </w:r>
      <w:r w:rsidRPr="001D5127">
        <w:t xml:space="preserve"> was to </w:t>
      </w:r>
      <w:r>
        <w:t>explore</w:t>
      </w:r>
      <w:r w:rsidRPr="001D5127">
        <w:t xml:space="preserve"> the effect of </w:t>
      </w:r>
      <w:r>
        <w:t>IB</w:t>
      </w:r>
      <w:r w:rsidRPr="001D5127">
        <w:t xml:space="preserve"> on the profitability of banks in Nairobi. </w:t>
      </w:r>
      <w:r w:rsidRPr="00F23B8D">
        <w:t>To accomplish this goal,</w:t>
      </w:r>
      <w:r>
        <w:t xml:space="preserve"> </w:t>
      </w:r>
      <w:r w:rsidRPr="001D5127">
        <w:t xml:space="preserve">the regression </w:t>
      </w:r>
      <w:r>
        <w:t>outcome</w:t>
      </w:r>
      <w:r w:rsidRPr="001D5127">
        <w:t xml:space="preserve"> </w:t>
      </w:r>
      <w:r>
        <w:t>denoted</w:t>
      </w:r>
      <w:r w:rsidRPr="001D5127">
        <w:t xml:space="preserve"> that </w:t>
      </w:r>
      <w:r>
        <w:t>IB</w:t>
      </w:r>
      <w:r w:rsidRPr="001D5127">
        <w:t xml:space="preserve"> has a </w:t>
      </w:r>
      <w:proofErr w:type="spellStart"/>
      <w:r>
        <w:t>favourable</w:t>
      </w:r>
      <w:proofErr w:type="spellEnd"/>
      <w:r w:rsidRPr="001D5127">
        <w:t xml:space="preserve"> and </w:t>
      </w:r>
      <w:r>
        <w:t>notable</w:t>
      </w:r>
      <w:r w:rsidRPr="001D5127">
        <w:t xml:space="preserve"> effect on commercial banks profitability in Nairobi. The positive result is a pointer that internet banking is one of the drivers of technology that must be imbibe by commercial banks in the 21</w:t>
      </w:r>
      <w:r w:rsidRPr="001D5127">
        <w:rPr>
          <w:vertAlign w:val="superscript"/>
        </w:rPr>
        <w:t>st</w:t>
      </w:r>
      <w:r w:rsidRPr="001D5127">
        <w:t xml:space="preserve"> century.  This means that internet banking contributes or influences commercial banks financial operations and enhances profitability of commercial banks. The finding of this study supported that of Sabti and Mohammed (2020), Wang and Gunawan (2022) who found that bank-involved digital payments are advantageous to commercial banks' efficiency and profitability.  Also supported by this finding are the studies by Olaseni, Oyeyemi, Dairo, Omotola, </w:t>
      </w:r>
      <w:proofErr w:type="spellStart"/>
      <w:r w:rsidRPr="001D5127">
        <w:t>Saduwa</w:t>
      </w:r>
      <w:proofErr w:type="spellEnd"/>
      <w:r w:rsidRPr="001D5127">
        <w:t xml:space="preserve">, and Sesan (2025) and </w:t>
      </w:r>
      <w:proofErr w:type="spellStart"/>
      <w:r w:rsidRPr="001D5127">
        <w:t>Oyasor</w:t>
      </w:r>
      <w:proofErr w:type="spellEnd"/>
      <w:r w:rsidRPr="001D5127">
        <w:t xml:space="preserve"> (2025) who all demonstrated that internet banking </w:t>
      </w:r>
      <w:proofErr w:type="spellStart"/>
      <w:r w:rsidRPr="001D5127">
        <w:t>favourably</w:t>
      </w:r>
      <w:proofErr w:type="spellEnd"/>
      <w:r w:rsidRPr="001D5127">
        <w:t xml:space="preserve"> improves bank performance as determined by ROA. This result is in line with Rogers’ (2003) Innovation Diffusion Theory. The theory state that the gains of technical invention rise as adoption spreads between users. </w:t>
      </w:r>
    </w:p>
    <w:p w14:paraId="142F97B2" w14:textId="4BA3031D" w:rsidR="00573224" w:rsidRPr="00F90E00" w:rsidRDefault="00573224" w:rsidP="008760DB">
      <w:pPr>
        <w:pStyle w:val="Heading2"/>
      </w:pPr>
      <w:bookmarkStart w:id="32" w:name="_Toc234236555"/>
      <w:r w:rsidRPr="00F90E00">
        <w:t>5.</w:t>
      </w:r>
      <w:r w:rsidR="008760DB">
        <w:t xml:space="preserve">1 </w:t>
      </w:r>
      <w:r w:rsidRPr="00F90E00">
        <w:t>Summary of Findings</w:t>
      </w:r>
      <w:bookmarkEnd w:id="32"/>
    </w:p>
    <w:p w14:paraId="00DB3347" w14:textId="5EC2860F" w:rsidR="00573224" w:rsidRPr="001D5127" w:rsidRDefault="00573224" w:rsidP="008760DB">
      <w:r w:rsidRPr="001D5127">
        <w:t xml:space="preserve">The </w:t>
      </w:r>
      <w:r>
        <w:t>recent investigation explored</w:t>
      </w:r>
      <w:r w:rsidRPr="001D5127">
        <w:t xml:space="preserve"> the influence of ATMs, </w:t>
      </w:r>
      <w:r>
        <w:t>MB</w:t>
      </w:r>
      <w:r w:rsidRPr="001D5127">
        <w:t xml:space="preserve"> and </w:t>
      </w:r>
      <w:r>
        <w:t>IB</w:t>
      </w:r>
      <w:r w:rsidRPr="001D5127">
        <w:t xml:space="preserve"> on commercial banks profitability in </w:t>
      </w:r>
      <w:proofErr w:type="spellStart"/>
      <w:r>
        <w:t>NCC</w:t>
      </w:r>
      <w:r w:rsidRPr="001D5127">
        <w:t>Kenya</w:t>
      </w:r>
      <w:proofErr w:type="spellEnd"/>
      <w:r w:rsidRPr="001D5127">
        <w:t xml:space="preserve">. The analysis was carried out using structured questionnaires and regression analysis to ascertain the direction and magnitude of the variables on banks profitability. The following findings emerged from the analysis of the study. </w:t>
      </w:r>
    </w:p>
    <w:p w14:paraId="744AD354" w14:textId="7E1822E3" w:rsidR="00573224" w:rsidRPr="001D5127" w:rsidRDefault="00573224" w:rsidP="008760DB">
      <w:r w:rsidRPr="001D5127">
        <w:t xml:space="preserve">The </w:t>
      </w:r>
      <w:r>
        <w:t>outcome</w:t>
      </w:r>
      <w:r w:rsidRPr="001D5127">
        <w:t xml:space="preserve"> of the </w:t>
      </w:r>
      <w:r>
        <w:t>investigation</w:t>
      </w:r>
      <w:r w:rsidRPr="001D5127">
        <w:t xml:space="preserve"> </w:t>
      </w:r>
      <w:r>
        <w:t>indicated</w:t>
      </w:r>
      <w:r w:rsidRPr="001D5127">
        <w:t xml:space="preserve"> that there is a </w:t>
      </w:r>
      <w:proofErr w:type="spellStart"/>
      <w:r>
        <w:t>favourable</w:t>
      </w:r>
      <w:proofErr w:type="spellEnd"/>
      <w:r w:rsidRPr="001D5127">
        <w:t xml:space="preserve"> but </w:t>
      </w:r>
      <w:r>
        <w:t>negligible</w:t>
      </w:r>
      <w:r w:rsidRPr="001D5127">
        <w:t xml:space="preserve"> link amid the adoption of </w:t>
      </w:r>
      <w:r>
        <w:t>ATMs</w:t>
      </w:r>
      <w:r w:rsidRPr="001D5127">
        <w:t xml:space="preserve"> and commercial banks profitability in Kenya. This was further confirmed by the response rate of 76.5% of the respondents who indicated frequent use of ATMs. This is because ATMs </w:t>
      </w:r>
      <w:r w:rsidR="008760DB" w:rsidRPr="001D5127">
        <w:t>improve</w:t>
      </w:r>
      <w:r w:rsidRPr="001D5127">
        <w:t xml:space="preserve"> </w:t>
      </w:r>
      <w:r w:rsidR="008760DB" w:rsidRPr="001D5127">
        <w:t>customers’</w:t>
      </w:r>
      <w:r w:rsidRPr="001D5127">
        <w:t xml:space="preserve"> ability to carry out variety of bank related activities with ease and is cost effective.  </w:t>
      </w:r>
    </w:p>
    <w:p w14:paraId="759A219E" w14:textId="77777777" w:rsidR="00573224" w:rsidRPr="001D5127" w:rsidRDefault="00573224" w:rsidP="008760DB">
      <w:r w:rsidRPr="001D5127">
        <w:t xml:space="preserve">The study further reveled that there is a </w:t>
      </w:r>
      <w:r>
        <w:t xml:space="preserve">strong </w:t>
      </w:r>
      <w:proofErr w:type="spellStart"/>
      <w:r>
        <w:t>favourable</w:t>
      </w:r>
      <w:proofErr w:type="spellEnd"/>
      <w:r w:rsidRPr="001D5127">
        <w:t xml:space="preserve"> link amongst </w:t>
      </w:r>
      <w:r>
        <w:t>MB</w:t>
      </w:r>
      <w:r w:rsidRPr="001D5127">
        <w:t xml:space="preserve"> and commercial banks profitability. This was confirmed by the respondent’s response rate of 68.4% who acknowledged </w:t>
      </w:r>
      <w:r w:rsidRPr="001D5127">
        <w:lastRenderedPageBreak/>
        <w:t xml:space="preserve">the use of mobile channels of in their dealings with commercial banks. In addition, the respondents agreed that </w:t>
      </w:r>
      <w:r>
        <w:t>MB</w:t>
      </w:r>
      <w:r w:rsidRPr="001D5127">
        <w:t xml:space="preserve"> has reduced their waiting times, ease transportation cost and it has enhanced fast and efficient banking activities in the study rea.</w:t>
      </w:r>
    </w:p>
    <w:p w14:paraId="3508A98E" w14:textId="77777777" w:rsidR="00573224" w:rsidRPr="001D5127" w:rsidRDefault="00573224" w:rsidP="008760DB">
      <w:r w:rsidRPr="001D5127">
        <w:t xml:space="preserve">The </w:t>
      </w:r>
      <w:r>
        <w:t>outcome denoted</w:t>
      </w:r>
      <w:r w:rsidRPr="001D5127">
        <w:t xml:space="preserve"> that </w:t>
      </w:r>
      <w:r>
        <w:t>IB</w:t>
      </w:r>
      <w:r w:rsidRPr="001D5127">
        <w:t xml:space="preserve"> has a positive and statistically </w:t>
      </w:r>
      <w:r>
        <w:t>noteworthy</w:t>
      </w:r>
      <w:r w:rsidRPr="001D5127">
        <w:t xml:space="preserve"> prelateship with commercial banks profitability proxied by </w:t>
      </w:r>
      <w:r>
        <w:t>ROA</w:t>
      </w:r>
      <w:r w:rsidRPr="001D5127">
        <w:t xml:space="preserve">.  Though respondents indicated that they hardly (39%) use internet banking, but majority still attest to the fact that internet banking is very effective in carrying out verities of online transactions and or businesses.  The study also shows that internet banking services encourages customer growth by rising accessibility to a range of services. </w:t>
      </w:r>
    </w:p>
    <w:p w14:paraId="285D6981" w14:textId="54F2A38F" w:rsidR="00573224" w:rsidRPr="00F90E00" w:rsidRDefault="00573224" w:rsidP="008760DB">
      <w:pPr>
        <w:pStyle w:val="Heading2"/>
      </w:pPr>
      <w:bookmarkStart w:id="33" w:name="_Toc234236556"/>
      <w:r w:rsidRPr="00F90E00">
        <w:t>5.</w:t>
      </w:r>
      <w:r>
        <w:t>3</w:t>
      </w:r>
      <w:r w:rsidR="008760DB">
        <w:t xml:space="preserve"> </w:t>
      </w:r>
      <w:r w:rsidRPr="00F90E00">
        <w:t>Conclusion</w:t>
      </w:r>
      <w:bookmarkEnd w:id="33"/>
      <w:r w:rsidRPr="00F90E00">
        <w:t xml:space="preserve"> </w:t>
      </w:r>
    </w:p>
    <w:p w14:paraId="22A54731" w14:textId="1E670DD1" w:rsidR="00573224" w:rsidRPr="001D5127" w:rsidRDefault="00573224" w:rsidP="008760DB">
      <w:r w:rsidRPr="001D5127">
        <w:t xml:space="preserve">The impact of </w:t>
      </w:r>
      <w:r>
        <w:t>EPS</w:t>
      </w:r>
      <w:r w:rsidRPr="001D5127">
        <w:t xml:space="preserve"> on banks profitability cannot be overemphasized. The adoption of </w:t>
      </w:r>
      <w:r>
        <w:t>EPS</w:t>
      </w:r>
      <w:r w:rsidRPr="001D5127">
        <w:t xml:space="preserve"> has changed the way and manner banks operates and this helps in increasing the profit margin of commercial banks due to the availability of online products offered by commercial banks and the convenience as well as accessibi</w:t>
      </w:r>
      <w:r>
        <w:t xml:space="preserve">lity. The study concluded that </w:t>
      </w:r>
      <w:r w:rsidRPr="001D5127">
        <w:t xml:space="preserve">ATMs remain a vital tool for delivering expedient and available banking services. It was also concluded that </w:t>
      </w:r>
      <w:r>
        <w:t>ATMs</w:t>
      </w:r>
      <w:r w:rsidRPr="001D5127">
        <w:t xml:space="preserve"> improves customer satisfaction, reducing in-branch congestion, and lowering operational costs. It was found that there is a </w:t>
      </w:r>
      <w:proofErr w:type="spellStart"/>
      <w:r>
        <w:t>favourable</w:t>
      </w:r>
      <w:proofErr w:type="spellEnd"/>
      <w:r w:rsidRPr="001D5127">
        <w:t xml:space="preserve"> though insignificant link amongst the usage of </w:t>
      </w:r>
      <w:r>
        <w:t>ATM</w:t>
      </w:r>
      <w:r w:rsidRPr="001D5127">
        <w:t xml:space="preserve">s and banks profitability.  Furthermore, the </w:t>
      </w:r>
      <w:r>
        <w:t>inquiry inferred</w:t>
      </w:r>
      <w:r w:rsidRPr="001D5127">
        <w:t xml:space="preserve"> that </w:t>
      </w:r>
      <w:r>
        <w:t>MB</w:t>
      </w:r>
      <w:r w:rsidRPr="001D5127">
        <w:t xml:space="preserve"> has a </w:t>
      </w:r>
      <w:proofErr w:type="spellStart"/>
      <w:r>
        <w:t>favourable</w:t>
      </w:r>
      <w:proofErr w:type="spellEnd"/>
      <w:r w:rsidRPr="001D5127">
        <w:t xml:space="preserve"> and statistically </w:t>
      </w:r>
      <w:r>
        <w:t>notable</w:t>
      </w:r>
      <w:r w:rsidRPr="001D5127">
        <w:t xml:space="preserve"> impact on the profitability of banks. The </w:t>
      </w:r>
      <w:r>
        <w:t>inquiry inferred</w:t>
      </w:r>
      <w:r w:rsidRPr="001D5127">
        <w:t xml:space="preserve"> that the use of </w:t>
      </w:r>
      <w:r>
        <w:t>MB</w:t>
      </w:r>
      <w:r w:rsidRPr="001D5127">
        <w:t xml:space="preserve"> creates an atmosphere of convenience, and ability to enable remote businesses flourish and improved efficiency as well as customer engagement. Mobile banking has helped increase customer base of banks and a wider coverage o</w:t>
      </w:r>
      <w:r>
        <w:t>f</w:t>
      </w:r>
      <w:r w:rsidRPr="001D5127">
        <w:t xml:space="preserve"> banking services. Consequently, it was </w:t>
      </w:r>
      <w:r>
        <w:t>inferred</w:t>
      </w:r>
      <w:r w:rsidRPr="001D5127">
        <w:t xml:space="preserve"> that there is positive and </w:t>
      </w:r>
      <w:r>
        <w:t>noteworthy</w:t>
      </w:r>
      <w:r w:rsidRPr="001D5127">
        <w:t xml:space="preserve"> link amongst </w:t>
      </w:r>
      <w:r>
        <w:t>IB</w:t>
      </w:r>
      <w:r w:rsidRPr="001D5127">
        <w:t xml:space="preserve"> and commercial banks profitability. Though, respondents indicated their lower rate of adopting the internet banking possibly due to lack of infrastructural facilities such as network coverage and low awareness among customers.  Internet banking can become a major potential of digital transformation of    commercial banks and contributes to long term financial dealings of banks.                                                                                                                                   </w:t>
      </w:r>
    </w:p>
    <w:p w14:paraId="39A8E7A9" w14:textId="77777777" w:rsidR="00573224" w:rsidRPr="00F90E00" w:rsidRDefault="00573224" w:rsidP="008760DB">
      <w:pPr>
        <w:pStyle w:val="Heading2"/>
      </w:pPr>
      <w:bookmarkStart w:id="34" w:name="_Toc234236557"/>
      <w:r w:rsidRPr="00F90E00">
        <w:t xml:space="preserve">5.4 </w:t>
      </w:r>
      <w:r w:rsidRPr="008760DB">
        <w:t>Recommendations</w:t>
      </w:r>
      <w:bookmarkEnd w:id="34"/>
    </w:p>
    <w:p w14:paraId="1FCC1577" w14:textId="77777777" w:rsidR="00573224" w:rsidRPr="001D5127" w:rsidRDefault="00573224" w:rsidP="008760DB">
      <w:r w:rsidRPr="001D5127">
        <w:lastRenderedPageBreak/>
        <w:t xml:space="preserve">Based on the analysis and subsequent </w:t>
      </w:r>
      <w:r>
        <w:t>outcomes</w:t>
      </w:r>
      <w:r w:rsidRPr="001D5127">
        <w:t>, the study proposed several practical recommendations capable of enhancing the efficiency and profitability of automated payment systems in commercial banks.</w:t>
      </w:r>
    </w:p>
    <w:p w14:paraId="73602C40" w14:textId="77777777" w:rsidR="00573224" w:rsidRPr="001D5127" w:rsidRDefault="00573224" w:rsidP="007D462E">
      <w:pPr>
        <w:pStyle w:val="ListParagraph"/>
        <w:numPr>
          <w:ilvl w:val="0"/>
          <w:numId w:val="17"/>
        </w:numPr>
      </w:pPr>
      <w:r w:rsidRPr="001D5127">
        <w:t xml:space="preserve">The </w:t>
      </w:r>
      <w:r>
        <w:t>outcome suggest</w:t>
      </w:r>
      <w:r w:rsidRPr="001D5127">
        <w:t xml:space="preserve"> that banks should invest heavily on upgrading and overhaul of existing ATM infrastructure and increasing ATM networks, especially in under deserve areas where banking services are inadequate. </w:t>
      </w:r>
    </w:p>
    <w:p w14:paraId="4B8E9207" w14:textId="77777777" w:rsidR="00573224" w:rsidRPr="001D5127" w:rsidRDefault="00573224" w:rsidP="007D462E">
      <w:pPr>
        <w:pStyle w:val="ListParagraph"/>
        <w:numPr>
          <w:ilvl w:val="0"/>
          <w:numId w:val="17"/>
        </w:numPr>
      </w:pPr>
      <w:r w:rsidRPr="001D5127">
        <w:t>Commercial banks are encouraged to invest in upgrading existing ATM infrastructure and expanding ATM networks, especially in underserved or rural areas where physical banking services are limited. This would expand availability and accessibility for customers, eventually enhancing satisfaction and allegiance.</w:t>
      </w:r>
    </w:p>
    <w:p w14:paraId="3784FD45" w14:textId="77777777" w:rsidR="00573224" w:rsidRPr="001D5127" w:rsidRDefault="00573224" w:rsidP="007D462E">
      <w:pPr>
        <w:pStyle w:val="ListParagraph"/>
        <w:numPr>
          <w:ilvl w:val="0"/>
          <w:numId w:val="17"/>
        </w:numPr>
      </w:pPr>
      <w:r w:rsidRPr="001D5127">
        <w:t>Financial institutions must focus on ongoing innovation in their mobile banking platforms, making sure that mobile applications are easy to use, secure, and work well across different devices. Improving the usability of these apps can help bring in new customers and keep current ones coming back.</w:t>
      </w:r>
    </w:p>
    <w:p w14:paraId="03F51B09" w14:textId="77777777" w:rsidR="00573224" w:rsidRPr="001D5127" w:rsidRDefault="00573224" w:rsidP="007D462E">
      <w:pPr>
        <w:pStyle w:val="ListParagraph"/>
        <w:numPr>
          <w:ilvl w:val="0"/>
          <w:numId w:val="17"/>
        </w:numPr>
      </w:pPr>
      <w:r w:rsidRPr="001D5127">
        <w:t>Considering the relatively low use of internet banking, banks should work on making their platforms easier to use so they are more user-friendly for people with varying levels of digital knowledge. Putting effort into educating customers about the advantages and safety aspects of online banking can also help increase trust and promote wider adoption.</w:t>
      </w:r>
    </w:p>
    <w:p w14:paraId="6D1AC903" w14:textId="77777777" w:rsidR="00573224" w:rsidRPr="00F90E00" w:rsidRDefault="00573224" w:rsidP="00573224">
      <w:pPr>
        <w:pStyle w:val="Heading2"/>
      </w:pPr>
      <w:bookmarkStart w:id="35" w:name="_Toc234236558"/>
      <w:r w:rsidRPr="00F90E00">
        <w:t>5.5 Suggestions for Further Research</w:t>
      </w:r>
      <w:bookmarkEnd w:id="35"/>
    </w:p>
    <w:p w14:paraId="379E6064" w14:textId="3EAC625E" w:rsidR="00573224" w:rsidRPr="001D5127" w:rsidRDefault="00573224" w:rsidP="008760DB">
      <w:r>
        <w:t>The investigation</w:t>
      </w:r>
      <w:r w:rsidRPr="001D5127">
        <w:t xml:space="preserve"> </w:t>
      </w:r>
      <w:r>
        <w:t>explored</w:t>
      </w:r>
      <w:r w:rsidRPr="001D5127">
        <w:t xml:space="preserve"> how electronic payment systems affect bank profitability, but further research is needed to look at other factors that may influence this area, such as customer satisfaction levels, the efficiency of bank employees, or the role of regulatory policies in shaping the performance of digital banking services.</w:t>
      </w:r>
    </w:p>
    <w:p w14:paraId="4D476BA3" w14:textId="31062547" w:rsidR="00573224" w:rsidRDefault="00573224" w:rsidP="007D462E">
      <w:r w:rsidRPr="001D5127">
        <w:t xml:space="preserve">Additionally, future research should investigate the specific obstacles that stop people from using internet banking and evaluate ways to overcome these challenges, including through better policy support, designs that focus on user needs, or improved digital infrastructure. </w:t>
      </w:r>
    </w:p>
    <w:p w14:paraId="53D0D2AF" w14:textId="0D2F5EC4" w:rsidR="00465F7C" w:rsidRDefault="00465F7C" w:rsidP="007D462E"/>
    <w:p w14:paraId="1C2D1A95" w14:textId="77777777" w:rsidR="00465F7C" w:rsidRDefault="00465F7C" w:rsidP="00465F7C">
      <w:pPr>
        <w:shd w:val="clear" w:color="auto" w:fill="FFFFFF"/>
        <w:spacing w:after="0" w:line="240" w:lineRule="auto"/>
        <w:rPr>
          <w:rFonts w:ascii="Arial" w:eastAsia="Times New Roman" w:hAnsi="Arial" w:cs="Arial"/>
          <w:color w:val="222222"/>
          <w:szCs w:val="24"/>
          <w:lang w:val="en-IN" w:eastAsia="en-IN"/>
        </w:rPr>
      </w:pPr>
      <w:bookmarkStart w:id="36" w:name="_Hlk232854992"/>
      <w:bookmarkStart w:id="37" w:name="_Hlk238909442"/>
      <w:bookmarkStart w:id="38" w:name="_Hlk237857116"/>
      <w:bookmarkStart w:id="39" w:name="_Hlk240284289"/>
    </w:p>
    <w:p w14:paraId="09618D17" w14:textId="77777777" w:rsidR="00465F7C" w:rsidRPr="002D08AC" w:rsidRDefault="00465F7C" w:rsidP="00465F7C">
      <w:pPr>
        <w:spacing w:after="0" w:line="240" w:lineRule="auto"/>
        <w:rPr>
          <w:rFonts w:ascii="Arial" w:hAnsi="Arial" w:cs="Arial"/>
          <w:b/>
          <w:sz w:val="20"/>
          <w:szCs w:val="20"/>
        </w:rPr>
      </w:pPr>
      <w:bookmarkStart w:id="40" w:name="_Hlk238550938"/>
      <w:bookmarkStart w:id="41" w:name="_Hlk237856463"/>
      <w:bookmarkEnd w:id="36"/>
      <w:bookmarkEnd w:id="37"/>
      <w:bookmarkEnd w:id="38"/>
      <w:r w:rsidRPr="002D08AC">
        <w:rPr>
          <w:rFonts w:ascii="Arial" w:hAnsi="Arial" w:cs="Arial"/>
          <w:b/>
          <w:sz w:val="20"/>
          <w:szCs w:val="20"/>
        </w:rPr>
        <w:lastRenderedPageBreak/>
        <w:t>Declaration of AI Use</w:t>
      </w:r>
    </w:p>
    <w:p w14:paraId="7E6E5F5A" w14:textId="77777777" w:rsidR="00465F7C" w:rsidRPr="002D08AC" w:rsidRDefault="00465F7C" w:rsidP="00465F7C">
      <w:pPr>
        <w:spacing w:after="0" w:line="240" w:lineRule="auto"/>
        <w:rPr>
          <w:rFonts w:ascii="Arial" w:hAnsi="Arial" w:cs="Arial"/>
          <w:sz w:val="20"/>
          <w:szCs w:val="20"/>
        </w:rPr>
      </w:pPr>
      <w:bookmarkStart w:id="42" w:name="_Hlk239068730"/>
    </w:p>
    <w:p w14:paraId="6B4D0225" w14:textId="6D0CC99F" w:rsidR="00465F7C" w:rsidRDefault="00465F7C" w:rsidP="00465F7C">
      <w:pPr>
        <w:spacing w:after="0" w:line="240" w:lineRule="auto"/>
        <w:rPr>
          <w:rFonts w:ascii="Arial" w:hAnsi="Arial" w:cs="Arial"/>
          <w:sz w:val="20"/>
          <w:szCs w:val="20"/>
        </w:rPr>
      </w:pPr>
      <w:bookmarkStart w:id="4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40"/>
      <w:r w:rsidRPr="002D08AC">
        <w:rPr>
          <w:rFonts w:ascii="Arial" w:hAnsi="Arial" w:cs="Arial"/>
          <w:sz w:val="20"/>
          <w:szCs w:val="20"/>
        </w:rPr>
        <w:t>.</w:t>
      </w:r>
    </w:p>
    <w:p w14:paraId="1E9FC257" w14:textId="650E101E" w:rsidR="00EB53FA" w:rsidRDefault="00EB53FA" w:rsidP="00465F7C">
      <w:pPr>
        <w:spacing w:after="0" w:line="240" w:lineRule="auto"/>
        <w:rPr>
          <w:rFonts w:ascii="Arial" w:hAnsi="Arial" w:cs="Arial"/>
          <w:sz w:val="20"/>
          <w:szCs w:val="20"/>
        </w:rPr>
      </w:pPr>
    </w:p>
    <w:p w14:paraId="678D2AC2" w14:textId="77777777" w:rsidR="00EB53FA" w:rsidRPr="002D08AC" w:rsidRDefault="00EB53FA" w:rsidP="00465F7C">
      <w:pPr>
        <w:spacing w:after="0" w:line="240" w:lineRule="auto"/>
        <w:rPr>
          <w:rFonts w:ascii="Arial" w:hAnsi="Arial" w:cs="Arial"/>
          <w:sz w:val="20"/>
          <w:szCs w:val="20"/>
        </w:rPr>
      </w:pPr>
    </w:p>
    <w:bookmarkEnd w:id="39"/>
    <w:bookmarkEnd w:id="41"/>
    <w:bookmarkEnd w:id="42"/>
    <w:bookmarkEnd w:id="43"/>
    <w:p w14:paraId="2C354E8C" w14:textId="77777777" w:rsidR="00030A1A" w:rsidRPr="003A29C6" w:rsidRDefault="00030A1A" w:rsidP="00030A1A">
      <w:pPr>
        <w:outlineLvl w:val="0"/>
        <w:rPr>
          <w:rFonts w:ascii="Arial" w:hAnsi="Arial" w:cs="Arial"/>
        </w:rPr>
      </w:pPr>
      <w:r w:rsidRPr="003A29C6">
        <w:rPr>
          <w:rFonts w:ascii="Arial" w:hAnsi="Arial" w:cs="Arial"/>
          <w:b/>
          <w:bCs/>
        </w:rPr>
        <w:t>COMPETING INTERESTS DISCLAIMER:</w:t>
      </w:r>
    </w:p>
    <w:p w14:paraId="14132B60" w14:textId="77777777" w:rsidR="00030A1A" w:rsidRDefault="00030A1A" w:rsidP="00030A1A">
      <w:r w:rsidRPr="00A10EDE">
        <w:t>Authors have declared that they have no known competing financial interests OR non-financial interests OR personal relationships that could have appeared to influence the work reported in this paper.</w:t>
      </w:r>
    </w:p>
    <w:p w14:paraId="27CA8EA7" w14:textId="77777777" w:rsidR="00573224" w:rsidRPr="00573224" w:rsidRDefault="00573224" w:rsidP="00573224">
      <w:pPr>
        <w:rPr>
          <w:lang w:eastAsia="x-none"/>
        </w:rPr>
      </w:pPr>
    </w:p>
    <w:p w14:paraId="5BFA0D9B" w14:textId="12E9E137" w:rsidR="00B07055" w:rsidRPr="00BF2F55" w:rsidRDefault="00182AA6" w:rsidP="00BF2F55">
      <w:pPr>
        <w:pStyle w:val="Heading1"/>
        <w:spacing w:line="240" w:lineRule="auto"/>
        <w:jc w:val="left"/>
        <w:rPr>
          <w:b/>
          <w:bCs/>
          <w:color w:val="000000"/>
        </w:rPr>
      </w:pPr>
      <w:bookmarkStart w:id="44" w:name="_Toc219224744"/>
      <w:bookmarkEnd w:id="17"/>
      <w:r w:rsidRPr="00BF2F55">
        <w:rPr>
          <w:b/>
          <w:bCs/>
          <w:color w:val="000000"/>
        </w:rPr>
        <w:t>REFERENCES</w:t>
      </w:r>
      <w:bookmarkEnd w:id="44"/>
    </w:p>
    <w:p w14:paraId="396611CB" w14:textId="77777777" w:rsidR="007D462E" w:rsidRPr="00A33607" w:rsidRDefault="007D462E" w:rsidP="007D462E">
      <w:pPr>
        <w:spacing w:line="240" w:lineRule="auto"/>
        <w:ind w:left="720" w:hanging="720"/>
        <w:rPr>
          <w:szCs w:val="24"/>
        </w:rPr>
      </w:pPr>
      <w:r w:rsidRPr="00A33607">
        <w:rPr>
          <w:szCs w:val="24"/>
        </w:rPr>
        <w:t>Abu, A. S., Harrison, V. &amp; Robert, A. O. (2026).</w:t>
      </w:r>
      <w:r w:rsidRPr="00A33607">
        <w:t xml:space="preserve"> </w:t>
      </w:r>
      <w:r w:rsidRPr="00A33607">
        <w:rPr>
          <w:szCs w:val="24"/>
        </w:rPr>
        <w:t>Effect of Electronic Payment Systems on Deposit Money Bank Profitability in Nigeria.</w:t>
      </w:r>
      <w:r w:rsidRPr="00A33607">
        <w:t xml:space="preserve"> </w:t>
      </w:r>
      <w:r w:rsidRPr="00A33607">
        <w:rPr>
          <w:i/>
          <w:szCs w:val="24"/>
        </w:rPr>
        <w:t>International Institute of Advanced Research and Development,</w:t>
      </w:r>
      <w:r w:rsidRPr="00A33607">
        <w:rPr>
          <w:i/>
        </w:rPr>
        <w:t xml:space="preserve"> </w:t>
      </w:r>
      <w:r w:rsidRPr="00A33607">
        <w:rPr>
          <w:i/>
          <w:szCs w:val="24"/>
        </w:rPr>
        <w:t>10</w:t>
      </w:r>
      <w:r w:rsidRPr="00A33607">
        <w:rPr>
          <w:szCs w:val="24"/>
        </w:rPr>
        <w:t>(3), 96-114.</w:t>
      </w:r>
    </w:p>
    <w:p w14:paraId="1BC55CA2" w14:textId="77777777" w:rsidR="007D462E" w:rsidRPr="00A33607" w:rsidRDefault="007D462E" w:rsidP="007D462E">
      <w:pPr>
        <w:spacing w:line="240" w:lineRule="auto"/>
        <w:ind w:left="720" w:hanging="720"/>
        <w:rPr>
          <w:szCs w:val="24"/>
        </w:rPr>
      </w:pPr>
      <w:r w:rsidRPr="00A33607">
        <w:rPr>
          <w:szCs w:val="24"/>
        </w:rPr>
        <w:t>Achor, P. C. &amp; Utulu, F. O. (2026).</w:t>
      </w:r>
      <w:r w:rsidRPr="00A33607">
        <w:t xml:space="preserve"> </w:t>
      </w:r>
      <w:r w:rsidRPr="00A33607">
        <w:rPr>
          <w:szCs w:val="24"/>
        </w:rPr>
        <w:t>Mobile Banking Transactions and Bank Profitability in Nigeria.</w:t>
      </w:r>
      <w:r w:rsidRPr="00A33607">
        <w:t xml:space="preserve"> </w:t>
      </w:r>
      <w:r w:rsidRPr="00A33607">
        <w:rPr>
          <w:i/>
          <w:szCs w:val="24"/>
        </w:rPr>
        <w:t>International Institute of Advanced Research and Development, 12</w:t>
      </w:r>
      <w:r w:rsidRPr="00A33607">
        <w:rPr>
          <w:szCs w:val="24"/>
        </w:rPr>
        <w:t>(1), 35-47.</w:t>
      </w:r>
    </w:p>
    <w:p w14:paraId="5AA40CAA" w14:textId="77777777" w:rsidR="007D462E" w:rsidRPr="00A33607" w:rsidRDefault="007D462E" w:rsidP="007D462E">
      <w:pPr>
        <w:spacing w:line="240" w:lineRule="auto"/>
        <w:ind w:left="720" w:hanging="720"/>
        <w:rPr>
          <w:color w:val="000000"/>
          <w:szCs w:val="24"/>
        </w:rPr>
      </w:pPr>
      <w:r w:rsidRPr="00A33607">
        <w:rPr>
          <w:color w:val="000000"/>
          <w:szCs w:val="24"/>
        </w:rPr>
        <w:t xml:space="preserve">Akan, H. W. (2023). Electronic Payment Systems and The Return on Equity of Quoted Commercial Banks in Nigeria. </w:t>
      </w:r>
      <w:r w:rsidRPr="00A33607">
        <w:rPr>
          <w:i/>
          <w:iCs/>
          <w:color w:val="000000"/>
          <w:szCs w:val="24"/>
        </w:rPr>
        <w:t>African Banking and Finance Review Journal</w:t>
      </w:r>
      <w:r w:rsidRPr="00A33607">
        <w:rPr>
          <w:color w:val="000000"/>
          <w:szCs w:val="24"/>
        </w:rPr>
        <w:t xml:space="preserve">, </w:t>
      </w:r>
      <w:r w:rsidRPr="00A33607">
        <w:rPr>
          <w:i/>
          <w:iCs/>
          <w:color w:val="000000"/>
          <w:szCs w:val="24"/>
        </w:rPr>
        <w:t>5</w:t>
      </w:r>
      <w:r w:rsidRPr="00A33607">
        <w:rPr>
          <w:color w:val="000000"/>
          <w:szCs w:val="24"/>
        </w:rPr>
        <w:t xml:space="preserve">(5), 96–114. Retrieved from </w:t>
      </w:r>
      <w:hyperlink r:id="rId8" w:history="1">
        <w:r w:rsidRPr="00A33607">
          <w:rPr>
            <w:rStyle w:val="Hyperlink"/>
            <w:szCs w:val="24"/>
          </w:rPr>
          <w:t>https://www.abfrjournal.com/index.php/abfr/article/view/86</w:t>
        </w:r>
      </w:hyperlink>
    </w:p>
    <w:p w14:paraId="7E84F05D" w14:textId="77777777" w:rsidR="004719B2" w:rsidRPr="00A33607" w:rsidRDefault="004719B2" w:rsidP="007D462E">
      <w:pPr>
        <w:spacing w:line="240" w:lineRule="auto"/>
        <w:ind w:left="720" w:hanging="720"/>
        <w:rPr>
          <w:szCs w:val="24"/>
        </w:rPr>
      </w:pPr>
      <w:r w:rsidRPr="00A33607">
        <w:rPr>
          <w:szCs w:val="24"/>
        </w:rPr>
        <w:t xml:space="preserve">Bankole, F. O., Bankole, O. O., &amp; Brown, I. (2011). Mobile banking adoption in Nigeria. </w:t>
      </w:r>
      <w:r w:rsidRPr="00A33607">
        <w:rPr>
          <w:i/>
          <w:iCs/>
          <w:szCs w:val="24"/>
        </w:rPr>
        <w:t>The Electronic Journal of Information Systems in Developing Countries</w:t>
      </w:r>
      <w:r w:rsidRPr="00A33607">
        <w:rPr>
          <w:szCs w:val="24"/>
        </w:rPr>
        <w:t xml:space="preserve">, </w:t>
      </w:r>
      <w:r w:rsidRPr="00A33607">
        <w:rPr>
          <w:i/>
          <w:iCs/>
          <w:szCs w:val="24"/>
        </w:rPr>
        <w:t>47</w:t>
      </w:r>
      <w:r w:rsidRPr="00A33607">
        <w:rPr>
          <w:szCs w:val="24"/>
        </w:rPr>
        <w:t>(1), 1-23.</w:t>
      </w:r>
    </w:p>
    <w:p w14:paraId="1EC710AF" w14:textId="2FA8EC7B" w:rsidR="007D462E" w:rsidRPr="00A33607" w:rsidRDefault="007D462E" w:rsidP="007D462E">
      <w:pPr>
        <w:spacing w:line="240" w:lineRule="auto"/>
        <w:ind w:left="720" w:hanging="720"/>
        <w:rPr>
          <w:szCs w:val="24"/>
        </w:rPr>
      </w:pPr>
      <w:r w:rsidRPr="00A33607">
        <w:rPr>
          <w:szCs w:val="24"/>
        </w:rPr>
        <w:t xml:space="preserve">Barney, J. (1991). Firm Resources and Sustained Competitive Advantage. </w:t>
      </w:r>
      <w:r w:rsidRPr="00A33607">
        <w:rPr>
          <w:i/>
          <w:szCs w:val="24"/>
        </w:rPr>
        <w:t>Journal of Management. 1</w:t>
      </w:r>
      <w:r w:rsidRPr="00A33607">
        <w:rPr>
          <w:szCs w:val="24"/>
        </w:rPr>
        <w:t>(7), 99-120.</w:t>
      </w:r>
    </w:p>
    <w:p w14:paraId="55D7DD1E" w14:textId="77777777" w:rsidR="007D462E" w:rsidRPr="00A33607" w:rsidRDefault="007D462E" w:rsidP="007D462E">
      <w:pPr>
        <w:spacing w:line="240" w:lineRule="auto"/>
        <w:ind w:left="720" w:hanging="720"/>
        <w:rPr>
          <w:szCs w:val="24"/>
        </w:rPr>
      </w:pPr>
      <w:r w:rsidRPr="00A33607">
        <w:rPr>
          <w:szCs w:val="24"/>
        </w:rPr>
        <w:t xml:space="preserve">Barney, J., &amp; </w:t>
      </w:r>
      <w:proofErr w:type="spellStart"/>
      <w:r w:rsidRPr="00A33607">
        <w:rPr>
          <w:szCs w:val="24"/>
        </w:rPr>
        <w:t>Arikan</w:t>
      </w:r>
      <w:proofErr w:type="spellEnd"/>
      <w:r w:rsidRPr="00A33607">
        <w:rPr>
          <w:szCs w:val="24"/>
        </w:rPr>
        <w:t xml:space="preserve">, A. (2005). The resource-based view: origins and implications. </w:t>
      </w:r>
      <w:r w:rsidRPr="00A33607">
        <w:rPr>
          <w:i/>
          <w:szCs w:val="24"/>
        </w:rPr>
        <w:t>The Blackwell handbooks of strategic management, 6</w:t>
      </w:r>
      <w:r w:rsidRPr="00A33607">
        <w:rPr>
          <w:szCs w:val="24"/>
        </w:rPr>
        <w:t>(1), 123-182.</w:t>
      </w:r>
    </w:p>
    <w:p w14:paraId="554AB60B" w14:textId="77777777" w:rsidR="007D462E" w:rsidRPr="00A33607" w:rsidRDefault="007D462E" w:rsidP="007D462E">
      <w:pPr>
        <w:spacing w:line="240" w:lineRule="auto"/>
        <w:ind w:left="720" w:hanging="720"/>
        <w:rPr>
          <w:szCs w:val="24"/>
        </w:rPr>
      </w:pPr>
      <w:r w:rsidRPr="00A33607">
        <w:rPr>
          <w:szCs w:val="24"/>
        </w:rPr>
        <w:t xml:space="preserve">Basnet, S. (2024). Impact of Electronic Payment System on the Profitability of Nepalese Commercial Banks. </w:t>
      </w:r>
      <w:r w:rsidRPr="00A33607">
        <w:rPr>
          <w:i/>
          <w:szCs w:val="24"/>
        </w:rPr>
        <w:t>Nepalese Journal of Finance, 11</w:t>
      </w:r>
      <w:r w:rsidRPr="00A33607">
        <w:rPr>
          <w:szCs w:val="24"/>
        </w:rPr>
        <w:t>(4), 84-103.</w:t>
      </w:r>
    </w:p>
    <w:p w14:paraId="778DF33D" w14:textId="77777777" w:rsidR="007D462E" w:rsidRPr="00A33607" w:rsidRDefault="007D462E" w:rsidP="007D462E">
      <w:pPr>
        <w:spacing w:line="240" w:lineRule="auto"/>
        <w:ind w:left="720" w:hanging="720"/>
        <w:rPr>
          <w:szCs w:val="24"/>
        </w:rPr>
      </w:pPr>
      <w:r w:rsidRPr="00A33607">
        <w:rPr>
          <w:szCs w:val="24"/>
        </w:rPr>
        <w:t>Central Bank of Kenya. (2023a). Annual report 2023. Retrieved 29</w:t>
      </w:r>
      <w:r w:rsidRPr="00A33607">
        <w:rPr>
          <w:szCs w:val="24"/>
          <w:vertAlign w:val="superscript"/>
        </w:rPr>
        <w:t>th</w:t>
      </w:r>
      <w:r w:rsidRPr="00A33607">
        <w:rPr>
          <w:szCs w:val="24"/>
        </w:rPr>
        <w:t xml:space="preserve"> June 2026 from https://www.centralbank.go.ke</w:t>
      </w:r>
    </w:p>
    <w:p w14:paraId="1BB96200" w14:textId="77777777" w:rsidR="007D462E" w:rsidRPr="00A33607" w:rsidRDefault="007D462E" w:rsidP="007D462E">
      <w:pPr>
        <w:spacing w:line="240" w:lineRule="auto"/>
        <w:ind w:left="720" w:hanging="720"/>
        <w:rPr>
          <w:szCs w:val="24"/>
        </w:rPr>
      </w:pPr>
      <w:r w:rsidRPr="00A33607">
        <w:rPr>
          <w:szCs w:val="24"/>
        </w:rPr>
        <w:t>Central Bank of Kenya. (2023b). Directory of licensed commercial banks and authorized non-operating holding companies. Retrieved 29</w:t>
      </w:r>
      <w:r w:rsidRPr="00A33607">
        <w:rPr>
          <w:szCs w:val="24"/>
          <w:vertAlign w:val="superscript"/>
        </w:rPr>
        <w:t>th</w:t>
      </w:r>
      <w:r w:rsidRPr="00A33607">
        <w:rPr>
          <w:szCs w:val="24"/>
        </w:rPr>
        <w:t xml:space="preserve"> June 2026 from https://www.centralbank.go.ke</w:t>
      </w:r>
    </w:p>
    <w:p w14:paraId="50D920D1" w14:textId="77777777" w:rsidR="004C28C6" w:rsidRPr="00A33607" w:rsidRDefault="004C28C6" w:rsidP="007D462E">
      <w:pPr>
        <w:spacing w:line="240" w:lineRule="auto"/>
        <w:ind w:left="720" w:hanging="720"/>
        <w:rPr>
          <w:szCs w:val="24"/>
        </w:rPr>
      </w:pPr>
      <w:r w:rsidRPr="00A33607">
        <w:rPr>
          <w:szCs w:val="24"/>
          <w:lang w:val="pt-BR"/>
        </w:rPr>
        <w:lastRenderedPageBreak/>
        <w:t xml:space="preserve">Chitungo, S. K., &amp; Munongo, S. (2013). </w:t>
      </w:r>
      <w:r w:rsidRPr="00A33607">
        <w:rPr>
          <w:szCs w:val="24"/>
        </w:rPr>
        <w:t xml:space="preserve">Extending the technology acceptance model to mobile banking adoption in rural Zimbabwe. </w:t>
      </w:r>
      <w:r w:rsidRPr="00A33607">
        <w:rPr>
          <w:i/>
          <w:iCs/>
          <w:szCs w:val="24"/>
        </w:rPr>
        <w:t>Journal of business administration and education</w:t>
      </w:r>
      <w:r w:rsidRPr="00A33607">
        <w:rPr>
          <w:szCs w:val="24"/>
        </w:rPr>
        <w:t xml:space="preserve">, </w:t>
      </w:r>
      <w:r w:rsidRPr="00A33607">
        <w:rPr>
          <w:i/>
          <w:iCs/>
          <w:szCs w:val="24"/>
        </w:rPr>
        <w:t>3</w:t>
      </w:r>
      <w:r w:rsidRPr="00A33607">
        <w:rPr>
          <w:szCs w:val="24"/>
        </w:rPr>
        <w:t>(1), 51-79.</w:t>
      </w:r>
    </w:p>
    <w:p w14:paraId="31F15F03" w14:textId="377CFBEA" w:rsidR="007D462E" w:rsidRPr="00A33607" w:rsidRDefault="007D462E" w:rsidP="007D462E">
      <w:pPr>
        <w:spacing w:line="240" w:lineRule="auto"/>
        <w:ind w:left="720" w:hanging="720"/>
        <w:rPr>
          <w:szCs w:val="24"/>
        </w:rPr>
      </w:pPr>
      <w:r w:rsidRPr="00A33607">
        <w:rPr>
          <w:szCs w:val="24"/>
        </w:rPr>
        <w:t xml:space="preserve">Chimanga, K. &amp; </w:t>
      </w:r>
      <w:proofErr w:type="spellStart"/>
      <w:r w:rsidRPr="00A33607">
        <w:rPr>
          <w:szCs w:val="24"/>
        </w:rPr>
        <w:t>Kawimbe</w:t>
      </w:r>
      <w:proofErr w:type="spellEnd"/>
      <w:r w:rsidRPr="00A33607">
        <w:rPr>
          <w:szCs w:val="24"/>
        </w:rPr>
        <w:t xml:space="preserve">, S. (2024). Analyzing the Impact of Mobile Banking on Commercial Banks' Financial Performance: A Case of FNB Bank-Zambia. </w:t>
      </w:r>
      <w:r w:rsidRPr="00A33607">
        <w:rPr>
          <w:i/>
          <w:szCs w:val="24"/>
        </w:rPr>
        <w:t>Saudi Journal of Economics and Finance, 8</w:t>
      </w:r>
      <w:r w:rsidRPr="00A33607">
        <w:rPr>
          <w:szCs w:val="24"/>
        </w:rPr>
        <w:t>(1), 1-8.</w:t>
      </w:r>
    </w:p>
    <w:p w14:paraId="13D6B4BC" w14:textId="77777777" w:rsidR="007D462E" w:rsidRPr="00A33607" w:rsidRDefault="007D462E" w:rsidP="007D462E">
      <w:pPr>
        <w:spacing w:line="240" w:lineRule="auto"/>
        <w:ind w:left="720" w:hanging="720"/>
        <w:rPr>
          <w:szCs w:val="24"/>
        </w:rPr>
      </w:pPr>
      <w:r w:rsidRPr="00A33607">
        <w:rPr>
          <w:szCs w:val="24"/>
        </w:rPr>
        <w:t>Chinaza, W. V. (2025). Impact of Electronic Payment on Profitability of Deposit Money Banks in Nigeria (2014-2024). Thesis Project.</w:t>
      </w:r>
    </w:p>
    <w:p w14:paraId="2EE03E14" w14:textId="77777777" w:rsidR="007D462E" w:rsidRPr="00A33607" w:rsidRDefault="007D462E" w:rsidP="007D462E">
      <w:pPr>
        <w:spacing w:line="240" w:lineRule="auto"/>
        <w:ind w:left="720" w:hanging="720"/>
        <w:rPr>
          <w:szCs w:val="24"/>
        </w:rPr>
      </w:pPr>
      <w:r w:rsidRPr="00A33607">
        <w:rPr>
          <w:szCs w:val="24"/>
        </w:rPr>
        <w:t>Communications Authority of Kenya. (2024). Quarterly sector statistics report Q1 2024. Retrieved 29</w:t>
      </w:r>
      <w:r w:rsidRPr="00A33607">
        <w:rPr>
          <w:szCs w:val="24"/>
          <w:vertAlign w:val="superscript"/>
        </w:rPr>
        <w:t>th</w:t>
      </w:r>
      <w:r w:rsidRPr="00A33607">
        <w:rPr>
          <w:szCs w:val="24"/>
        </w:rPr>
        <w:t xml:space="preserve"> June 2026 from https://ca.go.ke</w:t>
      </w:r>
    </w:p>
    <w:p w14:paraId="6069C1D3" w14:textId="77777777" w:rsidR="00A33607" w:rsidRPr="00A33607" w:rsidRDefault="00A33607" w:rsidP="00E1126F">
      <w:pPr>
        <w:spacing w:line="240" w:lineRule="auto"/>
        <w:ind w:left="720" w:hanging="720"/>
        <w:rPr>
          <w:szCs w:val="24"/>
        </w:rPr>
      </w:pPr>
      <w:r w:rsidRPr="00A33607">
        <w:rPr>
          <w:szCs w:val="24"/>
        </w:rPr>
        <w:t xml:space="preserve">Daily, C. M., Dalton, D. R., &amp; Cannella Jr, A. A. (2003). Corporate governance: Decades of dialogue and data. </w:t>
      </w:r>
      <w:r w:rsidRPr="00A33607">
        <w:rPr>
          <w:i/>
          <w:iCs/>
          <w:szCs w:val="24"/>
        </w:rPr>
        <w:t>Academy of management review</w:t>
      </w:r>
      <w:r w:rsidRPr="00A33607">
        <w:rPr>
          <w:szCs w:val="24"/>
        </w:rPr>
        <w:t xml:space="preserve">, </w:t>
      </w:r>
      <w:r w:rsidRPr="00A33607">
        <w:rPr>
          <w:i/>
          <w:iCs/>
          <w:szCs w:val="24"/>
        </w:rPr>
        <w:t>28</w:t>
      </w:r>
      <w:r w:rsidRPr="00A33607">
        <w:rPr>
          <w:szCs w:val="24"/>
        </w:rPr>
        <w:t>(3), 371-382.</w:t>
      </w:r>
    </w:p>
    <w:p w14:paraId="049F0B97" w14:textId="4EC115AF" w:rsidR="00E1126F" w:rsidRPr="00A33607" w:rsidRDefault="00E1126F" w:rsidP="00E1126F">
      <w:pPr>
        <w:spacing w:line="240" w:lineRule="auto"/>
        <w:ind w:left="720" w:hanging="720"/>
        <w:rPr>
          <w:szCs w:val="24"/>
        </w:rPr>
      </w:pPr>
      <w:r w:rsidRPr="00A33607">
        <w:rPr>
          <w:szCs w:val="24"/>
        </w:rPr>
        <w:t>Davis, F.D. (1993). User acceptance of information technology: system characteristics, user perceptions and behavioral impacts. International Journal of Man-Machine Studies, 38(3), 475-487.</w:t>
      </w:r>
    </w:p>
    <w:p w14:paraId="7587422B" w14:textId="77777777" w:rsidR="004C28C6" w:rsidRPr="00A33607" w:rsidRDefault="004C28C6" w:rsidP="00E1126F">
      <w:pPr>
        <w:spacing w:line="240" w:lineRule="auto"/>
        <w:ind w:left="720" w:hanging="720"/>
        <w:rPr>
          <w:szCs w:val="24"/>
        </w:rPr>
      </w:pPr>
      <w:r w:rsidRPr="00A33607">
        <w:rPr>
          <w:szCs w:val="24"/>
        </w:rPr>
        <w:t xml:space="preserve">Eisenhardt, K. M. (1989). Agency theory: An assessment and review. </w:t>
      </w:r>
      <w:r w:rsidRPr="00A33607">
        <w:rPr>
          <w:i/>
          <w:iCs/>
          <w:szCs w:val="24"/>
        </w:rPr>
        <w:t>Academy of management review</w:t>
      </w:r>
      <w:r w:rsidRPr="00A33607">
        <w:rPr>
          <w:szCs w:val="24"/>
        </w:rPr>
        <w:t xml:space="preserve">, </w:t>
      </w:r>
      <w:r w:rsidRPr="00A33607">
        <w:rPr>
          <w:i/>
          <w:iCs/>
          <w:szCs w:val="24"/>
        </w:rPr>
        <w:t>14</w:t>
      </w:r>
      <w:r w:rsidRPr="00A33607">
        <w:rPr>
          <w:szCs w:val="24"/>
        </w:rPr>
        <w:t>(1), 57-74.</w:t>
      </w:r>
    </w:p>
    <w:p w14:paraId="67C581A4" w14:textId="45D41DC7" w:rsidR="007D462E" w:rsidRPr="00A33607" w:rsidRDefault="007D462E" w:rsidP="00E1126F">
      <w:pPr>
        <w:spacing w:line="240" w:lineRule="auto"/>
        <w:ind w:left="720" w:hanging="720"/>
        <w:rPr>
          <w:szCs w:val="24"/>
        </w:rPr>
      </w:pPr>
      <w:r w:rsidRPr="00A33607">
        <w:rPr>
          <w:szCs w:val="24"/>
        </w:rPr>
        <w:t>European Central Bank. (2023). The state of digital finance in Europe 2023. Retrieved 29</w:t>
      </w:r>
      <w:r w:rsidRPr="00A33607">
        <w:rPr>
          <w:szCs w:val="24"/>
          <w:vertAlign w:val="superscript"/>
        </w:rPr>
        <w:t>th</w:t>
      </w:r>
      <w:r w:rsidRPr="00A33607">
        <w:rPr>
          <w:szCs w:val="24"/>
        </w:rPr>
        <w:t xml:space="preserve"> June 2026 from https://www.ecb.europa.eu</w:t>
      </w:r>
    </w:p>
    <w:p w14:paraId="3A6B632B" w14:textId="77777777" w:rsidR="00A33607" w:rsidRPr="00A33607" w:rsidRDefault="00A33607" w:rsidP="007D462E">
      <w:pPr>
        <w:spacing w:line="240" w:lineRule="auto"/>
        <w:ind w:left="720" w:hanging="720"/>
        <w:rPr>
          <w:szCs w:val="24"/>
        </w:rPr>
      </w:pPr>
      <w:r w:rsidRPr="00A33607">
        <w:rPr>
          <w:szCs w:val="24"/>
        </w:rPr>
        <w:t xml:space="preserve">Fama, E. F., &amp; Jensen, M. C. (1983). Agency problems and residual claims. </w:t>
      </w:r>
      <w:r w:rsidRPr="00A33607">
        <w:rPr>
          <w:i/>
          <w:iCs/>
          <w:szCs w:val="24"/>
        </w:rPr>
        <w:t>The journal of law and Economics</w:t>
      </w:r>
      <w:r w:rsidRPr="00A33607">
        <w:rPr>
          <w:szCs w:val="24"/>
        </w:rPr>
        <w:t xml:space="preserve">, </w:t>
      </w:r>
      <w:r w:rsidRPr="00A33607">
        <w:rPr>
          <w:i/>
          <w:iCs/>
          <w:szCs w:val="24"/>
        </w:rPr>
        <w:t>26</w:t>
      </w:r>
      <w:r w:rsidRPr="00A33607">
        <w:rPr>
          <w:szCs w:val="24"/>
        </w:rPr>
        <w:t>(2), 327-349.</w:t>
      </w:r>
    </w:p>
    <w:p w14:paraId="1F0B6F22" w14:textId="74BE0FA7" w:rsidR="007D462E" w:rsidRPr="00A33607" w:rsidRDefault="007D462E" w:rsidP="007D462E">
      <w:pPr>
        <w:spacing w:line="240" w:lineRule="auto"/>
        <w:ind w:left="720" w:hanging="720"/>
        <w:rPr>
          <w:szCs w:val="24"/>
        </w:rPr>
      </w:pPr>
      <w:r w:rsidRPr="00A33607">
        <w:rPr>
          <w:szCs w:val="24"/>
        </w:rPr>
        <w:t>Federal Reserve. (2023). Consumers and mobile financial services 2023. Retrieved 29</w:t>
      </w:r>
      <w:r w:rsidRPr="00A33607">
        <w:rPr>
          <w:szCs w:val="24"/>
          <w:vertAlign w:val="superscript"/>
        </w:rPr>
        <w:t>th</w:t>
      </w:r>
      <w:r w:rsidRPr="00A33607">
        <w:rPr>
          <w:szCs w:val="24"/>
        </w:rPr>
        <w:t xml:space="preserve"> June 2026 from https://www.federalreserve.gov</w:t>
      </w:r>
    </w:p>
    <w:p w14:paraId="14B33D2D" w14:textId="77777777" w:rsidR="007D462E" w:rsidRPr="00A33607" w:rsidRDefault="007D462E" w:rsidP="007D462E">
      <w:pPr>
        <w:spacing w:line="240" w:lineRule="auto"/>
        <w:ind w:left="720" w:hanging="720"/>
        <w:rPr>
          <w:szCs w:val="24"/>
        </w:rPr>
      </w:pPr>
      <w:r w:rsidRPr="00A33607">
        <w:rPr>
          <w:szCs w:val="24"/>
        </w:rPr>
        <w:t xml:space="preserve">Freeman, R. E. (2010). </w:t>
      </w:r>
      <w:r w:rsidRPr="00A33607">
        <w:rPr>
          <w:i/>
          <w:szCs w:val="24"/>
        </w:rPr>
        <w:t>Strategic management: A stakeholder approach</w:t>
      </w:r>
      <w:r w:rsidRPr="00A33607">
        <w:rPr>
          <w:szCs w:val="24"/>
        </w:rPr>
        <w:t>. Cambridge University Press.</w:t>
      </w:r>
    </w:p>
    <w:p w14:paraId="3B3EA850" w14:textId="77777777" w:rsidR="007D462E" w:rsidRPr="00A33607" w:rsidRDefault="007D462E" w:rsidP="007D462E">
      <w:pPr>
        <w:spacing w:line="240" w:lineRule="auto"/>
        <w:ind w:left="720" w:hanging="720"/>
        <w:rPr>
          <w:szCs w:val="24"/>
        </w:rPr>
      </w:pPr>
      <w:r w:rsidRPr="00A33607">
        <w:rPr>
          <w:szCs w:val="24"/>
        </w:rPr>
        <w:t>GSMA. (2023). State of the industry report on mobile money 2023. Retrieved 29</w:t>
      </w:r>
      <w:r w:rsidRPr="00A33607">
        <w:rPr>
          <w:szCs w:val="24"/>
          <w:vertAlign w:val="superscript"/>
        </w:rPr>
        <w:t>th</w:t>
      </w:r>
      <w:r w:rsidRPr="00A33607">
        <w:rPr>
          <w:szCs w:val="24"/>
        </w:rPr>
        <w:t xml:space="preserve"> June 2026 from https://www.gsma.com</w:t>
      </w:r>
    </w:p>
    <w:p w14:paraId="6DCBCB0B" w14:textId="77777777" w:rsidR="007D462E" w:rsidRPr="00A33607" w:rsidRDefault="007D462E" w:rsidP="007D462E">
      <w:pPr>
        <w:spacing w:line="240" w:lineRule="auto"/>
        <w:ind w:left="720" w:hanging="720"/>
        <w:rPr>
          <w:szCs w:val="24"/>
        </w:rPr>
      </w:pPr>
      <w:r w:rsidRPr="00A33607">
        <w:rPr>
          <w:szCs w:val="24"/>
        </w:rPr>
        <w:t xml:space="preserve">Jensen, M. C., &amp; Meckling, W. H. (1976). Theory of the firm: Managerial behavior, agency costs and ownership structure. </w:t>
      </w:r>
      <w:r w:rsidRPr="00A33607">
        <w:rPr>
          <w:i/>
          <w:szCs w:val="24"/>
        </w:rPr>
        <w:t>Journal of Financial Economics, 3</w:t>
      </w:r>
      <w:r w:rsidRPr="00A33607">
        <w:rPr>
          <w:szCs w:val="24"/>
        </w:rPr>
        <w:t>(4), 305–360.</w:t>
      </w:r>
    </w:p>
    <w:p w14:paraId="3E3957DD" w14:textId="77777777" w:rsidR="007D462E" w:rsidRPr="00A33607" w:rsidRDefault="007D462E" w:rsidP="007D462E">
      <w:pPr>
        <w:spacing w:line="240" w:lineRule="auto"/>
        <w:ind w:left="720" w:hanging="720"/>
        <w:rPr>
          <w:szCs w:val="24"/>
        </w:rPr>
      </w:pPr>
      <w:r w:rsidRPr="00A33607">
        <w:rPr>
          <w:szCs w:val="24"/>
        </w:rPr>
        <w:t xml:space="preserve">Johnson, R., &amp; Smith, T. (2022). Profitability dynamics in the evolving banking landscape. </w:t>
      </w:r>
      <w:r w:rsidRPr="00A33607">
        <w:rPr>
          <w:i/>
          <w:szCs w:val="24"/>
        </w:rPr>
        <w:t>Journal of Banking and Finance, 46</w:t>
      </w:r>
      <w:r w:rsidRPr="00A33607">
        <w:rPr>
          <w:szCs w:val="24"/>
        </w:rPr>
        <w:t>(3), 205–218.</w:t>
      </w:r>
    </w:p>
    <w:p w14:paraId="38EC7E4B" w14:textId="77777777" w:rsidR="007D462E" w:rsidRPr="00A33607" w:rsidRDefault="007D462E" w:rsidP="007D462E">
      <w:pPr>
        <w:spacing w:line="240" w:lineRule="auto"/>
        <w:ind w:left="720" w:hanging="720"/>
        <w:rPr>
          <w:szCs w:val="24"/>
        </w:rPr>
      </w:pPr>
      <w:r w:rsidRPr="00A33607">
        <w:rPr>
          <w:szCs w:val="24"/>
        </w:rPr>
        <w:t xml:space="preserve">Kamau, P., &amp; Gitau, M. (2022). Effect of digital platforms on bank performance in Kenya. </w:t>
      </w:r>
      <w:r w:rsidRPr="00A33607">
        <w:rPr>
          <w:i/>
          <w:szCs w:val="24"/>
        </w:rPr>
        <w:t>African Journal of Banking Studies, 8</w:t>
      </w:r>
      <w:r w:rsidRPr="00A33607">
        <w:rPr>
          <w:szCs w:val="24"/>
        </w:rPr>
        <w:t>(1), 35–48.</w:t>
      </w:r>
    </w:p>
    <w:p w14:paraId="63B5E83F" w14:textId="77777777" w:rsidR="007D462E" w:rsidRPr="00A33607" w:rsidRDefault="007D462E" w:rsidP="007D462E">
      <w:pPr>
        <w:spacing w:line="240" w:lineRule="auto"/>
        <w:ind w:left="720" w:hanging="720"/>
        <w:rPr>
          <w:szCs w:val="24"/>
        </w:rPr>
      </w:pPr>
      <w:r w:rsidRPr="00A33607">
        <w:rPr>
          <w:szCs w:val="24"/>
        </w:rPr>
        <w:t>Kenya Bankers Association. (2023). Kenya banking industry annual survey 2023. Retrieved 29</w:t>
      </w:r>
      <w:r w:rsidRPr="00A33607">
        <w:rPr>
          <w:szCs w:val="24"/>
          <w:vertAlign w:val="superscript"/>
        </w:rPr>
        <w:t>th</w:t>
      </w:r>
      <w:r w:rsidRPr="00A33607">
        <w:rPr>
          <w:szCs w:val="24"/>
        </w:rPr>
        <w:t xml:space="preserve"> June 2026 from https://www.kba.co.ke</w:t>
      </w:r>
    </w:p>
    <w:p w14:paraId="7F21DB54" w14:textId="77777777" w:rsidR="007D462E" w:rsidRPr="00A33607" w:rsidRDefault="007D462E" w:rsidP="007D462E">
      <w:pPr>
        <w:spacing w:line="240" w:lineRule="auto"/>
        <w:ind w:left="720" w:hanging="720"/>
        <w:rPr>
          <w:color w:val="000000"/>
          <w:szCs w:val="24"/>
        </w:rPr>
      </w:pPr>
      <w:r w:rsidRPr="00A33607">
        <w:rPr>
          <w:color w:val="000000"/>
          <w:szCs w:val="24"/>
        </w:rPr>
        <w:lastRenderedPageBreak/>
        <w:t xml:space="preserve">Kimonye, E. K., &amp; </w:t>
      </w:r>
      <w:proofErr w:type="spellStart"/>
      <w:r w:rsidRPr="00A33607">
        <w:rPr>
          <w:color w:val="000000"/>
          <w:szCs w:val="24"/>
        </w:rPr>
        <w:t>Muchelule</w:t>
      </w:r>
      <w:proofErr w:type="spellEnd"/>
      <w:r w:rsidRPr="00A33607">
        <w:rPr>
          <w:color w:val="000000"/>
          <w:szCs w:val="24"/>
        </w:rPr>
        <w:t xml:space="preserve">, Y. (2024). E-Payment System and Financial Performance of Commercial Banks in Nairobi County, Kenya. </w:t>
      </w:r>
      <w:r w:rsidRPr="00A33607">
        <w:rPr>
          <w:i/>
          <w:iCs/>
          <w:color w:val="000000"/>
          <w:szCs w:val="24"/>
        </w:rPr>
        <w:t>International Journal of Social Sciences Management and Entrepreneurship (IJSSME)</w:t>
      </w:r>
      <w:r w:rsidRPr="00A33607">
        <w:rPr>
          <w:color w:val="000000"/>
          <w:szCs w:val="24"/>
        </w:rPr>
        <w:t xml:space="preserve">, </w:t>
      </w:r>
      <w:r w:rsidRPr="00A33607">
        <w:rPr>
          <w:i/>
          <w:iCs/>
          <w:color w:val="000000"/>
          <w:szCs w:val="24"/>
        </w:rPr>
        <w:t>8</w:t>
      </w:r>
      <w:r w:rsidRPr="00A33607">
        <w:rPr>
          <w:color w:val="000000"/>
          <w:szCs w:val="24"/>
        </w:rPr>
        <w:t>(4).</w:t>
      </w:r>
    </w:p>
    <w:p w14:paraId="0A006B3F" w14:textId="77777777" w:rsidR="007D462E" w:rsidRPr="00A33607" w:rsidRDefault="007D462E" w:rsidP="007D462E">
      <w:pPr>
        <w:spacing w:line="240" w:lineRule="auto"/>
        <w:ind w:left="720" w:hanging="720"/>
        <w:rPr>
          <w:szCs w:val="24"/>
        </w:rPr>
      </w:pPr>
      <w:r w:rsidRPr="00A33607">
        <w:rPr>
          <w:szCs w:val="24"/>
        </w:rPr>
        <w:t xml:space="preserve">Kotler, P., &amp; Armstrong, G. (2013). </w:t>
      </w:r>
      <w:r w:rsidRPr="00A33607">
        <w:rPr>
          <w:i/>
          <w:szCs w:val="24"/>
        </w:rPr>
        <w:t>Principles of Marketing (14th Ed)</w:t>
      </w:r>
      <w:r w:rsidRPr="00A33607">
        <w:rPr>
          <w:szCs w:val="24"/>
        </w:rPr>
        <w:t>. London: Pearson Prentice Hall.</w:t>
      </w:r>
    </w:p>
    <w:p w14:paraId="21FFC04D" w14:textId="77777777" w:rsidR="007D462E" w:rsidRPr="00A33607" w:rsidRDefault="007D462E" w:rsidP="007D462E">
      <w:pPr>
        <w:spacing w:line="240" w:lineRule="auto"/>
        <w:ind w:left="720" w:hanging="720"/>
        <w:rPr>
          <w:szCs w:val="24"/>
        </w:rPr>
      </w:pPr>
      <w:r w:rsidRPr="00A33607">
        <w:rPr>
          <w:szCs w:val="24"/>
        </w:rPr>
        <w:t xml:space="preserve">Mensah, K., &amp; Ofori, B. (2022). Mobile banking adoption and profitability among African banks. </w:t>
      </w:r>
      <w:r w:rsidRPr="00A33607">
        <w:rPr>
          <w:i/>
          <w:szCs w:val="24"/>
        </w:rPr>
        <w:t>African Financial Review, 12</w:t>
      </w:r>
      <w:r w:rsidRPr="00A33607">
        <w:rPr>
          <w:szCs w:val="24"/>
        </w:rPr>
        <w:t>(2), 45–61.</w:t>
      </w:r>
    </w:p>
    <w:p w14:paraId="748FE066" w14:textId="77777777" w:rsidR="007D462E" w:rsidRPr="00A33607" w:rsidRDefault="007D462E" w:rsidP="007D462E">
      <w:pPr>
        <w:spacing w:line="240" w:lineRule="auto"/>
        <w:ind w:left="720" w:hanging="720"/>
        <w:rPr>
          <w:color w:val="000000"/>
          <w:szCs w:val="24"/>
        </w:rPr>
      </w:pPr>
      <w:proofErr w:type="spellStart"/>
      <w:r w:rsidRPr="00A33607">
        <w:rPr>
          <w:color w:val="000000"/>
          <w:szCs w:val="24"/>
        </w:rPr>
        <w:t>Misati</w:t>
      </w:r>
      <w:proofErr w:type="spellEnd"/>
      <w:r w:rsidRPr="00A33607">
        <w:rPr>
          <w:color w:val="000000"/>
          <w:szCs w:val="24"/>
        </w:rPr>
        <w:t xml:space="preserve">, R. N., Njoroge, L., Kamau, A., &amp; Ouma, S. (2020). Financial innovation and monetary policy transmission in Kenya. </w:t>
      </w:r>
      <w:r w:rsidRPr="00A33607">
        <w:rPr>
          <w:i/>
          <w:iCs/>
          <w:color w:val="000000"/>
          <w:szCs w:val="24"/>
        </w:rPr>
        <w:t>International Research Journal of Finance and Economics,</w:t>
      </w:r>
      <w:r w:rsidRPr="00A33607">
        <w:rPr>
          <w:color w:val="000000"/>
          <w:szCs w:val="24"/>
        </w:rPr>
        <w:t xml:space="preserve"> 50, 123-136.</w:t>
      </w:r>
    </w:p>
    <w:p w14:paraId="7307EA8F" w14:textId="77777777" w:rsidR="007D462E" w:rsidRPr="00A33607" w:rsidRDefault="007D462E" w:rsidP="007D462E">
      <w:pPr>
        <w:spacing w:line="240" w:lineRule="auto"/>
        <w:ind w:left="720" w:hanging="720"/>
        <w:rPr>
          <w:szCs w:val="24"/>
        </w:rPr>
      </w:pPr>
      <w:r w:rsidRPr="00A33607">
        <w:rPr>
          <w:szCs w:val="24"/>
        </w:rPr>
        <w:t xml:space="preserve">Olaseni, S. O., Oyeyemi, S. T., Dairo, O., Omotola, O., </w:t>
      </w:r>
      <w:proofErr w:type="spellStart"/>
      <w:r w:rsidRPr="00A33607">
        <w:rPr>
          <w:szCs w:val="24"/>
        </w:rPr>
        <w:t>Saduwa</w:t>
      </w:r>
      <w:proofErr w:type="spellEnd"/>
      <w:r w:rsidRPr="00A33607">
        <w:rPr>
          <w:szCs w:val="24"/>
        </w:rPr>
        <w:t xml:space="preserve">, F. A. &amp; Sesan, O. E. (2025). Effect of Electronic Payment Channels on the Performance of Commercial Banks in Nigeria. </w:t>
      </w:r>
      <w:r w:rsidRPr="00A33607">
        <w:rPr>
          <w:i/>
          <w:szCs w:val="24"/>
        </w:rPr>
        <w:t>Asian Journal of Probability and Statistics 27</w:t>
      </w:r>
      <w:r w:rsidRPr="00A33607">
        <w:rPr>
          <w:szCs w:val="24"/>
        </w:rPr>
        <w:t>(2), 123-37.</w:t>
      </w:r>
    </w:p>
    <w:p w14:paraId="11BE7600" w14:textId="77777777" w:rsidR="007D462E" w:rsidRPr="00A33607" w:rsidRDefault="007D462E" w:rsidP="007D462E">
      <w:pPr>
        <w:spacing w:line="240" w:lineRule="auto"/>
        <w:ind w:left="720" w:hanging="720"/>
        <w:rPr>
          <w:szCs w:val="24"/>
        </w:rPr>
      </w:pPr>
      <w:proofErr w:type="spellStart"/>
      <w:r w:rsidRPr="00A33607">
        <w:rPr>
          <w:szCs w:val="24"/>
        </w:rPr>
        <w:t>Osiolo</w:t>
      </w:r>
      <w:proofErr w:type="spellEnd"/>
      <w:r w:rsidRPr="00A33607">
        <w:rPr>
          <w:szCs w:val="24"/>
        </w:rPr>
        <w:t xml:space="preserve">, B. R. &amp; </w:t>
      </w:r>
      <w:proofErr w:type="spellStart"/>
      <w:r w:rsidRPr="00A33607">
        <w:rPr>
          <w:szCs w:val="24"/>
        </w:rPr>
        <w:t>Sije</w:t>
      </w:r>
      <w:proofErr w:type="spellEnd"/>
      <w:r w:rsidRPr="00A33607">
        <w:rPr>
          <w:szCs w:val="24"/>
        </w:rPr>
        <w:t>, A, (2023).</w:t>
      </w:r>
      <w:r w:rsidRPr="00A33607">
        <w:t xml:space="preserve"> </w:t>
      </w:r>
      <w:r w:rsidRPr="00A33607">
        <w:rPr>
          <w:szCs w:val="24"/>
        </w:rPr>
        <w:t>Effect of Mobile Banking on Performance of Commercial Banks in Kenya.</w:t>
      </w:r>
      <w:r w:rsidRPr="00A33607">
        <w:t xml:space="preserve"> </w:t>
      </w:r>
      <w:r w:rsidRPr="00A33607">
        <w:rPr>
          <w:i/>
          <w:szCs w:val="24"/>
        </w:rPr>
        <w:t>International Journal of Social Science and Humanities Research,</w:t>
      </w:r>
      <w:r w:rsidRPr="00A33607">
        <w:rPr>
          <w:i/>
        </w:rPr>
        <w:t xml:space="preserve"> </w:t>
      </w:r>
      <w:r w:rsidRPr="00A33607">
        <w:rPr>
          <w:i/>
          <w:szCs w:val="24"/>
        </w:rPr>
        <w:t>11</w:t>
      </w:r>
      <w:r w:rsidRPr="00A33607">
        <w:rPr>
          <w:szCs w:val="24"/>
        </w:rPr>
        <w:t>(3), 182-189.</w:t>
      </w:r>
    </w:p>
    <w:p w14:paraId="52C18FD4" w14:textId="77777777" w:rsidR="007D462E" w:rsidRPr="00A33607" w:rsidRDefault="007D462E" w:rsidP="007D462E">
      <w:pPr>
        <w:spacing w:line="240" w:lineRule="auto"/>
        <w:ind w:left="720" w:hanging="720"/>
        <w:rPr>
          <w:szCs w:val="24"/>
        </w:rPr>
      </w:pPr>
      <w:r w:rsidRPr="00A33607">
        <w:rPr>
          <w:szCs w:val="24"/>
        </w:rPr>
        <w:t xml:space="preserve">Otieno, S., &amp; Muriuki, A. (2022). Evaluating the effect of electronic banking on bank profitability: A case of Kenyan commercial banks. </w:t>
      </w:r>
      <w:r w:rsidRPr="00A33607">
        <w:rPr>
          <w:i/>
          <w:szCs w:val="24"/>
        </w:rPr>
        <w:t>Journal of Financial Innovation and Technology, 9</w:t>
      </w:r>
      <w:r w:rsidRPr="00A33607">
        <w:rPr>
          <w:szCs w:val="24"/>
        </w:rPr>
        <w:t>(4), 112–125.</w:t>
      </w:r>
    </w:p>
    <w:p w14:paraId="2A2FBE12" w14:textId="2AD56FE8" w:rsidR="007D462E" w:rsidRPr="00A33607" w:rsidRDefault="007D462E" w:rsidP="00A33607">
      <w:pPr>
        <w:spacing w:line="240" w:lineRule="auto"/>
        <w:ind w:left="720" w:hanging="720"/>
        <w:rPr>
          <w:szCs w:val="24"/>
        </w:rPr>
      </w:pPr>
      <w:proofErr w:type="spellStart"/>
      <w:r w:rsidRPr="00A33607">
        <w:rPr>
          <w:szCs w:val="24"/>
        </w:rPr>
        <w:t>Oyasor</w:t>
      </w:r>
      <w:proofErr w:type="spellEnd"/>
      <w:r w:rsidRPr="00A33607">
        <w:rPr>
          <w:szCs w:val="24"/>
        </w:rPr>
        <w:t>, E. I. (2025).</w:t>
      </w:r>
      <w:r w:rsidRPr="00A33607">
        <w:t xml:space="preserve"> </w:t>
      </w:r>
      <w:r w:rsidRPr="00A33607">
        <w:rPr>
          <w:szCs w:val="24"/>
        </w:rPr>
        <w:t>Digital Payment Systems and Profitability of Deposit Money Banks in Nigeria.</w:t>
      </w:r>
      <w:r w:rsidRPr="00A33607">
        <w:t xml:space="preserve"> </w:t>
      </w:r>
      <w:r w:rsidRPr="00A33607">
        <w:rPr>
          <w:i/>
          <w:szCs w:val="24"/>
        </w:rPr>
        <w:t>Malete Journal of Accounting and Finance, 6</w:t>
      </w:r>
      <w:r w:rsidRPr="00A33607">
        <w:rPr>
          <w:szCs w:val="24"/>
        </w:rPr>
        <w:t>(2), 86-99.</w:t>
      </w:r>
    </w:p>
    <w:p w14:paraId="049B7E87" w14:textId="77777777" w:rsidR="007D462E" w:rsidRPr="00A33607" w:rsidRDefault="007D462E" w:rsidP="007D462E">
      <w:pPr>
        <w:spacing w:line="240" w:lineRule="auto"/>
        <w:ind w:left="720" w:hanging="720"/>
        <w:rPr>
          <w:szCs w:val="24"/>
        </w:rPr>
      </w:pPr>
      <w:r w:rsidRPr="00A33607">
        <w:rPr>
          <w:szCs w:val="24"/>
        </w:rPr>
        <w:t xml:space="preserve">Penrose, E. T. (1959). </w:t>
      </w:r>
      <w:r w:rsidRPr="00A33607">
        <w:rPr>
          <w:i/>
          <w:szCs w:val="24"/>
        </w:rPr>
        <w:t>The theory of the growth of the firm.</w:t>
      </w:r>
      <w:r w:rsidRPr="00A33607">
        <w:rPr>
          <w:szCs w:val="24"/>
        </w:rPr>
        <w:t xml:space="preserve"> New York, USA: Wiley.</w:t>
      </w:r>
    </w:p>
    <w:p w14:paraId="5C51A72E" w14:textId="77777777" w:rsidR="007D462E" w:rsidRPr="00A33607" w:rsidRDefault="007D462E" w:rsidP="007D462E">
      <w:pPr>
        <w:spacing w:line="240" w:lineRule="auto"/>
        <w:ind w:left="720" w:hanging="720"/>
        <w:rPr>
          <w:szCs w:val="24"/>
        </w:rPr>
      </w:pPr>
      <w:r w:rsidRPr="00A33607">
        <w:rPr>
          <w:szCs w:val="24"/>
        </w:rPr>
        <w:t xml:space="preserve">Peteraf, M. A., &amp; Barney, J. B. (2003) Managing Knowledge Assets and Business Value Creation in Organizations. </w:t>
      </w:r>
      <w:r w:rsidRPr="00A33607">
        <w:rPr>
          <w:i/>
          <w:szCs w:val="24"/>
        </w:rPr>
        <w:t>Strategic Management Journal, 1</w:t>
      </w:r>
      <w:r w:rsidRPr="00A33607">
        <w:rPr>
          <w:szCs w:val="24"/>
        </w:rPr>
        <w:t>(4), 179-191.</w:t>
      </w:r>
    </w:p>
    <w:p w14:paraId="559C62D7" w14:textId="77777777" w:rsidR="00A33607" w:rsidRPr="00A33607" w:rsidRDefault="00A33607" w:rsidP="007D462E">
      <w:pPr>
        <w:spacing w:line="240" w:lineRule="auto"/>
        <w:ind w:left="720" w:hanging="720"/>
        <w:rPr>
          <w:szCs w:val="24"/>
        </w:rPr>
      </w:pPr>
      <w:r w:rsidRPr="00A33607">
        <w:rPr>
          <w:szCs w:val="24"/>
        </w:rPr>
        <w:t xml:space="preserve">Rogers, F. (2003). </w:t>
      </w:r>
      <w:r w:rsidRPr="00A33607">
        <w:rPr>
          <w:i/>
          <w:iCs/>
          <w:szCs w:val="24"/>
        </w:rPr>
        <w:t>The world according to Mister Rogers: Important things to remember</w:t>
      </w:r>
      <w:r w:rsidRPr="00A33607">
        <w:rPr>
          <w:szCs w:val="24"/>
        </w:rPr>
        <w:t>. Hachette+ ORM.</w:t>
      </w:r>
    </w:p>
    <w:p w14:paraId="43877B02" w14:textId="72B2EF89" w:rsidR="007D462E" w:rsidRPr="00A33607" w:rsidRDefault="007D462E" w:rsidP="007D462E">
      <w:pPr>
        <w:spacing w:line="240" w:lineRule="auto"/>
        <w:ind w:left="720" w:hanging="720"/>
        <w:rPr>
          <w:szCs w:val="24"/>
        </w:rPr>
      </w:pPr>
      <w:r w:rsidRPr="00A33607">
        <w:rPr>
          <w:szCs w:val="24"/>
        </w:rPr>
        <w:t>Sabti, O. S &amp; Mohammed, M. I. (2020).</w:t>
      </w:r>
      <w:r w:rsidRPr="00A33607">
        <w:t xml:space="preserve"> </w:t>
      </w:r>
      <w:r w:rsidRPr="00A33607">
        <w:rPr>
          <w:szCs w:val="24"/>
        </w:rPr>
        <w:t>The Impact of Electronic Payment systems on the Profitability of Banks An applied research on a sample of Iraqi commercial banks.</w:t>
      </w:r>
      <w:r w:rsidRPr="00A33607">
        <w:t xml:space="preserve"> </w:t>
      </w:r>
      <w:r w:rsidRPr="00A33607">
        <w:rPr>
          <w:i/>
          <w:szCs w:val="24"/>
        </w:rPr>
        <w:t>Bank for International Settlements, 15</w:t>
      </w:r>
      <w:r w:rsidRPr="00A33607">
        <w:rPr>
          <w:szCs w:val="24"/>
        </w:rPr>
        <w:t>(51), 1-18.</w:t>
      </w:r>
    </w:p>
    <w:p w14:paraId="3F86D9C3" w14:textId="77777777" w:rsidR="007D462E" w:rsidRPr="00A33607" w:rsidRDefault="007D462E" w:rsidP="007D462E">
      <w:pPr>
        <w:spacing w:line="240" w:lineRule="auto"/>
        <w:ind w:left="720" w:hanging="720"/>
        <w:rPr>
          <w:szCs w:val="24"/>
        </w:rPr>
      </w:pPr>
      <w:r w:rsidRPr="00A33607">
        <w:rPr>
          <w:szCs w:val="24"/>
        </w:rPr>
        <w:t>Sarker, B. K., Sarker, D. K., Shaha, S. R., Saha, D. &amp; Sarker, S. (2024).</w:t>
      </w:r>
      <w:r w:rsidRPr="00A33607">
        <w:t xml:space="preserve"> </w:t>
      </w:r>
      <w:r w:rsidRPr="00A33607">
        <w:rPr>
          <w:szCs w:val="24"/>
        </w:rPr>
        <w:t>The Effect of Mobile Banking on the Financial Performance of Commercial Banks in Bangladesh.</w:t>
      </w:r>
      <w:r w:rsidRPr="00A33607">
        <w:t xml:space="preserve"> </w:t>
      </w:r>
      <w:r w:rsidRPr="00A33607">
        <w:rPr>
          <w:i/>
          <w:szCs w:val="24"/>
        </w:rPr>
        <w:t>International Journal of Research and Scientific Innovation, 11</w:t>
      </w:r>
      <w:r w:rsidRPr="00A33607">
        <w:rPr>
          <w:szCs w:val="24"/>
        </w:rPr>
        <w:t>(9), 482-494.</w:t>
      </w:r>
    </w:p>
    <w:p w14:paraId="335CE61B" w14:textId="77777777" w:rsidR="007D462E" w:rsidRPr="00A33607" w:rsidRDefault="007D462E" w:rsidP="007D462E">
      <w:pPr>
        <w:spacing w:line="240" w:lineRule="auto"/>
        <w:ind w:left="720" w:hanging="720"/>
        <w:rPr>
          <w:szCs w:val="24"/>
        </w:rPr>
      </w:pPr>
      <w:r w:rsidRPr="00A33607">
        <w:rPr>
          <w:szCs w:val="24"/>
        </w:rPr>
        <w:t xml:space="preserve">Schmidt, F., &amp; Vogel, M. (2022). Digital finance revolution: Lessons from Europe. </w:t>
      </w:r>
      <w:r w:rsidRPr="00A33607">
        <w:rPr>
          <w:i/>
          <w:szCs w:val="24"/>
        </w:rPr>
        <w:t>European Financial Studies, 19</w:t>
      </w:r>
      <w:r w:rsidRPr="00A33607">
        <w:rPr>
          <w:szCs w:val="24"/>
        </w:rPr>
        <w:t>(1), 64–81.</w:t>
      </w:r>
    </w:p>
    <w:p w14:paraId="43251DBE" w14:textId="77777777" w:rsidR="007D462E" w:rsidRPr="00A33607" w:rsidRDefault="007D462E" w:rsidP="007D462E">
      <w:pPr>
        <w:spacing w:line="240" w:lineRule="auto"/>
        <w:ind w:left="720" w:hanging="720"/>
        <w:rPr>
          <w:szCs w:val="24"/>
        </w:rPr>
      </w:pPr>
      <w:r w:rsidRPr="00A33607">
        <w:rPr>
          <w:szCs w:val="24"/>
        </w:rPr>
        <w:t xml:space="preserve">Wang, H. &amp; Gunawan, A. (2022). Analyzing the impact of digital payment on efficiency and productivity of commercial banks: A case study in China. </w:t>
      </w:r>
      <w:r w:rsidRPr="00A33607">
        <w:rPr>
          <w:i/>
          <w:szCs w:val="24"/>
        </w:rPr>
        <w:t>Proceedings of the 12th Annual International Conference on Industrial Engineering and Operations Management, Istanbul, Turkey, 7</w:t>
      </w:r>
      <w:r w:rsidRPr="00A33607">
        <w:rPr>
          <w:szCs w:val="24"/>
        </w:rPr>
        <w:t>(10), 1-11.</w:t>
      </w:r>
    </w:p>
    <w:p w14:paraId="18908E09" w14:textId="34DB7D95" w:rsidR="00A33607" w:rsidRPr="00A33607" w:rsidRDefault="00A33607" w:rsidP="007D462E">
      <w:pPr>
        <w:spacing w:line="240" w:lineRule="auto"/>
        <w:ind w:left="720" w:hanging="720"/>
        <w:rPr>
          <w:szCs w:val="24"/>
        </w:rPr>
      </w:pPr>
      <w:r w:rsidRPr="00A33607">
        <w:rPr>
          <w:szCs w:val="24"/>
        </w:rPr>
        <w:lastRenderedPageBreak/>
        <w:t xml:space="preserve">Wernerfelt, B. (1984). A resource‐based view of the firm. </w:t>
      </w:r>
      <w:r w:rsidRPr="00A33607">
        <w:rPr>
          <w:i/>
          <w:iCs/>
          <w:szCs w:val="24"/>
        </w:rPr>
        <w:t>Strategic management journal</w:t>
      </w:r>
      <w:r w:rsidRPr="00A33607">
        <w:rPr>
          <w:szCs w:val="24"/>
        </w:rPr>
        <w:t xml:space="preserve">, </w:t>
      </w:r>
      <w:r w:rsidRPr="00A33607">
        <w:rPr>
          <w:i/>
          <w:iCs/>
          <w:szCs w:val="24"/>
        </w:rPr>
        <w:t>5</w:t>
      </w:r>
      <w:r w:rsidRPr="00A33607">
        <w:rPr>
          <w:szCs w:val="24"/>
        </w:rPr>
        <w:t>(2), 171-180.</w:t>
      </w:r>
    </w:p>
    <w:p w14:paraId="30C2FF90" w14:textId="5932D88B" w:rsidR="006B5DD2" w:rsidRPr="00A33607" w:rsidRDefault="00A33607" w:rsidP="00A33607">
      <w:pPr>
        <w:spacing w:line="240" w:lineRule="auto"/>
        <w:ind w:left="720" w:hanging="720"/>
        <w:rPr>
          <w:szCs w:val="24"/>
        </w:rPr>
      </w:pPr>
      <w:r w:rsidRPr="00A33607">
        <w:rPr>
          <w:szCs w:val="24"/>
        </w:rPr>
        <w:t>Yamane, Taro. (1967). Statistics, An Introductory Analysis, 2nd Ed., p. 886. New York: Harper and Row.</w:t>
      </w:r>
    </w:p>
    <w:p w14:paraId="0F57C41B" w14:textId="77777777" w:rsidR="006B5DD2" w:rsidRDefault="006B5DD2" w:rsidP="00BF2F55">
      <w:pPr>
        <w:ind w:left="720" w:hanging="720"/>
        <w:rPr>
          <w:color w:val="000000"/>
          <w:szCs w:val="24"/>
        </w:rPr>
      </w:pPr>
    </w:p>
    <w:p w14:paraId="42C10079" w14:textId="22D0F73C" w:rsidR="006273C5" w:rsidRPr="003B6D65" w:rsidRDefault="006273C5" w:rsidP="00877579">
      <w:pPr>
        <w:ind w:left="720" w:hanging="720"/>
        <w:rPr>
          <w:color w:val="000000"/>
          <w:szCs w:val="24"/>
        </w:rPr>
      </w:pPr>
    </w:p>
    <w:sectPr w:rsidR="006273C5" w:rsidRPr="003B6D65" w:rsidSect="002B606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FFA71" w14:textId="77777777" w:rsidR="003E002B" w:rsidRDefault="003E002B">
      <w:pPr>
        <w:spacing w:after="0"/>
      </w:pPr>
      <w:r>
        <w:separator/>
      </w:r>
    </w:p>
  </w:endnote>
  <w:endnote w:type="continuationSeparator" w:id="0">
    <w:p w14:paraId="509247E8" w14:textId="77777777" w:rsidR="003E002B" w:rsidRDefault="003E00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0DEE" w14:textId="77777777" w:rsidR="005E36E8" w:rsidRDefault="005E36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57C8C" w14:textId="77777777" w:rsidR="009C0A4B" w:rsidRDefault="00837462">
    <w:pPr>
      <w:pStyle w:val="Footer"/>
      <w:jc w:val="center"/>
    </w:pPr>
    <w:r>
      <w:fldChar w:fldCharType="begin"/>
    </w:r>
    <w:r w:rsidR="009C0A4B">
      <w:instrText xml:space="preserve"> PAGE   \* MERGEFORMAT </w:instrText>
    </w:r>
    <w:r>
      <w:fldChar w:fldCharType="separate"/>
    </w:r>
    <w:r w:rsidR="00BF2F55">
      <w:rPr>
        <w:noProof/>
      </w:rPr>
      <w:t>1</w:t>
    </w:r>
    <w:r>
      <w:rPr>
        <w:noProof/>
      </w:rPr>
      <w:fldChar w:fldCharType="end"/>
    </w:r>
  </w:p>
  <w:p w14:paraId="1FF800EB" w14:textId="77777777" w:rsidR="009C0A4B" w:rsidRDefault="009C0A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0EEB1" w14:textId="77777777" w:rsidR="005E36E8" w:rsidRDefault="005E3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B0836" w14:textId="77777777" w:rsidR="003E002B" w:rsidRDefault="003E002B">
      <w:pPr>
        <w:spacing w:after="0"/>
      </w:pPr>
      <w:r>
        <w:separator/>
      </w:r>
    </w:p>
  </w:footnote>
  <w:footnote w:type="continuationSeparator" w:id="0">
    <w:p w14:paraId="51705FC3" w14:textId="77777777" w:rsidR="003E002B" w:rsidRDefault="003E002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38CBE" w14:textId="195A1264" w:rsidR="005E36E8" w:rsidRDefault="005E36E8">
    <w:pPr>
      <w:pStyle w:val="Header"/>
    </w:pPr>
    <w:r>
      <w:rPr>
        <w:noProof/>
      </w:rPr>
      <w:pict w14:anchorId="750344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22719"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6F32" w14:textId="7710B22B" w:rsidR="005E36E8" w:rsidRDefault="005E36E8">
    <w:pPr>
      <w:pStyle w:val="Header"/>
    </w:pPr>
    <w:r>
      <w:rPr>
        <w:noProof/>
      </w:rPr>
      <w:pict w14:anchorId="0F2AC6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22720"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31F15" w14:textId="1CB5AFC7" w:rsidR="005E36E8" w:rsidRDefault="005E36E8">
    <w:pPr>
      <w:pStyle w:val="Header"/>
    </w:pPr>
    <w:r>
      <w:rPr>
        <w:noProof/>
      </w:rPr>
      <w:pict w14:anchorId="75CEE1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22718"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20C9"/>
    <w:multiLevelType w:val="multilevel"/>
    <w:tmpl w:val="DB12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263E68"/>
    <w:multiLevelType w:val="hybridMultilevel"/>
    <w:tmpl w:val="A5BC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112A38"/>
    <w:multiLevelType w:val="hybridMultilevel"/>
    <w:tmpl w:val="D2B89D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112FFA"/>
    <w:multiLevelType w:val="multilevel"/>
    <w:tmpl w:val="ED5A303A"/>
    <w:lvl w:ilvl="0">
      <w:start w:val="1"/>
      <w:numFmt w:val="decimal"/>
      <w:lvlText w:val="%1"/>
      <w:lvlJc w:val="left"/>
      <w:pPr>
        <w:ind w:left="360" w:hanging="360"/>
      </w:pPr>
      <w:rPr>
        <w:rFonts w:hint="default"/>
      </w:rPr>
    </w:lvl>
    <w:lvl w:ilvl="1">
      <w:start w:val="1"/>
      <w:numFmt w:val="decimal"/>
      <w:lvlText w:val="%1.%2"/>
      <w:lvlJc w:val="left"/>
      <w:pPr>
        <w:ind w:left="531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653322F2"/>
    <w:multiLevelType w:val="hybridMultilevel"/>
    <w:tmpl w:val="90301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15082E"/>
    <w:multiLevelType w:val="hybridMultilevel"/>
    <w:tmpl w:val="CB587E92"/>
    <w:lvl w:ilvl="0" w:tplc="4658337E">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3329789">
    <w:abstractNumId w:val="3"/>
  </w:num>
  <w:num w:numId="2" w16cid:durableId="1033580142">
    <w:abstractNumId w:val="5"/>
  </w:num>
  <w:num w:numId="3" w16cid:durableId="639501016">
    <w:abstractNumId w:val="1"/>
  </w:num>
  <w:num w:numId="4" w16cid:durableId="958805140">
    <w:abstractNumId w:val="3"/>
    <w:lvlOverride w:ilvl="0">
      <w:startOverride w:val="4"/>
    </w:lvlOverride>
    <w:lvlOverride w:ilvl="1">
      <w:startOverride w:val="4"/>
    </w:lvlOverride>
  </w:num>
  <w:num w:numId="5" w16cid:durableId="941911144">
    <w:abstractNumId w:val="3"/>
  </w:num>
  <w:num w:numId="6" w16cid:durableId="1873151008">
    <w:abstractNumId w:val="3"/>
  </w:num>
  <w:num w:numId="7" w16cid:durableId="1633553743">
    <w:abstractNumId w:val="3"/>
  </w:num>
  <w:num w:numId="8" w16cid:durableId="211888795">
    <w:abstractNumId w:val="0"/>
  </w:num>
  <w:num w:numId="9" w16cid:durableId="1096485577">
    <w:abstractNumId w:val="3"/>
  </w:num>
  <w:num w:numId="10" w16cid:durableId="194126690">
    <w:abstractNumId w:val="3"/>
  </w:num>
  <w:num w:numId="11" w16cid:durableId="654837563">
    <w:abstractNumId w:val="3"/>
  </w:num>
  <w:num w:numId="12" w16cid:durableId="1581988030">
    <w:abstractNumId w:val="3"/>
  </w:num>
  <w:num w:numId="13" w16cid:durableId="435751189">
    <w:abstractNumId w:val="3"/>
  </w:num>
  <w:num w:numId="14" w16cid:durableId="80951189">
    <w:abstractNumId w:val="3"/>
  </w:num>
  <w:num w:numId="15" w16cid:durableId="1454057929">
    <w:abstractNumId w:val="3"/>
  </w:num>
  <w:num w:numId="16" w16cid:durableId="306864491">
    <w:abstractNumId w:val="2"/>
  </w:num>
  <w:num w:numId="17" w16cid:durableId="34270459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AxNDYyMjEztbS0MDZU0lEKTi0uzszPAykwqQUAqdBzjywAAAA="/>
  </w:docVars>
  <w:rsids>
    <w:rsidRoot w:val="00871CC7"/>
    <w:rsid w:val="000029FD"/>
    <w:rsid w:val="00002A59"/>
    <w:rsid w:val="00003154"/>
    <w:rsid w:val="00003D58"/>
    <w:rsid w:val="00013BEC"/>
    <w:rsid w:val="00013E2D"/>
    <w:rsid w:val="00020086"/>
    <w:rsid w:val="00020442"/>
    <w:rsid w:val="00020B9C"/>
    <w:rsid w:val="000218A1"/>
    <w:rsid w:val="00025634"/>
    <w:rsid w:val="00026B01"/>
    <w:rsid w:val="000306E6"/>
    <w:rsid w:val="00030A1A"/>
    <w:rsid w:val="00030E54"/>
    <w:rsid w:val="00031EDF"/>
    <w:rsid w:val="0003201F"/>
    <w:rsid w:val="00032545"/>
    <w:rsid w:val="00032E00"/>
    <w:rsid w:val="000339CD"/>
    <w:rsid w:val="0003479A"/>
    <w:rsid w:val="0003509F"/>
    <w:rsid w:val="0003587B"/>
    <w:rsid w:val="00036B96"/>
    <w:rsid w:val="000411C5"/>
    <w:rsid w:val="0004275A"/>
    <w:rsid w:val="00043B1C"/>
    <w:rsid w:val="00043F4A"/>
    <w:rsid w:val="000463FE"/>
    <w:rsid w:val="00050D8F"/>
    <w:rsid w:val="00050DF2"/>
    <w:rsid w:val="00051D0A"/>
    <w:rsid w:val="00051DFE"/>
    <w:rsid w:val="000527B9"/>
    <w:rsid w:val="00052B6A"/>
    <w:rsid w:val="00055550"/>
    <w:rsid w:val="00056D65"/>
    <w:rsid w:val="00056D70"/>
    <w:rsid w:val="00060A15"/>
    <w:rsid w:val="00061682"/>
    <w:rsid w:val="00061CD9"/>
    <w:rsid w:val="00061E77"/>
    <w:rsid w:val="0006727E"/>
    <w:rsid w:val="0006760B"/>
    <w:rsid w:val="000702ED"/>
    <w:rsid w:val="000720E2"/>
    <w:rsid w:val="000742D6"/>
    <w:rsid w:val="00081C4C"/>
    <w:rsid w:val="00086AA4"/>
    <w:rsid w:val="000931E8"/>
    <w:rsid w:val="00094440"/>
    <w:rsid w:val="000946E5"/>
    <w:rsid w:val="00095340"/>
    <w:rsid w:val="000A0B84"/>
    <w:rsid w:val="000A18A0"/>
    <w:rsid w:val="000A2005"/>
    <w:rsid w:val="000A3A69"/>
    <w:rsid w:val="000A3AE2"/>
    <w:rsid w:val="000A7359"/>
    <w:rsid w:val="000A78FA"/>
    <w:rsid w:val="000B0250"/>
    <w:rsid w:val="000B0C58"/>
    <w:rsid w:val="000B25BC"/>
    <w:rsid w:val="000B39B5"/>
    <w:rsid w:val="000B4A7F"/>
    <w:rsid w:val="000B4DAE"/>
    <w:rsid w:val="000B4F66"/>
    <w:rsid w:val="000B7507"/>
    <w:rsid w:val="000B770D"/>
    <w:rsid w:val="000C0953"/>
    <w:rsid w:val="000C0A20"/>
    <w:rsid w:val="000C0E84"/>
    <w:rsid w:val="000C32C6"/>
    <w:rsid w:val="000C39B0"/>
    <w:rsid w:val="000C4833"/>
    <w:rsid w:val="000C5D50"/>
    <w:rsid w:val="000C5EBA"/>
    <w:rsid w:val="000C5FBA"/>
    <w:rsid w:val="000C6E8E"/>
    <w:rsid w:val="000D0F9C"/>
    <w:rsid w:val="000D28B4"/>
    <w:rsid w:val="000E288F"/>
    <w:rsid w:val="000E2DC4"/>
    <w:rsid w:val="000E4B1E"/>
    <w:rsid w:val="000E6D8E"/>
    <w:rsid w:val="000E6F94"/>
    <w:rsid w:val="000F2FC8"/>
    <w:rsid w:val="000F375F"/>
    <w:rsid w:val="000F631B"/>
    <w:rsid w:val="0010041E"/>
    <w:rsid w:val="001004E6"/>
    <w:rsid w:val="00100A42"/>
    <w:rsid w:val="001021BC"/>
    <w:rsid w:val="001035BE"/>
    <w:rsid w:val="00103764"/>
    <w:rsid w:val="00103D4C"/>
    <w:rsid w:val="00103FF0"/>
    <w:rsid w:val="00110E3C"/>
    <w:rsid w:val="00111541"/>
    <w:rsid w:val="00111B1D"/>
    <w:rsid w:val="001127FF"/>
    <w:rsid w:val="0011405B"/>
    <w:rsid w:val="00116E3A"/>
    <w:rsid w:val="0012089B"/>
    <w:rsid w:val="00123921"/>
    <w:rsid w:val="00125203"/>
    <w:rsid w:val="001254DA"/>
    <w:rsid w:val="00127D39"/>
    <w:rsid w:val="001335C6"/>
    <w:rsid w:val="00136022"/>
    <w:rsid w:val="00136215"/>
    <w:rsid w:val="001363F2"/>
    <w:rsid w:val="00137B27"/>
    <w:rsid w:val="00141B9B"/>
    <w:rsid w:val="00144CA9"/>
    <w:rsid w:val="00145518"/>
    <w:rsid w:val="0015185B"/>
    <w:rsid w:val="00151A1D"/>
    <w:rsid w:val="0015273D"/>
    <w:rsid w:val="00155643"/>
    <w:rsid w:val="00156289"/>
    <w:rsid w:val="00156D20"/>
    <w:rsid w:val="00156DF9"/>
    <w:rsid w:val="001608D2"/>
    <w:rsid w:val="0016092B"/>
    <w:rsid w:val="0016115D"/>
    <w:rsid w:val="00161AC5"/>
    <w:rsid w:val="001625A0"/>
    <w:rsid w:val="001629D6"/>
    <w:rsid w:val="0016339D"/>
    <w:rsid w:val="001644CD"/>
    <w:rsid w:val="00166F69"/>
    <w:rsid w:val="00167941"/>
    <w:rsid w:val="00170EDF"/>
    <w:rsid w:val="00171EC0"/>
    <w:rsid w:val="00174FE3"/>
    <w:rsid w:val="00175274"/>
    <w:rsid w:val="001753EE"/>
    <w:rsid w:val="00175B0D"/>
    <w:rsid w:val="00177623"/>
    <w:rsid w:val="0018069A"/>
    <w:rsid w:val="00180D55"/>
    <w:rsid w:val="001810E4"/>
    <w:rsid w:val="00181D21"/>
    <w:rsid w:val="00181ECB"/>
    <w:rsid w:val="00182856"/>
    <w:rsid w:val="00182AA6"/>
    <w:rsid w:val="001832A2"/>
    <w:rsid w:val="0018471C"/>
    <w:rsid w:val="0018599F"/>
    <w:rsid w:val="00185E06"/>
    <w:rsid w:val="00192A55"/>
    <w:rsid w:val="00195977"/>
    <w:rsid w:val="0019662C"/>
    <w:rsid w:val="001A069E"/>
    <w:rsid w:val="001A102C"/>
    <w:rsid w:val="001A1185"/>
    <w:rsid w:val="001A3322"/>
    <w:rsid w:val="001A3D9A"/>
    <w:rsid w:val="001B012E"/>
    <w:rsid w:val="001B0AC8"/>
    <w:rsid w:val="001B2495"/>
    <w:rsid w:val="001B2CC8"/>
    <w:rsid w:val="001B4121"/>
    <w:rsid w:val="001B724D"/>
    <w:rsid w:val="001B78ED"/>
    <w:rsid w:val="001C0412"/>
    <w:rsid w:val="001C0DB2"/>
    <w:rsid w:val="001C2FEF"/>
    <w:rsid w:val="001C3146"/>
    <w:rsid w:val="001C3B37"/>
    <w:rsid w:val="001C4042"/>
    <w:rsid w:val="001C40C6"/>
    <w:rsid w:val="001C461D"/>
    <w:rsid w:val="001C4A1A"/>
    <w:rsid w:val="001C4DC8"/>
    <w:rsid w:val="001C739E"/>
    <w:rsid w:val="001C7DF1"/>
    <w:rsid w:val="001D0415"/>
    <w:rsid w:val="001D0E88"/>
    <w:rsid w:val="001D1E96"/>
    <w:rsid w:val="001D204B"/>
    <w:rsid w:val="001D3A85"/>
    <w:rsid w:val="001D6CCF"/>
    <w:rsid w:val="001D75A9"/>
    <w:rsid w:val="001E0B5B"/>
    <w:rsid w:val="001E0C1D"/>
    <w:rsid w:val="001E2AA9"/>
    <w:rsid w:val="001E5B0D"/>
    <w:rsid w:val="001E6CBD"/>
    <w:rsid w:val="001F0CA2"/>
    <w:rsid w:val="001F4403"/>
    <w:rsid w:val="001F505F"/>
    <w:rsid w:val="001F50DA"/>
    <w:rsid w:val="001F5614"/>
    <w:rsid w:val="001F58D0"/>
    <w:rsid w:val="00200B95"/>
    <w:rsid w:val="00206AC3"/>
    <w:rsid w:val="00206ED3"/>
    <w:rsid w:val="002139BE"/>
    <w:rsid w:val="002162A2"/>
    <w:rsid w:val="002172B6"/>
    <w:rsid w:val="0021731A"/>
    <w:rsid w:val="002173B8"/>
    <w:rsid w:val="00217799"/>
    <w:rsid w:val="00217F9B"/>
    <w:rsid w:val="002202D9"/>
    <w:rsid w:val="0022178A"/>
    <w:rsid w:val="002217EB"/>
    <w:rsid w:val="00221A51"/>
    <w:rsid w:val="00221FF6"/>
    <w:rsid w:val="00224BBB"/>
    <w:rsid w:val="00225A1E"/>
    <w:rsid w:val="002260D9"/>
    <w:rsid w:val="00227800"/>
    <w:rsid w:val="00231B75"/>
    <w:rsid w:val="00232006"/>
    <w:rsid w:val="00233207"/>
    <w:rsid w:val="00234AAE"/>
    <w:rsid w:val="002370EB"/>
    <w:rsid w:val="0023762A"/>
    <w:rsid w:val="00241D81"/>
    <w:rsid w:val="00242FB5"/>
    <w:rsid w:val="00243274"/>
    <w:rsid w:val="00243DB5"/>
    <w:rsid w:val="00244AB0"/>
    <w:rsid w:val="00245249"/>
    <w:rsid w:val="00246784"/>
    <w:rsid w:val="00246B47"/>
    <w:rsid w:val="00247EFB"/>
    <w:rsid w:val="00250BA6"/>
    <w:rsid w:val="0025173A"/>
    <w:rsid w:val="00251761"/>
    <w:rsid w:val="002531D9"/>
    <w:rsid w:val="002544BA"/>
    <w:rsid w:val="00255139"/>
    <w:rsid w:val="002558CD"/>
    <w:rsid w:val="0026218D"/>
    <w:rsid w:val="002628EA"/>
    <w:rsid w:val="002639CB"/>
    <w:rsid w:val="002641F0"/>
    <w:rsid w:val="0026525D"/>
    <w:rsid w:val="00266156"/>
    <w:rsid w:val="00267221"/>
    <w:rsid w:val="00267EFE"/>
    <w:rsid w:val="00271469"/>
    <w:rsid w:val="00271AE9"/>
    <w:rsid w:val="002733AF"/>
    <w:rsid w:val="00273936"/>
    <w:rsid w:val="00273D0C"/>
    <w:rsid w:val="00274538"/>
    <w:rsid w:val="00275F20"/>
    <w:rsid w:val="002775B4"/>
    <w:rsid w:val="002779B2"/>
    <w:rsid w:val="00281061"/>
    <w:rsid w:val="00281FCD"/>
    <w:rsid w:val="00282398"/>
    <w:rsid w:val="00285F55"/>
    <w:rsid w:val="00286085"/>
    <w:rsid w:val="002873A5"/>
    <w:rsid w:val="0028767A"/>
    <w:rsid w:val="00291583"/>
    <w:rsid w:val="00293A2A"/>
    <w:rsid w:val="00295089"/>
    <w:rsid w:val="002958AB"/>
    <w:rsid w:val="002A2B16"/>
    <w:rsid w:val="002B063B"/>
    <w:rsid w:val="002B0D01"/>
    <w:rsid w:val="002B1478"/>
    <w:rsid w:val="002B1C31"/>
    <w:rsid w:val="002B4ECE"/>
    <w:rsid w:val="002B6063"/>
    <w:rsid w:val="002C0C38"/>
    <w:rsid w:val="002C1CBE"/>
    <w:rsid w:val="002C1D69"/>
    <w:rsid w:val="002C1F17"/>
    <w:rsid w:val="002D0A1A"/>
    <w:rsid w:val="002D2263"/>
    <w:rsid w:val="002D2BA8"/>
    <w:rsid w:val="002D79B2"/>
    <w:rsid w:val="002E225A"/>
    <w:rsid w:val="002E5358"/>
    <w:rsid w:val="002E6326"/>
    <w:rsid w:val="002E79E4"/>
    <w:rsid w:val="002F167B"/>
    <w:rsid w:val="002F1AD3"/>
    <w:rsid w:val="002F7183"/>
    <w:rsid w:val="002F7714"/>
    <w:rsid w:val="00300D9F"/>
    <w:rsid w:val="003031BC"/>
    <w:rsid w:val="00303BBF"/>
    <w:rsid w:val="00304D76"/>
    <w:rsid w:val="00306307"/>
    <w:rsid w:val="0031012E"/>
    <w:rsid w:val="0031129A"/>
    <w:rsid w:val="003117F5"/>
    <w:rsid w:val="00311824"/>
    <w:rsid w:val="00311A4B"/>
    <w:rsid w:val="00311DA4"/>
    <w:rsid w:val="00311F6B"/>
    <w:rsid w:val="00313B54"/>
    <w:rsid w:val="00313DE3"/>
    <w:rsid w:val="00313FDC"/>
    <w:rsid w:val="00314413"/>
    <w:rsid w:val="00315F9D"/>
    <w:rsid w:val="00316E52"/>
    <w:rsid w:val="00317068"/>
    <w:rsid w:val="00321ADC"/>
    <w:rsid w:val="0032230C"/>
    <w:rsid w:val="00323012"/>
    <w:rsid w:val="00323474"/>
    <w:rsid w:val="00323A9F"/>
    <w:rsid w:val="0032434B"/>
    <w:rsid w:val="00330D4C"/>
    <w:rsid w:val="00331718"/>
    <w:rsid w:val="00333724"/>
    <w:rsid w:val="00334102"/>
    <w:rsid w:val="0033470E"/>
    <w:rsid w:val="00335F23"/>
    <w:rsid w:val="00335F3A"/>
    <w:rsid w:val="00335F64"/>
    <w:rsid w:val="00341FDC"/>
    <w:rsid w:val="00343C4D"/>
    <w:rsid w:val="003509F8"/>
    <w:rsid w:val="00352921"/>
    <w:rsid w:val="00354764"/>
    <w:rsid w:val="003552D3"/>
    <w:rsid w:val="003567CF"/>
    <w:rsid w:val="00357965"/>
    <w:rsid w:val="00365300"/>
    <w:rsid w:val="003666CF"/>
    <w:rsid w:val="00366B6C"/>
    <w:rsid w:val="00367A5A"/>
    <w:rsid w:val="00370C28"/>
    <w:rsid w:val="00374B4A"/>
    <w:rsid w:val="0037793C"/>
    <w:rsid w:val="00380829"/>
    <w:rsid w:val="00382A4E"/>
    <w:rsid w:val="0038505F"/>
    <w:rsid w:val="003852AE"/>
    <w:rsid w:val="003854B7"/>
    <w:rsid w:val="00394693"/>
    <w:rsid w:val="003949BA"/>
    <w:rsid w:val="00395836"/>
    <w:rsid w:val="003958C1"/>
    <w:rsid w:val="00397147"/>
    <w:rsid w:val="00397884"/>
    <w:rsid w:val="00397ACA"/>
    <w:rsid w:val="00397BDD"/>
    <w:rsid w:val="00397E25"/>
    <w:rsid w:val="003A0200"/>
    <w:rsid w:val="003A2138"/>
    <w:rsid w:val="003A2AEE"/>
    <w:rsid w:val="003A4B5E"/>
    <w:rsid w:val="003A5F05"/>
    <w:rsid w:val="003B33BB"/>
    <w:rsid w:val="003B5685"/>
    <w:rsid w:val="003B575A"/>
    <w:rsid w:val="003B5856"/>
    <w:rsid w:val="003B5D6E"/>
    <w:rsid w:val="003B6D65"/>
    <w:rsid w:val="003B70C3"/>
    <w:rsid w:val="003C05AE"/>
    <w:rsid w:val="003C17A5"/>
    <w:rsid w:val="003C2E2D"/>
    <w:rsid w:val="003D28BC"/>
    <w:rsid w:val="003D39D1"/>
    <w:rsid w:val="003D3BE4"/>
    <w:rsid w:val="003D5539"/>
    <w:rsid w:val="003D5650"/>
    <w:rsid w:val="003D6075"/>
    <w:rsid w:val="003D7EA8"/>
    <w:rsid w:val="003E002B"/>
    <w:rsid w:val="003E093B"/>
    <w:rsid w:val="003E2091"/>
    <w:rsid w:val="003E4671"/>
    <w:rsid w:val="003E4E96"/>
    <w:rsid w:val="003E5A8B"/>
    <w:rsid w:val="003E6DE4"/>
    <w:rsid w:val="003E7116"/>
    <w:rsid w:val="003F0B90"/>
    <w:rsid w:val="003F3D5D"/>
    <w:rsid w:val="003F502B"/>
    <w:rsid w:val="003F5963"/>
    <w:rsid w:val="003F6F8E"/>
    <w:rsid w:val="003F7FD9"/>
    <w:rsid w:val="00401A12"/>
    <w:rsid w:val="00402077"/>
    <w:rsid w:val="004041AF"/>
    <w:rsid w:val="004050C8"/>
    <w:rsid w:val="00405F39"/>
    <w:rsid w:val="00406CF8"/>
    <w:rsid w:val="00410365"/>
    <w:rsid w:val="00411E82"/>
    <w:rsid w:val="004150B4"/>
    <w:rsid w:val="00417F08"/>
    <w:rsid w:val="00423676"/>
    <w:rsid w:val="004245BF"/>
    <w:rsid w:val="00427278"/>
    <w:rsid w:val="00427C3C"/>
    <w:rsid w:val="00427C82"/>
    <w:rsid w:val="0043116B"/>
    <w:rsid w:val="00433121"/>
    <w:rsid w:val="004337B8"/>
    <w:rsid w:val="00435368"/>
    <w:rsid w:val="004370BD"/>
    <w:rsid w:val="0043761C"/>
    <w:rsid w:val="0043788A"/>
    <w:rsid w:val="00437AEA"/>
    <w:rsid w:val="0044035F"/>
    <w:rsid w:val="004413CD"/>
    <w:rsid w:val="00446205"/>
    <w:rsid w:val="00446245"/>
    <w:rsid w:val="00447274"/>
    <w:rsid w:val="00452FAC"/>
    <w:rsid w:val="00455D59"/>
    <w:rsid w:val="00455E44"/>
    <w:rsid w:val="004570C9"/>
    <w:rsid w:val="00460C27"/>
    <w:rsid w:val="004617AD"/>
    <w:rsid w:val="0046206F"/>
    <w:rsid w:val="00462466"/>
    <w:rsid w:val="004624B7"/>
    <w:rsid w:val="00463288"/>
    <w:rsid w:val="0046331D"/>
    <w:rsid w:val="00463E1E"/>
    <w:rsid w:val="0046467B"/>
    <w:rsid w:val="00464793"/>
    <w:rsid w:val="0046497B"/>
    <w:rsid w:val="00465BCB"/>
    <w:rsid w:val="00465F7C"/>
    <w:rsid w:val="00467211"/>
    <w:rsid w:val="00467222"/>
    <w:rsid w:val="004705FE"/>
    <w:rsid w:val="004719B2"/>
    <w:rsid w:val="004719E4"/>
    <w:rsid w:val="0047215C"/>
    <w:rsid w:val="004749B3"/>
    <w:rsid w:val="00476E00"/>
    <w:rsid w:val="00477BC1"/>
    <w:rsid w:val="00480131"/>
    <w:rsid w:val="004826FD"/>
    <w:rsid w:val="00490CFA"/>
    <w:rsid w:val="0049111D"/>
    <w:rsid w:val="004915DF"/>
    <w:rsid w:val="00492C05"/>
    <w:rsid w:val="00492CE2"/>
    <w:rsid w:val="004958A8"/>
    <w:rsid w:val="0049668C"/>
    <w:rsid w:val="00496904"/>
    <w:rsid w:val="00496A76"/>
    <w:rsid w:val="004A0477"/>
    <w:rsid w:val="004A273E"/>
    <w:rsid w:val="004A4134"/>
    <w:rsid w:val="004A5A54"/>
    <w:rsid w:val="004A68DE"/>
    <w:rsid w:val="004A737A"/>
    <w:rsid w:val="004A7BC3"/>
    <w:rsid w:val="004A7FA0"/>
    <w:rsid w:val="004B4620"/>
    <w:rsid w:val="004B53CF"/>
    <w:rsid w:val="004B630E"/>
    <w:rsid w:val="004B767B"/>
    <w:rsid w:val="004B7B53"/>
    <w:rsid w:val="004C2088"/>
    <w:rsid w:val="004C28C6"/>
    <w:rsid w:val="004C2A36"/>
    <w:rsid w:val="004C3AA3"/>
    <w:rsid w:val="004C4E75"/>
    <w:rsid w:val="004D0AC6"/>
    <w:rsid w:val="004D274E"/>
    <w:rsid w:val="004D36EA"/>
    <w:rsid w:val="004D43B0"/>
    <w:rsid w:val="004D620A"/>
    <w:rsid w:val="004E36D1"/>
    <w:rsid w:val="004E4983"/>
    <w:rsid w:val="004E4D98"/>
    <w:rsid w:val="004E6AC2"/>
    <w:rsid w:val="004F22E3"/>
    <w:rsid w:val="004F255F"/>
    <w:rsid w:val="004F3F0E"/>
    <w:rsid w:val="004F4115"/>
    <w:rsid w:val="004F4500"/>
    <w:rsid w:val="004F4DBF"/>
    <w:rsid w:val="004F4FCE"/>
    <w:rsid w:val="004F5126"/>
    <w:rsid w:val="004F7BBD"/>
    <w:rsid w:val="00501F30"/>
    <w:rsid w:val="005040BD"/>
    <w:rsid w:val="005057E3"/>
    <w:rsid w:val="005064F0"/>
    <w:rsid w:val="005067F5"/>
    <w:rsid w:val="0050788D"/>
    <w:rsid w:val="00507995"/>
    <w:rsid w:val="00510158"/>
    <w:rsid w:val="005121F5"/>
    <w:rsid w:val="00512AEE"/>
    <w:rsid w:val="005134C6"/>
    <w:rsid w:val="00515525"/>
    <w:rsid w:val="0051598E"/>
    <w:rsid w:val="005163E2"/>
    <w:rsid w:val="00520627"/>
    <w:rsid w:val="00523C15"/>
    <w:rsid w:val="00525D59"/>
    <w:rsid w:val="005266D0"/>
    <w:rsid w:val="00526A5B"/>
    <w:rsid w:val="00526B51"/>
    <w:rsid w:val="00526EBB"/>
    <w:rsid w:val="00527346"/>
    <w:rsid w:val="00527F4F"/>
    <w:rsid w:val="00531293"/>
    <w:rsid w:val="0053206C"/>
    <w:rsid w:val="005324EB"/>
    <w:rsid w:val="0053669C"/>
    <w:rsid w:val="00536CE9"/>
    <w:rsid w:val="005379A9"/>
    <w:rsid w:val="00537A1A"/>
    <w:rsid w:val="00542ED1"/>
    <w:rsid w:val="00543C57"/>
    <w:rsid w:val="00546511"/>
    <w:rsid w:val="00546D81"/>
    <w:rsid w:val="00547A6C"/>
    <w:rsid w:val="00550B90"/>
    <w:rsid w:val="00552C76"/>
    <w:rsid w:val="00554157"/>
    <w:rsid w:val="005557BC"/>
    <w:rsid w:val="0056122B"/>
    <w:rsid w:val="005614EA"/>
    <w:rsid w:val="0056382C"/>
    <w:rsid w:val="00566695"/>
    <w:rsid w:val="00566AD7"/>
    <w:rsid w:val="00573224"/>
    <w:rsid w:val="0057485A"/>
    <w:rsid w:val="00574A5B"/>
    <w:rsid w:val="00574E9F"/>
    <w:rsid w:val="00575A5A"/>
    <w:rsid w:val="00575FC7"/>
    <w:rsid w:val="0057658C"/>
    <w:rsid w:val="00581533"/>
    <w:rsid w:val="00584456"/>
    <w:rsid w:val="005852A9"/>
    <w:rsid w:val="00585CDF"/>
    <w:rsid w:val="0058643A"/>
    <w:rsid w:val="0058665A"/>
    <w:rsid w:val="005867D6"/>
    <w:rsid w:val="00586BA2"/>
    <w:rsid w:val="00590B34"/>
    <w:rsid w:val="00591D7C"/>
    <w:rsid w:val="005925BE"/>
    <w:rsid w:val="0059341D"/>
    <w:rsid w:val="0059388C"/>
    <w:rsid w:val="005A0F52"/>
    <w:rsid w:val="005A2AF6"/>
    <w:rsid w:val="005A6DEA"/>
    <w:rsid w:val="005A714E"/>
    <w:rsid w:val="005A76A6"/>
    <w:rsid w:val="005B0169"/>
    <w:rsid w:val="005B0ADF"/>
    <w:rsid w:val="005B0E78"/>
    <w:rsid w:val="005B1D0F"/>
    <w:rsid w:val="005B29A6"/>
    <w:rsid w:val="005B39A7"/>
    <w:rsid w:val="005B6A5A"/>
    <w:rsid w:val="005B6DCF"/>
    <w:rsid w:val="005C12CD"/>
    <w:rsid w:val="005C277E"/>
    <w:rsid w:val="005D2FF2"/>
    <w:rsid w:val="005D30F1"/>
    <w:rsid w:val="005E18ED"/>
    <w:rsid w:val="005E1A0D"/>
    <w:rsid w:val="005E1A18"/>
    <w:rsid w:val="005E36E8"/>
    <w:rsid w:val="005E3D66"/>
    <w:rsid w:val="005E70CC"/>
    <w:rsid w:val="005E7909"/>
    <w:rsid w:val="005F015E"/>
    <w:rsid w:val="005F062D"/>
    <w:rsid w:val="005F18E1"/>
    <w:rsid w:val="005F201A"/>
    <w:rsid w:val="005F44BC"/>
    <w:rsid w:val="005F4E64"/>
    <w:rsid w:val="005F52CE"/>
    <w:rsid w:val="005F541A"/>
    <w:rsid w:val="005F5F2F"/>
    <w:rsid w:val="00600097"/>
    <w:rsid w:val="00600109"/>
    <w:rsid w:val="006053BE"/>
    <w:rsid w:val="006077FD"/>
    <w:rsid w:val="006111F8"/>
    <w:rsid w:val="00614F10"/>
    <w:rsid w:val="00615E8D"/>
    <w:rsid w:val="00616FF7"/>
    <w:rsid w:val="00622DAD"/>
    <w:rsid w:val="00623349"/>
    <w:rsid w:val="006233A1"/>
    <w:rsid w:val="006256AF"/>
    <w:rsid w:val="00626EDC"/>
    <w:rsid w:val="006273C5"/>
    <w:rsid w:val="00631EB4"/>
    <w:rsid w:val="00631EE4"/>
    <w:rsid w:val="006358B6"/>
    <w:rsid w:val="00635FCF"/>
    <w:rsid w:val="00642C79"/>
    <w:rsid w:val="00643393"/>
    <w:rsid w:val="00644FAC"/>
    <w:rsid w:val="0064555A"/>
    <w:rsid w:val="0064575F"/>
    <w:rsid w:val="006463B9"/>
    <w:rsid w:val="006518E4"/>
    <w:rsid w:val="00653A1D"/>
    <w:rsid w:val="006542FD"/>
    <w:rsid w:val="00654D16"/>
    <w:rsid w:val="00654D88"/>
    <w:rsid w:val="00654F00"/>
    <w:rsid w:val="0065598C"/>
    <w:rsid w:val="00655C50"/>
    <w:rsid w:val="00657B8B"/>
    <w:rsid w:val="00660A73"/>
    <w:rsid w:val="00660AC2"/>
    <w:rsid w:val="00661C24"/>
    <w:rsid w:val="00662F14"/>
    <w:rsid w:val="00663368"/>
    <w:rsid w:val="006654A1"/>
    <w:rsid w:val="0066741B"/>
    <w:rsid w:val="00667F64"/>
    <w:rsid w:val="00670392"/>
    <w:rsid w:val="00671237"/>
    <w:rsid w:val="00671275"/>
    <w:rsid w:val="00674C0E"/>
    <w:rsid w:val="006750BD"/>
    <w:rsid w:val="006756CD"/>
    <w:rsid w:val="006766D5"/>
    <w:rsid w:val="00680110"/>
    <w:rsid w:val="0068138D"/>
    <w:rsid w:val="006823DB"/>
    <w:rsid w:val="00683454"/>
    <w:rsid w:val="006866F6"/>
    <w:rsid w:val="006867E2"/>
    <w:rsid w:val="00686F26"/>
    <w:rsid w:val="006901A2"/>
    <w:rsid w:val="006906AA"/>
    <w:rsid w:val="00691E4C"/>
    <w:rsid w:val="0069234F"/>
    <w:rsid w:val="006928AE"/>
    <w:rsid w:val="00693D63"/>
    <w:rsid w:val="00693F29"/>
    <w:rsid w:val="00696138"/>
    <w:rsid w:val="006972F3"/>
    <w:rsid w:val="00697804"/>
    <w:rsid w:val="006A0587"/>
    <w:rsid w:val="006A1231"/>
    <w:rsid w:val="006A18A5"/>
    <w:rsid w:val="006A4F97"/>
    <w:rsid w:val="006A6049"/>
    <w:rsid w:val="006A68DE"/>
    <w:rsid w:val="006A6BFC"/>
    <w:rsid w:val="006A7236"/>
    <w:rsid w:val="006A784F"/>
    <w:rsid w:val="006A7BCB"/>
    <w:rsid w:val="006B0FB2"/>
    <w:rsid w:val="006B3361"/>
    <w:rsid w:val="006B4B3F"/>
    <w:rsid w:val="006B4DBF"/>
    <w:rsid w:val="006B504B"/>
    <w:rsid w:val="006B569B"/>
    <w:rsid w:val="006B5765"/>
    <w:rsid w:val="006B5DD2"/>
    <w:rsid w:val="006C13A5"/>
    <w:rsid w:val="006C3447"/>
    <w:rsid w:val="006C34A2"/>
    <w:rsid w:val="006C35DD"/>
    <w:rsid w:val="006C400F"/>
    <w:rsid w:val="006C5E8A"/>
    <w:rsid w:val="006D182E"/>
    <w:rsid w:val="006D21F3"/>
    <w:rsid w:val="006D2B02"/>
    <w:rsid w:val="006D5F83"/>
    <w:rsid w:val="006D7932"/>
    <w:rsid w:val="006E07DE"/>
    <w:rsid w:val="006E0E83"/>
    <w:rsid w:val="006E1A92"/>
    <w:rsid w:val="006E33B5"/>
    <w:rsid w:val="006E3D13"/>
    <w:rsid w:val="006E4C93"/>
    <w:rsid w:val="006E5310"/>
    <w:rsid w:val="006E5523"/>
    <w:rsid w:val="006E73A6"/>
    <w:rsid w:val="006F0F2D"/>
    <w:rsid w:val="006F2572"/>
    <w:rsid w:val="0070019E"/>
    <w:rsid w:val="00700627"/>
    <w:rsid w:val="00700AAC"/>
    <w:rsid w:val="0070511B"/>
    <w:rsid w:val="00705954"/>
    <w:rsid w:val="00707366"/>
    <w:rsid w:val="00707806"/>
    <w:rsid w:val="007119D9"/>
    <w:rsid w:val="00711D03"/>
    <w:rsid w:val="0071247A"/>
    <w:rsid w:val="0071385D"/>
    <w:rsid w:val="007223A1"/>
    <w:rsid w:val="007225D3"/>
    <w:rsid w:val="00722867"/>
    <w:rsid w:val="00723375"/>
    <w:rsid w:val="00724EEF"/>
    <w:rsid w:val="00727B41"/>
    <w:rsid w:val="007309C7"/>
    <w:rsid w:val="00731DB3"/>
    <w:rsid w:val="007344BF"/>
    <w:rsid w:val="007363B8"/>
    <w:rsid w:val="0073668A"/>
    <w:rsid w:val="00737250"/>
    <w:rsid w:val="00740713"/>
    <w:rsid w:val="00744864"/>
    <w:rsid w:val="00744DB6"/>
    <w:rsid w:val="00746D52"/>
    <w:rsid w:val="00751FF6"/>
    <w:rsid w:val="00752403"/>
    <w:rsid w:val="00752B20"/>
    <w:rsid w:val="0075406A"/>
    <w:rsid w:val="00756775"/>
    <w:rsid w:val="00756F6A"/>
    <w:rsid w:val="007573A2"/>
    <w:rsid w:val="00757A0B"/>
    <w:rsid w:val="00757DEA"/>
    <w:rsid w:val="00760DDD"/>
    <w:rsid w:val="0076319E"/>
    <w:rsid w:val="007632D7"/>
    <w:rsid w:val="00763D63"/>
    <w:rsid w:val="00767A93"/>
    <w:rsid w:val="007735AA"/>
    <w:rsid w:val="00773704"/>
    <w:rsid w:val="007737B5"/>
    <w:rsid w:val="00773EEA"/>
    <w:rsid w:val="0077511B"/>
    <w:rsid w:val="00777316"/>
    <w:rsid w:val="007865C9"/>
    <w:rsid w:val="00790723"/>
    <w:rsid w:val="0079099C"/>
    <w:rsid w:val="00790C19"/>
    <w:rsid w:val="007922F9"/>
    <w:rsid w:val="0079606E"/>
    <w:rsid w:val="00796816"/>
    <w:rsid w:val="00796C08"/>
    <w:rsid w:val="007A14E0"/>
    <w:rsid w:val="007A4DD3"/>
    <w:rsid w:val="007A608B"/>
    <w:rsid w:val="007A6901"/>
    <w:rsid w:val="007A7D4C"/>
    <w:rsid w:val="007B0257"/>
    <w:rsid w:val="007B057C"/>
    <w:rsid w:val="007B1614"/>
    <w:rsid w:val="007B32FA"/>
    <w:rsid w:val="007B51A5"/>
    <w:rsid w:val="007B596C"/>
    <w:rsid w:val="007B6FE6"/>
    <w:rsid w:val="007C09B8"/>
    <w:rsid w:val="007C0C76"/>
    <w:rsid w:val="007C0D0E"/>
    <w:rsid w:val="007C30C1"/>
    <w:rsid w:val="007C37CF"/>
    <w:rsid w:val="007C3ECE"/>
    <w:rsid w:val="007C5FED"/>
    <w:rsid w:val="007C78D1"/>
    <w:rsid w:val="007D0CD7"/>
    <w:rsid w:val="007D36AB"/>
    <w:rsid w:val="007D462E"/>
    <w:rsid w:val="007E0465"/>
    <w:rsid w:val="007E4EB4"/>
    <w:rsid w:val="007E66E9"/>
    <w:rsid w:val="007E760B"/>
    <w:rsid w:val="007E7B57"/>
    <w:rsid w:val="007F1BBC"/>
    <w:rsid w:val="007F2D7D"/>
    <w:rsid w:val="007F3C20"/>
    <w:rsid w:val="007F3D24"/>
    <w:rsid w:val="007F4953"/>
    <w:rsid w:val="007F4F7F"/>
    <w:rsid w:val="007F5085"/>
    <w:rsid w:val="007F569F"/>
    <w:rsid w:val="007F78D9"/>
    <w:rsid w:val="00801123"/>
    <w:rsid w:val="0080168C"/>
    <w:rsid w:val="0080250C"/>
    <w:rsid w:val="00803E0B"/>
    <w:rsid w:val="008052BB"/>
    <w:rsid w:val="0080627A"/>
    <w:rsid w:val="008111BF"/>
    <w:rsid w:val="008113E1"/>
    <w:rsid w:val="008116CC"/>
    <w:rsid w:val="00811B66"/>
    <w:rsid w:val="008121CE"/>
    <w:rsid w:val="00813709"/>
    <w:rsid w:val="00813CCA"/>
    <w:rsid w:val="008154AE"/>
    <w:rsid w:val="00816144"/>
    <w:rsid w:val="00816327"/>
    <w:rsid w:val="00817619"/>
    <w:rsid w:val="0082073B"/>
    <w:rsid w:val="00821393"/>
    <w:rsid w:val="0082219B"/>
    <w:rsid w:val="00822820"/>
    <w:rsid w:val="008263F6"/>
    <w:rsid w:val="0082736B"/>
    <w:rsid w:val="0083185B"/>
    <w:rsid w:val="00831F40"/>
    <w:rsid w:val="00835017"/>
    <w:rsid w:val="00835C21"/>
    <w:rsid w:val="00837462"/>
    <w:rsid w:val="00843C78"/>
    <w:rsid w:val="00843D40"/>
    <w:rsid w:val="008464D5"/>
    <w:rsid w:val="00846D35"/>
    <w:rsid w:val="00847C5D"/>
    <w:rsid w:val="00850184"/>
    <w:rsid w:val="008501EE"/>
    <w:rsid w:val="008519FD"/>
    <w:rsid w:val="00853A4C"/>
    <w:rsid w:val="00855DA8"/>
    <w:rsid w:val="00860C47"/>
    <w:rsid w:val="008629E2"/>
    <w:rsid w:val="00863B21"/>
    <w:rsid w:val="00865F7C"/>
    <w:rsid w:val="008665B4"/>
    <w:rsid w:val="0086759A"/>
    <w:rsid w:val="00870BDA"/>
    <w:rsid w:val="00871CC7"/>
    <w:rsid w:val="00872173"/>
    <w:rsid w:val="00873397"/>
    <w:rsid w:val="00873CAB"/>
    <w:rsid w:val="00874118"/>
    <w:rsid w:val="00874654"/>
    <w:rsid w:val="008760DB"/>
    <w:rsid w:val="00877579"/>
    <w:rsid w:val="0087794D"/>
    <w:rsid w:val="00877EAD"/>
    <w:rsid w:val="00881C82"/>
    <w:rsid w:val="00882AD8"/>
    <w:rsid w:val="00886045"/>
    <w:rsid w:val="0089027F"/>
    <w:rsid w:val="008904AC"/>
    <w:rsid w:val="00891F60"/>
    <w:rsid w:val="00892168"/>
    <w:rsid w:val="00896E42"/>
    <w:rsid w:val="00897650"/>
    <w:rsid w:val="008A00BC"/>
    <w:rsid w:val="008A037E"/>
    <w:rsid w:val="008A0AEB"/>
    <w:rsid w:val="008A20E3"/>
    <w:rsid w:val="008A2560"/>
    <w:rsid w:val="008A2D3D"/>
    <w:rsid w:val="008A2ED1"/>
    <w:rsid w:val="008A4CC7"/>
    <w:rsid w:val="008A50DF"/>
    <w:rsid w:val="008A51C1"/>
    <w:rsid w:val="008A5469"/>
    <w:rsid w:val="008B0CF9"/>
    <w:rsid w:val="008B6E38"/>
    <w:rsid w:val="008C2A9E"/>
    <w:rsid w:val="008C3A10"/>
    <w:rsid w:val="008D1504"/>
    <w:rsid w:val="008D1A85"/>
    <w:rsid w:val="008D3985"/>
    <w:rsid w:val="008D42DA"/>
    <w:rsid w:val="008D7A63"/>
    <w:rsid w:val="008E0B67"/>
    <w:rsid w:val="008E1093"/>
    <w:rsid w:val="008E17BD"/>
    <w:rsid w:val="008E2042"/>
    <w:rsid w:val="008E232F"/>
    <w:rsid w:val="008E42DC"/>
    <w:rsid w:val="008E4709"/>
    <w:rsid w:val="008F05C8"/>
    <w:rsid w:val="008F283A"/>
    <w:rsid w:val="008F5A6C"/>
    <w:rsid w:val="008F5A9C"/>
    <w:rsid w:val="008F5AE5"/>
    <w:rsid w:val="00904918"/>
    <w:rsid w:val="00905125"/>
    <w:rsid w:val="009079D5"/>
    <w:rsid w:val="00910879"/>
    <w:rsid w:val="0091095D"/>
    <w:rsid w:val="00910F7E"/>
    <w:rsid w:val="009122C4"/>
    <w:rsid w:val="00913961"/>
    <w:rsid w:val="00915361"/>
    <w:rsid w:val="00916D4E"/>
    <w:rsid w:val="00917550"/>
    <w:rsid w:val="009179D0"/>
    <w:rsid w:val="009203CC"/>
    <w:rsid w:val="00923C74"/>
    <w:rsid w:val="00924133"/>
    <w:rsid w:val="009243F3"/>
    <w:rsid w:val="00925B09"/>
    <w:rsid w:val="00927F3F"/>
    <w:rsid w:val="00930A61"/>
    <w:rsid w:val="00930B64"/>
    <w:rsid w:val="009312C6"/>
    <w:rsid w:val="00932686"/>
    <w:rsid w:val="009327D8"/>
    <w:rsid w:val="00932BD5"/>
    <w:rsid w:val="00933090"/>
    <w:rsid w:val="00933E58"/>
    <w:rsid w:val="00934002"/>
    <w:rsid w:val="00936503"/>
    <w:rsid w:val="009373E9"/>
    <w:rsid w:val="0094154C"/>
    <w:rsid w:val="00941F04"/>
    <w:rsid w:val="0094475B"/>
    <w:rsid w:val="00947385"/>
    <w:rsid w:val="00950552"/>
    <w:rsid w:val="0095064B"/>
    <w:rsid w:val="0095188E"/>
    <w:rsid w:val="00953978"/>
    <w:rsid w:val="00955C89"/>
    <w:rsid w:val="009564B0"/>
    <w:rsid w:val="00956531"/>
    <w:rsid w:val="0095654A"/>
    <w:rsid w:val="0095761B"/>
    <w:rsid w:val="00961585"/>
    <w:rsid w:val="00964024"/>
    <w:rsid w:val="0097066A"/>
    <w:rsid w:val="009719D0"/>
    <w:rsid w:val="009735C5"/>
    <w:rsid w:val="00975974"/>
    <w:rsid w:val="009759E5"/>
    <w:rsid w:val="009811A4"/>
    <w:rsid w:val="00982333"/>
    <w:rsid w:val="00982803"/>
    <w:rsid w:val="009837AC"/>
    <w:rsid w:val="00983A40"/>
    <w:rsid w:val="00983AFA"/>
    <w:rsid w:val="00983D37"/>
    <w:rsid w:val="00985416"/>
    <w:rsid w:val="00985586"/>
    <w:rsid w:val="00986BAD"/>
    <w:rsid w:val="00992CB3"/>
    <w:rsid w:val="00993A1E"/>
    <w:rsid w:val="00993C8F"/>
    <w:rsid w:val="009948C9"/>
    <w:rsid w:val="00995B93"/>
    <w:rsid w:val="009A0BAC"/>
    <w:rsid w:val="009A0DBE"/>
    <w:rsid w:val="009A0E32"/>
    <w:rsid w:val="009A1A40"/>
    <w:rsid w:val="009A1EDC"/>
    <w:rsid w:val="009A3027"/>
    <w:rsid w:val="009A4A66"/>
    <w:rsid w:val="009A67BB"/>
    <w:rsid w:val="009A7750"/>
    <w:rsid w:val="009B4C8D"/>
    <w:rsid w:val="009B6A96"/>
    <w:rsid w:val="009B7310"/>
    <w:rsid w:val="009B7461"/>
    <w:rsid w:val="009C029D"/>
    <w:rsid w:val="009C0A4B"/>
    <w:rsid w:val="009C1D89"/>
    <w:rsid w:val="009C5873"/>
    <w:rsid w:val="009C760A"/>
    <w:rsid w:val="009C7E78"/>
    <w:rsid w:val="009D06CB"/>
    <w:rsid w:val="009D11CF"/>
    <w:rsid w:val="009D1E74"/>
    <w:rsid w:val="009D2565"/>
    <w:rsid w:val="009D4D98"/>
    <w:rsid w:val="009D59F2"/>
    <w:rsid w:val="009D7340"/>
    <w:rsid w:val="009D7904"/>
    <w:rsid w:val="009E083C"/>
    <w:rsid w:val="009E17FE"/>
    <w:rsid w:val="009E2F97"/>
    <w:rsid w:val="009E3719"/>
    <w:rsid w:val="009E4A7C"/>
    <w:rsid w:val="009F0D2C"/>
    <w:rsid w:val="009F1B33"/>
    <w:rsid w:val="009F1D19"/>
    <w:rsid w:val="009F6236"/>
    <w:rsid w:val="009F63B3"/>
    <w:rsid w:val="009F7317"/>
    <w:rsid w:val="00A0019B"/>
    <w:rsid w:val="00A01DC6"/>
    <w:rsid w:val="00A035CF"/>
    <w:rsid w:val="00A03844"/>
    <w:rsid w:val="00A07C55"/>
    <w:rsid w:val="00A07D4E"/>
    <w:rsid w:val="00A110C8"/>
    <w:rsid w:val="00A12033"/>
    <w:rsid w:val="00A1203A"/>
    <w:rsid w:val="00A1442D"/>
    <w:rsid w:val="00A15E42"/>
    <w:rsid w:val="00A15ECA"/>
    <w:rsid w:val="00A16380"/>
    <w:rsid w:val="00A178F8"/>
    <w:rsid w:val="00A204FC"/>
    <w:rsid w:val="00A21991"/>
    <w:rsid w:val="00A22906"/>
    <w:rsid w:val="00A30684"/>
    <w:rsid w:val="00A32471"/>
    <w:rsid w:val="00A33607"/>
    <w:rsid w:val="00A33652"/>
    <w:rsid w:val="00A33B65"/>
    <w:rsid w:val="00A34331"/>
    <w:rsid w:val="00A3643E"/>
    <w:rsid w:val="00A4413A"/>
    <w:rsid w:val="00A44859"/>
    <w:rsid w:val="00A455C8"/>
    <w:rsid w:val="00A4575C"/>
    <w:rsid w:val="00A46D78"/>
    <w:rsid w:val="00A50430"/>
    <w:rsid w:val="00A52DE8"/>
    <w:rsid w:val="00A54A83"/>
    <w:rsid w:val="00A559D6"/>
    <w:rsid w:val="00A561F8"/>
    <w:rsid w:val="00A61462"/>
    <w:rsid w:val="00A61610"/>
    <w:rsid w:val="00A62E44"/>
    <w:rsid w:val="00A655F4"/>
    <w:rsid w:val="00A71C7B"/>
    <w:rsid w:val="00A722AE"/>
    <w:rsid w:val="00A7293E"/>
    <w:rsid w:val="00A72B72"/>
    <w:rsid w:val="00A73233"/>
    <w:rsid w:val="00A74175"/>
    <w:rsid w:val="00A75288"/>
    <w:rsid w:val="00A75663"/>
    <w:rsid w:val="00A75ED6"/>
    <w:rsid w:val="00A80B17"/>
    <w:rsid w:val="00A81865"/>
    <w:rsid w:val="00A81D03"/>
    <w:rsid w:val="00A8218C"/>
    <w:rsid w:val="00A82D41"/>
    <w:rsid w:val="00A83E94"/>
    <w:rsid w:val="00A84966"/>
    <w:rsid w:val="00A84CFD"/>
    <w:rsid w:val="00A8579E"/>
    <w:rsid w:val="00A85AD8"/>
    <w:rsid w:val="00A87231"/>
    <w:rsid w:val="00A87394"/>
    <w:rsid w:val="00A90610"/>
    <w:rsid w:val="00A91424"/>
    <w:rsid w:val="00A938D6"/>
    <w:rsid w:val="00A96033"/>
    <w:rsid w:val="00A96555"/>
    <w:rsid w:val="00A97ABE"/>
    <w:rsid w:val="00AA23C2"/>
    <w:rsid w:val="00AA2895"/>
    <w:rsid w:val="00AA4C79"/>
    <w:rsid w:val="00AA5DD4"/>
    <w:rsid w:val="00AA63C1"/>
    <w:rsid w:val="00AA6BD3"/>
    <w:rsid w:val="00AB0D97"/>
    <w:rsid w:val="00AB27D4"/>
    <w:rsid w:val="00AB344D"/>
    <w:rsid w:val="00AB3D82"/>
    <w:rsid w:val="00AC120E"/>
    <w:rsid w:val="00AC1C07"/>
    <w:rsid w:val="00AC265A"/>
    <w:rsid w:val="00AC3A39"/>
    <w:rsid w:val="00AC41F1"/>
    <w:rsid w:val="00AC469A"/>
    <w:rsid w:val="00AC625F"/>
    <w:rsid w:val="00AC7FDF"/>
    <w:rsid w:val="00AD20F4"/>
    <w:rsid w:val="00AD2368"/>
    <w:rsid w:val="00AD3A1A"/>
    <w:rsid w:val="00AD59D6"/>
    <w:rsid w:val="00AD66B7"/>
    <w:rsid w:val="00AD7470"/>
    <w:rsid w:val="00AE0E8A"/>
    <w:rsid w:val="00AE10F6"/>
    <w:rsid w:val="00AE1F9A"/>
    <w:rsid w:val="00AE3C2C"/>
    <w:rsid w:val="00AE3F81"/>
    <w:rsid w:val="00AE7ABF"/>
    <w:rsid w:val="00AF10BD"/>
    <w:rsid w:val="00AF1C88"/>
    <w:rsid w:val="00AF3919"/>
    <w:rsid w:val="00AF591C"/>
    <w:rsid w:val="00B00835"/>
    <w:rsid w:val="00B012E5"/>
    <w:rsid w:val="00B04C19"/>
    <w:rsid w:val="00B06A27"/>
    <w:rsid w:val="00B07055"/>
    <w:rsid w:val="00B07788"/>
    <w:rsid w:val="00B07A22"/>
    <w:rsid w:val="00B10DD7"/>
    <w:rsid w:val="00B12CE7"/>
    <w:rsid w:val="00B14075"/>
    <w:rsid w:val="00B140E3"/>
    <w:rsid w:val="00B147C8"/>
    <w:rsid w:val="00B157B7"/>
    <w:rsid w:val="00B16970"/>
    <w:rsid w:val="00B174E2"/>
    <w:rsid w:val="00B20610"/>
    <w:rsid w:val="00B2100B"/>
    <w:rsid w:val="00B21173"/>
    <w:rsid w:val="00B21B70"/>
    <w:rsid w:val="00B21FA5"/>
    <w:rsid w:val="00B2240D"/>
    <w:rsid w:val="00B22D84"/>
    <w:rsid w:val="00B24A03"/>
    <w:rsid w:val="00B25A7B"/>
    <w:rsid w:val="00B26686"/>
    <w:rsid w:val="00B2680B"/>
    <w:rsid w:val="00B268F5"/>
    <w:rsid w:val="00B27263"/>
    <w:rsid w:val="00B33521"/>
    <w:rsid w:val="00B35DAC"/>
    <w:rsid w:val="00B36E47"/>
    <w:rsid w:val="00B40C63"/>
    <w:rsid w:val="00B42B18"/>
    <w:rsid w:val="00B4419E"/>
    <w:rsid w:val="00B452BE"/>
    <w:rsid w:val="00B45897"/>
    <w:rsid w:val="00B4627D"/>
    <w:rsid w:val="00B468B0"/>
    <w:rsid w:val="00B51A27"/>
    <w:rsid w:val="00B5792F"/>
    <w:rsid w:val="00B57CAA"/>
    <w:rsid w:val="00B57CB2"/>
    <w:rsid w:val="00B60D88"/>
    <w:rsid w:val="00B63678"/>
    <w:rsid w:val="00B64615"/>
    <w:rsid w:val="00B66098"/>
    <w:rsid w:val="00B66385"/>
    <w:rsid w:val="00B66F93"/>
    <w:rsid w:val="00B67A74"/>
    <w:rsid w:val="00B70455"/>
    <w:rsid w:val="00B71FC2"/>
    <w:rsid w:val="00B73728"/>
    <w:rsid w:val="00B75BDD"/>
    <w:rsid w:val="00B77FEF"/>
    <w:rsid w:val="00B80411"/>
    <w:rsid w:val="00B809D5"/>
    <w:rsid w:val="00B8224B"/>
    <w:rsid w:val="00B8274B"/>
    <w:rsid w:val="00B873DB"/>
    <w:rsid w:val="00B8784F"/>
    <w:rsid w:val="00B91FDB"/>
    <w:rsid w:val="00B94B2C"/>
    <w:rsid w:val="00B953B5"/>
    <w:rsid w:val="00B97673"/>
    <w:rsid w:val="00BA0452"/>
    <w:rsid w:val="00BA3A93"/>
    <w:rsid w:val="00BA3EE7"/>
    <w:rsid w:val="00BA4DB2"/>
    <w:rsid w:val="00BA53AC"/>
    <w:rsid w:val="00BB1B5D"/>
    <w:rsid w:val="00BB1C3C"/>
    <w:rsid w:val="00BB1FBF"/>
    <w:rsid w:val="00BB1FF4"/>
    <w:rsid w:val="00BC303E"/>
    <w:rsid w:val="00BC54DE"/>
    <w:rsid w:val="00BC781D"/>
    <w:rsid w:val="00BD1ACC"/>
    <w:rsid w:val="00BD3B50"/>
    <w:rsid w:val="00BD3D1E"/>
    <w:rsid w:val="00BD3FD2"/>
    <w:rsid w:val="00BD6ED0"/>
    <w:rsid w:val="00BD72C5"/>
    <w:rsid w:val="00BE0C9B"/>
    <w:rsid w:val="00BE353F"/>
    <w:rsid w:val="00BE3A81"/>
    <w:rsid w:val="00BE5C24"/>
    <w:rsid w:val="00BE675E"/>
    <w:rsid w:val="00BE6E9A"/>
    <w:rsid w:val="00BE6FB9"/>
    <w:rsid w:val="00BE774E"/>
    <w:rsid w:val="00BF0200"/>
    <w:rsid w:val="00BF021F"/>
    <w:rsid w:val="00BF04F4"/>
    <w:rsid w:val="00BF1609"/>
    <w:rsid w:val="00BF2686"/>
    <w:rsid w:val="00BF2F55"/>
    <w:rsid w:val="00BF56A3"/>
    <w:rsid w:val="00BF629B"/>
    <w:rsid w:val="00BF7BBA"/>
    <w:rsid w:val="00C00B77"/>
    <w:rsid w:val="00C02926"/>
    <w:rsid w:val="00C02DEE"/>
    <w:rsid w:val="00C03324"/>
    <w:rsid w:val="00C04847"/>
    <w:rsid w:val="00C04E1B"/>
    <w:rsid w:val="00C076D6"/>
    <w:rsid w:val="00C07D71"/>
    <w:rsid w:val="00C07E93"/>
    <w:rsid w:val="00C128FF"/>
    <w:rsid w:val="00C148F8"/>
    <w:rsid w:val="00C15775"/>
    <w:rsid w:val="00C15990"/>
    <w:rsid w:val="00C17128"/>
    <w:rsid w:val="00C17704"/>
    <w:rsid w:val="00C17A1C"/>
    <w:rsid w:val="00C2020F"/>
    <w:rsid w:val="00C2211A"/>
    <w:rsid w:val="00C23907"/>
    <w:rsid w:val="00C26333"/>
    <w:rsid w:val="00C27FEB"/>
    <w:rsid w:val="00C306B9"/>
    <w:rsid w:val="00C31240"/>
    <w:rsid w:val="00C32B1E"/>
    <w:rsid w:val="00C32FC1"/>
    <w:rsid w:val="00C331FC"/>
    <w:rsid w:val="00C33440"/>
    <w:rsid w:val="00C35C1D"/>
    <w:rsid w:val="00C361FA"/>
    <w:rsid w:val="00C37CEB"/>
    <w:rsid w:val="00C4021E"/>
    <w:rsid w:val="00C41FBB"/>
    <w:rsid w:val="00C45E5B"/>
    <w:rsid w:val="00C476FC"/>
    <w:rsid w:val="00C47A89"/>
    <w:rsid w:val="00C505B0"/>
    <w:rsid w:val="00C519CA"/>
    <w:rsid w:val="00C534B9"/>
    <w:rsid w:val="00C571F8"/>
    <w:rsid w:val="00C60F0A"/>
    <w:rsid w:val="00C61019"/>
    <w:rsid w:val="00C6353E"/>
    <w:rsid w:val="00C64134"/>
    <w:rsid w:val="00C64885"/>
    <w:rsid w:val="00C64B7D"/>
    <w:rsid w:val="00C667A2"/>
    <w:rsid w:val="00C66BD9"/>
    <w:rsid w:val="00C67C97"/>
    <w:rsid w:val="00C704B8"/>
    <w:rsid w:val="00C7266F"/>
    <w:rsid w:val="00C73F40"/>
    <w:rsid w:val="00C743F9"/>
    <w:rsid w:val="00C75147"/>
    <w:rsid w:val="00C7747C"/>
    <w:rsid w:val="00C80F2D"/>
    <w:rsid w:val="00C8124A"/>
    <w:rsid w:val="00C822EC"/>
    <w:rsid w:val="00C82F1C"/>
    <w:rsid w:val="00C8616B"/>
    <w:rsid w:val="00C904B9"/>
    <w:rsid w:val="00C91208"/>
    <w:rsid w:val="00C9247A"/>
    <w:rsid w:val="00C925EC"/>
    <w:rsid w:val="00C927CD"/>
    <w:rsid w:val="00C92B5B"/>
    <w:rsid w:val="00C93A2F"/>
    <w:rsid w:val="00C93BE6"/>
    <w:rsid w:val="00C9402F"/>
    <w:rsid w:val="00C94D90"/>
    <w:rsid w:val="00C959DB"/>
    <w:rsid w:val="00C9766E"/>
    <w:rsid w:val="00C9794D"/>
    <w:rsid w:val="00CA0A42"/>
    <w:rsid w:val="00CA25DB"/>
    <w:rsid w:val="00CA44AD"/>
    <w:rsid w:val="00CA47AF"/>
    <w:rsid w:val="00CA69A5"/>
    <w:rsid w:val="00CB0885"/>
    <w:rsid w:val="00CB166D"/>
    <w:rsid w:val="00CB4DB6"/>
    <w:rsid w:val="00CB67EC"/>
    <w:rsid w:val="00CB721E"/>
    <w:rsid w:val="00CB7914"/>
    <w:rsid w:val="00CB7BC8"/>
    <w:rsid w:val="00CB7F95"/>
    <w:rsid w:val="00CC1041"/>
    <w:rsid w:val="00CC1D84"/>
    <w:rsid w:val="00CC3F71"/>
    <w:rsid w:val="00CC408F"/>
    <w:rsid w:val="00CC7804"/>
    <w:rsid w:val="00CD08C5"/>
    <w:rsid w:val="00CD261C"/>
    <w:rsid w:val="00CD2D92"/>
    <w:rsid w:val="00CD3885"/>
    <w:rsid w:val="00CD5AEB"/>
    <w:rsid w:val="00CD7A18"/>
    <w:rsid w:val="00CE29E9"/>
    <w:rsid w:val="00CE3A09"/>
    <w:rsid w:val="00CE4828"/>
    <w:rsid w:val="00CE553F"/>
    <w:rsid w:val="00CE7B7D"/>
    <w:rsid w:val="00CF0461"/>
    <w:rsid w:val="00CF05DC"/>
    <w:rsid w:val="00CF0ABA"/>
    <w:rsid w:val="00CF0B55"/>
    <w:rsid w:val="00CF0C1A"/>
    <w:rsid w:val="00CF2952"/>
    <w:rsid w:val="00CF29B5"/>
    <w:rsid w:val="00CF4015"/>
    <w:rsid w:val="00CF42A0"/>
    <w:rsid w:val="00CF4A11"/>
    <w:rsid w:val="00CF6175"/>
    <w:rsid w:val="00CF67FD"/>
    <w:rsid w:val="00CF6E9F"/>
    <w:rsid w:val="00CF70B6"/>
    <w:rsid w:val="00CF7B44"/>
    <w:rsid w:val="00CF7C06"/>
    <w:rsid w:val="00D005A8"/>
    <w:rsid w:val="00D02764"/>
    <w:rsid w:val="00D04118"/>
    <w:rsid w:val="00D066D7"/>
    <w:rsid w:val="00D06A12"/>
    <w:rsid w:val="00D06FA9"/>
    <w:rsid w:val="00D07290"/>
    <w:rsid w:val="00D0730B"/>
    <w:rsid w:val="00D07B22"/>
    <w:rsid w:val="00D10382"/>
    <w:rsid w:val="00D10D5E"/>
    <w:rsid w:val="00D11988"/>
    <w:rsid w:val="00D139DD"/>
    <w:rsid w:val="00D143AE"/>
    <w:rsid w:val="00D14C6E"/>
    <w:rsid w:val="00D15BB4"/>
    <w:rsid w:val="00D16E5B"/>
    <w:rsid w:val="00D17AA2"/>
    <w:rsid w:val="00D17EFF"/>
    <w:rsid w:val="00D224F4"/>
    <w:rsid w:val="00D228B1"/>
    <w:rsid w:val="00D23D28"/>
    <w:rsid w:val="00D23FC6"/>
    <w:rsid w:val="00D259AE"/>
    <w:rsid w:val="00D26B99"/>
    <w:rsid w:val="00D34231"/>
    <w:rsid w:val="00D34328"/>
    <w:rsid w:val="00D36931"/>
    <w:rsid w:val="00D401FB"/>
    <w:rsid w:val="00D4116A"/>
    <w:rsid w:val="00D43328"/>
    <w:rsid w:val="00D50FFA"/>
    <w:rsid w:val="00D51717"/>
    <w:rsid w:val="00D549FD"/>
    <w:rsid w:val="00D55EAA"/>
    <w:rsid w:val="00D56947"/>
    <w:rsid w:val="00D56F23"/>
    <w:rsid w:val="00D57B2F"/>
    <w:rsid w:val="00D612E6"/>
    <w:rsid w:val="00D629BE"/>
    <w:rsid w:val="00D65754"/>
    <w:rsid w:val="00D65A6B"/>
    <w:rsid w:val="00D65AA3"/>
    <w:rsid w:val="00D66F1E"/>
    <w:rsid w:val="00D7193B"/>
    <w:rsid w:val="00D72B06"/>
    <w:rsid w:val="00D74A24"/>
    <w:rsid w:val="00D74E9C"/>
    <w:rsid w:val="00D76B38"/>
    <w:rsid w:val="00D804D5"/>
    <w:rsid w:val="00D80DF3"/>
    <w:rsid w:val="00D81DBB"/>
    <w:rsid w:val="00D82824"/>
    <w:rsid w:val="00D835CA"/>
    <w:rsid w:val="00D8499F"/>
    <w:rsid w:val="00D86282"/>
    <w:rsid w:val="00D8751C"/>
    <w:rsid w:val="00D87983"/>
    <w:rsid w:val="00D93B22"/>
    <w:rsid w:val="00D944CE"/>
    <w:rsid w:val="00D974DF"/>
    <w:rsid w:val="00D97D4B"/>
    <w:rsid w:val="00DA15D6"/>
    <w:rsid w:val="00DA1825"/>
    <w:rsid w:val="00DA2990"/>
    <w:rsid w:val="00DA330B"/>
    <w:rsid w:val="00DA4C02"/>
    <w:rsid w:val="00DA64FC"/>
    <w:rsid w:val="00DB1D36"/>
    <w:rsid w:val="00DB3752"/>
    <w:rsid w:val="00DB4A12"/>
    <w:rsid w:val="00DB6BCA"/>
    <w:rsid w:val="00DC0232"/>
    <w:rsid w:val="00DC52F0"/>
    <w:rsid w:val="00DC6548"/>
    <w:rsid w:val="00DC72E5"/>
    <w:rsid w:val="00DD0BA4"/>
    <w:rsid w:val="00DD0D08"/>
    <w:rsid w:val="00DD184A"/>
    <w:rsid w:val="00DD43E5"/>
    <w:rsid w:val="00DD4938"/>
    <w:rsid w:val="00DD4B18"/>
    <w:rsid w:val="00DD53CA"/>
    <w:rsid w:val="00DD69B7"/>
    <w:rsid w:val="00DD7C19"/>
    <w:rsid w:val="00DE33C7"/>
    <w:rsid w:val="00DE4F8B"/>
    <w:rsid w:val="00DE55B4"/>
    <w:rsid w:val="00DE5630"/>
    <w:rsid w:val="00DE65BA"/>
    <w:rsid w:val="00DE6F66"/>
    <w:rsid w:val="00DF02C9"/>
    <w:rsid w:val="00DF1BCD"/>
    <w:rsid w:val="00DF518D"/>
    <w:rsid w:val="00DF795E"/>
    <w:rsid w:val="00E0174F"/>
    <w:rsid w:val="00E03F12"/>
    <w:rsid w:val="00E04A91"/>
    <w:rsid w:val="00E069D9"/>
    <w:rsid w:val="00E070A5"/>
    <w:rsid w:val="00E1055D"/>
    <w:rsid w:val="00E1126F"/>
    <w:rsid w:val="00E11C51"/>
    <w:rsid w:val="00E130EE"/>
    <w:rsid w:val="00E1414D"/>
    <w:rsid w:val="00E14411"/>
    <w:rsid w:val="00E15203"/>
    <w:rsid w:val="00E15808"/>
    <w:rsid w:val="00E16215"/>
    <w:rsid w:val="00E16574"/>
    <w:rsid w:val="00E16739"/>
    <w:rsid w:val="00E170C7"/>
    <w:rsid w:val="00E20812"/>
    <w:rsid w:val="00E20C30"/>
    <w:rsid w:val="00E2110D"/>
    <w:rsid w:val="00E21B8A"/>
    <w:rsid w:val="00E21F6F"/>
    <w:rsid w:val="00E258AF"/>
    <w:rsid w:val="00E25F95"/>
    <w:rsid w:val="00E306CE"/>
    <w:rsid w:val="00E30B45"/>
    <w:rsid w:val="00E30D67"/>
    <w:rsid w:val="00E30F00"/>
    <w:rsid w:val="00E36C93"/>
    <w:rsid w:val="00E3743A"/>
    <w:rsid w:val="00E378D0"/>
    <w:rsid w:val="00E42796"/>
    <w:rsid w:val="00E429A4"/>
    <w:rsid w:val="00E44159"/>
    <w:rsid w:val="00E447B2"/>
    <w:rsid w:val="00E47E60"/>
    <w:rsid w:val="00E50DFE"/>
    <w:rsid w:val="00E512D4"/>
    <w:rsid w:val="00E54573"/>
    <w:rsid w:val="00E56409"/>
    <w:rsid w:val="00E57381"/>
    <w:rsid w:val="00E57745"/>
    <w:rsid w:val="00E57FCE"/>
    <w:rsid w:val="00E60519"/>
    <w:rsid w:val="00E60799"/>
    <w:rsid w:val="00E65882"/>
    <w:rsid w:val="00E702D3"/>
    <w:rsid w:val="00E707D9"/>
    <w:rsid w:val="00E719A9"/>
    <w:rsid w:val="00E71DAD"/>
    <w:rsid w:val="00E725B9"/>
    <w:rsid w:val="00E73D05"/>
    <w:rsid w:val="00E743A2"/>
    <w:rsid w:val="00E7445C"/>
    <w:rsid w:val="00E74638"/>
    <w:rsid w:val="00E75B48"/>
    <w:rsid w:val="00E7615F"/>
    <w:rsid w:val="00E8009C"/>
    <w:rsid w:val="00E80B14"/>
    <w:rsid w:val="00E816C4"/>
    <w:rsid w:val="00E83DBA"/>
    <w:rsid w:val="00E86B4F"/>
    <w:rsid w:val="00E86B62"/>
    <w:rsid w:val="00E90CCF"/>
    <w:rsid w:val="00E93C85"/>
    <w:rsid w:val="00E94DCF"/>
    <w:rsid w:val="00E972E6"/>
    <w:rsid w:val="00EA258A"/>
    <w:rsid w:val="00EA2939"/>
    <w:rsid w:val="00EA7293"/>
    <w:rsid w:val="00EA78F3"/>
    <w:rsid w:val="00EB41A9"/>
    <w:rsid w:val="00EB53FA"/>
    <w:rsid w:val="00EB567B"/>
    <w:rsid w:val="00EB56AD"/>
    <w:rsid w:val="00EB5768"/>
    <w:rsid w:val="00EB587B"/>
    <w:rsid w:val="00EB70F2"/>
    <w:rsid w:val="00EC21A4"/>
    <w:rsid w:val="00EC2EEC"/>
    <w:rsid w:val="00EC5C69"/>
    <w:rsid w:val="00EC699C"/>
    <w:rsid w:val="00ED0E68"/>
    <w:rsid w:val="00ED3739"/>
    <w:rsid w:val="00ED4754"/>
    <w:rsid w:val="00ED50BA"/>
    <w:rsid w:val="00ED5353"/>
    <w:rsid w:val="00ED57F4"/>
    <w:rsid w:val="00ED6070"/>
    <w:rsid w:val="00EE096D"/>
    <w:rsid w:val="00EE30D5"/>
    <w:rsid w:val="00EE33D2"/>
    <w:rsid w:val="00EE3890"/>
    <w:rsid w:val="00EE4130"/>
    <w:rsid w:val="00EE7561"/>
    <w:rsid w:val="00EF0159"/>
    <w:rsid w:val="00EF1F7D"/>
    <w:rsid w:val="00EF4AB7"/>
    <w:rsid w:val="00EF5683"/>
    <w:rsid w:val="00EF60BA"/>
    <w:rsid w:val="00F0071B"/>
    <w:rsid w:val="00F01104"/>
    <w:rsid w:val="00F012B8"/>
    <w:rsid w:val="00F03712"/>
    <w:rsid w:val="00F04072"/>
    <w:rsid w:val="00F06B10"/>
    <w:rsid w:val="00F07791"/>
    <w:rsid w:val="00F07905"/>
    <w:rsid w:val="00F10B42"/>
    <w:rsid w:val="00F10ED7"/>
    <w:rsid w:val="00F11B9C"/>
    <w:rsid w:val="00F15E69"/>
    <w:rsid w:val="00F15F21"/>
    <w:rsid w:val="00F21620"/>
    <w:rsid w:val="00F23512"/>
    <w:rsid w:val="00F23844"/>
    <w:rsid w:val="00F26883"/>
    <w:rsid w:val="00F30E59"/>
    <w:rsid w:val="00F319E0"/>
    <w:rsid w:val="00F367DD"/>
    <w:rsid w:val="00F36832"/>
    <w:rsid w:val="00F37222"/>
    <w:rsid w:val="00F374B1"/>
    <w:rsid w:val="00F40289"/>
    <w:rsid w:val="00F4181C"/>
    <w:rsid w:val="00F43312"/>
    <w:rsid w:val="00F43F14"/>
    <w:rsid w:val="00F446E6"/>
    <w:rsid w:val="00F50B73"/>
    <w:rsid w:val="00F51B0A"/>
    <w:rsid w:val="00F5268C"/>
    <w:rsid w:val="00F553BF"/>
    <w:rsid w:val="00F561D5"/>
    <w:rsid w:val="00F57766"/>
    <w:rsid w:val="00F60872"/>
    <w:rsid w:val="00F60EC9"/>
    <w:rsid w:val="00F62A50"/>
    <w:rsid w:val="00F63CD4"/>
    <w:rsid w:val="00F64398"/>
    <w:rsid w:val="00F64A6A"/>
    <w:rsid w:val="00F66B87"/>
    <w:rsid w:val="00F67742"/>
    <w:rsid w:val="00F705A1"/>
    <w:rsid w:val="00F7067C"/>
    <w:rsid w:val="00F70E84"/>
    <w:rsid w:val="00F72869"/>
    <w:rsid w:val="00F749F5"/>
    <w:rsid w:val="00F74E70"/>
    <w:rsid w:val="00F7592C"/>
    <w:rsid w:val="00F778DE"/>
    <w:rsid w:val="00F77B47"/>
    <w:rsid w:val="00F83A09"/>
    <w:rsid w:val="00F84513"/>
    <w:rsid w:val="00F865BE"/>
    <w:rsid w:val="00F867B6"/>
    <w:rsid w:val="00F86D61"/>
    <w:rsid w:val="00F9173E"/>
    <w:rsid w:val="00F92103"/>
    <w:rsid w:val="00F93757"/>
    <w:rsid w:val="00F9728D"/>
    <w:rsid w:val="00FA19B5"/>
    <w:rsid w:val="00FA1DB7"/>
    <w:rsid w:val="00FA22ED"/>
    <w:rsid w:val="00FA2529"/>
    <w:rsid w:val="00FA31AC"/>
    <w:rsid w:val="00FA5F8C"/>
    <w:rsid w:val="00FB0438"/>
    <w:rsid w:val="00FB1583"/>
    <w:rsid w:val="00FB32E0"/>
    <w:rsid w:val="00FB38BF"/>
    <w:rsid w:val="00FB3F3D"/>
    <w:rsid w:val="00FB4E1A"/>
    <w:rsid w:val="00FB6B20"/>
    <w:rsid w:val="00FC0F35"/>
    <w:rsid w:val="00FC23BD"/>
    <w:rsid w:val="00FC382F"/>
    <w:rsid w:val="00FC4DC0"/>
    <w:rsid w:val="00FC63CE"/>
    <w:rsid w:val="00FD2B32"/>
    <w:rsid w:val="00FD2BA5"/>
    <w:rsid w:val="00FD2F68"/>
    <w:rsid w:val="00FD41AD"/>
    <w:rsid w:val="00FD4C0C"/>
    <w:rsid w:val="00FE13CD"/>
    <w:rsid w:val="00FE2290"/>
    <w:rsid w:val="00FE2EB5"/>
    <w:rsid w:val="00FE32BA"/>
    <w:rsid w:val="00FE52C4"/>
    <w:rsid w:val="00FF01DB"/>
    <w:rsid w:val="00FF0270"/>
    <w:rsid w:val="00FF0379"/>
    <w:rsid w:val="00FF1714"/>
    <w:rsid w:val="00FF534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00E25"/>
  <w15:chartTrackingRefBased/>
  <w15:docId w15:val="{AC919DE4-E90E-4873-910C-C8E052B3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62E"/>
    <w:pPr>
      <w:spacing w:after="160" w:line="360" w:lineRule="auto"/>
      <w:jc w:val="both"/>
    </w:pPr>
    <w:rPr>
      <w:rFonts w:ascii="Times New Roman" w:hAnsi="Times New Roman"/>
      <w:kern w:val="2"/>
      <w:sz w:val="24"/>
      <w:szCs w:val="22"/>
      <w:lang w:val="en-US"/>
    </w:rPr>
  </w:style>
  <w:style w:type="paragraph" w:styleId="Heading1">
    <w:name w:val="heading 1"/>
    <w:basedOn w:val="Normal"/>
    <w:next w:val="Normal"/>
    <w:link w:val="Heading1Char"/>
    <w:uiPriority w:val="9"/>
    <w:qFormat/>
    <w:rsid w:val="00C91208"/>
    <w:pPr>
      <w:spacing w:before="240" w:line="480" w:lineRule="auto"/>
      <w:jc w:val="center"/>
      <w:outlineLvl w:val="0"/>
    </w:pPr>
    <w:rPr>
      <w:kern w:val="0"/>
      <w:szCs w:val="24"/>
      <w:lang w:val="x-none" w:eastAsia="x-none"/>
    </w:rPr>
  </w:style>
  <w:style w:type="paragraph" w:styleId="Heading2">
    <w:name w:val="heading 2"/>
    <w:basedOn w:val="Heading1"/>
    <w:next w:val="Normal"/>
    <w:link w:val="Heading2Char"/>
    <w:uiPriority w:val="9"/>
    <w:unhideWhenUsed/>
    <w:qFormat/>
    <w:rsid w:val="00192A55"/>
    <w:pPr>
      <w:spacing w:after="240" w:line="360" w:lineRule="auto"/>
      <w:jc w:val="both"/>
      <w:outlineLvl w:val="1"/>
    </w:pPr>
    <w:rPr>
      <w:b/>
    </w:rPr>
  </w:style>
  <w:style w:type="paragraph" w:styleId="Heading3">
    <w:name w:val="heading 3"/>
    <w:basedOn w:val="Heading2"/>
    <w:next w:val="Normal"/>
    <w:link w:val="Heading3Char"/>
    <w:uiPriority w:val="9"/>
    <w:unhideWhenUsed/>
    <w:qFormat/>
    <w:rsid w:val="0082219B"/>
    <w:pPr>
      <w:outlineLvl w:val="2"/>
    </w:pPr>
  </w:style>
  <w:style w:type="paragraph" w:styleId="Heading4">
    <w:name w:val="heading 4"/>
    <w:basedOn w:val="Normal"/>
    <w:next w:val="Normal"/>
    <w:link w:val="Heading4Char"/>
    <w:uiPriority w:val="9"/>
    <w:semiHidden/>
    <w:unhideWhenUsed/>
    <w:qFormat/>
    <w:rsid w:val="00871CC7"/>
    <w:pPr>
      <w:keepNext/>
      <w:keepLines/>
      <w:spacing w:before="80" w:after="40"/>
      <w:outlineLvl w:val="3"/>
    </w:pPr>
    <w:rPr>
      <w:rFonts w:ascii="Aptos" w:eastAsia="Times New Roman" w:hAnsi="Aptos"/>
      <w:i/>
      <w:iCs/>
      <w:color w:val="0F4761"/>
      <w:kern w:val="0"/>
      <w:sz w:val="20"/>
      <w:szCs w:val="20"/>
      <w:lang w:val="x-none" w:eastAsia="x-none"/>
    </w:rPr>
  </w:style>
  <w:style w:type="paragraph" w:styleId="Heading5">
    <w:name w:val="heading 5"/>
    <w:basedOn w:val="Normal"/>
    <w:next w:val="Normal"/>
    <w:link w:val="Heading5Char"/>
    <w:uiPriority w:val="9"/>
    <w:semiHidden/>
    <w:unhideWhenUsed/>
    <w:qFormat/>
    <w:rsid w:val="00871CC7"/>
    <w:pPr>
      <w:keepNext/>
      <w:keepLines/>
      <w:spacing w:before="80" w:after="40"/>
      <w:outlineLvl w:val="4"/>
    </w:pPr>
    <w:rPr>
      <w:rFonts w:ascii="Aptos" w:eastAsia="Times New Roman" w:hAnsi="Aptos"/>
      <w:color w:val="0F4761"/>
      <w:kern w:val="0"/>
      <w:sz w:val="20"/>
      <w:szCs w:val="20"/>
      <w:lang w:val="x-none" w:eastAsia="x-none"/>
    </w:rPr>
  </w:style>
  <w:style w:type="paragraph" w:styleId="Heading6">
    <w:name w:val="heading 6"/>
    <w:basedOn w:val="Normal"/>
    <w:next w:val="Normal"/>
    <w:link w:val="Heading6Char"/>
    <w:uiPriority w:val="9"/>
    <w:semiHidden/>
    <w:unhideWhenUsed/>
    <w:qFormat/>
    <w:rsid w:val="00871CC7"/>
    <w:pPr>
      <w:keepNext/>
      <w:keepLines/>
      <w:spacing w:before="40" w:after="0"/>
      <w:outlineLvl w:val="5"/>
    </w:pPr>
    <w:rPr>
      <w:rFonts w:ascii="Aptos" w:eastAsia="Times New Roman" w:hAnsi="Aptos"/>
      <w:i/>
      <w:iCs/>
      <w:color w:val="595959"/>
      <w:kern w:val="0"/>
      <w:sz w:val="20"/>
      <w:szCs w:val="20"/>
      <w:lang w:val="x-none" w:eastAsia="x-none"/>
    </w:rPr>
  </w:style>
  <w:style w:type="paragraph" w:styleId="Heading7">
    <w:name w:val="heading 7"/>
    <w:basedOn w:val="Normal"/>
    <w:next w:val="Normal"/>
    <w:link w:val="Heading7Char"/>
    <w:uiPriority w:val="9"/>
    <w:semiHidden/>
    <w:unhideWhenUsed/>
    <w:qFormat/>
    <w:rsid w:val="00871CC7"/>
    <w:pPr>
      <w:keepNext/>
      <w:keepLines/>
      <w:spacing w:before="40" w:after="0"/>
      <w:outlineLvl w:val="6"/>
    </w:pPr>
    <w:rPr>
      <w:rFonts w:ascii="Aptos" w:eastAsia="Times New Roman" w:hAnsi="Aptos"/>
      <w:color w:val="595959"/>
      <w:kern w:val="0"/>
      <w:sz w:val="20"/>
      <w:szCs w:val="20"/>
      <w:lang w:val="x-none" w:eastAsia="x-none"/>
    </w:rPr>
  </w:style>
  <w:style w:type="paragraph" w:styleId="Heading8">
    <w:name w:val="heading 8"/>
    <w:basedOn w:val="Normal"/>
    <w:next w:val="Normal"/>
    <w:link w:val="Heading8Char"/>
    <w:uiPriority w:val="9"/>
    <w:semiHidden/>
    <w:unhideWhenUsed/>
    <w:qFormat/>
    <w:rsid w:val="00871CC7"/>
    <w:pPr>
      <w:keepNext/>
      <w:keepLines/>
      <w:spacing w:after="0"/>
      <w:outlineLvl w:val="7"/>
    </w:pPr>
    <w:rPr>
      <w:rFonts w:ascii="Aptos" w:eastAsia="Times New Roman" w:hAnsi="Aptos"/>
      <w:i/>
      <w:iCs/>
      <w:color w:val="272727"/>
      <w:kern w:val="0"/>
      <w:sz w:val="20"/>
      <w:szCs w:val="20"/>
      <w:lang w:val="x-none" w:eastAsia="x-none"/>
    </w:rPr>
  </w:style>
  <w:style w:type="paragraph" w:styleId="Heading9">
    <w:name w:val="heading 9"/>
    <w:basedOn w:val="Normal"/>
    <w:next w:val="Normal"/>
    <w:link w:val="Heading9Char"/>
    <w:uiPriority w:val="9"/>
    <w:semiHidden/>
    <w:unhideWhenUsed/>
    <w:qFormat/>
    <w:rsid w:val="00871CC7"/>
    <w:pPr>
      <w:keepNext/>
      <w:keepLines/>
      <w:spacing w:after="0"/>
      <w:outlineLvl w:val="8"/>
    </w:pPr>
    <w:rPr>
      <w:rFonts w:ascii="Aptos" w:eastAsia="Times New Roman" w:hAnsi="Aptos"/>
      <w:color w:val="272727"/>
      <w:kern w:val="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91208"/>
    <w:rPr>
      <w:rFonts w:ascii="Times New Roman" w:hAnsi="Times New Roman" w:cs="Times New Roman"/>
      <w:sz w:val="24"/>
      <w:szCs w:val="24"/>
    </w:rPr>
  </w:style>
  <w:style w:type="paragraph" w:styleId="ListParagraph">
    <w:name w:val="List Paragraph"/>
    <w:basedOn w:val="Normal"/>
    <w:uiPriority w:val="34"/>
    <w:qFormat/>
    <w:rsid w:val="00871CC7"/>
    <w:pPr>
      <w:ind w:left="720"/>
      <w:contextualSpacing/>
    </w:pPr>
  </w:style>
  <w:style w:type="character" w:customStyle="1" w:styleId="Heading2Char">
    <w:name w:val="Heading 2 Char"/>
    <w:link w:val="Heading2"/>
    <w:uiPriority w:val="9"/>
    <w:rsid w:val="00192A55"/>
    <w:rPr>
      <w:rFonts w:ascii="Times New Roman" w:hAnsi="Times New Roman"/>
      <w:b/>
      <w:sz w:val="24"/>
      <w:szCs w:val="24"/>
      <w:lang w:val="x-none" w:eastAsia="x-none"/>
    </w:rPr>
  </w:style>
  <w:style w:type="character" w:customStyle="1" w:styleId="Heading3Char">
    <w:name w:val="Heading 3 Char"/>
    <w:link w:val="Heading3"/>
    <w:uiPriority w:val="9"/>
    <w:rsid w:val="0082219B"/>
    <w:rPr>
      <w:rFonts w:ascii="Times New Roman" w:hAnsi="Times New Roman"/>
      <w:b/>
      <w:sz w:val="24"/>
      <w:szCs w:val="24"/>
      <w:lang w:val="x-none" w:eastAsia="x-none"/>
    </w:rPr>
  </w:style>
  <w:style w:type="character" w:customStyle="1" w:styleId="Heading4Char">
    <w:name w:val="Heading 4 Char"/>
    <w:link w:val="Heading4"/>
    <w:uiPriority w:val="9"/>
    <w:semiHidden/>
    <w:rsid w:val="00871CC7"/>
    <w:rPr>
      <w:rFonts w:eastAsia="Times New Roman" w:cs="Times New Roman"/>
      <w:i/>
      <w:iCs/>
      <w:color w:val="0F4761"/>
    </w:rPr>
  </w:style>
  <w:style w:type="character" w:customStyle="1" w:styleId="Heading5Char">
    <w:name w:val="Heading 5 Char"/>
    <w:link w:val="Heading5"/>
    <w:uiPriority w:val="9"/>
    <w:semiHidden/>
    <w:rsid w:val="00871CC7"/>
    <w:rPr>
      <w:rFonts w:eastAsia="Times New Roman" w:cs="Times New Roman"/>
      <w:color w:val="0F4761"/>
    </w:rPr>
  </w:style>
  <w:style w:type="character" w:customStyle="1" w:styleId="Heading6Char">
    <w:name w:val="Heading 6 Char"/>
    <w:link w:val="Heading6"/>
    <w:uiPriority w:val="9"/>
    <w:semiHidden/>
    <w:rsid w:val="00871CC7"/>
    <w:rPr>
      <w:rFonts w:eastAsia="Times New Roman" w:cs="Times New Roman"/>
      <w:i/>
      <w:iCs/>
      <w:color w:val="595959"/>
    </w:rPr>
  </w:style>
  <w:style w:type="character" w:customStyle="1" w:styleId="Heading7Char">
    <w:name w:val="Heading 7 Char"/>
    <w:link w:val="Heading7"/>
    <w:uiPriority w:val="9"/>
    <w:semiHidden/>
    <w:rsid w:val="00871CC7"/>
    <w:rPr>
      <w:rFonts w:eastAsia="Times New Roman" w:cs="Times New Roman"/>
      <w:color w:val="595959"/>
    </w:rPr>
  </w:style>
  <w:style w:type="character" w:customStyle="1" w:styleId="Heading8Char">
    <w:name w:val="Heading 8 Char"/>
    <w:link w:val="Heading8"/>
    <w:uiPriority w:val="9"/>
    <w:semiHidden/>
    <w:rsid w:val="00871CC7"/>
    <w:rPr>
      <w:rFonts w:eastAsia="Times New Roman" w:cs="Times New Roman"/>
      <w:i/>
      <w:iCs/>
      <w:color w:val="272727"/>
    </w:rPr>
  </w:style>
  <w:style w:type="character" w:customStyle="1" w:styleId="Heading9Char">
    <w:name w:val="Heading 9 Char"/>
    <w:link w:val="Heading9"/>
    <w:uiPriority w:val="9"/>
    <w:semiHidden/>
    <w:rsid w:val="00871CC7"/>
    <w:rPr>
      <w:rFonts w:eastAsia="Times New Roman" w:cs="Times New Roman"/>
      <w:color w:val="272727"/>
    </w:rPr>
  </w:style>
  <w:style w:type="paragraph" w:styleId="Title">
    <w:name w:val="Title"/>
    <w:basedOn w:val="Normal"/>
    <w:next w:val="Normal"/>
    <w:link w:val="TitleChar"/>
    <w:uiPriority w:val="10"/>
    <w:qFormat/>
    <w:rsid w:val="00871CC7"/>
    <w:pPr>
      <w:spacing w:after="80"/>
      <w:contextualSpacing/>
    </w:pPr>
    <w:rPr>
      <w:rFonts w:ascii="Aptos Display" w:eastAsia="Times New Roman" w:hAnsi="Aptos Display"/>
      <w:spacing w:val="-10"/>
      <w:kern w:val="28"/>
      <w:sz w:val="56"/>
      <w:szCs w:val="56"/>
      <w:lang w:val="x-none" w:eastAsia="x-none"/>
    </w:rPr>
  </w:style>
  <w:style w:type="character" w:customStyle="1" w:styleId="TitleChar">
    <w:name w:val="Title Char"/>
    <w:link w:val="Title"/>
    <w:uiPriority w:val="10"/>
    <w:rsid w:val="00871CC7"/>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871CC7"/>
    <w:pPr>
      <w:numPr>
        <w:ilvl w:val="1"/>
      </w:numPr>
    </w:pPr>
    <w:rPr>
      <w:rFonts w:ascii="Aptos" w:eastAsia="Times New Roman" w:hAnsi="Aptos"/>
      <w:color w:val="595959"/>
      <w:spacing w:val="15"/>
      <w:kern w:val="0"/>
      <w:sz w:val="28"/>
      <w:szCs w:val="28"/>
      <w:lang w:val="x-none" w:eastAsia="x-none"/>
    </w:rPr>
  </w:style>
  <w:style w:type="character" w:customStyle="1" w:styleId="SubtitleChar">
    <w:name w:val="Subtitle Char"/>
    <w:link w:val="Subtitle"/>
    <w:uiPriority w:val="11"/>
    <w:rsid w:val="00871CC7"/>
    <w:rPr>
      <w:rFonts w:eastAsia="Times New Roman" w:cs="Times New Roman"/>
      <w:color w:val="595959"/>
      <w:spacing w:val="15"/>
      <w:sz w:val="28"/>
      <w:szCs w:val="28"/>
    </w:rPr>
  </w:style>
  <w:style w:type="paragraph" w:styleId="Quote">
    <w:name w:val="Quote"/>
    <w:basedOn w:val="Normal"/>
    <w:next w:val="Normal"/>
    <w:link w:val="QuoteChar"/>
    <w:uiPriority w:val="29"/>
    <w:qFormat/>
    <w:rsid w:val="00871CC7"/>
    <w:pPr>
      <w:spacing w:before="160"/>
      <w:jc w:val="center"/>
    </w:pPr>
    <w:rPr>
      <w:rFonts w:ascii="Aptos" w:hAnsi="Aptos"/>
      <w:i/>
      <w:iCs/>
      <w:color w:val="404040"/>
      <w:kern w:val="0"/>
      <w:sz w:val="20"/>
      <w:szCs w:val="20"/>
      <w:lang w:val="x-none" w:eastAsia="x-none"/>
    </w:rPr>
  </w:style>
  <w:style w:type="character" w:customStyle="1" w:styleId="QuoteChar">
    <w:name w:val="Quote Char"/>
    <w:link w:val="Quote"/>
    <w:uiPriority w:val="29"/>
    <w:rsid w:val="00871CC7"/>
    <w:rPr>
      <w:i/>
      <w:iCs/>
      <w:color w:val="404040"/>
    </w:rPr>
  </w:style>
  <w:style w:type="character" w:styleId="IntenseEmphasis">
    <w:name w:val="Intense Emphasis"/>
    <w:uiPriority w:val="21"/>
    <w:qFormat/>
    <w:rsid w:val="00871CC7"/>
    <w:rPr>
      <w:i/>
      <w:iCs/>
      <w:color w:val="0F4761"/>
    </w:rPr>
  </w:style>
  <w:style w:type="paragraph" w:styleId="IntenseQuote">
    <w:name w:val="Intense Quote"/>
    <w:basedOn w:val="Normal"/>
    <w:next w:val="Normal"/>
    <w:link w:val="IntenseQuoteChar"/>
    <w:uiPriority w:val="30"/>
    <w:qFormat/>
    <w:rsid w:val="00871CC7"/>
    <w:pPr>
      <w:pBdr>
        <w:top w:val="single" w:sz="4" w:space="10" w:color="0F4761"/>
        <w:bottom w:val="single" w:sz="4" w:space="10" w:color="0F4761"/>
      </w:pBdr>
      <w:spacing w:before="360" w:after="360"/>
      <w:ind w:left="864" w:right="864"/>
      <w:jc w:val="center"/>
    </w:pPr>
    <w:rPr>
      <w:rFonts w:ascii="Aptos" w:hAnsi="Aptos"/>
      <w:i/>
      <w:iCs/>
      <w:color w:val="0F4761"/>
      <w:kern w:val="0"/>
      <w:sz w:val="20"/>
      <w:szCs w:val="20"/>
      <w:lang w:val="x-none" w:eastAsia="x-none"/>
    </w:rPr>
  </w:style>
  <w:style w:type="character" w:customStyle="1" w:styleId="IntenseQuoteChar">
    <w:name w:val="Intense Quote Char"/>
    <w:link w:val="IntenseQuote"/>
    <w:uiPriority w:val="30"/>
    <w:rsid w:val="00871CC7"/>
    <w:rPr>
      <w:i/>
      <w:iCs/>
      <w:color w:val="0F4761"/>
    </w:rPr>
  </w:style>
  <w:style w:type="character" w:styleId="IntenseReference">
    <w:name w:val="Intense Reference"/>
    <w:uiPriority w:val="32"/>
    <w:qFormat/>
    <w:rsid w:val="00871CC7"/>
    <w:rPr>
      <w:b/>
      <w:bCs/>
      <w:smallCaps/>
      <w:color w:val="0F4761"/>
      <w:spacing w:val="5"/>
    </w:rPr>
  </w:style>
  <w:style w:type="character" w:styleId="Hyperlink">
    <w:name w:val="Hyperlink"/>
    <w:uiPriority w:val="99"/>
    <w:unhideWhenUsed/>
    <w:rsid w:val="00BA4DB2"/>
    <w:rPr>
      <w:color w:val="467886"/>
      <w:u w:val="single"/>
    </w:rPr>
  </w:style>
  <w:style w:type="character" w:styleId="UnresolvedMention">
    <w:name w:val="Unresolved Mention"/>
    <w:uiPriority w:val="99"/>
    <w:semiHidden/>
    <w:unhideWhenUsed/>
    <w:rsid w:val="00BA4DB2"/>
    <w:rPr>
      <w:color w:val="605E5C"/>
      <w:shd w:val="clear" w:color="auto" w:fill="E1DFDD"/>
    </w:rPr>
  </w:style>
  <w:style w:type="paragraph" w:styleId="Header">
    <w:name w:val="header"/>
    <w:basedOn w:val="Normal"/>
    <w:link w:val="HeaderChar"/>
    <w:uiPriority w:val="99"/>
    <w:unhideWhenUsed/>
    <w:rsid w:val="00537A1A"/>
    <w:pPr>
      <w:tabs>
        <w:tab w:val="center" w:pos="4513"/>
        <w:tab w:val="right" w:pos="9026"/>
      </w:tabs>
      <w:spacing w:after="0"/>
    </w:pPr>
  </w:style>
  <w:style w:type="character" w:customStyle="1" w:styleId="HeaderChar">
    <w:name w:val="Header Char"/>
    <w:basedOn w:val="DefaultParagraphFont"/>
    <w:link w:val="Header"/>
    <w:uiPriority w:val="99"/>
    <w:rsid w:val="00537A1A"/>
  </w:style>
  <w:style w:type="paragraph" w:styleId="Footer">
    <w:name w:val="footer"/>
    <w:basedOn w:val="Normal"/>
    <w:link w:val="FooterChar"/>
    <w:uiPriority w:val="99"/>
    <w:unhideWhenUsed/>
    <w:rsid w:val="00537A1A"/>
    <w:pPr>
      <w:tabs>
        <w:tab w:val="center" w:pos="4513"/>
        <w:tab w:val="right" w:pos="9026"/>
      </w:tabs>
      <w:spacing w:after="0"/>
    </w:pPr>
  </w:style>
  <w:style w:type="character" w:customStyle="1" w:styleId="FooterChar">
    <w:name w:val="Footer Char"/>
    <w:basedOn w:val="DefaultParagraphFont"/>
    <w:link w:val="Footer"/>
    <w:uiPriority w:val="99"/>
    <w:rsid w:val="00537A1A"/>
  </w:style>
  <w:style w:type="paragraph" w:styleId="TOCHeading">
    <w:name w:val="TOC Heading"/>
    <w:basedOn w:val="Heading1"/>
    <w:next w:val="Normal"/>
    <w:uiPriority w:val="39"/>
    <w:unhideWhenUsed/>
    <w:qFormat/>
    <w:rsid w:val="00537A1A"/>
    <w:pPr>
      <w:keepNext/>
      <w:keepLines/>
      <w:spacing w:after="0"/>
      <w:jc w:val="left"/>
      <w:outlineLvl w:val="9"/>
    </w:pPr>
    <w:rPr>
      <w:rFonts w:ascii="Aptos Display" w:eastAsia="Times New Roman" w:hAnsi="Aptos Display"/>
      <w:color w:val="0F4761"/>
      <w:sz w:val="32"/>
      <w:szCs w:val="32"/>
    </w:rPr>
  </w:style>
  <w:style w:type="paragraph" w:styleId="TOC1">
    <w:name w:val="toc 1"/>
    <w:basedOn w:val="Normal"/>
    <w:next w:val="Normal"/>
    <w:autoRedefine/>
    <w:uiPriority w:val="39"/>
    <w:unhideWhenUsed/>
    <w:rsid w:val="00537A1A"/>
    <w:pPr>
      <w:spacing w:after="100"/>
    </w:pPr>
  </w:style>
  <w:style w:type="paragraph" w:styleId="TOC2">
    <w:name w:val="toc 2"/>
    <w:basedOn w:val="Normal"/>
    <w:next w:val="Normal"/>
    <w:autoRedefine/>
    <w:uiPriority w:val="39"/>
    <w:unhideWhenUsed/>
    <w:rsid w:val="00AC3A39"/>
    <w:pPr>
      <w:tabs>
        <w:tab w:val="right" w:leader="dot" w:pos="9350"/>
      </w:tabs>
      <w:spacing w:after="100"/>
      <w:ind w:left="220"/>
    </w:pPr>
    <w:rPr>
      <w:noProof/>
      <w:lang w:val="en-GB"/>
    </w:rPr>
  </w:style>
  <w:style w:type="paragraph" w:styleId="TOC3">
    <w:name w:val="toc 3"/>
    <w:basedOn w:val="Normal"/>
    <w:next w:val="Normal"/>
    <w:autoRedefine/>
    <w:uiPriority w:val="39"/>
    <w:unhideWhenUsed/>
    <w:rsid w:val="00537A1A"/>
    <w:pPr>
      <w:spacing w:after="100"/>
      <w:ind w:left="440"/>
    </w:pPr>
  </w:style>
  <w:style w:type="paragraph" w:styleId="NormalWeb">
    <w:name w:val="Normal (Web)"/>
    <w:basedOn w:val="Normal"/>
    <w:uiPriority w:val="99"/>
    <w:unhideWhenUsed/>
    <w:rsid w:val="00E30D67"/>
    <w:rPr>
      <w:szCs w:val="24"/>
    </w:rPr>
  </w:style>
  <w:style w:type="paragraph" w:styleId="Caption">
    <w:name w:val="caption"/>
    <w:basedOn w:val="Normal"/>
    <w:next w:val="Normal"/>
    <w:uiPriority w:val="35"/>
    <w:unhideWhenUsed/>
    <w:qFormat/>
    <w:rsid w:val="003D39D1"/>
    <w:pPr>
      <w:spacing w:after="200"/>
    </w:pPr>
    <w:rPr>
      <w:i/>
      <w:iCs/>
      <w:color w:val="0E2841"/>
      <w:sz w:val="18"/>
      <w:szCs w:val="18"/>
    </w:rPr>
  </w:style>
  <w:style w:type="paragraph" w:styleId="NoSpacing">
    <w:name w:val="No Spacing"/>
    <w:uiPriority w:val="1"/>
    <w:qFormat/>
    <w:rsid w:val="00CE553F"/>
    <w:pPr>
      <w:jc w:val="both"/>
    </w:pPr>
    <w:rPr>
      <w:rFonts w:ascii="Times New Roman" w:hAnsi="Times New Roman"/>
      <w:kern w:val="2"/>
      <w:sz w:val="24"/>
      <w:szCs w:val="22"/>
      <w:lang w:val="en-US"/>
    </w:rPr>
  </w:style>
  <w:style w:type="table" w:styleId="TableGrid">
    <w:name w:val="Table Grid"/>
    <w:basedOn w:val="TableNormal"/>
    <w:uiPriority w:val="39"/>
    <w:rsid w:val="008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203A"/>
    <w:pPr>
      <w:spacing w:after="0"/>
    </w:pPr>
    <w:rPr>
      <w:rFonts w:ascii="Tahoma" w:hAnsi="Tahoma"/>
      <w:kern w:val="0"/>
      <w:sz w:val="16"/>
      <w:szCs w:val="16"/>
      <w:lang w:val="x-none" w:eastAsia="x-none"/>
    </w:rPr>
  </w:style>
  <w:style w:type="character" w:customStyle="1" w:styleId="BalloonTextChar">
    <w:name w:val="Balloon Text Char"/>
    <w:link w:val="BalloonText"/>
    <w:uiPriority w:val="99"/>
    <w:semiHidden/>
    <w:rsid w:val="00A1203A"/>
    <w:rPr>
      <w:rFonts w:ascii="Tahoma" w:hAnsi="Tahoma" w:cs="Tahoma"/>
      <w:sz w:val="16"/>
      <w:szCs w:val="16"/>
    </w:rPr>
  </w:style>
  <w:style w:type="table" w:customStyle="1" w:styleId="LightShading1">
    <w:name w:val="Light Shading1"/>
    <w:basedOn w:val="TableNormal"/>
    <w:uiPriority w:val="60"/>
    <w:rsid w:val="00660A7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OC4">
    <w:name w:val="toc 4"/>
    <w:basedOn w:val="Normal"/>
    <w:next w:val="Normal"/>
    <w:autoRedefine/>
    <w:uiPriority w:val="39"/>
    <w:unhideWhenUsed/>
    <w:rsid w:val="0037793C"/>
    <w:pPr>
      <w:spacing w:after="100" w:line="278" w:lineRule="auto"/>
      <w:ind w:left="720"/>
    </w:pPr>
    <w:rPr>
      <w:rFonts w:ascii="Aptos" w:eastAsia="Times New Roman" w:hAnsi="Aptos"/>
      <w:szCs w:val="24"/>
    </w:rPr>
  </w:style>
  <w:style w:type="paragraph" w:styleId="TOC5">
    <w:name w:val="toc 5"/>
    <w:basedOn w:val="Normal"/>
    <w:next w:val="Normal"/>
    <w:autoRedefine/>
    <w:uiPriority w:val="39"/>
    <w:unhideWhenUsed/>
    <w:rsid w:val="0037793C"/>
    <w:pPr>
      <w:spacing w:after="100" w:line="278" w:lineRule="auto"/>
      <w:ind w:left="960"/>
    </w:pPr>
    <w:rPr>
      <w:rFonts w:ascii="Aptos" w:eastAsia="Times New Roman" w:hAnsi="Aptos"/>
      <w:szCs w:val="24"/>
    </w:rPr>
  </w:style>
  <w:style w:type="paragraph" w:styleId="TOC6">
    <w:name w:val="toc 6"/>
    <w:basedOn w:val="Normal"/>
    <w:next w:val="Normal"/>
    <w:autoRedefine/>
    <w:uiPriority w:val="39"/>
    <w:unhideWhenUsed/>
    <w:rsid w:val="0037793C"/>
    <w:pPr>
      <w:spacing w:after="100" w:line="278" w:lineRule="auto"/>
      <w:ind w:left="1200"/>
    </w:pPr>
    <w:rPr>
      <w:rFonts w:ascii="Aptos" w:eastAsia="Times New Roman" w:hAnsi="Aptos"/>
      <w:szCs w:val="24"/>
    </w:rPr>
  </w:style>
  <w:style w:type="paragraph" w:styleId="TOC7">
    <w:name w:val="toc 7"/>
    <w:basedOn w:val="Normal"/>
    <w:next w:val="Normal"/>
    <w:autoRedefine/>
    <w:uiPriority w:val="39"/>
    <w:unhideWhenUsed/>
    <w:rsid w:val="0037793C"/>
    <w:pPr>
      <w:spacing w:after="100" w:line="278" w:lineRule="auto"/>
      <w:ind w:left="1440"/>
    </w:pPr>
    <w:rPr>
      <w:rFonts w:ascii="Aptos" w:eastAsia="Times New Roman" w:hAnsi="Aptos"/>
      <w:szCs w:val="24"/>
    </w:rPr>
  </w:style>
  <w:style w:type="paragraph" w:styleId="TOC8">
    <w:name w:val="toc 8"/>
    <w:basedOn w:val="Normal"/>
    <w:next w:val="Normal"/>
    <w:autoRedefine/>
    <w:uiPriority w:val="39"/>
    <w:unhideWhenUsed/>
    <w:rsid w:val="0037793C"/>
    <w:pPr>
      <w:spacing w:after="100" w:line="278" w:lineRule="auto"/>
      <w:ind w:left="1680"/>
    </w:pPr>
    <w:rPr>
      <w:rFonts w:ascii="Aptos" w:eastAsia="Times New Roman" w:hAnsi="Aptos"/>
      <w:szCs w:val="24"/>
    </w:rPr>
  </w:style>
  <w:style w:type="paragraph" w:styleId="TOC9">
    <w:name w:val="toc 9"/>
    <w:basedOn w:val="Normal"/>
    <w:next w:val="Normal"/>
    <w:autoRedefine/>
    <w:uiPriority w:val="39"/>
    <w:unhideWhenUsed/>
    <w:rsid w:val="0037793C"/>
    <w:pPr>
      <w:spacing w:after="100" w:line="278" w:lineRule="auto"/>
      <w:ind w:left="1920"/>
    </w:pPr>
    <w:rPr>
      <w:rFonts w:ascii="Aptos" w:eastAsia="Times New Roman" w:hAnsi="Aptos"/>
      <w:szCs w:val="24"/>
    </w:rPr>
  </w:style>
  <w:style w:type="character" w:customStyle="1" w:styleId="fontstyle01">
    <w:name w:val="fontstyle01"/>
    <w:rsid w:val="007B596C"/>
    <w:rPr>
      <w:rFonts w:ascii="TimesNewRomanPSMT" w:hAnsi="TimesNewRomanPSMT" w:hint="default"/>
      <w:b w:val="0"/>
      <w:bCs w:val="0"/>
      <w:i w:val="0"/>
      <w:iCs w:val="0"/>
      <w:color w:val="000000"/>
      <w:sz w:val="24"/>
      <w:szCs w:val="24"/>
    </w:rPr>
  </w:style>
  <w:style w:type="character" w:styleId="Strong">
    <w:name w:val="Strong"/>
    <w:uiPriority w:val="22"/>
    <w:qFormat/>
    <w:rsid w:val="00F867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902">
      <w:bodyDiv w:val="1"/>
      <w:marLeft w:val="0"/>
      <w:marRight w:val="0"/>
      <w:marTop w:val="0"/>
      <w:marBottom w:val="0"/>
      <w:divBdr>
        <w:top w:val="none" w:sz="0" w:space="0" w:color="auto"/>
        <w:left w:val="none" w:sz="0" w:space="0" w:color="auto"/>
        <w:bottom w:val="none" w:sz="0" w:space="0" w:color="auto"/>
        <w:right w:val="none" w:sz="0" w:space="0" w:color="auto"/>
      </w:divBdr>
    </w:div>
    <w:div w:id="16009298">
      <w:bodyDiv w:val="1"/>
      <w:marLeft w:val="0"/>
      <w:marRight w:val="0"/>
      <w:marTop w:val="0"/>
      <w:marBottom w:val="0"/>
      <w:divBdr>
        <w:top w:val="none" w:sz="0" w:space="0" w:color="auto"/>
        <w:left w:val="none" w:sz="0" w:space="0" w:color="auto"/>
        <w:bottom w:val="none" w:sz="0" w:space="0" w:color="auto"/>
        <w:right w:val="none" w:sz="0" w:space="0" w:color="auto"/>
      </w:divBdr>
    </w:div>
    <w:div w:id="47077958">
      <w:bodyDiv w:val="1"/>
      <w:marLeft w:val="0"/>
      <w:marRight w:val="0"/>
      <w:marTop w:val="0"/>
      <w:marBottom w:val="0"/>
      <w:divBdr>
        <w:top w:val="none" w:sz="0" w:space="0" w:color="auto"/>
        <w:left w:val="none" w:sz="0" w:space="0" w:color="auto"/>
        <w:bottom w:val="none" w:sz="0" w:space="0" w:color="auto"/>
        <w:right w:val="none" w:sz="0" w:space="0" w:color="auto"/>
      </w:divBdr>
    </w:div>
    <w:div w:id="76097484">
      <w:bodyDiv w:val="1"/>
      <w:marLeft w:val="0"/>
      <w:marRight w:val="0"/>
      <w:marTop w:val="0"/>
      <w:marBottom w:val="0"/>
      <w:divBdr>
        <w:top w:val="none" w:sz="0" w:space="0" w:color="auto"/>
        <w:left w:val="none" w:sz="0" w:space="0" w:color="auto"/>
        <w:bottom w:val="none" w:sz="0" w:space="0" w:color="auto"/>
        <w:right w:val="none" w:sz="0" w:space="0" w:color="auto"/>
      </w:divBdr>
    </w:div>
    <w:div w:id="80220654">
      <w:bodyDiv w:val="1"/>
      <w:marLeft w:val="0"/>
      <w:marRight w:val="0"/>
      <w:marTop w:val="0"/>
      <w:marBottom w:val="0"/>
      <w:divBdr>
        <w:top w:val="none" w:sz="0" w:space="0" w:color="auto"/>
        <w:left w:val="none" w:sz="0" w:space="0" w:color="auto"/>
        <w:bottom w:val="none" w:sz="0" w:space="0" w:color="auto"/>
        <w:right w:val="none" w:sz="0" w:space="0" w:color="auto"/>
      </w:divBdr>
    </w:div>
    <w:div w:id="83848210">
      <w:bodyDiv w:val="1"/>
      <w:marLeft w:val="0"/>
      <w:marRight w:val="0"/>
      <w:marTop w:val="0"/>
      <w:marBottom w:val="0"/>
      <w:divBdr>
        <w:top w:val="none" w:sz="0" w:space="0" w:color="auto"/>
        <w:left w:val="none" w:sz="0" w:space="0" w:color="auto"/>
        <w:bottom w:val="none" w:sz="0" w:space="0" w:color="auto"/>
        <w:right w:val="none" w:sz="0" w:space="0" w:color="auto"/>
      </w:divBdr>
    </w:div>
    <w:div w:id="91123918">
      <w:bodyDiv w:val="1"/>
      <w:marLeft w:val="0"/>
      <w:marRight w:val="0"/>
      <w:marTop w:val="0"/>
      <w:marBottom w:val="0"/>
      <w:divBdr>
        <w:top w:val="none" w:sz="0" w:space="0" w:color="auto"/>
        <w:left w:val="none" w:sz="0" w:space="0" w:color="auto"/>
        <w:bottom w:val="none" w:sz="0" w:space="0" w:color="auto"/>
        <w:right w:val="none" w:sz="0" w:space="0" w:color="auto"/>
      </w:divBdr>
    </w:div>
    <w:div w:id="186523567">
      <w:bodyDiv w:val="1"/>
      <w:marLeft w:val="0"/>
      <w:marRight w:val="0"/>
      <w:marTop w:val="0"/>
      <w:marBottom w:val="0"/>
      <w:divBdr>
        <w:top w:val="none" w:sz="0" w:space="0" w:color="auto"/>
        <w:left w:val="none" w:sz="0" w:space="0" w:color="auto"/>
        <w:bottom w:val="none" w:sz="0" w:space="0" w:color="auto"/>
        <w:right w:val="none" w:sz="0" w:space="0" w:color="auto"/>
      </w:divBdr>
      <w:divsChild>
        <w:div w:id="1402218315">
          <w:marLeft w:val="0"/>
          <w:marRight w:val="0"/>
          <w:marTop w:val="0"/>
          <w:marBottom w:val="0"/>
          <w:divBdr>
            <w:top w:val="none" w:sz="0" w:space="0" w:color="auto"/>
            <w:left w:val="none" w:sz="0" w:space="0" w:color="auto"/>
            <w:bottom w:val="none" w:sz="0" w:space="0" w:color="auto"/>
            <w:right w:val="none" w:sz="0" w:space="0" w:color="auto"/>
          </w:divBdr>
          <w:divsChild>
            <w:div w:id="269318001">
              <w:marLeft w:val="0"/>
              <w:marRight w:val="0"/>
              <w:marTop w:val="0"/>
              <w:marBottom w:val="0"/>
              <w:divBdr>
                <w:top w:val="none" w:sz="0" w:space="0" w:color="auto"/>
                <w:left w:val="none" w:sz="0" w:space="0" w:color="auto"/>
                <w:bottom w:val="none" w:sz="0" w:space="0" w:color="auto"/>
                <w:right w:val="none" w:sz="0" w:space="0" w:color="auto"/>
              </w:divBdr>
              <w:divsChild>
                <w:div w:id="1376739192">
                  <w:marLeft w:val="0"/>
                  <w:marRight w:val="0"/>
                  <w:marTop w:val="0"/>
                  <w:marBottom w:val="0"/>
                  <w:divBdr>
                    <w:top w:val="none" w:sz="0" w:space="0" w:color="auto"/>
                    <w:left w:val="none" w:sz="0" w:space="0" w:color="auto"/>
                    <w:bottom w:val="none" w:sz="0" w:space="0" w:color="auto"/>
                    <w:right w:val="none" w:sz="0" w:space="0" w:color="auto"/>
                  </w:divBdr>
                  <w:divsChild>
                    <w:div w:id="1552615783">
                      <w:marLeft w:val="0"/>
                      <w:marRight w:val="0"/>
                      <w:marTop w:val="0"/>
                      <w:marBottom w:val="0"/>
                      <w:divBdr>
                        <w:top w:val="none" w:sz="0" w:space="0" w:color="auto"/>
                        <w:left w:val="none" w:sz="0" w:space="0" w:color="auto"/>
                        <w:bottom w:val="none" w:sz="0" w:space="0" w:color="auto"/>
                        <w:right w:val="none" w:sz="0" w:space="0" w:color="auto"/>
                      </w:divBdr>
                      <w:divsChild>
                        <w:div w:id="143398749">
                          <w:marLeft w:val="0"/>
                          <w:marRight w:val="0"/>
                          <w:marTop w:val="0"/>
                          <w:marBottom w:val="0"/>
                          <w:divBdr>
                            <w:top w:val="none" w:sz="0" w:space="0" w:color="auto"/>
                            <w:left w:val="none" w:sz="0" w:space="0" w:color="auto"/>
                            <w:bottom w:val="none" w:sz="0" w:space="0" w:color="auto"/>
                            <w:right w:val="none" w:sz="0" w:space="0" w:color="auto"/>
                          </w:divBdr>
                          <w:divsChild>
                            <w:div w:id="160615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76333">
      <w:bodyDiv w:val="1"/>
      <w:marLeft w:val="0"/>
      <w:marRight w:val="0"/>
      <w:marTop w:val="0"/>
      <w:marBottom w:val="0"/>
      <w:divBdr>
        <w:top w:val="none" w:sz="0" w:space="0" w:color="auto"/>
        <w:left w:val="none" w:sz="0" w:space="0" w:color="auto"/>
        <w:bottom w:val="none" w:sz="0" w:space="0" w:color="auto"/>
        <w:right w:val="none" w:sz="0" w:space="0" w:color="auto"/>
      </w:divBdr>
    </w:div>
    <w:div w:id="220095669">
      <w:bodyDiv w:val="1"/>
      <w:marLeft w:val="0"/>
      <w:marRight w:val="0"/>
      <w:marTop w:val="0"/>
      <w:marBottom w:val="0"/>
      <w:divBdr>
        <w:top w:val="none" w:sz="0" w:space="0" w:color="auto"/>
        <w:left w:val="none" w:sz="0" w:space="0" w:color="auto"/>
        <w:bottom w:val="none" w:sz="0" w:space="0" w:color="auto"/>
        <w:right w:val="none" w:sz="0" w:space="0" w:color="auto"/>
      </w:divBdr>
    </w:div>
    <w:div w:id="268784521">
      <w:bodyDiv w:val="1"/>
      <w:marLeft w:val="0"/>
      <w:marRight w:val="0"/>
      <w:marTop w:val="0"/>
      <w:marBottom w:val="0"/>
      <w:divBdr>
        <w:top w:val="none" w:sz="0" w:space="0" w:color="auto"/>
        <w:left w:val="none" w:sz="0" w:space="0" w:color="auto"/>
        <w:bottom w:val="none" w:sz="0" w:space="0" w:color="auto"/>
        <w:right w:val="none" w:sz="0" w:space="0" w:color="auto"/>
      </w:divBdr>
      <w:divsChild>
        <w:div w:id="1932542881">
          <w:marLeft w:val="0"/>
          <w:marRight w:val="0"/>
          <w:marTop w:val="0"/>
          <w:marBottom w:val="0"/>
          <w:divBdr>
            <w:top w:val="none" w:sz="0" w:space="0" w:color="auto"/>
            <w:left w:val="none" w:sz="0" w:space="0" w:color="auto"/>
            <w:bottom w:val="none" w:sz="0" w:space="0" w:color="auto"/>
            <w:right w:val="none" w:sz="0" w:space="0" w:color="auto"/>
          </w:divBdr>
        </w:div>
      </w:divsChild>
    </w:div>
    <w:div w:id="282273957">
      <w:bodyDiv w:val="1"/>
      <w:marLeft w:val="0"/>
      <w:marRight w:val="0"/>
      <w:marTop w:val="0"/>
      <w:marBottom w:val="0"/>
      <w:divBdr>
        <w:top w:val="none" w:sz="0" w:space="0" w:color="auto"/>
        <w:left w:val="none" w:sz="0" w:space="0" w:color="auto"/>
        <w:bottom w:val="none" w:sz="0" w:space="0" w:color="auto"/>
        <w:right w:val="none" w:sz="0" w:space="0" w:color="auto"/>
      </w:divBdr>
      <w:divsChild>
        <w:div w:id="1147090394">
          <w:marLeft w:val="0"/>
          <w:marRight w:val="0"/>
          <w:marTop w:val="0"/>
          <w:marBottom w:val="0"/>
          <w:divBdr>
            <w:top w:val="none" w:sz="0" w:space="0" w:color="auto"/>
            <w:left w:val="none" w:sz="0" w:space="0" w:color="auto"/>
            <w:bottom w:val="none" w:sz="0" w:space="0" w:color="auto"/>
            <w:right w:val="none" w:sz="0" w:space="0" w:color="auto"/>
          </w:divBdr>
          <w:divsChild>
            <w:div w:id="921643249">
              <w:marLeft w:val="0"/>
              <w:marRight w:val="0"/>
              <w:marTop w:val="0"/>
              <w:marBottom w:val="0"/>
              <w:divBdr>
                <w:top w:val="none" w:sz="0" w:space="0" w:color="auto"/>
                <w:left w:val="none" w:sz="0" w:space="0" w:color="auto"/>
                <w:bottom w:val="none" w:sz="0" w:space="0" w:color="auto"/>
                <w:right w:val="none" w:sz="0" w:space="0" w:color="auto"/>
              </w:divBdr>
              <w:divsChild>
                <w:div w:id="169612991">
                  <w:marLeft w:val="0"/>
                  <w:marRight w:val="0"/>
                  <w:marTop w:val="0"/>
                  <w:marBottom w:val="0"/>
                  <w:divBdr>
                    <w:top w:val="none" w:sz="0" w:space="0" w:color="auto"/>
                    <w:left w:val="none" w:sz="0" w:space="0" w:color="auto"/>
                    <w:bottom w:val="none" w:sz="0" w:space="0" w:color="auto"/>
                    <w:right w:val="none" w:sz="0" w:space="0" w:color="auto"/>
                  </w:divBdr>
                  <w:divsChild>
                    <w:div w:id="9340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932635">
          <w:marLeft w:val="0"/>
          <w:marRight w:val="0"/>
          <w:marTop w:val="0"/>
          <w:marBottom w:val="0"/>
          <w:divBdr>
            <w:top w:val="none" w:sz="0" w:space="0" w:color="auto"/>
            <w:left w:val="none" w:sz="0" w:space="0" w:color="auto"/>
            <w:bottom w:val="none" w:sz="0" w:space="0" w:color="auto"/>
            <w:right w:val="none" w:sz="0" w:space="0" w:color="auto"/>
          </w:divBdr>
          <w:divsChild>
            <w:div w:id="153575556">
              <w:marLeft w:val="0"/>
              <w:marRight w:val="0"/>
              <w:marTop w:val="0"/>
              <w:marBottom w:val="0"/>
              <w:divBdr>
                <w:top w:val="none" w:sz="0" w:space="0" w:color="auto"/>
                <w:left w:val="none" w:sz="0" w:space="0" w:color="auto"/>
                <w:bottom w:val="none" w:sz="0" w:space="0" w:color="auto"/>
                <w:right w:val="none" w:sz="0" w:space="0" w:color="auto"/>
              </w:divBdr>
              <w:divsChild>
                <w:div w:id="1767189010">
                  <w:marLeft w:val="0"/>
                  <w:marRight w:val="0"/>
                  <w:marTop w:val="0"/>
                  <w:marBottom w:val="0"/>
                  <w:divBdr>
                    <w:top w:val="none" w:sz="0" w:space="0" w:color="auto"/>
                    <w:left w:val="none" w:sz="0" w:space="0" w:color="auto"/>
                    <w:bottom w:val="none" w:sz="0" w:space="0" w:color="auto"/>
                    <w:right w:val="none" w:sz="0" w:space="0" w:color="auto"/>
                  </w:divBdr>
                  <w:divsChild>
                    <w:div w:id="158560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560189">
      <w:bodyDiv w:val="1"/>
      <w:marLeft w:val="0"/>
      <w:marRight w:val="0"/>
      <w:marTop w:val="0"/>
      <w:marBottom w:val="0"/>
      <w:divBdr>
        <w:top w:val="none" w:sz="0" w:space="0" w:color="auto"/>
        <w:left w:val="none" w:sz="0" w:space="0" w:color="auto"/>
        <w:bottom w:val="none" w:sz="0" w:space="0" w:color="auto"/>
        <w:right w:val="none" w:sz="0" w:space="0" w:color="auto"/>
      </w:divBdr>
      <w:divsChild>
        <w:div w:id="907767943">
          <w:marLeft w:val="0"/>
          <w:marRight w:val="0"/>
          <w:marTop w:val="0"/>
          <w:marBottom w:val="0"/>
          <w:divBdr>
            <w:top w:val="none" w:sz="0" w:space="0" w:color="auto"/>
            <w:left w:val="none" w:sz="0" w:space="0" w:color="auto"/>
            <w:bottom w:val="none" w:sz="0" w:space="0" w:color="auto"/>
            <w:right w:val="none" w:sz="0" w:space="0" w:color="auto"/>
          </w:divBdr>
        </w:div>
      </w:divsChild>
    </w:div>
    <w:div w:id="363601561">
      <w:bodyDiv w:val="1"/>
      <w:marLeft w:val="0"/>
      <w:marRight w:val="0"/>
      <w:marTop w:val="0"/>
      <w:marBottom w:val="0"/>
      <w:divBdr>
        <w:top w:val="none" w:sz="0" w:space="0" w:color="auto"/>
        <w:left w:val="none" w:sz="0" w:space="0" w:color="auto"/>
        <w:bottom w:val="none" w:sz="0" w:space="0" w:color="auto"/>
        <w:right w:val="none" w:sz="0" w:space="0" w:color="auto"/>
      </w:divBdr>
    </w:div>
    <w:div w:id="374544941">
      <w:bodyDiv w:val="1"/>
      <w:marLeft w:val="0"/>
      <w:marRight w:val="0"/>
      <w:marTop w:val="0"/>
      <w:marBottom w:val="0"/>
      <w:divBdr>
        <w:top w:val="none" w:sz="0" w:space="0" w:color="auto"/>
        <w:left w:val="none" w:sz="0" w:space="0" w:color="auto"/>
        <w:bottom w:val="none" w:sz="0" w:space="0" w:color="auto"/>
        <w:right w:val="none" w:sz="0" w:space="0" w:color="auto"/>
      </w:divBdr>
      <w:divsChild>
        <w:div w:id="2136636922">
          <w:marLeft w:val="0"/>
          <w:marRight w:val="0"/>
          <w:marTop w:val="0"/>
          <w:marBottom w:val="0"/>
          <w:divBdr>
            <w:top w:val="none" w:sz="0" w:space="0" w:color="auto"/>
            <w:left w:val="none" w:sz="0" w:space="0" w:color="auto"/>
            <w:bottom w:val="none" w:sz="0" w:space="0" w:color="auto"/>
            <w:right w:val="none" w:sz="0" w:space="0" w:color="auto"/>
          </w:divBdr>
          <w:divsChild>
            <w:div w:id="1509097749">
              <w:marLeft w:val="0"/>
              <w:marRight w:val="0"/>
              <w:marTop w:val="0"/>
              <w:marBottom w:val="0"/>
              <w:divBdr>
                <w:top w:val="none" w:sz="0" w:space="0" w:color="auto"/>
                <w:left w:val="none" w:sz="0" w:space="0" w:color="auto"/>
                <w:bottom w:val="none" w:sz="0" w:space="0" w:color="auto"/>
                <w:right w:val="none" w:sz="0" w:space="0" w:color="auto"/>
              </w:divBdr>
              <w:divsChild>
                <w:div w:id="709694501">
                  <w:marLeft w:val="0"/>
                  <w:marRight w:val="0"/>
                  <w:marTop w:val="0"/>
                  <w:marBottom w:val="0"/>
                  <w:divBdr>
                    <w:top w:val="none" w:sz="0" w:space="0" w:color="auto"/>
                    <w:left w:val="none" w:sz="0" w:space="0" w:color="auto"/>
                    <w:bottom w:val="none" w:sz="0" w:space="0" w:color="auto"/>
                    <w:right w:val="none" w:sz="0" w:space="0" w:color="auto"/>
                  </w:divBdr>
                  <w:divsChild>
                    <w:div w:id="2055932092">
                      <w:marLeft w:val="0"/>
                      <w:marRight w:val="0"/>
                      <w:marTop w:val="0"/>
                      <w:marBottom w:val="0"/>
                      <w:divBdr>
                        <w:top w:val="none" w:sz="0" w:space="0" w:color="auto"/>
                        <w:left w:val="none" w:sz="0" w:space="0" w:color="auto"/>
                        <w:bottom w:val="none" w:sz="0" w:space="0" w:color="auto"/>
                        <w:right w:val="none" w:sz="0" w:space="0" w:color="auto"/>
                      </w:divBdr>
                      <w:divsChild>
                        <w:div w:id="30687183">
                          <w:marLeft w:val="0"/>
                          <w:marRight w:val="0"/>
                          <w:marTop w:val="0"/>
                          <w:marBottom w:val="0"/>
                          <w:divBdr>
                            <w:top w:val="none" w:sz="0" w:space="0" w:color="auto"/>
                            <w:left w:val="none" w:sz="0" w:space="0" w:color="auto"/>
                            <w:bottom w:val="none" w:sz="0" w:space="0" w:color="auto"/>
                            <w:right w:val="none" w:sz="0" w:space="0" w:color="auto"/>
                          </w:divBdr>
                          <w:divsChild>
                            <w:div w:id="94346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915804">
      <w:bodyDiv w:val="1"/>
      <w:marLeft w:val="0"/>
      <w:marRight w:val="0"/>
      <w:marTop w:val="0"/>
      <w:marBottom w:val="0"/>
      <w:divBdr>
        <w:top w:val="none" w:sz="0" w:space="0" w:color="auto"/>
        <w:left w:val="none" w:sz="0" w:space="0" w:color="auto"/>
        <w:bottom w:val="none" w:sz="0" w:space="0" w:color="auto"/>
        <w:right w:val="none" w:sz="0" w:space="0" w:color="auto"/>
      </w:divBdr>
    </w:div>
    <w:div w:id="466706137">
      <w:bodyDiv w:val="1"/>
      <w:marLeft w:val="0"/>
      <w:marRight w:val="0"/>
      <w:marTop w:val="0"/>
      <w:marBottom w:val="0"/>
      <w:divBdr>
        <w:top w:val="none" w:sz="0" w:space="0" w:color="auto"/>
        <w:left w:val="none" w:sz="0" w:space="0" w:color="auto"/>
        <w:bottom w:val="none" w:sz="0" w:space="0" w:color="auto"/>
        <w:right w:val="none" w:sz="0" w:space="0" w:color="auto"/>
      </w:divBdr>
    </w:div>
    <w:div w:id="491455294">
      <w:bodyDiv w:val="1"/>
      <w:marLeft w:val="0"/>
      <w:marRight w:val="0"/>
      <w:marTop w:val="0"/>
      <w:marBottom w:val="0"/>
      <w:divBdr>
        <w:top w:val="none" w:sz="0" w:space="0" w:color="auto"/>
        <w:left w:val="none" w:sz="0" w:space="0" w:color="auto"/>
        <w:bottom w:val="none" w:sz="0" w:space="0" w:color="auto"/>
        <w:right w:val="none" w:sz="0" w:space="0" w:color="auto"/>
      </w:divBdr>
      <w:divsChild>
        <w:div w:id="172425817">
          <w:marLeft w:val="0"/>
          <w:marRight w:val="0"/>
          <w:marTop w:val="0"/>
          <w:marBottom w:val="0"/>
          <w:divBdr>
            <w:top w:val="none" w:sz="0" w:space="0" w:color="auto"/>
            <w:left w:val="none" w:sz="0" w:space="0" w:color="auto"/>
            <w:bottom w:val="none" w:sz="0" w:space="0" w:color="auto"/>
            <w:right w:val="none" w:sz="0" w:space="0" w:color="auto"/>
          </w:divBdr>
        </w:div>
      </w:divsChild>
    </w:div>
    <w:div w:id="499320416">
      <w:bodyDiv w:val="1"/>
      <w:marLeft w:val="0"/>
      <w:marRight w:val="0"/>
      <w:marTop w:val="0"/>
      <w:marBottom w:val="0"/>
      <w:divBdr>
        <w:top w:val="none" w:sz="0" w:space="0" w:color="auto"/>
        <w:left w:val="none" w:sz="0" w:space="0" w:color="auto"/>
        <w:bottom w:val="none" w:sz="0" w:space="0" w:color="auto"/>
        <w:right w:val="none" w:sz="0" w:space="0" w:color="auto"/>
      </w:divBdr>
    </w:div>
    <w:div w:id="509760514">
      <w:bodyDiv w:val="1"/>
      <w:marLeft w:val="0"/>
      <w:marRight w:val="0"/>
      <w:marTop w:val="0"/>
      <w:marBottom w:val="0"/>
      <w:divBdr>
        <w:top w:val="none" w:sz="0" w:space="0" w:color="auto"/>
        <w:left w:val="none" w:sz="0" w:space="0" w:color="auto"/>
        <w:bottom w:val="none" w:sz="0" w:space="0" w:color="auto"/>
        <w:right w:val="none" w:sz="0" w:space="0" w:color="auto"/>
      </w:divBdr>
      <w:divsChild>
        <w:div w:id="2004821352">
          <w:marLeft w:val="0"/>
          <w:marRight w:val="0"/>
          <w:marTop w:val="0"/>
          <w:marBottom w:val="0"/>
          <w:divBdr>
            <w:top w:val="none" w:sz="0" w:space="0" w:color="auto"/>
            <w:left w:val="none" w:sz="0" w:space="0" w:color="auto"/>
            <w:bottom w:val="none" w:sz="0" w:space="0" w:color="auto"/>
            <w:right w:val="none" w:sz="0" w:space="0" w:color="auto"/>
          </w:divBdr>
          <w:divsChild>
            <w:div w:id="1156649708">
              <w:marLeft w:val="0"/>
              <w:marRight w:val="0"/>
              <w:marTop w:val="0"/>
              <w:marBottom w:val="0"/>
              <w:divBdr>
                <w:top w:val="none" w:sz="0" w:space="0" w:color="auto"/>
                <w:left w:val="none" w:sz="0" w:space="0" w:color="auto"/>
                <w:bottom w:val="none" w:sz="0" w:space="0" w:color="auto"/>
                <w:right w:val="none" w:sz="0" w:space="0" w:color="auto"/>
              </w:divBdr>
              <w:divsChild>
                <w:div w:id="1491558328">
                  <w:marLeft w:val="0"/>
                  <w:marRight w:val="0"/>
                  <w:marTop w:val="0"/>
                  <w:marBottom w:val="0"/>
                  <w:divBdr>
                    <w:top w:val="none" w:sz="0" w:space="0" w:color="auto"/>
                    <w:left w:val="none" w:sz="0" w:space="0" w:color="auto"/>
                    <w:bottom w:val="none" w:sz="0" w:space="0" w:color="auto"/>
                    <w:right w:val="none" w:sz="0" w:space="0" w:color="auto"/>
                  </w:divBdr>
                  <w:divsChild>
                    <w:div w:id="770667170">
                      <w:marLeft w:val="0"/>
                      <w:marRight w:val="0"/>
                      <w:marTop w:val="0"/>
                      <w:marBottom w:val="0"/>
                      <w:divBdr>
                        <w:top w:val="none" w:sz="0" w:space="0" w:color="auto"/>
                        <w:left w:val="none" w:sz="0" w:space="0" w:color="auto"/>
                        <w:bottom w:val="none" w:sz="0" w:space="0" w:color="auto"/>
                        <w:right w:val="none" w:sz="0" w:space="0" w:color="auto"/>
                      </w:divBdr>
                      <w:divsChild>
                        <w:div w:id="425272877">
                          <w:marLeft w:val="0"/>
                          <w:marRight w:val="0"/>
                          <w:marTop w:val="0"/>
                          <w:marBottom w:val="0"/>
                          <w:divBdr>
                            <w:top w:val="none" w:sz="0" w:space="0" w:color="auto"/>
                            <w:left w:val="none" w:sz="0" w:space="0" w:color="auto"/>
                            <w:bottom w:val="none" w:sz="0" w:space="0" w:color="auto"/>
                            <w:right w:val="none" w:sz="0" w:space="0" w:color="auto"/>
                          </w:divBdr>
                          <w:divsChild>
                            <w:div w:id="21354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306138">
      <w:bodyDiv w:val="1"/>
      <w:marLeft w:val="0"/>
      <w:marRight w:val="0"/>
      <w:marTop w:val="0"/>
      <w:marBottom w:val="0"/>
      <w:divBdr>
        <w:top w:val="none" w:sz="0" w:space="0" w:color="auto"/>
        <w:left w:val="none" w:sz="0" w:space="0" w:color="auto"/>
        <w:bottom w:val="none" w:sz="0" w:space="0" w:color="auto"/>
        <w:right w:val="none" w:sz="0" w:space="0" w:color="auto"/>
      </w:divBdr>
    </w:div>
    <w:div w:id="524560906">
      <w:bodyDiv w:val="1"/>
      <w:marLeft w:val="0"/>
      <w:marRight w:val="0"/>
      <w:marTop w:val="0"/>
      <w:marBottom w:val="0"/>
      <w:divBdr>
        <w:top w:val="none" w:sz="0" w:space="0" w:color="auto"/>
        <w:left w:val="none" w:sz="0" w:space="0" w:color="auto"/>
        <w:bottom w:val="none" w:sz="0" w:space="0" w:color="auto"/>
        <w:right w:val="none" w:sz="0" w:space="0" w:color="auto"/>
      </w:divBdr>
    </w:div>
    <w:div w:id="554662328">
      <w:bodyDiv w:val="1"/>
      <w:marLeft w:val="0"/>
      <w:marRight w:val="0"/>
      <w:marTop w:val="0"/>
      <w:marBottom w:val="0"/>
      <w:divBdr>
        <w:top w:val="none" w:sz="0" w:space="0" w:color="auto"/>
        <w:left w:val="none" w:sz="0" w:space="0" w:color="auto"/>
        <w:bottom w:val="none" w:sz="0" w:space="0" w:color="auto"/>
        <w:right w:val="none" w:sz="0" w:space="0" w:color="auto"/>
      </w:divBdr>
      <w:divsChild>
        <w:div w:id="259799790">
          <w:marLeft w:val="0"/>
          <w:marRight w:val="0"/>
          <w:marTop w:val="0"/>
          <w:marBottom w:val="0"/>
          <w:divBdr>
            <w:top w:val="none" w:sz="0" w:space="0" w:color="auto"/>
            <w:left w:val="none" w:sz="0" w:space="0" w:color="auto"/>
            <w:bottom w:val="none" w:sz="0" w:space="0" w:color="auto"/>
            <w:right w:val="none" w:sz="0" w:space="0" w:color="auto"/>
          </w:divBdr>
          <w:divsChild>
            <w:div w:id="174199379">
              <w:marLeft w:val="0"/>
              <w:marRight w:val="0"/>
              <w:marTop w:val="0"/>
              <w:marBottom w:val="0"/>
              <w:divBdr>
                <w:top w:val="none" w:sz="0" w:space="0" w:color="auto"/>
                <w:left w:val="none" w:sz="0" w:space="0" w:color="auto"/>
                <w:bottom w:val="none" w:sz="0" w:space="0" w:color="auto"/>
                <w:right w:val="none" w:sz="0" w:space="0" w:color="auto"/>
              </w:divBdr>
              <w:divsChild>
                <w:div w:id="773599356">
                  <w:marLeft w:val="0"/>
                  <w:marRight w:val="0"/>
                  <w:marTop w:val="0"/>
                  <w:marBottom w:val="0"/>
                  <w:divBdr>
                    <w:top w:val="none" w:sz="0" w:space="0" w:color="auto"/>
                    <w:left w:val="none" w:sz="0" w:space="0" w:color="auto"/>
                    <w:bottom w:val="none" w:sz="0" w:space="0" w:color="auto"/>
                    <w:right w:val="none" w:sz="0" w:space="0" w:color="auto"/>
                  </w:divBdr>
                  <w:divsChild>
                    <w:div w:id="38996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369921">
          <w:marLeft w:val="0"/>
          <w:marRight w:val="0"/>
          <w:marTop w:val="0"/>
          <w:marBottom w:val="0"/>
          <w:divBdr>
            <w:top w:val="none" w:sz="0" w:space="0" w:color="auto"/>
            <w:left w:val="none" w:sz="0" w:space="0" w:color="auto"/>
            <w:bottom w:val="none" w:sz="0" w:space="0" w:color="auto"/>
            <w:right w:val="none" w:sz="0" w:space="0" w:color="auto"/>
          </w:divBdr>
          <w:divsChild>
            <w:div w:id="2020769745">
              <w:marLeft w:val="0"/>
              <w:marRight w:val="0"/>
              <w:marTop w:val="0"/>
              <w:marBottom w:val="0"/>
              <w:divBdr>
                <w:top w:val="none" w:sz="0" w:space="0" w:color="auto"/>
                <w:left w:val="none" w:sz="0" w:space="0" w:color="auto"/>
                <w:bottom w:val="none" w:sz="0" w:space="0" w:color="auto"/>
                <w:right w:val="none" w:sz="0" w:space="0" w:color="auto"/>
              </w:divBdr>
              <w:divsChild>
                <w:div w:id="1129937054">
                  <w:marLeft w:val="0"/>
                  <w:marRight w:val="0"/>
                  <w:marTop w:val="0"/>
                  <w:marBottom w:val="0"/>
                  <w:divBdr>
                    <w:top w:val="none" w:sz="0" w:space="0" w:color="auto"/>
                    <w:left w:val="none" w:sz="0" w:space="0" w:color="auto"/>
                    <w:bottom w:val="none" w:sz="0" w:space="0" w:color="auto"/>
                    <w:right w:val="none" w:sz="0" w:space="0" w:color="auto"/>
                  </w:divBdr>
                  <w:divsChild>
                    <w:div w:id="164372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921847">
      <w:bodyDiv w:val="1"/>
      <w:marLeft w:val="0"/>
      <w:marRight w:val="0"/>
      <w:marTop w:val="0"/>
      <w:marBottom w:val="0"/>
      <w:divBdr>
        <w:top w:val="none" w:sz="0" w:space="0" w:color="auto"/>
        <w:left w:val="none" w:sz="0" w:space="0" w:color="auto"/>
        <w:bottom w:val="none" w:sz="0" w:space="0" w:color="auto"/>
        <w:right w:val="none" w:sz="0" w:space="0" w:color="auto"/>
      </w:divBdr>
    </w:div>
    <w:div w:id="580912185">
      <w:bodyDiv w:val="1"/>
      <w:marLeft w:val="0"/>
      <w:marRight w:val="0"/>
      <w:marTop w:val="0"/>
      <w:marBottom w:val="0"/>
      <w:divBdr>
        <w:top w:val="none" w:sz="0" w:space="0" w:color="auto"/>
        <w:left w:val="none" w:sz="0" w:space="0" w:color="auto"/>
        <w:bottom w:val="none" w:sz="0" w:space="0" w:color="auto"/>
        <w:right w:val="none" w:sz="0" w:space="0" w:color="auto"/>
      </w:divBdr>
    </w:div>
    <w:div w:id="594365402">
      <w:bodyDiv w:val="1"/>
      <w:marLeft w:val="0"/>
      <w:marRight w:val="0"/>
      <w:marTop w:val="0"/>
      <w:marBottom w:val="0"/>
      <w:divBdr>
        <w:top w:val="none" w:sz="0" w:space="0" w:color="auto"/>
        <w:left w:val="none" w:sz="0" w:space="0" w:color="auto"/>
        <w:bottom w:val="none" w:sz="0" w:space="0" w:color="auto"/>
        <w:right w:val="none" w:sz="0" w:space="0" w:color="auto"/>
      </w:divBdr>
    </w:div>
    <w:div w:id="623001916">
      <w:bodyDiv w:val="1"/>
      <w:marLeft w:val="0"/>
      <w:marRight w:val="0"/>
      <w:marTop w:val="0"/>
      <w:marBottom w:val="0"/>
      <w:divBdr>
        <w:top w:val="none" w:sz="0" w:space="0" w:color="auto"/>
        <w:left w:val="none" w:sz="0" w:space="0" w:color="auto"/>
        <w:bottom w:val="none" w:sz="0" w:space="0" w:color="auto"/>
        <w:right w:val="none" w:sz="0" w:space="0" w:color="auto"/>
      </w:divBdr>
      <w:divsChild>
        <w:div w:id="901335570">
          <w:marLeft w:val="0"/>
          <w:marRight w:val="0"/>
          <w:marTop w:val="0"/>
          <w:marBottom w:val="0"/>
          <w:divBdr>
            <w:top w:val="none" w:sz="0" w:space="0" w:color="auto"/>
            <w:left w:val="none" w:sz="0" w:space="0" w:color="auto"/>
            <w:bottom w:val="none" w:sz="0" w:space="0" w:color="auto"/>
            <w:right w:val="none" w:sz="0" w:space="0" w:color="auto"/>
          </w:divBdr>
          <w:divsChild>
            <w:div w:id="1975717036">
              <w:marLeft w:val="0"/>
              <w:marRight w:val="0"/>
              <w:marTop w:val="0"/>
              <w:marBottom w:val="0"/>
              <w:divBdr>
                <w:top w:val="none" w:sz="0" w:space="0" w:color="auto"/>
                <w:left w:val="none" w:sz="0" w:space="0" w:color="auto"/>
                <w:bottom w:val="none" w:sz="0" w:space="0" w:color="auto"/>
                <w:right w:val="none" w:sz="0" w:space="0" w:color="auto"/>
              </w:divBdr>
              <w:divsChild>
                <w:div w:id="1502887236">
                  <w:marLeft w:val="0"/>
                  <w:marRight w:val="0"/>
                  <w:marTop w:val="0"/>
                  <w:marBottom w:val="0"/>
                  <w:divBdr>
                    <w:top w:val="none" w:sz="0" w:space="0" w:color="auto"/>
                    <w:left w:val="none" w:sz="0" w:space="0" w:color="auto"/>
                    <w:bottom w:val="none" w:sz="0" w:space="0" w:color="auto"/>
                    <w:right w:val="none" w:sz="0" w:space="0" w:color="auto"/>
                  </w:divBdr>
                  <w:divsChild>
                    <w:div w:id="10242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863050">
          <w:marLeft w:val="0"/>
          <w:marRight w:val="0"/>
          <w:marTop w:val="0"/>
          <w:marBottom w:val="0"/>
          <w:divBdr>
            <w:top w:val="none" w:sz="0" w:space="0" w:color="auto"/>
            <w:left w:val="none" w:sz="0" w:space="0" w:color="auto"/>
            <w:bottom w:val="none" w:sz="0" w:space="0" w:color="auto"/>
            <w:right w:val="none" w:sz="0" w:space="0" w:color="auto"/>
          </w:divBdr>
          <w:divsChild>
            <w:div w:id="2109352835">
              <w:marLeft w:val="0"/>
              <w:marRight w:val="0"/>
              <w:marTop w:val="0"/>
              <w:marBottom w:val="0"/>
              <w:divBdr>
                <w:top w:val="none" w:sz="0" w:space="0" w:color="auto"/>
                <w:left w:val="none" w:sz="0" w:space="0" w:color="auto"/>
                <w:bottom w:val="none" w:sz="0" w:space="0" w:color="auto"/>
                <w:right w:val="none" w:sz="0" w:space="0" w:color="auto"/>
              </w:divBdr>
              <w:divsChild>
                <w:div w:id="475805663">
                  <w:marLeft w:val="0"/>
                  <w:marRight w:val="0"/>
                  <w:marTop w:val="0"/>
                  <w:marBottom w:val="0"/>
                  <w:divBdr>
                    <w:top w:val="none" w:sz="0" w:space="0" w:color="auto"/>
                    <w:left w:val="none" w:sz="0" w:space="0" w:color="auto"/>
                    <w:bottom w:val="none" w:sz="0" w:space="0" w:color="auto"/>
                    <w:right w:val="none" w:sz="0" w:space="0" w:color="auto"/>
                  </w:divBdr>
                  <w:divsChild>
                    <w:div w:id="4530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877655">
      <w:bodyDiv w:val="1"/>
      <w:marLeft w:val="0"/>
      <w:marRight w:val="0"/>
      <w:marTop w:val="0"/>
      <w:marBottom w:val="0"/>
      <w:divBdr>
        <w:top w:val="none" w:sz="0" w:space="0" w:color="auto"/>
        <w:left w:val="none" w:sz="0" w:space="0" w:color="auto"/>
        <w:bottom w:val="none" w:sz="0" w:space="0" w:color="auto"/>
        <w:right w:val="none" w:sz="0" w:space="0" w:color="auto"/>
      </w:divBdr>
      <w:divsChild>
        <w:div w:id="620184125">
          <w:marLeft w:val="0"/>
          <w:marRight w:val="0"/>
          <w:marTop w:val="0"/>
          <w:marBottom w:val="0"/>
          <w:divBdr>
            <w:top w:val="none" w:sz="0" w:space="0" w:color="auto"/>
            <w:left w:val="none" w:sz="0" w:space="0" w:color="auto"/>
            <w:bottom w:val="none" w:sz="0" w:space="0" w:color="auto"/>
            <w:right w:val="none" w:sz="0" w:space="0" w:color="auto"/>
          </w:divBdr>
          <w:divsChild>
            <w:div w:id="1878809387">
              <w:marLeft w:val="0"/>
              <w:marRight w:val="0"/>
              <w:marTop w:val="0"/>
              <w:marBottom w:val="0"/>
              <w:divBdr>
                <w:top w:val="none" w:sz="0" w:space="0" w:color="auto"/>
                <w:left w:val="none" w:sz="0" w:space="0" w:color="auto"/>
                <w:bottom w:val="none" w:sz="0" w:space="0" w:color="auto"/>
                <w:right w:val="none" w:sz="0" w:space="0" w:color="auto"/>
              </w:divBdr>
              <w:divsChild>
                <w:div w:id="1355038954">
                  <w:marLeft w:val="0"/>
                  <w:marRight w:val="0"/>
                  <w:marTop w:val="0"/>
                  <w:marBottom w:val="0"/>
                  <w:divBdr>
                    <w:top w:val="none" w:sz="0" w:space="0" w:color="auto"/>
                    <w:left w:val="none" w:sz="0" w:space="0" w:color="auto"/>
                    <w:bottom w:val="none" w:sz="0" w:space="0" w:color="auto"/>
                    <w:right w:val="none" w:sz="0" w:space="0" w:color="auto"/>
                  </w:divBdr>
                  <w:divsChild>
                    <w:div w:id="10667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598819">
          <w:marLeft w:val="0"/>
          <w:marRight w:val="0"/>
          <w:marTop w:val="0"/>
          <w:marBottom w:val="0"/>
          <w:divBdr>
            <w:top w:val="none" w:sz="0" w:space="0" w:color="auto"/>
            <w:left w:val="none" w:sz="0" w:space="0" w:color="auto"/>
            <w:bottom w:val="none" w:sz="0" w:space="0" w:color="auto"/>
            <w:right w:val="none" w:sz="0" w:space="0" w:color="auto"/>
          </w:divBdr>
          <w:divsChild>
            <w:div w:id="386489656">
              <w:marLeft w:val="0"/>
              <w:marRight w:val="0"/>
              <w:marTop w:val="0"/>
              <w:marBottom w:val="0"/>
              <w:divBdr>
                <w:top w:val="none" w:sz="0" w:space="0" w:color="auto"/>
                <w:left w:val="none" w:sz="0" w:space="0" w:color="auto"/>
                <w:bottom w:val="none" w:sz="0" w:space="0" w:color="auto"/>
                <w:right w:val="none" w:sz="0" w:space="0" w:color="auto"/>
              </w:divBdr>
              <w:divsChild>
                <w:div w:id="1077747992">
                  <w:marLeft w:val="0"/>
                  <w:marRight w:val="0"/>
                  <w:marTop w:val="0"/>
                  <w:marBottom w:val="0"/>
                  <w:divBdr>
                    <w:top w:val="none" w:sz="0" w:space="0" w:color="auto"/>
                    <w:left w:val="none" w:sz="0" w:space="0" w:color="auto"/>
                    <w:bottom w:val="none" w:sz="0" w:space="0" w:color="auto"/>
                    <w:right w:val="none" w:sz="0" w:space="0" w:color="auto"/>
                  </w:divBdr>
                  <w:divsChild>
                    <w:div w:id="131295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667991">
      <w:bodyDiv w:val="1"/>
      <w:marLeft w:val="0"/>
      <w:marRight w:val="0"/>
      <w:marTop w:val="0"/>
      <w:marBottom w:val="0"/>
      <w:divBdr>
        <w:top w:val="none" w:sz="0" w:space="0" w:color="auto"/>
        <w:left w:val="none" w:sz="0" w:space="0" w:color="auto"/>
        <w:bottom w:val="none" w:sz="0" w:space="0" w:color="auto"/>
        <w:right w:val="none" w:sz="0" w:space="0" w:color="auto"/>
      </w:divBdr>
    </w:div>
    <w:div w:id="693577007">
      <w:bodyDiv w:val="1"/>
      <w:marLeft w:val="0"/>
      <w:marRight w:val="0"/>
      <w:marTop w:val="0"/>
      <w:marBottom w:val="0"/>
      <w:divBdr>
        <w:top w:val="none" w:sz="0" w:space="0" w:color="auto"/>
        <w:left w:val="none" w:sz="0" w:space="0" w:color="auto"/>
        <w:bottom w:val="none" w:sz="0" w:space="0" w:color="auto"/>
        <w:right w:val="none" w:sz="0" w:space="0" w:color="auto"/>
      </w:divBdr>
      <w:divsChild>
        <w:div w:id="375400296">
          <w:marLeft w:val="0"/>
          <w:marRight w:val="0"/>
          <w:marTop w:val="0"/>
          <w:marBottom w:val="0"/>
          <w:divBdr>
            <w:top w:val="none" w:sz="0" w:space="0" w:color="auto"/>
            <w:left w:val="none" w:sz="0" w:space="0" w:color="auto"/>
            <w:bottom w:val="none" w:sz="0" w:space="0" w:color="auto"/>
            <w:right w:val="none" w:sz="0" w:space="0" w:color="auto"/>
          </w:divBdr>
          <w:divsChild>
            <w:div w:id="1578905207">
              <w:marLeft w:val="0"/>
              <w:marRight w:val="0"/>
              <w:marTop w:val="0"/>
              <w:marBottom w:val="0"/>
              <w:divBdr>
                <w:top w:val="none" w:sz="0" w:space="0" w:color="auto"/>
                <w:left w:val="none" w:sz="0" w:space="0" w:color="auto"/>
                <w:bottom w:val="none" w:sz="0" w:space="0" w:color="auto"/>
                <w:right w:val="none" w:sz="0" w:space="0" w:color="auto"/>
              </w:divBdr>
              <w:divsChild>
                <w:div w:id="1020204366">
                  <w:marLeft w:val="0"/>
                  <w:marRight w:val="0"/>
                  <w:marTop w:val="0"/>
                  <w:marBottom w:val="0"/>
                  <w:divBdr>
                    <w:top w:val="none" w:sz="0" w:space="0" w:color="auto"/>
                    <w:left w:val="none" w:sz="0" w:space="0" w:color="auto"/>
                    <w:bottom w:val="none" w:sz="0" w:space="0" w:color="auto"/>
                    <w:right w:val="none" w:sz="0" w:space="0" w:color="auto"/>
                  </w:divBdr>
                  <w:divsChild>
                    <w:div w:id="80681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032746">
          <w:marLeft w:val="0"/>
          <w:marRight w:val="0"/>
          <w:marTop w:val="0"/>
          <w:marBottom w:val="0"/>
          <w:divBdr>
            <w:top w:val="none" w:sz="0" w:space="0" w:color="auto"/>
            <w:left w:val="none" w:sz="0" w:space="0" w:color="auto"/>
            <w:bottom w:val="none" w:sz="0" w:space="0" w:color="auto"/>
            <w:right w:val="none" w:sz="0" w:space="0" w:color="auto"/>
          </w:divBdr>
          <w:divsChild>
            <w:div w:id="116529960">
              <w:marLeft w:val="0"/>
              <w:marRight w:val="0"/>
              <w:marTop w:val="0"/>
              <w:marBottom w:val="0"/>
              <w:divBdr>
                <w:top w:val="none" w:sz="0" w:space="0" w:color="auto"/>
                <w:left w:val="none" w:sz="0" w:space="0" w:color="auto"/>
                <w:bottom w:val="none" w:sz="0" w:space="0" w:color="auto"/>
                <w:right w:val="none" w:sz="0" w:space="0" w:color="auto"/>
              </w:divBdr>
              <w:divsChild>
                <w:div w:id="1461921641">
                  <w:marLeft w:val="0"/>
                  <w:marRight w:val="0"/>
                  <w:marTop w:val="0"/>
                  <w:marBottom w:val="0"/>
                  <w:divBdr>
                    <w:top w:val="none" w:sz="0" w:space="0" w:color="auto"/>
                    <w:left w:val="none" w:sz="0" w:space="0" w:color="auto"/>
                    <w:bottom w:val="none" w:sz="0" w:space="0" w:color="auto"/>
                    <w:right w:val="none" w:sz="0" w:space="0" w:color="auto"/>
                  </w:divBdr>
                  <w:divsChild>
                    <w:div w:id="140201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534188">
      <w:bodyDiv w:val="1"/>
      <w:marLeft w:val="0"/>
      <w:marRight w:val="0"/>
      <w:marTop w:val="0"/>
      <w:marBottom w:val="0"/>
      <w:divBdr>
        <w:top w:val="none" w:sz="0" w:space="0" w:color="auto"/>
        <w:left w:val="none" w:sz="0" w:space="0" w:color="auto"/>
        <w:bottom w:val="none" w:sz="0" w:space="0" w:color="auto"/>
        <w:right w:val="none" w:sz="0" w:space="0" w:color="auto"/>
      </w:divBdr>
    </w:div>
    <w:div w:id="791174508">
      <w:bodyDiv w:val="1"/>
      <w:marLeft w:val="0"/>
      <w:marRight w:val="0"/>
      <w:marTop w:val="0"/>
      <w:marBottom w:val="0"/>
      <w:divBdr>
        <w:top w:val="none" w:sz="0" w:space="0" w:color="auto"/>
        <w:left w:val="none" w:sz="0" w:space="0" w:color="auto"/>
        <w:bottom w:val="none" w:sz="0" w:space="0" w:color="auto"/>
        <w:right w:val="none" w:sz="0" w:space="0" w:color="auto"/>
      </w:divBdr>
    </w:div>
    <w:div w:id="819343894">
      <w:bodyDiv w:val="1"/>
      <w:marLeft w:val="0"/>
      <w:marRight w:val="0"/>
      <w:marTop w:val="0"/>
      <w:marBottom w:val="0"/>
      <w:divBdr>
        <w:top w:val="none" w:sz="0" w:space="0" w:color="auto"/>
        <w:left w:val="none" w:sz="0" w:space="0" w:color="auto"/>
        <w:bottom w:val="none" w:sz="0" w:space="0" w:color="auto"/>
        <w:right w:val="none" w:sz="0" w:space="0" w:color="auto"/>
      </w:divBdr>
      <w:divsChild>
        <w:div w:id="208691208">
          <w:marLeft w:val="0"/>
          <w:marRight w:val="0"/>
          <w:marTop w:val="0"/>
          <w:marBottom w:val="0"/>
          <w:divBdr>
            <w:top w:val="none" w:sz="0" w:space="0" w:color="auto"/>
            <w:left w:val="none" w:sz="0" w:space="0" w:color="auto"/>
            <w:bottom w:val="none" w:sz="0" w:space="0" w:color="auto"/>
            <w:right w:val="none" w:sz="0" w:space="0" w:color="auto"/>
          </w:divBdr>
        </w:div>
      </w:divsChild>
    </w:div>
    <w:div w:id="821964775">
      <w:bodyDiv w:val="1"/>
      <w:marLeft w:val="0"/>
      <w:marRight w:val="0"/>
      <w:marTop w:val="0"/>
      <w:marBottom w:val="0"/>
      <w:divBdr>
        <w:top w:val="none" w:sz="0" w:space="0" w:color="auto"/>
        <w:left w:val="none" w:sz="0" w:space="0" w:color="auto"/>
        <w:bottom w:val="none" w:sz="0" w:space="0" w:color="auto"/>
        <w:right w:val="none" w:sz="0" w:space="0" w:color="auto"/>
      </w:divBdr>
      <w:divsChild>
        <w:div w:id="821501466">
          <w:marLeft w:val="0"/>
          <w:marRight w:val="0"/>
          <w:marTop w:val="0"/>
          <w:marBottom w:val="0"/>
          <w:divBdr>
            <w:top w:val="none" w:sz="0" w:space="0" w:color="auto"/>
            <w:left w:val="none" w:sz="0" w:space="0" w:color="auto"/>
            <w:bottom w:val="none" w:sz="0" w:space="0" w:color="auto"/>
            <w:right w:val="none" w:sz="0" w:space="0" w:color="auto"/>
          </w:divBdr>
        </w:div>
        <w:div w:id="1676959992">
          <w:marLeft w:val="0"/>
          <w:marRight w:val="0"/>
          <w:marTop w:val="0"/>
          <w:marBottom w:val="0"/>
          <w:divBdr>
            <w:top w:val="none" w:sz="0" w:space="0" w:color="auto"/>
            <w:left w:val="none" w:sz="0" w:space="0" w:color="auto"/>
            <w:bottom w:val="none" w:sz="0" w:space="0" w:color="auto"/>
            <w:right w:val="none" w:sz="0" w:space="0" w:color="auto"/>
          </w:divBdr>
        </w:div>
      </w:divsChild>
    </w:div>
    <w:div w:id="876506863">
      <w:bodyDiv w:val="1"/>
      <w:marLeft w:val="0"/>
      <w:marRight w:val="0"/>
      <w:marTop w:val="0"/>
      <w:marBottom w:val="0"/>
      <w:divBdr>
        <w:top w:val="none" w:sz="0" w:space="0" w:color="auto"/>
        <w:left w:val="none" w:sz="0" w:space="0" w:color="auto"/>
        <w:bottom w:val="none" w:sz="0" w:space="0" w:color="auto"/>
        <w:right w:val="none" w:sz="0" w:space="0" w:color="auto"/>
      </w:divBdr>
    </w:div>
    <w:div w:id="896748837">
      <w:bodyDiv w:val="1"/>
      <w:marLeft w:val="0"/>
      <w:marRight w:val="0"/>
      <w:marTop w:val="0"/>
      <w:marBottom w:val="0"/>
      <w:divBdr>
        <w:top w:val="none" w:sz="0" w:space="0" w:color="auto"/>
        <w:left w:val="none" w:sz="0" w:space="0" w:color="auto"/>
        <w:bottom w:val="none" w:sz="0" w:space="0" w:color="auto"/>
        <w:right w:val="none" w:sz="0" w:space="0" w:color="auto"/>
      </w:divBdr>
    </w:div>
    <w:div w:id="913781410">
      <w:bodyDiv w:val="1"/>
      <w:marLeft w:val="0"/>
      <w:marRight w:val="0"/>
      <w:marTop w:val="0"/>
      <w:marBottom w:val="0"/>
      <w:divBdr>
        <w:top w:val="none" w:sz="0" w:space="0" w:color="auto"/>
        <w:left w:val="none" w:sz="0" w:space="0" w:color="auto"/>
        <w:bottom w:val="none" w:sz="0" w:space="0" w:color="auto"/>
        <w:right w:val="none" w:sz="0" w:space="0" w:color="auto"/>
      </w:divBdr>
    </w:div>
    <w:div w:id="924264612">
      <w:bodyDiv w:val="1"/>
      <w:marLeft w:val="0"/>
      <w:marRight w:val="0"/>
      <w:marTop w:val="0"/>
      <w:marBottom w:val="0"/>
      <w:divBdr>
        <w:top w:val="none" w:sz="0" w:space="0" w:color="auto"/>
        <w:left w:val="none" w:sz="0" w:space="0" w:color="auto"/>
        <w:bottom w:val="none" w:sz="0" w:space="0" w:color="auto"/>
        <w:right w:val="none" w:sz="0" w:space="0" w:color="auto"/>
      </w:divBdr>
      <w:divsChild>
        <w:div w:id="254293554">
          <w:marLeft w:val="0"/>
          <w:marRight w:val="0"/>
          <w:marTop w:val="0"/>
          <w:marBottom w:val="0"/>
          <w:divBdr>
            <w:top w:val="none" w:sz="0" w:space="0" w:color="auto"/>
            <w:left w:val="none" w:sz="0" w:space="0" w:color="auto"/>
            <w:bottom w:val="none" w:sz="0" w:space="0" w:color="auto"/>
            <w:right w:val="none" w:sz="0" w:space="0" w:color="auto"/>
          </w:divBdr>
          <w:divsChild>
            <w:div w:id="762916324">
              <w:marLeft w:val="0"/>
              <w:marRight w:val="0"/>
              <w:marTop w:val="0"/>
              <w:marBottom w:val="0"/>
              <w:divBdr>
                <w:top w:val="none" w:sz="0" w:space="0" w:color="auto"/>
                <w:left w:val="none" w:sz="0" w:space="0" w:color="auto"/>
                <w:bottom w:val="none" w:sz="0" w:space="0" w:color="auto"/>
                <w:right w:val="none" w:sz="0" w:space="0" w:color="auto"/>
              </w:divBdr>
              <w:divsChild>
                <w:div w:id="1081755951">
                  <w:marLeft w:val="0"/>
                  <w:marRight w:val="0"/>
                  <w:marTop w:val="0"/>
                  <w:marBottom w:val="0"/>
                  <w:divBdr>
                    <w:top w:val="none" w:sz="0" w:space="0" w:color="auto"/>
                    <w:left w:val="none" w:sz="0" w:space="0" w:color="auto"/>
                    <w:bottom w:val="none" w:sz="0" w:space="0" w:color="auto"/>
                    <w:right w:val="none" w:sz="0" w:space="0" w:color="auto"/>
                  </w:divBdr>
                  <w:divsChild>
                    <w:div w:id="76835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25769">
          <w:marLeft w:val="0"/>
          <w:marRight w:val="0"/>
          <w:marTop w:val="0"/>
          <w:marBottom w:val="0"/>
          <w:divBdr>
            <w:top w:val="none" w:sz="0" w:space="0" w:color="auto"/>
            <w:left w:val="none" w:sz="0" w:space="0" w:color="auto"/>
            <w:bottom w:val="none" w:sz="0" w:space="0" w:color="auto"/>
            <w:right w:val="none" w:sz="0" w:space="0" w:color="auto"/>
          </w:divBdr>
          <w:divsChild>
            <w:div w:id="1486900692">
              <w:marLeft w:val="0"/>
              <w:marRight w:val="0"/>
              <w:marTop w:val="0"/>
              <w:marBottom w:val="0"/>
              <w:divBdr>
                <w:top w:val="none" w:sz="0" w:space="0" w:color="auto"/>
                <w:left w:val="none" w:sz="0" w:space="0" w:color="auto"/>
                <w:bottom w:val="none" w:sz="0" w:space="0" w:color="auto"/>
                <w:right w:val="none" w:sz="0" w:space="0" w:color="auto"/>
              </w:divBdr>
              <w:divsChild>
                <w:div w:id="1255675561">
                  <w:marLeft w:val="0"/>
                  <w:marRight w:val="0"/>
                  <w:marTop w:val="0"/>
                  <w:marBottom w:val="0"/>
                  <w:divBdr>
                    <w:top w:val="none" w:sz="0" w:space="0" w:color="auto"/>
                    <w:left w:val="none" w:sz="0" w:space="0" w:color="auto"/>
                    <w:bottom w:val="none" w:sz="0" w:space="0" w:color="auto"/>
                    <w:right w:val="none" w:sz="0" w:space="0" w:color="auto"/>
                  </w:divBdr>
                  <w:divsChild>
                    <w:div w:id="3057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46837">
      <w:bodyDiv w:val="1"/>
      <w:marLeft w:val="0"/>
      <w:marRight w:val="0"/>
      <w:marTop w:val="0"/>
      <w:marBottom w:val="0"/>
      <w:divBdr>
        <w:top w:val="none" w:sz="0" w:space="0" w:color="auto"/>
        <w:left w:val="none" w:sz="0" w:space="0" w:color="auto"/>
        <w:bottom w:val="none" w:sz="0" w:space="0" w:color="auto"/>
        <w:right w:val="none" w:sz="0" w:space="0" w:color="auto"/>
      </w:divBdr>
      <w:divsChild>
        <w:div w:id="92634416">
          <w:marLeft w:val="0"/>
          <w:marRight w:val="0"/>
          <w:marTop w:val="0"/>
          <w:marBottom w:val="0"/>
          <w:divBdr>
            <w:top w:val="none" w:sz="0" w:space="0" w:color="auto"/>
            <w:left w:val="none" w:sz="0" w:space="0" w:color="auto"/>
            <w:bottom w:val="none" w:sz="0" w:space="0" w:color="auto"/>
            <w:right w:val="none" w:sz="0" w:space="0" w:color="auto"/>
          </w:divBdr>
          <w:divsChild>
            <w:div w:id="750809820">
              <w:marLeft w:val="0"/>
              <w:marRight w:val="0"/>
              <w:marTop w:val="0"/>
              <w:marBottom w:val="0"/>
              <w:divBdr>
                <w:top w:val="none" w:sz="0" w:space="0" w:color="auto"/>
                <w:left w:val="none" w:sz="0" w:space="0" w:color="auto"/>
                <w:bottom w:val="none" w:sz="0" w:space="0" w:color="auto"/>
                <w:right w:val="none" w:sz="0" w:space="0" w:color="auto"/>
              </w:divBdr>
              <w:divsChild>
                <w:div w:id="58211517">
                  <w:marLeft w:val="0"/>
                  <w:marRight w:val="0"/>
                  <w:marTop w:val="0"/>
                  <w:marBottom w:val="0"/>
                  <w:divBdr>
                    <w:top w:val="none" w:sz="0" w:space="0" w:color="auto"/>
                    <w:left w:val="none" w:sz="0" w:space="0" w:color="auto"/>
                    <w:bottom w:val="none" w:sz="0" w:space="0" w:color="auto"/>
                    <w:right w:val="none" w:sz="0" w:space="0" w:color="auto"/>
                  </w:divBdr>
                  <w:divsChild>
                    <w:div w:id="2133086157">
                      <w:marLeft w:val="0"/>
                      <w:marRight w:val="0"/>
                      <w:marTop w:val="0"/>
                      <w:marBottom w:val="0"/>
                      <w:divBdr>
                        <w:top w:val="none" w:sz="0" w:space="0" w:color="auto"/>
                        <w:left w:val="none" w:sz="0" w:space="0" w:color="auto"/>
                        <w:bottom w:val="none" w:sz="0" w:space="0" w:color="auto"/>
                        <w:right w:val="none" w:sz="0" w:space="0" w:color="auto"/>
                      </w:divBdr>
                      <w:divsChild>
                        <w:div w:id="2124960500">
                          <w:marLeft w:val="0"/>
                          <w:marRight w:val="0"/>
                          <w:marTop w:val="0"/>
                          <w:marBottom w:val="0"/>
                          <w:divBdr>
                            <w:top w:val="none" w:sz="0" w:space="0" w:color="auto"/>
                            <w:left w:val="none" w:sz="0" w:space="0" w:color="auto"/>
                            <w:bottom w:val="none" w:sz="0" w:space="0" w:color="auto"/>
                            <w:right w:val="none" w:sz="0" w:space="0" w:color="auto"/>
                          </w:divBdr>
                          <w:divsChild>
                            <w:div w:id="57825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608314">
      <w:bodyDiv w:val="1"/>
      <w:marLeft w:val="0"/>
      <w:marRight w:val="0"/>
      <w:marTop w:val="0"/>
      <w:marBottom w:val="0"/>
      <w:divBdr>
        <w:top w:val="none" w:sz="0" w:space="0" w:color="auto"/>
        <w:left w:val="none" w:sz="0" w:space="0" w:color="auto"/>
        <w:bottom w:val="none" w:sz="0" w:space="0" w:color="auto"/>
        <w:right w:val="none" w:sz="0" w:space="0" w:color="auto"/>
      </w:divBdr>
    </w:div>
    <w:div w:id="955478984">
      <w:bodyDiv w:val="1"/>
      <w:marLeft w:val="0"/>
      <w:marRight w:val="0"/>
      <w:marTop w:val="0"/>
      <w:marBottom w:val="0"/>
      <w:divBdr>
        <w:top w:val="none" w:sz="0" w:space="0" w:color="auto"/>
        <w:left w:val="none" w:sz="0" w:space="0" w:color="auto"/>
        <w:bottom w:val="none" w:sz="0" w:space="0" w:color="auto"/>
        <w:right w:val="none" w:sz="0" w:space="0" w:color="auto"/>
      </w:divBdr>
    </w:div>
    <w:div w:id="964040023">
      <w:bodyDiv w:val="1"/>
      <w:marLeft w:val="0"/>
      <w:marRight w:val="0"/>
      <w:marTop w:val="0"/>
      <w:marBottom w:val="0"/>
      <w:divBdr>
        <w:top w:val="none" w:sz="0" w:space="0" w:color="auto"/>
        <w:left w:val="none" w:sz="0" w:space="0" w:color="auto"/>
        <w:bottom w:val="none" w:sz="0" w:space="0" w:color="auto"/>
        <w:right w:val="none" w:sz="0" w:space="0" w:color="auto"/>
      </w:divBdr>
    </w:div>
    <w:div w:id="1035888355">
      <w:bodyDiv w:val="1"/>
      <w:marLeft w:val="0"/>
      <w:marRight w:val="0"/>
      <w:marTop w:val="0"/>
      <w:marBottom w:val="0"/>
      <w:divBdr>
        <w:top w:val="none" w:sz="0" w:space="0" w:color="auto"/>
        <w:left w:val="none" w:sz="0" w:space="0" w:color="auto"/>
        <w:bottom w:val="none" w:sz="0" w:space="0" w:color="auto"/>
        <w:right w:val="none" w:sz="0" w:space="0" w:color="auto"/>
      </w:divBdr>
    </w:div>
    <w:div w:id="1042246532">
      <w:bodyDiv w:val="1"/>
      <w:marLeft w:val="0"/>
      <w:marRight w:val="0"/>
      <w:marTop w:val="0"/>
      <w:marBottom w:val="0"/>
      <w:divBdr>
        <w:top w:val="none" w:sz="0" w:space="0" w:color="auto"/>
        <w:left w:val="none" w:sz="0" w:space="0" w:color="auto"/>
        <w:bottom w:val="none" w:sz="0" w:space="0" w:color="auto"/>
        <w:right w:val="none" w:sz="0" w:space="0" w:color="auto"/>
      </w:divBdr>
    </w:div>
    <w:div w:id="1085229197">
      <w:bodyDiv w:val="1"/>
      <w:marLeft w:val="0"/>
      <w:marRight w:val="0"/>
      <w:marTop w:val="0"/>
      <w:marBottom w:val="0"/>
      <w:divBdr>
        <w:top w:val="none" w:sz="0" w:space="0" w:color="auto"/>
        <w:left w:val="none" w:sz="0" w:space="0" w:color="auto"/>
        <w:bottom w:val="none" w:sz="0" w:space="0" w:color="auto"/>
        <w:right w:val="none" w:sz="0" w:space="0" w:color="auto"/>
      </w:divBdr>
      <w:divsChild>
        <w:div w:id="106824195">
          <w:marLeft w:val="0"/>
          <w:marRight w:val="0"/>
          <w:marTop w:val="0"/>
          <w:marBottom w:val="0"/>
          <w:divBdr>
            <w:top w:val="none" w:sz="0" w:space="0" w:color="auto"/>
            <w:left w:val="none" w:sz="0" w:space="0" w:color="auto"/>
            <w:bottom w:val="none" w:sz="0" w:space="0" w:color="auto"/>
            <w:right w:val="none" w:sz="0" w:space="0" w:color="auto"/>
          </w:divBdr>
        </w:div>
        <w:div w:id="234781804">
          <w:marLeft w:val="0"/>
          <w:marRight w:val="0"/>
          <w:marTop w:val="0"/>
          <w:marBottom w:val="0"/>
          <w:divBdr>
            <w:top w:val="none" w:sz="0" w:space="0" w:color="auto"/>
            <w:left w:val="none" w:sz="0" w:space="0" w:color="auto"/>
            <w:bottom w:val="none" w:sz="0" w:space="0" w:color="auto"/>
            <w:right w:val="none" w:sz="0" w:space="0" w:color="auto"/>
          </w:divBdr>
        </w:div>
        <w:div w:id="330911951">
          <w:marLeft w:val="0"/>
          <w:marRight w:val="0"/>
          <w:marTop w:val="0"/>
          <w:marBottom w:val="0"/>
          <w:divBdr>
            <w:top w:val="none" w:sz="0" w:space="0" w:color="auto"/>
            <w:left w:val="none" w:sz="0" w:space="0" w:color="auto"/>
            <w:bottom w:val="none" w:sz="0" w:space="0" w:color="auto"/>
            <w:right w:val="none" w:sz="0" w:space="0" w:color="auto"/>
          </w:divBdr>
        </w:div>
        <w:div w:id="361252080">
          <w:marLeft w:val="0"/>
          <w:marRight w:val="0"/>
          <w:marTop w:val="0"/>
          <w:marBottom w:val="0"/>
          <w:divBdr>
            <w:top w:val="none" w:sz="0" w:space="0" w:color="auto"/>
            <w:left w:val="none" w:sz="0" w:space="0" w:color="auto"/>
            <w:bottom w:val="none" w:sz="0" w:space="0" w:color="auto"/>
            <w:right w:val="none" w:sz="0" w:space="0" w:color="auto"/>
          </w:divBdr>
        </w:div>
        <w:div w:id="385227602">
          <w:marLeft w:val="0"/>
          <w:marRight w:val="0"/>
          <w:marTop w:val="0"/>
          <w:marBottom w:val="0"/>
          <w:divBdr>
            <w:top w:val="none" w:sz="0" w:space="0" w:color="auto"/>
            <w:left w:val="none" w:sz="0" w:space="0" w:color="auto"/>
            <w:bottom w:val="none" w:sz="0" w:space="0" w:color="auto"/>
            <w:right w:val="none" w:sz="0" w:space="0" w:color="auto"/>
          </w:divBdr>
        </w:div>
        <w:div w:id="456097538">
          <w:marLeft w:val="0"/>
          <w:marRight w:val="0"/>
          <w:marTop w:val="0"/>
          <w:marBottom w:val="0"/>
          <w:divBdr>
            <w:top w:val="none" w:sz="0" w:space="0" w:color="auto"/>
            <w:left w:val="none" w:sz="0" w:space="0" w:color="auto"/>
            <w:bottom w:val="none" w:sz="0" w:space="0" w:color="auto"/>
            <w:right w:val="none" w:sz="0" w:space="0" w:color="auto"/>
          </w:divBdr>
        </w:div>
        <w:div w:id="510874559">
          <w:marLeft w:val="0"/>
          <w:marRight w:val="0"/>
          <w:marTop w:val="0"/>
          <w:marBottom w:val="0"/>
          <w:divBdr>
            <w:top w:val="none" w:sz="0" w:space="0" w:color="auto"/>
            <w:left w:val="none" w:sz="0" w:space="0" w:color="auto"/>
            <w:bottom w:val="none" w:sz="0" w:space="0" w:color="auto"/>
            <w:right w:val="none" w:sz="0" w:space="0" w:color="auto"/>
          </w:divBdr>
        </w:div>
        <w:div w:id="583495238">
          <w:marLeft w:val="0"/>
          <w:marRight w:val="0"/>
          <w:marTop w:val="0"/>
          <w:marBottom w:val="0"/>
          <w:divBdr>
            <w:top w:val="none" w:sz="0" w:space="0" w:color="auto"/>
            <w:left w:val="none" w:sz="0" w:space="0" w:color="auto"/>
            <w:bottom w:val="none" w:sz="0" w:space="0" w:color="auto"/>
            <w:right w:val="none" w:sz="0" w:space="0" w:color="auto"/>
          </w:divBdr>
        </w:div>
        <w:div w:id="1002053589">
          <w:marLeft w:val="0"/>
          <w:marRight w:val="0"/>
          <w:marTop w:val="0"/>
          <w:marBottom w:val="0"/>
          <w:divBdr>
            <w:top w:val="none" w:sz="0" w:space="0" w:color="auto"/>
            <w:left w:val="none" w:sz="0" w:space="0" w:color="auto"/>
            <w:bottom w:val="none" w:sz="0" w:space="0" w:color="auto"/>
            <w:right w:val="none" w:sz="0" w:space="0" w:color="auto"/>
          </w:divBdr>
        </w:div>
        <w:div w:id="1006053442">
          <w:marLeft w:val="0"/>
          <w:marRight w:val="0"/>
          <w:marTop w:val="0"/>
          <w:marBottom w:val="0"/>
          <w:divBdr>
            <w:top w:val="none" w:sz="0" w:space="0" w:color="auto"/>
            <w:left w:val="none" w:sz="0" w:space="0" w:color="auto"/>
            <w:bottom w:val="none" w:sz="0" w:space="0" w:color="auto"/>
            <w:right w:val="none" w:sz="0" w:space="0" w:color="auto"/>
          </w:divBdr>
        </w:div>
        <w:div w:id="1052192742">
          <w:marLeft w:val="0"/>
          <w:marRight w:val="0"/>
          <w:marTop w:val="0"/>
          <w:marBottom w:val="0"/>
          <w:divBdr>
            <w:top w:val="none" w:sz="0" w:space="0" w:color="auto"/>
            <w:left w:val="none" w:sz="0" w:space="0" w:color="auto"/>
            <w:bottom w:val="none" w:sz="0" w:space="0" w:color="auto"/>
            <w:right w:val="none" w:sz="0" w:space="0" w:color="auto"/>
          </w:divBdr>
        </w:div>
        <w:div w:id="1083647407">
          <w:marLeft w:val="0"/>
          <w:marRight w:val="0"/>
          <w:marTop w:val="0"/>
          <w:marBottom w:val="0"/>
          <w:divBdr>
            <w:top w:val="none" w:sz="0" w:space="0" w:color="auto"/>
            <w:left w:val="none" w:sz="0" w:space="0" w:color="auto"/>
            <w:bottom w:val="none" w:sz="0" w:space="0" w:color="auto"/>
            <w:right w:val="none" w:sz="0" w:space="0" w:color="auto"/>
          </w:divBdr>
        </w:div>
        <w:div w:id="1104619473">
          <w:marLeft w:val="0"/>
          <w:marRight w:val="0"/>
          <w:marTop w:val="0"/>
          <w:marBottom w:val="0"/>
          <w:divBdr>
            <w:top w:val="none" w:sz="0" w:space="0" w:color="auto"/>
            <w:left w:val="none" w:sz="0" w:space="0" w:color="auto"/>
            <w:bottom w:val="none" w:sz="0" w:space="0" w:color="auto"/>
            <w:right w:val="none" w:sz="0" w:space="0" w:color="auto"/>
          </w:divBdr>
        </w:div>
        <w:div w:id="1132792864">
          <w:marLeft w:val="0"/>
          <w:marRight w:val="0"/>
          <w:marTop w:val="0"/>
          <w:marBottom w:val="0"/>
          <w:divBdr>
            <w:top w:val="none" w:sz="0" w:space="0" w:color="auto"/>
            <w:left w:val="none" w:sz="0" w:space="0" w:color="auto"/>
            <w:bottom w:val="none" w:sz="0" w:space="0" w:color="auto"/>
            <w:right w:val="none" w:sz="0" w:space="0" w:color="auto"/>
          </w:divBdr>
        </w:div>
        <w:div w:id="1134831116">
          <w:marLeft w:val="0"/>
          <w:marRight w:val="0"/>
          <w:marTop w:val="0"/>
          <w:marBottom w:val="0"/>
          <w:divBdr>
            <w:top w:val="none" w:sz="0" w:space="0" w:color="auto"/>
            <w:left w:val="none" w:sz="0" w:space="0" w:color="auto"/>
            <w:bottom w:val="none" w:sz="0" w:space="0" w:color="auto"/>
            <w:right w:val="none" w:sz="0" w:space="0" w:color="auto"/>
          </w:divBdr>
        </w:div>
        <w:div w:id="1164324909">
          <w:marLeft w:val="0"/>
          <w:marRight w:val="0"/>
          <w:marTop w:val="0"/>
          <w:marBottom w:val="0"/>
          <w:divBdr>
            <w:top w:val="none" w:sz="0" w:space="0" w:color="auto"/>
            <w:left w:val="none" w:sz="0" w:space="0" w:color="auto"/>
            <w:bottom w:val="none" w:sz="0" w:space="0" w:color="auto"/>
            <w:right w:val="none" w:sz="0" w:space="0" w:color="auto"/>
          </w:divBdr>
        </w:div>
        <w:div w:id="1195071442">
          <w:marLeft w:val="0"/>
          <w:marRight w:val="0"/>
          <w:marTop w:val="0"/>
          <w:marBottom w:val="0"/>
          <w:divBdr>
            <w:top w:val="none" w:sz="0" w:space="0" w:color="auto"/>
            <w:left w:val="none" w:sz="0" w:space="0" w:color="auto"/>
            <w:bottom w:val="none" w:sz="0" w:space="0" w:color="auto"/>
            <w:right w:val="none" w:sz="0" w:space="0" w:color="auto"/>
          </w:divBdr>
        </w:div>
        <w:div w:id="1331060754">
          <w:marLeft w:val="0"/>
          <w:marRight w:val="0"/>
          <w:marTop w:val="0"/>
          <w:marBottom w:val="0"/>
          <w:divBdr>
            <w:top w:val="none" w:sz="0" w:space="0" w:color="auto"/>
            <w:left w:val="none" w:sz="0" w:space="0" w:color="auto"/>
            <w:bottom w:val="none" w:sz="0" w:space="0" w:color="auto"/>
            <w:right w:val="none" w:sz="0" w:space="0" w:color="auto"/>
          </w:divBdr>
        </w:div>
        <w:div w:id="1357462278">
          <w:marLeft w:val="0"/>
          <w:marRight w:val="0"/>
          <w:marTop w:val="0"/>
          <w:marBottom w:val="0"/>
          <w:divBdr>
            <w:top w:val="none" w:sz="0" w:space="0" w:color="auto"/>
            <w:left w:val="none" w:sz="0" w:space="0" w:color="auto"/>
            <w:bottom w:val="none" w:sz="0" w:space="0" w:color="auto"/>
            <w:right w:val="none" w:sz="0" w:space="0" w:color="auto"/>
          </w:divBdr>
        </w:div>
        <w:div w:id="1659306781">
          <w:marLeft w:val="0"/>
          <w:marRight w:val="0"/>
          <w:marTop w:val="0"/>
          <w:marBottom w:val="0"/>
          <w:divBdr>
            <w:top w:val="none" w:sz="0" w:space="0" w:color="auto"/>
            <w:left w:val="none" w:sz="0" w:space="0" w:color="auto"/>
            <w:bottom w:val="none" w:sz="0" w:space="0" w:color="auto"/>
            <w:right w:val="none" w:sz="0" w:space="0" w:color="auto"/>
          </w:divBdr>
        </w:div>
        <w:div w:id="1760907730">
          <w:marLeft w:val="0"/>
          <w:marRight w:val="0"/>
          <w:marTop w:val="0"/>
          <w:marBottom w:val="0"/>
          <w:divBdr>
            <w:top w:val="none" w:sz="0" w:space="0" w:color="auto"/>
            <w:left w:val="none" w:sz="0" w:space="0" w:color="auto"/>
            <w:bottom w:val="none" w:sz="0" w:space="0" w:color="auto"/>
            <w:right w:val="none" w:sz="0" w:space="0" w:color="auto"/>
          </w:divBdr>
        </w:div>
        <w:div w:id="1800143924">
          <w:marLeft w:val="0"/>
          <w:marRight w:val="0"/>
          <w:marTop w:val="0"/>
          <w:marBottom w:val="0"/>
          <w:divBdr>
            <w:top w:val="none" w:sz="0" w:space="0" w:color="auto"/>
            <w:left w:val="none" w:sz="0" w:space="0" w:color="auto"/>
            <w:bottom w:val="none" w:sz="0" w:space="0" w:color="auto"/>
            <w:right w:val="none" w:sz="0" w:space="0" w:color="auto"/>
          </w:divBdr>
        </w:div>
        <w:div w:id="1991859455">
          <w:marLeft w:val="0"/>
          <w:marRight w:val="0"/>
          <w:marTop w:val="0"/>
          <w:marBottom w:val="0"/>
          <w:divBdr>
            <w:top w:val="none" w:sz="0" w:space="0" w:color="auto"/>
            <w:left w:val="none" w:sz="0" w:space="0" w:color="auto"/>
            <w:bottom w:val="none" w:sz="0" w:space="0" w:color="auto"/>
            <w:right w:val="none" w:sz="0" w:space="0" w:color="auto"/>
          </w:divBdr>
        </w:div>
      </w:divsChild>
    </w:div>
    <w:div w:id="1121847214">
      <w:bodyDiv w:val="1"/>
      <w:marLeft w:val="0"/>
      <w:marRight w:val="0"/>
      <w:marTop w:val="0"/>
      <w:marBottom w:val="0"/>
      <w:divBdr>
        <w:top w:val="none" w:sz="0" w:space="0" w:color="auto"/>
        <w:left w:val="none" w:sz="0" w:space="0" w:color="auto"/>
        <w:bottom w:val="none" w:sz="0" w:space="0" w:color="auto"/>
        <w:right w:val="none" w:sz="0" w:space="0" w:color="auto"/>
      </w:divBdr>
      <w:divsChild>
        <w:div w:id="1977447083">
          <w:marLeft w:val="0"/>
          <w:marRight w:val="0"/>
          <w:marTop w:val="0"/>
          <w:marBottom w:val="0"/>
          <w:divBdr>
            <w:top w:val="none" w:sz="0" w:space="0" w:color="auto"/>
            <w:left w:val="none" w:sz="0" w:space="0" w:color="auto"/>
            <w:bottom w:val="none" w:sz="0" w:space="0" w:color="auto"/>
            <w:right w:val="none" w:sz="0" w:space="0" w:color="auto"/>
          </w:divBdr>
          <w:divsChild>
            <w:div w:id="316302139">
              <w:marLeft w:val="0"/>
              <w:marRight w:val="0"/>
              <w:marTop w:val="0"/>
              <w:marBottom w:val="0"/>
              <w:divBdr>
                <w:top w:val="none" w:sz="0" w:space="0" w:color="auto"/>
                <w:left w:val="none" w:sz="0" w:space="0" w:color="auto"/>
                <w:bottom w:val="none" w:sz="0" w:space="0" w:color="auto"/>
                <w:right w:val="none" w:sz="0" w:space="0" w:color="auto"/>
              </w:divBdr>
              <w:divsChild>
                <w:div w:id="876237029">
                  <w:marLeft w:val="0"/>
                  <w:marRight w:val="0"/>
                  <w:marTop w:val="0"/>
                  <w:marBottom w:val="0"/>
                  <w:divBdr>
                    <w:top w:val="none" w:sz="0" w:space="0" w:color="auto"/>
                    <w:left w:val="none" w:sz="0" w:space="0" w:color="auto"/>
                    <w:bottom w:val="none" w:sz="0" w:space="0" w:color="auto"/>
                    <w:right w:val="none" w:sz="0" w:space="0" w:color="auto"/>
                  </w:divBdr>
                  <w:divsChild>
                    <w:div w:id="1763406344">
                      <w:marLeft w:val="0"/>
                      <w:marRight w:val="0"/>
                      <w:marTop w:val="0"/>
                      <w:marBottom w:val="0"/>
                      <w:divBdr>
                        <w:top w:val="none" w:sz="0" w:space="0" w:color="auto"/>
                        <w:left w:val="none" w:sz="0" w:space="0" w:color="auto"/>
                        <w:bottom w:val="none" w:sz="0" w:space="0" w:color="auto"/>
                        <w:right w:val="none" w:sz="0" w:space="0" w:color="auto"/>
                      </w:divBdr>
                      <w:divsChild>
                        <w:div w:id="1713652640">
                          <w:marLeft w:val="0"/>
                          <w:marRight w:val="0"/>
                          <w:marTop w:val="0"/>
                          <w:marBottom w:val="0"/>
                          <w:divBdr>
                            <w:top w:val="none" w:sz="0" w:space="0" w:color="auto"/>
                            <w:left w:val="none" w:sz="0" w:space="0" w:color="auto"/>
                            <w:bottom w:val="none" w:sz="0" w:space="0" w:color="auto"/>
                            <w:right w:val="none" w:sz="0" w:space="0" w:color="auto"/>
                          </w:divBdr>
                          <w:divsChild>
                            <w:div w:id="124519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106514">
      <w:bodyDiv w:val="1"/>
      <w:marLeft w:val="0"/>
      <w:marRight w:val="0"/>
      <w:marTop w:val="0"/>
      <w:marBottom w:val="0"/>
      <w:divBdr>
        <w:top w:val="none" w:sz="0" w:space="0" w:color="auto"/>
        <w:left w:val="none" w:sz="0" w:space="0" w:color="auto"/>
        <w:bottom w:val="none" w:sz="0" w:space="0" w:color="auto"/>
        <w:right w:val="none" w:sz="0" w:space="0" w:color="auto"/>
      </w:divBdr>
      <w:divsChild>
        <w:div w:id="35351548">
          <w:marLeft w:val="0"/>
          <w:marRight w:val="0"/>
          <w:marTop w:val="0"/>
          <w:marBottom w:val="0"/>
          <w:divBdr>
            <w:top w:val="none" w:sz="0" w:space="0" w:color="auto"/>
            <w:left w:val="none" w:sz="0" w:space="0" w:color="auto"/>
            <w:bottom w:val="none" w:sz="0" w:space="0" w:color="auto"/>
            <w:right w:val="none" w:sz="0" w:space="0" w:color="auto"/>
          </w:divBdr>
        </w:div>
        <w:div w:id="349376503">
          <w:marLeft w:val="0"/>
          <w:marRight w:val="0"/>
          <w:marTop w:val="0"/>
          <w:marBottom w:val="0"/>
          <w:divBdr>
            <w:top w:val="none" w:sz="0" w:space="0" w:color="auto"/>
            <w:left w:val="none" w:sz="0" w:space="0" w:color="auto"/>
            <w:bottom w:val="none" w:sz="0" w:space="0" w:color="auto"/>
            <w:right w:val="none" w:sz="0" w:space="0" w:color="auto"/>
          </w:divBdr>
        </w:div>
        <w:div w:id="385107538">
          <w:marLeft w:val="0"/>
          <w:marRight w:val="0"/>
          <w:marTop w:val="0"/>
          <w:marBottom w:val="0"/>
          <w:divBdr>
            <w:top w:val="none" w:sz="0" w:space="0" w:color="auto"/>
            <w:left w:val="none" w:sz="0" w:space="0" w:color="auto"/>
            <w:bottom w:val="none" w:sz="0" w:space="0" w:color="auto"/>
            <w:right w:val="none" w:sz="0" w:space="0" w:color="auto"/>
          </w:divBdr>
        </w:div>
        <w:div w:id="508065911">
          <w:marLeft w:val="0"/>
          <w:marRight w:val="0"/>
          <w:marTop w:val="0"/>
          <w:marBottom w:val="0"/>
          <w:divBdr>
            <w:top w:val="none" w:sz="0" w:space="0" w:color="auto"/>
            <w:left w:val="none" w:sz="0" w:space="0" w:color="auto"/>
            <w:bottom w:val="none" w:sz="0" w:space="0" w:color="auto"/>
            <w:right w:val="none" w:sz="0" w:space="0" w:color="auto"/>
          </w:divBdr>
        </w:div>
        <w:div w:id="585574254">
          <w:marLeft w:val="0"/>
          <w:marRight w:val="0"/>
          <w:marTop w:val="0"/>
          <w:marBottom w:val="0"/>
          <w:divBdr>
            <w:top w:val="none" w:sz="0" w:space="0" w:color="auto"/>
            <w:left w:val="none" w:sz="0" w:space="0" w:color="auto"/>
            <w:bottom w:val="none" w:sz="0" w:space="0" w:color="auto"/>
            <w:right w:val="none" w:sz="0" w:space="0" w:color="auto"/>
          </w:divBdr>
        </w:div>
        <w:div w:id="728848437">
          <w:marLeft w:val="0"/>
          <w:marRight w:val="0"/>
          <w:marTop w:val="0"/>
          <w:marBottom w:val="0"/>
          <w:divBdr>
            <w:top w:val="none" w:sz="0" w:space="0" w:color="auto"/>
            <w:left w:val="none" w:sz="0" w:space="0" w:color="auto"/>
            <w:bottom w:val="none" w:sz="0" w:space="0" w:color="auto"/>
            <w:right w:val="none" w:sz="0" w:space="0" w:color="auto"/>
          </w:divBdr>
        </w:div>
        <w:div w:id="837186470">
          <w:marLeft w:val="0"/>
          <w:marRight w:val="0"/>
          <w:marTop w:val="0"/>
          <w:marBottom w:val="0"/>
          <w:divBdr>
            <w:top w:val="none" w:sz="0" w:space="0" w:color="auto"/>
            <w:left w:val="none" w:sz="0" w:space="0" w:color="auto"/>
            <w:bottom w:val="none" w:sz="0" w:space="0" w:color="auto"/>
            <w:right w:val="none" w:sz="0" w:space="0" w:color="auto"/>
          </w:divBdr>
        </w:div>
        <w:div w:id="923493636">
          <w:marLeft w:val="0"/>
          <w:marRight w:val="0"/>
          <w:marTop w:val="0"/>
          <w:marBottom w:val="0"/>
          <w:divBdr>
            <w:top w:val="none" w:sz="0" w:space="0" w:color="auto"/>
            <w:left w:val="none" w:sz="0" w:space="0" w:color="auto"/>
            <w:bottom w:val="none" w:sz="0" w:space="0" w:color="auto"/>
            <w:right w:val="none" w:sz="0" w:space="0" w:color="auto"/>
          </w:divBdr>
        </w:div>
        <w:div w:id="1058476172">
          <w:marLeft w:val="0"/>
          <w:marRight w:val="0"/>
          <w:marTop w:val="0"/>
          <w:marBottom w:val="0"/>
          <w:divBdr>
            <w:top w:val="none" w:sz="0" w:space="0" w:color="auto"/>
            <w:left w:val="none" w:sz="0" w:space="0" w:color="auto"/>
            <w:bottom w:val="none" w:sz="0" w:space="0" w:color="auto"/>
            <w:right w:val="none" w:sz="0" w:space="0" w:color="auto"/>
          </w:divBdr>
        </w:div>
        <w:div w:id="1066798530">
          <w:marLeft w:val="0"/>
          <w:marRight w:val="0"/>
          <w:marTop w:val="0"/>
          <w:marBottom w:val="0"/>
          <w:divBdr>
            <w:top w:val="none" w:sz="0" w:space="0" w:color="auto"/>
            <w:left w:val="none" w:sz="0" w:space="0" w:color="auto"/>
            <w:bottom w:val="none" w:sz="0" w:space="0" w:color="auto"/>
            <w:right w:val="none" w:sz="0" w:space="0" w:color="auto"/>
          </w:divBdr>
        </w:div>
        <w:div w:id="1103766195">
          <w:marLeft w:val="0"/>
          <w:marRight w:val="0"/>
          <w:marTop w:val="0"/>
          <w:marBottom w:val="0"/>
          <w:divBdr>
            <w:top w:val="none" w:sz="0" w:space="0" w:color="auto"/>
            <w:left w:val="none" w:sz="0" w:space="0" w:color="auto"/>
            <w:bottom w:val="none" w:sz="0" w:space="0" w:color="auto"/>
            <w:right w:val="none" w:sz="0" w:space="0" w:color="auto"/>
          </w:divBdr>
        </w:div>
        <w:div w:id="1163736829">
          <w:marLeft w:val="0"/>
          <w:marRight w:val="0"/>
          <w:marTop w:val="0"/>
          <w:marBottom w:val="0"/>
          <w:divBdr>
            <w:top w:val="none" w:sz="0" w:space="0" w:color="auto"/>
            <w:left w:val="none" w:sz="0" w:space="0" w:color="auto"/>
            <w:bottom w:val="none" w:sz="0" w:space="0" w:color="auto"/>
            <w:right w:val="none" w:sz="0" w:space="0" w:color="auto"/>
          </w:divBdr>
        </w:div>
        <w:div w:id="1210334754">
          <w:marLeft w:val="0"/>
          <w:marRight w:val="0"/>
          <w:marTop w:val="0"/>
          <w:marBottom w:val="0"/>
          <w:divBdr>
            <w:top w:val="none" w:sz="0" w:space="0" w:color="auto"/>
            <w:left w:val="none" w:sz="0" w:space="0" w:color="auto"/>
            <w:bottom w:val="none" w:sz="0" w:space="0" w:color="auto"/>
            <w:right w:val="none" w:sz="0" w:space="0" w:color="auto"/>
          </w:divBdr>
        </w:div>
        <w:div w:id="1215312177">
          <w:marLeft w:val="0"/>
          <w:marRight w:val="0"/>
          <w:marTop w:val="0"/>
          <w:marBottom w:val="0"/>
          <w:divBdr>
            <w:top w:val="none" w:sz="0" w:space="0" w:color="auto"/>
            <w:left w:val="none" w:sz="0" w:space="0" w:color="auto"/>
            <w:bottom w:val="none" w:sz="0" w:space="0" w:color="auto"/>
            <w:right w:val="none" w:sz="0" w:space="0" w:color="auto"/>
          </w:divBdr>
        </w:div>
        <w:div w:id="1233926908">
          <w:marLeft w:val="0"/>
          <w:marRight w:val="0"/>
          <w:marTop w:val="0"/>
          <w:marBottom w:val="0"/>
          <w:divBdr>
            <w:top w:val="none" w:sz="0" w:space="0" w:color="auto"/>
            <w:left w:val="none" w:sz="0" w:space="0" w:color="auto"/>
            <w:bottom w:val="none" w:sz="0" w:space="0" w:color="auto"/>
            <w:right w:val="none" w:sz="0" w:space="0" w:color="auto"/>
          </w:divBdr>
        </w:div>
        <w:div w:id="1252469588">
          <w:marLeft w:val="0"/>
          <w:marRight w:val="0"/>
          <w:marTop w:val="0"/>
          <w:marBottom w:val="0"/>
          <w:divBdr>
            <w:top w:val="none" w:sz="0" w:space="0" w:color="auto"/>
            <w:left w:val="none" w:sz="0" w:space="0" w:color="auto"/>
            <w:bottom w:val="none" w:sz="0" w:space="0" w:color="auto"/>
            <w:right w:val="none" w:sz="0" w:space="0" w:color="auto"/>
          </w:divBdr>
        </w:div>
        <w:div w:id="1259942334">
          <w:marLeft w:val="0"/>
          <w:marRight w:val="0"/>
          <w:marTop w:val="0"/>
          <w:marBottom w:val="0"/>
          <w:divBdr>
            <w:top w:val="none" w:sz="0" w:space="0" w:color="auto"/>
            <w:left w:val="none" w:sz="0" w:space="0" w:color="auto"/>
            <w:bottom w:val="none" w:sz="0" w:space="0" w:color="auto"/>
            <w:right w:val="none" w:sz="0" w:space="0" w:color="auto"/>
          </w:divBdr>
        </w:div>
        <w:div w:id="1292857329">
          <w:marLeft w:val="0"/>
          <w:marRight w:val="0"/>
          <w:marTop w:val="0"/>
          <w:marBottom w:val="0"/>
          <w:divBdr>
            <w:top w:val="none" w:sz="0" w:space="0" w:color="auto"/>
            <w:left w:val="none" w:sz="0" w:space="0" w:color="auto"/>
            <w:bottom w:val="none" w:sz="0" w:space="0" w:color="auto"/>
            <w:right w:val="none" w:sz="0" w:space="0" w:color="auto"/>
          </w:divBdr>
        </w:div>
        <w:div w:id="1341197495">
          <w:marLeft w:val="0"/>
          <w:marRight w:val="0"/>
          <w:marTop w:val="0"/>
          <w:marBottom w:val="0"/>
          <w:divBdr>
            <w:top w:val="none" w:sz="0" w:space="0" w:color="auto"/>
            <w:left w:val="none" w:sz="0" w:space="0" w:color="auto"/>
            <w:bottom w:val="none" w:sz="0" w:space="0" w:color="auto"/>
            <w:right w:val="none" w:sz="0" w:space="0" w:color="auto"/>
          </w:divBdr>
        </w:div>
        <w:div w:id="1580291713">
          <w:marLeft w:val="0"/>
          <w:marRight w:val="0"/>
          <w:marTop w:val="0"/>
          <w:marBottom w:val="0"/>
          <w:divBdr>
            <w:top w:val="none" w:sz="0" w:space="0" w:color="auto"/>
            <w:left w:val="none" w:sz="0" w:space="0" w:color="auto"/>
            <w:bottom w:val="none" w:sz="0" w:space="0" w:color="auto"/>
            <w:right w:val="none" w:sz="0" w:space="0" w:color="auto"/>
          </w:divBdr>
        </w:div>
        <w:div w:id="1670251498">
          <w:marLeft w:val="0"/>
          <w:marRight w:val="0"/>
          <w:marTop w:val="0"/>
          <w:marBottom w:val="0"/>
          <w:divBdr>
            <w:top w:val="none" w:sz="0" w:space="0" w:color="auto"/>
            <w:left w:val="none" w:sz="0" w:space="0" w:color="auto"/>
            <w:bottom w:val="none" w:sz="0" w:space="0" w:color="auto"/>
            <w:right w:val="none" w:sz="0" w:space="0" w:color="auto"/>
          </w:divBdr>
        </w:div>
        <w:div w:id="1698774732">
          <w:marLeft w:val="0"/>
          <w:marRight w:val="0"/>
          <w:marTop w:val="0"/>
          <w:marBottom w:val="0"/>
          <w:divBdr>
            <w:top w:val="none" w:sz="0" w:space="0" w:color="auto"/>
            <w:left w:val="none" w:sz="0" w:space="0" w:color="auto"/>
            <w:bottom w:val="none" w:sz="0" w:space="0" w:color="auto"/>
            <w:right w:val="none" w:sz="0" w:space="0" w:color="auto"/>
          </w:divBdr>
        </w:div>
        <w:div w:id="1830124335">
          <w:marLeft w:val="0"/>
          <w:marRight w:val="0"/>
          <w:marTop w:val="0"/>
          <w:marBottom w:val="0"/>
          <w:divBdr>
            <w:top w:val="none" w:sz="0" w:space="0" w:color="auto"/>
            <w:left w:val="none" w:sz="0" w:space="0" w:color="auto"/>
            <w:bottom w:val="none" w:sz="0" w:space="0" w:color="auto"/>
            <w:right w:val="none" w:sz="0" w:space="0" w:color="auto"/>
          </w:divBdr>
        </w:div>
      </w:divsChild>
    </w:div>
    <w:div w:id="1148715023">
      <w:bodyDiv w:val="1"/>
      <w:marLeft w:val="0"/>
      <w:marRight w:val="0"/>
      <w:marTop w:val="0"/>
      <w:marBottom w:val="0"/>
      <w:divBdr>
        <w:top w:val="none" w:sz="0" w:space="0" w:color="auto"/>
        <w:left w:val="none" w:sz="0" w:space="0" w:color="auto"/>
        <w:bottom w:val="none" w:sz="0" w:space="0" w:color="auto"/>
        <w:right w:val="none" w:sz="0" w:space="0" w:color="auto"/>
      </w:divBdr>
    </w:div>
    <w:div w:id="1160971162">
      <w:bodyDiv w:val="1"/>
      <w:marLeft w:val="0"/>
      <w:marRight w:val="0"/>
      <w:marTop w:val="0"/>
      <w:marBottom w:val="0"/>
      <w:divBdr>
        <w:top w:val="none" w:sz="0" w:space="0" w:color="auto"/>
        <w:left w:val="none" w:sz="0" w:space="0" w:color="auto"/>
        <w:bottom w:val="none" w:sz="0" w:space="0" w:color="auto"/>
        <w:right w:val="none" w:sz="0" w:space="0" w:color="auto"/>
      </w:divBdr>
      <w:divsChild>
        <w:div w:id="1050768423">
          <w:marLeft w:val="0"/>
          <w:marRight w:val="0"/>
          <w:marTop w:val="0"/>
          <w:marBottom w:val="0"/>
          <w:divBdr>
            <w:top w:val="none" w:sz="0" w:space="0" w:color="auto"/>
            <w:left w:val="none" w:sz="0" w:space="0" w:color="auto"/>
            <w:bottom w:val="none" w:sz="0" w:space="0" w:color="auto"/>
            <w:right w:val="none" w:sz="0" w:space="0" w:color="auto"/>
          </w:divBdr>
          <w:divsChild>
            <w:div w:id="1294481584">
              <w:marLeft w:val="0"/>
              <w:marRight w:val="0"/>
              <w:marTop w:val="0"/>
              <w:marBottom w:val="0"/>
              <w:divBdr>
                <w:top w:val="none" w:sz="0" w:space="0" w:color="auto"/>
                <w:left w:val="none" w:sz="0" w:space="0" w:color="auto"/>
                <w:bottom w:val="none" w:sz="0" w:space="0" w:color="auto"/>
                <w:right w:val="none" w:sz="0" w:space="0" w:color="auto"/>
              </w:divBdr>
              <w:divsChild>
                <w:div w:id="697777588">
                  <w:marLeft w:val="0"/>
                  <w:marRight w:val="0"/>
                  <w:marTop w:val="0"/>
                  <w:marBottom w:val="0"/>
                  <w:divBdr>
                    <w:top w:val="none" w:sz="0" w:space="0" w:color="auto"/>
                    <w:left w:val="none" w:sz="0" w:space="0" w:color="auto"/>
                    <w:bottom w:val="none" w:sz="0" w:space="0" w:color="auto"/>
                    <w:right w:val="none" w:sz="0" w:space="0" w:color="auto"/>
                  </w:divBdr>
                  <w:divsChild>
                    <w:div w:id="206702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100731">
          <w:marLeft w:val="0"/>
          <w:marRight w:val="0"/>
          <w:marTop w:val="0"/>
          <w:marBottom w:val="0"/>
          <w:divBdr>
            <w:top w:val="none" w:sz="0" w:space="0" w:color="auto"/>
            <w:left w:val="none" w:sz="0" w:space="0" w:color="auto"/>
            <w:bottom w:val="none" w:sz="0" w:space="0" w:color="auto"/>
            <w:right w:val="none" w:sz="0" w:space="0" w:color="auto"/>
          </w:divBdr>
          <w:divsChild>
            <w:div w:id="1096562591">
              <w:marLeft w:val="0"/>
              <w:marRight w:val="0"/>
              <w:marTop w:val="0"/>
              <w:marBottom w:val="0"/>
              <w:divBdr>
                <w:top w:val="none" w:sz="0" w:space="0" w:color="auto"/>
                <w:left w:val="none" w:sz="0" w:space="0" w:color="auto"/>
                <w:bottom w:val="none" w:sz="0" w:space="0" w:color="auto"/>
                <w:right w:val="none" w:sz="0" w:space="0" w:color="auto"/>
              </w:divBdr>
              <w:divsChild>
                <w:div w:id="1000081090">
                  <w:marLeft w:val="0"/>
                  <w:marRight w:val="0"/>
                  <w:marTop w:val="0"/>
                  <w:marBottom w:val="0"/>
                  <w:divBdr>
                    <w:top w:val="none" w:sz="0" w:space="0" w:color="auto"/>
                    <w:left w:val="none" w:sz="0" w:space="0" w:color="auto"/>
                    <w:bottom w:val="none" w:sz="0" w:space="0" w:color="auto"/>
                    <w:right w:val="none" w:sz="0" w:space="0" w:color="auto"/>
                  </w:divBdr>
                  <w:divsChild>
                    <w:div w:id="53320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503994">
      <w:bodyDiv w:val="1"/>
      <w:marLeft w:val="0"/>
      <w:marRight w:val="0"/>
      <w:marTop w:val="0"/>
      <w:marBottom w:val="0"/>
      <w:divBdr>
        <w:top w:val="none" w:sz="0" w:space="0" w:color="auto"/>
        <w:left w:val="none" w:sz="0" w:space="0" w:color="auto"/>
        <w:bottom w:val="none" w:sz="0" w:space="0" w:color="auto"/>
        <w:right w:val="none" w:sz="0" w:space="0" w:color="auto"/>
      </w:divBdr>
      <w:divsChild>
        <w:div w:id="1442920383">
          <w:marLeft w:val="0"/>
          <w:marRight w:val="0"/>
          <w:marTop w:val="0"/>
          <w:marBottom w:val="0"/>
          <w:divBdr>
            <w:top w:val="none" w:sz="0" w:space="0" w:color="auto"/>
            <w:left w:val="none" w:sz="0" w:space="0" w:color="auto"/>
            <w:bottom w:val="none" w:sz="0" w:space="0" w:color="auto"/>
            <w:right w:val="none" w:sz="0" w:space="0" w:color="auto"/>
          </w:divBdr>
          <w:divsChild>
            <w:div w:id="1980570798">
              <w:marLeft w:val="0"/>
              <w:marRight w:val="0"/>
              <w:marTop w:val="0"/>
              <w:marBottom w:val="0"/>
              <w:divBdr>
                <w:top w:val="none" w:sz="0" w:space="0" w:color="auto"/>
                <w:left w:val="none" w:sz="0" w:space="0" w:color="auto"/>
                <w:bottom w:val="none" w:sz="0" w:space="0" w:color="auto"/>
                <w:right w:val="none" w:sz="0" w:space="0" w:color="auto"/>
              </w:divBdr>
              <w:divsChild>
                <w:div w:id="1817257222">
                  <w:marLeft w:val="0"/>
                  <w:marRight w:val="0"/>
                  <w:marTop w:val="0"/>
                  <w:marBottom w:val="0"/>
                  <w:divBdr>
                    <w:top w:val="none" w:sz="0" w:space="0" w:color="auto"/>
                    <w:left w:val="none" w:sz="0" w:space="0" w:color="auto"/>
                    <w:bottom w:val="none" w:sz="0" w:space="0" w:color="auto"/>
                    <w:right w:val="none" w:sz="0" w:space="0" w:color="auto"/>
                  </w:divBdr>
                  <w:divsChild>
                    <w:div w:id="454569496">
                      <w:marLeft w:val="0"/>
                      <w:marRight w:val="0"/>
                      <w:marTop w:val="0"/>
                      <w:marBottom w:val="0"/>
                      <w:divBdr>
                        <w:top w:val="none" w:sz="0" w:space="0" w:color="auto"/>
                        <w:left w:val="none" w:sz="0" w:space="0" w:color="auto"/>
                        <w:bottom w:val="none" w:sz="0" w:space="0" w:color="auto"/>
                        <w:right w:val="none" w:sz="0" w:space="0" w:color="auto"/>
                      </w:divBdr>
                      <w:divsChild>
                        <w:div w:id="504058703">
                          <w:marLeft w:val="0"/>
                          <w:marRight w:val="0"/>
                          <w:marTop w:val="0"/>
                          <w:marBottom w:val="0"/>
                          <w:divBdr>
                            <w:top w:val="none" w:sz="0" w:space="0" w:color="auto"/>
                            <w:left w:val="none" w:sz="0" w:space="0" w:color="auto"/>
                            <w:bottom w:val="none" w:sz="0" w:space="0" w:color="auto"/>
                            <w:right w:val="none" w:sz="0" w:space="0" w:color="auto"/>
                          </w:divBdr>
                          <w:divsChild>
                            <w:div w:id="176248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626708">
      <w:bodyDiv w:val="1"/>
      <w:marLeft w:val="0"/>
      <w:marRight w:val="0"/>
      <w:marTop w:val="0"/>
      <w:marBottom w:val="0"/>
      <w:divBdr>
        <w:top w:val="none" w:sz="0" w:space="0" w:color="auto"/>
        <w:left w:val="none" w:sz="0" w:space="0" w:color="auto"/>
        <w:bottom w:val="none" w:sz="0" w:space="0" w:color="auto"/>
        <w:right w:val="none" w:sz="0" w:space="0" w:color="auto"/>
      </w:divBdr>
    </w:div>
    <w:div w:id="1181311926">
      <w:bodyDiv w:val="1"/>
      <w:marLeft w:val="0"/>
      <w:marRight w:val="0"/>
      <w:marTop w:val="0"/>
      <w:marBottom w:val="0"/>
      <w:divBdr>
        <w:top w:val="none" w:sz="0" w:space="0" w:color="auto"/>
        <w:left w:val="none" w:sz="0" w:space="0" w:color="auto"/>
        <w:bottom w:val="none" w:sz="0" w:space="0" w:color="auto"/>
        <w:right w:val="none" w:sz="0" w:space="0" w:color="auto"/>
      </w:divBdr>
      <w:divsChild>
        <w:div w:id="223830615">
          <w:marLeft w:val="0"/>
          <w:marRight w:val="0"/>
          <w:marTop w:val="0"/>
          <w:marBottom w:val="0"/>
          <w:divBdr>
            <w:top w:val="none" w:sz="0" w:space="0" w:color="auto"/>
            <w:left w:val="none" w:sz="0" w:space="0" w:color="auto"/>
            <w:bottom w:val="none" w:sz="0" w:space="0" w:color="auto"/>
            <w:right w:val="none" w:sz="0" w:space="0" w:color="auto"/>
          </w:divBdr>
          <w:divsChild>
            <w:div w:id="877859665">
              <w:marLeft w:val="0"/>
              <w:marRight w:val="0"/>
              <w:marTop w:val="0"/>
              <w:marBottom w:val="0"/>
              <w:divBdr>
                <w:top w:val="none" w:sz="0" w:space="0" w:color="auto"/>
                <w:left w:val="none" w:sz="0" w:space="0" w:color="auto"/>
                <w:bottom w:val="none" w:sz="0" w:space="0" w:color="auto"/>
                <w:right w:val="none" w:sz="0" w:space="0" w:color="auto"/>
              </w:divBdr>
              <w:divsChild>
                <w:div w:id="1617520615">
                  <w:marLeft w:val="0"/>
                  <w:marRight w:val="0"/>
                  <w:marTop w:val="0"/>
                  <w:marBottom w:val="0"/>
                  <w:divBdr>
                    <w:top w:val="none" w:sz="0" w:space="0" w:color="auto"/>
                    <w:left w:val="none" w:sz="0" w:space="0" w:color="auto"/>
                    <w:bottom w:val="none" w:sz="0" w:space="0" w:color="auto"/>
                    <w:right w:val="none" w:sz="0" w:space="0" w:color="auto"/>
                  </w:divBdr>
                  <w:divsChild>
                    <w:div w:id="320156551">
                      <w:marLeft w:val="0"/>
                      <w:marRight w:val="0"/>
                      <w:marTop w:val="0"/>
                      <w:marBottom w:val="0"/>
                      <w:divBdr>
                        <w:top w:val="none" w:sz="0" w:space="0" w:color="auto"/>
                        <w:left w:val="none" w:sz="0" w:space="0" w:color="auto"/>
                        <w:bottom w:val="none" w:sz="0" w:space="0" w:color="auto"/>
                        <w:right w:val="none" w:sz="0" w:space="0" w:color="auto"/>
                      </w:divBdr>
                      <w:divsChild>
                        <w:div w:id="471483367">
                          <w:marLeft w:val="0"/>
                          <w:marRight w:val="0"/>
                          <w:marTop w:val="0"/>
                          <w:marBottom w:val="0"/>
                          <w:divBdr>
                            <w:top w:val="none" w:sz="0" w:space="0" w:color="auto"/>
                            <w:left w:val="none" w:sz="0" w:space="0" w:color="auto"/>
                            <w:bottom w:val="none" w:sz="0" w:space="0" w:color="auto"/>
                            <w:right w:val="none" w:sz="0" w:space="0" w:color="auto"/>
                          </w:divBdr>
                          <w:divsChild>
                            <w:div w:id="88830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587652">
      <w:bodyDiv w:val="1"/>
      <w:marLeft w:val="0"/>
      <w:marRight w:val="0"/>
      <w:marTop w:val="0"/>
      <w:marBottom w:val="0"/>
      <w:divBdr>
        <w:top w:val="none" w:sz="0" w:space="0" w:color="auto"/>
        <w:left w:val="none" w:sz="0" w:space="0" w:color="auto"/>
        <w:bottom w:val="none" w:sz="0" w:space="0" w:color="auto"/>
        <w:right w:val="none" w:sz="0" w:space="0" w:color="auto"/>
      </w:divBdr>
    </w:div>
    <w:div w:id="1251543328">
      <w:bodyDiv w:val="1"/>
      <w:marLeft w:val="0"/>
      <w:marRight w:val="0"/>
      <w:marTop w:val="0"/>
      <w:marBottom w:val="0"/>
      <w:divBdr>
        <w:top w:val="none" w:sz="0" w:space="0" w:color="auto"/>
        <w:left w:val="none" w:sz="0" w:space="0" w:color="auto"/>
        <w:bottom w:val="none" w:sz="0" w:space="0" w:color="auto"/>
        <w:right w:val="none" w:sz="0" w:space="0" w:color="auto"/>
      </w:divBdr>
    </w:div>
    <w:div w:id="1276906068">
      <w:bodyDiv w:val="1"/>
      <w:marLeft w:val="0"/>
      <w:marRight w:val="0"/>
      <w:marTop w:val="0"/>
      <w:marBottom w:val="0"/>
      <w:divBdr>
        <w:top w:val="none" w:sz="0" w:space="0" w:color="auto"/>
        <w:left w:val="none" w:sz="0" w:space="0" w:color="auto"/>
        <w:bottom w:val="none" w:sz="0" w:space="0" w:color="auto"/>
        <w:right w:val="none" w:sz="0" w:space="0" w:color="auto"/>
      </w:divBdr>
    </w:div>
    <w:div w:id="1348866748">
      <w:bodyDiv w:val="1"/>
      <w:marLeft w:val="0"/>
      <w:marRight w:val="0"/>
      <w:marTop w:val="0"/>
      <w:marBottom w:val="0"/>
      <w:divBdr>
        <w:top w:val="none" w:sz="0" w:space="0" w:color="auto"/>
        <w:left w:val="none" w:sz="0" w:space="0" w:color="auto"/>
        <w:bottom w:val="none" w:sz="0" w:space="0" w:color="auto"/>
        <w:right w:val="none" w:sz="0" w:space="0" w:color="auto"/>
      </w:divBdr>
      <w:divsChild>
        <w:div w:id="150025355">
          <w:marLeft w:val="0"/>
          <w:marRight w:val="0"/>
          <w:marTop w:val="0"/>
          <w:marBottom w:val="0"/>
          <w:divBdr>
            <w:top w:val="none" w:sz="0" w:space="0" w:color="auto"/>
            <w:left w:val="none" w:sz="0" w:space="0" w:color="auto"/>
            <w:bottom w:val="none" w:sz="0" w:space="0" w:color="auto"/>
            <w:right w:val="none" w:sz="0" w:space="0" w:color="auto"/>
          </w:divBdr>
          <w:divsChild>
            <w:div w:id="195046450">
              <w:marLeft w:val="0"/>
              <w:marRight w:val="0"/>
              <w:marTop w:val="0"/>
              <w:marBottom w:val="0"/>
              <w:divBdr>
                <w:top w:val="none" w:sz="0" w:space="0" w:color="auto"/>
                <w:left w:val="none" w:sz="0" w:space="0" w:color="auto"/>
                <w:bottom w:val="none" w:sz="0" w:space="0" w:color="auto"/>
                <w:right w:val="none" w:sz="0" w:space="0" w:color="auto"/>
              </w:divBdr>
              <w:divsChild>
                <w:div w:id="1386297618">
                  <w:marLeft w:val="0"/>
                  <w:marRight w:val="0"/>
                  <w:marTop w:val="0"/>
                  <w:marBottom w:val="0"/>
                  <w:divBdr>
                    <w:top w:val="none" w:sz="0" w:space="0" w:color="auto"/>
                    <w:left w:val="none" w:sz="0" w:space="0" w:color="auto"/>
                    <w:bottom w:val="none" w:sz="0" w:space="0" w:color="auto"/>
                    <w:right w:val="none" w:sz="0" w:space="0" w:color="auto"/>
                  </w:divBdr>
                  <w:divsChild>
                    <w:div w:id="119226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154878">
          <w:marLeft w:val="0"/>
          <w:marRight w:val="0"/>
          <w:marTop w:val="0"/>
          <w:marBottom w:val="0"/>
          <w:divBdr>
            <w:top w:val="none" w:sz="0" w:space="0" w:color="auto"/>
            <w:left w:val="none" w:sz="0" w:space="0" w:color="auto"/>
            <w:bottom w:val="none" w:sz="0" w:space="0" w:color="auto"/>
            <w:right w:val="none" w:sz="0" w:space="0" w:color="auto"/>
          </w:divBdr>
          <w:divsChild>
            <w:div w:id="1772159749">
              <w:marLeft w:val="0"/>
              <w:marRight w:val="0"/>
              <w:marTop w:val="0"/>
              <w:marBottom w:val="0"/>
              <w:divBdr>
                <w:top w:val="none" w:sz="0" w:space="0" w:color="auto"/>
                <w:left w:val="none" w:sz="0" w:space="0" w:color="auto"/>
                <w:bottom w:val="none" w:sz="0" w:space="0" w:color="auto"/>
                <w:right w:val="none" w:sz="0" w:space="0" w:color="auto"/>
              </w:divBdr>
              <w:divsChild>
                <w:div w:id="670067519">
                  <w:marLeft w:val="0"/>
                  <w:marRight w:val="0"/>
                  <w:marTop w:val="0"/>
                  <w:marBottom w:val="0"/>
                  <w:divBdr>
                    <w:top w:val="none" w:sz="0" w:space="0" w:color="auto"/>
                    <w:left w:val="none" w:sz="0" w:space="0" w:color="auto"/>
                    <w:bottom w:val="none" w:sz="0" w:space="0" w:color="auto"/>
                    <w:right w:val="none" w:sz="0" w:space="0" w:color="auto"/>
                  </w:divBdr>
                  <w:divsChild>
                    <w:div w:id="15233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843313">
      <w:bodyDiv w:val="1"/>
      <w:marLeft w:val="0"/>
      <w:marRight w:val="0"/>
      <w:marTop w:val="0"/>
      <w:marBottom w:val="0"/>
      <w:divBdr>
        <w:top w:val="none" w:sz="0" w:space="0" w:color="auto"/>
        <w:left w:val="none" w:sz="0" w:space="0" w:color="auto"/>
        <w:bottom w:val="none" w:sz="0" w:space="0" w:color="auto"/>
        <w:right w:val="none" w:sz="0" w:space="0" w:color="auto"/>
      </w:divBdr>
    </w:div>
    <w:div w:id="1474368363">
      <w:bodyDiv w:val="1"/>
      <w:marLeft w:val="0"/>
      <w:marRight w:val="0"/>
      <w:marTop w:val="0"/>
      <w:marBottom w:val="0"/>
      <w:divBdr>
        <w:top w:val="none" w:sz="0" w:space="0" w:color="auto"/>
        <w:left w:val="none" w:sz="0" w:space="0" w:color="auto"/>
        <w:bottom w:val="none" w:sz="0" w:space="0" w:color="auto"/>
        <w:right w:val="none" w:sz="0" w:space="0" w:color="auto"/>
      </w:divBdr>
    </w:div>
    <w:div w:id="1504591870">
      <w:bodyDiv w:val="1"/>
      <w:marLeft w:val="0"/>
      <w:marRight w:val="0"/>
      <w:marTop w:val="0"/>
      <w:marBottom w:val="0"/>
      <w:divBdr>
        <w:top w:val="none" w:sz="0" w:space="0" w:color="auto"/>
        <w:left w:val="none" w:sz="0" w:space="0" w:color="auto"/>
        <w:bottom w:val="none" w:sz="0" w:space="0" w:color="auto"/>
        <w:right w:val="none" w:sz="0" w:space="0" w:color="auto"/>
      </w:divBdr>
    </w:div>
    <w:div w:id="1522891760">
      <w:bodyDiv w:val="1"/>
      <w:marLeft w:val="0"/>
      <w:marRight w:val="0"/>
      <w:marTop w:val="0"/>
      <w:marBottom w:val="0"/>
      <w:divBdr>
        <w:top w:val="none" w:sz="0" w:space="0" w:color="auto"/>
        <w:left w:val="none" w:sz="0" w:space="0" w:color="auto"/>
        <w:bottom w:val="none" w:sz="0" w:space="0" w:color="auto"/>
        <w:right w:val="none" w:sz="0" w:space="0" w:color="auto"/>
      </w:divBdr>
    </w:div>
    <w:div w:id="1533884224">
      <w:bodyDiv w:val="1"/>
      <w:marLeft w:val="0"/>
      <w:marRight w:val="0"/>
      <w:marTop w:val="0"/>
      <w:marBottom w:val="0"/>
      <w:divBdr>
        <w:top w:val="none" w:sz="0" w:space="0" w:color="auto"/>
        <w:left w:val="none" w:sz="0" w:space="0" w:color="auto"/>
        <w:bottom w:val="none" w:sz="0" w:space="0" w:color="auto"/>
        <w:right w:val="none" w:sz="0" w:space="0" w:color="auto"/>
      </w:divBdr>
    </w:div>
    <w:div w:id="1545364817">
      <w:bodyDiv w:val="1"/>
      <w:marLeft w:val="0"/>
      <w:marRight w:val="0"/>
      <w:marTop w:val="0"/>
      <w:marBottom w:val="0"/>
      <w:divBdr>
        <w:top w:val="none" w:sz="0" w:space="0" w:color="auto"/>
        <w:left w:val="none" w:sz="0" w:space="0" w:color="auto"/>
        <w:bottom w:val="none" w:sz="0" w:space="0" w:color="auto"/>
        <w:right w:val="none" w:sz="0" w:space="0" w:color="auto"/>
      </w:divBdr>
    </w:div>
    <w:div w:id="1571186463">
      <w:bodyDiv w:val="1"/>
      <w:marLeft w:val="0"/>
      <w:marRight w:val="0"/>
      <w:marTop w:val="0"/>
      <w:marBottom w:val="0"/>
      <w:divBdr>
        <w:top w:val="none" w:sz="0" w:space="0" w:color="auto"/>
        <w:left w:val="none" w:sz="0" w:space="0" w:color="auto"/>
        <w:bottom w:val="none" w:sz="0" w:space="0" w:color="auto"/>
        <w:right w:val="none" w:sz="0" w:space="0" w:color="auto"/>
      </w:divBdr>
    </w:div>
    <w:div w:id="1623920500">
      <w:bodyDiv w:val="1"/>
      <w:marLeft w:val="0"/>
      <w:marRight w:val="0"/>
      <w:marTop w:val="0"/>
      <w:marBottom w:val="0"/>
      <w:divBdr>
        <w:top w:val="none" w:sz="0" w:space="0" w:color="auto"/>
        <w:left w:val="none" w:sz="0" w:space="0" w:color="auto"/>
        <w:bottom w:val="none" w:sz="0" w:space="0" w:color="auto"/>
        <w:right w:val="none" w:sz="0" w:space="0" w:color="auto"/>
      </w:divBdr>
    </w:div>
    <w:div w:id="1686974947">
      <w:bodyDiv w:val="1"/>
      <w:marLeft w:val="0"/>
      <w:marRight w:val="0"/>
      <w:marTop w:val="0"/>
      <w:marBottom w:val="0"/>
      <w:divBdr>
        <w:top w:val="none" w:sz="0" w:space="0" w:color="auto"/>
        <w:left w:val="none" w:sz="0" w:space="0" w:color="auto"/>
        <w:bottom w:val="none" w:sz="0" w:space="0" w:color="auto"/>
        <w:right w:val="none" w:sz="0" w:space="0" w:color="auto"/>
      </w:divBdr>
    </w:div>
    <w:div w:id="1782190985">
      <w:bodyDiv w:val="1"/>
      <w:marLeft w:val="0"/>
      <w:marRight w:val="0"/>
      <w:marTop w:val="0"/>
      <w:marBottom w:val="0"/>
      <w:divBdr>
        <w:top w:val="none" w:sz="0" w:space="0" w:color="auto"/>
        <w:left w:val="none" w:sz="0" w:space="0" w:color="auto"/>
        <w:bottom w:val="none" w:sz="0" w:space="0" w:color="auto"/>
        <w:right w:val="none" w:sz="0" w:space="0" w:color="auto"/>
      </w:divBdr>
      <w:divsChild>
        <w:div w:id="288899016">
          <w:marLeft w:val="0"/>
          <w:marRight w:val="0"/>
          <w:marTop w:val="0"/>
          <w:marBottom w:val="0"/>
          <w:divBdr>
            <w:top w:val="none" w:sz="0" w:space="0" w:color="auto"/>
            <w:left w:val="none" w:sz="0" w:space="0" w:color="auto"/>
            <w:bottom w:val="none" w:sz="0" w:space="0" w:color="auto"/>
            <w:right w:val="none" w:sz="0" w:space="0" w:color="auto"/>
          </w:divBdr>
        </w:div>
      </w:divsChild>
    </w:div>
    <w:div w:id="1788814430">
      <w:bodyDiv w:val="1"/>
      <w:marLeft w:val="0"/>
      <w:marRight w:val="0"/>
      <w:marTop w:val="0"/>
      <w:marBottom w:val="0"/>
      <w:divBdr>
        <w:top w:val="none" w:sz="0" w:space="0" w:color="auto"/>
        <w:left w:val="none" w:sz="0" w:space="0" w:color="auto"/>
        <w:bottom w:val="none" w:sz="0" w:space="0" w:color="auto"/>
        <w:right w:val="none" w:sz="0" w:space="0" w:color="auto"/>
      </w:divBdr>
      <w:divsChild>
        <w:div w:id="1492602798">
          <w:marLeft w:val="0"/>
          <w:marRight w:val="0"/>
          <w:marTop w:val="0"/>
          <w:marBottom w:val="0"/>
          <w:divBdr>
            <w:top w:val="none" w:sz="0" w:space="0" w:color="auto"/>
            <w:left w:val="none" w:sz="0" w:space="0" w:color="auto"/>
            <w:bottom w:val="none" w:sz="0" w:space="0" w:color="auto"/>
            <w:right w:val="none" w:sz="0" w:space="0" w:color="auto"/>
          </w:divBdr>
          <w:divsChild>
            <w:div w:id="1315529787">
              <w:marLeft w:val="0"/>
              <w:marRight w:val="0"/>
              <w:marTop w:val="0"/>
              <w:marBottom w:val="0"/>
              <w:divBdr>
                <w:top w:val="none" w:sz="0" w:space="0" w:color="auto"/>
                <w:left w:val="none" w:sz="0" w:space="0" w:color="auto"/>
                <w:bottom w:val="none" w:sz="0" w:space="0" w:color="auto"/>
                <w:right w:val="none" w:sz="0" w:space="0" w:color="auto"/>
              </w:divBdr>
              <w:divsChild>
                <w:div w:id="348144236">
                  <w:marLeft w:val="0"/>
                  <w:marRight w:val="0"/>
                  <w:marTop w:val="0"/>
                  <w:marBottom w:val="0"/>
                  <w:divBdr>
                    <w:top w:val="none" w:sz="0" w:space="0" w:color="auto"/>
                    <w:left w:val="none" w:sz="0" w:space="0" w:color="auto"/>
                    <w:bottom w:val="none" w:sz="0" w:space="0" w:color="auto"/>
                    <w:right w:val="none" w:sz="0" w:space="0" w:color="auto"/>
                  </w:divBdr>
                  <w:divsChild>
                    <w:div w:id="1575165394">
                      <w:marLeft w:val="0"/>
                      <w:marRight w:val="0"/>
                      <w:marTop w:val="0"/>
                      <w:marBottom w:val="0"/>
                      <w:divBdr>
                        <w:top w:val="none" w:sz="0" w:space="0" w:color="auto"/>
                        <w:left w:val="none" w:sz="0" w:space="0" w:color="auto"/>
                        <w:bottom w:val="none" w:sz="0" w:space="0" w:color="auto"/>
                        <w:right w:val="none" w:sz="0" w:space="0" w:color="auto"/>
                      </w:divBdr>
                      <w:divsChild>
                        <w:div w:id="1269504581">
                          <w:marLeft w:val="0"/>
                          <w:marRight w:val="0"/>
                          <w:marTop w:val="0"/>
                          <w:marBottom w:val="0"/>
                          <w:divBdr>
                            <w:top w:val="none" w:sz="0" w:space="0" w:color="auto"/>
                            <w:left w:val="none" w:sz="0" w:space="0" w:color="auto"/>
                            <w:bottom w:val="none" w:sz="0" w:space="0" w:color="auto"/>
                            <w:right w:val="none" w:sz="0" w:space="0" w:color="auto"/>
                          </w:divBdr>
                          <w:divsChild>
                            <w:div w:id="101996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8557">
      <w:bodyDiv w:val="1"/>
      <w:marLeft w:val="0"/>
      <w:marRight w:val="0"/>
      <w:marTop w:val="0"/>
      <w:marBottom w:val="0"/>
      <w:divBdr>
        <w:top w:val="none" w:sz="0" w:space="0" w:color="auto"/>
        <w:left w:val="none" w:sz="0" w:space="0" w:color="auto"/>
        <w:bottom w:val="none" w:sz="0" w:space="0" w:color="auto"/>
        <w:right w:val="none" w:sz="0" w:space="0" w:color="auto"/>
      </w:divBdr>
    </w:div>
    <w:div w:id="1859613533">
      <w:bodyDiv w:val="1"/>
      <w:marLeft w:val="0"/>
      <w:marRight w:val="0"/>
      <w:marTop w:val="0"/>
      <w:marBottom w:val="0"/>
      <w:divBdr>
        <w:top w:val="none" w:sz="0" w:space="0" w:color="auto"/>
        <w:left w:val="none" w:sz="0" w:space="0" w:color="auto"/>
        <w:bottom w:val="none" w:sz="0" w:space="0" w:color="auto"/>
        <w:right w:val="none" w:sz="0" w:space="0" w:color="auto"/>
      </w:divBdr>
    </w:div>
    <w:div w:id="1922064615">
      <w:bodyDiv w:val="1"/>
      <w:marLeft w:val="0"/>
      <w:marRight w:val="0"/>
      <w:marTop w:val="0"/>
      <w:marBottom w:val="0"/>
      <w:divBdr>
        <w:top w:val="none" w:sz="0" w:space="0" w:color="auto"/>
        <w:left w:val="none" w:sz="0" w:space="0" w:color="auto"/>
        <w:bottom w:val="none" w:sz="0" w:space="0" w:color="auto"/>
        <w:right w:val="none" w:sz="0" w:space="0" w:color="auto"/>
      </w:divBdr>
    </w:div>
    <w:div w:id="1922249696">
      <w:bodyDiv w:val="1"/>
      <w:marLeft w:val="0"/>
      <w:marRight w:val="0"/>
      <w:marTop w:val="0"/>
      <w:marBottom w:val="0"/>
      <w:divBdr>
        <w:top w:val="none" w:sz="0" w:space="0" w:color="auto"/>
        <w:left w:val="none" w:sz="0" w:space="0" w:color="auto"/>
        <w:bottom w:val="none" w:sz="0" w:space="0" w:color="auto"/>
        <w:right w:val="none" w:sz="0" w:space="0" w:color="auto"/>
      </w:divBdr>
      <w:divsChild>
        <w:div w:id="1277904317">
          <w:marLeft w:val="0"/>
          <w:marRight w:val="0"/>
          <w:marTop w:val="0"/>
          <w:marBottom w:val="0"/>
          <w:divBdr>
            <w:top w:val="none" w:sz="0" w:space="0" w:color="auto"/>
            <w:left w:val="none" w:sz="0" w:space="0" w:color="auto"/>
            <w:bottom w:val="none" w:sz="0" w:space="0" w:color="auto"/>
            <w:right w:val="none" w:sz="0" w:space="0" w:color="auto"/>
          </w:divBdr>
        </w:div>
      </w:divsChild>
    </w:div>
    <w:div w:id="1947106513">
      <w:bodyDiv w:val="1"/>
      <w:marLeft w:val="0"/>
      <w:marRight w:val="0"/>
      <w:marTop w:val="0"/>
      <w:marBottom w:val="0"/>
      <w:divBdr>
        <w:top w:val="none" w:sz="0" w:space="0" w:color="auto"/>
        <w:left w:val="none" w:sz="0" w:space="0" w:color="auto"/>
        <w:bottom w:val="none" w:sz="0" w:space="0" w:color="auto"/>
        <w:right w:val="none" w:sz="0" w:space="0" w:color="auto"/>
      </w:divBdr>
    </w:div>
    <w:div w:id="2005353129">
      <w:bodyDiv w:val="1"/>
      <w:marLeft w:val="0"/>
      <w:marRight w:val="0"/>
      <w:marTop w:val="0"/>
      <w:marBottom w:val="0"/>
      <w:divBdr>
        <w:top w:val="none" w:sz="0" w:space="0" w:color="auto"/>
        <w:left w:val="none" w:sz="0" w:space="0" w:color="auto"/>
        <w:bottom w:val="none" w:sz="0" w:space="0" w:color="auto"/>
        <w:right w:val="none" w:sz="0" w:space="0" w:color="auto"/>
      </w:divBdr>
    </w:div>
    <w:div w:id="2010786620">
      <w:bodyDiv w:val="1"/>
      <w:marLeft w:val="0"/>
      <w:marRight w:val="0"/>
      <w:marTop w:val="0"/>
      <w:marBottom w:val="0"/>
      <w:divBdr>
        <w:top w:val="none" w:sz="0" w:space="0" w:color="auto"/>
        <w:left w:val="none" w:sz="0" w:space="0" w:color="auto"/>
        <w:bottom w:val="none" w:sz="0" w:space="0" w:color="auto"/>
        <w:right w:val="none" w:sz="0" w:space="0" w:color="auto"/>
      </w:divBdr>
    </w:div>
    <w:div w:id="2066638053">
      <w:bodyDiv w:val="1"/>
      <w:marLeft w:val="0"/>
      <w:marRight w:val="0"/>
      <w:marTop w:val="0"/>
      <w:marBottom w:val="0"/>
      <w:divBdr>
        <w:top w:val="none" w:sz="0" w:space="0" w:color="auto"/>
        <w:left w:val="none" w:sz="0" w:space="0" w:color="auto"/>
        <w:bottom w:val="none" w:sz="0" w:space="0" w:color="auto"/>
        <w:right w:val="none" w:sz="0" w:space="0" w:color="auto"/>
      </w:divBdr>
    </w:div>
    <w:div w:id="2072076729">
      <w:bodyDiv w:val="1"/>
      <w:marLeft w:val="0"/>
      <w:marRight w:val="0"/>
      <w:marTop w:val="0"/>
      <w:marBottom w:val="0"/>
      <w:divBdr>
        <w:top w:val="none" w:sz="0" w:space="0" w:color="auto"/>
        <w:left w:val="none" w:sz="0" w:space="0" w:color="auto"/>
        <w:bottom w:val="none" w:sz="0" w:space="0" w:color="auto"/>
        <w:right w:val="none" w:sz="0" w:space="0" w:color="auto"/>
      </w:divBdr>
      <w:divsChild>
        <w:div w:id="229461719">
          <w:marLeft w:val="0"/>
          <w:marRight w:val="0"/>
          <w:marTop w:val="0"/>
          <w:marBottom w:val="0"/>
          <w:divBdr>
            <w:top w:val="none" w:sz="0" w:space="0" w:color="auto"/>
            <w:left w:val="none" w:sz="0" w:space="0" w:color="auto"/>
            <w:bottom w:val="none" w:sz="0" w:space="0" w:color="auto"/>
            <w:right w:val="none" w:sz="0" w:space="0" w:color="auto"/>
          </w:divBdr>
        </w:div>
        <w:div w:id="849416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frjournal.com/index.php/abfr/article/view/8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17002-B85E-4E68-BACF-780FD69F2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19</Pages>
  <Words>6490</Words>
  <Characters>36996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43400</CharactersWithSpaces>
  <SharedDoc>false</SharedDoc>
  <HLinks>
    <vt:vector size="84" baseType="variant">
      <vt:variant>
        <vt:i4>8257652</vt:i4>
      </vt:variant>
      <vt:variant>
        <vt:i4>39</vt:i4>
      </vt:variant>
      <vt:variant>
        <vt:i4>0</vt:i4>
      </vt:variant>
      <vt:variant>
        <vt:i4>5</vt:i4>
      </vt:variant>
      <vt:variant>
        <vt:lpwstr>https://doi.org/10.53819/81018102t2122</vt:lpwstr>
      </vt:variant>
      <vt:variant>
        <vt:lpwstr/>
      </vt:variant>
      <vt:variant>
        <vt:i4>917520</vt:i4>
      </vt:variant>
      <vt:variant>
        <vt:i4>36</vt:i4>
      </vt:variant>
      <vt:variant>
        <vt:i4>0</vt:i4>
      </vt:variant>
      <vt:variant>
        <vt:i4>5</vt:i4>
      </vt:variant>
      <vt:variant>
        <vt:lpwstr>https://doi.org/10.1007/s10551-016-3208-5</vt:lpwstr>
      </vt:variant>
      <vt:variant>
        <vt:lpwstr/>
      </vt:variant>
      <vt:variant>
        <vt:i4>7143457</vt:i4>
      </vt:variant>
      <vt:variant>
        <vt:i4>33</vt:i4>
      </vt:variant>
      <vt:variant>
        <vt:i4>0</vt:i4>
      </vt:variant>
      <vt:variant>
        <vt:i4>5</vt:i4>
      </vt:variant>
      <vt:variant>
        <vt:lpwstr>https://dx.doi.org/10.2139/ssrn.3332488</vt:lpwstr>
      </vt:variant>
      <vt:variant>
        <vt:lpwstr/>
      </vt:variant>
      <vt:variant>
        <vt:i4>327704</vt:i4>
      </vt:variant>
      <vt:variant>
        <vt:i4>30</vt:i4>
      </vt:variant>
      <vt:variant>
        <vt:i4>0</vt:i4>
      </vt:variant>
      <vt:variant>
        <vt:i4>5</vt:i4>
      </vt:variant>
      <vt:variant>
        <vt:lpwstr>https://ssrn.com/abstract=3332488</vt:lpwstr>
      </vt:variant>
      <vt:variant>
        <vt:lpwstr/>
      </vt:variant>
      <vt:variant>
        <vt:i4>7929895</vt:i4>
      </vt:variant>
      <vt:variant>
        <vt:i4>27</vt:i4>
      </vt:variant>
      <vt:variant>
        <vt:i4>0</vt:i4>
      </vt:variant>
      <vt:variant>
        <vt:i4>5</vt:i4>
      </vt:variant>
      <vt:variant>
        <vt:lpwstr>https://kpmg.com/ke/en/home/insights/2023/07/kenya-listed-banks-2022-financial-</vt:lpwstr>
      </vt:variant>
      <vt:variant>
        <vt:lpwstr/>
      </vt:variant>
      <vt:variant>
        <vt:i4>458783</vt:i4>
      </vt:variant>
      <vt:variant>
        <vt:i4>24</vt:i4>
      </vt:variant>
      <vt:variant>
        <vt:i4>0</vt:i4>
      </vt:variant>
      <vt:variant>
        <vt:i4>5</vt:i4>
      </vt:variant>
      <vt:variant>
        <vt:lpwstr>https://ssrn.com/abstract=1509271</vt:lpwstr>
      </vt:variant>
      <vt:variant>
        <vt:lpwstr/>
      </vt:variant>
      <vt:variant>
        <vt:i4>5898247</vt:i4>
      </vt:variant>
      <vt:variant>
        <vt:i4>21</vt:i4>
      </vt:variant>
      <vt:variant>
        <vt:i4>0</vt:i4>
      </vt:variant>
      <vt:variant>
        <vt:i4>5</vt:i4>
      </vt:variant>
      <vt:variant>
        <vt:lpwstr>https://ideas.repec.org/s/pal/jbkreg.html</vt:lpwstr>
      </vt:variant>
      <vt:variant>
        <vt:lpwstr/>
      </vt:variant>
      <vt:variant>
        <vt:i4>983088</vt:i4>
      </vt:variant>
      <vt:variant>
        <vt:i4>18</vt:i4>
      </vt:variant>
      <vt:variant>
        <vt:i4>0</vt:i4>
      </vt:variant>
      <vt:variant>
        <vt:i4>5</vt:i4>
      </vt:variant>
      <vt:variant>
        <vt:lpwstr>https://ideas.repec.org/a/pal/jbkreg/v22y2021i1d10.1057_s41261-020-00129-x.html</vt:lpwstr>
      </vt:variant>
      <vt:variant>
        <vt:lpwstr/>
      </vt:variant>
      <vt:variant>
        <vt:i4>3473528</vt:i4>
      </vt:variant>
      <vt:variant>
        <vt:i4>15</vt:i4>
      </vt:variant>
      <vt:variant>
        <vt:i4>0</vt:i4>
      </vt:variant>
      <vt:variant>
        <vt:i4>5</vt:i4>
      </vt:variant>
      <vt:variant>
        <vt:lpwstr>https://www.ifc.org/en/what-we-do/sector-expertise/corporate-governance</vt:lpwstr>
      </vt:variant>
      <vt:variant>
        <vt:lpwstr/>
      </vt:variant>
      <vt:variant>
        <vt:i4>4325402</vt:i4>
      </vt:variant>
      <vt:variant>
        <vt:i4>12</vt:i4>
      </vt:variant>
      <vt:variant>
        <vt:i4>0</vt:i4>
      </vt:variant>
      <vt:variant>
        <vt:i4>5</vt:i4>
      </vt:variant>
      <vt:variant>
        <vt:lpwstr>https://www.centralbank.go.ke/wp-content/uploads/2023/01/Directory-of-Licenced-Commercial-Banks-Authorised-NOHCs-Jan-2023.pdf</vt:lpwstr>
      </vt:variant>
      <vt:variant>
        <vt:lpwstr/>
      </vt:variant>
      <vt:variant>
        <vt:i4>65540</vt:i4>
      </vt:variant>
      <vt:variant>
        <vt:i4>9</vt:i4>
      </vt:variant>
      <vt:variant>
        <vt:i4>0</vt:i4>
      </vt:variant>
      <vt:variant>
        <vt:i4>5</vt:i4>
      </vt:variant>
      <vt:variant>
        <vt:lpwstr>https://www.centralbank.go.ke/uploads/banking_sector_annual_reports/1376276635_2022 Annual Report.pdf</vt:lpwstr>
      </vt:variant>
      <vt:variant>
        <vt:lpwstr/>
      </vt:variant>
      <vt:variant>
        <vt:i4>2818147</vt:i4>
      </vt:variant>
      <vt:variant>
        <vt:i4>6</vt:i4>
      </vt:variant>
      <vt:variant>
        <vt:i4>0</vt:i4>
      </vt:variant>
      <vt:variant>
        <vt:i4>5</vt:i4>
      </vt:variant>
      <vt:variant>
        <vt:lpwstr>https://www.centralbank.go.ke/wp-content/uploads/2016/08/BankingActOct2015.pdf</vt:lpwstr>
      </vt:variant>
      <vt:variant>
        <vt:lpwstr/>
      </vt:variant>
      <vt:variant>
        <vt:i4>6553686</vt:i4>
      </vt:variant>
      <vt:variant>
        <vt:i4>3</vt:i4>
      </vt:variant>
      <vt:variant>
        <vt:i4>0</vt:i4>
      </vt:variant>
      <vt:variant>
        <vt:i4>5</vt:i4>
      </vt:variant>
      <vt:variant>
        <vt:lpwstr>mailto:Musau.Salome@ku.ac.ke</vt:lpwstr>
      </vt:variant>
      <vt:variant>
        <vt:lpwstr/>
      </vt:variant>
      <vt:variant>
        <vt:i4>5505122</vt:i4>
      </vt:variant>
      <vt:variant>
        <vt:i4>0</vt:i4>
      </vt:variant>
      <vt:variant>
        <vt:i4>0</vt:i4>
      </vt:variant>
      <vt:variant>
        <vt:i4>5</vt:i4>
      </vt:variant>
      <vt:variant>
        <vt:lpwstr>mailto:22357.2022@students.ku.ac.ke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Nicholus Tumbo</dc:creator>
  <cp:keywords/>
  <dc:description/>
  <cp:lastModifiedBy>SDI 1166</cp:lastModifiedBy>
  <cp:revision>27</cp:revision>
  <dcterms:created xsi:type="dcterms:W3CDTF">2026-09-06T13:36:00Z</dcterms:created>
  <dcterms:modified xsi:type="dcterms:W3CDTF">2026-09-15T12:24:00Z</dcterms:modified>
</cp:coreProperties>
</file>