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27884" w14:textId="77777777" w:rsidR="009344FF" w:rsidRPr="00C411B0" w:rsidRDefault="009344FF" w:rsidP="009344FF">
      <w:pPr>
        <w:rPr>
          <w:rFonts w:ascii="Arial" w:hAnsi="Arial" w:cs="Arial"/>
          <w:b/>
          <w:sz w:val="20"/>
          <w:szCs w:val="20"/>
          <w:u w:val="single"/>
        </w:rPr>
      </w:pPr>
      <w:r w:rsidRPr="00C411B0">
        <w:rPr>
          <w:rFonts w:ascii="Arial" w:hAnsi="Arial" w:cs="Arial"/>
          <w:b/>
          <w:sz w:val="20"/>
          <w:szCs w:val="20"/>
          <w:u w:val="single"/>
        </w:rPr>
        <w:t>Editor’s Comment:</w:t>
      </w:r>
    </w:p>
    <w:p w14:paraId="61962077" w14:textId="180F9198" w:rsidR="009344FF" w:rsidRPr="00C411B0" w:rsidRDefault="00C411B0" w:rsidP="009344FF">
      <w:pPr>
        <w:rPr>
          <w:rFonts w:ascii="Arial" w:hAnsi="Arial" w:cs="Arial"/>
          <w:color w:val="000000"/>
          <w:sz w:val="20"/>
          <w:szCs w:val="20"/>
          <w:shd w:val="clear" w:color="auto" w:fill="FFFFFF"/>
        </w:rPr>
      </w:pPr>
      <w:r w:rsidRPr="00C411B0">
        <w:rPr>
          <w:rFonts w:ascii="Arial" w:hAnsi="Arial" w:cs="Arial"/>
          <w:sz w:val="20"/>
          <w:szCs w:val="20"/>
        </w:rPr>
        <w:t>After editorial assessment of the revised manuscript,</w:t>
      </w:r>
      <w:r w:rsidRPr="00C411B0">
        <w:rPr>
          <w:rFonts w:ascii="Arial" w:hAnsi="Arial" w:cs="Arial"/>
          <w:sz w:val="20"/>
          <w:szCs w:val="20"/>
        </w:rPr>
        <w:t xml:space="preserve"> </w:t>
      </w:r>
      <w:r w:rsidRPr="00C411B0">
        <w:rPr>
          <w:rFonts w:ascii="Arial" w:hAnsi="Arial" w:cs="Arial"/>
          <w:color w:val="000000"/>
          <w:sz w:val="20"/>
          <w:szCs w:val="20"/>
          <w:shd w:val="clear" w:color="auto" w:fill="FFFFFF"/>
        </w:rPr>
        <w:t xml:space="preserve">my decision is </w:t>
      </w:r>
      <w:r w:rsidRPr="00C411B0">
        <w:rPr>
          <w:rFonts w:ascii="Arial" w:hAnsi="Arial" w:cs="Arial"/>
          <w:b/>
          <w:bCs/>
          <w:color w:val="000000"/>
          <w:sz w:val="20"/>
          <w:szCs w:val="20"/>
          <w:shd w:val="clear" w:color="auto" w:fill="FFFFFF"/>
        </w:rPr>
        <w:t>major revision</w:t>
      </w:r>
      <w:r w:rsidRPr="00C411B0">
        <w:rPr>
          <w:rFonts w:ascii="Arial" w:hAnsi="Arial" w:cs="Arial"/>
          <w:color w:val="000000"/>
          <w:sz w:val="20"/>
          <w:szCs w:val="20"/>
          <w:shd w:val="clear" w:color="auto" w:fill="FFFFFF"/>
        </w:rPr>
        <w:t>.</w:t>
      </w:r>
    </w:p>
    <w:p w14:paraId="661BA94D" w14:textId="683FF75C" w:rsidR="00C411B0" w:rsidRPr="00C411B0" w:rsidRDefault="00C411B0" w:rsidP="009344FF">
      <w:pPr>
        <w:rPr>
          <w:rFonts w:ascii="Arial" w:hAnsi="Arial" w:cs="Arial"/>
          <w:sz w:val="20"/>
          <w:szCs w:val="20"/>
        </w:rPr>
      </w:pPr>
      <w:r w:rsidRPr="00C411B0">
        <w:rPr>
          <w:rFonts w:ascii="Arial" w:hAnsi="Arial" w:cs="Arial"/>
          <w:sz w:val="20"/>
          <w:szCs w:val="20"/>
        </w:rPr>
        <w:t>Although the authors have expanded the literature review and discussion, the revised version still contains substantial weaknesses in methodological reporting, numerical consistency, statistical interpretation, and presentation.</w:t>
      </w:r>
      <w:r w:rsidRPr="00C411B0">
        <w:rPr>
          <w:rFonts w:ascii="Arial" w:hAnsi="Arial" w:cs="Arial"/>
          <w:sz w:val="20"/>
          <w:szCs w:val="20"/>
        </w:rPr>
        <w:t xml:space="preserve"> </w:t>
      </w:r>
      <w:r w:rsidRPr="00C411B0">
        <w:rPr>
          <w:rFonts w:ascii="Arial" w:hAnsi="Arial" w:cs="Arial"/>
          <w:sz w:val="20"/>
          <w:szCs w:val="20"/>
        </w:rPr>
        <w:t>The next revision must resolve the underlying scientific concerns rather than primarily adding explanatory text or references.</w:t>
      </w:r>
    </w:p>
    <w:p w14:paraId="4F1C8379" w14:textId="77777777" w:rsidR="00C411B0" w:rsidRPr="00C411B0" w:rsidRDefault="00C411B0" w:rsidP="00C411B0">
      <w:pPr>
        <w:rPr>
          <w:rFonts w:ascii="Arial" w:hAnsi="Arial" w:cs="Arial"/>
          <w:sz w:val="20"/>
          <w:szCs w:val="20"/>
        </w:rPr>
      </w:pPr>
      <w:r w:rsidRPr="00C411B0">
        <w:rPr>
          <w:rFonts w:ascii="Arial" w:hAnsi="Arial" w:cs="Arial"/>
          <w:sz w:val="20"/>
          <w:szCs w:val="20"/>
        </w:rPr>
        <w:t>The Materials and Methods section requires substantial improvement to make the experiment reproducible. The authors must provide the study location and coordinates, exact sowing and harvesting dates, rainfall during the actual experimental season, and available baseline soil fertility measurements. General annual rainfall information cannot adequately describe the conditions experienced by this rain dependent crop. The arrangement of planting rows and holes within each 2 m × 2 m plot, actual plant population, border exclusion, and net harvested area must be specified. Fertiliser application timing, placement depth, distance from seeds, and equivalent application rates in kg/ha must also be reported. The procedures for measuring grain number, grain weight per panicle, and grain yield need clarification, including sampling numbers, moisture adjustment, and the complete calculation used to convert harvested grain mass into yield per hectare.</w:t>
      </w:r>
    </w:p>
    <w:p w14:paraId="13EC87EF" w14:textId="77777777" w:rsidR="00C411B0" w:rsidRPr="00C411B0" w:rsidRDefault="00C411B0" w:rsidP="00C411B0">
      <w:pPr>
        <w:rPr>
          <w:rFonts w:ascii="Arial" w:hAnsi="Arial" w:cs="Arial"/>
          <w:sz w:val="20"/>
          <w:szCs w:val="20"/>
        </w:rPr>
      </w:pPr>
      <w:r w:rsidRPr="00C411B0">
        <w:rPr>
          <w:rFonts w:ascii="Arial" w:hAnsi="Arial" w:cs="Arial"/>
          <w:sz w:val="20"/>
          <w:szCs w:val="20"/>
        </w:rPr>
        <w:t>The numerical results require a thorough audit against the original field records. Table 4 reports approximately 28–30 g as the weight of 100 grains, whereas Table 3 reports approximately 1,200–2,900 grains per panicle and Table 5 reports only approximately 37–76 g of grain per panicle. These measurements appear inconsistent and require clarification of whether Table 4 actually represents 1,000 grain weight, or whether another measurement or transcription error has occurred. Similarly, the reported grain yields of 8.90–18.77 ton/ha must be verified using the original harvested weights, harvested areas, moisture basis, and conversion calculations. The Methods section specifies kg/ha, while the tables and narrative use ton/ha. These discrepancies do not establish that the data are invalid, but they prevent reliable evaluation of the findings. The authors should provide the underlying plot data and a transparent calculation record for editorial assessment.</w:t>
      </w:r>
    </w:p>
    <w:p w14:paraId="7427A088" w14:textId="77777777" w:rsidR="00C411B0" w:rsidRPr="00C411B0" w:rsidRDefault="00C411B0" w:rsidP="00C411B0">
      <w:pPr>
        <w:rPr>
          <w:rFonts w:ascii="Arial" w:hAnsi="Arial" w:cs="Arial"/>
          <w:sz w:val="20"/>
          <w:szCs w:val="20"/>
        </w:rPr>
      </w:pPr>
      <w:r w:rsidRPr="00C411B0">
        <w:rPr>
          <w:rFonts w:ascii="Arial" w:hAnsi="Arial" w:cs="Arial"/>
          <w:sz w:val="20"/>
          <w:szCs w:val="20"/>
        </w:rPr>
        <w:t>The statistical analysis is insufficiently documented for an experiment involving four genotypes and three fertiliser levels. The authors must describe the factorial analysis within the randomised complete block design, identify the experimental unit, and report the effects of genotype, fertiliser dose, and their interaction. ANOVA results should include degrees of freedom, error mean squares, test statistics, and probability values, together with the method used for mean comparisons and an explanation of all significance letters and standard errors. Statements about significant differences must agree with the tables. For example, Table 6 assigns the same significance letter to all three Gurry treatment means, so the manuscript cannot imply a demonstrated yield benefit from the highest dose for that genotype. Any significant interaction must be interpreted through the individual treatment combinations rather than relying only on overall means.</w:t>
      </w:r>
    </w:p>
    <w:p w14:paraId="05E350C5" w14:textId="31EE3EBE" w:rsidR="00C411B0" w:rsidRPr="00C411B0" w:rsidRDefault="00C411B0" w:rsidP="009344FF">
      <w:pPr>
        <w:rPr>
          <w:rFonts w:ascii="Arial" w:hAnsi="Arial" w:cs="Arial"/>
          <w:sz w:val="20"/>
          <w:szCs w:val="20"/>
        </w:rPr>
      </w:pPr>
      <w:r w:rsidRPr="00C411B0">
        <w:rPr>
          <w:rFonts w:ascii="Arial" w:hAnsi="Arial" w:cs="Arial"/>
          <w:sz w:val="20"/>
          <w:szCs w:val="20"/>
        </w:rPr>
        <w:t xml:space="preserve">The manuscript also requires substantive revision of its discussion, conclusions, and editorial presentation. Claims concerning improved root growth, nutrient uptake, water absorption, nutrient use efficiency, or economic suitability should be identified as possible explanations unless directly measured. Recommendations must reflect the evidence from one location and one season, and 0.9 g/hole should be described as the highest tested dose rather than an established optimum. The abstract repeats the objective, the Results and Discussion section contains overlapping summaries, and an instructional sentence remains in the Introduction. NPK should not be labelled “micronutrient,” genotype names must be consistent, and table headings, terminology, and units need correction. All citations should be checked against their original sources, including the attribution of 2024 production figures to a 2023 publication and the description of the Sultan and Tadesse study as representing rain dependent conditions when its listed title specifies irrigation. A fully corrected manuscript and a </w:t>
      </w:r>
      <w:r w:rsidRPr="00C411B0">
        <w:rPr>
          <w:rFonts w:ascii="Arial" w:hAnsi="Arial" w:cs="Arial"/>
          <w:sz w:val="20"/>
          <w:szCs w:val="20"/>
        </w:rPr>
        <w:lastRenderedPageBreak/>
        <w:t>detailed response identifying each substantive change are required before further consideration; acceptance cannot be recommended at this stage.</w:t>
      </w:r>
    </w:p>
    <w:p w14:paraId="57685E21" w14:textId="77777777" w:rsidR="00000000" w:rsidRPr="00C411B0" w:rsidRDefault="009344FF" w:rsidP="009344FF">
      <w:pPr>
        <w:rPr>
          <w:rFonts w:ascii="Arial" w:hAnsi="Arial" w:cs="Arial"/>
          <w:b/>
          <w:sz w:val="20"/>
          <w:szCs w:val="20"/>
          <w:u w:val="single"/>
        </w:rPr>
      </w:pPr>
      <w:r w:rsidRPr="00C411B0">
        <w:rPr>
          <w:rFonts w:ascii="Arial" w:hAnsi="Arial" w:cs="Arial"/>
          <w:b/>
          <w:sz w:val="20"/>
          <w:szCs w:val="20"/>
          <w:u w:val="single"/>
        </w:rPr>
        <w:t>Editor’s Details:</w:t>
      </w:r>
    </w:p>
    <w:p w14:paraId="1DBF3AAA" w14:textId="0BC1E024" w:rsidR="00C411B0" w:rsidRPr="00C411B0" w:rsidRDefault="00C411B0" w:rsidP="00C411B0">
      <w:pPr>
        <w:spacing w:after="0" w:line="240" w:lineRule="auto"/>
        <w:rPr>
          <w:rFonts w:ascii="Arial" w:eastAsia="Times New Roman" w:hAnsi="Arial" w:cs="Arial"/>
          <w:sz w:val="20"/>
          <w:szCs w:val="20"/>
          <w:lang w:val="en-US"/>
        </w:rPr>
      </w:pPr>
      <w:r w:rsidRPr="00C411B0">
        <w:rPr>
          <w:rFonts w:ascii="Arial" w:eastAsia="Times New Roman" w:hAnsi="Arial" w:cs="Arial"/>
          <w:sz w:val="20"/>
          <w:szCs w:val="20"/>
          <w:lang w:val="en-US"/>
        </w:rPr>
        <w:t>Dr. Chee Kong Yap</w:t>
      </w:r>
      <w:r w:rsidRPr="00C411B0">
        <w:rPr>
          <w:rFonts w:ascii="Arial" w:eastAsia="Times New Roman" w:hAnsi="Arial" w:cs="Arial"/>
          <w:sz w:val="20"/>
          <w:szCs w:val="20"/>
          <w:lang w:val="en-US"/>
        </w:rPr>
        <w:t xml:space="preserve">, </w:t>
      </w:r>
      <w:r w:rsidRPr="00C411B0">
        <w:rPr>
          <w:rFonts w:ascii="Arial" w:eastAsia="Times New Roman" w:hAnsi="Arial" w:cs="Arial"/>
          <w:sz w:val="20"/>
          <w:szCs w:val="20"/>
          <w:lang w:val="en-US"/>
        </w:rPr>
        <w:t>Universiti Putra Malaysia (UPM), Malaysia</w:t>
      </w:r>
    </w:p>
    <w:p w14:paraId="726E47C5" w14:textId="77777777" w:rsidR="00C411B0" w:rsidRPr="00C411B0" w:rsidRDefault="00C411B0" w:rsidP="009344FF">
      <w:pPr>
        <w:rPr>
          <w:rFonts w:ascii="Arial" w:hAnsi="Arial" w:cs="Arial"/>
          <w:b/>
          <w:sz w:val="20"/>
          <w:szCs w:val="20"/>
          <w:u w:val="single"/>
        </w:rPr>
      </w:pPr>
    </w:p>
    <w:sectPr w:rsidR="00C411B0" w:rsidRPr="00C411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2C0B2C"/>
    <w:rsid w:val="009344FF"/>
    <w:rsid w:val="009F328F"/>
    <w:rsid w:val="00A72896"/>
    <w:rsid w:val="00C411B0"/>
    <w:rsid w:val="00EA21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6400E"/>
  <w15:docId w15:val="{1A5968AA-95A0-4298-A65D-5357C932D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694</Words>
  <Characters>3962</Characters>
  <Application>Microsoft Office Word</Application>
  <DocSecurity>0</DocSecurity>
  <Lines>33</Lines>
  <Paragraphs>9</Paragraphs>
  <ScaleCrop>false</ScaleCrop>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3</cp:revision>
  <dcterms:created xsi:type="dcterms:W3CDTF">2025-02-19T08:37:00Z</dcterms:created>
  <dcterms:modified xsi:type="dcterms:W3CDTF">2026-10-09T10:03:00Z</dcterms:modified>
</cp:coreProperties>
</file>