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3A2EC" w14:textId="77777777" w:rsidR="00ED5B85" w:rsidRPr="001054FF" w:rsidRDefault="00ED5B85" w:rsidP="001E0EDF">
      <w:pPr>
        <w:spacing w:before="240" w:after="240"/>
        <w:jc w:val="both"/>
        <w:rPr>
          <w:rFonts w:cs="Times New Roman"/>
          <w:b/>
          <w:color w:val="000000" w:themeColor="text1"/>
          <w:sz w:val="30"/>
          <w:szCs w:val="30"/>
        </w:rPr>
      </w:pPr>
      <w:r w:rsidRPr="001054FF">
        <w:rPr>
          <w:rFonts w:cs="Times New Roman"/>
          <w:b/>
          <w:color w:val="000000" w:themeColor="text1"/>
          <w:sz w:val="30"/>
          <w:szCs w:val="30"/>
        </w:rPr>
        <w:t xml:space="preserve">Case Report </w:t>
      </w:r>
    </w:p>
    <w:p w14:paraId="5A9DEEF5" w14:textId="77777777" w:rsidR="00ED5B85" w:rsidRPr="001054FF" w:rsidRDefault="00ED5B85" w:rsidP="001E0EDF">
      <w:pPr>
        <w:spacing w:before="240" w:after="240"/>
        <w:jc w:val="both"/>
        <w:rPr>
          <w:rFonts w:cs="Times New Roman"/>
          <w:b/>
          <w:color w:val="000000" w:themeColor="text1"/>
          <w:sz w:val="30"/>
          <w:szCs w:val="30"/>
        </w:rPr>
      </w:pPr>
    </w:p>
    <w:p w14:paraId="77E501D2" w14:textId="77777777" w:rsidR="00BE4770" w:rsidRPr="001054FF" w:rsidRDefault="00913729" w:rsidP="001E0EDF">
      <w:pPr>
        <w:spacing w:before="240" w:after="240"/>
        <w:jc w:val="both"/>
        <w:rPr>
          <w:rFonts w:cs="Times New Roman"/>
          <w:b/>
          <w:color w:val="000000" w:themeColor="text1"/>
          <w:sz w:val="30"/>
          <w:szCs w:val="30"/>
        </w:rPr>
      </w:pPr>
      <w:r w:rsidRPr="001054FF">
        <w:rPr>
          <w:rFonts w:cs="Times New Roman"/>
          <w:b/>
          <w:color w:val="000000" w:themeColor="text1"/>
          <w:sz w:val="30"/>
          <w:szCs w:val="30"/>
        </w:rPr>
        <w:t>Severe Hypokalemic Periodic Paralysis with Preserved Tendon Reflexes and Marked Electrocardiographic Changes in a Middle-Aged Male: A Case Report and Mechanistic Revie</w:t>
      </w:r>
      <w:r w:rsidR="004E2E70" w:rsidRPr="001054FF">
        <w:rPr>
          <w:rFonts w:cs="Times New Roman"/>
          <w:b/>
          <w:color w:val="000000" w:themeColor="text1"/>
          <w:sz w:val="30"/>
          <w:szCs w:val="30"/>
        </w:rPr>
        <w:t>w</w:t>
      </w:r>
    </w:p>
    <w:p w14:paraId="2783C6CF" w14:textId="77777777" w:rsidR="00B91C39" w:rsidRPr="001054FF" w:rsidRDefault="00B91C39" w:rsidP="001E0EDF">
      <w:pPr>
        <w:spacing w:before="240" w:after="240"/>
        <w:jc w:val="both"/>
        <w:rPr>
          <w:rFonts w:cs="Times New Roman"/>
          <w:color w:val="000000" w:themeColor="text1"/>
          <w:sz w:val="30"/>
          <w:szCs w:val="30"/>
        </w:rPr>
      </w:pPr>
    </w:p>
    <w:p w14:paraId="056EADDF" w14:textId="77777777" w:rsidR="00B91C39" w:rsidRPr="001054FF" w:rsidRDefault="00B91C39" w:rsidP="001E0EDF">
      <w:pPr>
        <w:spacing w:after="320"/>
        <w:jc w:val="both"/>
        <w:rPr>
          <w:rFonts w:cs="Times New Roman"/>
          <w:iCs/>
          <w:sz w:val="26"/>
          <w:szCs w:val="26"/>
        </w:rPr>
      </w:pPr>
    </w:p>
    <w:p w14:paraId="0211001C" w14:textId="77777777" w:rsidR="00A85202" w:rsidRPr="001054FF" w:rsidRDefault="00A85202" w:rsidP="001E0EDF">
      <w:pPr>
        <w:spacing w:after="320"/>
        <w:jc w:val="both"/>
        <w:rPr>
          <w:rFonts w:cs="Times New Roman"/>
          <w:iCs/>
          <w:sz w:val="26"/>
          <w:szCs w:val="26"/>
        </w:rPr>
      </w:pPr>
    </w:p>
    <w:p w14:paraId="613DD935" w14:textId="77777777" w:rsidR="00BE4770" w:rsidRPr="001054FF" w:rsidRDefault="00913729" w:rsidP="001E0EDF">
      <w:pPr>
        <w:jc w:val="both"/>
        <w:rPr>
          <w:rFonts w:cs="Times New Roman"/>
          <w:sz w:val="26"/>
          <w:szCs w:val="26"/>
        </w:rPr>
      </w:pPr>
      <w:r w:rsidRPr="001054FF">
        <w:rPr>
          <w:rFonts w:cs="Times New Roman"/>
          <w:b/>
          <w:color w:val="003366"/>
          <w:sz w:val="26"/>
          <w:szCs w:val="26"/>
        </w:rPr>
        <w:t>ABSTRACT</w:t>
      </w:r>
    </w:p>
    <w:p w14:paraId="1CC2B873" w14:textId="77777777" w:rsidR="009E1B8E" w:rsidRPr="001054FF" w:rsidRDefault="00913729" w:rsidP="001E0EDF">
      <w:pPr>
        <w:spacing w:after="160" w:line="360" w:lineRule="auto"/>
        <w:jc w:val="both"/>
        <w:rPr>
          <w:rFonts w:cs="Times New Roman"/>
          <w:bCs/>
          <w:sz w:val="26"/>
          <w:szCs w:val="26"/>
          <w:lang w:val="en-IN"/>
        </w:rPr>
      </w:pPr>
      <w:r w:rsidRPr="001054FF">
        <w:rPr>
          <w:b/>
          <w:sz w:val="26"/>
        </w:rPr>
        <w:t xml:space="preserve">Background: </w:t>
      </w:r>
      <w:r w:rsidRPr="001054FF">
        <w:rPr>
          <w:sz w:val="26"/>
        </w:rPr>
        <w:t>Hypokalaemic periodic paralysis (HypoPP) is a rare, potentially life-threatening neuromuscular channelopathy characterised by acute, reversible episodes of paralysis associated with hypokalaemia. Hyporeflexia or areflexia is classically described during severe attacks. However, profound quadriparesis with preserved deep tendon reflexes may represent a diagnostic pitfall and may be confused with acute inflammatory demyelinating polyneuropathy (Guillain-Barré syndrome), myelopathy, or other causes of acute paralysis.</w:t>
      </w:r>
    </w:p>
    <w:p w14:paraId="752AD75C" w14:textId="77777777" w:rsidR="009E1B8E" w:rsidRPr="001054FF" w:rsidRDefault="00913729" w:rsidP="001E0EDF">
      <w:pPr>
        <w:spacing w:after="160"/>
        <w:jc w:val="both"/>
        <w:rPr>
          <w:rFonts w:cs="Times New Roman"/>
          <w:b/>
          <w:sz w:val="26"/>
          <w:szCs w:val="26"/>
          <w:lang w:val="en-IN"/>
        </w:rPr>
      </w:pPr>
      <w:r w:rsidRPr="001054FF">
        <w:rPr>
          <w:b/>
          <w:sz w:val="26"/>
        </w:rPr>
        <w:t xml:space="preserve">Case Presentation: </w:t>
      </w:r>
      <w:r w:rsidRPr="001054FF">
        <w:rPr>
          <w:sz w:val="26"/>
        </w:rPr>
        <w:t xml:space="preserve">A 55-year-old man presented with acute, progressive weakness of all four limbs over 24 hours, initially manifesting as difficulty operating the clutch of his vehicle and progressing to an inability to stand or walk. Neurological examination showed profound symmetrical quadriparesis, with lower-limb power of 2-3/5 proximally and upper-limb power of 3-4/5. Deep tendon reflexes were preserved, and plantar responses were bilaterally flexor. Laboratory investigations showed severe hypokalaemia, with a serum potassium nadir of 1.7 mmol/L, an arterial blood-gas potassium value of 3.2 mmol/L, and a repeat serum potassium value of 1.8 mmol/L. Creatine kinase was mildly elevated at 348 U/L. Thyroid parameters were within the stated reference ranges (TSH 1.54 µIU/mL; total T4 7.22 µg/dL), and urine pH was 8.0. Reactive hepatitis B surface antigen was an incidental finding. A 12-lead ECG showed sinus rhythm, PR prolongation to 182 ms, QRS widening to 124 ms, QT/QTc prolongation to 476/487 ms, ST-segment </w:t>
      </w:r>
      <w:r w:rsidRPr="001054FF">
        <w:rPr>
          <w:sz w:val="26"/>
        </w:rPr>
        <w:lastRenderedPageBreak/>
        <w:t>depression, flattened T waves, and prominent U waves. Motor power recovered to 5/5 within 24 hours after intravenous replacement with 40 mEq potassium chloride in 500 mL normal saline over 4 hours under ECG monitoring.</w:t>
      </w:r>
    </w:p>
    <w:p w14:paraId="0794DE7C" w14:textId="77777777" w:rsidR="00BE4770" w:rsidRPr="001054FF" w:rsidRDefault="00913729" w:rsidP="001E0EDF">
      <w:pPr>
        <w:spacing w:after="160"/>
        <w:jc w:val="both"/>
        <w:rPr>
          <w:rFonts w:cs="Times New Roman"/>
          <w:sz w:val="26"/>
          <w:szCs w:val="26"/>
          <w:lang w:val="en-IN"/>
        </w:rPr>
      </w:pPr>
      <w:r w:rsidRPr="001054FF">
        <w:rPr>
          <w:b/>
          <w:sz w:val="26"/>
        </w:rPr>
        <w:br/>
        <w:t xml:space="preserve">Conclusion: </w:t>
      </w:r>
      <w:r w:rsidRPr="001054FF">
        <w:rPr>
          <w:sz w:val="26"/>
        </w:rPr>
        <w:t>This case demonstrates that preserved deep tendon reflexes do not exclude profound hypokalaemic paralysis. Clinicians should maintain a high index of suspicion, promptly assess serum electrolytes, and examine the 12-lead ECG for hypokalaemia-related changes in patients presenting with acute motor quadriparesis. Early recognition and controlled potassium replacement are important to reduce the risk of serious cardiac complications and unnecessary invasive investigations.</w:t>
      </w:r>
    </w:p>
    <w:p w14:paraId="7527EA79" w14:textId="77777777" w:rsidR="00BE4770" w:rsidRPr="001054FF" w:rsidRDefault="00913729" w:rsidP="001E0EDF">
      <w:pPr>
        <w:spacing w:after="280"/>
        <w:jc w:val="both"/>
        <w:rPr>
          <w:rFonts w:cs="Times New Roman"/>
          <w:sz w:val="26"/>
          <w:szCs w:val="26"/>
        </w:rPr>
      </w:pPr>
      <w:r w:rsidRPr="001054FF">
        <w:rPr>
          <w:b/>
          <w:sz w:val="26"/>
        </w:rPr>
        <w:t xml:space="preserve">Keywords: </w:t>
      </w:r>
      <w:r w:rsidRPr="001054FF">
        <w:rPr>
          <w:sz w:val="26"/>
        </w:rPr>
        <w:t>Hypokalaemic periodic paralysis; quadriparesis; preserved tendon reflexes; hypokalaemia; U wave; QTc prolongation; channelopathy.</w:t>
      </w:r>
    </w:p>
    <w:p w14:paraId="175B2357" w14:textId="77777777" w:rsidR="00BE4770" w:rsidRPr="001054FF" w:rsidRDefault="00913729" w:rsidP="001E0EDF">
      <w:pPr>
        <w:keepNext/>
        <w:spacing w:before="320" w:after="120"/>
        <w:jc w:val="both"/>
        <w:rPr>
          <w:rFonts w:cs="Times New Roman"/>
          <w:color w:val="000000" w:themeColor="text1"/>
          <w:sz w:val="26"/>
          <w:szCs w:val="26"/>
        </w:rPr>
      </w:pPr>
      <w:r w:rsidRPr="001054FF">
        <w:rPr>
          <w:rFonts w:cs="Times New Roman"/>
          <w:b/>
          <w:color w:val="000000" w:themeColor="text1"/>
          <w:sz w:val="26"/>
          <w:szCs w:val="26"/>
        </w:rPr>
        <w:t>1. INTRODUCTION</w:t>
      </w:r>
      <w:r w:rsidR="00890CD3" w:rsidRPr="001054FF">
        <w:rPr>
          <w:rFonts w:cs="Times New Roman"/>
          <w:b/>
          <w:color w:val="000000" w:themeColor="text1"/>
          <w:sz w:val="26"/>
          <w:szCs w:val="26"/>
        </w:rPr>
        <w:t xml:space="preserve">  </w:t>
      </w:r>
    </w:p>
    <w:p w14:paraId="1E676BFE" w14:textId="77777777" w:rsidR="0077795E" w:rsidRPr="001054FF" w:rsidRDefault="00462B54" w:rsidP="001E0EDF">
      <w:pPr>
        <w:keepNext/>
        <w:spacing w:before="320" w:after="120"/>
        <w:jc w:val="both"/>
        <w:rPr>
          <w:rFonts w:cs="Times New Roman"/>
          <w:bCs/>
          <w:color w:val="000000" w:themeColor="text1"/>
          <w:sz w:val="26"/>
          <w:szCs w:val="26"/>
          <w:lang w:val="en-IN"/>
        </w:rPr>
      </w:pPr>
      <w:r w:rsidRPr="001054FF">
        <w:rPr>
          <w:sz w:val="26"/>
        </w:rPr>
        <w:t>Acute flaccid quadriparesis is a dramatic neurological presentation that requires urgent, methodical diagnostic stratification and targeted treatment. The differential diagnosis includes acute inflammatory demyelinating polyradiculoneuropathy (Guillain-Barré syndrome), transverse myelitis, myasthenia gravis, botulism, and toxin-mediated neuropathies; however, hypokalaemic periodic paralysis (HypoPP) is an important, treatable, and potentially life-threatening neuromuscular emergency (Statland et al., 2018; Weber &amp; Lehmann-Horn, 2018). HypoPP is a rare disorder characterised by attacks of painless, symmetrical, generalised flaccid paralysis associated with changes in extracellular potassium concentration (Fontaine, 2008). Primary HypoPP is uncommon and may therefore present a diagnostic challenge in the acute hospital setting (Burge &amp; Hanna, 2012).</w:t>
      </w:r>
      <w:r w:rsidRPr="001054FF">
        <w:rPr>
          <w:sz w:val="26"/>
        </w:rPr>
        <w:br/>
      </w:r>
      <w:r w:rsidRPr="001054FF">
        <w:rPr>
          <w:sz w:val="26"/>
        </w:rPr>
        <w:br/>
        <w:t>Inheritance is typically autosomal dominant, although sporadic cases occur. Primary HypoPP is associated with pathogenic variants in skeletal-muscle voltage-gated ion channels, most commonly the L-type calcium channel gene CACNA1S (type 1 HypoPP) or the skeletal-muscle sodium channel gene SCN4A (type 2 HypoPP). Abnormal voltage-sensor function can generate aberrant gating-pore currents and sustained sarcolemmal depolarisation, producing electrical inexcitability and weakness (Bulman et al., 1999; Jurkat-Rott et al., 1994; Jurkat-Rott et al., 2012). Secondary hypokalaemic paralysis may result from gastrointestinal potassium loss, renal potassium wasting, endocrine disorders, or rapid intracellular potassium shifts, including those occurring in thyrotoxic periodic paralysis (Gennari, 1998; Lin et al., 2004).</w:t>
      </w:r>
      <w:r w:rsidRPr="001054FF">
        <w:rPr>
          <w:sz w:val="26"/>
        </w:rPr>
        <w:br/>
      </w:r>
      <w:r w:rsidRPr="001054FF">
        <w:rPr>
          <w:sz w:val="26"/>
        </w:rPr>
        <w:br/>
        <w:t>Hypokalaemic paralysis is classically associated with rapidly progressive, bilateral symmetrical weakness and reduced or absent deep tendon reflexes (Kayal et al., 2013; Statland et al., 2018). Nevertheless, clinical expression is variable, and preserved tendon reflexes may occur even in severe hypokalaemic weakness (Kayal et al., 2013). This presentation can create diagnostic uncertainty and may prompt consideration of central nervous system disease, functional neurological disorder, or other neuromuscular conditions, potentially delaying recognition of the underlying electrolyte disturbance (Kayal et al., 2013; Weber &amp; Lehmann-Horn, 2018). Recent reports also support a structured assessment because both inherited and secondary forms may present with acute flaccid weakness, and secondary hypokalaemic paralysis can be the presenting feature of systemic disease (Al Hariri et al., 2024; Sheikh et al., 2024). Contemporary reviews of thyrotoxic hypokalaemic periodic paralysis further emphasise the importance of transcellular potassium shifts in secondary presentations (Gan et al., 2025). A recent case report similarly highlights the value of prompt serum electrolyte assessment when acute quadriparesis raises concern for HypoPP or its neurological mimics (Bindhu &amp; Likhitha, 2026). Within the literature considered in this manuscript, severe hypokalaemic quadriparesis with preserved deep tendon reflexes is less frequently described than the classical hyporeflexic or areflexic presentation, defining the diagnostic gap addressed by the present case. We report severe acute hypokalaemic paralysis in a 55-year-old man with a serum potassium nadir of 1.7 mmol/L, characteristic ECG changes, and preserved deep tendon reflexes, followed by rapid recovery after potassium replacement.</w:t>
      </w:r>
    </w:p>
    <w:p w14:paraId="00A6A946" w14:textId="77777777" w:rsidR="0077795E" w:rsidRPr="001054FF" w:rsidRDefault="0077795E" w:rsidP="001E0EDF">
      <w:pPr>
        <w:keepNext/>
        <w:spacing w:before="320" w:after="120"/>
        <w:jc w:val="both"/>
        <w:rPr>
          <w:rFonts w:cs="Times New Roman"/>
          <w:bCs/>
          <w:color w:val="000000" w:themeColor="text1"/>
          <w:sz w:val="26"/>
          <w:szCs w:val="26"/>
          <w:lang w:val="en-IN"/>
        </w:rPr>
      </w:pPr>
    </w:p>
    <w:p w14:paraId="14B8862C" w14:textId="77777777" w:rsidR="0077795E" w:rsidRPr="001054FF" w:rsidRDefault="0077795E" w:rsidP="001E0EDF">
      <w:pPr>
        <w:keepNext/>
        <w:spacing w:before="320" w:after="120"/>
        <w:jc w:val="both"/>
        <w:rPr>
          <w:rFonts w:cs="Times New Roman"/>
          <w:bCs/>
          <w:color w:val="000000" w:themeColor="text1"/>
          <w:sz w:val="26"/>
          <w:szCs w:val="26"/>
          <w:lang w:val="en-IN"/>
        </w:rPr>
      </w:pPr>
    </w:p>
    <w:p w14:paraId="0600121E" w14:textId="77777777" w:rsidR="0077795E" w:rsidRPr="001054FF" w:rsidRDefault="0077795E" w:rsidP="001E0EDF">
      <w:pPr>
        <w:keepNext/>
        <w:spacing w:before="320" w:after="120"/>
        <w:jc w:val="both"/>
        <w:rPr>
          <w:rFonts w:cs="Times New Roman"/>
          <w:bCs/>
          <w:color w:val="000000" w:themeColor="text1"/>
          <w:sz w:val="26"/>
          <w:szCs w:val="26"/>
          <w:lang w:val="en-IN"/>
        </w:rPr>
        <w:sectPr w:rsidR="0077795E" w:rsidRPr="001054FF"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4BC3B67E" w14:textId="77777777" w:rsidR="00BE4770" w:rsidRPr="001054FF" w:rsidRDefault="00913729" w:rsidP="001E0EDF">
      <w:pPr>
        <w:keepNext/>
        <w:spacing w:before="320" w:after="120"/>
        <w:jc w:val="both"/>
        <w:rPr>
          <w:rFonts w:cs="Times New Roman"/>
          <w:color w:val="000000" w:themeColor="text1"/>
          <w:sz w:val="26"/>
          <w:szCs w:val="26"/>
        </w:rPr>
      </w:pPr>
      <w:r w:rsidRPr="001054FF">
        <w:rPr>
          <w:rFonts w:cs="Times New Roman"/>
          <w:b/>
          <w:color w:val="000000" w:themeColor="text1"/>
          <w:sz w:val="26"/>
          <w:szCs w:val="26"/>
        </w:rPr>
        <w:lastRenderedPageBreak/>
        <w:t>2. CASE PRESENTATION</w:t>
      </w:r>
    </w:p>
    <w:p w14:paraId="2E3CDAB3" w14:textId="77777777" w:rsidR="00462B54" w:rsidRPr="001054FF" w:rsidRDefault="00913729" w:rsidP="001E0EDF">
      <w:pPr>
        <w:keepNext/>
        <w:spacing w:before="200" w:after="80"/>
        <w:jc w:val="both"/>
        <w:rPr>
          <w:rFonts w:cs="Times New Roman"/>
          <w:color w:val="000000" w:themeColor="text1"/>
          <w:sz w:val="26"/>
          <w:szCs w:val="26"/>
        </w:rPr>
      </w:pPr>
      <w:r w:rsidRPr="001054FF">
        <w:rPr>
          <w:rFonts w:cs="Times New Roman"/>
          <w:b/>
          <w:color w:val="000000" w:themeColor="text1"/>
          <w:sz w:val="26"/>
          <w:szCs w:val="26"/>
        </w:rPr>
        <w:t>2.1 Patient Information and Initial Clinical Presentation</w:t>
      </w:r>
    </w:p>
    <w:p w14:paraId="6F9EDBCB" w14:textId="77777777" w:rsidR="00462B54" w:rsidRPr="001054FF" w:rsidRDefault="00462B54" w:rsidP="001E0EDF">
      <w:pPr>
        <w:keepNext/>
        <w:spacing w:before="200" w:after="80"/>
        <w:jc w:val="both"/>
        <w:rPr>
          <w:rFonts w:cs="Times New Roman"/>
          <w:color w:val="000000" w:themeColor="text1"/>
          <w:sz w:val="26"/>
          <w:szCs w:val="26"/>
          <w:lang w:val="en-IN"/>
        </w:rPr>
      </w:pPr>
      <w:r w:rsidRPr="001054FF">
        <w:rPr>
          <w:rFonts w:cs="Times New Roman"/>
          <w:color w:val="000000" w:themeColor="text1"/>
          <w:sz w:val="26"/>
          <w:szCs w:val="26"/>
          <w:lang w:val="en-IN"/>
        </w:rPr>
        <w:t>Case History:</w:t>
      </w:r>
    </w:p>
    <w:p w14:paraId="3C62E1A0" w14:textId="77777777" w:rsidR="0077795E" w:rsidRPr="001054FF" w:rsidRDefault="00462B54" w:rsidP="001E0EDF">
      <w:pPr>
        <w:keepNext/>
        <w:spacing w:before="200" w:after="80"/>
        <w:jc w:val="both"/>
        <w:rPr>
          <w:rFonts w:cs="Times New Roman"/>
          <w:color w:val="000000" w:themeColor="text1"/>
          <w:sz w:val="26"/>
          <w:szCs w:val="26"/>
          <w:lang w:val="en-IN"/>
        </w:rPr>
        <w:sectPr w:rsidR="0077795E" w:rsidRPr="001054FF" w:rsidSect="00034616">
          <w:pgSz w:w="12240" w:h="15840"/>
          <w:pgMar w:top="1440" w:right="1440" w:bottom="1440" w:left="1440" w:header="720" w:footer="720" w:gutter="0"/>
          <w:cols w:space="720"/>
          <w:docGrid w:linePitch="360"/>
        </w:sectPr>
      </w:pPr>
      <w:r w:rsidRPr="001054FF">
        <w:rPr>
          <w:sz w:val="26"/>
        </w:rPr>
        <w:t>The patient was a 55-year-old employed man admitted to the Department of Neurology at SSIMS &amp; RC Davangere with acute, progressive weakness of all four limbs developing over approximately 24 hours. On 01/09/2026 at about 6:00 P.M., after returning from work, he developed acute difficulty gripping the clutch lever of his vehicle with his left hand. The weakness then progressed to involve both upper and lower limbs, which became markedly heavy and weak. By approximately 4:00 A.M. on 02/09/2026, he had increasing difficulty rising from a sitting position and could no longer stand, walk, or support his own body weight; he was therefore brought to the emergency department by family members. He reported no recent febrile illness, diarrhoea, vomiting, excessive sweating or diaphoresis, unusual strenuous physical exercise, excessive carbohydrate intake, or recent vaccination. There was no paraesthesia or numbness in the limbs, cranial-nerve involvement, diplopia, dysphagia, dysarthria, facial asymmetry, respiratory paralysis, or bowel or bladder disturbance. There was no history of hypertension, diabetes mellitus, bronchial asthma, bronchopneumonia or COPD, angina, myocardial infarction, cerebrovascular disease, epilepsy, or thyroid disease. He reported no chronic medication use, diuretic misuse, chronic laxative intake, or herbal or mineral intake. He consumed a non-vegetarian diet, had never smoked cigarettes or beedis, did not chew paan or gutkha, was a teetotaller, and denied illicit drug use. There was no relevant history of recurrent episodic muscle weakness, neuromuscular disorders, or sudden death in the family. Initial psychiatric evaluation showed no evidence of depression, anxiety, or suicidal tendencies.</w:t>
      </w:r>
    </w:p>
    <w:p w14:paraId="387679BD" w14:textId="77777777" w:rsidR="00BE4770" w:rsidRPr="001054FF" w:rsidRDefault="00913729" w:rsidP="001E0EDF">
      <w:pPr>
        <w:keepNext/>
        <w:spacing w:before="200" w:after="80"/>
        <w:jc w:val="both"/>
        <w:rPr>
          <w:rFonts w:cs="Times New Roman"/>
          <w:b/>
          <w:color w:val="000000" w:themeColor="text1"/>
          <w:sz w:val="26"/>
          <w:szCs w:val="26"/>
        </w:rPr>
      </w:pPr>
      <w:r w:rsidRPr="001054FF">
        <w:rPr>
          <w:rFonts w:cs="Times New Roman"/>
          <w:b/>
          <w:color w:val="000000" w:themeColor="text1"/>
          <w:sz w:val="26"/>
          <w:szCs w:val="26"/>
        </w:rPr>
        <w:lastRenderedPageBreak/>
        <w:t>2.2 Clinical and Neurological Examination</w:t>
      </w:r>
    </w:p>
    <w:p w14:paraId="34290D7F" w14:textId="77777777" w:rsidR="00462B54" w:rsidRPr="001054FF" w:rsidRDefault="00462B54" w:rsidP="001E0EDF">
      <w:pPr>
        <w:keepNext/>
        <w:spacing w:before="200" w:after="80"/>
        <w:jc w:val="both"/>
        <w:rPr>
          <w:rFonts w:cs="Times New Roman"/>
          <w:color w:val="000000" w:themeColor="text1"/>
          <w:sz w:val="26"/>
          <w:szCs w:val="26"/>
          <w:lang w:val="en-IN"/>
        </w:rPr>
      </w:pPr>
      <w:r w:rsidRPr="001054FF">
        <w:rPr>
          <w:rFonts w:cs="Times New Roman"/>
          <w:color w:val="000000" w:themeColor="text1"/>
          <w:sz w:val="26"/>
          <w:szCs w:val="26"/>
          <w:lang w:val="en-IN"/>
        </w:rPr>
        <w:t>General physical examination:</w:t>
      </w:r>
    </w:p>
    <w:p w14:paraId="25F77FB4" w14:textId="77777777" w:rsidR="00462B54" w:rsidRPr="001054FF" w:rsidRDefault="00462B54" w:rsidP="001E0EDF">
      <w:pPr>
        <w:keepNext/>
        <w:spacing w:before="200" w:after="80"/>
        <w:jc w:val="both"/>
        <w:rPr>
          <w:rFonts w:cs="Times New Roman"/>
          <w:color w:val="000000" w:themeColor="text1"/>
          <w:sz w:val="26"/>
          <w:szCs w:val="26"/>
          <w:lang w:val="en-IN"/>
        </w:rPr>
      </w:pPr>
      <w:r w:rsidRPr="001054FF">
        <w:rPr>
          <w:sz w:val="26"/>
        </w:rPr>
        <w:t>The patient was conscious, alert, and oriented to time, place, and person, but was in moderate distress because of the acute motor deficit. Vital parameters were stable: blood pressure was 120/80 mmHg, pulse rate was 66 beats/min with an irregular rhythm, respiratory rate was 18 breaths/min, he was afebrile, and oxygen saturation (SpO2) was 98% on room air. No pallor, icterus, cyanosis, clubbing, generalised lymphadenopathy, or pedal oedema was observed. Cardiovascular, respiratory, and abdominal examinations were unremarkable. A comprehensive neurological examination was performed on admission. Higher mental functions and speech were intact. Examination of cranial nerves I-XII was normal: facial movements were symmetrical, extraocular movements were full, pupils were reactive to light, tongue movements were normal, there was no bulbar weakness, and neck-muscle power was 5/5. Motor examination showed flaccid tone in all four limbs. Muscle bulk was preserved, without fasciculation or wasting. MRC grading demonstrated severe symmetrical quadriparesis, more pronounced proximally than distally, particularly in the lower limbs. Muscle power was as follows:</w:t>
      </w:r>
    </w:p>
    <w:p w14:paraId="22EAE992" w14:textId="77777777" w:rsidR="00BE4770" w:rsidRPr="001054FF" w:rsidRDefault="00913729" w:rsidP="001E0EDF">
      <w:pPr>
        <w:pStyle w:val="ListBullet"/>
        <w:spacing w:after="60"/>
        <w:jc w:val="both"/>
        <w:rPr>
          <w:rFonts w:cs="Times New Roman"/>
          <w:sz w:val="26"/>
          <w:szCs w:val="26"/>
        </w:rPr>
      </w:pPr>
      <w:r w:rsidRPr="001054FF">
        <w:rPr>
          <w:b/>
          <w:sz w:val="26"/>
        </w:rPr>
        <w:t xml:space="preserve">Upper Extremities: </w:t>
      </w:r>
      <w:r w:rsidRPr="001054FF">
        <w:rPr>
          <w:sz w:val="26"/>
        </w:rPr>
        <w:t>Shoulder abduction and adduction were 4/5 bilaterally; elbow flexion and extension, 3-4/5 bilaterally; wrist dorsiflexion and palmar flexion, 3-4/5 bilaterally; and hand-grip strength, 4/5 bilaterally.</w:t>
      </w:r>
    </w:p>
    <w:p w14:paraId="290F3CF7" w14:textId="77777777" w:rsidR="00BE4770" w:rsidRPr="001054FF" w:rsidRDefault="00913729" w:rsidP="001E0EDF">
      <w:pPr>
        <w:pStyle w:val="ListBullet"/>
        <w:spacing w:after="60"/>
        <w:jc w:val="both"/>
        <w:rPr>
          <w:rFonts w:cs="Times New Roman"/>
          <w:sz w:val="26"/>
          <w:szCs w:val="26"/>
        </w:rPr>
      </w:pPr>
      <w:r w:rsidRPr="001054FF">
        <w:rPr>
          <w:b/>
          <w:sz w:val="26"/>
        </w:rPr>
        <w:t xml:space="preserve">Lower Extremities: </w:t>
      </w:r>
      <w:r w:rsidRPr="001054FF">
        <w:rPr>
          <w:sz w:val="26"/>
        </w:rPr>
        <w:t>Hip flexion and extension were 2-3/5 bilaterally; knee flexion and extension, 3/5 bilaterally; and ankle dorsiflexion and plantar flexion, 3-4/5 bilaterally.</w:t>
      </w:r>
    </w:p>
    <w:p w14:paraId="48A288AD" w14:textId="77777777" w:rsidR="00BE4770" w:rsidRPr="001054FF" w:rsidRDefault="00913729" w:rsidP="001E0EDF">
      <w:pPr>
        <w:pStyle w:val="ListBullet"/>
        <w:spacing w:after="60"/>
        <w:jc w:val="both"/>
        <w:rPr>
          <w:rFonts w:cs="Times New Roman"/>
          <w:sz w:val="26"/>
          <w:szCs w:val="26"/>
        </w:rPr>
      </w:pPr>
      <w:r w:rsidRPr="001054FF">
        <w:rPr>
          <w:b/>
          <w:sz w:val="26"/>
        </w:rPr>
        <w:t xml:space="preserve">Reflexes: </w:t>
      </w:r>
      <w:r w:rsidRPr="001054FF">
        <w:rPr>
          <w:sz w:val="26"/>
        </w:rPr>
        <w:t>Remarkably, deep tendon reflexes (DTRs), including the bilateral biceps, triceps, supinator, patellar, and Achilles reflexes, were preserved at 2+ bilaterally. No pathological hyperreflexia or clonus was observed.</w:t>
      </w:r>
    </w:p>
    <w:p w14:paraId="1E62307D" w14:textId="77777777" w:rsidR="00BE4770" w:rsidRPr="001054FF" w:rsidRDefault="00913729" w:rsidP="001E0EDF">
      <w:pPr>
        <w:pStyle w:val="ListBullet"/>
        <w:spacing w:after="60"/>
        <w:jc w:val="both"/>
        <w:rPr>
          <w:rFonts w:cs="Times New Roman"/>
          <w:sz w:val="26"/>
          <w:szCs w:val="26"/>
        </w:rPr>
      </w:pPr>
      <w:r w:rsidRPr="001054FF">
        <w:rPr>
          <w:b/>
          <w:sz w:val="26"/>
        </w:rPr>
        <w:t xml:space="preserve">Plantars &amp; Sensory: </w:t>
      </w:r>
      <w:r w:rsidRPr="001054FF">
        <w:rPr>
          <w:sz w:val="26"/>
        </w:rPr>
        <w:t>Plantar responses were bilaterally flexor (downgoing). Sensory examination showed preserved touch, pain, temperature, vibration, and joint-position sensation in all four limbs and the trunk. Cerebellar signs could not be fully assessed because of motor weakness, but no intention tremor or nystagmus was observed. Meningeal signs were absent.</w:t>
      </w:r>
    </w:p>
    <w:p w14:paraId="37EAE482" w14:textId="77777777" w:rsidR="00BE4770" w:rsidRPr="001054FF" w:rsidRDefault="00913729" w:rsidP="001E0EDF">
      <w:pPr>
        <w:keepNext/>
        <w:spacing w:before="200" w:after="80"/>
        <w:jc w:val="both"/>
        <w:rPr>
          <w:rFonts w:cs="Times New Roman"/>
          <w:b/>
          <w:color w:val="000000" w:themeColor="text1"/>
          <w:sz w:val="26"/>
          <w:szCs w:val="26"/>
        </w:rPr>
      </w:pPr>
      <w:r w:rsidRPr="001054FF">
        <w:rPr>
          <w:rFonts w:cs="Times New Roman"/>
          <w:b/>
          <w:color w:val="000000" w:themeColor="text1"/>
          <w:sz w:val="26"/>
          <w:szCs w:val="26"/>
        </w:rPr>
        <w:t>2.3 Diagnostic Workup and Laboratory Investigations</w:t>
      </w:r>
    </w:p>
    <w:p w14:paraId="494D1270" w14:textId="77777777" w:rsidR="00101209" w:rsidRPr="001054FF" w:rsidRDefault="00462B54" w:rsidP="001E0EDF">
      <w:pPr>
        <w:keepNext/>
        <w:spacing w:before="200" w:after="80"/>
        <w:jc w:val="both"/>
        <w:rPr>
          <w:rFonts w:cs="Times New Roman"/>
          <w:color w:val="000000" w:themeColor="text1"/>
          <w:sz w:val="26"/>
          <w:szCs w:val="26"/>
          <w:lang w:val="en-IN"/>
        </w:rPr>
      </w:pPr>
      <w:r w:rsidRPr="001054FF">
        <w:rPr>
          <w:sz w:val="26"/>
        </w:rPr>
        <w:t xml:space="preserve">Emergency laboratory evaluation identified critical hypokalaemia as the metabolic abnormality associated with the quadriparesis. Initial investigations obtained on 02/09/2026 at 13:35 showed a serum potassium nadir of 1.7 mmol/L (reference range, 3.5-5.5 mmol/L), serum sodium of 139.5 mmol/L (133-152 mmol/L), and serum chloride of </w:t>
      </w:r>
      <w:r w:rsidRPr="001054FF">
        <w:rPr>
          <w:sz w:val="26"/>
        </w:rPr>
        <w:lastRenderedPageBreak/>
        <w:t>106.6 mmol/L (96-106 mmol/L). Arterial blood-gas analysis showed pH 7.40, pCO2 32 mmHg, pO2 74 mmHg, sodium 120 mmol/L, potassium 3.2 mmol/L, ionised calcium 0.70 mmol/L, glucose 130 mg/dL, lactate 1.3 mmol/L, HCO3- 19.8 mmol/L, standard HCO3 21.6 mmol/L, base excess -5.0 mmol/L, and sO2 95% on the GEM 3500 analyser. Creatine kinase was mildly elevated at 348.0 U/L (reference range, 55-170 U/L), consistent with muscle injury or sarcolemmal stress in the setting of acute hypokalaemia, without documented frank rhabdomyolysis. Repeat testing continued to show severe hypokalaemia: serum potassium was 1.8 mmol/L at 22:34 and 2.1 mmol/L on the morning of 03/09/2026 after partial replacement. Urinalysis was otherwise unremarkable, with pH 8.0 and specific gravity 1.015 and without proteinuria, glycosuria, ketonuria, or haematuria. Thyroid parameters were within the stated reference ranges (T3 0.87 ng/mL, total T4 7.22 µg/dL, and TSH 1.54 µIU/mL), arguing against thyrotoxic periodic paralysis. Hepatitis B surface antigen was reactive, whereas the other reported serological markers were negative. The complete blood count showed mild leucocytosis (13,610 cells/cumm, with 80% neutrophils), with haemoglobin 14.2 g/dL and platelets 2.78 lakhs/cumm; ESR was 35 mm/h. Other reported biochemical values included BUN 32.2 mg/dL, serum creatinine 1.33 mg/dL, total bilirubin 0.5 mg/dL, AST 31.0 U/L, ALT 24.2 U/L, ALP 75.9 U/L, total protein 6.8 g/dL, and serum albumin 3.9 g/dL.</w:t>
      </w:r>
    </w:p>
    <w:p w14:paraId="2CC929E8" w14:textId="77777777" w:rsidR="00101209" w:rsidRPr="001054FF" w:rsidRDefault="00462B54" w:rsidP="001E0EDF">
      <w:pPr>
        <w:keepNext/>
        <w:spacing w:before="200" w:after="80"/>
        <w:jc w:val="both"/>
        <w:rPr>
          <w:rFonts w:cs="Times New Roman"/>
          <w:color w:val="000000" w:themeColor="text1"/>
          <w:sz w:val="26"/>
          <w:szCs w:val="26"/>
          <w:lang w:val="en-IN"/>
        </w:rPr>
      </w:pPr>
      <w:r w:rsidRPr="001054FF">
        <w:rPr>
          <w:sz w:val="26"/>
        </w:rPr>
        <w:t>Details of the laboratory investigations are systematically recorded and summarised in Table 1.</w:t>
      </w:r>
    </w:p>
    <w:p w14:paraId="3C596D3E" w14:textId="77777777" w:rsidR="00BE4770" w:rsidRPr="001054FF" w:rsidRDefault="00913729" w:rsidP="001E0EDF">
      <w:pPr>
        <w:spacing w:before="160" w:after="80"/>
        <w:jc w:val="both"/>
        <w:rPr>
          <w:rFonts w:cs="Times New Roman"/>
          <w:sz w:val="26"/>
          <w:szCs w:val="26"/>
        </w:rPr>
      </w:pPr>
      <w:r w:rsidRPr="001054FF">
        <w:rPr>
          <w:rFonts w:cs="Times New Roman"/>
          <w:b/>
          <w:sz w:val="26"/>
          <w:szCs w:val="26"/>
        </w:rPr>
        <w:t>Table 1: Comprehensive Laboratory and Diagnostic Workup at Admission and Follow-up</w:t>
      </w:r>
    </w:p>
    <w:tbl>
      <w:tblPr>
        <w:tblW w:w="0" w:type="auto"/>
        <w:jc w:val="center"/>
        <w:tblBorders>
          <w:top w:val="single" w:sz="6" w:space="0" w:color="003366"/>
          <w:bottom w:val="single" w:sz="6" w:space="0" w:color="003366"/>
          <w:insideH w:val="single" w:sz="4" w:space="0" w:color="D3D3D3"/>
        </w:tblBorders>
        <w:tblLook w:val="04A0" w:firstRow="1" w:lastRow="0" w:firstColumn="1" w:lastColumn="0" w:noHBand="0" w:noVBand="1"/>
      </w:tblPr>
      <w:tblGrid>
        <w:gridCol w:w="2250"/>
        <w:gridCol w:w="2221"/>
        <w:gridCol w:w="2232"/>
        <w:gridCol w:w="2657"/>
      </w:tblGrid>
      <w:tr w:rsidR="00BE4770" w:rsidRPr="001054FF" w14:paraId="61F2CC05" w14:textId="77777777">
        <w:trPr>
          <w:jc w:val="center"/>
        </w:trPr>
        <w:tc>
          <w:tcPr>
            <w:tcW w:w="2340" w:type="dxa"/>
            <w:shd w:val="clear" w:color="auto" w:fill="003366"/>
          </w:tcPr>
          <w:p w14:paraId="4DC0B3B2" w14:textId="77777777" w:rsidR="00BE4770" w:rsidRPr="001054FF" w:rsidRDefault="00913729" w:rsidP="001E0EDF">
            <w:pPr>
              <w:spacing w:before="40" w:after="40" w:line="252" w:lineRule="auto"/>
              <w:jc w:val="both"/>
              <w:rPr>
                <w:rFonts w:cs="Times New Roman"/>
                <w:sz w:val="26"/>
                <w:szCs w:val="26"/>
              </w:rPr>
            </w:pPr>
            <w:r w:rsidRPr="001054FF">
              <w:rPr>
                <w:rFonts w:cs="Times New Roman"/>
                <w:b/>
                <w:color w:val="FFFFFF"/>
                <w:sz w:val="26"/>
                <w:szCs w:val="26"/>
              </w:rPr>
              <w:t>Laboratory Parameter</w:t>
            </w:r>
          </w:p>
        </w:tc>
        <w:tc>
          <w:tcPr>
            <w:tcW w:w="2340" w:type="dxa"/>
            <w:shd w:val="clear" w:color="auto" w:fill="003366"/>
          </w:tcPr>
          <w:p w14:paraId="74BA9B23" w14:textId="77777777" w:rsidR="00BE4770" w:rsidRPr="001054FF" w:rsidRDefault="00913729" w:rsidP="001E0EDF">
            <w:pPr>
              <w:spacing w:before="40" w:after="40" w:line="252" w:lineRule="auto"/>
              <w:jc w:val="both"/>
              <w:rPr>
                <w:rFonts w:cs="Times New Roman"/>
                <w:sz w:val="26"/>
                <w:szCs w:val="26"/>
              </w:rPr>
            </w:pPr>
            <w:r w:rsidRPr="001054FF">
              <w:rPr>
                <w:rFonts w:cs="Times New Roman"/>
                <w:b/>
                <w:color w:val="FFFFFF"/>
                <w:sz w:val="26"/>
                <w:szCs w:val="26"/>
              </w:rPr>
              <w:t>Patient Result</w:t>
            </w:r>
          </w:p>
        </w:tc>
        <w:tc>
          <w:tcPr>
            <w:tcW w:w="2340" w:type="dxa"/>
            <w:shd w:val="clear" w:color="auto" w:fill="003366"/>
          </w:tcPr>
          <w:p w14:paraId="35DE8800" w14:textId="77777777" w:rsidR="00BE4770" w:rsidRPr="001054FF" w:rsidRDefault="00913729" w:rsidP="001E0EDF">
            <w:pPr>
              <w:spacing w:before="40" w:after="40" w:line="252" w:lineRule="auto"/>
              <w:jc w:val="both"/>
              <w:rPr>
                <w:rFonts w:cs="Times New Roman"/>
                <w:sz w:val="26"/>
                <w:szCs w:val="26"/>
              </w:rPr>
            </w:pPr>
            <w:r w:rsidRPr="001054FF">
              <w:rPr>
                <w:rFonts w:cs="Times New Roman"/>
                <w:b/>
                <w:color w:val="FFFFFF"/>
                <w:sz w:val="26"/>
                <w:szCs w:val="26"/>
              </w:rPr>
              <w:t>Biological Reference Interval</w:t>
            </w:r>
          </w:p>
        </w:tc>
        <w:tc>
          <w:tcPr>
            <w:tcW w:w="2340" w:type="dxa"/>
            <w:shd w:val="clear" w:color="auto" w:fill="003366"/>
          </w:tcPr>
          <w:p w14:paraId="35142C43" w14:textId="77777777" w:rsidR="00BE4770" w:rsidRPr="001054FF" w:rsidRDefault="00913729" w:rsidP="001E0EDF">
            <w:pPr>
              <w:spacing w:before="40" w:after="40" w:line="252" w:lineRule="auto"/>
              <w:jc w:val="both"/>
              <w:rPr>
                <w:rFonts w:cs="Times New Roman"/>
                <w:sz w:val="26"/>
                <w:szCs w:val="26"/>
              </w:rPr>
            </w:pPr>
            <w:r w:rsidRPr="001054FF">
              <w:rPr>
                <w:rFonts w:cs="Times New Roman"/>
                <w:b/>
                <w:color w:val="FFFFFF"/>
                <w:sz w:val="26"/>
                <w:szCs w:val="26"/>
              </w:rPr>
              <w:t>Clinical Significance / Interpretation</w:t>
            </w:r>
          </w:p>
        </w:tc>
      </w:tr>
      <w:tr w:rsidR="00BE4770" w:rsidRPr="001054FF" w14:paraId="61A6F9E8" w14:textId="77777777">
        <w:trPr>
          <w:jc w:val="center"/>
        </w:trPr>
        <w:tc>
          <w:tcPr>
            <w:tcW w:w="2340" w:type="dxa"/>
            <w:shd w:val="clear" w:color="auto" w:fill="F5F8FA"/>
          </w:tcPr>
          <w:p w14:paraId="3A89D92C"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Serum Potassium (Initial Nadir, ISE)</w:t>
            </w:r>
          </w:p>
        </w:tc>
        <w:tc>
          <w:tcPr>
            <w:tcW w:w="2340" w:type="dxa"/>
            <w:shd w:val="clear" w:color="auto" w:fill="F5F8FA"/>
          </w:tcPr>
          <w:p w14:paraId="555D4267"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1.7 mmol/L</w:t>
            </w:r>
          </w:p>
        </w:tc>
        <w:tc>
          <w:tcPr>
            <w:tcW w:w="2340" w:type="dxa"/>
            <w:shd w:val="clear" w:color="auto" w:fill="F5F8FA"/>
          </w:tcPr>
          <w:p w14:paraId="75C945F4"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3.5 – 5.5 mmol/L</w:t>
            </w:r>
          </w:p>
        </w:tc>
        <w:tc>
          <w:tcPr>
            <w:tcW w:w="2340" w:type="dxa"/>
            <w:shd w:val="clear" w:color="auto" w:fill="F5F8FA"/>
          </w:tcPr>
          <w:p w14:paraId="458D87FE"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Critical severe hypokalemia; primary etiology of quadriparesis</w:t>
            </w:r>
          </w:p>
        </w:tc>
      </w:tr>
      <w:tr w:rsidR="00BE4770" w:rsidRPr="001054FF" w14:paraId="7134E6DD" w14:textId="77777777">
        <w:trPr>
          <w:jc w:val="center"/>
        </w:trPr>
        <w:tc>
          <w:tcPr>
            <w:tcW w:w="2340" w:type="dxa"/>
          </w:tcPr>
          <w:p w14:paraId="5DCE22EE"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Serum Potassium (Repeat at 22:34)</w:t>
            </w:r>
          </w:p>
        </w:tc>
        <w:tc>
          <w:tcPr>
            <w:tcW w:w="2340" w:type="dxa"/>
          </w:tcPr>
          <w:p w14:paraId="481EE2A5"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1.8 mmol/L</w:t>
            </w:r>
          </w:p>
        </w:tc>
        <w:tc>
          <w:tcPr>
            <w:tcW w:w="2340" w:type="dxa"/>
          </w:tcPr>
          <w:p w14:paraId="63E9BA24"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3.5 – 5.5 mmol/L</w:t>
            </w:r>
          </w:p>
        </w:tc>
        <w:tc>
          <w:tcPr>
            <w:tcW w:w="2340" w:type="dxa"/>
          </w:tcPr>
          <w:p w14:paraId="1896EDFE"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Persistent severe hypokalemia prior to sustained infusion</w:t>
            </w:r>
          </w:p>
        </w:tc>
      </w:tr>
      <w:tr w:rsidR="00BE4770" w:rsidRPr="001054FF" w14:paraId="7922EB53" w14:textId="77777777">
        <w:trPr>
          <w:jc w:val="center"/>
        </w:trPr>
        <w:tc>
          <w:tcPr>
            <w:tcW w:w="2340" w:type="dxa"/>
            <w:shd w:val="clear" w:color="auto" w:fill="F5F8FA"/>
          </w:tcPr>
          <w:p w14:paraId="158991F7"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Serum Potassium (Follow-up 03/09)</w:t>
            </w:r>
          </w:p>
        </w:tc>
        <w:tc>
          <w:tcPr>
            <w:tcW w:w="2340" w:type="dxa"/>
            <w:shd w:val="clear" w:color="auto" w:fill="F5F8FA"/>
          </w:tcPr>
          <w:p w14:paraId="59B176F0"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2.1 mmol/L</w:t>
            </w:r>
          </w:p>
        </w:tc>
        <w:tc>
          <w:tcPr>
            <w:tcW w:w="2340" w:type="dxa"/>
            <w:shd w:val="clear" w:color="auto" w:fill="F5F8FA"/>
          </w:tcPr>
          <w:p w14:paraId="082CB699"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3.5 – 5.5 mmol/L</w:t>
            </w:r>
          </w:p>
        </w:tc>
        <w:tc>
          <w:tcPr>
            <w:tcW w:w="2340" w:type="dxa"/>
            <w:shd w:val="clear" w:color="auto" w:fill="F5F8FA"/>
          </w:tcPr>
          <w:p w14:paraId="3665C427"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Gradual correction following initial potassium repletion</w:t>
            </w:r>
          </w:p>
        </w:tc>
      </w:tr>
      <w:tr w:rsidR="00BE4770" w:rsidRPr="001054FF" w14:paraId="12993B6B" w14:textId="77777777">
        <w:trPr>
          <w:jc w:val="center"/>
        </w:trPr>
        <w:tc>
          <w:tcPr>
            <w:tcW w:w="2340" w:type="dxa"/>
          </w:tcPr>
          <w:p w14:paraId="4BAAC337"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lastRenderedPageBreak/>
              <w:t>Serum Sodium (ISE)</w:t>
            </w:r>
          </w:p>
        </w:tc>
        <w:tc>
          <w:tcPr>
            <w:tcW w:w="2340" w:type="dxa"/>
          </w:tcPr>
          <w:p w14:paraId="710FFCC1"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139.5 mmol/L</w:t>
            </w:r>
          </w:p>
        </w:tc>
        <w:tc>
          <w:tcPr>
            <w:tcW w:w="2340" w:type="dxa"/>
          </w:tcPr>
          <w:p w14:paraId="0D6067E9"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133 – 152 mmol/L</w:t>
            </w:r>
          </w:p>
        </w:tc>
        <w:tc>
          <w:tcPr>
            <w:tcW w:w="2340" w:type="dxa"/>
          </w:tcPr>
          <w:p w14:paraId="467F096B" w14:textId="77777777" w:rsidR="00BE4770" w:rsidRPr="001054FF" w:rsidRDefault="00913729" w:rsidP="001E0EDF">
            <w:pPr>
              <w:spacing w:before="40" w:after="40" w:line="252" w:lineRule="auto"/>
              <w:jc w:val="both"/>
              <w:rPr>
                <w:rFonts w:cs="Times New Roman"/>
                <w:sz w:val="26"/>
                <w:szCs w:val="26"/>
              </w:rPr>
            </w:pPr>
            <w:proofErr w:type="spellStart"/>
            <w:r w:rsidRPr="001054FF">
              <w:rPr>
                <w:rFonts w:cs="Times New Roman"/>
                <w:sz w:val="26"/>
                <w:szCs w:val="26"/>
              </w:rPr>
              <w:t>Eunatremic</w:t>
            </w:r>
            <w:proofErr w:type="spellEnd"/>
            <w:r w:rsidRPr="001054FF">
              <w:rPr>
                <w:rFonts w:cs="Times New Roman"/>
                <w:sz w:val="26"/>
                <w:szCs w:val="26"/>
              </w:rPr>
              <w:t>; normal serum osmolar balance</w:t>
            </w:r>
          </w:p>
        </w:tc>
      </w:tr>
      <w:tr w:rsidR="00BE4770" w:rsidRPr="001054FF" w14:paraId="2314FCC4" w14:textId="77777777">
        <w:trPr>
          <w:jc w:val="center"/>
        </w:trPr>
        <w:tc>
          <w:tcPr>
            <w:tcW w:w="2340" w:type="dxa"/>
            <w:shd w:val="clear" w:color="auto" w:fill="F5F8FA"/>
          </w:tcPr>
          <w:p w14:paraId="1B8940C7"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Serum Chloride (ISE)</w:t>
            </w:r>
          </w:p>
        </w:tc>
        <w:tc>
          <w:tcPr>
            <w:tcW w:w="2340" w:type="dxa"/>
            <w:shd w:val="clear" w:color="auto" w:fill="F5F8FA"/>
          </w:tcPr>
          <w:p w14:paraId="7B86E203"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106.6 mmol/L</w:t>
            </w:r>
          </w:p>
        </w:tc>
        <w:tc>
          <w:tcPr>
            <w:tcW w:w="2340" w:type="dxa"/>
            <w:shd w:val="clear" w:color="auto" w:fill="F5F8FA"/>
          </w:tcPr>
          <w:p w14:paraId="0099977D"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96 – 106 mmol/L</w:t>
            </w:r>
          </w:p>
        </w:tc>
        <w:tc>
          <w:tcPr>
            <w:tcW w:w="2340" w:type="dxa"/>
            <w:shd w:val="clear" w:color="auto" w:fill="F5F8FA"/>
          </w:tcPr>
          <w:p w14:paraId="1F553668"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Normal borderline serum chloride</w:t>
            </w:r>
          </w:p>
        </w:tc>
      </w:tr>
      <w:tr w:rsidR="00BE4770" w:rsidRPr="001054FF" w14:paraId="7D9FDF56" w14:textId="77777777">
        <w:trPr>
          <w:jc w:val="center"/>
        </w:trPr>
        <w:tc>
          <w:tcPr>
            <w:tcW w:w="2340" w:type="dxa"/>
          </w:tcPr>
          <w:p w14:paraId="7731A708"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Creatine Kinase (CK, Serum)</w:t>
            </w:r>
          </w:p>
        </w:tc>
        <w:tc>
          <w:tcPr>
            <w:tcW w:w="2340" w:type="dxa"/>
          </w:tcPr>
          <w:p w14:paraId="46E1CC76"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348.0 U/L</w:t>
            </w:r>
          </w:p>
        </w:tc>
        <w:tc>
          <w:tcPr>
            <w:tcW w:w="2340" w:type="dxa"/>
          </w:tcPr>
          <w:p w14:paraId="5F6DB856"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55 – 170 U/L</w:t>
            </w:r>
          </w:p>
        </w:tc>
        <w:tc>
          <w:tcPr>
            <w:tcW w:w="2340" w:type="dxa"/>
          </w:tcPr>
          <w:p w14:paraId="0F45A38C"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Elevated; reflects hypokalemic myopathy/</w:t>
            </w:r>
            <w:proofErr w:type="spellStart"/>
            <w:r w:rsidRPr="001054FF">
              <w:rPr>
                <w:rFonts w:cs="Times New Roman"/>
                <w:sz w:val="26"/>
                <w:szCs w:val="26"/>
              </w:rPr>
              <w:t>sarcolemmal</w:t>
            </w:r>
            <w:proofErr w:type="spellEnd"/>
            <w:r w:rsidRPr="001054FF">
              <w:rPr>
                <w:rFonts w:cs="Times New Roman"/>
                <w:sz w:val="26"/>
                <w:szCs w:val="26"/>
              </w:rPr>
              <w:t xml:space="preserve"> stress</w:t>
            </w:r>
          </w:p>
        </w:tc>
      </w:tr>
      <w:tr w:rsidR="00BE4770" w:rsidRPr="001054FF" w14:paraId="222C8F68" w14:textId="77777777">
        <w:trPr>
          <w:jc w:val="center"/>
        </w:trPr>
        <w:tc>
          <w:tcPr>
            <w:tcW w:w="2340" w:type="dxa"/>
            <w:shd w:val="clear" w:color="auto" w:fill="F5F8FA"/>
          </w:tcPr>
          <w:p w14:paraId="7947F042"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Arterial Blood Gas - pH</w:t>
            </w:r>
          </w:p>
        </w:tc>
        <w:tc>
          <w:tcPr>
            <w:tcW w:w="2340" w:type="dxa"/>
            <w:shd w:val="clear" w:color="auto" w:fill="F5F8FA"/>
          </w:tcPr>
          <w:p w14:paraId="57D9044B"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7.40</w:t>
            </w:r>
          </w:p>
        </w:tc>
        <w:tc>
          <w:tcPr>
            <w:tcW w:w="2340" w:type="dxa"/>
            <w:shd w:val="clear" w:color="auto" w:fill="F5F8FA"/>
          </w:tcPr>
          <w:p w14:paraId="3B8695E0"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7.35 – 7.45</w:t>
            </w:r>
          </w:p>
        </w:tc>
        <w:tc>
          <w:tcPr>
            <w:tcW w:w="2340" w:type="dxa"/>
            <w:shd w:val="clear" w:color="auto" w:fill="F5F8FA"/>
          </w:tcPr>
          <w:p w14:paraId="35308A0B"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Normal baseline systemic arterial pH</w:t>
            </w:r>
          </w:p>
        </w:tc>
      </w:tr>
      <w:tr w:rsidR="00BE4770" w:rsidRPr="001054FF" w14:paraId="0AB6A524" w14:textId="77777777">
        <w:trPr>
          <w:jc w:val="center"/>
        </w:trPr>
        <w:tc>
          <w:tcPr>
            <w:tcW w:w="2340" w:type="dxa"/>
          </w:tcPr>
          <w:p w14:paraId="2286403B"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Arterial pCO2 / pO2</w:t>
            </w:r>
          </w:p>
        </w:tc>
        <w:tc>
          <w:tcPr>
            <w:tcW w:w="2340" w:type="dxa"/>
          </w:tcPr>
          <w:p w14:paraId="135ADACC"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32 mmHg / 74 mmHg</w:t>
            </w:r>
          </w:p>
        </w:tc>
        <w:tc>
          <w:tcPr>
            <w:tcW w:w="2340" w:type="dxa"/>
          </w:tcPr>
          <w:p w14:paraId="1F8882E7"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35–45 mmHg / 80–100 mmHg</w:t>
            </w:r>
          </w:p>
        </w:tc>
        <w:tc>
          <w:tcPr>
            <w:tcW w:w="2340" w:type="dxa"/>
          </w:tcPr>
          <w:p w14:paraId="531293A3"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Mild compensatory hyperventilation; adequate oxygenation</w:t>
            </w:r>
          </w:p>
        </w:tc>
      </w:tr>
      <w:tr w:rsidR="00BE4770" w:rsidRPr="001054FF" w14:paraId="244B25F9" w14:textId="77777777">
        <w:trPr>
          <w:jc w:val="center"/>
        </w:trPr>
        <w:tc>
          <w:tcPr>
            <w:tcW w:w="2340" w:type="dxa"/>
            <w:shd w:val="clear" w:color="auto" w:fill="F5F8FA"/>
          </w:tcPr>
          <w:p w14:paraId="1BEA1026"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Arterial Potassium / Ionized Ca++</w:t>
            </w:r>
          </w:p>
        </w:tc>
        <w:tc>
          <w:tcPr>
            <w:tcW w:w="2340" w:type="dxa"/>
            <w:shd w:val="clear" w:color="auto" w:fill="F5F8FA"/>
          </w:tcPr>
          <w:p w14:paraId="7D7A52E0"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3.2 mmol/L / 0.70 mmol/L</w:t>
            </w:r>
          </w:p>
        </w:tc>
        <w:tc>
          <w:tcPr>
            <w:tcW w:w="2340" w:type="dxa"/>
            <w:shd w:val="clear" w:color="auto" w:fill="F5F8FA"/>
          </w:tcPr>
          <w:p w14:paraId="58CA49BE"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3.5–5.0 mmol/L / 1.15–1.33 mmol/L</w:t>
            </w:r>
          </w:p>
        </w:tc>
        <w:tc>
          <w:tcPr>
            <w:tcW w:w="2340" w:type="dxa"/>
            <w:shd w:val="clear" w:color="auto" w:fill="F5F8FA"/>
          </w:tcPr>
          <w:p w14:paraId="637BED4A"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Reduced ionized calcium; whole-blood analyzer variability</w:t>
            </w:r>
          </w:p>
        </w:tc>
      </w:tr>
      <w:tr w:rsidR="00BE4770" w:rsidRPr="001054FF" w14:paraId="21DE0CA8" w14:textId="77777777">
        <w:trPr>
          <w:jc w:val="center"/>
        </w:trPr>
        <w:tc>
          <w:tcPr>
            <w:tcW w:w="2340" w:type="dxa"/>
          </w:tcPr>
          <w:p w14:paraId="71FC7F1F"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Arterial Bicarbonate (HCO3-) / BE</w:t>
            </w:r>
          </w:p>
        </w:tc>
        <w:tc>
          <w:tcPr>
            <w:tcW w:w="2340" w:type="dxa"/>
          </w:tcPr>
          <w:p w14:paraId="7EA5B4E7"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19.8 mmol/L / -5.0 mmol/L</w:t>
            </w:r>
          </w:p>
        </w:tc>
        <w:tc>
          <w:tcPr>
            <w:tcW w:w="2340" w:type="dxa"/>
          </w:tcPr>
          <w:p w14:paraId="361A10CF"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22.0 – 26.0 mmol/L / -2 to +2</w:t>
            </w:r>
          </w:p>
        </w:tc>
        <w:tc>
          <w:tcPr>
            <w:tcW w:w="2340" w:type="dxa"/>
          </w:tcPr>
          <w:p w14:paraId="210397AA"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Mild metabolic compensation</w:t>
            </w:r>
          </w:p>
        </w:tc>
      </w:tr>
      <w:tr w:rsidR="00BE4770" w:rsidRPr="001054FF" w14:paraId="4A4F1008" w14:textId="77777777">
        <w:trPr>
          <w:jc w:val="center"/>
        </w:trPr>
        <w:tc>
          <w:tcPr>
            <w:tcW w:w="2340" w:type="dxa"/>
            <w:shd w:val="clear" w:color="auto" w:fill="F5F8FA"/>
          </w:tcPr>
          <w:p w14:paraId="5E984FD6"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Thyroid Stimulating Hormone (TSH)</w:t>
            </w:r>
          </w:p>
        </w:tc>
        <w:tc>
          <w:tcPr>
            <w:tcW w:w="2340" w:type="dxa"/>
            <w:shd w:val="clear" w:color="auto" w:fill="F5F8FA"/>
          </w:tcPr>
          <w:p w14:paraId="143BB789"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1.54 µIU/mL</w:t>
            </w:r>
          </w:p>
        </w:tc>
        <w:tc>
          <w:tcPr>
            <w:tcW w:w="2340" w:type="dxa"/>
            <w:shd w:val="clear" w:color="auto" w:fill="F5F8FA"/>
          </w:tcPr>
          <w:p w14:paraId="51FCC0BC"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0.3 – 4.2 µIU/mL</w:t>
            </w:r>
          </w:p>
        </w:tc>
        <w:tc>
          <w:tcPr>
            <w:tcW w:w="2340" w:type="dxa"/>
            <w:shd w:val="clear" w:color="auto" w:fill="F5F8FA"/>
          </w:tcPr>
          <w:p w14:paraId="687ACE73"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Euthyroid; excludes thyrotoxic periodic paralysis (TPP)</w:t>
            </w:r>
          </w:p>
        </w:tc>
      </w:tr>
      <w:tr w:rsidR="00BE4770" w:rsidRPr="001054FF" w14:paraId="52FB22CF" w14:textId="77777777">
        <w:trPr>
          <w:jc w:val="center"/>
        </w:trPr>
        <w:tc>
          <w:tcPr>
            <w:tcW w:w="2340" w:type="dxa"/>
          </w:tcPr>
          <w:p w14:paraId="5626DF38"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Total Thyroxine (T4) / T3</w:t>
            </w:r>
          </w:p>
        </w:tc>
        <w:tc>
          <w:tcPr>
            <w:tcW w:w="2340" w:type="dxa"/>
          </w:tcPr>
          <w:p w14:paraId="2C4E38CB"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7.22 µg/dL / 0.87 ng/mL</w:t>
            </w:r>
          </w:p>
        </w:tc>
        <w:tc>
          <w:tcPr>
            <w:tcW w:w="2340" w:type="dxa"/>
          </w:tcPr>
          <w:p w14:paraId="4FE5883B"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4.5–11.7 µg/dL / 0.8–2.0 ng/mL</w:t>
            </w:r>
          </w:p>
        </w:tc>
        <w:tc>
          <w:tcPr>
            <w:tcW w:w="2340" w:type="dxa"/>
          </w:tcPr>
          <w:p w14:paraId="33A81A06"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Normal thyroid hormone concentrations</w:t>
            </w:r>
          </w:p>
        </w:tc>
      </w:tr>
      <w:tr w:rsidR="00BE4770" w:rsidRPr="001054FF" w14:paraId="03F3E1A1" w14:textId="77777777">
        <w:trPr>
          <w:jc w:val="center"/>
        </w:trPr>
        <w:tc>
          <w:tcPr>
            <w:tcW w:w="2340" w:type="dxa"/>
            <w:shd w:val="clear" w:color="auto" w:fill="F5F8FA"/>
          </w:tcPr>
          <w:p w14:paraId="077335BF"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Complete Blood Count (TC / Hb)</w:t>
            </w:r>
          </w:p>
        </w:tc>
        <w:tc>
          <w:tcPr>
            <w:tcW w:w="2340" w:type="dxa"/>
            <w:shd w:val="clear" w:color="auto" w:fill="F5F8FA"/>
          </w:tcPr>
          <w:p w14:paraId="69E18BFE"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13,610 /µL / 14.2 g/dL</w:t>
            </w:r>
          </w:p>
        </w:tc>
        <w:tc>
          <w:tcPr>
            <w:tcW w:w="2340" w:type="dxa"/>
            <w:shd w:val="clear" w:color="auto" w:fill="F5F8FA"/>
          </w:tcPr>
          <w:p w14:paraId="0CC4848A"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4,000–11,000 /µL / 13.0–18.0 g/dL</w:t>
            </w:r>
          </w:p>
        </w:tc>
        <w:tc>
          <w:tcPr>
            <w:tcW w:w="2340" w:type="dxa"/>
            <w:shd w:val="clear" w:color="auto" w:fill="F5F8FA"/>
          </w:tcPr>
          <w:p w14:paraId="6A1D5FDF"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Mild leukocytosis (80% neutrophils); normal hemoglobin</w:t>
            </w:r>
          </w:p>
        </w:tc>
      </w:tr>
      <w:tr w:rsidR="00BE4770" w:rsidRPr="001054FF" w14:paraId="0665F9A5" w14:textId="77777777">
        <w:trPr>
          <w:jc w:val="center"/>
        </w:trPr>
        <w:tc>
          <w:tcPr>
            <w:tcW w:w="2340" w:type="dxa"/>
          </w:tcPr>
          <w:p w14:paraId="3E239B61"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Platelet Count / ESR</w:t>
            </w:r>
          </w:p>
        </w:tc>
        <w:tc>
          <w:tcPr>
            <w:tcW w:w="2340" w:type="dxa"/>
          </w:tcPr>
          <w:p w14:paraId="770CB36C"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2.78 Lakhs/µL / 35 mm/</w:t>
            </w:r>
            <w:proofErr w:type="spellStart"/>
            <w:r w:rsidRPr="001054FF">
              <w:rPr>
                <w:rFonts w:cs="Times New Roman"/>
                <w:sz w:val="26"/>
                <w:szCs w:val="26"/>
              </w:rPr>
              <w:t>hr</w:t>
            </w:r>
            <w:proofErr w:type="spellEnd"/>
          </w:p>
        </w:tc>
        <w:tc>
          <w:tcPr>
            <w:tcW w:w="2340" w:type="dxa"/>
          </w:tcPr>
          <w:p w14:paraId="3D4C389C"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1.5–4.5 Lakhs/µL / Up to 22 mm/</w:t>
            </w:r>
            <w:proofErr w:type="spellStart"/>
            <w:r w:rsidRPr="001054FF">
              <w:rPr>
                <w:rFonts w:cs="Times New Roman"/>
                <w:sz w:val="26"/>
                <w:szCs w:val="26"/>
              </w:rPr>
              <w:t>hr</w:t>
            </w:r>
            <w:proofErr w:type="spellEnd"/>
          </w:p>
        </w:tc>
        <w:tc>
          <w:tcPr>
            <w:tcW w:w="2340" w:type="dxa"/>
          </w:tcPr>
          <w:p w14:paraId="3024949C"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Mildly elevated inflammatory sedimentation rate</w:t>
            </w:r>
          </w:p>
        </w:tc>
      </w:tr>
      <w:tr w:rsidR="00BE4770" w:rsidRPr="001054FF" w14:paraId="0EC3CB5E" w14:textId="77777777">
        <w:trPr>
          <w:jc w:val="center"/>
        </w:trPr>
        <w:tc>
          <w:tcPr>
            <w:tcW w:w="2340" w:type="dxa"/>
            <w:shd w:val="clear" w:color="auto" w:fill="F5F8FA"/>
          </w:tcPr>
          <w:p w14:paraId="1126E1AC"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Serum Creatinine / Urea</w:t>
            </w:r>
          </w:p>
        </w:tc>
        <w:tc>
          <w:tcPr>
            <w:tcW w:w="2340" w:type="dxa"/>
            <w:shd w:val="clear" w:color="auto" w:fill="F5F8FA"/>
          </w:tcPr>
          <w:p w14:paraId="1BAC35D7"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1.33 mg/dL / 32.2 mg/dL</w:t>
            </w:r>
          </w:p>
        </w:tc>
        <w:tc>
          <w:tcPr>
            <w:tcW w:w="2340" w:type="dxa"/>
            <w:shd w:val="clear" w:color="auto" w:fill="F5F8FA"/>
          </w:tcPr>
          <w:p w14:paraId="389A2EFB"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0.72–1.18 mg/dL / 17.0–43.0 mg/dL</w:t>
            </w:r>
          </w:p>
        </w:tc>
        <w:tc>
          <w:tcPr>
            <w:tcW w:w="2340" w:type="dxa"/>
            <w:shd w:val="clear" w:color="auto" w:fill="F5F8FA"/>
          </w:tcPr>
          <w:p w14:paraId="0E091DAA"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Mild transient prerenal/creatinine elevation; urea normal</w:t>
            </w:r>
          </w:p>
        </w:tc>
      </w:tr>
      <w:tr w:rsidR="00BE4770" w:rsidRPr="001054FF" w14:paraId="1BCD6E2C" w14:textId="77777777">
        <w:trPr>
          <w:jc w:val="center"/>
        </w:trPr>
        <w:tc>
          <w:tcPr>
            <w:tcW w:w="2340" w:type="dxa"/>
          </w:tcPr>
          <w:p w14:paraId="085D8901"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Liver Enzymes (AST / ALT / ALP)</w:t>
            </w:r>
          </w:p>
        </w:tc>
        <w:tc>
          <w:tcPr>
            <w:tcW w:w="2340" w:type="dxa"/>
          </w:tcPr>
          <w:p w14:paraId="075D9327"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31.0 / 24.2 / 75.9 U/L</w:t>
            </w:r>
          </w:p>
        </w:tc>
        <w:tc>
          <w:tcPr>
            <w:tcW w:w="2340" w:type="dxa"/>
          </w:tcPr>
          <w:p w14:paraId="2BE303F4"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&lt;50 U/L / &lt;50 U/L / 30–120 U/L</w:t>
            </w:r>
          </w:p>
        </w:tc>
        <w:tc>
          <w:tcPr>
            <w:tcW w:w="2340" w:type="dxa"/>
          </w:tcPr>
          <w:p w14:paraId="3F1B77BD"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Preserved hepatic parenchymal and canalicular integrity</w:t>
            </w:r>
          </w:p>
        </w:tc>
      </w:tr>
      <w:tr w:rsidR="00BE4770" w:rsidRPr="001054FF" w14:paraId="7714092D" w14:textId="77777777">
        <w:trPr>
          <w:jc w:val="center"/>
        </w:trPr>
        <w:tc>
          <w:tcPr>
            <w:tcW w:w="2340" w:type="dxa"/>
            <w:shd w:val="clear" w:color="auto" w:fill="F5F8FA"/>
          </w:tcPr>
          <w:p w14:paraId="33083FAA"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lastRenderedPageBreak/>
              <w:t>Total Bilirubin / Albumin</w:t>
            </w:r>
          </w:p>
        </w:tc>
        <w:tc>
          <w:tcPr>
            <w:tcW w:w="2340" w:type="dxa"/>
            <w:shd w:val="clear" w:color="auto" w:fill="F5F8FA"/>
          </w:tcPr>
          <w:p w14:paraId="5E7F20A4"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0.5 mg/dL / 3.9 g/dL</w:t>
            </w:r>
          </w:p>
        </w:tc>
        <w:tc>
          <w:tcPr>
            <w:tcW w:w="2340" w:type="dxa"/>
            <w:shd w:val="clear" w:color="auto" w:fill="F5F8FA"/>
          </w:tcPr>
          <w:p w14:paraId="4E142325"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0.3–1.2 mg/dL / 3.5–5.2 g/dL</w:t>
            </w:r>
          </w:p>
        </w:tc>
        <w:tc>
          <w:tcPr>
            <w:tcW w:w="2340" w:type="dxa"/>
            <w:shd w:val="clear" w:color="auto" w:fill="F5F8FA"/>
          </w:tcPr>
          <w:p w14:paraId="75952E09"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Normal synthetic and excretory hepatic function</w:t>
            </w:r>
          </w:p>
        </w:tc>
      </w:tr>
      <w:tr w:rsidR="00BE4770" w:rsidRPr="001054FF" w14:paraId="5BE85774" w14:textId="77777777">
        <w:trPr>
          <w:jc w:val="center"/>
        </w:trPr>
        <w:tc>
          <w:tcPr>
            <w:tcW w:w="2340" w:type="dxa"/>
          </w:tcPr>
          <w:p w14:paraId="56B0F191"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C-Reactive Protein (CRP)</w:t>
            </w:r>
          </w:p>
        </w:tc>
        <w:tc>
          <w:tcPr>
            <w:tcW w:w="2340" w:type="dxa"/>
          </w:tcPr>
          <w:p w14:paraId="5D302902"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3.20 mg/L</w:t>
            </w:r>
          </w:p>
        </w:tc>
        <w:tc>
          <w:tcPr>
            <w:tcW w:w="2340" w:type="dxa"/>
          </w:tcPr>
          <w:p w14:paraId="1BA209B2"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&lt; 5.0 mg/L</w:t>
            </w:r>
          </w:p>
        </w:tc>
        <w:tc>
          <w:tcPr>
            <w:tcW w:w="2340" w:type="dxa"/>
          </w:tcPr>
          <w:p w14:paraId="325AAE95"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Negative; excludes active acute infectious syndrome</w:t>
            </w:r>
          </w:p>
        </w:tc>
      </w:tr>
      <w:tr w:rsidR="00BE4770" w:rsidRPr="001054FF" w14:paraId="2951D001" w14:textId="77777777">
        <w:trPr>
          <w:jc w:val="center"/>
        </w:trPr>
        <w:tc>
          <w:tcPr>
            <w:tcW w:w="2340" w:type="dxa"/>
            <w:shd w:val="clear" w:color="auto" w:fill="F5F8FA"/>
          </w:tcPr>
          <w:p w14:paraId="7B6FE85C"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Viral Serology (HBsAg / HCV / HIV)</w:t>
            </w:r>
          </w:p>
        </w:tc>
        <w:tc>
          <w:tcPr>
            <w:tcW w:w="2340" w:type="dxa"/>
            <w:shd w:val="clear" w:color="auto" w:fill="F5F8FA"/>
          </w:tcPr>
          <w:p w14:paraId="0F320EDB"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Reactive / Non-reactive / Non-reactive</w:t>
            </w:r>
          </w:p>
        </w:tc>
        <w:tc>
          <w:tcPr>
            <w:tcW w:w="2340" w:type="dxa"/>
            <w:shd w:val="clear" w:color="auto" w:fill="F5F8FA"/>
          </w:tcPr>
          <w:p w14:paraId="0E709DBC"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Non-reactive</w:t>
            </w:r>
          </w:p>
        </w:tc>
        <w:tc>
          <w:tcPr>
            <w:tcW w:w="2340" w:type="dxa"/>
            <w:shd w:val="clear" w:color="auto" w:fill="F5F8FA"/>
          </w:tcPr>
          <w:p w14:paraId="115FF54A"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Incidental chronic/asymptomatic Hepatitis B surface antigen</w:t>
            </w:r>
          </w:p>
        </w:tc>
      </w:tr>
      <w:tr w:rsidR="00BE4770" w:rsidRPr="001054FF" w14:paraId="4CB8FD60" w14:textId="77777777">
        <w:trPr>
          <w:jc w:val="center"/>
        </w:trPr>
        <w:tc>
          <w:tcPr>
            <w:tcW w:w="2340" w:type="dxa"/>
          </w:tcPr>
          <w:p w14:paraId="42A59213"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Urine pH / Specific Gravity</w:t>
            </w:r>
          </w:p>
        </w:tc>
        <w:tc>
          <w:tcPr>
            <w:tcW w:w="2340" w:type="dxa"/>
          </w:tcPr>
          <w:p w14:paraId="64E1C954"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8.0 / 1.015</w:t>
            </w:r>
          </w:p>
        </w:tc>
        <w:tc>
          <w:tcPr>
            <w:tcW w:w="2340" w:type="dxa"/>
          </w:tcPr>
          <w:p w14:paraId="44F580F8"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4.6–8.0 / 1.003–1.030</w:t>
            </w:r>
          </w:p>
        </w:tc>
        <w:tc>
          <w:tcPr>
            <w:tcW w:w="2340" w:type="dxa"/>
          </w:tcPr>
          <w:p w14:paraId="196181B0" w14:textId="77777777" w:rsidR="00BE4770" w:rsidRPr="001054FF" w:rsidRDefault="00913729" w:rsidP="001E0EDF">
            <w:pPr>
              <w:spacing w:before="40" w:after="40" w:line="252" w:lineRule="auto"/>
              <w:jc w:val="both"/>
              <w:rPr>
                <w:rFonts w:cs="Times New Roman"/>
                <w:sz w:val="26"/>
                <w:szCs w:val="26"/>
              </w:rPr>
            </w:pPr>
            <w:r w:rsidRPr="001054FF">
              <w:rPr>
                <w:rFonts w:cs="Times New Roman"/>
                <w:sz w:val="26"/>
                <w:szCs w:val="26"/>
              </w:rPr>
              <w:t>Alkaline urine; nil casts, proteinuria, or glucosuria</w:t>
            </w:r>
          </w:p>
        </w:tc>
      </w:tr>
    </w:tbl>
    <w:p w14:paraId="6FDD2DCE" w14:textId="77777777" w:rsidR="00F60DA7" w:rsidRPr="001054FF" w:rsidRDefault="00F60DA7" w:rsidP="001E0EDF">
      <w:pPr>
        <w:keepNext/>
        <w:spacing w:before="200" w:after="80"/>
        <w:jc w:val="both"/>
        <w:rPr>
          <w:rFonts w:cs="Times New Roman"/>
          <w:b/>
          <w:color w:val="000000" w:themeColor="text1"/>
          <w:sz w:val="26"/>
          <w:szCs w:val="26"/>
        </w:rPr>
      </w:pPr>
    </w:p>
    <w:p w14:paraId="13332130" w14:textId="77777777" w:rsidR="00F60DA7" w:rsidRPr="001054FF" w:rsidRDefault="00F60DA7" w:rsidP="001E0EDF">
      <w:pPr>
        <w:keepNext/>
        <w:spacing w:before="200" w:after="80"/>
        <w:jc w:val="both"/>
        <w:rPr>
          <w:rFonts w:cs="Times New Roman"/>
          <w:b/>
          <w:color w:val="000000" w:themeColor="text1"/>
          <w:sz w:val="26"/>
          <w:szCs w:val="26"/>
        </w:rPr>
      </w:pPr>
    </w:p>
    <w:p w14:paraId="2B8CF0E7" w14:textId="77777777" w:rsidR="00F60DA7" w:rsidRPr="001054FF" w:rsidRDefault="00913729" w:rsidP="001E0EDF">
      <w:pPr>
        <w:keepNext/>
        <w:spacing w:before="200" w:after="80"/>
        <w:jc w:val="both"/>
        <w:rPr>
          <w:rFonts w:cs="Times New Roman"/>
          <w:color w:val="000000" w:themeColor="text1"/>
          <w:sz w:val="26"/>
          <w:szCs w:val="26"/>
          <w:lang w:val="en-IN"/>
        </w:rPr>
      </w:pPr>
      <w:r w:rsidRPr="001054FF">
        <w:rPr>
          <w:sz w:val="26"/>
        </w:rPr>
        <w:t>2.4 Electrocardiographic Evaluation The standard 12-lead ECG, recorded at a paper speed of 25 mm/s and calibration of 10 mm/mV (Figure 1), showed marked changes associated with severe hypokalaemia. The baseline rhythm was sinus rhythm at a ventricular rate of 66 beats/min. The PR interval measured 182 ms, the QRS duration was 124 ms, and frontal-plane left-axis deviation was -26 degrees. The QT/QTc interval was prolonged at 476/487 ms (Hodges calculation). ST-segment depression was present, and the T waves were flattened or inverted in the inferolateral and precordial leads (II, III, aVF, V3-V6). Prominent pathological U waves merged with the T waves, producing a pseudo-prolonged QT/QU morphology. These findings were clinically important because severe hypokalaemia may increase the risk of ventricular arrhythmias.</w:t>
      </w:r>
    </w:p>
    <w:p w14:paraId="590285D0" w14:textId="77777777" w:rsidR="00F60DA7" w:rsidRPr="001054FF" w:rsidRDefault="00F60DA7" w:rsidP="001E0EDF">
      <w:pPr>
        <w:keepNext/>
        <w:spacing w:before="200" w:after="80"/>
        <w:jc w:val="both"/>
        <w:rPr>
          <w:rFonts w:cs="Times New Roman"/>
          <w:color w:val="000000" w:themeColor="text1"/>
          <w:sz w:val="26"/>
          <w:szCs w:val="26"/>
          <w:lang w:val="en-IN"/>
        </w:rPr>
      </w:pPr>
    </w:p>
    <w:p w14:paraId="50D469BB" w14:textId="77777777" w:rsidR="00F60DA7" w:rsidRPr="001054FF" w:rsidRDefault="00F60DA7" w:rsidP="001E0EDF">
      <w:pPr>
        <w:keepNext/>
        <w:spacing w:before="200" w:after="80"/>
        <w:jc w:val="both"/>
        <w:rPr>
          <w:rFonts w:cs="Times New Roman"/>
          <w:color w:val="000000" w:themeColor="text1"/>
          <w:sz w:val="26"/>
          <w:szCs w:val="26"/>
          <w:lang w:val="en-IN"/>
        </w:rPr>
      </w:pPr>
    </w:p>
    <w:p w14:paraId="7FE91DB8" w14:textId="77777777" w:rsidR="00F60DA7" w:rsidRPr="001054FF" w:rsidRDefault="00F60DA7" w:rsidP="001E0EDF">
      <w:pPr>
        <w:keepNext/>
        <w:spacing w:before="200" w:after="80"/>
        <w:jc w:val="both"/>
        <w:rPr>
          <w:rFonts w:cs="Times New Roman"/>
          <w:color w:val="000000" w:themeColor="text1"/>
          <w:sz w:val="26"/>
          <w:szCs w:val="26"/>
          <w:lang w:val="en-IN"/>
        </w:rPr>
        <w:sectPr w:rsidR="00F60DA7" w:rsidRPr="001054FF" w:rsidSect="00034616">
          <w:pgSz w:w="12240" w:h="15840"/>
          <w:pgMar w:top="1440" w:right="1440" w:bottom="1440" w:left="1440" w:header="720" w:footer="720" w:gutter="0"/>
          <w:cols w:space="720"/>
          <w:docGrid w:linePitch="360"/>
        </w:sectPr>
      </w:pPr>
    </w:p>
    <w:p w14:paraId="2D26268A" w14:textId="77777777" w:rsidR="00101209" w:rsidRPr="001054FF" w:rsidRDefault="00101209" w:rsidP="001E0EDF">
      <w:pPr>
        <w:keepNext/>
        <w:spacing w:before="200" w:after="80"/>
        <w:jc w:val="both"/>
        <w:rPr>
          <w:rFonts w:cs="Times New Roman"/>
          <w:color w:val="000000" w:themeColor="text1"/>
          <w:sz w:val="26"/>
          <w:szCs w:val="26"/>
        </w:rPr>
      </w:pPr>
    </w:p>
    <w:p w14:paraId="2BA13801" w14:textId="77777777" w:rsidR="00BE4770" w:rsidRPr="001054FF" w:rsidRDefault="00913729" w:rsidP="001E0EDF">
      <w:pPr>
        <w:spacing w:before="160" w:after="80"/>
        <w:jc w:val="both"/>
        <w:rPr>
          <w:rFonts w:cs="Times New Roman"/>
          <w:sz w:val="26"/>
          <w:szCs w:val="26"/>
        </w:rPr>
      </w:pPr>
      <w:r w:rsidRPr="001054FF">
        <w:rPr>
          <w:rFonts w:cs="Times New Roman"/>
          <w:noProof/>
          <w:sz w:val="26"/>
          <w:szCs w:val="26"/>
        </w:rPr>
        <w:drawing>
          <wp:inline distT="0" distB="0" distL="0" distR="0" wp14:anchorId="77C9256B" wp14:editId="7AAD79B2">
            <wp:extent cx="5669280" cy="39750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g_cropped.png"/>
                    <pic:cNvPicPr/>
                  </pic:nvPicPr>
                  <pic:blipFill>
                    <a:blip r:embed="rId14"/>
                    <a:stretch>
                      <a:fillRect/>
                    </a:stretch>
                  </pic:blipFill>
                  <pic:spPr>
                    <a:xfrm>
                      <a:off x="0" y="0"/>
                      <a:ext cx="5669280" cy="3975012"/>
                    </a:xfrm>
                    <a:prstGeom prst="rect">
                      <a:avLst/>
                    </a:prstGeom>
                  </pic:spPr>
                </pic:pic>
              </a:graphicData>
            </a:graphic>
          </wp:inline>
        </w:drawing>
      </w:r>
    </w:p>
    <w:p w14:paraId="62EE36DB" w14:textId="77777777" w:rsidR="00BE4770" w:rsidRPr="001054FF" w:rsidRDefault="00913729" w:rsidP="001E0EDF">
      <w:pPr>
        <w:spacing w:after="240"/>
        <w:jc w:val="both"/>
        <w:rPr>
          <w:rFonts w:cs="Times New Roman"/>
          <w:sz w:val="26"/>
          <w:szCs w:val="26"/>
        </w:rPr>
      </w:pPr>
      <w:r w:rsidRPr="001054FF">
        <w:rPr>
          <w:rFonts w:cs="Times New Roman"/>
          <w:b/>
          <w:sz w:val="26"/>
          <w:szCs w:val="26"/>
        </w:rPr>
        <w:t>Figure 1: 12-Lead Electrocardiogram at Presentation (Recorded at 25 mm/s, 10 mm/mV).</w:t>
      </w:r>
      <w:r w:rsidRPr="001054FF">
        <w:rPr>
          <w:rFonts w:cs="Times New Roman"/>
          <w:i/>
          <w:sz w:val="26"/>
          <w:szCs w:val="26"/>
        </w:rPr>
        <w:br/>
      </w:r>
      <w:r w:rsidRPr="001054FF">
        <w:rPr>
          <w:rFonts w:cs="Times New Roman"/>
          <w:iCs/>
          <w:sz w:val="26"/>
          <w:szCs w:val="26"/>
        </w:rPr>
        <w:t xml:space="preserve">Demonstrates normal sinus rhythm (66 bpm), prolonged PR interval (182 </w:t>
      </w:r>
      <w:proofErr w:type="spellStart"/>
      <w:r w:rsidRPr="001054FF">
        <w:rPr>
          <w:rFonts w:cs="Times New Roman"/>
          <w:iCs/>
          <w:sz w:val="26"/>
          <w:szCs w:val="26"/>
        </w:rPr>
        <w:t>ms</w:t>
      </w:r>
      <w:proofErr w:type="spellEnd"/>
      <w:r w:rsidRPr="001054FF">
        <w:rPr>
          <w:rFonts w:cs="Times New Roman"/>
          <w:iCs/>
          <w:sz w:val="26"/>
          <w:szCs w:val="26"/>
        </w:rPr>
        <w:t xml:space="preserve">), widened QRS complex (124 </w:t>
      </w:r>
      <w:proofErr w:type="spellStart"/>
      <w:r w:rsidRPr="001054FF">
        <w:rPr>
          <w:rFonts w:cs="Times New Roman"/>
          <w:iCs/>
          <w:sz w:val="26"/>
          <w:szCs w:val="26"/>
        </w:rPr>
        <w:t>ms</w:t>
      </w:r>
      <w:proofErr w:type="spellEnd"/>
      <w:r w:rsidRPr="001054FF">
        <w:rPr>
          <w:rFonts w:cs="Times New Roman"/>
          <w:iCs/>
          <w:sz w:val="26"/>
          <w:szCs w:val="26"/>
        </w:rPr>
        <w:t xml:space="preserve">), marked QTc prolongation (487 </w:t>
      </w:r>
      <w:proofErr w:type="spellStart"/>
      <w:r w:rsidRPr="001054FF">
        <w:rPr>
          <w:rFonts w:cs="Times New Roman"/>
          <w:iCs/>
          <w:sz w:val="26"/>
          <w:szCs w:val="26"/>
        </w:rPr>
        <w:t>ms</w:t>
      </w:r>
      <w:proofErr w:type="spellEnd"/>
      <w:r w:rsidRPr="001054FF">
        <w:rPr>
          <w:rFonts w:cs="Times New Roman"/>
          <w:iCs/>
          <w:sz w:val="26"/>
          <w:szCs w:val="26"/>
        </w:rPr>
        <w:t>), ST-segment depression in inferolateral leads, and towering pathological U waves fused with flattened T waves indicative of severe hypokalemia (serum K+ 1.7 mmol/L).</w:t>
      </w:r>
    </w:p>
    <w:p w14:paraId="67BB6E1C" w14:textId="77777777" w:rsidR="00BE4770" w:rsidRPr="001054FF" w:rsidRDefault="00913729" w:rsidP="001E0EDF">
      <w:pPr>
        <w:keepNext/>
        <w:spacing w:before="200" w:after="80"/>
        <w:jc w:val="both"/>
        <w:rPr>
          <w:rFonts w:cs="Times New Roman"/>
          <w:b/>
          <w:color w:val="000000" w:themeColor="text1"/>
          <w:sz w:val="26"/>
          <w:szCs w:val="26"/>
        </w:rPr>
      </w:pPr>
      <w:r w:rsidRPr="001054FF">
        <w:rPr>
          <w:rFonts w:cs="Times New Roman"/>
          <w:b/>
          <w:color w:val="000000" w:themeColor="text1"/>
          <w:sz w:val="26"/>
          <w:szCs w:val="26"/>
        </w:rPr>
        <w:t>2.5 Therapeutic Intervention, Hospital Course, and Clinical Outcome</w:t>
      </w:r>
    </w:p>
    <w:p w14:paraId="1C7C205C" w14:textId="77777777" w:rsidR="006A1212" w:rsidRPr="001054FF" w:rsidRDefault="006A1212" w:rsidP="001E0EDF">
      <w:pPr>
        <w:keepNext/>
        <w:spacing w:before="200" w:after="80"/>
        <w:jc w:val="both"/>
        <w:rPr>
          <w:rFonts w:cs="Times New Roman"/>
          <w:sz w:val="26"/>
          <w:szCs w:val="26"/>
          <w:lang w:val="en-IN"/>
        </w:rPr>
      </w:pPr>
      <w:r w:rsidRPr="001054FF">
        <w:rPr>
          <w:sz w:val="26"/>
        </w:rPr>
        <w:t xml:space="preserve">In view of profound hypokalaemia (serum potassium 1.7 mmol/L), severe quadriparesis, and marked ECG changes, potassium replacement was initiated under continuous cardiac telemetry in the CIC/neuro-intermediate unit. The patient received 40 mEq potassium chloride in 500 mL 0.9% normal saline intravenously at 10 mEq/h for 4 hours through a separate IV line. Dextrose-containing solutions were avoided because an insulin-mediated intracellular potassium shift could worsen the hypokalaemia. Oral potassium (KCl syrup/elixir) was also administered at 20 mEq PO three times daily. Supportive treatment included intravenous pantoprazole 40 mg daily and intravenous multivitamins. Neurological recovery after potassium replacement was rapid. Within 8 hours of </w:t>
      </w:r>
      <w:r w:rsidRPr="001054FF">
        <w:rPr>
          <w:sz w:val="26"/>
        </w:rPr>
        <w:lastRenderedPageBreak/>
        <w:t>intravenous KCl administration, upper-limb strength improved to 4+/5 and lower-limb strength to 4/5. By 24 hours after admission, on the morning of 03/09/2026, serum potassium had increased to 2.1 mmol/L and motor power in all proximal and distal muscle groups of the upper and lower limbs had recovered to 5/5. The patient could perform active dorsiflexion and plantar flexion against significant resistance with full range of motion, ambulate without assistance, sit on the bed, and stand independently. ST-segment changes improved, U waves were attenuated, and QTc normalisation was observed. Maintenance oral KCl was prescribed, dietary potassium intake was advised, and the patient was counselled to avoid strenuous exercise for several weeks. A gastroenterology/hepatology referral was made for follow-up of the incidental reactive HBsAg result. At the 4-week post-discharge follow-up visit, the patient remained asymptomatic; serum potassium was 4.3 mmol/L and limb strength remained intact.</w:t>
      </w:r>
    </w:p>
    <w:p w14:paraId="60F22A62" w14:textId="77777777" w:rsidR="00BE4770" w:rsidRPr="001054FF" w:rsidRDefault="00913729" w:rsidP="001E0EDF">
      <w:pPr>
        <w:keepNext/>
        <w:spacing w:before="320" w:after="120"/>
        <w:jc w:val="both"/>
        <w:rPr>
          <w:rFonts w:cs="Times New Roman"/>
          <w:b/>
          <w:color w:val="000000" w:themeColor="text1"/>
          <w:sz w:val="26"/>
          <w:szCs w:val="26"/>
        </w:rPr>
      </w:pPr>
      <w:r w:rsidRPr="001054FF">
        <w:rPr>
          <w:rFonts w:cs="Times New Roman"/>
          <w:b/>
          <w:color w:val="000000" w:themeColor="text1"/>
          <w:sz w:val="26"/>
          <w:szCs w:val="26"/>
        </w:rPr>
        <w:t>3. DISCUSSION</w:t>
      </w:r>
    </w:p>
    <w:p w14:paraId="4550DDF3" w14:textId="77777777" w:rsidR="003A4BD1" w:rsidRPr="001054FF" w:rsidRDefault="003A4BD1" w:rsidP="001E0EDF">
      <w:pPr>
        <w:keepNext/>
        <w:spacing w:before="320" w:after="120"/>
        <w:jc w:val="both"/>
        <w:rPr>
          <w:rFonts w:cs="Times New Roman"/>
          <w:sz w:val="26"/>
          <w:szCs w:val="26"/>
          <w:lang w:val="en-IN"/>
        </w:rPr>
      </w:pPr>
      <w:r w:rsidRPr="001054FF">
        <w:rPr>
          <w:sz w:val="26"/>
        </w:rPr>
        <w:t>Acute hypokalaemic periodic paralysis is a dramatic but potentially reversible neurological and acute-care emergency (Statland et al., 2018; Venance et al., 2006). It presents with episodic, reversible flaccid quadriparesis or paraparesis and, when severe or unrecognised, may be associated with serious complications, including ventricular arrhythmias, rhabdomyolysis, and respiratory compromise (Cannon, 2015; Jain et al., 2011). Although classically described as an inherited ion-channel disorder of younger individuals, acute hypokalaemic paralysis may also occur sporadically or secondary to acquired metabolic abnormalities in middle-aged and older adults (Kung, 2006; Sardar et al., 2019). The present case had several clinically important atypical features: onset at 55 years of age, a serum potassium nadir of 1.7 mmol/L, marked electrocardiographic changes, and preserved deep tendon reflexes despite severe quadriparesis.</w:t>
      </w:r>
      <w:r w:rsidRPr="001054FF">
        <w:rPr>
          <w:sz w:val="26"/>
        </w:rPr>
        <w:br/>
      </w:r>
      <w:r w:rsidRPr="001054FF">
        <w:rPr>
          <w:sz w:val="26"/>
        </w:rPr>
        <w:br/>
        <w:t xml:space="preserve">The preservation of deep tendon reflexes is the most clinically distinctive feature of this case. Classical descriptions of severe hypokalaemic paralysis emphasise flaccidity with reduced or absent reflexes (Kayal et al., 2013; Ruff, 1999). Changes in extracellular potassium alter the resting membrane potential, while channel defects in HypoPP can produce paradoxical sustained sarcolemmal depolarisation and electrical inexcitability (Lehmann-Horn et al., 2002). In channelopathies involving CaV1.1 (CACNA1S) or NaV1.4 (SCN4A), aberrant voltage-sensor or gating-pore currents can contribute to persistent depolarisation and inactivation of voltage-gated sodium channels, resulting in depolarisation block (Bulman et al., 1999; Jurkat-Rott et al., 2012; Struyk &amp; Cannon, 2007). Despite lower-limb power of only 2-3/5, this patient's tendon reflexes remained 2+ </w:t>
      </w:r>
      <w:r w:rsidRPr="001054FF">
        <w:rPr>
          <w:sz w:val="26"/>
        </w:rPr>
        <w:t>and fully preserved. Severe peripheral neuropathies such as Guillain-Barré syndrome usually alter reflexes, although retained reflexes can occur in recognised variants (Ropper, 1992; Wakerley &amp; Yuki, 2015). In hypokalaemic paralysis, preserved reflex arcs may therefore coexist with profound muscle weakness (Sardar et al., 2019). Reliance on reflex status alone may consequently delay recognition of an immediately treatable electrolyte abnormality (Ahlawat &amp; Sachdev, 1999; Weber &amp; Lehmann-Horn, 2018).</w:t>
      </w:r>
      <w:r w:rsidRPr="001054FF">
        <w:rPr>
          <w:sz w:val="26"/>
        </w:rPr>
        <w:br/>
      </w:r>
      <w:r w:rsidRPr="001054FF">
        <w:rPr>
          <w:sz w:val="26"/>
        </w:rPr>
        <w:br/>
        <w:t>Guillain-Barré syndrome is an important differential diagnosis in adults presenting with rapidly progressive symmetrical flaccid quadriparesis (Ropper, 1992; Willison et al., 2016). Both conditions can produce marked limb weakness, but Guillain-Barré syndrome more commonly evolves over days, is typically associated with diminished reflexes, and may include sensory or autonomic abnormalities. Diagnostic mimics and atypical reflex patterns should nevertheless be considered when evaluating acute weakness (Wakerley &amp; Yuki, 2015). Tick paralysis is another differential diagnosis and may differ in its pattern of progression and cranial-nerve involvement (Edlow &amp; McGillicuddy, 2008; Statland et al., 2018).</w:t>
      </w:r>
      <w:r w:rsidRPr="001054FF">
        <w:rPr>
          <w:sz w:val="26"/>
        </w:rPr>
        <w:br/>
      </w:r>
      <w:r w:rsidRPr="001054FF">
        <w:rPr>
          <w:sz w:val="26"/>
        </w:rPr>
        <w:br/>
        <w:t>The ECG abnormalities in this patient were clinically valuable. Hypokalaemia alters cardiac repolarisation and conduction and may produce flattened or inverted T waves, ST-segment depression, apparent QT/QU prolongation, and prominent U waves (Diercks et al., 2004; Levis, 2012; Surawicz, 1967). In this case, the QTc was 487 ms and prominent U waves merged with T waves in the precordial and inferior leads (Figure 1). Such abnormalities can provide an early bedside clue to severe hypokalaemia while laboratory confirmation is pending and are important because profound hypokalaemia may predispose to ventricular arrhythmias.</w:t>
      </w:r>
      <w:r w:rsidRPr="001054FF">
        <w:rPr>
          <w:sz w:val="26"/>
        </w:rPr>
        <w:br/>
      </w:r>
      <w:r w:rsidRPr="001054FF">
        <w:rPr>
          <w:sz w:val="26"/>
        </w:rPr>
        <w:br/>
        <w:t xml:space="preserve">Thyrotoxic periodic paralysis is an important secondary cause of hypokalaemic paralysis, particularly in Asian populations, and is related to increased Na+/K+-ATPase activity and intracellular potassium shifting (Maciel et al., 2011; Ryan et al., 2010). In the present patient, the thyroid profile was within the stated reference ranges and therefore did not support thyrotoxic periodic paralysis. The available urinary, arterial blood-gas, and historical data also did not identify diuretic or laxative misuse or a documented alternative renal/endocrine cause in the submitted record (Gennari, 1998; Koul et al., 2005). The mildly elevated creatine kinase concentration of 348 U/L was compatible with limited muscle injury in the setting of severe hypokalaemia and was not accompanied by documented frank rhabdomyolysis (Jain et al., 2011; Knochel, 1982). The reactive hepatitis B surface-antigen result was treated as an incidental finding and was referred for </w:t>
      </w:r>
      <w:r w:rsidRPr="001054FF">
        <w:rPr>
          <w:sz w:val="26"/>
        </w:rPr>
        <w:t>specialist follow-up (Lok &amp; McMahon, 2009).</w:t>
      </w:r>
      <w:r w:rsidRPr="001054FF">
        <w:rPr>
          <w:sz w:val="26"/>
        </w:rPr>
        <w:br/>
      </w:r>
      <w:r w:rsidRPr="001054FF">
        <w:rPr>
          <w:sz w:val="26"/>
        </w:rPr>
        <w:br/>
        <w:t>Careful potassium replacement is important in acute hypokalaemic periodic paralysis because rebound hyperkalaemia may occur as potassium shifts redistribute during recovery (Lu et al., 2004; Manoukian et al., 1999). Potassium administration should therefore be controlled and accompanied by appropriate monitoring, particularly when severe hypokalaemia and ECG abnormalities are present (Clausen, 2003; Sansone et al., 2016). Dextrose-containing solutions were avoided in this case because insulin-mediated intracellular potassium movement could aggravate hypokalaemia (Clausen, 2003). The patient received 40 mEq intravenous KCl over 4 hours under continuous cardiac monitoring and recovered to premorbid motor power within 24 hours, without documented rebound hyperkalaemia or cardiac arrhythmia.</w:t>
      </w:r>
    </w:p>
    <w:p w14:paraId="4A5F7FC7" w14:textId="77777777" w:rsidR="00BE4770" w:rsidRPr="001054FF" w:rsidRDefault="00913729" w:rsidP="001E0EDF">
      <w:pPr>
        <w:keepNext/>
        <w:spacing w:before="320" w:after="120"/>
        <w:jc w:val="both"/>
        <w:rPr>
          <w:rFonts w:cs="Times New Roman"/>
          <w:b/>
          <w:color w:val="000000" w:themeColor="text1"/>
          <w:sz w:val="26"/>
          <w:szCs w:val="26"/>
        </w:rPr>
      </w:pPr>
      <w:r w:rsidRPr="001054FF">
        <w:rPr>
          <w:rFonts w:cs="Times New Roman"/>
          <w:b/>
          <w:color w:val="000000" w:themeColor="text1"/>
          <w:sz w:val="26"/>
          <w:szCs w:val="26"/>
        </w:rPr>
        <w:t>4. CONCLUSION</w:t>
      </w:r>
    </w:p>
    <w:p w14:paraId="077045EB" w14:textId="77777777" w:rsidR="001E0EDF" w:rsidRPr="001054FF" w:rsidRDefault="001E0EDF" w:rsidP="001E0EDF">
      <w:pPr>
        <w:keepNext/>
        <w:spacing w:before="320" w:after="120"/>
        <w:jc w:val="both"/>
      </w:pPr>
      <w:r w:rsidRPr="001054FF">
        <w:t xml:space="preserve">Severe </w:t>
      </w:r>
      <w:proofErr w:type="spellStart"/>
      <w:r w:rsidRPr="001054FF">
        <w:t>hypokalaemic</w:t>
      </w:r>
      <w:proofErr w:type="spellEnd"/>
      <w:r w:rsidRPr="001054FF">
        <w:t xml:space="preserve"> periodic paralysis should remain in the differential diagnosis of acute symmetrical quadriparesis even when deep tendon reflexes are preserved. In this case, profound weakness occurred with a serum potassium nadir of 1.7 mmol/L despite normal 2+ tendon reflexes, creating a presentation that could resemble other acute neurological disorders. The accompanying ECG abnormalities—ST-segment depression, flattened T waves, prominent U waves, QRS widening, and QT/QTc prolongation—provided an important bedside indication of marked </w:t>
      </w:r>
      <w:proofErr w:type="spellStart"/>
      <w:r w:rsidRPr="001054FF">
        <w:t>hypokalaemia</w:t>
      </w:r>
      <w:proofErr w:type="spellEnd"/>
      <w:r w:rsidRPr="001054FF">
        <w:t xml:space="preserve">. Rapid biochemical confirmation and controlled potassium replacement under cardiac monitoring were followed by complete neurological recovery within 24 hours and improvement of the electrocardiographic changes. The case therefore </w:t>
      </w:r>
      <w:proofErr w:type="spellStart"/>
      <w:r w:rsidRPr="001054FF">
        <w:t>emphasises</w:t>
      </w:r>
      <w:proofErr w:type="spellEnd"/>
      <w:r w:rsidRPr="001054FF">
        <w:t xml:space="preserve"> the value of integrating neurological examination with immediate electrolyte testing and ECG assessment rather than excluding </w:t>
      </w:r>
      <w:proofErr w:type="spellStart"/>
      <w:r w:rsidRPr="001054FF">
        <w:t>hypokalaemic</w:t>
      </w:r>
      <w:proofErr w:type="spellEnd"/>
      <w:r w:rsidRPr="001054FF">
        <w:t xml:space="preserve"> paralysis solely because reflexes are retained. This observation is especially relevant when the initial neurological phenotype is atypical. Careful evaluation for secondary causes remains necessary, while potassium correction should be monitored to reduce the risk of treatment-related complications.</w:t>
      </w:r>
    </w:p>
    <w:p w14:paraId="4C7CD01C" w14:textId="5774143A" w:rsidR="001E0EDF" w:rsidRPr="001054FF" w:rsidRDefault="001E0EDF" w:rsidP="001E0EDF">
      <w:pPr>
        <w:keepNext/>
        <w:spacing w:before="320" w:after="120"/>
        <w:jc w:val="both"/>
        <w:rPr>
          <w:b/>
          <w:bCs/>
        </w:rPr>
      </w:pPr>
      <w:r w:rsidRPr="001054FF">
        <w:rPr>
          <w:b/>
          <w:bCs/>
        </w:rPr>
        <w:t>Limitations</w:t>
      </w:r>
    </w:p>
    <w:p w14:paraId="4B8FD99B" w14:textId="77777777" w:rsidR="001E0EDF" w:rsidRPr="001054FF" w:rsidRDefault="001E0EDF" w:rsidP="001E0EDF">
      <w:pPr>
        <w:pStyle w:val="pdq2pgselectionanchorcontainer"/>
        <w:jc w:val="both"/>
      </w:pPr>
      <w:r w:rsidRPr="001054FF">
        <w:t xml:space="preserve">This report describes a single patient, so its findings cannot establish how frequently deep tendon reflexes remain preserved in severe </w:t>
      </w:r>
      <w:proofErr w:type="spellStart"/>
      <w:r w:rsidRPr="001054FF">
        <w:t>hypokalaemic</w:t>
      </w:r>
      <w:proofErr w:type="spellEnd"/>
      <w:r w:rsidRPr="001054FF">
        <w:t xml:space="preserve"> paralysis. The absence of genetic channel testing limits classification of a primary inherited channelopathy, and the available clinical data do not permit definitive attribution to a specific primary or secondary mechanism. Nevertheless, the contemporaneous neurological findings, serum potassium measurements, ECG changes, and rapid response to potassium replacement provide internally consistent clinical evidence supporting the reported association.</w:t>
      </w:r>
    </w:p>
    <w:p w14:paraId="6D94A73F" w14:textId="77777777" w:rsidR="001E0EDF" w:rsidRPr="001054FF" w:rsidRDefault="001E0EDF" w:rsidP="001E0EDF">
      <w:pPr>
        <w:keepNext/>
        <w:spacing w:before="320" w:after="120"/>
        <w:jc w:val="both"/>
      </w:pPr>
    </w:p>
    <w:p w14:paraId="7875DEE3" w14:textId="7936F5B3" w:rsidR="00BE4770" w:rsidRPr="001054FF" w:rsidRDefault="00913729" w:rsidP="001E0EDF">
      <w:pPr>
        <w:keepNext/>
        <w:spacing w:before="320" w:after="120"/>
        <w:jc w:val="both"/>
        <w:rPr>
          <w:rFonts w:cs="Times New Roman"/>
          <w:b/>
          <w:color w:val="000000" w:themeColor="text1"/>
          <w:sz w:val="26"/>
          <w:szCs w:val="26"/>
        </w:rPr>
      </w:pPr>
      <w:r w:rsidRPr="001054FF">
        <w:rPr>
          <w:rFonts w:cs="Times New Roman"/>
          <w:b/>
          <w:color w:val="000000" w:themeColor="text1"/>
          <w:sz w:val="26"/>
          <w:szCs w:val="26"/>
        </w:rPr>
        <w:t>CONSENT AND ETHICAL CONSIDERATIONS</w:t>
      </w:r>
    </w:p>
    <w:p w14:paraId="5CF4A918" w14:textId="77777777" w:rsidR="00E6694D" w:rsidRPr="001054FF" w:rsidRDefault="00E6694D" w:rsidP="001E0EDF">
      <w:pPr>
        <w:keepNext/>
        <w:spacing w:before="320" w:after="120"/>
        <w:jc w:val="both"/>
        <w:rPr>
          <w:rFonts w:cs="Times New Roman"/>
          <w:color w:val="000000" w:themeColor="text1"/>
          <w:sz w:val="26"/>
          <w:szCs w:val="26"/>
          <w:lang w:val="en-IN"/>
        </w:rPr>
      </w:pPr>
      <w:r w:rsidRPr="001054FF">
        <w:rPr>
          <w:rFonts w:cs="Times New Roman"/>
          <w:color w:val="000000" w:themeColor="text1"/>
          <w:sz w:val="26"/>
          <w:szCs w:val="26"/>
          <w:lang w:val="en-IN"/>
        </w:rPr>
        <w:t>Written informed consent was taken from patient for the publication of the case and imaging modalities and the copy of written consent is available for perusal by the Editorial Board of the Asian Research Journal of Current Science.</w:t>
      </w:r>
    </w:p>
    <w:p w14:paraId="3107D6A9" w14:textId="77777777" w:rsidR="00E6694D" w:rsidRPr="001054FF" w:rsidRDefault="00E6694D" w:rsidP="001E0EDF">
      <w:pPr>
        <w:keepNext/>
        <w:spacing w:before="320" w:after="120"/>
        <w:jc w:val="both"/>
        <w:rPr>
          <w:rFonts w:cs="Times New Roman"/>
          <w:color w:val="000000" w:themeColor="text1"/>
          <w:sz w:val="26"/>
          <w:szCs w:val="26"/>
          <w:lang w:val="en-IN"/>
        </w:rPr>
      </w:pPr>
      <w:r w:rsidRPr="001054FF">
        <w:rPr>
          <w:rFonts w:cs="Times New Roman"/>
          <w:color w:val="000000" w:themeColor="text1"/>
          <w:sz w:val="26"/>
          <w:szCs w:val="26"/>
          <w:lang w:val="en-IN"/>
        </w:rPr>
        <w:t>COMPETING INTERESTS: The authors state that there are no any financial or occupational or personae interests in the context to be regarded as compelling interests.</w:t>
      </w:r>
    </w:p>
    <w:p w14:paraId="14C2DC2D" w14:textId="77777777" w:rsidR="00913729" w:rsidRPr="001054FF" w:rsidRDefault="00913729" w:rsidP="001E0EDF">
      <w:pPr>
        <w:keepNext/>
        <w:spacing w:before="320" w:after="120"/>
        <w:jc w:val="both"/>
        <w:rPr>
          <w:rFonts w:cs="Times New Roman"/>
          <w:color w:val="000000" w:themeColor="text1"/>
          <w:sz w:val="26"/>
          <w:szCs w:val="26"/>
          <w:lang w:val="en-IN"/>
        </w:rPr>
      </w:pPr>
    </w:p>
    <w:p w14:paraId="12856877" w14:textId="77777777" w:rsidR="00913729" w:rsidRPr="001054FF" w:rsidRDefault="00913729" w:rsidP="001E0EDF">
      <w:pPr>
        <w:spacing w:after="0" w:line="240" w:lineRule="auto"/>
        <w:jc w:val="both"/>
        <w:rPr>
          <w:rFonts w:ascii="Arial" w:hAnsi="Arial" w:cs="Arial"/>
          <w:b/>
          <w:sz w:val="20"/>
          <w:szCs w:val="20"/>
        </w:rPr>
      </w:pPr>
      <w:bookmarkStart w:id="0" w:name="_Hlk238550938"/>
      <w:bookmarkStart w:id="1" w:name="_Hlk237856463"/>
      <w:r w:rsidRPr="001054FF">
        <w:rPr>
          <w:rFonts w:ascii="Arial" w:hAnsi="Arial" w:cs="Arial"/>
          <w:b/>
          <w:sz w:val="20"/>
          <w:szCs w:val="20"/>
        </w:rPr>
        <w:t>Declaration of AI Use</w:t>
      </w:r>
    </w:p>
    <w:p w14:paraId="230566F6" w14:textId="77777777" w:rsidR="00913729" w:rsidRPr="001054FF" w:rsidRDefault="00913729" w:rsidP="001E0EDF">
      <w:pPr>
        <w:spacing w:after="0" w:line="240" w:lineRule="auto"/>
        <w:jc w:val="both"/>
        <w:rPr>
          <w:rFonts w:ascii="Arial" w:hAnsi="Arial" w:cs="Arial"/>
          <w:sz w:val="20"/>
          <w:szCs w:val="20"/>
        </w:rPr>
      </w:pPr>
      <w:bookmarkStart w:id="2" w:name="_Hlk239068730"/>
    </w:p>
    <w:p w14:paraId="214BBB05" w14:textId="77777777" w:rsidR="00913729" w:rsidRPr="001054FF" w:rsidRDefault="00913729" w:rsidP="001E0EDF">
      <w:pPr>
        <w:spacing w:after="0" w:line="240" w:lineRule="auto"/>
        <w:jc w:val="both"/>
        <w:rPr>
          <w:rFonts w:ascii="Arial" w:hAnsi="Arial" w:cs="Arial"/>
          <w:sz w:val="20"/>
          <w:szCs w:val="20"/>
        </w:rPr>
      </w:pPr>
      <w:bookmarkStart w:id="3" w:name="_Hlk237862032"/>
      <w:r w:rsidRPr="001054FF">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1054FF">
        <w:rPr>
          <w:rFonts w:ascii="Arial" w:hAnsi="Arial" w:cs="Arial"/>
          <w:sz w:val="20"/>
          <w:szCs w:val="20"/>
        </w:rPr>
        <w:t>.</w:t>
      </w:r>
    </w:p>
    <w:bookmarkEnd w:id="1"/>
    <w:bookmarkEnd w:id="2"/>
    <w:bookmarkEnd w:id="3"/>
    <w:p w14:paraId="71526583" w14:textId="77777777" w:rsidR="00913729" w:rsidRPr="001054FF" w:rsidRDefault="00913729" w:rsidP="001E0EDF">
      <w:pPr>
        <w:keepNext/>
        <w:spacing w:before="320" w:after="120"/>
        <w:jc w:val="both"/>
        <w:rPr>
          <w:rFonts w:cs="Times New Roman"/>
          <w:color w:val="000000" w:themeColor="text1"/>
          <w:sz w:val="26"/>
          <w:szCs w:val="26"/>
          <w:lang w:val="en-IN"/>
        </w:rPr>
      </w:pPr>
    </w:p>
    <w:p w14:paraId="010D435C" w14:textId="77777777" w:rsidR="00BE4770" w:rsidRPr="001054FF" w:rsidRDefault="00913729" w:rsidP="001E0EDF">
      <w:pPr>
        <w:keepNext/>
        <w:spacing w:before="320" w:after="120"/>
        <w:jc w:val="both"/>
        <w:rPr>
          <w:rFonts w:cs="Times New Roman"/>
          <w:color w:val="000000" w:themeColor="text1"/>
          <w:sz w:val="26"/>
          <w:szCs w:val="26"/>
        </w:rPr>
      </w:pPr>
      <w:r w:rsidRPr="001054FF">
        <w:rPr>
          <w:rFonts w:cs="Times New Roman"/>
          <w:b/>
          <w:color w:val="000000" w:themeColor="text1"/>
          <w:sz w:val="26"/>
          <w:szCs w:val="26"/>
        </w:rPr>
        <w:t>5. REFERENCES</w:t>
      </w:r>
    </w:p>
    <w:p w14:paraId="74DDE222" w14:textId="77777777" w:rsidR="00BE4770" w:rsidRPr="001054FF" w:rsidRDefault="00913729" w:rsidP="001E0EDF">
      <w:pPr>
        <w:spacing w:after="80" w:line="264" w:lineRule="auto"/>
        <w:ind w:left="720" w:hanging="720"/>
        <w:jc w:val="both"/>
        <w:rPr>
          <w:rFonts w:cs="Times New Roman"/>
          <w:sz w:val="26"/>
          <w:szCs w:val="26"/>
        </w:rPr>
      </w:pPr>
      <w:r>
        <w:t xml:space="preserve">Ahlawat, S. K., &amp; Sachdev, A. (1999). Hypokalaemic paralysis. </w:t>
      </w:r>
      <w:r>
        <w:rPr>
          <w:i/>
        </w:rPr>
        <w:t>Postgraduate Medical Journal</w:t>
      </w:r>
      <w:r>
        <w:t xml:space="preserve">, </w:t>
      </w:r>
      <w:r>
        <w:rPr>
          <w:i/>
        </w:rPr>
        <w:t>75</w:t>
      </w:r>
      <w:r>
        <w:t xml:space="preserve">(882), 193–197. </w:t>
      </w:r>
      <w:hyperlink r:id="rId17">
        <w:r>
          <w:rPr>
            <w:color w:val="0563C1"/>
            <w:u w:val="single"/>
          </w:rPr>
          <w:t>https://doi.org/10.1136/pgmj.75.882.193</w:t>
        </w:r>
      </w:hyperlink>
    </w:p>
    <w:p w14:paraId="7F3917A7" w14:textId="77777777" w:rsidR="00BE4770" w:rsidRPr="001054FF" w:rsidRDefault="00913729" w:rsidP="001E0EDF">
      <w:pPr>
        <w:spacing w:after="80" w:line="264" w:lineRule="auto"/>
        <w:ind w:left="720" w:hanging="720"/>
        <w:jc w:val="both"/>
        <w:rPr>
          <w:rFonts w:cs="Times New Roman"/>
          <w:sz w:val="26"/>
          <w:szCs w:val="26"/>
        </w:rPr>
      </w:pPr>
      <w:r>
        <w:t xml:space="preserve">Al Hariri, B., Hassan, M. A., Sharif, M., Alsakaji, O. A., Hassan, Y. A., &amp; Khalid, M. K. (2024). Periodic paralysis: A case series with a literature review. </w:t>
      </w:r>
      <w:r>
        <w:rPr>
          <w:i/>
        </w:rPr>
        <w:t>Case Reports in Neurology</w:t>
      </w:r>
      <w:r>
        <w:t xml:space="preserve">, </w:t>
      </w:r>
      <w:r>
        <w:rPr>
          <w:i/>
        </w:rPr>
        <w:t>16</w:t>
      </w:r>
      <w:r>
        <w:t xml:space="preserve">(1), 274–280. </w:t>
      </w:r>
      <w:hyperlink r:id="rId18">
        <w:r>
          <w:rPr>
            <w:color w:val="0563C1"/>
            <w:u w:val="single"/>
          </w:rPr>
          <w:t>https://doi.org/10.1159/000541585</w:t>
        </w:r>
      </w:hyperlink>
    </w:p>
    <w:p w14:paraId="4C4D5D39" w14:textId="77777777" w:rsidR="00BE4770" w:rsidRPr="001054FF" w:rsidRDefault="00913729" w:rsidP="001E0EDF">
      <w:pPr>
        <w:spacing w:after="80" w:line="264" w:lineRule="auto"/>
        <w:ind w:left="720" w:hanging="720"/>
        <w:jc w:val="both"/>
        <w:rPr>
          <w:rFonts w:cs="Times New Roman"/>
          <w:sz w:val="26"/>
          <w:szCs w:val="26"/>
        </w:rPr>
      </w:pPr>
      <w:r>
        <w:t xml:space="preserve">Bindhu, Y. M., &amp; Likhitha, B. B. (2026). Acute hypokalemic periodic paralysis presenting as acute quadriparesis in a 44-year-old female: A case report and literature review. </w:t>
      </w:r>
      <w:r>
        <w:rPr>
          <w:i/>
        </w:rPr>
        <w:t>International Journal of Medical and Pharmaceutical Case Reports</w:t>
      </w:r>
      <w:r>
        <w:t xml:space="preserve">, </w:t>
      </w:r>
      <w:r>
        <w:rPr>
          <w:i/>
        </w:rPr>
        <w:t>19</w:t>
      </w:r>
      <w:r>
        <w:t xml:space="preserve">(3), 214–222. </w:t>
      </w:r>
      <w:hyperlink r:id="rId19">
        <w:r>
          <w:rPr>
            <w:color w:val="0563C1"/>
            <w:u w:val="single"/>
          </w:rPr>
          <w:t>https://doi.org/10.9734/ijmpcr/2026/v19i3520</w:t>
        </w:r>
      </w:hyperlink>
    </w:p>
    <w:p w14:paraId="4EFE41C7" w14:textId="77777777" w:rsidR="00BE4770" w:rsidRPr="001054FF" w:rsidRDefault="00913729" w:rsidP="001E0EDF">
      <w:pPr>
        <w:spacing w:after="80" w:line="264" w:lineRule="auto"/>
        <w:ind w:left="720" w:hanging="720"/>
        <w:jc w:val="both"/>
        <w:rPr>
          <w:rFonts w:cs="Times New Roman"/>
          <w:sz w:val="26"/>
          <w:szCs w:val="26"/>
        </w:rPr>
      </w:pPr>
      <w:r>
        <w:t xml:space="preserve">Bulman, D. E., Scoggan, K. A., van Oene, M. D., Nicolle, M. W., Hahn, A. F., Tollar, L. L., &amp; Ebers, G. C. (1999). A novel sodium channel mutation in a family with hypokalemic periodic paralysis. </w:t>
      </w:r>
      <w:r>
        <w:rPr>
          <w:i/>
        </w:rPr>
        <w:t>Neurology</w:t>
      </w:r>
      <w:r>
        <w:t xml:space="preserve">, </w:t>
      </w:r>
      <w:r>
        <w:rPr>
          <w:i/>
        </w:rPr>
        <w:t>53</w:t>
      </w:r>
      <w:r>
        <w:t xml:space="preserve">(9), 1932–1936. </w:t>
      </w:r>
      <w:hyperlink r:id="rId20">
        <w:r>
          <w:rPr>
            <w:color w:val="0563C1"/>
            <w:u w:val="single"/>
          </w:rPr>
          <w:t>https://doi.org/10.1212/WNL.53.9.1932</w:t>
        </w:r>
      </w:hyperlink>
    </w:p>
    <w:p w14:paraId="0B2E429E" w14:textId="77777777" w:rsidR="00BE4770" w:rsidRPr="001054FF" w:rsidRDefault="00913729" w:rsidP="001E0EDF">
      <w:pPr>
        <w:spacing w:after="80" w:line="264" w:lineRule="auto"/>
        <w:ind w:left="720" w:hanging="720"/>
        <w:jc w:val="both"/>
        <w:rPr>
          <w:rFonts w:cs="Times New Roman"/>
          <w:sz w:val="26"/>
          <w:szCs w:val="26"/>
        </w:rPr>
      </w:pPr>
      <w:r>
        <w:t xml:space="preserve">Burge, J. A., &amp; Hanna, M. G. (2012). Novel insights into the pathomechanisms of skeletal muscle channelopathies. </w:t>
      </w:r>
      <w:r>
        <w:rPr>
          <w:i/>
        </w:rPr>
        <w:t>Current Neurology and Neuroscience Reports</w:t>
      </w:r>
      <w:r>
        <w:t xml:space="preserve">, </w:t>
      </w:r>
      <w:r>
        <w:rPr>
          <w:i/>
        </w:rPr>
        <w:t>12</w:t>
      </w:r>
      <w:r>
        <w:t xml:space="preserve">(1), 62–69. </w:t>
      </w:r>
      <w:hyperlink r:id="rId21">
        <w:r>
          <w:rPr>
            <w:color w:val="0563C1"/>
            <w:u w:val="single"/>
          </w:rPr>
          <w:t>https://doi.org/10.1007/s11910-011-0238-3</w:t>
        </w:r>
      </w:hyperlink>
    </w:p>
    <w:p w14:paraId="08BE5A47" w14:textId="77777777" w:rsidR="00BE4770" w:rsidRPr="001054FF" w:rsidRDefault="00913729" w:rsidP="001E0EDF">
      <w:pPr>
        <w:spacing w:after="80" w:line="264" w:lineRule="auto"/>
        <w:ind w:left="720" w:hanging="720"/>
        <w:jc w:val="both"/>
        <w:rPr>
          <w:rFonts w:cs="Times New Roman"/>
          <w:sz w:val="26"/>
          <w:szCs w:val="26"/>
        </w:rPr>
      </w:pPr>
      <w:r>
        <w:t xml:space="preserve">Cannon, S. C. (2015). Channelopathies of skeletal muscle excitability. </w:t>
      </w:r>
      <w:r>
        <w:rPr>
          <w:i/>
        </w:rPr>
        <w:t>Comprehensive Physiology</w:t>
      </w:r>
      <w:r>
        <w:t xml:space="preserve">, </w:t>
      </w:r>
      <w:r>
        <w:rPr>
          <w:i/>
        </w:rPr>
        <w:t>5</w:t>
      </w:r>
      <w:r>
        <w:t xml:space="preserve">(2), 761–790. </w:t>
      </w:r>
      <w:hyperlink r:id="rId22">
        <w:r>
          <w:rPr>
            <w:color w:val="0563C1"/>
            <w:u w:val="single"/>
          </w:rPr>
          <w:t>https://doi.org/10.1002/cphy.c140062</w:t>
        </w:r>
      </w:hyperlink>
    </w:p>
    <w:p w14:paraId="099A1616" w14:textId="77777777" w:rsidR="00BE4770" w:rsidRPr="001054FF" w:rsidRDefault="00913729" w:rsidP="001E0EDF">
      <w:pPr>
        <w:spacing w:after="80" w:line="264" w:lineRule="auto"/>
        <w:ind w:left="720" w:hanging="720"/>
        <w:jc w:val="both"/>
        <w:rPr>
          <w:rFonts w:cs="Times New Roman"/>
          <w:sz w:val="26"/>
          <w:szCs w:val="26"/>
        </w:rPr>
      </w:pPr>
      <w:r>
        <w:t xml:space="preserve">Clausen, T. (2003). Na+-K+ pump regulation and skeletal muscle contractility. </w:t>
      </w:r>
      <w:r>
        <w:rPr>
          <w:i/>
        </w:rPr>
        <w:t>Physiological Reviews</w:t>
      </w:r>
      <w:r>
        <w:t xml:space="preserve">, </w:t>
      </w:r>
      <w:r>
        <w:rPr>
          <w:i/>
        </w:rPr>
        <w:t>83</w:t>
      </w:r>
      <w:r>
        <w:t xml:space="preserve">(4), 1269–1324. </w:t>
      </w:r>
      <w:hyperlink r:id="rId23">
        <w:r>
          <w:rPr>
            <w:color w:val="0563C1"/>
            <w:u w:val="single"/>
          </w:rPr>
          <w:t>https://doi.org/10.1152/physrev.00011.2003</w:t>
        </w:r>
      </w:hyperlink>
    </w:p>
    <w:p w14:paraId="774DF79F" w14:textId="77777777" w:rsidR="00BE4770" w:rsidRPr="001054FF" w:rsidRDefault="00913729" w:rsidP="001E0EDF">
      <w:pPr>
        <w:spacing w:after="80" w:line="264" w:lineRule="auto"/>
        <w:ind w:left="720" w:hanging="720"/>
        <w:jc w:val="both"/>
        <w:rPr>
          <w:rFonts w:cs="Times New Roman"/>
          <w:sz w:val="26"/>
          <w:szCs w:val="26"/>
        </w:rPr>
      </w:pPr>
      <w:r>
        <w:t xml:space="preserve">Diercks, D. B., Shumaik, G. M., Harrigan, R. A., Brady, W. J., &amp; Chan, T. C. (2004). Electrocardiographic manifestations: Electrolyte abnormalities. </w:t>
      </w:r>
      <w:r>
        <w:rPr>
          <w:i/>
        </w:rPr>
        <w:t>The Journal of Emergency Medicine</w:t>
      </w:r>
      <w:r>
        <w:t xml:space="preserve">, </w:t>
      </w:r>
      <w:r>
        <w:rPr>
          <w:i/>
        </w:rPr>
        <w:t>27</w:t>
      </w:r>
      <w:r>
        <w:t xml:space="preserve">(2), 153–160. </w:t>
      </w:r>
      <w:hyperlink r:id="rId24">
        <w:r>
          <w:rPr>
            <w:color w:val="0563C1"/>
            <w:u w:val="single"/>
          </w:rPr>
          <w:t>https://doi.org/10.1016/j.jemermed.2004.04.006</w:t>
        </w:r>
      </w:hyperlink>
    </w:p>
    <w:p w14:paraId="0521805B" w14:textId="77777777" w:rsidR="00BE4770" w:rsidRPr="001054FF" w:rsidRDefault="00913729" w:rsidP="001E0EDF">
      <w:pPr>
        <w:spacing w:after="80" w:line="264" w:lineRule="auto"/>
        <w:ind w:left="720" w:hanging="720"/>
        <w:jc w:val="both"/>
        <w:rPr>
          <w:rFonts w:cs="Times New Roman"/>
          <w:sz w:val="26"/>
          <w:szCs w:val="26"/>
        </w:rPr>
      </w:pPr>
      <w:r>
        <w:t xml:space="preserve">Edlow, J. A., &amp; McGillicuddy, D. C. (2008). Tick paralysis. </w:t>
      </w:r>
      <w:r>
        <w:rPr>
          <w:i/>
        </w:rPr>
        <w:t>Infectious Disease Clinics of North America</w:t>
      </w:r>
      <w:r>
        <w:t xml:space="preserve">, </w:t>
      </w:r>
      <w:r>
        <w:rPr>
          <w:i/>
        </w:rPr>
        <w:t>22</w:t>
      </w:r>
      <w:r>
        <w:t xml:space="preserve">(3), 397–413. </w:t>
      </w:r>
      <w:hyperlink r:id="rId25">
        <w:r>
          <w:rPr>
            <w:color w:val="0563C1"/>
            <w:u w:val="single"/>
          </w:rPr>
          <w:t>https://doi.org/10.1016/j.idc.2008.03.005</w:t>
        </w:r>
      </w:hyperlink>
    </w:p>
    <w:p w14:paraId="7145E49E" w14:textId="77777777" w:rsidR="00BE4770" w:rsidRPr="001054FF" w:rsidRDefault="00913729" w:rsidP="001E0EDF">
      <w:pPr>
        <w:spacing w:after="80" w:line="264" w:lineRule="auto"/>
        <w:ind w:left="720" w:hanging="720"/>
        <w:jc w:val="both"/>
        <w:rPr>
          <w:rFonts w:cs="Times New Roman"/>
          <w:sz w:val="26"/>
          <w:szCs w:val="26"/>
        </w:rPr>
      </w:pPr>
      <w:r>
        <w:t xml:space="preserve">Fontaine, B. (2008). Periodic paralysis. </w:t>
      </w:r>
      <w:r>
        <w:rPr>
          <w:i/>
        </w:rPr>
        <w:t>Advances in Genetics</w:t>
      </w:r>
      <w:r>
        <w:t xml:space="preserve">, </w:t>
      </w:r>
      <w:r>
        <w:rPr>
          <w:i/>
        </w:rPr>
        <w:t>63</w:t>
      </w:r>
      <w:r>
        <w:t xml:space="preserve">, 3–23. </w:t>
      </w:r>
      <w:hyperlink r:id="rId26">
        <w:r>
          <w:rPr>
            <w:color w:val="0563C1"/>
            <w:u w:val="single"/>
          </w:rPr>
          <w:t>https://doi.org/10.1016/S0065-2660(08)01001-8</w:t>
        </w:r>
      </w:hyperlink>
    </w:p>
    <w:p w14:paraId="21607F21" w14:textId="77777777" w:rsidR="00BE4770" w:rsidRPr="001054FF" w:rsidRDefault="00913729" w:rsidP="001E0EDF">
      <w:pPr>
        <w:spacing w:after="80" w:line="264" w:lineRule="auto"/>
        <w:ind w:left="720" w:hanging="720"/>
        <w:jc w:val="both"/>
        <w:rPr>
          <w:rFonts w:cs="Times New Roman"/>
          <w:sz w:val="26"/>
          <w:szCs w:val="26"/>
        </w:rPr>
      </w:pPr>
      <w:r>
        <w:t xml:space="preserve">Gan, Q., Zakaria, W. N. A., Rom, F. Z. M., Wan Nik, W. N. F. H., Zulkeflee, H. A., &amp; Ab Rahim, S. N. (2025). Thyrotoxic hypokalemic periodic paralysis: Pathophysiological mechanisms. </w:t>
      </w:r>
      <w:r>
        <w:rPr>
          <w:i/>
        </w:rPr>
        <w:t>Endocrinology and Metabolism</w:t>
      </w:r>
      <w:r>
        <w:t xml:space="preserve">, </w:t>
      </w:r>
      <w:r>
        <w:rPr>
          <w:i/>
        </w:rPr>
        <w:t>40</w:t>
      </w:r>
      <w:r>
        <w:t xml:space="preserve">(6), 821–829. </w:t>
      </w:r>
      <w:hyperlink r:id="rId27">
        <w:r>
          <w:rPr>
            <w:color w:val="0563C1"/>
            <w:u w:val="single"/>
          </w:rPr>
          <w:t>https://doi.org/10.3803/EnM.2025.2554</w:t>
        </w:r>
      </w:hyperlink>
    </w:p>
    <w:p w14:paraId="0DF9E70A" w14:textId="77777777" w:rsidR="00BE4770" w:rsidRPr="001054FF" w:rsidRDefault="00913729" w:rsidP="001E0EDF">
      <w:pPr>
        <w:spacing w:after="80" w:line="264" w:lineRule="auto"/>
        <w:ind w:left="720" w:hanging="720"/>
        <w:jc w:val="both"/>
        <w:rPr>
          <w:rFonts w:cs="Times New Roman"/>
          <w:sz w:val="26"/>
          <w:szCs w:val="26"/>
        </w:rPr>
      </w:pPr>
      <w:r>
        <w:t xml:space="preserve">Gennari, F. J. (1998). Hypokalemia. </w:t>
      </w:r>
      <w:r>
        <w:rPr>
          <w:i/>
        </w:rPr>
        <w:t>The New England Journal of Medicine</w:t>
      </w:r>
      <w:r>
        <w:t xml:space="preserve">, </w:t>
      </w:r>
      <w:r>
        <w:rPr>
          <w:i/>
        </w:rPr>
        <w:t>339</w:t>
      </w:r>
      <w:r>
        <w:t xml:space="preserve">(7), 451–458. </w:t>
      </w:r>
      <w:hyperlink r:id="rId28">
        <w:r>
          <w:rPr>
            <w:color w:val="0563C1"/>
            <w:u w:val="single"/>
          </w:rPr>
          <w:t>https://doi.org/10.1056/NEJM199808133390707</w:t>
        </w:r>
      </w:hyperlink>
    </w:p>
    <w:p w14:paraId="47211A23" w14:textId="77777777" w:rsidR="00BE4770" w:rsidRPr="001054FF" w:rsidRDefault="00913729" w:rsidP="001E0EDF">
      <w:pPr>
        <w:spacing w:after="80" w:line="264" w:lineRule="auto"/>
        <w:ind w:left="720" w:hanging="720"/>
        <w:jc w:val="both"/>
        <w:rPr>
          <w:rFonts w:cs="Times New Roman"/>
          <w:sz w:val="26"/>
          <w:szCs w:val="26"/>
        </w:rPr>
      </w:pPr>
      <w:r>
        <w:t xml:space="preserve">Jain, V. V., Gupta, O. P., Jajoo, S. U., &amp; Khiangate, B. (2011). Hypokalemia induced rhabdomyolysis. </w:t>
      </w:r>
      <w:r>
        <w:rPr>
          <w:i/>
        </w:rPr>
        <w:t>Indian Journal of Nephrology</w:t>
      </w:r>
      <w:r>
        <w:t xml:space="preserve">, </w:t>
      </w:r>
      <w:r>
        <w:rPr>
          <w:i/>
        </w:rPr>
        <w:t>21</w:t>
      </w:r>
      <w:r>
        <w:t xml:space="preserve">(1), 66. </w:t>
      </w:r>
      <w:hyperlink r:id="rId29">
        <w:r>
          <w:rPr>
            <w:color w:val="0563C1"/>
            <w:u w:val="single"/>
          </w:rPr>
          <w:t>https://doi.org/10.4103/0971-4065.78085</w:t>
        </w:r>
      </w:hyperlink>
    </w:p>
    <w:p w14:paraId="5BF490B2" w14:textId="77777777" w:rsidR="00BE4770" w:rsidRPr="001054FF" w:rsidRDefault="00913729" w:rsidP="001E0EDF">
      <w:pPr>
        <w:spacing w:after="80" w:line="264" w:lineRule="auto"/>
        <w:ind w:left="720" w:hanging="720"/>
        <w:jc w:val="both"/>
        <w:rPr>
          <w:rFonts w:cs="Times New Roman"/>
          <w:sz w:val="26"/>
          <w:szCs w:val="26"/>
        </w:rPr>
      </w:pPr>
      <w:r>
        <w:t xml:space="preserve">Jurkat-Rott, K., Groome, J., &amp; Lehmann-Horn, F. (2012). Pathophysiological role of omega pore current in channelopathies. </w:t>
      </w:r>
      <w:r>
        <w:rPr>
          <w:i/>
        </w:rPr>
        <w:t>Frontiers in Pharmacology</w:t>
      </w:r>
      <w:r>
        <w:t xml:space="preserve">, </w:t>
      </w:r>
      <w:r>
        <w:rPr>
          <w:i/>
        </w:rPr>
        <w:t>3</w:t>
      </w:r>
      <w:r>
        <w:t xml:space="preserve">, 112. </w:t>
      </w:r>
      <w:hyperlink r:id="rId30">
        <w:r>
          <w:rPr>
            <w:color w:val="0563C1"/>
            <w:u w:val="single"/>
          </w:rPr>
          <w:t>https://doi.org/10.3389/fphar.2012.00112</w:t>
        </w:r>
      </w:hyperlink>
    </w:p>
    <w:p w14:paraId="505FF0A7" w14:textId="77777777" w:rsidR="00BE4770" w:rsidRPr="001054FF" w:rsidRDefault="00913729" w:rsidP="001E0EDF">
      <w:pPr>
        <w:spacing w:after="80" w:line="264" w:lineRule="auto"/>
        <w:ind w:left="720" w:hanging="720"/>
        <w:jc w:val="both"/>
        <w:rPr>
          <w:rFonts w:cs="Times New Roman"/>
          <w:sz w:val="26"/>
          <w:szCs w:val="26"/>
        </w:rPr>
      </w:pPr>
      <w:r>
        <w:t xml:space="preserve">Jurkat-Rott, K., Lehmann-Horn, F., Elbaz, A., Heine, R., Gregg, R. G., Hogan, K., Powers, P. A., Lapie, P., Vale-Santos, J. E., Weissenbach, J., &amp; Fontaine, B. (1994). A calcium channel mutation causing hypokalemic periodic paralysis. </w:t>
      </w:r>
      <w:r>
        <w:rPr>
          <w:i/>
        </w:rPr>
        <w:t>Human Molecular Genetics</w:t>
      </w:r>
      <w:r>
        <w:t xml:space="preserve">, </w:t>
      </w:r>
      <w:r>
        <w:rPr>
          <w:i/>
        </w:rPr>
        <w:t>3</w:t>
      </w:r>
      <w:r>
        <w:t xml:space="preserve">(8), 1415–1419. </w:t>
      </w:r>
      <w:hyperlink r:id="rId31">
        <w:r>
          <w:rPr>
            <w:color w:val="0563C1"/>
            <w:u w:val="single"/>
          </w:rPr>
          <w:t>https://doi.org/10.1093/hmg/3.8.1415</w:t>
        </w:r>
      </w:hyperlink>
    </w:p>
    <w:p w14:paraId="0BA01767" w14:textId="77777777" w:rsidR="00BE4770" w:rsidRPr="001054FF" w:rsidRDefault="00913729" w:rsidP="001E0EDF">
      <w:pPr>
        <w:spacing w:after="80" w:line="264" w:lineRule="auto"/>
        <w:ind w:left="720" w:hanging="720"/>
        <w:jc w:val="both"/>
        <w:rPr>
          <w:rFonts w:cs="Times New Roman"/>
          <w:sz w:val="26"/>
          <w:szCs w:val="26"/>
        </w:rPr>
      </w:pPr>
      <w:r>
        <w:t xml:space="preserve">Kayal, A. K., Goswami, M., Das, M., &amp; Jain, R. (2013). Clinical and biochemical spectrum of hypokalemic paralysis in North-East India. </w:t>
      </w:r>
      <w:r>
        <w:rPr>
          <w:i/>
        </w:rPr>
        <w:t>Annals of Indian Academy of Neurology</w:t>
      </w:r>
      <w:r>
        <w:t xml:space="preserve">, </w:t>
      </w:r>
      <w:r>
        <w:rPr>
          <w:i/>
        </w:rPr>
        <w:t>16</w:t>
      </w:r>
      <w:r>
        <w:t xml:space="preserve">(2), 211–217. </w:t>
      </w:r>
      <w:hyperlink r:id="rId32">
        <w:r>
          <w:rPr>
            <w:color w:val="0563C1"/>
            <w:u w:val="single"/>
          </w:rPr>
          <w:t>https://doi.org/10.4103/0972-2327.112469</w:t>
        </w:r>
      </w:hyperlink>
    </w:p>
    <w:p w14:paraId="17AE9101" w14:textId="77777777" w:rsidR="00BE4770" w:rsidRPr="001054FF" w:rsidRDefault="00913729" w:rsidP="001E0EDF">
      <w:pPr>
        <w:spacing w:after="80" w:line="264" w:lineRule="auto"/>
        <w:ind w:left="720" w:hanging="720"/>
        <w:jc w:val="both"/>
        <w:rPr>
          <w:rFonts w:cs="Times New Roman"/>
          <w:sz w:val="26"/>
          <w:szCs w:val="26"/>
        </w:rPr>
      </w:pPr>
      <w:r>
        <w:t xml:space="preserve">Knochel, J. P. (1982). Neuromuscular manifestations of electrolyte disorders. </w:t>
      </w:r>
      <w:r>
        <w:rPr>
          <w:i/>
        </w:rPr>
        <w:t>The American Journal of Medicine</w:t>
      </w:r>
      <w:r>
        <w:t xml:space="preserve">, </w:t>
      </w:r>
      <w:r>
        <w:rPr>
          <w:i/>
        </w:rPr>
        <w:t>72</w:t>
      </w:r>
      <w:r>
        <w:t xml:space="preserve">(3), 521–535. </w:t>
      </w:r>
      <w:hyperlink r:id="rId33">
        <w:r>
          <w:rPr>
            <w:color w:val="0563C1"/>
            <w:u w:val="single"/>
          </w:rPr>
          <w:t>https://doi.org/10.1016/0002-9343(82)90522-8</w:t>
        </w:r>
      </w:hyperlink>
    </w:p>
    <w:p w14:paraId="1EFD8AE3" w14:textId="77777777" w:rsidR="00BE4770" w:rsidRPr="001054FF" w:rsidRDefault="00913729" w:rsidP="001E0EDF">
      <w:pPr>
        <w:spacing w:after="80" w:line="264" w:lineRule="auto"/>
        <w:ind w:left="720" w:hanging="720"/>
        <w:jc w:val="both"/>
        <w:rPr>
          <w:rFonts w:cs="Times New Roman"/>
          <w:sz w:val="26"/>
          <w:szCs w:val="26"/>
        </w:rPr>
      </w:pPr>
      <w:r>
        <w:t xml:space="preserve">Koul, P. A., Wahid, A., &amp; Bhat, F. A. (2005). Primary gradient defect distal renal tubular acidosis presenting as hypokalaemic periodic paralysis. </w:t>
      </w:r>
      <w:r>
        <w:rPr>
          <w:i/>
        </w:rPr>
        <w:t>Emergency Medicine Journal</w:t>
      </w:r>
      <w:r>
        <w:t xml:space="preserve">, </w:t>
      </w:r>
      <w:r>
        <w:rPr>
          <w:i/>
        </w:rPr>
        <w:t>22</w:t>
      </w:r>
      <w:r>
        <w:t xml:space="preserve">(7), 528–530. </w:t>
      </w:r>
      <w:hyperlink r:id="rId34">
        <w:r>
          <w:rPr>
            <w:color w:val="0563C1"/>
            <w:u w:val="single"/>
          </w:rPr>
          <w:t>https://doi.org/10.1136/emj.2003.004465</w:t>
        </w:r>
      </w:hyperlink>
    </w:p>
    <w:p w14:paraId="7FC5F0CA" w14:textId="77777777" w:rsidR="00BE4770" w:rsidRPr="001054FF" w:rsidRDefault="00913729" w:rsidP="001E0EDF">
      <w:pPr>
        <w:spacing w:after="80" w:line="264" w:lineRule="auto"/>
        <w:ind w:left="720" w:hanging="720"/>
        <w:jc w:val="both"/>
        <w:rPr>
          <w:rFonts w:cs="Times New Roman"/>
          <w:sz w:val="26"/>
          <w:szCs w:val="26"/>
        </w:rPr>
      </w:pPr>
      <w:r>
        <w:t xml:space="preserve">Kung, A. W. C. (2006). Clinical review: Thyrotoxic periodic paralysis: A diagnostic challenge. </w:t>
      </w:r>
      <w:r>
        <w:rPr>
          <w:i/>
        </w:rPr>
        <w:t>The Journal of Clinical Endocrinology &amp; Metabolism</w:t>
      </w:r>
      <w:r>
        <w:t xml:space="preserve">, </w:t>
      </w:r>
      <w:r>
        <w:rPr>
          <w:i/>
        </w:rPr>
        <w:t>91</w:t>
      </w:r>
      <w:r>
        <w:t xml:space="preserve">(7), 2490–2495. </w:t>
      </w:r>
      <w:hyperlink r:id="rId35">
        <w:r>
          <w:rPr>
            <w:color w:val="0563C1"/>
            <w:u w:val="single"/>
          </w:rPr>
          <w:t>https://doi.org/10.1210/jc.2006-0356</w:t>
        </w:r>
      </w:hyperlink>
    </w:p>
    <w:p w14:paraId="67B37CC7" w14:textId="77777777" w:rsidR="00BE4770" w:rsidRPr="001054FF" w:rsidRDefault="00913729" w:rsidP="001E0EDF">
      <w:pPr>
        <w:spacing w:after="80" w:line="264" w:lineRule="auto"/>
        <w:ind w:left="720" w:hanging="720"/>
        <w:jc w:val="both"/>
        <w:rPr>
          <w:rFonts w:cs="Times New Roman"/>
          <w:sz w:val="26"/>
          <w:szCs w:val="26"/>
        </w:rPr>
      </w:pPr>
      <w:r>
        <w:t xml:space="preserve">Lehmann-Horn, F., Jurkat-Rott, K., &amp; Rüdel, R. (2002). Periodic paralysis: Understanding channelopathies. </w:t>
      </w:r>
      <w:r>
        <w:rPr>
          <w:i/>
        </w:rPr>
        <w:t>Current Neurology and Neuroscience Reports</w:t>
      </w:r>
      <w:r>
        <w:t xml:space="preserve">, </w:t>
      </w:r>
      <w:r>
        <w:rPr>
          <w:i/>
        </w:rPr>
        <w:t>2</w:t>
      </w:r>
      <w:r>
        <w:t xml:space="preserve">(1), 61–69. </w:t>
      </w:r>
      <w:hyperlink r:id="rId36">
        <w:r>
          <w:rPr>
            <w:color w:val="0563C1"/>
            <w:u w:val="single"/>
          </w:rPr>
          <w:t>https://doi.org/10.1007/s11910-002-0055-9</w:t>
        </w:r>
      </w:hyperlink>
    </w:p>
    <w:p w14:paraId="6BC6C0D2" w14:textId="77777777" w:rsidR="00BE4770" w:rsidRPr="001054FF" w:rsidRDefault="00913729" w:rsidP="001E0EDF">
      <w:pPr>
        <w:spacing w:after="80" w:line="264" w:lineRule="auto"/>
        <w:ind w:left="720" w:hanging="720"/>
        <w:jc w:val="both"/>
        <w:rPr>
          <w:rFonts w:cs="Times New Roman"/>
          <w:sz w:val="26"/>
          <w:szCs w:val="26"/>
        </w:rPr>
      </w:pPr>
      <w:r>
        <w:t xml:space="preserve">Levis, J. T. (2012). ECG diagnosis: Hypokalemia. </w:t>
      </w:r>
      <w:r>
        <w:rPr>
          <w:i/>
        </w:rPr>
        <w:t>The Permanente Journal</w:t>
      </w:r>
      <w:r>
        <w:t xml:space="preserve">, </w:t>
      </w:r>
      <w:r>
        <w:rPr>
          <w:i/>
        </w:rPr>
        <w:t>16</w:t>
      </w:r>
      <w:r>
        <w:t xml:space="preserve">(2), 57. </w:t>
      </w:r>
      <w:hyperlink r:id="rId37">
        <w:r>
          <w:rPr>
            <w:color w:val="0563C1"/>
            <w:u w:val="single"/>
          </w:rPr>
          <w:t>https://doi.org/10.7812/TPP/12-015</w:t>
        </w:r>
      </w:hyperlink>
    </w:p>
    <w:p w14:paraId="42E03306" w14:textId="77777777" w:rsidR="00BE4770" w:rsidRPr="001054FF" w:rsidRDefault="00913729" w:rsidP="001E0EDF">
      <w:pPr>
        <w:spacing w:after="80" w:line="264" w:lineRule="auto"/>
        <w:ind w:left="720" w:hanging="720"/>
        <w:jc w:val="both"/>
        <w:rPr>
          <w:rFonts w:cs="Times New Roman"/>
          <w:sz w:val="26"/>
          <w:szCs w:val="26"/>
        </w:rPr>
      </w:pPr>
      <w:r>
        <w:t xml:space="preserve">Lin, S. H., Lin, Y. F., Chen, D. T., Chu, P., Hsu, C. W., &amp; Halperin, M. L. (2004). Laboratory tests to determine the cause of hypokalemia and paralysis. </w:t>
      </w:r>
      <w:r>
        <w:rPr>
          <w:i/>
        </w:rPr>
        <w:t>Archives of Internal Medicine</w:t>
      </w:r>
      <w:r>
        <w:t xml:space="preserve">, </w:t>
      </w:r>
      <w:r>
        <w:rPr>
          <w:i/>
        </w:rPr>
        <w:t>164</w:t>
      </w:r>
      <w:r>
        <w:t xml:space="preserve">(14), 1561–1566. </w:t>
      </w:r>
      <w:hyperlink r:id="rId38">
        <w:r>
          <w:rPr>
            <w:color w:val="0563C1"/>
            <w:u w:val="single"/>
          </w:rPr>
          <w:t>https://doi.org/10.1001/archinte.164.14.1561</w:t>
        </w:r>
      </w:hyperlink>
    </w:p>
    <w:p w14:paraId="2E12350A" w14:textId="77777777" w:rsidR="00BE4770" w:rsidRPr="001054FF" w:rsidRDefault="00913729" w:rsidP="001E0EDF">
      <w:pPr>
        <w:spacing w:after="80" w:line="264" w:lineRule="auto"/>
        <w:ind w:left="720" w:hanging="720"/>
        <w:jc w:val="both"/>
        <w:rPr>
          <w:rFonts w:cs="Times New Roman"/>
          <w:sz w:val="26"/>
          <w:szCs w:val="26"/>
        </w:rPr>
      </w:pPr>
      <w:r>
        <w:t xml:space="preserve">Lok, A. S. F., &amp; McMahon, B. J. (2009). Chronic hepatitis B: Update 2009. </w:t>
      </w:r>
      <w:r>
        <w:rPr>
          <w:i/>
        </w:rPr>
        <w:t>Hepatology</w:t>
      </w:r>
      <w:r>
        <w:t xml:space="preserve">, </w:t>
      </w:r>
      <w:r>
        <w:rPr>
          <w:i/>
        </w:rPr>
        <w:t>50</w:t>
      </w:r>
      <w:r>
        <w:t xml:space="preserve">(3), 661–662. </w:t>
      </w:r>
      <w:hyperlink r:id="rId39">
        <w:r>
          <w:rPr>
            <w:color w:val="0563C1"/>
            <w:u w:val="single"/>
          </w:rPr>
          <w:t>https://doi.org/10.1002/hep.23190</w:t>
        </w:r>
      </w:hyperlink>
    </w:p>
    <w:p w14:paraId="0B897B88" w14:textId="77777777" w:rsidR="00BE4770" w:rsidRPr="001054FF" w:rsidRDefault="00913729" w:rsidP="001E0EDF">
      <w:pPr>
        <w:spacing w:after="80" w:line="264" w:lineRule="auto"/>
        <w:ind w:left="720" w:hanging="720"/>
        <w:jc w:val="both"/>
        <w:rPr>
          <w:rFonts w:cs="Times New Roman"/>
          <w:sz w:val="26"/>
          <w:szCs w:val="26"/>
        </w:rPr>
      </w:pPr>
      <w:r>
        <w:t xml:space="preserve">Lu, K. C., Hsu, Y. J., Chiu, J. S., Hsu, Y. D., &amp; Lin, S. H. (2004). Effects of potassium supplementation on the recovery of thyrotoxic periodic paralysis. </w:t>
      </w:r>
      <w:r>
        <w:rPr>
          <w:i/>
        </w:rPr>
        <w:t>The American Journal of Emergency Medicine</w:t>
      </w:r>
      <w:r>
        <w:t xml:space="preserve">, </w:t>
      </w:r>
      <w:r>
        <w:rPr>
          <w:i/>
        </w:rPr>
        <w:t>22</w:t>
      </w:r>
      <w:r>
        <w:t xml:space="preserve">(7), 544–547. </w:t>
      </w:r>
      <w:hyperlink r:id="rId40">
        <w:r>
          <w:rPr>
            <w:color w:val="0563C1"/>
            <w:u w:val="single"/>
          </w:rPr>
          <w:t>https://doi.org/10.1016/j.ajem.2004.09.016</w:t>
        </w:r>
      </w:hyperlink>
    </w:p>
    <w:p w14:paraId="3454BB0B" w14:textId="77777777" w:rsidR="00BE4770" w:rsidRPr="001054FF" w:rsidRDefault="00913729" w:rsidP="001E0EDF">
      <w:pPr>
        <w:spacing w:after="80" w:line="264" w:lineRule="auto"/>
        <w:ind w:left="720" w:hanging="720"/>
        <w:jc w:val="both"/>
        <w:rPr>
          <w:rFonts w:cs="Times New Roman"/>
          <w:sz w:val="26"/>
          <w:szCs w:val="26"/>
        </w:rPr>
      </w:pPr>
      <w:r>
        <w:t xml:space="preserve">Maciel, R. M. B., Lindsey, S. C., &amp; Dias da Silva, M. R. (2011). Novel etiopathophysiological aspects of thyrotoxic periodic paralysis. </w:t>
      </w:r>
      <w:r>
        <w:rPr>
          <w:i/>
        </w:rPr>
        <w:t>Nature Reviews Endocrinology</w:t>
      </w:r>
      <w:r>
        <w:t xml:space="preserve">, </w:t>
      </w:r>
      <w:r>
        <w:rPr>
          <w:i/>
        </w:rPr>
        <w:t>7</w:t>
      </w:r>
      <w:r>
        <w:t xml:space="preserve">(11), 657–667. </w:t>
      </w:r>
      <w:hyperlink r:id="rId41">
        <w:r>
          <w:rPr>
            <w:color w:val="0563C1"/>
            <w:u w:val="single"/>
          </w:rPr>
          <w:t>https://doi.org/10.1038/nrendo.2011.58</w:t>
        </w:r>
      </w:hyperlink>
    </w:p>
    <w:p w14:paraId="31985609" w14:textId="77777777" w:rsidR="00BE4770" w:rsidRPr="001054FF" w:rsidRDefault="00913729" w:rsidP="001E0EDF">
      <w:pPr>
        <w:spacing w:after="80" w:line="264" w:lineRule="auto"/>
        <w:ind w:left="720" w:hanging="720"/>
        <w:jc w:val="both"/>
        <w:rPr>
          <w:rFonts w:cs="Times New Roman"/>
          <w:sz w:val="26"/>
          <w:szCs w:val="26"/>
        </w:rPr>
      </w:pPr>
      <w:r>
        <w:t xml:space="preserve">Manoukian, M. A., Foote, J. A., &amp; Crapo, L. M. (1999). Clinical and metabolic features of thyrotoxic periodic paralysis in 24 episodes. </w:t>
      </w:r>
      <w:r>
        <w:rPr>
          <w:i/>
        </w:rPr>
        <w:t>Archives of Internal Medicine</w:t>
      </w:r>
      <w:r>
        <w:t xml:space="preserve">, </w:t>
      </w:r>
      <w:r>
        <w:rPr>
          <w:i/>
        </w:rPr>
        <w:t>159</w:t>
      </w:r>
      <w:r>
        <w:t xml:space="preserve">(6), 601–606. </w:t>
      </w:r>
      <w:hyperlink r:id="rId42">
        <w:r>
          <w:rPr>
            <w:color w:val="0563C1"/>
            <w:u w:val="single"/>
          </w:rPr>
          <w:t>https://doi.org/10.1001/archinte.159.6.601</w:t>
        </w:r>
      </w:hyperlink>
    </w:p>
    <w:p w14:paraId="3C296439" w14:textId="77777777" w:rsidR="00BE4770" w:rsidRPr="001054FF" w:rsidRDefault="00913729" w:rsidP="001E0EDF">
      <w:pPr>
        <w:spacing w:after="80" w:line="264" w:lineRule="auto"/>
        <w:ind w:left="720" w:hanging="720"/>
        <w:jc w:val="both"/>
        <w:rPr>
          <w:rFonts w:cs="Times New Roman"/>
          <w:sz w:val="26"/>
          <w:szCs w:val="26"/>
        </w:rPr>
      </w:pPr>
      <w:r>
        <w:t xml:space="preserve">Ropper, A. H. (1992). The Guillain-Barré syndrome. </w:t>
      </w:r>
      <w:r>
        <w:rPr>
          <w:i/>
        </w:rPr>
        <w:t>The New England Journal of Medicine</w:t>
      </w:r>
      <w:r>
        <w:t xml:space="preserve">, </w:t>
      </w:r>
      <w:r>
        <w:rPr>
          <w:i/>
        </w:rPr>
        <w:t>326</w:t>
      </w:r>
      <w:r>
        <w:t xml:space="preserve">(17), 1130–1136. </w:t>
      </w:r>
      <w:hyperlink r:id="rId43">
        <w:r>
          <w:rPr>
            <w:color w:val="0563C1"/>
            <w:u w:val="single"/>
          </w:rPr>
          <w:t>https://doi.org/10.1056/NEJM199204233261706</w:t>
        </w:r>
      </w:hyperlink>
    </w:p>
    <w:p w14:paraId="1AF6A717" w14:textId="77777777" w:rsidR="00BE4770" w:rsidRPr="001054FF" w:rsidRDefault="00913729" w:rsidP="001E0EDF">
      <w:pPr>
        <w:spacing w:after="80" w:line="264" w:lineRule="auto"/>
        <w:ind w:left="720" w:hanging="720"/>
        <w:jc w:val="both"/>
        <w:rPr>
          <w:rFonts w:cs="Times New Roman"/>
          <w:sz w:val="26"/>
          <w:szCs w:val="26"/>
        </w:rPr>
      </w:pPr>
      <w:r>
        <w:t xml:space="preserve">Ruff, R. L. (1999). Insulin acts in hypokalemic periodic paralysis by reducing inward rectifier K+ current. </w:t>
      </w:r>
      <w:r>
        <w:rPr>
          <w:i/>
        </w:rPr>
        <w:t>Neurology</w:t>
      </w:r>
      <w:r>
        <w:t xml:space="preserve">, </w:t>
      </w:r>
      <w:r>
        <w:rPr>
          <w:i/>
        </w:rPr>
        <w:t>53</w:t>
      </w:r>
      <w:r>
        <w:t xml:space="preserve">(7), 1556–1563. </w:t>
      </w:r>
      <w:hyperlink r:id="rId44">
        <w:r>
          <w:rPr>
            <w:color w:val="0563C1"/>
            <w:u w:val="single"/>
          </w:rPr>
          <w:t>https://doi.org/10.1212/WNL.53.7.1556</w:t>
        </w:r>
      </w:hyperlink>
    </w:p>
    <w:p w14:paraId="0374E2AB" w14:textId="77777777" w:rsidR="00BE4770" w:rsidRPr="001054FF" w:rsidRDefault="00913729" w:rsidP="001E0EDF">
      <w:pPr>
        <w:spacing w:after="80" w:line="264" w:lineRule="auto"/>
        <w:ind w:left="720" w:hanging="720"/>
        <w:jc w:val="both"/>
        <w:rPr>
          <w:rFonts w:cs="Times New Roman"/>
          <w:sz w:val="26"/>
          <w:szCs w:val="26"/>
        </w:rPr>
      </w:pPr>
      <w:r>
        <w:t xml:space="preserve">Ryan, D. P., Dias da Silva, M. R., Soong, T. W., Fontaine, B., Donaldson, M. R., Kung, A. W. C., Jongjaroenprasert, W., Liang, M. C., Khoo, D. H. C., Cheah, J. S., Ho, S. C., Bernstein, H. S., Maciel, R. M. B., Brown, R. H., Jr., &amp; Ptáček, L. J. (2010). Mutations in potassium channel Kir2.6 cause susceptibility to thyrotoxic hypokalemic periodic paralysis. </w:t>
      </w:r>
      <w:r>
        <w:rPr>
          <w:i/>
        </w:rPr>
        <w:t>Cell</w:t>
      </w:r>
      <w:r>
        <w:t xml:space="preserve">, </w:t>
      </w:r>
      <w:r>
        <w:rPr>
          <w:i/>
        </w:rPr>
        <w:t>140</w:t>
      </w:r>
      <w:r>
        <w:t xml:space="preserve">(1), 88–98. </w:t>
      </w:r>
      <w:hyperlink r:id="rId45">
        <w:r>
          <w:rPr>
            <w:color w:val="0563C1"/>
            <w:u w:val="single"/>
          </w:rPr>
          <w:t>https://doi.org/10.1016/j.cell.2009.12.024</w:t>
        </w:r>
      </w:hyperlink>
    </w:p>
    <w:p w14:paraId="36286E46" w14:textId="77777777" w:rsidR="00BE4770" w:rsidRPr="001054FF" w:rsidRDefault="00913729" w:rsidP="001E0EDF">
      <w:pPr>
        <w:spacing w:after="80" w:line="264" w:lineRule="auto"/>
        <w:ind w:left="720" w:hanging="720"/>
        <w:jc w:val="both"/>
        <w:rPr>
          <w:rFonts w:cs="Times New Roman"/>
          <w:sz w:val="26"/>
          <w:szCs w:val="26"/>
        </w:rPr>
      </w:pPr>
      <w:r>
        <w:t xml:space="preserve">Sansone, V. A., Burge, J., McDermott, M. P., Smith, P. C., Herr, B., Tawil, R., Pandya, S., Kissel, J., Ciafaloni, E., Shieh, P., Ralph, J. W., Amato, A., Cannon, S. C., Trivedi, J., Barohn, R., Crum, B., Mitsumoto, H., Pestronk, A., Meola, G., … Griggs, R. C. (2016). Randomized, placebo-controlled trials of dichlorphenamide in periodic paralysis. </w:t>
      </w:r>
      <w:r>
        <w:rPr>
          <w:i/>
        </w:rPr>
        <w:t>Neurology</w:t>
      </w:r>
      <w:r>
        <w:t xml:space="preserve">, </w:t>
      </w:r>
      <w:r>
        <w:rPr>
          <w:i/>
        </w:rPr>
        <w:t>86</w:t>
      </w:r>
      <w:r>
        <w:t xml:space="preserve">(15), 1408–1416. </w:t>
      </w:r>
      <w:hyperlink r:id="rId46">
        <w:r>
          <w:rPr>
            <w:color w:val="0563C1"/>
            <w:u w:val="single"/>
          </w:rPr>
          <w:t>https://doi.org/10.1212/WNL.0000000000002416</w:t>
        </w:r>
      </w:hyperlink>
    </w:p>
    <w:p w14:paraId="481B3717" w14:textId="77777777" w:rsidR="00BE4770" w:rsidRPr="001054FF" w:rsidRDefault="00913729" w:rsidP="001E0EDF">
      <w:pPr>
        <w:spacing w:after="80" w:line="264" w:lineRule="auto"/>
        <w:ind w:left="720" w:hanging="720"/>
        <w:jc w:val="both"/>
        <w:rPr>
          <w:rFonts w:cs="Times New Roman"/>
          <w:sz w:val="26"/>
          <w:szCs w:val="26"/>
        </w:rPr>
      </w:pPr>
      <w:r>
        <w:t xml:space="preserve">Sardar, Z., Waheed, K. A. F., Javed, M. A., Akhtar, F., &amp; Bokhari, S. R. A. (2019). Clinical and etiological spectrum of hypokalemic periodic paralysis in a tertiary care hospital in Pakistan. </w:t>
      </w:r>
      <w:r>
        <w:rPr>
          <w:i/>
        </w:rPr>
        <w:t>Cureus</w:t>
      </w:r>
      <w:r>
        <w:t xml:space="preserve">, </w:t>
      </w:r>
      <w:r>
        <w:rPr>
          <w:i/>
        </w:rPr>
        <w:t>11</w:t>
      </w:r>
      <w:r>
        <w:t xml:space="preserve">(1), e3921. </w:t>
      </w:r>
      <w:hyperlink r:id="rId47">
        <w:r>
          <w:rPr>
            <w:color w:val="0563C1"/>
            <w:u w:val="single"/>
          </w:rPr>
          <w:t>https://doi.org/10.7759/cureus.3921</w:t>
        </w:r>
      </w:hyperlink>
    </w:p>
    <w:p w14:paraId="571D4805" w14:textId="77777777" w:rsidR="00BE4770" w:rsidRPr="001054FF" w:rsidRDefault="00913729" w:rsidP="001E0EDF">
      <w:pPr>
        <w:spacing w:after="80" w:line="264" w:lineRule="auto"/>
        <w:ind w:left="720" w:hanging="720"/>
        <w:jc w:val="both"/>
        <w:rPr>
          <w:rFonts w:cs="Times New Roman"/>
          <w:sz w:val="26"/>
          <w:szCs w:val="26"/>
        </w:rPr>
      </w:pPr>
      <w:r>
        <w:t xml:space="preserve">Sheikh, R. Y., Bhat, N. A., Mustafa, F., Tripathi, P., Johri, N., &amp; Wani, I. (2024). Hypokalemic paralysis as presenting manifestation of systemic diseases: A case series. </w:t>
      </w:r>
      <w:r>
        <w:rPr>
          <w:i/>
        </w:rPr>
        <w:t>The Egyptian Journal of Internal Medicine</w:t>
      </w:r>
      <w:r>
        <w:t xml:space="preserve">, </w:t>
      </w:r>
      <w:r>
        <w:rPr>
          <w:i/>
        </w:rPr>
        <w:t>36</w:t>
      </w:r>
      <w:r>
        <w:t xml:space="preserve">, 65. </w:t>
      </w:r>
      <w:hyperlink r:id="rId48">
        <w:r>
          <w:rPr>
            <w:color w:val="0563C1"/>
            <w:u w:val="single"/>
          </w:rPr>
          <w:t>https://doi.org/10.1186/s43162-024-00333-5</w:t>
        </w:r>
      </w:hyperlink>
    </w:p>
    <w:p w14:paraId="1960B96A" w14:textId="77777777" w:rsidR="00BE4770" w:rsidRPr="001054FF" w:rsidRDefault="00913729" w:rsidP="001E0EDF">
      <w:pPr>
        <w:spacing w:after="80" w:line="264" w:lineRule="auto"/>
        <w:ind w:left="720" w:hanging="720"/>
        <w:jc w:val="both"/>
        <w:rPr>
          <w:rFonts w:cs="Times New Roman"/>
          <w:sz w:val="26"/>
          <w:szCs w:val="26"/>
        </w:rPr>
      </w:pPr>
      <w:r>
        <w:t xml:space="preserve">Statland, J. M., Fontaine, B., Hanna, M. G., Johnson, N. E., Kissel, J. T., Sansone, V. A., Shieh, P. B., Tawil, R. N., Trivedi, J., Cannon, S. C., &amp; Griggs, R. C. (2018). Review of the diagnosis and treatment of periodic paralysis. </w:t>
      </w:r>
      <w:r>
        <w:rPr>
          <w:i/>
        </w:rPr>
        <w:t>Muscle &amp; Nerve</w:t>
      </w:r>
      <w:r>
        <w:t xml:space="preserve">, </w:t>
      </w:r>
      <w:r>
        <w:rPr>
          <w:i/>
        </w:rPr>
        <w:t>57</w:t>
      </w:r>
      <w:r>
        <w:t xml:space="preserve">(4), 522–530. </w:t>
      </w:r>
      <w:hyperlink r:id="rId49">
        <w:r>
          <w:rPr>
            <w:color w:val="0563C1"/>
            <w:u w:val="single"/>
          </w:rPr>
          <w:t>https://doi.org/10.1002/mus.26009</w:t>
        </w:r>
      </w:hyperlink>
    </w:p>
    <w:p w14:paraId="2EB5E9EE" w14:textId="77777777" w:rsidR="00BE4770" w:rsidRPr="001054FF" w:rsidRDefault="00913729" w:rsidP="001E0EDF">
      <w:pPr>
        <w:spacing w:after="80" w:line="264" w:lineRule="auto"/>
        <w:ind w:left="720" w:hanging="720"/>
        <w:jc w:val="both"/>
        <w:rPr>
          <w:rFonts w:cs="Times New Roman"/>
          <w:sz w:val="26"/>
          <w:szCs w:val="26"/>
        </w:rPr>
      </w:pPr>
      <w:r>
        <w:t xml:space="preserve">Struyk, A. F., &amp; Cannon, S. C. (2007). A Na+ channel mutation linked to hypokalemic periodic paralysis exposes a proton-selective gating pore. </w:t>
      </w:r>
      <w:r>
        <w:rPr>
          <w:i/>
        </w:rPr>
        <w:t>The Journal of General Physiology</w:t>
      </w:r>
      <w:r>
        <w:t xml:space="preserve">, </w:t>
      </w:r>
      <w:r>
        <w:rPr>
          <w:i/>
        </w:rPr>
        <w:t>130</w:t>
      </w:r>
      <w:r>
        <w:t xml:space="preserve">(1), 11–20. </w:t>
      </w:r>
      <w:hyperlink r:id="rId50">
        <w:r>
          <w:rPr>
            <w:color w:val="0563C1"/>
            <w:u w:val="single"/>
          </w:rPr>
          <w:t>https://doi.org/10.1085/jgp.200709755</w:t>
        </w:r>
      </w:hyperlink>
    </w:p>
    <w:p w14:paraId="13DC21CF" w14:textId="77777777" w:rsidR="00BE4770" w:rsidRPr="001054FF" w:rsidRDefault="00913729" w:rsidP="001E0EDF">
      <w:pPr>
        <w:spacing w:after="80" w:line="264" w:lineRule="auto"/>
        <w:ind w:left="720" w:hanging="720"/>
        <w:jc w:val="both"/>
        <w:rPr>
          <w:rFonts w:cs="Times New Roman"/>
          <w:sz w:val="26"/>
          <w:szCs w:val="26"/>
        </w:rPr>
      </w:pPr>
      <w:r>
        <w:t xml:space="preserve">Surawicz, B. (1967). Relationship between electrocardiogram and electrolytes. </w:t>
      </w:r>
      <w:r>
        <w:rPr>
          <w:i/>
        </w:rPr>
        <w:t>American Heart Journal</w:t>
      </w:r>
      <w:r>
        <w:t xml:space="preserve">, </w:t>
      </w:r>
      <w:r>
        <w:rPr>
          <w:i/>
        </w:rPr>
        <w:t>73</w:t>
      </w:r>
      <w:r>
        <w:t xml:space="preserve">(6), 814–834. </w:t>
      </w:r>
      <w:hyperlink r:id="rId51">
        <w:r>
          <w:rPr>
            <w:color w:val="0563C1"/>
            <w:u w:val="single"/>
          </w:rPr>
          <w:t>https://doi.org/10.1016/0002-8703(67)90233-5</w:t>
        </w:r>
      </w:hyperlink>
    </w:p>
    <w:p w14:paraId="7F09CD93" w14:textId="77777777" w:rsidR="00101DAD" w:rsidRPr="001054FF" w:rsidRDefault="00000000" w:rsidP="001E0EDF">
      <w:pPr>
        <w:spacing w:after="80" w:line="264" w:lineRule="auto"/>
        <w:ind w:left="720" w:hanging="720"/>
        <w:jc w:val="both"/>
        <w:rPr>
          <w:rFonts w:cs="Times New Roman"/>
          <w:sz w:val="26"/>
          <w:szCs w:val="26"/>
        </w:rPr>
      </w:pPr>
      <w:r>
        <w:t xml:space="preserve">Venance, S. L., Cannon, S. C., Fialho, D., Fontaine, B., Hanna, M. G., Ptáček, L. J., Tristani-Firouzi, M., Tawil, R., &amp; Griggs, R. C. (2006). The primary periodic paralyses: Diagnosis, pathogenesis and treatment. </w:t>
      </w:r>
      <w:r>
        <w:rPr>
          <w:i/>
        </w:rPr>
        <w:t>Brain</w:t>
      </w:r>
      <w:r>
        <w:t xml:space="preserve">, </w:t>
      </w:r>
      <w:r>
        <w:rPr>
          <w:i/>
        </w:rPr>
        <w:t>129</w:t>
      </w:r>
      <w:r>
        <w:t xml:space="preserve">(1), 8–17. </w:t>
      </w:r>
      <w:hyperlink r:id="rId52">
        <w:r>
          <w:rPr>
            <w:color w:val="0563C1"/>
            <w:u w:val="single"/>
          </w:rPr>
          <w:t>https://doi.org/10.1093/brain/awh639</w:t>
        </w:r>
      </w:hyperlink>
    </w:p>
    <w:p w14:paraId="36207644" w14:textId="77777777" w:rsidR="00101DAD" w:rsidRPr="001054FF" w:rsidRDefault="00000000" w:rsidP="001E0EDF">
      <w:pPr>
        <w:spacing w:after="80" w:line="264" w:lineRule="auto"/>
        <w:ind w:left="720" w:hanging="720"/>
        <w:jc w:val="both"/>
        <w:rPr>
          <w:rFonts w:cs="Times New Roman"/>
          <w:sz w:val="26"/>
          <w:szCs w:val="26"/>
        </w:rPr>
      </w:pPr>
      <w:r>
        <w:t xml:space="preserve">Wakerley, B. R., &amp; Yuki, N. (2015). Mimics and chameleons in Guillain-Barré and Miller Fisher syndromes. </w:t>
      </w:r>
      <w:r>
        <w:rPr>
          <w:i/>
        </w:rPr>
        <w:t>Practical Neurology</w:t>
      </w:r>
      <w:r>
        <w:t xml:space="preserve">, </w:t>
      </w:r>
      <w:r>
        <w:rPr>
          <w:i/>
        </w:rPr>
        <w:t>15</w:t>
      </w:r>
      <w:r>
        <w:t xml:space="preserve">(2), 90–99. </w:t>
      </w:r>
      <w:hyperlink r:id="rId53">
        <w:r>
          <w:rPr>
            <w:color w:val="0563C1"/>
            <w:u w:val="single"/>
          </w:rPr>
          <w:t>https://doi.org/10.1136/practneurol-2014-000937</w:t>
        </w:r>
      </w:hyperlink>
    </w:p>
    <w:p w14:paraId="1665DDE8" w14:textId="77777777" w:rsidR="00101DAD" w:rsidRPr="001054FF" w:rsidRDefault="00000000" w:rsidP="001E0EDF">
      <w:pPr>
        <w:spacing w:after="80" w:line="264" w:lineRule="auto"/>
        <w:ind w:left="720" w:hanging="720"/>
        <w:jc w:val="both"/>
        <w:rPr>
          <w:rFonts w:cs="Times New Roman"/>
          <w:sz w:val="26"/>
          <w:szCs w:val="26"/>
        </w:rPr>
      </w:pPr>
      <w:r>
        <w:t xml:space="preserve">Weber, F., &amp; Lehmann-Horn, F. (2018). Hypokalemic periodic paralysis. In M. P. Adam, S. Bick, G. M. Mirzaa, R. A. Pagon, S. E. Wallace, &amp; A. Amemiya (Eds.), </w:t>
      </w:r>
      <w:r>
        <w:rPr>
          <w:i/>
        </w:rPr>
        <w:t>GeneReviews®</w:t>
      </w:r>
      <w:r>
        <w:t xml:space="preserve">. University of Washington, Seattle. </w:t>
      </w:r>
      <w:hyperlink r:id="rId54">
        <w:r>
          <w:rPr>
            <w:color w:val="0563C1"/>
            <w:u w:val="single"/>
          </w:rPr>
          <w:t>https://www.ncbi.nlm.nih.gov/books/NBK1338/</w:t>
        </w:r>
      </w:hyperlink>
    </w:p>
    <w:p w14:paraId="5CFEC088" w14:textId="77777777" w:rsidR="00101DAD" w:rsidRDefault="00000000" w:rsidP="001E0EDF">
      <w:pPr>
        <w:spacing w:after="80" w:line="264" w:lineRule="auto"/>
        <w:ind w:left="720" w:hanging="720"/>
        <w:jc w:val="both"/>
        <w:rPr>
          <w:rFonts w:cs="Times New Roman"/>
          <w:sz w:val="26"/>
          <w:szCs w:val="26"/>
        </w:rPr>
      </w:pPr>
      <w:r>
        <w:t xml:space="preserve">Willison, H. J., Jacobs, B. C., &amp; van Doorn, P. A. (2016). Guillain-Barré syndrome. </w:t>
      </w:r>
      <w:r>
        <w:rPr>
          <w:i/>
        </w:rPr>
        <w:t>The Lancet</w:t>
      </w:r>
      <w:r>
        <w:t xml:space="preserve">, </w:t>
      </w:r>
      <w:r>
        <w:rPr>
          <w:i/>
        </w:rPr>
        <w:t>388</w:t>
      </w:r>
      <w:r>
        <w:t xml:space="preserve">(10045), 717–727. </w:t>
      </w:r>
      <w:hyperlink r:id="rId55">
        <w:r>
          <w:rPr>
            <w:color w:val="0563C1"/>
            <w:u w:val="single"/>
          </w:rPr>
          <w:t>https://doi.org/10.1016/S0140-6736(16)00339-1</w:t>
        </w:r>
      </w:hyperlink>
    </w:p>
    <w:sectPr w:rsidR="00101DAD" w:rsidSect="00F60DA7">
      <w:type w:val="evenPag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51135" w14:textId="77777777" w:rsidR="00850D27" w:rsidRDefault="00850D27" w:rsidP="00A85202">
      <w:pPr>
        <w:spacing w:after="0" w:line="240" w:lineRule="auto"/>
      </w:pPr>
      <w:r>
        <w:separator/>
      </w:r>
    </w:p>
  </w:endnote>
  <w:endnote w:type="continuationSeparator" w:id="0">
    <w:p w14:paraId="553B1AB4" w14:textId="77777777" w:rsidR="00850D27" w:rsidRDefault="00850D27" w:rsidP="00A85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8067B" w14:textId="77777777" w:rsidR="00A85202" w:rsidRDefault="00A852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C09F8" w14:textId="77777777" w:rsidR="00A85202" w:rsidRDefault="00A852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FC3CB" w14:textId="77777777" w:rsidR="00A85202" w:rsidRDefault="00A852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4D7E8" w14:textId="77777777" w:rsidR="00850D27" w:rsidRDefault="00850D27" w:rsidP="00A85202">
      <w:pPr>
        <w:spacing w:after="0" w:line="240" w:lineRule="auto"/>
      </w:pPr>
      <w:r>
        <w:separator/>
      </w:r>
    </w:p>
  </w:footnote>
  <w:footnote w:type="continuationSeparator" w:id="0">
    <w:p w14:paraId="4BC9ABEF" w14:textId="77777777" w:rsidR="00850D27" w:rsidRDefault="00850D27" w:rsidP="00A852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715CC" w14:textId="77777777" w:rsidR="00A85202" w:rsidRDefault="00000000">
    <w:pPr>
      <w:pStyle w:val="Header"/>
    </w:pPr>
    <w:r>
      <w:rPr>
        <w:noProof/>
      </w:rPr>
      <w:pict w14:anchorId="77DDF3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6826016"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9C99C" w14:textId="77777777" w:rsidR="00A85202" w:rsidRDefault="00000000">
    <w:pPr>
      <w:pStyle w:val="Header"/>
    </w:pPr>
    <w:r>
      <w:rPr>
        <w:noProof/>
      </w:rPr>
      <w:pict w14:anchorId="12E4D7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6826017"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F41E9" w14:textId="77777777" w:rsidR="00A85202" w:rsidRDefault="00000000">
    <w:pPr>
      <w:pStyle w:val="Header"/>
    </w:pPr>
    <w:r>
      <w:rPr>
        <w:noProof/>
      </w:rPr>
      <w:pict w14:anchorId="3C9089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6826015"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88395711">
    <w:abstractNumId w:val="8"/>
  </w:num>
  <w:num w:numId="2" w16cid:durableId="1669867600">
    <w:abstractNumId w:val="6"/>
  </w:num>
  <w:num w:numId="3" w16cid:durableId="1486317225">
    <w:abstractNumId w:val="5"/>
  </w:num>
  <w:num w:numId="4" w16cid:durableId="865488476">
    <w:abstractNumId w:val="4"/>
  </w:num>
  <w:num w:numId="5" w16cid:durableId="137192315">
    <w:abstractNumId w:val="7"/>
  </w:num>
  <w:num w:numId="6" w16cid:durableId="1831679941">
    <w:abstractNumId w:val="3"/>
  </w:num>
  <w:num w:numId="7" w16cid:durableId="1815220961">
    <w:abstractNumId w:val="2"/>
  </w:num>
  <w:num w:numId="8" w16cid:durableId="1220941840">
    <w:abstractNumId w:val="1"/>
  </w:num>
  <w:num w:numId="9" w16cid:durableId="59255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GyNDY2Njc3NTI2MjRQ0lEKTi0uzszPAykwrAUAee4/AiwAAAA="/>
  </w:docVars>
  <w:rsids>
    <w:rsidRoot w:val="00B47730"/>
    <w:rsid w:val="0003313F"/>
    <w:rsid w:val="00034616"/>
    <w:rsid w:val="0006063C"/>
    <w:rsid w:val="00101209"/>
    <w:rsid w:val="00101DAD"/>
    <w:rsid w:val="001054FF"/>
    <w:rsid w:val="001072C0"/>
    <w:rsid w:val="0015074B"/>
    <w:rsid w:val="001A00AB"/>
    <w:rsid w:val="001E0EDF"/>
    <w:rsid w:val="0029639D"/>
    <w:rsid w:val="00307F47"/>
    <w:rsid w:val="00326F90"/>
    <w:rsid w:val="003A4BD1"/>
    <w:rsid w:val="003D1740"/>
    <w:rsid w:val="003E3E8A"/>
    <w:rsid w:val="00405E92"/>
    <w:rsid w:val="00462B54"/>
    <w:rsid w:val="004E2E70"/>
    <w:rsid w:val="00617636"/>
    <w:rsid w:val="006A1212"/>
    <w:rsid w:val="006A4C61"/>
    <w:rsid w:val="006D46A9"/>
    <w:rsid w:val="007265D3"/>
    <w:rsid w:val="00744940"/>
    <w:rsid w:val="0077795E"/>
    <w:rsid w:val="007B6BAF"/>
    <w:rsid w:val="007F5D0A"/>
    <w:rsid w:val="00812867"/>
    <w:rsid w:val="00850D27"/>
    <w:rsid w:val="00890CD3"/>
    <w:rsid w:val="00913729"/>
    <w:rsid w:val="009E1B8E"/>
    <w:rsid w:val="00A85202"/>
    <w:rsid w:val="00AA1D8D"/>
    <w:rsid w:val="00AB3FBF"/>
    <w:rsid w:val="00B47730"/>
    <w:rsid w:val="00B91C39"/>
    <w:rsid w:val="00BE4770"/>
    <w:rsid w:val="00BF0CEE"/>
    <w:rsid w:val="00CB0664"/>
    <w:rsid w:val="00D06D1F"/>
    <w:rsid w:val="00DE4F49"/>
    <w:rsid w:val="00E6694D"/>
    <w:rsid w:val="00EB1144"/>
    <w:rsid w:val="00ED5B85"/>
    <w:rsid w:val="00F60DA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2DEBA6"/>
  <w14:defaultImageDpi w14:val="300"/>
  <w15:docId w15:val="{2211F176-DCF0-489D-ABCB-B0FBF795A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072C0"/>
    <w:rPr>
      <w:color w:val="0000FF" w:themeColor="hyperlink"/>
      <w:u w:val="single"/>
    </w:rPr>
  </w:style>
  <w:style w:type="character" w:styleId="UnresolvedMention">
    <w:name w:val="Unresolved Mention"/>
    <w:basedOn w:val="DefaultParagraphFont"/>
    <w:uiPriority w:val="99"/>
    <w:semiHidden/>
    <w:unhideWhenUsed/>
    <w:rsid w:val="001072C0"/>
    <w:rPr>
      <w:color w:val="605E5C"/>
      <w:shd w:val="clear" w:color="auto" w:fill="E1DFDD"/>
    </w:rPr>
  </w:style>
  <w:style w:type="paragraph" w:styleId="NormalWeb">
    <w:name w:val="Normal (Web)"/>
    <w:basedOn w:val="Normal"/>
    <w:uiPriority w:val="99"/>
    <w:semiHidden/>
    <w:unhideWhenUsed/>
    <w:rsid w:val="00AB3FBF"/>
    <w:rPr>
      <w:rFonts w:cs="Times New Roman"/>
      <w:sz w:val="24"/>
      <w:szCs w:val="24"/>
    </w:rPr>
  </w:style>
  <w:style w:type="paragraph" w:customStyle="1" w:styleId="pdq2pgselectionanchorcontainer">
    <w:name w:val="pdq2pg_selectionanchorcontainer"/>
    <w:basedOn w:val="Normal"/>
    <w:rsid w:val="001E0EDF"/>
    <w:pPr>
      <w:spacing w:before="100" w:beforeAutospacing="1" w:after="100" w:afterAutospacing="1" w:line="240" w:lineRule="auto"/>
    </w:pPr>
    <w:rPr>
      <w:rFonts w:eastAsia="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6516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17" Type="http://schemas.openxmlformats.org/officeDocument/2006/relationships/hyperlink" Target="https://doi.org/10.1136/pgmj.75.882.193" TargetMode="External"/><Relationship Id="rId18" Type="http://schemas.openxmlformats.org/officeDocument/2006/relationships/hyperlink" Target="https://doi.org/10.1159/000541585" TargetMode="External"/><Relationship Id="rId19" Type="http://schemas.openxmlformats.org/officeDocument/2006/relationships/hyperlink" Target="https://doi.org/10.9734/ijmpcr/2026/v19i3520" TargetMode="External"/><Relationship Id="rId20" Type="http://schemas.openxmlformats.org/officeDocument/2006/relationships/hyperlink" Target="https://doi.org/10.1212/WNL.53.9.1932" TargetMode="External"/><Relationship Id="rId21" Type="http://schemas.openxmlformats.org/officeDocument/2006/relationships/hyperlink" Target="https://doi.org/10.1007/s11910-011-0238-3" TargetMode="External"/><Relationship Id="rId22" Type="http://schemas.openxmlformats.org/officeDocument/2006/relationships/hyperlink" Target="https://doi.org/10.1002/cphy.c140062" TargetMode="External"/><Relationship Id="rId23" Type="http://schemas.openxmlformats.org/officeDocument/2006/relationships/hyperlink" Target="https://doi.org/10.1152/physrev.00011.2003" TargetMode="External"/><Relationship Id="rId24" Type="http://schemas.openxmlformats.org/officeDocument/2006/relationships/hyperlink" Target="https://doi.org/10.1016/j.jemermed.2004.04.006" TargetMode="External"/><Relationship Id="rId25" Type="http://schemas.openxmlformats.org/officeDocument/2006/relationships/hyperlink" Target="https://doi.org/10.1016/j.idc.2008.03.005" TargetMode="External"/><Relationship Id="rId26" Type="http://schemas.openxmlformats.org/officeDocument/2006/relationships/hyperlink" Target="https://doi.org/10.1016/S0065-2660(08)01001-8" TargetMode="External"/><Relationship Id="rId27" Type="http://schemas.openxmlformats.org/officeDocument/2006/relationships/hyperlink" Target="https://doi.org/10.3803/EnM.2025.2554" TargetMode="External"/><Relationship Id="rId28" Type="http://schemas.openxmlformats.org/officeDocument/2006/relationships/hyperlink" Target="https://doi.org/10.1056/NEJM199808133390707" TargetMode="External"/><Relationship Id="rId29" Type="http://schemas.openxmlformats.org/officeDocument/2006/relationships/hyperlink" Target="https://doi.org/10.4103/0971-4065.78085" TargetMode="External"/><Relationship Id="rId30" Type="http://schemas.openxmlformats.org/officeDocument/2006/relationships/hyperlink" Target="https://doi.org/10.3389/fphar.2012.00112" TargetMode="External"/><Relationship Id="rId31" Type="http://schemas.openxmlformats.org/officeDocument/2006/relationships/hyperlink" Target="https://doi.org/10.1093/hmg/3.8.1415" TargetMode="External"/><Relationship Id="rId32" Type="http://schemas.openxmlformats.org/officeDocument/2006/relationships/hyperlink" Target="https://doi.org/10.4103/0972-2327.112469" TargetMode="External"/><Relationship Id="rId33" Type="http://schemas.openxmlformats.org/officeDocument/2006/relationships/hyperlink" Target="https://doi.org/10.1016/0002-9343(82)90522-8" TargetMode="External"/><Relationship Id="rId34" Type="http://schemas.openxmlformats.org/officeDocument/2006/relationships/hyperlink" Target="https://doi.org/10.1136/emj.2003.004465" TargetMode="External"/><Relationship Id="rId35" Type="http://schemas.openxmlformats.org/officeDocument/2006/relationships/hyperlink" Target="https://doi.org/10.1210/jc.2006-0356" TargetMode="External"/><Relationship Id="rId36" Type="http://schemas.openxmlformats.org/officeDocument/2006/relationships/hyperlink" Target="https://doi.org/10.1007/s11910-002-0055-9" TargetMode="External"/><Relationship Id="rId37" Type="http://schemas.openxmlformats.org/officeDocument/2006/relationships/hyperlink" Target="https://doi.org/10.7812/TPP/12-015" TargetMode="External"/><Relationship Id="rId38" Type="http://schemas.openxmlformats.org/officeDocument/2006/relationships/hyperlink" Target="https://doi.org/10.1001/archinte.164.14.1561" TargetMode="External"/><Relationship Id="rId39" Type="http://schemas.openxmlformats.org/officeDocument/2006/relationships/hyperlink" Target="https://doi.org/10.1002/hep.23190" TargetMode="External"/><Relationship Id="rId40" Type="http://schemas.openxmlformats.org/officeDocument/2006/relationships/hyperlink" Target="https://doi.org/10.1016/j.ajem.2004.09.016" TargetMode="External"/><Relationship Id="rId41" Type="http://schemas.openxmlformats.org/officeDocument/2006/relationships/hyperlink" Target="https://doi.org/10.1038/nrendo.2011.58" TargetMode="External"/><Relationship Id="rId42" Type="http://schemas.openxmlformats.org/officeDocument/2006/relationships/hyperlink" Target="https://doi.org/10.1001/archinte.159.6.601" TargetMode="External"/><Relationship Id="rId43" Type="http://schemas.openxmlformats.org/officeDocument/2006/relationships/hyperlink" Target="https://doi.org/10.1056/NEJM199204233261706" TargetMode="External"/><Relationship Id="rId44" Type="http://schemas.openxmlformats.org/officeDocument/2006/relationships/hyperlink" Target="https://doi.org/10.1212/WNL.53.7.1556" TargetMode="External"/><Relationship Id="rId45" Type="http://schemas.openxmlformats.org/officeDocument/2006/relationships/hyperlink" Target="https://doi.org/10.1016/j.cell.2009.12.024" TargetMode="External"/><Relationship Id="rId46" Type="http://schemas.openxmlformats.org/officeDocument/2006/relationships/hyperlink" Target="https://doi.org/10.1212/WNL.0000000000002416" TargetMode="External"/><Relationship Id="rId47" Type="http://schemas.openxmlformats.org/officeDocument/2006/relationships/hyperlink" Target="https://doi.org/10.7759/cureus.3921" TargetMode="External"/><Relationship Id="rId48" Type="http://schemas.openxmlformats.org/officeDocument/2006/relationships/hyperlink" Target="https://doi.org/10.1186/s43162-024-00333-5" TargetMode="External"/><Relationship Id="rId49" Type="http://schemas.openxmlformats.org/officeDocument/2006/relationships/hyperlink" Target="https://doi.org/10.1002/mus.26009" TargetMode="External"/><Relationship Id="rId50" Type="http://schemas.openxmlformats.org/officeDocument/2006/relationships/hyperlink" Target="https://doi.org/10.1085/jgp.200709755" TargetMode="External"/><Relationship Id="rId51" Type="http://schemas.openxmlformats.org/officeDocument/2006/relationships/hyperlink" Target="https://doi.org/10.1016/0002-8703(67)90233-5" TargetMode="External"/><Relationship Id="rId52" Type="http://schemas.openxmlformats.org/officeDocument/2006/relationships/hyperlink" Target="https://doi.org/10.1093/brain/awh639" TargetMode="External"/><Relationship Id="rId53" Type="http://schemas.openxmlformats.org/officeDocument/2006/relationships/hyperlink" Target="https://doi.org/10.1136/practneurol-2014-000937" TargetMode="External"/><Relationship Id="rId54" Type="http://schemas.openxmlformats.org/officeDocument/2006/relationships/hyperlink" Target="https://www.ncbi.nlm.nih.gov/books/NBK1338/" TargetMode="External"/><Relationship Id="rId55" Type="http://schemas.openxmlformats.org/officeDocument/2006/relationships/hyperlink" Target="https://doi.org/10.1016/S0140-6736(16)0033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B9E255-E0B1-4A73-B3EB-A127BE100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17</Pages>
  <Words>5126</Words>
  <Characters>29222</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34280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PC New 16</cp:lastModifiedBy>
  <cp:revision>10</cp:revision>
  <cp:lastPrinted>2026-09-09T09:21:00Z</cp:lastPrinted>
  <dcterms:created xsi:type="dcterms:W3CDTF">2026-09-09T09:22:00Z</dcterms:created>
  <dcterms:modified xsi:type="dcterms:W3CDTF">2026-09-19T12:09:00Z</dcterms:modified>
  <cp:category/>
</cp:coreProperties>
</file>