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B7E1F" w14:textId="77777777" w:rsidR="00DA7C24" w:rsidRDefault="00000000">
      <w:pPr>
        <w:spacing w:after="160"/>
        <w:jc w:val="center"/>
      </w:pPr>
      <w:r>
        <w:rPr>
          <w:b/>
          <w:sz w:val="28"/>
        </w:rPr>
        <w:t>SHAREHOLDER RIGHTS AND ORGANIZATIONAL PERFORMANCE OF COMMERCIAL BANKS IN KISUMU COUNTY, KENYA</w:t>
      </w:r>
    </w:p>
    <w:p w14:paraId="23223239" w14:textId="77777777" w:rsidR="00DA7C24" w:rsidRDefault="00000000">
      <w:pPr>
        <w:keepNext/>
        <w:spacing w:before="200" w:after="80"/>
      </w:pPr>
      <w:r>
        <w:rPr>
          <w:b/>
          <w:sz w:val="24"/>
        </w:rPr>
        <w:t>ABSTRACT</w:t>
      </w:r>
    </w:p>
    <w:p w14:paraId="71ED68B4" w14:textId="77777777" w:rsidR="00DA7C24" w:rsidRDefault="00000000">
      <w:pPr>
        <w:jc w:val="both"/>
      </w:pPr>
      <w:r>
        <w:t xml:space="preserve">Commercial banks operate under governance arrangements in which shareholder participation, access to information, voting rights, and protection of ownership interests can influence accountability and strategic oversight. This study examined the association between shareholder rights and </w:t>
      </w:r>
      <w:r>
        <w:rPr>
          <w:highlight w:val="yellow"/>
        </w:rPr>
        <w:t>organisational</w:t>
      </w:r>
      <w:r>
        <w:t xml:space="preserve"> performance among commercial banks in Kisumu County, Kenya. A descriptive cross-sectional survey design was used. The target population comprised 536 top- and middle-level managers across 67 branches of 26 commercial banks, and 224 managers were selected using stratified sampling. Of the 224 questionnaires distributed, 194 were returned, yielding an 86.6% response rate. A structured questionnaire was used to measure shareholder rights and survey-based </w:t>
      </w:r>
      <w:r>
        <w:rPr>
          <w:highlight w:val="yellow"/>
        </w:rPr>
        <w:t>organisational</w:t>
      </w:r>
      <w:r>
        <w:t xml:space="preserve"> performance. A pilot study with 22 managers from seven commercial bank branches in Kakamega County was used to refine the instrument. Descriptive statistics, Pearson correlation, and multiple regression were applied. Shareholder rights were positively associated with </w:t>
      </w:r>
      <w:r>
        <w:rPr>
          <w:highlight w:val="yellow"/>
        </w:rPr>
        <w:t>organisational</w:t>
      </w:r>
      <w:r>
        <w:t xml:space="preserve"> performance (r = .362, p &lt; .001). In a multivariable model adjusting for board composition, board size, and transparency, shareholder rights retained a positive association with </w:t>
      </w:r>
      <w:r>
        <w:rPr>
          <w:highlight w:val="yellow"/>
        </w:rPr>
        <w:t>organisational</w:t>
      </w:r>
      <w:r>
        <w:t xml:space="preserve"> performance (B = .211, SE = .098, </w:t>
      </w:r>
      <w:r>
        <w:rPr>
          <w:highlight w:val="yellow"/>
        </w:rPr>
        <w:t>standardised</w:t>
      </w:r>
      <w:r>
        <w:t xml:space="preserve"> Beta = .192, p = .033). The full model was statistically significant, </w:t>
      </w:r>
      <w:proofErr w:type="gramStart"/>
      <w:r>
        <w:t>F(</w:t>
      </w:r>
      <w:proofErr w:type="gramEnd"/>
      <w:r>
        <w:t xml:space="preserve">4, 189) = 16.72, p &lt; .001, and explained 26.1% of the variance in </w:t>
      </w:r>
      <w:r>
        <w:rPr>
          <w:highlight w:val="yellow"/>
        </w:rPr>
        <w:t>organisational</w:t>
      </w:r>
      <w:r>
        <w:t xml:space="preserve"> performance (R2 = .261). The findings support a cautious conclusion that stronger shareholder-rights practices are associated with better perceived </w:t>
      </w:r>
      <w:r>
        <w:rPr>
          <w:highlight w:val="yellow"/>
        </w:rPr>
        <w:t>organisational</w:t>
      </w:r>
      <w:r>
        <w:t xml:space="preserve"> performance, while the cross-sectional design does not establish causality. Banks should therefore strengthen transparent participation mechanisms, equitable treatment of shareholders, and timely access to corporate information while continuing to evaluate governance outcomes using objective performance indicators.</w:t>
      </w:r>
    </w:p>
    <w:p w14:paraId="3BD6C3D7" w14:textId="77777777" w:rsidR="00DA7C24" w:rsidRDefault="00000000">
      <w:pPr>
        <w:spacing w:after="160"/>
      </w:pPr>
      <w:r>
        <w:rPr>
          <w:i/>
          <w:sz w:val="21"/>
        </w:rPr>
        <w:t xml:space="preserve">Keywords: corporate governance; shareholder rights; </w:t>
      </w:r>
      <w:r>
        <w:rPr>
          <w:i/>
          <w:sz w:val="21"/>
          <w:highlight w:val="yellow"/>
        </w:rPr>
        <w:t>organisational</w:t>
      </w:r>
      <w:r>
        <w:rPr>
          <w:i/>
          <w:sz w:val="21"/>
        </w:rPr>
        <w:t xml:space="preserve"> performance; commercial banks; shareholder participation; Kenya</w:t>
      </w:r>
    </w:p>
    <w:p w14:paraId="3923F216" w14:textId="77777777" w:rsidR="00DA7C24" w:rsidRDefault="00000000">
      <w:pPr>
        <w:keepNext/>
        <w:spacing w:before="200" w:after="80"/>
      </w:pPr>
      <w:r>
        <w:rPr>
          <w:b/>
          <w:sz w:val="24"/>
        </w:rPr>
        <w:t>1.0 INTRODUCTION</w:t>
      </w:r>
    </w:p>
    <w:p w14:paraId="330B0DCF" w14:textId="77777777" w:rsidR="00DA7C24" w:rsidRDefault="00000000">
      <w:pPr>
        <w:ind w:firstLine="360"/>
        <w:jc w:val="both"/>
      </w:pPr>
      <w:r>
        <w:t xml:space="preserve">Corporate governance is especially consequential in banking because banks combine complex intermediation activities, high leverage, regulatory oversight, and information asymmetries. These characteristics make governance arrangements in banks materially different from those in many non-financial firms and can alter the way boards, owners, managers, and regulators affect </w:t>
      </w:r>
      <w:r>
        <w:rPr>
          <w:highlight w:val="yellow"/>
        </w:rPr>
        <w:t>organisational</w:t>
      </w:r>
      <w:r>
        <w:t xml:space="preserve"> outcomes (de Haan &amp; Vlahu, 2016). Empirical research likewise shows that bank performance is related to governance design, but the direction and magnitude of individual governance mechanisms are not uniform across settings. For example, governance and risk-management structures were associated with bank performance during the global financial crisis, while conventional governance variables did not consistently predict better outcomes (Aebi et al., 2012). Similar heterogeneity appears in studies of board structure and bank performance (Grove et al., 2011; Pathan &amp; Faff, 2013).</w:t>
      </w:r>
    </w:p>
    <w:p w14:paraId="4A1D938B" w14:textId="77777777" w:rsidR="00DA7C24" w:rsidRDefault="00000000">
      <w:pPr>
        <w:ind w:firstLine="360"/>
        <w:jc w:val="both"/>
      </w:pPr>
      <w:r>
        <w:t xml:space="preserve">Shareholder rights constitute a distinct governance mechanism because they define the practical ability of owners to vote, obtain relevant information, participate in major decisions, elect or remove directors, and seek protection against unequal treatment. Stronger rights can improve monitoring and reduce managerial discretion, but the empirical relationship with performance is not mechanically positive. Core et al. (2006), for example, documented operating underperformance among firms with weak shareholder rights but did not find evidence supporting a simple causal interpretation of weak governance and stock returns. International evidence also suggests that shareholder-rights protections interact with the competitive and institutional environment rather than operating in isolation (Knyazeva &amp; Knyazeva, 2012). More recent research has similarly </w:t>
      </w:r>
      <w:r>
        <w:rPr>
          <w:highlight w:val="yellow"/>
        </w:rPr>
        <w:t>emphasised</w:t>
      </w:r>
      <w:r>
        <w:t xml:space="preserve"> that the </w:t>
      </w:r>
      <w:r>
        <w:lastRenderedPageBreak/>
        <w:t>consequences of ownership and minority-shareholder protections are contingent on ownership structures and governance arrangements (</w:t>
      </w:r>
      <w:proofErr w:type="spellStart"/>
      <w:r>
        <w:t>Federo</w:t>
      </w:r>
      <w:proofErr w:type="spellEnd"/>
      <w:r>
        <w:t xml:space="preserve"> et al., 2020; </w:t>
      </w:r>
      <w:proofErr w:type="spellStart"/>
      <w:r>
        <w:t>Volonté</w:t>
      </w:r>
      <w:proofErr w:type="spellEnd"/>
      <w:r>
        <w:t xml:space="preserve"> &amp; Gantenbein, 2026).</w:t>
      </w:r>
    </w:p>
    <w:p w14:paraId="6BB21110" w14:textId="77777777" w:rsidR="00DA7C24" w:rsidRDefault="00000000">
      <w:pPr>
        <w:ind w:firstLine="360"/>
        <w:jc w:val="both"/>
      </w:pPr>
      <w:r>
        <w:t xml:space="preserve">The banking context makes this contingency particularly important. </w:t>
      </w:r>
      <w:proofErr w:type="spellStart"/>
      <w:r>
        <w:t>Beltratti</w:t>
      </w:r>
      <w:proofErr w:type="spellEnd"/>
      <w:r>
        <w:t xml:space="preserve"> and Stulz (2012) found that some shareholder-friendly governance arrangements were associated with poorer bank performance during the global credit crisis, illustrating that governance structures that empower shareholders may interact with risk incentives and market conditions. Athari and Bahreini (2023) likewise found that external governance and regulatory settings had non-uniform associations with bank profitability in Arab markets. Consequently, the relevant empirical question is not whether shareholder rights are universally beneficial, but whether stronger rights are associated with better </w:t>
      </w:r>
      <w:r>
        <w:rPr>
          <w:highlight w:val="yellow"/>
        </w:rPr>
        <w:t>organisational</w:t>
      </w:r>
      <w:r>
        <w:t xml:space="preserve"> performance in a specific institutional and geographical setting.</w:t>
      </w:r>
    </w:p>
    <w:p w14:paraId="29457D4A" w14:textId="77777777" w:rsidR="00DA7C24" w:rsidRDefault="00000000">
      <w:pPr>
        <w:ind w:firstLine="360"/>
        <w:jc w:val="both"/>
      </w:pPr>
      <w:r>
        <w:t xml:space="preserve">Kenya provides an important context for this inquiry. The Central Bank of Kenya maintains a formal supervisory framework and annual bank-supervision reporting for the sector, while corporate governance remains integral to prudential oversight (Central Bank of Kenya, 2025). Kenya-specific evidence has shown that governance characteristics can be associated with the performance of commercial banks; </w:t>
      </w:r>
      <w:proofErr w:type="spellStart"/>
      <w:r>
        <w:t>Nyamongo</w:t>
      </w:r>
      <w:proofErr w:type="spellEnd"/>
      <w:r>
        <w:t xml:space="preserve"> (2013), using panel data for Kenyan commercial banks, reported relationships between governance characteristics and both return on assets and return on equity. However, national-level evidence does not necessarily capture how governance is perceived and implemented across local branch environments. Evidence focused specifically on shareholder-rights practices within commercial banks in Kisumu County remains limited.</w:t>
      </w:r>
    </w:p>
    <w:p w14:paraId="69E437B4" w14:textId="77777777" w:rsidR="00DA7C24" w:rsidRDefault="00000000">
      <w:pPr>
        <w:ind w:firstLine="360"/>
        <w:jc w:val="both"/>
      </w:pPr>
      <w:r>
        <w:t xml:space="preserve">This study therefore focuses on shareholder rights as the principal governance variable and examines its association with </w:t>
      </w:r>
      <w:r>
        <w:rPr>
          <w:highlight w:val="yellow"/>
        </w:rPr>
        <w:t>organisational</w:t>
      </w:r>
      <w:r>
        <w:t xml:space="preserve"> performance among commercial banks in Kisumu County. Board composition, board size, and transparency are retained as governance covariates in the multivariable model so that the estimated association for shareholder rights is not interpreted in isolation from other governance characteristics.</w:t>
      </w:r>
    </w:p>
    <w:p w14:paraId="7339DA97" w14:textId="77777777" w:rsidR="00DA7C24" w:rsidRDefault="00000000">
      <w:pPr>
        <w:keepNext/>
        <w:spacing w:before="140" w:after="80"/>
      </w:pPr>
      <w:r>
        <w:rPr>
          <w:b/>
          <w:sz w:val="23"/>
        </w:rPr>
        <w:t>Research Problem</w:t>
      </w:r>
    </w:p>
    <w:p w14:paraId="0D83C9C5" w14:textId="77777777" w:rsidR="00DA7C24" w:rsidRDefault="00000000">
      <w:pPr>
        <w:ind w:firstLine="360"/>
        <w:jc w:val="both"/>
      </w:pPr>
      <w:r>
        <w:t xml:space="preserve">The empirical literature does not support a single, context-free relationship between corporate governance and bank performance. Reviews of bank governance research report mixed findings across ownership, board, compensation, and risk-governance mechanisms (de Haan &amp; Vlahu, 2016), while individual studies show positive, negative, or contingent associations depending on institutional setting, risk exposure, and governance design (Aebi et al., 2012; </w:t>
      </w:r>
      <w:proofErr w:type="spellStart"/>
      <w:r>
        <w:t>Beltratti</w:t>
      </w:r>
      <w:proofErr w:type="spellEnd"/>
      <w:r>
        <w:t xml:space="preserve"> &amp; Stulz, 2012; Pathan &amp; Faff, 2013). This inconsistency is important for shareholder rights because greater shareholder influence can strengthen monitoring and accountability but may also interact with risk preferences, ownership concentration, and information asymmetry. Although Kenyan evidence links governance characteristics with bank performance at the national level (</w:t>
      </w:r>
      <w:proofErr w:type="spellStart"/>
      <w:r>
        <w:t>Nyamongo</w:t>
      </w:r>
      <w:proofErr w:type="spellEnd"/>
      <w:r>
        <w:t xml:space="preserve">, 2013), there is limited county-specific evidence on whether shareholder-rights practices are associated with </w:t>
      </w:r>
      <w:r>
        <w:rPr>
          <w:highlight w:val="yellow"/>
        </w:rPr>
        <w:t>organisational</w:t>
      </w:r>
      <w:r>
        <w:t xml:space="preserve"> performance in the Kisumu banking environment. The present study addresses this empirical and contextual gap.</w:t>
      </w:r>
    </w:p>
    <w:p w14:paraId="13E0483C" w14:textId="77777777" w:rsidR="00DA7C24" w:rsidRDefault="00000000">
      <w:pPr>
        <w:keepNext/>
        <w:spacing w:before="140" w:after="80"/>
      </w:pPr>
      <w:r>
        <w:rPr>
          <w:b/>
          <w:sz w:val="23"/>
        </w:rPr>
        <w:t>Research Objective</w:t>
      </w:r>
    </w:p>
    <w:p w14:paraId="1E3FEC15" w14:textId="77777777" w:rsidR="00DA7C24" w:rsidRDefault="00000000">
      <w:pPr>
        <w:jc w:val="both"/>
      </w:pPr>
      <w:r>
        <w:t xml:space="preserve">The objective of the study was to determine the association between shareholder rights and </w:t>
      </w:r>
      <w:r>
        <w:rPr>
          <w:highlight w:val="yellow"/>
        </w:rPr>
        <w:t>organisational</w:t>
      </w:r>
      <w:r>
        <w:t xml:space="preserve"> performance of commercial banks in Kisumu County, Kenya.</w:t>
      </w:r>
    </w:p>
    <w:p w14:paraId="1550A3A5" w14:textId="77777777" w:rsidR="00DA7C24" w:rsidRDefault="00000000">
      <w:pPr>
        <w:keepNext/>
        <w:spacing w:before="140" w:after="80"/>
      </w:pPr>
      <w:r>
        <w:rPr>
          <w:b/>
          <w:sz w:val="23"/>
        </w:rPr>
        <w:t>Significance of the Study</w:t>
      </w:r>
    </w:p>
    <w:p w14:paraId="51A2A564" w14:textId="77777777" w:rsidR="00DA7C24" w:rsidRDefault="00000000">
      <w:pPr>
        <w:ind w:firstLine="360"/>
        <w:jc w:val="both"/>
      </w:pPr>
      <w:r>
        <w:t xml:space="preserve">The study provides evidence relevant to bank managers, boards, shareholders, regulators, and researchers interested in governance practice in Kenya. By focusing on shareholder participation, voting rights, management responsiveness, minority-shareholder protection, and shareholder activism, the study identifies governance practices that may support accountability and better </w:t>
      </w:r>
      <w:r>
        <w:rPr>
          <w:highlight w:val="yellow"/>
        </w:rPr>
        <w:t>organisational</w:t>
      </w:r>
      <w:r>
        <w:t xml:space="preserve"> outcomes. The results also </w:t>
      </w:r>
      <w:r>
        <w:rPr>
          <w:highlight w:val="yellow"/>
        </w:rPr>
        <w:t>contribute localised evidence to the literature</w:t>
      </w:r>
      <w:r>
        <w:t xml:space="preserve"> in which governance-performance relationships are often context dependent.</w:t>
      </w:r>
    </w:p>
    <w:p w14:paraId="67AFCCDC" w14:textId="77777777" w:rsidR="00DA7C24" w:rsidRDefault="00000000">
      <w:pPr>
        <w:keepNext/>
        <w:spacing w:before="200" w:after="80"/>
      </w:pPr>
      <w:r>
        <w:rPr>
          <w:b/>
          <w:sz w:val="24"/>
        </w:rPr>
        <w:lastRenderedPageBreak/>
        <w:t>2.0 LITERATURE REVIEW</w:t>
      </w:r>
    </w:p>
    <w:p w14:paraId="5E530476" w14:textId="77777777" w:rsidR="00DA7C24" w:rsidRDefault="00000000">
      <w:pPr>
        <w:keepNext/>
        <w:spacing w:before="140" w:after="80"/>
      </w:pPr>
      <w:r>
        <w:rPr>
          <w:b/>
          <w:sz w:val="23"/>
        </w:rPr>
        <w:t>Theoretical Foundation</w:t>
      </w:r>
    </w:p>
    <w:p w14:paraId="31DF1C54" w14:textId="77777777" w:rsidR="00DA7C24" w:rsidRDefault="00000000">
      <w:pPr>
        <w:ind w:firstLine="360"/>
        <w:jc w:val="both"/>
      </w:pPr>
      <w:r>
        <w:t xml:space="preserve">Stakeholder theory provides the primary foundation for the study because </w:t>
      </w:r>
      <w:r>
        <w:rPr>
          <w:highlight w:val="yellow"/>
        </w:rPr>
        <w:t>organisational</w:t>
      </w:r>
      <w:r>
        <w:t xml:space="preserve"> governance requires attention to parties whose interests and resources are affected by </w:t>
      </w:r>
      <w:r>
        <w:rPr>
          <w:highlight w:val="yellow"/>
        </w:rPr>
        <w:t>organisational</w:t>
      </w:r>
      <w:r>
        <w:t xml:space="preserve"> decisions. Contemporary stakeholder research emphasizes that engagement is not merely communication; it includes structured processes through which stakeholders participate, exchange information, and influence </w:t>
      </w:r>
      <w:r>
        <w:rPr>
          <w:highlight w:val="yellow"/>
        </w:rPr>
        <w:t>organisational</w:t>
      </w:r>
      <w:r>
        <w:t xml:space="preserve"> decisions (Kujala et al., 2022). Shareholders are a distinct stakeholder group because ownership rights provide formal mechanisms for voting, information access, participation in major decisions, and oversight of boards and management. In this study, shareholder rights are therefore </w:t>
      </w:r>
      <w:r>
        <w:rPr>
          <w:highlight w:val="yellow"/>
        </w:rPr>
        <w:t>conceptualised</w:t>
      </w:r>
      <w:r>
        <w:t xml:space="preserve"> as governance mechanisms that may improve accountability and alignment between owners and </w:t>
      </w:r>
      <w:r>
        <w:rPr>
          <w:highlight w:val="yellow"/>
        </w:rPr>
        <w:t>organisational decision-makers</w:t>
      </w:r>
      <w:r>
        <w:t>.</w:t>
      </w:r>
    </w:p>
    <w:p w14:paraId="574E86D9" w14:textId="77777777" w:rsidR="00DA7C24" w:rsidRDefault="00000000">
      <w:pPr>
        <w:ind w:firstLine="360"/>
        <w:jc w:val="both"/>
      </w:pPr>
      <w:r>
        <w:t xml:space="preserve">Stewardship theory offers a complementary perspective by proposing that managers may act as stewards whose interests are substantially aligned with </w:t>
      </w:r>
      <w:r>
        <w:rPr>
          <w:highlight w:val="yellow"/>
        </w:rPr>
        <w:t>organisational</w:t>
      </w:r>
      <w:r>
        <w:t xml:space="preserve"> objectives, although this assumption is contingent rather than universal (Chrisman, 2019; Donaldson &amp; Davis, 1994). From this perspective, shareholder rights need not operate only through adversarial monitoring. Transparent information, constructive participation, and clear accountability can support trust between owners and managers while preserving managerial discretion for operational decisions.</w:t>
      </w:r>
    </w:p>
    <w:p w14:paraId="7A9825D8" w14:textId="77777777" w:rsidR="00DA7C24" w:rsidRDefault="00000000">
      <w:pPr>
        <w:ind w:firstLine="360"/>
        <w:jc w:val="both"/>
      </w:pPr>
      <w:r>
        <w:t xml:space="preserve">Resource dependence theory further explains why governance relationships can influence </w:t>
      </w:r>
      <w:r>
        <w:rPr>
          <w:highlight w:val="yellow"/>
        </w:rPr>
        <w:t>organisational</w:t>
      </w:r>
      <w:r>
        <w:t xml:space="preserve"> outcomes. Boards and ownership relationships can connect </w:t>
      </w:r>
      <w:r>
        <w:rPr>
          <w:highlight w:val="yellow"/>
        </w:rPr>
        <w:t>organisations</w:t>
      </w:r>
      <w:r>
        <w:t xml:space="preserve"> to expertise, information, legitimacy, and external resources, but the benefits of those relationships depend on context and on how resources are </w:t>
      </w:r>
      <w:r>
        <w:rPr>
          <w:highlight w:val="yellow"/>
        </w:rPr>
        <w:t>mobilised</w:t>
      </w:r>
      <w:r>
        <w:t xml:space="preserve"> (Hillman et al., 2009). </w:t>
      </w:r>
      <w:proofErr w:type="spellStart"/>
      <w:r>
        <w:t>Federo</w:t>
      </w:r>
      <w:proofErr w:type="spellEnd"/>
      <w:r>
        <w:t xml:space="preserve"> et al. (2020) similarly show that ownership type shapes board governance and its implications for firm outcomes. The theory therefore supports treating shareholder participation as a potential source of information and strategic oversight rather than only as a control mechanism.</w:t>
      </w:r>
    </w:p>
    <w:p w14:paraId="39F0C8B4" w14:textId="77777777" w:rsidR="00DA7C24" w:rsidRDefault="00000000">
      <w:pPr>
        <w:ind w:firstLine="360"/>
        <w:jc w:val="both"/>
      </w:pPr>
      <w:r>
        <w:t xml:space="preserve">The Balanced Scorecard is used here as a performance-measurement lens rather than as a causal governance theory. It </w:t>
      </w:r>
      <w:r>
        <w:rPr>
          <w:highlight w:val="yellow"/>
        </w:rPr>
        <w:t>recognises</w:t>
      </w:r>
      <w:r>
        <w:t xml:space="preserve"> that </w:t>
      </w:r>
      <w:r>
        <w:rPr>
          <w:highlight w:val="yellow"/>
        </w:rPr>
        <w:t>organisational</w:t>
      </w:r>
      <w:r>
        <w:t xml:space="preserve"> performance can encompass financial outcomes, internal processes, customer-related outcomes, and learning or growth dimensions (Kaplan &amp; Norton, 1992). Because the present study measures </w:t>
      </w:r>
      <w:r>
        <w:rPr>
          <w:highlight w:val="yellow"/>
        </w:rPr>
        <w:t>organisational</w:t>
      </w:r>
      <w:r>
        <w:t xml:space="preserve"> performance through questionnaire responses rather than audited accounting data, the dependent variable should be understood as a survey-based </w:t>
      </w:r>
      <w:r>
        <w:rPr>
          <w:highlight w:val="yellow"/>
        </w:rPr>
        <w:t>organisational</w:t>
      </w:r>
      <w:r>
        <w:t xml:space="preserve"> performance measure.</w:t>
      </w:r>
    </w:p>
    <w:p w14:paraId="65507755" w14:textId="77777777" w:rsidR="00DA7C24" w:rsidRDefault="00000000">
      <w:pPr>
        <w:keepNext/>
        <w:spacing w:before="140" w:after="80"/>
      </w:pPr>
      <w:r>
        <w:rPr>
          <w:b/>
          <w:sz w:val="23"/>
        </w:rPr>
        <w:t xml:space="preserve">Empirical Review: Shareholder Rights and </w:t>
      </w:r>
      <w:r>
        <w:rPr>
          <w:b/>
          <w:sz w:val="23"/>
          <w:highlight w:val="yellow"/>
        </w:rPr>
        <w:t>Organisational</w:t>
      </w:r>
      <w:r>
        <w:rPr>
          <w:b/>
          <w:sz w:val="23"/>
        </w:rPr>
        <w:t xml:space="preserve"> Performance</w:t>
      </w:r>
    </w:p>
    <w:p w14:paraId="5AFEDED4" w14:textId="77777777" w:rsidR="00DA7C24" w:rsidRDefault="00000000">
      <w:pPr>
        <w:ind w:firstLine="360"/>
        <w:jc w:val="both"/>
      </w:pPr>
      <w:r>
        <w:t>Research on shareholder rights provides evidence for both monitoring benefits and important contextual qualifications. Core et al. (2006) found that weak shareholder rights were associated with weaker operating performance, but their results did not support a simple causal claim that weak governance caused poor stock returns. Knyazeva and Knyazeva (2012) reported that shareholder-rights protections and product-market competition can operate as complements, suggesting that the performance implications of shareholder rights depend partly on external competitive conditions. These findings support an associational rather than deterministic interpretation of shareholder-rights effects.</w:t>
      </w:r>
    </w:p>
    <w:p w14:paraId="7EB75AE1" w14:textId="77777777" w:rsidR="00DA7C24" w:rsidRDefault="00000000">
      <w:pPr>
        <w:ind w:firstLine="360"/>
        <w:jc w:val="both"/>
      </w:pPr>
      <w:r>
        <w:t xml:space="preserve">Ownership structure also conditions the governance role of shareholders. </w:t>
      </w:r>
      <w:proofErr w:type="spellStart"/>
      <w:r>
        <w:t>Federo</w:t>
      </w:r>
      <w:proofErr w:type="spellEnd"/>
      <w:r>
        <w:t xml:space="preserve"> et al. (2020), in a review of 145 articles, demonstrated that different owner types shape board structure, composition, monitoring, resource provision, and strategic involvement in distinct ways. Contemporary evidence on minority-shareholder protection similarly indicates that safeguards for minority owners can become especially important where voting rights and economic interests are misaligned (</w:t>
      </w:r>
      <w:proofErr w:type="spellStart"/>
      <w:r>
        <w:t>Volonté</w:t>
      </w:r>
      <w:proofErr w:type="spellEnd"/>
      <w:r>
        <w:t xml:space="preserve"> &amp; Gantenbein, 2026). These studies support the inclusion of minority-shareholder protection as one dimension of shareholder rights while cautioning against a one-size-fits-all governance model.</w:t>
      </w:r>
    </w:p>
    <w:p w14:paraId="5B267135" w14:textId="77777777" w:rsidR="00DA7C24" w:rsidRDefault="00000000">
      <w:pPr>
        <w:ind w:firstLine="360"/>
        <w:jc w:val="both"/>
      </w:pPr>
      <w:r>
        <w:lastRenderedPageBreak/>
        <w:t xml:space="preserve">Evidence from banking reinforces the need for contextual interpretation. Aebi et al. (2012) found that risk-governance arrangements in which the chief risk officer reported directly to the board were associated with stronger crisis performance, whereas standard governance variables were often insignificant or negatively related to performance. </w:t>
      </w:r>
      <w:proofErr w:type="spellStart"/>
      <w:r>
        <w:t>Beltratti</w:t>
      </w:r>
      <w:proofErr w:type="spellEnd"/>
      <w:r>
        <w:t xml:space="preserve"> and Stulz (2012) found that banks with more shareholder-friendly boards performed worse during the credit crisis, while Grove et al. (2011) and Pathan and Faff (2013) identified complex and sometimes non-linear relationships between board characteristics and bank performance. A systematic review by de Haan and Vlahu (2016) concluded that bank-governance evidence remains mixed across mechanisms and performance measures.</w:t>
      </w:r>
    </w:p>
    <w:p w14:paraId="6CD1E7AD" w14:textId="77777777" w:rsidR="00DA7C24" w:rsidRDefault="00000000">
      <w:pPr>
        <w:ind w:firstLine="360"/>
        <w:jc w:val="both"/>
      </w:pPr>
      <w:r>
        <w:t xml:space="preserve">More recent bank research also demonstrates the importance of institutional setting. Athari and Bahreini (2023) reported that several external governance dimensions were positively associated with Islamic-bank profitability, whereas some regulatory dimensions, including the extent of disclosure and ease of shareholder suits, showed negative relationships. Thus, formal governance protections can have different implications across regulatory settings. In Kenya, </w:t>
      </w:r>
      <w:proofErr w:type="spellStart"/>
      <w:r>
        <w:t>Nyamongo</w:t>
      </w:r>
      <w:proofErr w:type="spellEnd"/>
      <w:r>
        <w:t xml:space="preserve"> (2013) found that governance characteristics were related to performance among 37 commercial banks, providing direct national relevance but not resolving how shareholder rights operate within a county-level survey context.</w:t>
      </w:r>
    </w:p>
    <w:p w14:paraId="4BB1C77E" w14:textId="77777777" w:rsidR="00DA7C24" w:rsidRDefault="00000000">
      <w:pPr>
        <w:ind w:firstLine="360"/>
        <w:jc w:val="both"/>
      </w:pPr>
      <w:r>
        <w:t xml:space="preserve">Broader stakeholder research provides complementary evidence on participation and performance. Hristov and </w:t>
      </w:r>
      <w:proofErr w:type="spellStart"/>
      <w:r>
        <w:t>Appolloni</w:t>
      </w:r>
      <w:proofErr w:type="spellEnd"/>
      <w:r>
        <w:t xml:space="preserve"> (2022) showed that strategic stakeholder engagement can be integrated into performance-management systems, while Kujala et al. (2022) </w:t>
      </w:r>
      <w:r>
        <w:rPr>
          <w:highlight w:val="yellow"/>
        </w:rPr>
        <w:t>emphasised</w:t>
      </w:r>
      <w:r>
        <w:t xml:space="preserve"> the multidimensional nature of stakeholder engagement. These studies are not direct tests of shareholder rights in banks, but they support the proposition that meaningful participation and information exchange can influence </w:t>
      </w:r>
      <w:r>
        <w:rPr>
          <w:highlight w:val="yellow"/>
        </w:rPr>
        <w:t>organisational</w:t>
      </w:r>
      <w:r>
        <w:t xml:space="preserve"> decision processes. Overall, the literature justifies testing whether shareholder rights are associated with </w:t>
      </w:r>
      <w:r>
        <w:rPr>
          <w:highlight w:val="yellow"/>
        </w:rPr>
        <w:t>organisational</w:t>
      </w:r>
      <w:r>
        <w:t xml:space="preserve"> performance in Kisumu County while avoiding an assumption of universal causality.</w:t>
      </w:r>
    </w:p>
    <w:p w14:paraId="7E3EF91F" w14:textId="47D0075E" w:rsidR="00DA7C24" w:rsidRDefault="00000000">
      <w:pPr>
        <w:keepNext/>
        <w:spacing w:before="200" w:after="80"/>
      </w:pPr>
      <w:r>
        <w:rPr>
          <w:b/>
          <w:sz w:val="24"/>
        </w:rPr>
        <w:t>3.0 METHODOLOGY</w:t>
      </w:r>
    </w:p>
    <w:p w14:paraId="50E81DFC" w14:textId="77777777" w:rsidR="00DA7C24" w:rsidRDefault="00000000">
      <w:pPr>
        <w:keepNext/>
        <w:spacing w:before="140" w:after="80"/>
      </w:pPr>
      <w:r>
        <w:rPr>
          <w:b/>
          <w:sz w:val="23"/>
        </w:rPr>
        <w:t>Research Design</w:t>
      </w:r>
    </w:p>
    <w:p w14:paraId="73D332F9" w14:textId="77777777" w:rsidR="00DA7C24" w:rsidRDefault="00000000">
      <w:pPr>
        <w:ind w:firstLine="360"/>
        <w:jc w:val="both"/>
      </w:pPr>
      <w:r>
        <w:t xml:space="preserve">The study adopted a descriptive cross-sectional survey design. Cross-sectional surveys are suitable for examining patterns and associations among </w:t>
      </w:r>
      <w:r>
        <w:rPr>
          <w:highlight w:val="yellow"/>
        </w:rPr>
        <w:t>variables measured at a single point in time</w:t>
      </w:r>
      <w:r>
        <w:t>, but they do not establish temporal ordering or causal effects. Survey research also requires clear measurement, attention to reliability and validity, and careful interpretation of self-reported data (Story &amp; Tait, 2019). Accordingly, the analyses in this study are interpreted as associational.</w:t>
      </w:r>
    </w:p>
    <w:p w14:paraId="08575FEA" w14:textId="77777777" w:rsidR="00DA7C24" w:rsidRDefault="00000000">
      <w:pPr>
        <w:keepNext/>
        <w:spacing w:before="140" w:after="80"/>
      </w:pPr>
      <w:r>
        <w:rPr>
          <w:b/>
          <w:sz w:val="23"/>
        </w:rPr>
        <w:t>Target Population and Sampling</w:t>
      </w:r>
    </w:p>
    <w:p w14:paraId="1B074563" w14:textId="77777777" w:rsidR="00DA7C24" w:rsidRDefault="00000000">
      <w:pPr>
        <w:ind w:firstLine="360"/>
        <w:jc w:val="both"/>
      </w:pPr>
      <w:r>
        <w:t xml:space="preserve">The target population comprised 536 top- and middle-level managers working in 67 commercial bank branches in Kisumu County. The managers represented functional areas including credit, retail, corporate banking, marketing, information technology, investment, subsidiaries, and bancassurance. A sample of 224 managers was selected using stratified sampling so that banks and branch-based managerial groups were represented in proportion to their presence in the sampling frame. Individual managers constituted the respondents and units of analysis. This formulation is consistent with the questionnaire-based dataset </w:t>
      </w:r>
      <w:r>
        <w:rPr>
          <w:highlight w:val="yellow"/>
        </w:rPr>
        <w:t>analysed</w:t>
      </w:r>
      <w:r>
        <w:t xml:space="preserve"> in the study.</w:t>
      </w:r>
    </w:p>
    <w:p w14:paraId="00FDB558" w14:textId="77777777" w:rsidR="00DA7C24" w:rsidRDefault="00000000">
      <w:pPr>
        <w:keepNext/>
        <w:spacing w:before="140" w:after="80"/>
      </w:pPr>
      <w:r>
        <w:rPr>
          <w:b/>
          <w:sz w:val="23"/>
        </w:rPr>
        <w:t>Research Instrument and Measurement</w:t>
      </w:r>
    </w:p>
    <w:p w14:paraId="2022A44C" w14:textId="77777777" w:rsidR="00DA7C24" w:rsidRDefault="00000000">
      <w:pPr>
        <w:ind w:firstLine="360"/>
        <w:jc w:val="both"/>
      </w:pPr>
      <w:r>
        <w:t xml:space="preserve">Primary data were collected using a structured closed-ended questionnaire. Section A captured demographic information. Section B measured shareholder rights through items addressing shareholder influence on strategic direction, management responsiveness to shareholder concerns, effective exercise of voting rights, protection of minority shareholders, and shareholder activism. Sections C, D, and E measured board composition, board size, and transparency, respectively, and these variables were included as governance covariates in the multivariable model. Section F measured </w:t>
      </w:r>
      <w:r>
        <w:rPr>
          <w:highlight w:val="yellow"/>
        </w:rPr>
        <w:t>organisational</w:t>
      </w:r>
      <w:r>
        <w:t xml:space="preserve"> performance using questionnaire-based responses. Because </w:t>
      </w:r>
      <w:r>
        <w:lastRenderedPageBreak/>
        <w:t xml:space="preserve">performance was measured through respondent perceptions rather than audited accounting indicators, the empirical outcome is interpreted as survey-based </w:t>
      </w:r>
      <w:r>
        <w:rPr>
          <w:highlight w:val="yellow"/>
        </w:rPr>
        <w:t>organisational</w:t>
      </w:r>
      <w:r>
        <w:t xml:space="preserve"> performance.</w:t>
      </w:r>
    </w:p>
    <w:p w14:paraId="6C05BB58" w14:textId="77777777" w:rsidR="00DA7C24" w:rsidRDefault="00000000">
      <w:pPr>
        <w:keepNext/>
        <w:spacing w:before="140" w:after="80"/>
      </w:pPr>
      <w:r>
        <w:rPr>
          <w:b/>
          <w:sz w:val="23"/>
        </w:rPr>
        <w:t>Pilot Testing, Validity, and Reliability</w:t>
      </w:r>
    </w:p>
    <w:p w14:paraId="32F10C1A" w14:textId="77777777" w:rsidR="00DA7C24" w:rsidRDefault="00000000">
      <w:pPr>
        <w:ind w:firstLine="360"/>
        <w:jc w:val="both"/>
      </w:pPr>
      <w:r>
        <w:t xml:space="preserve">A pilot study involving 22 managers from seven commercial bank branches in Kakamega County was conducted before the main survey. Pilot participants were excluded from the final study. The pilot process assessed clarity, relevance, consistency, and adequacy of the questionnaire items, and content validity was </w:t>
      </w:r>
      <w:r>
        <w:rPr>
          <w:highlight w:val="yellow"/>
        </w:rPr>
        <w:t>evaluated through a review by supervisors, lecturers, and research experts</w:t>
      </w:r>
      <w:r>
        <w:t xml:space="preserve">. Internal consistency was assessed using Cronbach's alpha, with .70 specified as the minimum acceptable decision threshold, consistent with </w:t>
      </w:r>
      <w:r>
        <w:rPr>
          <w:highlight w:val="yellow"/>
        </w:rPr>
        <w:t>common guidance on the interpretation of alpha coefficients</w:t>
      </w:r>
      <w:r>
        <w:t xml:space="preserve"> (</w:t>
      </w:r>
      <w:proofErr w:type="spellStart"/>
      <w:r>
        <w:t>Tavakol</w:t>
      </w:r>
      <w:proofErr w:type="spellEnd"/>
      <w:r>
        <w:t xml:space="preserve"> &amp; Dennick, 2011). The instrument was refined to address ambiguities and typographical or wording problems identified during piloting.</w:t>
      </w:r>
    </w:p>
    <w:p w14:paraId="646A1DAE" w14:textId="77777777" w:rsidR="00DA7C24" w:rsidRDefault="00000000">
      <w:pPr>
        <w:keepNext/>
        <w:spacing w:before="140" w:after="80"/>
      </w:pPr>
      <w:r>
        <w:rPr>
          <w:b/>
          <w:sz w:val="23"/>
        </w:rPr>
        <w:t>Data Collection and Ethical Considerations</w:t>
      </w:r>
    </w:p>
    <w:p w14:paraId="56018D0D" w14:textId="77777777" w:rsidR="00DA7C24" w:rsidRDefault="00000000">
      <w:pPr>
        <w:ind w:firstLine="360"/>
        <w:jc w:val="both"/>
      </w:pPr>
      <w:r>
        <w:t>The necessary institutional authorization and research permits were obtained before data collection. Respondents were provided with information about the purpose of the study and the voluntary nature of participation, and informed consent was obtained. Questionnaires were distributed to selected commercial bank branches and subsequently collected for analysis. No respondent names were recorded, and collected information was used for academic purposes. Participants were informed that they could decline participation without penalty.</w:t>
      </w:r>
    </w:p>
    <w:p w14:paraId="148D1AB2" w14:textId="77777777" w:rsidR="00DA7C24" w:rsidRDefault="00000000">
      <w:pPr>
        <w:keepNext/>
        <w:spacing w:before="140" w:after="80"/>
      </w:pPr>
      <w:r>
        <w:rPr>
          <w:b/>
          <w:sz w:val="23"/>
        </w:rPr>
        <w:t>Data Analysis</w:t>
      </w:r>
    </w:p>
    <w:p w14:paraId="0445D285" w14:textId="77777777" w:rsidR="00DA7C24" w:rsidRDefault="00000000">
      <w:pPr>
        <w:ind w:firstLine="360"/>
        <w:jc w:val="both"/>
      </w:pPr>
      <w:r>
        <w:t xml:space="preserve">Data were </w:t>
      </w:r>
      <w:r>
        <w:rPr>
          <w:highlight w:val="yellow"/>
        </w:rPr>
        <w:t>summarised</w:t>
      </w:r>
      <w:r>
        <w:t xml:space="preserve"> using frequencies, percentages, means, and standard deviations. Pearson correlation was used to assess bivariate associations, and multiple linear regression was used to estimate the association between shareholder rights and </w:t>
      </w:r>
      <w:r>
        <w:rPr>
          <w:highlight w:val="yellow"/>
        </w:rPr>
        <w:t>organisational</w:t>
      </w:r>
      <w:r>
        <w:t xml:space="preserve"> performance while adjusting for board composition, board size, and transparency. The pairwise correlations among the governance predictors were low (.025 to .116), </w:t>
      </w:r>
      <w:r>
        <w:rPr>
          <w:highlight w:val="yellow"/>
        </w:rPr>
        <w:t>which do not indicate severe bivariate collinearity</w:t>
      </w:r>
      <w:r>
        <w:t>. Statistical significance was evaluated at the .05 level. Because the design was cross-sectional and performance was self-reported, regression coefficients are interpreted as adjusted associations rather than causal effects.</w:t>
      </w:r>
    </w:p>
    <w:p w14:paraId="05A9E01B" w14:textId="77777777" w:rsidR="00DA7C24" w:rsidRDefault="00000000">
      <w:pPr>
        <w:keepNext/>
        <w:spacing w:before="200" w:after="80"/>
      </w:pPr>
      <w:r>
        <w:rPr>
          <w:b/>
          <w:sz w:val="24"/>
        </w:rPr>
        <w:t>4.0 RESULTS</w:t>
      </w:r>
    </w:p>
    <w:p w14:paraId="61073097" w14:textId="77777777" w:rsidR="00DA7C24" w:rsidRDefault="00000000">
      <w:pPr>
        <w:keepNext/>
        <w:spacing w:before="140" w:after="80"/>
      </w:pPr>
      <w:r>
        <w:rPr>
          <w:b/>
          <w:sz w:val="23"/>
        </w:rPr>
        <w:t>Response Rate</w:t>
      </w:r>
    </w:p>
    <w:p w14:paraId="6BE00751" w14:textId="77777777" w:rsidR="00DA7C24" w:rsidRDefault="00000000">
      <w:pPr>
        <w:ind w:firstLine="360"/>
        <w:jc w:val="both"/>
      </w:pPr>
      <w:r>
        <w:t xml:space="preserve">Of the 224 questionnaires distributed, 194 were returned and included in the analysis, yielding an 86.6% response rate. Thirty questionnaires (13.4%) were not returned. </w:t>
      </w:r>
      <w:r>
        <w:rPr>
          <w:highlight w:val="yellow"/>
        </w:rPr>
        <w:t>The achieved response yielded 194 observations</w:t>
      </w:r>
      <w:r>
        <w:t xml:space="preserve"> for the descriptive and inferential analyses.</w:t>
      </w:r>
    </w:p>
    <w:p w14:paraId="0C858EF0" w14:textId="77777777" w:rsidR="00DA7C24" w:rsidRDefault="00000000">
      <w:pPr>
        <w:spacing w:before="120" w:after="60"/>
      </w:pPr>
      <w:r>
        <w:rPr>
          <w:b/>
          <w:sz w:val="21"/>
        </w:rPr>
        <w:t>Table 1. Response Rate</w:t>
      </w:r>
    </w:p>
    <w:tbl>
      <w:tblPr>
        <w:tblStyle w:val="TableGrid"/>
        <w:tblW w:w="0" w:type="auto"/>
        <w:jc w:val="center"/>
        <w:tblLayout w:type="fixed"/>
        <w:tblLook w:val="04A0" w:firstRow="1" w:lastRow="0" w:firstColumn="1" w:lastColumn="0" w:noHBand="0" w:noVBand="1"/>
      </w:tblPr>
      <w:tblGrid>
        <w:gridCol w:w="6623"/>
        <w:gridCol w:w="1440"/>
        <w:gridCol w:w="1728"/>
      </w:tblGrid>
      <w:tr w:rsidR="00DA7C24" w14:paraId="6B9C89CB" w14:textId="77777777">
        <w:trPr>
          <w:tblHeader/>
          <w:jc w:val="center"/>
        </w:trPr>
        <w:tc>
          <w:tcPr>
            <w:tcW w:w="6623" w:type="dxa"/>
            <w:shd w:val="clear" w:color="auto" w:fill="E7E6E6"/>
            <w:tcMar>
              <w:top w:w="80" w:type="dxa"/>
              <w:left w:w="90" w:type="dxa"/>
              <w:bottom w:w="80" w:type="dxa"/>
              <w:right w:w="90" w:type="dxa"/>
            </w:tcMar>
            <w:vAlign w:val="center"/>
          </w:tcPr>
          <w:p w14:paraId="7AC93EDD" w14:textId="77777777" w:rsidR="00DA7C24" w:rsidRDefault="00000000">
            <w:pPr>
              <w:spacing w:after="0"/>
              <w:jc w:val="center"/>
            </w:pPr>
            <w:r>
              <w:rPr>
                <w:b/>
                <w:sz w:val="19"/>
              </w:rPr>
              <w:t>Response Rate</w:t>
            </w:r>
          </w:p>
        </w:tc>
        <w:tc>
          <w:tcPr>
            <w:tcW w:w="1440" w:type="dxa"/>
            <w:shd w:val="clear" w:color="auto" w:fill="E7E6E6"/>
            <w:tcMar>
              <w:top w:w="80" w:type="dxa"/>
              <w:left w:w="90" w:type="dxa"/>
              <w:bottom w:w="80" w:type="dxa"/>
              <w:right w:w="90" w:type="dxa"/>
            </w:tcMar>
            <w:vAlign w:val="center"/>
          </w:tcPr>
          <w:p w14:paraId="157D8E89" w14:textId="77777777" w:rsidR="00DA7C24" w:rsidRDefault="00000000">
            <w:pPr>
              <w:spacing w:after="0"/>
              <w:jc w:val="center"/>
            </w:pPr>
            <w:r>
              <w:rPr>
                <w:b/>
                <w:sz w:val="19"/>
              </w:rPr>
              <w:t>Frequency</w:t>
            </w:r>
          </w:p>
        </w:tc>
        <w:tc>
          <w:tcPr>
            <w:tcW w:w="1728" w:type="dxa"/>
            <w:shd w:val="clear" w:color="auto" w:fill="E7E6E6"/>
            <w:tcMar>
              <w:top w:w="80" w:type="dxa"/>
              <w:left w:w="90" w:type="dxa"/>
              <w:bottom w:w="80" w:type="dxa"/>
              <w:right w:w="90" w:type="dxa"/>
            </w:tcMar>
            <w:vAlign w:val="center"/>
          </w:tcPr>
          <w:p w14:paraId="0CD1E721" w14:textId="77777777" w:rsidR="00DA7C24" w:rsidRDefault="00000000">
            <w:pPr>
              <w:spacing w:after="0"/>
              <w:jc w:val="center"/>
            </w:pPr>
            <w:r>
              <w:rPr>
                <w:b/>
                <w:sz w:val="19"/>
              </w:rPr>
              <w:t>Percentage</w:t>
            </w:r>
          </w:p>
        </w:tc>
      </w:tr>
      <w:tr w:rsidR="00DA7C24" w14:paraId="0C048AC6" w14:textId="77777777">
        <w:trPr>
          <w:jc w:val="center"/>
        </w:trPr>
        <w:tc>
          <w:tcPr>
            <w:tcW w:w="6623" w:type="dxa"/>
            <w:tcMar>
              <w:top w:w="80" w:type="dxa"/>
              <w:left w:w="90" w:type="dxa"/>
              <w:bottom w:w="80" w:type="dxa"/>
              <w:right w:w="90" w:type="dxa"/>
            </w:tcMar>
            <w:vAlign w:val="center"/>
          </w:tcPr>
          <w:p w14:paraId="6F5F2269" w14:textId="77777777" w:rsidR="00DA7C24" w:rsidRDefault="00000000">
            <w:pPr>
              <w:spacing w:after="0"/>
            </w:pPr>
            <w:r>
              <w:rPr>
                <w:sz w:val="19"/>
              </w:rPr>
              <w:t>Questionnaires Returned</w:t>
            </w:r>
            <w:r>
              <w:rPr>
                <w:sz w:val="19"/>
              </w:rPr>
              <w:br/>
              <w:t>Questionnaires Not Returned</w:t>
            </w:r>
            <w:r>
              <w:rPr>
                <w:sz w:val="19"/>
              </w:rPr>
              <w:br/>
              <w:t>Total</w:t>
            </w:r>
          </w:p>
        </w:tc>
        <w:tc>
          <w:tcPr>
            <w:tcW w:w="1440" w:type="dxa"/>
            <w:tcMar>
              <w:top w:w="80" w:type="dxa"/>
              <w:left w:w="90" w:type="dxa"/>
              <w:bottom w:w="80" w:type="dxa"/>
              <w:right w:w="90" w:type="dxa"/>
            </w:tcMar>
            <w:vAlign w:val="center"/>
          </w:tcPr>
          <w:p w14:paraId="2FB8051D" w14:textId="77777777" w:rsidR="00DA7C24" w:rsidRDefault="00000000">
            <w:pPr>
              <w:spacing w:after="0"/>
              <w:jc w:val="center"/>
            </w:pPr>
            <w:r>
              <w:rPr>
                <w:sz w:val="19"/>
              </w:rPr>
              <w:t>194</w:t>
            </w:r>
            <w:r>
              <w:rPr>
                <w:sz w:val="19"/>
              </w:rPr>
              <w:br/>
              <w:t>30</w:t>
            </w:r>
            <w:r>
              <w:rPr>
                <w:sz w:val="19"/>
              </w:rPr>
              <w:br/>
              <w:t>224</w:t>
            </w:r>
          </w:p>
        </w:tc>
        <w:tc>
          <w:tcPr>
            <w:tcW w:w="1728" w:type="dxa"/>
            <w:tcMar>
              <w:top w:w="80" w:type="dxa"/>
              <w:left w:w="90" w:type="dxa"/>
              <w:bottom w:w="80" w:type="dxa"/>
              <w:right w:w="90" w:type="dxa"/>
            </w:tcMar>
            <w:vAlign w:val="center"/>
          </w:tcPr>
          <w:p w14:paraId="41A903D3" w14:textId="77777777" w:rsidR="00DA7C24" w:rsidRDefault="00000000">
            <w:pPr>
              <w:spacing w:after="0"/>
              <w:jc w:val="center"/>
            </w:pPr>
            <w:r>
              <w:rPr>
                <w:sz w:val="19"/>
              </w:rPr>
              <w:t>86.6%</w:t>
            </w:r>
            <w:r>
              <w:rPr>
                <w:sz w:val="19"/>
              </w:rPr>
              <w:br/>
              <w:t>13.4%</w:t>
            </w:r>
            <w:r>
              <w:rPr>
                <w:sz w:val="19"/>
              </w:rPr>
              <w:br/>
              <w:t>100.0%</w:t>
            </w:r>
          </w:p>
        </w:tc>
      </w:tr>
    </w:tbl>
    <w:p w14:paraId="254C8E98" w14:textId="77777777" w:rsidR="00DA7C24" w:rsidRDefault="00000000">
      <w:pPr>
        <w:spacing w:before="40" w:after="120"/>
      </w:pPr>
      <w:r>
        <w:rPr>
          <w:i/>
          <w:sz w:val="18"/>
        </w:rPr>
        <w:t>Source: Survey Data (2026)</w:t>
      </w:r>
    </w:p>
    <w:p w14:paraId="05072DB2" w14:textId="77777777" w:rsidR="00DA7C24" w:rsidRDefault="00000000">
      <w:pPr>
        <w:keepNext/>
        <w:spacing w:before="140" w:after="80"/>
      </w:pPr>
      <w:r>
        <w:rPr>
          <w:b/>
          <w:sz w:val="23"/>
        </w:rPr>
        <w:t>Descriptive Analysis of Shareholder Rights</w:t>
      </w:r>
    </w:p>
    <w:p w14:paraId="7F70BC49" w14:textId="77777777" w:rsidR="00DA7C24" w:rsidRDefault="00000000">
      <w:pPr>
        <w:ind w:firstLine="360"/>
        <w:jc w:val="both"/>
      </w:pPr>
      <w:r>
        <w:t xml:space="preserve">Respondents showed moderately positive perceptions of the shareholder-rights items. Management responsiveness to shareholder concerns recorded the highest mean (M = 3.64, SD = .622), </w:t>
      </w:r>
      <w:r>
        <w:rPr>
          <w:highlight w:val="yellow"/>
        </w:rPr>
        <w:t>followed by the effective exercise of shareholder voting rights</w:t>
      </w:r>
      <w:r>
        <w:t xml:space="preserve"> (M = 3.61, SD = .668) and shareholder influence over strategic direction (M = 3.60, SD = .670). Shareholder activism recorded M = 3.57 (SD = .681), while protection of minority shareholders recorded M = 3.56 (SD = .643). The standard deviations were below .70, indicating </w:t>
      </w:r>
      <w:r>
        <w:lastRenderedPageBreak/>
        <w:t>relatively limited dispersion around the item means. However, neutral responses were common across the items, so the pattern is better interpreted as moderate rather than strong endorsement.</w:t>
      </w:r>
    </w:p>
    <w:p w14:paraId="22F42652" w14:textId="77777777" w:rsidR="00DA7C24" w:rsidRDefault="00000000">
      <w:pPr>
        <w:spacing w:before="120" w:after="60"/>
      </w:pPr>
      <w:r>
        <w:rPr>
          <w:b/>
          <w:sz w:val="21"/>
        </w:rPr>
        <w:t>Table 2. Shareholder Rights and Organizational Performance</w:t>
      </w:r>
    </w:p>
    <w:tbl>
      <w:tblPr>
        <w:tblStyle w:val="TableGrid"/>
        <w:tblW w:w="0" w:type="auto"/>
        <w:jc w:val="center"/>
        <w:tblLayout w:type="fixed"/>
        <w:tblLook w:val="04A0" w:firstRow="1" w:lastRow="0" w:firstColumn="1" w:lastColumn="0" w:noHBand="0" w:noVBand="1"/>
      </w:tblPr>
      <w:tblGrid>
        <w:gridCol w:w="4536"/>
        <w:gridCol w:w="619"/>
        <w:gridCol w:w="619"/>
        <w:gridCol w:w="691"/>
        <w:gridCol w:w="691"/>
        <w:gridCol w:w="691"/>
        <w:gridCol w:w="792"/>
        <w:gridCol w:w="1080"/>
      </w:tblGrid>
      <w:tr w:rsidR="00DA7C24" w14:paraId="3CB55110" w14:textId="77777777">
        <w:trPr>
          <w:tblHeader/>
          <w:jc w:val="center"/>
        </w:trPr>
        <w:tc>
          <w:tcPr>
            <w:tcW w:w="4536" w:type="dxa"/>
            <w:shd w:val="clear" w:color="auto" w:fill="E7E6E6"/>
            <w:tcMar>
              <w:top w:w="80" w:type="dxa"/>
              <w:left w:w="90" w:type="dxa"/>
              <w:bottom w:w="80" w:type="dxa"/>
              <w:right w:w="90" w:type="dxa"/>
            </w:tcMar>
            <w:vAlign w:val="center"/>
          </w:tcPr>
          <w:p w14:paraId="0B6EDD8D" w14:textId="77777777" w:rsidR="00DA7C24" w:rsidRDefault="00000000">
            <w:pPr>
              <w:spacing w:after="0"/>
              <w:jc w:val="center"/>
            </w:pPr>
            <w:r>
              <w:rPr>
                <w:b/>
                <w:sz w:val="17"/>
              </w:rPr>
              <w:t>Statements</w:t>
            </w:r>
          </w:p>
        </w:tc>
        <w:tc>
          <w:tcPr>
            <w:tcW w:w="619" w:type="dxa"/>
            <w:shd w:val="clear" w:color="auto" w:fill="E7E6E6"/>
            <w:tcMar>
              <w:top w:w="80" w:type="dxa"/>
              <w:left w:w="90" w:type="dxa"/>
              <w:bottom w:w="80" w:type="dxa"/>
              <w:right w:w="90" w:type="dxa"/>
            </w:tcMar>
            <w:vAlign w:val="center"/>
          </w:tcPr>
          <w:p w14:paraId="373621D2" w14:textId="77777777" w:rsidR="00DA7C24" w:rsidRDefault="00000000">
            <w:pPr>
              <w:spacing w:after="0"/>
              <w:jc w:val="center"/>
            </w:pPr>
            <w:r>
              <w:rPr>
                <w:b/>
                <w:sz w:val="17"/>
              </w:rPr>
              <w:t>SD</w:t>
            </w:r>
          </w:p>
        </w:tc>
        <w:tc>
          <w:tcPr>
            <w:tcW w:w="619" w:type="dxa"/>
            <w:shd w:val="clear" w:color="auto" w:fill="E7E6E6"/>
            <w:tcMar>
              <w:top w:w="80" w:type="dxa"/>
              <w:left w:w="90" w:type="dxa"/>
              <w:bottom w:w="80" w:type="dxa"/>
              <w:right w:w="90" w:type="dxa"/>
            </w:tcMar>
            <w:vAlign w:val="center"/>
          </w:tcPr>
          <w:p w14:paraId="32BC4696" w14:textId="77777777" w:rsidR="00DA7C24" w:rsidRDefault="00000000">
            <w:pPr>
              <w:spacing w:after="0"/>
              <w:jc w:val="center"/>
            </w:pPr>
            <w:r>
              <w:rPr>
                <w:b/>
                <w:sz w:val="17"/>
              </w:rPr>
              <w:t>D</w:t>
            </w:r>
          </w:p>
        </w:tc>
        <w:tc>
          <w:tcPr>
            <w:tcW w:w="691" w:type="dxa"/>
            <w:shd w:val="clear" w:color="auto" w:fill="E7E6E6"/>
            <w:tcMar>
              <w:top w:w="80" w:type="dxa"/>
              <w:left w:w="90" w:type="dxa"/>
              <w:bottom w:w="80" w:type="dxa"/>
              <w:right w:w="90" w:type="dxa"/>
            </w:tcMar>
            <w:vAlign w:val="center"/>
          </w:tcPr>
          <w:p w14:paraId="7BECC566" w14:textId="77777777" w:rsidR="00DA7C24" w:rsidRDefault="00000000">
            <w:pPr>
              <w:spacing w:after="0"/>
              <w:jc w:val="center"/>
            </w:pPr>
            <w:r>
              <w:rPr>
                <w:b/>
                <w:sz w:val="17"/>
              </w:rPr>
              <w:t>N</w:t>
            </w:r>
          </w:p>
        </w:tc>
        <w:tc>
          <w:tcPr>
            <w:tcW w:w="691" w:type="dxa"/>
            <w:shd w:val="clear" w:color="auto" w:fill="E7E6E6"/>
            <w:tcMar>
              <w:top w:w="80" w:type="dxa"/>
              <w:left w:w="90" w:type="dxa"/>
              <w:bottom w:w="80" w:type="dxa"/>
              <w:right w:w="90" w:type="dxa"/>
            </w:tcMar>
            <w:vAlign w:val="center"/>
          </w:tcPr>
          <w:p w14:paraId="455DE340" w14:textId="77777777" w:rsidR="00DA7C24" w:rsidRDefault="00000000">
            <w:pPr>
              <w:spacing w:after="0"/>
              <w:jc w:val="center"/>
            </w:pPr>
            <w:r>
              <w:rPr>
                <w:b/>
                <w:sz w:val="17"/>
              </w:rPr>
              <w:t>A</w:t>
            </w:r>
          </w:p>
        </w:tc>
        <w:tc>
          <w:tcPr>
            <w:tcW w:w="691" w:type="dxa"/>
            <w:shd w:val="clear" w:color="auto" w:fill="E7E6E6"/>
            <w:tcMar>
              <w:top w:w="80" w:type="dxa"/>
              <w:left w:w="90" w:type="dxa"/>
              <w:bottom w:w="80" w:type="dxa"/>
              <w:right w:w="90" w:type="dxa"/>
            </w:tcMar>
            <w:vAlign w:val="center"/>
          </w:tcPr>
          <w:p w14:paraId="3DE3D834" w14:textId="77777777" w:rsidR="00DA7C24" w:rsidRDefault="00000000">
            <w:pPr>
              <w:spacing w:after="0"/>
              <w:jc w:val="center"/>
            </w:pPr>
            <w:r>
              <w:rPr>
                <w:b/>
                <w:sz w:val="17"/>
              </w:rPr>
              <w:t>SA</w:t>
            </w:r>
          </w:p>
        </w:tc>
        <w:tc>
          <w:tcPr>
            <w:tcW w:w="792" w:type="dxa"/>
            <w:shd w:val="clear" w:color="auto" w:fill="E7E6E6"/>
            <w:tcMar>
              <w:top w:w="80" w:type="dxa"/>
              <w:left w:w="90" w:type="dxa"/>
              <w:bottom w:w="80" w:type="dxa"/>
              <w:right w:w="90" w:type="dxa"/>
            </w:tcMar>
            <w:vAlign w:val="center"/>
          </w:tcPr>
          <w:p w14:paraId="68EA2771" w14:textId="77777777" w:rsidR="00DA7C24" w:rsidRDefault="00000000">
            <w:pPr>
              <w:spacing w:after="0"/>
              <w:jc w:val="center"/>
            </w:pPr>
            <w:r>
              <w:rPr>
                <w:b/>
                <w:sz w:val="17"/>
              </w:rPr>
              <w:t>Mean</w:t>
            </w:r>
          </w:p>
        </w:tc>
        <w:tc>
          <w:tcPr>
            <w:tcW w:w="1080" w:type="dxa"/>
            <w:shd w:val="clear" w:color="auto" w:fill="E7E6E6"/>
            <w:tcMar>
              <w:top w:w="80" w:type="dxa"/>
              <w:left w:w="90" w:type="dxa"/>
              <w:bottom w:w="80" w:type="dxa"/>
              <w:right w:w="90" w:type="dxa"/>
            </w:tcMar>
            <w:vAlign w:val="center"/>
          </w:tcPr>
          <w:p w14:paraId="79F8111C" w14:textId="77777777" w:rsidR="00DA7C24" w:rsidRDefault="00000000">
            <w:pPr>
              <w:spacing w:after="0"/>
              <w:jc w:val="center"/>
            </w:pPr>
            <w:r>
              <w:rPr>
                <w:b/>
                <w:sz w:val="17"/>
              </w:rPr>
              <w:t>Std. Dev.</w:t>
            </w:r>
          </w:p>
        </w:tc>
      </w:tr>
      <w:tr w:rsidR="00DA7C24" w14:paraId="1FFE2B88" w14:textId="77777777">
        <w:trPr>
          <w:jc w:val="center"/>
        </w:trPr>
        <w:tc>
          <w:tcPr>
            <w:tcW w:w="4536" w:type="dxa"/>
            <w:tcMar>
              <w:top w:w="80" w:type="dxa"/>
              <w:left w:w="90" w:type="dxa"/>
              <w:bottom w:w="80" w:type="dxa"/>
              <w:right w:w="90" w:type="dxa"/>
            </w:tcMar>
            <w:vAlign w:val="center"/>
          </w:tcPr>
          <w:p w14:paraId="12F3B040" w14:textId="77777777" w:rsidR="00DA7C24" w:rsidRDefault="00000000">
            <w:pPr>
              <w:spacing w:after="0"/>
            </w:pPr>
            <w:r>
              <w:rPr>
                <w:sz w:val="16"/>
              </w:rPr>
              <w:t>Shareholders have significant influence over the strategic direction of the bank</w:t>
            </w:r>
          </w:p>
        </w:tc>
        <w:tc>
          <w:tcPr>
            <w:tcW w:w="619" w:type="dxa"/>
            <w:tcMar>
              <w:top w:w="80" w:type="dxa"/>
              <w:left w:w="90" w:type="dxa"/>
              <w:bottom w:w="80" w:type="dxa"/>
              <w:right w:w="90" w:type="dxa"/>
            </w:tcMar>
            <w:vAlign w:val="center"/>
          </w:tcPr>
          <w:p w14:paraId="29BD4E22" w14:textId="77777777" w:rsidR="00DA7C24" w:rsidRDefault="00000000">
            <w:pPr>
              <w:spacing w:after="0"/>
              <w:jc w:val="center"/>
            </w:pPr>
            <w:r>
              <w:rPr>
                <w:sz w:val="16"/>
              </w:rPr>
              <w:t>-</w:t>
            </w:r>
          </w:p>
        </w:tc>
        <w:tc>
          <w:tcPr>
            <w:tcW w:w="619" w:type="dxa"/>
            <w:tcMar>
              <w:top w:w="80" w:type="dxa"/>
              <w:left w:w="90" w:type="dxa"/>
              <w:bottom w:w="80" w:type="dxa"/>
              <w:right w:w="90" w:type="dxa"/>
            </w:tcMar>
            <w:vAlign w:val="center"/>
          </w:tcPr>
          <w:p w14:paraId="5E6B41BF" w14:textId="77777777" w:rsidR="00DA7C24" w:rsidRDefault="00000000">
            <w:pPr>
              <w:spacing w:after="0"/>
              <w:jc w:val="center"/>
            </w:pPr>
            <w:r>
              <w:rPr>
                <w:sz w:val="16"/>
              </w:rPr>
              <w:t>3.1%</w:t>
            </w:r>
          </w:p>
        </w:tc>
        <w:tc>
          <w:tcPr>
            <w:tcW w:w="691" w:type="dxa"/>
            <w:tcMar>
              <w:top w:w="80" w:type="dxa"/>
              <w:left w:w="90" w:type="dxa"/>
              <w:bottom w:w="80" w:type="dxa"/>
              <w:right w:w="90" w:type="dxa"/>
            </w:tcMar>
            <w:vAlign w:val="center"/>
          </w:tcPr>
          <w:p w14:paraId="53C61C98" w14:textId="77777777" w:rsidR="00DA7C24" w:rsidRDefault="00000000">
            <w:pPr>
              <w:spacing w:after="0"/>
              <w:jc w:val="center"/>
            </w:pPr>
            <w:r>
              <w:rPr>
                <w:sz w:val="16"/>
              </w:rPr>
              <w:t>41.2%</w:t>
            </w:r>
          </w:p>
        </w:tc>
        <w:tc>
          <w:tcPr>
            <w:tcW w:w="691" w:type="dxa"/>
            <w:tcMar>
              <w:top w:w="80" w:type="dxa"/>
              <w:left w:w="90" w:type="dxa"/>
              <w:bottom w:w="80" w:type="dxa"/>
              <w:right w:w="90" w:type="dxa"/>
            </w:tcMar>
            <w:vAlign w:val="center"/>
          </w:tcPr>
          <w:p w14:paraId="7243D5BF" w14:textId="77777777" w:rsidR="00DA7C24" w:rsidRDefault="00000000">
            <w:pPr>
              <w:spacing w:after="0"/>
              <w:jc w:val="center"/>
            </w:pPr>
            <w:r>
              <w:rPr>
                <w:sz w:val="16"/>
              </w:rPr>
              <w:t>48.5%</w:t>
            </w:r>
          </w:p>
        </w:tc>
        <w:tc>
          <w:tcPr>
            <w:tcW w:w="691" w:type="dxa"/>
            <w:tcMar>
              <w:top w:w="80" w:type="dxa"/>
              <w:left w:w="90" w:type="dxa"/>
              <w:bottom w:w="80" w:type="dxa"/>
              <w:right w:w="90" w:type="dxa"/>
            </w:tcMar>
            <w:vAlign w:val="center"/>
          </w:tcPr>
          <w:p w14:paraId="2F6BFB1F" w14:textId="77777777" w:rsidR="00DA7C24" w:rsidRDefault="00000000">
            <w:pPr>
              <w:spacing w:after="0"/>
              <w:jc w:val="center"/>
            </w:pPr>
            <w:r>
              <w:rPr>
                <w:sz w:val="16"/>
              </w:rPr>
              <w:t>7.2%</w:t>
            </w:r>
          </w:p>
        </w:tc>
        <w:tc>
          <w:tcPr>
            <w:tcW w:w="792" w:type="dxa"/>
            <w:tcMar>
              <w:top w:w="80" w:type="dxa"/>
              <w:left w:w="90" w:type="dxa"/>
              <w:bottom w:w="80" w:type="dxa"/>
              <w:right w:w="90" w:type="dxa"/>
            </w:tcMar>
            <w:vAlign w:val="center"/>
          </w:tcPr>
          <w:p w14:paraId="5C8D9C1E" w14:textId="77777777" w:rsidR="00DA7C24" w:rsidRDefault="00000000">
            <w:pPr>
              <w:spacing w:after="0"/>
              <w:jc w:val="center"/>
            </w:pPr>
            <w:r>
              <w:rPr>
                <w:sz w:val="16"/>
              </w:rPr>
              <w:t>3.60</w:t>
            </w:r>
          </w:p>
        </w:tc>
        <w:tc>
          <w:tcPr>
            <w:tcW w:w="1080" w:type="dxa"/>
            <w:tcMar>
              <w:top w:w="80" w:type="dxa"/>
              <w:left w:w="90" w:type="dxa"/>
              <w:bottom w:w="80" w:type="dxa"/>
              <w:right w:w="90" w:type="dxa"/>
            </w:tcMar>
            <w:vAlign w:val="center"/>
          </w:tcPr>
          <w:p w14:paraId="3FAB0C28" w14:textId="77777777" w:rsidR="00DA7C24" w:rsidRDefault="00000000">
            <w:pPr>
              <w:spacing w:after="0"/>
              <w:jc w:val="center"/>
            </w:pPr>
            <w:r>
              <w:rPr>
                <w:sz w:val="16"/>
              </w:rPr>
              <w:t>.670</w:t>
            </w:r>
          </w:p>
        </w:tc>
      </w:tr>
      <w:tr w:rsidR="00DA7C24" w14:paraId="5E6FCF1E" w14:textId="77777777">
        <w:trPr>
          <w:jc w:val="center"/>
        </w:trPr>
        <w:tc>
          <w:tcPr>
            <w:tcW w:w="4536" w:type="dxa"/>
            <w:tcMar>
              <w:top w:w="80" w:type="dxa"/>
              <w:left w:w="90" w:type="dxa"/>
              <w:bottom w:w="80" w:type="dxa"/>
              <w:right w:w="90" w:type="dxa"/>
            </w:tcMar>
            <w:vAlign w:val="center"/>
          </w:tcPr>
          <w:p w14:paraId="74D8C171" w14:textId="77777777" w:rsidR="00DA7C24" w:rsidRDefault="00000000">
            <w:pPr>
              <w:spacing w:after="0"/>
            </w:pPr>
            <w:r>
              <w:rPr>
                <w:sz w:val="16"/>
              </w:rPr>
              <w:t>The bank's management is responsive to shareholder concerns and feedback</w:t>
            </w:r>
          </w:p>
        </w:tc>
        <w:tc>
          <w:tcPr>
            <w:tcW w:w="619" w:type="dxa"/>
            <w:tcMar>
              <w:top w:w="80" w:type="dxa"/>
              <w:left w:w="90" w:type="dxa"/>
              <w:bottom w:w="80" w:type="dxa"/>
              <w:right w:w="90" w:type="dxa"/>
            </w:tcMar>
            <w:vAlign w:val="center"/>
          </w:tcPr>
          <w:p w14:paraId="3A81FF5E" w14:textId="77777777" w:rsidR="00DA7C24" w:rsidRDefault="00000000">
            <w:pPr>
              <w:spacing w:after="0"/>
              <w:jc w:val="center"/>
            </w:pPr>
            <w:r>
              <w:rPr>
                <w:sz w:val="16"/>
              </w:rPr>
              <w:t>-</w:t>
            </w:r>
          </w:p>
        </w:tc>
        <w:tc>
          <w:tcPr>
            <w:tcW w:w="619" w:type="dxa"/>
            <w:tcMar>
              <w:top w:w="80" w:type="dxa"/>
              <w:left w:w="90" w:type="dxa"/>
              <w:bottom w:w="80" w:type="dxa"/>
              <w:right w:w="90" w:type="dxa"/>
            </w:tcMar>
            <w:vAlign w:val="center"/>
          </w:tcPr>
          <w:p w14:paraId="282E819B" w14:textId="77777777" w:rsidR="00DA7C24" w:rsidRDefault="00000000">
            <w:pPr>
              <w:spacing w:after="0"/>
              <w:jc w:val="center"/>
            </w:pPr>
            <w:r>
              <w:rPr>
                <w:sz w:val="16"/>
              </w:rPr>
              <w:t>0.5%</w:t>
            </w:r>
          </w:p>
        </w:tc>
        <w:tc>
          <w:tcPr>
            <w:tcW w:w="691" w:type="dxa"/>
            <w:tcMar>
              <w:top w:w="80" w:type="dxa"/>
              <w:left w:w="90" w:type="dxa"/>
              <w:bottom w:w="80" w:type="dxa"/>
              <w:right w:w="90" w:type="dxa"/>
            </w:tcMar>
            <w:vAlign w:val="center"/>
          </w:tcPr>
          <w:p w14:paraId="1B2EE397" w14:textId="77777777" w:rsidR="00DA7C24" w:rsidRDefault="00000000">
            <w:pPr>
              <w:spacing w:after="0"/>
              <w:jc w:val="center"/>
            </w:pPr>
            <w:r>
              <w:rPr>
                <w:sz w:val="16"/>
              </w:rPr>
              <w:t>42.3%</w:t>
            </w:r>
          </w:p>
        </w:tc>
        <w:tc>
          <w:tcPr>
            <w:tcW w:w="691" w:type="dxa"/>
            <w:tcMar>
              <w:top w:w="80" w:type="dxa"/>
              <w:left w:w="90" w:type="dxa"/>
              <w:bottom w:w="80" w:type="dxa"/>
              <w:right w:w="90" w:type="dxa"/>
            </w:tcMar>
            <w:vAlign w:val="center"/>
          </w:tcPr>
          <w:p w14:paraId="70DDC7E2" w14:textId="77777777" w:rsidR="00DA7C24" w:rsidRDefault="00000000">
            <w:pPr>
              <w:spacing w:after="0"/>
              <w:jc w:val="center"/>
            </w:pPr>
            <w:r>
              <w:rPr>
                <w:sz w:val="16"/>
              </w:rPr>
              <w:t>50.0%</w:t>
            </w:r>
          </w:p>
        </w:tc>
        <w:tc>
          <w:tcPr>
            <w:tcW w:w="691" w:type="dxa"/>
            <w:tcMar>
              <w:top w:w="80" w:type="dxa"/>
              <w:left w:w="90" w:type="dxa"/>
              <w:bottom w:w="80" w:type="dxa"/>
              <w:right w:w="90" w:type="dxa"/>
            </w:tcMar>
            <w:vAlign w:val="center"/>
          </w:tcPr>
          <w:p w14:paraId="074A1381" w14:textId="77777777" w:rsidR="00DA7C24" w:rsidRDefault="00000000">
            <w:pPr>
              <w:spacing w:after="0"/>
              <w:jc w:val="center"/>
            </w:pPr>
            <w:r>
              <w:rPr>
                <w:sz w:val="16"/>
              </w:rPr>
              <w:t>7.2%</w:t>
            </w:r>
          </w:p>
        </w:tc>
        <w:tc>
          <w:tcPr>
            <w:tcW w:w="792" w:type="dxa"/>
            <w:tcMar>
              <w:top w:w="80" w:type="dxa"/>
              <w:left w:w="90" w:type="dxa"/>
              <w:bottom w:w="80" w:type="dxa"/>
              <w:right w:w="90" w:type="dxa"/>
            </w:tcMar>
            <w:vAlign w:val="center"/>
          </w:tcPr>
          <w:p w14:paraId="3FDAECA4" w14:textId="77777777" w:rsidR="00DA7C24" w:rsidRDefault="00000000">
            <w:pPr>
              <w:spacing w:after="0"/>
              <w:jc w:val="center"/>
            </w:pPr>
            <w:r>
              <w:rPr>
                <w:sz w:val="16"/>
              </w:rPr>
              <w:t>3.64</w:t>
            </w:r>
          </w:p>
        </w:tc>
        <w:tc>
          <w:tcPr>
            <w:tcW w:w="1080" w:type="dxa"/>
            <w:tcMar>
              <w:top w:w="80" w:type="dxa"/>
              <w:left w:w="90" w:type="dxa"/>
              <w:bottom w:w="80" w:type="dxa"/>
              <w:right w:w="90" w:type="dxa"/>
            </w:tcMar>
            <w:vAlign w:val="center"/>
          </w:tcPr>
          <w:p w14:paraId="4CB532EF" w14:textId="77777777" w:rsidR="00DA7C24" w:rsidRDefault="00000000">
            <w:pPr>
              <w:spacing w:after="0"/>
              <w:jc w:val="center"/>
            </w:pPr>
            <w:r>
              <w:rPr>
                <w:sz w:val="16"/>
              </w:rPr>
              <w:t>.622</w:t>
            </w:r>
          </w:p>
        </w:tc>
      </w:tr>
      <w:tr w:rsidR="00DA7C24" w14:paraId="22E53CC8" w14:textId="77777777">
        <w:trPr>
          <w:jc w:val="center"/>
        </w:trPr>
        <w:tc>
          <w:tcPr>
            <w:tcW w:w="4536" w:type="dxa"/>
            <w:tcMar>
              <w:top w:w="80" w:type="dxa"/>
              <w:left w:w="90" w:type="dxa"/>
              <w:bottom w:w="80" w:type="dxa"/>
              <w:right w:w="90" w:type="dxa"/>
            </w:tcMar>
            <w:vAlign w:val="center"/>
          </w:tcPr>
          <w:p w14:paraId="02699901" w14:textId="77777777" w:rsidR="00DA7C24" w:rsidRDefault="00000000">
            <w:pPr>
              <w:spacing w:after="0"/>
            </w:pPr>
            <w:r>
              <w:rPr>
                <w:sz w:val="16"/>
              </w:rPr>
              <w:t>Shareholder voting rights are exercised effectively to influence key decisions</w:t>
            </w:r>
          </w:p>
        </w:tc>
        <w:tc>
          <w:tcPr>
            <w:tcW w:w="619" w:type="dxa"/>
            <w:tcMar>
              <w:top w:w="80" w:type="dxa"/>
              <w:left w:w="90" w:type="dxa"/>
              <w:bottom w:w="80" w:type="dxa"/>
              <w:right w:w="90" w:type="dxa"/>
            </w:tcMar>
            <w:vAlign w:val="center"/>
          </w:tcPr>
          <w:p w14:paraId="281F6C71" w14:textId="77777777" w:rsidR="00DA7C24" w:rsidRDefault="00000000">
            <w:pPr>
              <w:spacing w:after="0"/>
              <w:jc w:val="center"/>
            </w:pPr>
            <w:r>
              <w:rPr>
                <w:sz w:val="16"/>
              </w:rPr>
              <w:t>-</w:t>
            </w:r>
          </w:p>
        </w:tc>
        <w:tc>
          <w:tcPr>
            <w:tcW w:w="619" w:type="dxa"/>
            <w:tcMar>
              <w:top w:w="80" w:type="dxa"/>
              <w:left w:w="90" w:type="dxa"/>
              <w:bottom w:w="80" w:type="dxa"/>
              <w:right w:w="90" w:type="dxa"/>
            </w:tcMar>
            <w:vAlign w:val="center"/>
          </w:tcPr>
          <w:p w14:paraId="589003EB" w14:textId="77777777" w:rsidR="00DA7C24" w:rsidRDefault="00000000">
            <w:pPr>
              <w:spacing w:after="0"/>
              <w:jc w:val="center"/>
            </w:pPr>
            <w:r>
              <w:rPr>
                <w:sz w:val="16"/>
              </w:rPr>
              <w:t>1.5%</w:t>
            </w:r>
          </w:p>
        </w:tc>
        <w:tc>
          <w:tcPr>
            <w:tcW w:w="691" w:type="dxa"/>
            <w:tcMar>
              <w:top w:w="80" w:type="dxa"/>
              <w:left w:w="90" w:type="dxa"/>
              <w:bottom w:w="80" w:type="dxa"/>
              <w:right w:w="90" w:type="dxa"/>
            </w:tcMar>
            <w:vAlign w:val="center"/>
          </w:tcPr>
          <w:p w14:paraId="27F32930" w14:textId="77777777" w:rsidR="00DA7C24" w:rsidRDefault="00000000">
            <w:pPr>
              <w:spacing w:after="0"/>
              <w:jc w:val="center"/>
            </w:pPr>
            <w:r>
              <w:rPr>
                <w:sz w:val="16"/>
              </w:rPr>
              <w:t>44.3%</w:t>
            </w:r>
          </w:p>
        </w:tc>
        <w:tc>
          <w:tcPr>
            <w:tcW w:w="691" w:type="dxa"/>
            <w:tcMar>
              <w:top w:w="80" w:type="dxa"/>
              <w:left w:w="90" w:type="dxa"/>
              <w:bottom w:w="80" w:type="dxa"/>
              <w:right w:w="90" w:type="dxa"/>
            </w:tcMar>
            <w:vAlign w:val="center"/>
          </w:tcPr>
          <w:p w14:paraId="367FCF9C" w14:textId="77777777" w:rsidR="00DA7C24" w:rsidRDefault="00000000">
            <w:pPr>
              <w:spacing w:after="0"/>
              <w:jc w:val="center"/>
            </w:pPr>
            <w:r>
              <w:rPr>
                <w:sz w:val="16"/>
              </w:rPr>
              <w:t>45.4%</w:t>
            </w:r>
          </w:p>
        </w:tc>
        <w:tc>
          <w:tcPr>
            <w:tcW w:w="691" w:type="dxa"/>
            <w:tcMar>
              <w:top w:w="80" w:type="dxa"/>
              <w:left w:w="90" w:type="dxa"/>
              <w:bottom w:w="80" w:type="dxa"/>
              <w:right w:w="90" w:type="dxa"/>
            </w:tcMar>
            <w:vAlign w:val="center"/>
          </w:tcPr>
          <w:p w14:paraId="604C5DD9" w14:textId="77777777" w:rsidR="00DA7C24" w:rsidRDefault="00000000">
            <w:pPr>
              <w:spacing w:after="0"/>
              <w:jc w:val="center"/>
            </w:pPr>
            <w:r>
              <w:rPr>
                <w:sz w:val="16"/>
              </w:rPr>
              <w:t>8.8%</w:t>
            </w:r>
          </w:p>
        </w:tc>
        <w:tc>
          <w:tcPr>
            <w:tcW w:w="792" w:type="dxa"/>
            <w:tcMar>
              <w:top w:w="80" w:type="dxa"/>
              <w:left w:w="90" w:type="dxa"/>
              <w:bottom w:w="80" w:type="dxa"/>
              <w:right w:w="90" w:type="dxa"/>
            </w:tcMar>
            <w:vAlign w:val="center"/>
          </w:tcPr>
          <w:p w14:paraId="6CB9474A" w14:textId="77777777" w:rsidR="00DA7C24" w:rsidRDefault="00000000">
            <w:pPr>
              <w:spacing w:after="0"/>
              <w:jc w:val="center"/>
            </w:pPr>
            <w:r>
              <w:rPr>
                <w:sz w:val="16"/>
              </w:rPr>
              <w:t>3.61</w:t>
            </w:r>
          </w:p>
        </w:tc>
        <w:tc>
          <w:tcPr>
            <w:tcW w:w="1080" w:type="dxa"/>
            <w:tcMar>
              <w:top w:w="80" w:type="dxa"/>
              <w:left w:w="90" w:type="dxa"/>
              <w:bottom w:w="80" w:type="dxa"/>
              <w:right w:w="90" w:type="dxa"/>
            </w:tcMar>
            <w:vAlign w:val="center"/>
          </w:tcPr>
          <w:p w14:paraId="1AF0CC95" w14:textId="77777777" w:rsidR="00DA7C24" w:rsidRDefault="00000000">
            <w:pPr>
              <w:spacing w:after="0"/>
              <w:jc w:val="center"/>
            </w:pPr>
            <w:r>
              <w:rPr>
                <w:sz w:val="16"/>
              </w:rPr>
              <w:t>.668</w:t>
            </w:r>
          </w:p>
        </w:tc>
      </w:tr>
      <w:tr w:rsidR="00DA7C24" w14:paraId="1B2AF678" w14:textId="77777777">
        <w:trPr>
          <w:jc w:val="center"/>
        </w:trPr>
        <w:tc>
          <w:tcPr>
            <w:tcW w:w="4536" w:type="dxa"/>
            <w:tcMar>
              <w:top w:w="80" w:type="dxa"/>
              <w:left w:w="90" w:type="dxa"/>
              <w:bottom w:w="80" w:type="dxa"/>
              <w:right w:w="90" w:type="dxa"/>
            </w:tcMar>
            <w:vAlign w:val="center"/>
          </w:tcPr>
          <w:p w14:paraId="4F599787" w14:textId="77777777" w:rsidR="00DA7C24" w:rsidRDefault="00000000">
            <w:pPr>
              <w:spacing w:after="0"/>
            </w:pPr>
            <w:r>
              <w:rPr>
                <w:sz w:val="16"/>
              </w:rPr>
              <w:t>Minority shareholders' interests are well protected in the bank's governance structure</w:t>
            </w:r>
          </w:p>
        </w:tc>
        <w:tc>
          <w:tcPr>
            <w:tcW w:w="619" w:type="dxa"/>
            <w:tcMar>
              <w:top w:w="80" w:type="dxa"/>
              <w:left w:w="90" w:type="dxa"/>
              <w:bottom w:w="80" w:type="dxa"/>
              <w:right w:w="90" w:type="dxa"/>
            </w:tcMar>
            <w:vAlign w:val="center"/>
          </w:tcPr>
          <w:p w14:paraId="3B16EBD6" w14:textId="77777777" w:rsidR="00DA7C24" w:rsidRDefault="00000000">
            <w:pPr>
              <w:spacing w:after="0"/>
              <w:jc w:val="center"/>
            </w:pPr>
            <w:r>
              <w:rPr>
                <w:sz w:val="16"/>
              </w:rPr>
              <w:t>-</w:t>
            </w:r>
          </w:p>
        </w:tc>
        <w:tc>
          <w:tcPr>
            <w:tcW w:w="619" w:type="dxa"/>
            <w:tcMar>
              <w:top w:w="80" w:type="dxa"/>
              <w:left w:w="90" w:type="dxa"/>
              <w:bottom w:w="80" w:type="dxa"/>
              <w:right w:w="90" w:type="dxa"/>
            </w:tcMar>
            <w:vAlign w:val="center"/>
          </w:tcPr>
          <w:p w14:paraId="796249C1" w14:textId="77777777" w:rsidR="00DA7C24" w:rsidRDefault="00000000">
            <w:pPr>
              <w:spacing w:after="0"/>
              <w:jc w:val="center"/>
            </w:pPr>
            <w:r>
              <w:rPr>
                <w:sz w:val="16"/>
              </w:rPr>
              <w:t>3.6%</w:t>
            </w:r>
          </w:p>
        </w:tc>
        <w:tc>
          <w:tcPr>
            <w:tcW w:w="691" w:type="dxa"/>
            <w:tcMar>
              <w:top w:w="80" w:type="dxa"/>
              <w:left w:w="90" w:type="dxa"/>
              <w:bottom w:w="80" w:type="dxa"/>
              <w:right w:w="90" w:type="dxa"/>
            </w:tcMar>
            <w:vAlign w:val="center"/>
          </w:tcPr>
          <w:p w14:paraId="4AB46939" w14:textId="77777777" w:rsidR="00DA7C24" w:rsidRDefault="00000000">
            <w:pPr>
              <w:spacing w:after="0"/>
              <w:jc w:val="center"/>
            </w:pPr>
            <w:r>
              <w:rPr>
                <w:sz w:val="16"/>
              </w:rPr>
              <w:t>41.2%</w:t>
            </w:r>
          </w:p>
        </w:tc>
        <w:tc>
          <w:tcPr>
            <w:tcW w:w="691" w:type="dxa"/>
            <w:tcMar>
              <w:top w:w="80" w:type="dxa"/>
              <w:left w:w="90" w:type="dxa"/>
              <w:bottom w:w="80" w:type="dxa"/>
              <w:right w:w="90" w:type="dxa"/>
            </w:tcMar>
            <w:vAlign w:val="center"/>
          </w:tcPr>
          <w:p w14:paraId="06359025" w14:textId="77777777" w:rsidR="00DA7C24" w:rsidRDefault="00000000">
            <w:pPr>
              <w:spacing w:after="0"/>
              <w:jc w:val="center"/>
            </w:pPr>
            <w:r>
              <w:rPr>
                <w:sz w:val="16"/>
              </w:rPr>
              <w:t>50.5%</w:t>
            </w:r>
          </w:p>
        </w:tc>
        <w:tc>
          <w:tcPr>
            <w:tcW w:w="691" w:type="dxa"/>
            <w:tcMar>
              <w:top w:w="80" w:type="dxa"/>
              <w:left w:w="90" w:type="dxa"/>
              <w:bottom w:w="80" w:type="dxa"/>
              <w:right w:w="90" w:type="dxa"/>
            </w:tcMar>
            <w:vAlign w:val="center"/>
          </w:tcPr>
          <w:p w14:paraId="4FE78626" w14:textId="77777777" w:rsidR="00DA7C24" w:rsidRDefault="00000000">
            <w:pPr>
              <w:spacing w:after="0"/>
              <w:jc w:val="center"/>
            </w:pPr>
            <w:r>
              <w:rPr>
                <w:sz w:val="16"/>
              </w:rPr>
              <w:t>4.6%</w:t>
            </w:r>
          </w:p>
        </w:tc>
        <w:tc>
          <w:tcPr>
            <w:tcW w:w="792" w:type="dxa"/>
            <w:tcMar>
              <w:top w:w="80" w:type="dxa"/>
              <w:left w:w="90" w:type="dxa"/>
              <w:bottom w:w="80" w:type="dxa"/>
              <w:right w:w="90" w:type="dxa"/>
            </w:tcMar>
            <w:vAlign w:val="center"/>
          </w:tcPr>
          <w:p w14:paraId="00124E2E" w14:textId="77777777" w:rsidR="00DA7C24" w:rsidRDefault="00000000">
            <w:pPr>
              <w:spacing w:after="0"/>
              <w:jc w:val="center"/>
            </w:pPr>
            <w:r>
              <w:rPr>
                <w:sz w:val="16"/>
              </w:rPr>
              <w:t>3.56</w:t>
            </w:r>
          </w:p>
        </w:tc>
        <w:tc>
          <w:tcPr>
            <w:tcW w:w="1080" w:type="dxa"/>
            <w:tcMar>
              <w:top w:w="80" w:type="dxa"/>
              <w:left w:w="90" w:type="dxa"/>
              <w:bottom w:w="80" w:type="dxa"/>
              <w:right w:w="90" w:type="dxa"/>
            </w:tcMar>
            <w:vAlign w:val="center"/>
          </w:tcPr>
          <w:p w14:paraId="594DDD2D" w14:textId="77777777" w:rsidR="00DA7C24" w:rsidRDefault="00000000">
            <w:pPr>
              <w:spacing w:after="0"/>
              <w:jc w:val="center"/>
            </w:pPr>
            <w:r>
              <w:rPr>
                <w:sz w:val="16"/>
              </w:rPr>
              <w:t>.643</w:t>
            </w:r>
          </w:p>
        </w:tc>
      </w:tr>
      <w:tr w:rsidR="00DA7C24" w14:paraId="42BABF14" w14:textId="77777777">
        <w:trPr>
          <w:jc w:val="center"/>
        </w:trPr>
        <w:tc>
          <w:tcPr>
            <w:tcW w:w="4536" w:type="dxa"/>
            <w:tcMar>
              <w:top w:w="80" w:type="dxa"/>
              <w:left w:w="90" w:type="dxa"/>
              <w:bottom w:w="80" w:type="dxa"/>
              <w:right w:w="90" w:type="dxa"/>
            </w:tcMar>
            <w:vAlign w:val="center"/>
          </w:tcPr>
          <w:p w14:paraId="5A3E2904" w14:textId="77777777" w:rsidR="00DA7C24" w:rsidRDefault="00000000">
            <w:pPr>
              <w:spacing w:after="0"/>
            </w:pPr>
            <w:r>
              <w:rPr>
                <w:sz w:val="16"/>
              </w:rPr>
              <w:t>Shareholder activism (e.g., shareholder proposals) has improved the bank's performance</w:t>
            </w:r>
          </w:p>
        </w:tc>
        <w:tc>
          <w:tcPr>
            <w:tcW w:w="619" w:type="dxa"/>
            <w:tcMar>
              <w:top w:w="80" w:type="dxa"/>
              <w:left w:w="90" w:type="dxa"/>
              <w:bottom w:w="80" w:type="dxa"/>
              <w:right w:w="90" w:type="dxa"/>
            </w:tcMar>
            <w:vAlign w:val="center"/>
          </w:tcPr>
          <w:p w14:paraId="1DB86CFA" w14:textId="77777777" w:rsidR="00DA7C24" w:rsidRDefault="00000000">
            <w:pPr>
              <w:spacing w:after="0"/>
              <w:jc w:val="center"/>
            </w:pPr>
            <w:r>
              <w:rPr>
                <w:sz w:val="16"/>
              </w:rPr>
              <w:t>-</w:t>
            </w:r>
          </w:p>
        </w:tc>
        <w:tc>
          <w:tcPr>
            <w:tcW w:w="619" w:type="dxa"/>
            <w:tcMar>
              <w:top w:w="80" w:type="dxa"/>
              <w:left w:w="90" w:type="dxa"/>
              <w:bottom w:w="80" w:type="dxa"/>
              <w:right w:w="90" w:type="dxa"/>
            </w:tcMar>
            <w:vAlign w:val="center"/>
          </w:tcPr>
          <w:p w14:paraId="47396339" w14:textId="77777777" w:rsidR="00DA7C24" w:rsidRDefault="00000000">
            <w:pPr>
              <w:spacing w:after="0"/>
              <w:jc w:val="center"/>
            </w:pPr>
            <w:r>
              <w:rPr>
                <w:sz w:val="16"/>
              </w:rPr>
              <w:t>3.1%</w:t>
            </w:r>
          </w:p>
        </w:tc>
        <w:tc>
          <w:tcPr>
            <w:tcW w:w="691" w:type="dxa"/>
            <w:tcMar>
              <w:top w:w="80" w:type="dxa"/>
              <w:left w:w="90" w:type="dxa"/>
              <w:bottom w:w="80" w:type="dxa"/>
              <w:right w:w="90" w:type="dxa"/>
            </w:tcMar>
            <w:vAlign w:val="center"/>
          </w:tcPr>
          <w:p w14:paraId="7FA06894" w14:textId="77777777" w:rsidR="00DA7C24" w:rsidRDefault="00000000">
            <w:pPr>
              <w:spacing w:after="0"/>
              <w:jc w:val="center"/>
            </w:pPr>
            <w:r>
              <w:rPr>
                <w:sz w:val="16"/>
              </w:rPr>
              <w:t>44.3%</w:t>
            </w:r>
          </w:p>
        </w:tc>
        <w:tc>
          <w:tcPr>
            <w:tcW w:w="691" w:type="dxa"/>
            <w:tcMar>
              <w:top w:w="80" w:type="dxa"/>
              <w:left w:w="90" w:type="dxa"/>
              <w:bottom w:w="80" w:type="dxa"/>
              <w:right w:w="90" w:type="dxa"/>
            </w:tcMar>
            <w:vAlign w:val="center"/>
          </w:tcPr>
          <w:p w14:paraId="47D90507" w14:textId="77777777" w:rsidR="00DA7C24" w:rsidRDefault="00000000">
            <w:pPr>
              <w:spacing w:after="0"/>
              <w:jc w:val="center"/>
            </w:pPr>
            <w:r>
              <w:rPr>
                <w:sz w:val="16"/>
              </w:rPr>
              <w:t>44.8%</w:t>
            </w:r>
          </w:p>
        </w:tc>
        <w:tc>
          <w:tcPr>
            <w:tcW w:w="691" w:type="dxa"/>
            <w:tcMar>
              <w:top w:w="80" w:type="dxa"/>
              <w:left w:w="90" w:type="dxa"/>
              <w:bottom w:w="80" w:type="dxa"/>
              <w:right w:w="90" w:type="dxa"/>
            </w:tcMar>
            <w:vAlign w:val="center"/>
          </w:tcPr>
          <w:p w14:paraId="6BA2C2C5" w14:textId="77777777" w:rsidR="00DA7C24" w:rsidRDefault="00000000">
            <w:pPr>
              <w:spacing w:after="0"/>
              <w:jc w:val="center"/>
            </w:pPr>
            <w:r>
              <w:rPr>
                <w:sz w:val="16"/>
              </w:rPr>
              <w:t>7.7%</w:t>
            </w:r>
          </w:p>
        </w:tc>
        <w:tc>
          <w:tcPr>
            <w:tcW w:w="792" w:type="dxa"/>
            <w:tcMar>
              <w:top w:w="80" w:type="dxa"/>
              <w:left w:w="90" w:type="dxa"/>
              <w:bottom w:w="80" w:type="dxa"/>
              <w:right w:w="90" w:type="dxa"/>
            </w:tcMar>
            <w:vAlign w:val="center"/>
          </w:tcPr>
          <w:p w14:paraId="5E16E89D" w14:textId="77777777" w:rsidR="00DA7C24" w:rsidRDefault="00000000">
            <w:pPr>
              <w:spacing w:after="0"/>
              <w:jc w:val="center"/>
            </w:pPr>
            <w:r>
              <w:rPr>
                <w:sz w:val="16"/>
              </w:rPr>
              <w:t>3.57</w:t>
            </w:r>
          </w:p>
        </w:tc>
        <w:tc>
          <w:tcPr>
            <w:tcW w:w="1080" w:type="dxa"/>
            <w:tcMar>
              <w:top w:w="80" w:type="dxa"/>
              <w:left w:w="90" w:type="dxa"/>
              <w:bottom w:w="80" w:type="dxa"/>
              <w:right w:w="90" w:type="dxa"/>
            </w:tcMar>
            <w:vAlign w:val="center"/>
          </w:tcPr>
          <w:p w14:paraId="2FE6C25A" w14:textId="77777777" w:rsidR="00DA7C24" w:rsidRDefault="00000000">
            <w:pPr>
              <w:spacing w:after="0"/>
              <w:jc w:val="center"/>
            </w:pPr>
            <w:r>
              <w:rPr>
                <w:sz w:val="16"/>
              </w:rPr>
              <w:t>.681</w:t>
            </w:r>
          </w:p>
        </w:tc>
      </w:tr>
    </w:tbl>
    <w:p w14:paraId="11412794" w14:textId="77777777" w:rsidR="00DA7C24" w:rsidRDefault="00000000">
      <w:pPr>
        <w:spacing w:before="40" w:after="120"/>
      </w:pPr>
      <w:r>
        <w:rPr>
          <w:i/>
          <w:sz w:val="18"/>
        </w:rPr>
        <w:t>Source: Survey Data (2026)</w:t>
      </w:r>
    </w:p>
    <w:p w14:paraId="0B980CEB" w14:textId="77777777" w:rsidR="00DA7C24" w:rsidRDefault="00000000">
      <w:pPr>
        <w:keepNext/>
        <w:spacing w:before="140" w:after="80"/>
      </w:pPr>
      <w:r>
        <w:rPr>
          <w:b/>
          <w:sz w:val="23"/>
        </w:rPr>
        <w:t>Inferential Analysis</w:t>
      </w:r>
    </w:p>
    <w:p w14:paraId="63345708" w14:textId="77777777" w:rsidR="00DA7C24" w:rsidRDefault="00000000">
      <w:pPr>
        <w:keepNext/>
        <w:spacing w:before="140" w:after="80"/>
      </w:pPr>
      <w:r>
        <w:rPr>
          <w:b/>
          <w:sz w:val="23"/>
        </w:rPr>
        <w:t>Pearson Correlation</w:t>
      </w:r>
    </w:p>
    <w:p w14:paraId="69FBA891" w14:textId="77777777" w:rsidR="00DA7C24" w:rsidRDefault="00000000">
      <w:pPr>
        <w:ind w:firstLine="360"/>
        <w:jc w:val="both"/>
      </w:pPr>
      <w:r>
        <w:t xml:space="preserve">Shareholder rights were positively associated with </w:t>
      </w:r>
      <w:r>
        <w:rPr>
          <w:highlight w:val="yellow"/>
        </w:rPr>
        <w:t>organisational</w:t>
      </w:r>
      <w:r>
        <w:t xml:space="preserve"> performance (r = .362, p &lt; .001). The magnitude indicates a modest-to-moderate positive relationship. Board composition (r = .359, p &lt; .001), board size (r = .366, p &lt; .001), and transparency (r = .370, p &lt; .001) also showed positive bivariate associations with </w:t>
      </w:r>
      <w:r>
        <w:rPr>
          <w:highlight w:val="yellow"/>
        </w:rPr>
        <w:t>organisational</w:t>
      </w:r>
      <w:r>
        <w:t xml:space="preserve"> performance. Correlations among the four governance predictors were small, ranging from .025 to .116, as shown in Table 3.</w:t>
      </w:r>
    </w:p>
    <w:p w14:paraId="767EBAA2" w14:textId="77777777" w:rsidR="00DA7C24" w:rsidRDefault="00000000">
      <w:pPr>
        <w:spacing w:before="120" w:after="60"/>
      </w:pPr>
      <w:r>
        <w:rPr>
          <w:b/>
          <w:sz w:val="21"/>
        </w:rPr>
        <w:t>Table 3. Pearson Correlations</w:t>
      </w:r>
    </w:p>
    <w:tbl>
      <w:tblPr>
        <w:tblStyle w:val="TableGrid"/>
        <w:tblW w:w="0" w:type="auto"/>
        <w:jc w:val="center"/>
        <w:tblLayout w:type="fixed"/>
        <w:tblLook w:val="04A0" w:firstRow="1" w:lastRow="0" w:firstColumn="1" w:lastColumn="0" w:noHBand="0" w:noVBand="1"/>
      </w:tblPr>
      <w:tblGrid>
        <w:gridCol w:w="2232"/>
        <w:gridCol w:w="1655"/>
        <w:gridCol w:w="1655"/>
        <w:gridCol w:w="1368"/>
        <w:gridCol w:w="1368"/>
        <w:gridCol w:w="1944"/>
      </w:tblGrid>
      <w:tr w:rsidR="00DA7C24" w14:paraId="4C6AF679" w14:textId="77777777">
        <w:trPr>
          <w:tblHeader/>
          <w:jc w:val="center"/>
        </w:trPr>
        <w:tc>
          <w:tcPr>
            <w:tcW w:w="2232" w:type="dxa"/>
            <w:shd w:val="clear" w:color="auto" w:fill="E7E6E6"/>
            <w:tcMar>
              <w:top w:w="80" w:type="dxa"/>
              <w:left w:w="90" w:type="dxa"/>
              <w:bottom w:w="80" w:type="dxa"/>
              <w:right w:w="90" w:type="dxa"/>
            </w:tcMar>
            <w:vAlign w:val="center"/>
          </w:tcPr>
          <w:p w14:paraId="76CAD1A2" w14:textId="77777777" w:rsidR="00DA7C24" w:rsidRDefault="00000000">
            <w:pPr>
              <w:spacing w:after="0"/>
              <w:jc w:val="center"/>
            </w:pPr>
            <w:r>
              <w:rPr>
                <w:b/>
                <w:sz w:val="16"/>
              </w:rPr>
              <w:t>Variables</w:t>
            </w:r>
          </w:p>
        </w:tc>
        <w:tc>
          <w:tcPr>
            <w:tcW w:w="1655" w:type="dxa"/>
            <w:shd w:val="clear" w:color="auto" w:fill="E7E6E6"/>
            <w:tcMar>
              <w:top w:w="80" w:type="dxa"/>
              <w:left w:w="90" w:type="dxa"/>
              <w:bottom w:w="80" w:type="dxa"/>
              <w:right w:w="90" w:type="dxa"/>
            </w:tcMar>
            <w:vAlign w:val="center"/>
          </w:tcPr>
          <w:p w14:paraId="5DD92C8F" w14:textId="77777777" w:rsidR="00DA7C24" w:rsidRDefault="00000000">
            <w:pPr>
              <w:spacing w:after="0"/>
              <w:jc w:val="center"/>
            </w:pPr>
            <w:r>
              <w:rPr>
                <w:b/>
                <w:sz w:val="16"/>
              </w:rPr>
              <w:t>Shareholder Rights</w:t>
            </w:r>
          </w:p>
        </w:tc>
        <w:tc>
          <w:tcPr>
            <w:tcW w:w="1655" w:type="dxa"/>
            <w:shd w:val="clear" w:color="auto" w:fill="E7E6E6"/>
            <w:tcMar>
              <w:top w:w="80" w:type="dxa"/>
              <w:left w:w="90" w:type="dxa"/>
              <w:bottom w:w="80" w:type="dxa"/>
              <w:right w:w="90" w:type="dxa"/>
            </w:tcMar>
            <w:vAlign w:val="center"/>
          </w:tcPr>
          <w:p w14:paraId="6F8F5BC3" w14:textId="77777777" w:rsidR="00DA7C24" w:rsidRDefault="00000000">
            <w:pPr>
              <w:spacing w:after="0"/>
              <w:jc w:val="center"/>
            </w:pPr>
            <w:r>
              <w:rPr>
                <w:b/>
                <w:sz w:val="16"/>
              </w:rPr>
              <w:t>Board Composition</w:t>
            </w:r>
          </w:p>
        </w:tc>
        <w:tc>
          <w:tcPr>
            <w:tcW w:w="1368" w:type="dxa"/>
            <w:shd w:val="clear" w:color="auto" w:fill="E7E6E6"/>
            <w:tcMar>
              <w:top w:w="80" w:type="dxa"/>
              <w:left w:w="90" w:type="dxa"/>
              <w:bottom w:w="80" w:type="dxa"/>
              <w:right w:w="90" w:type="dxa"/>
            </w:tcMar>
            <w:vAlign w:val="center"/>
          </w:tcPr>
          <w:p w14:paraId="69C044AB" w14:textId="77777777" w:rsidR="00DA7C24" w:rsidRDefault="00000000">
            <w:pPr>
              <w:spacing w:after="0"/>
              <w:jc w:val="center"/>
            </w:pPr>
            <w:r>
              <w:rPr>
                <w:b/>
                <w:sz w:val="16"/>
              </w:rPr>
              <w:t>Board Size</w:t>
            </w:r>
          </w:p>
        </w:tc>
        <w:tc>
          <w:tcPr>
            <w:tcW w:w="1368" w:type="dxa"/>
            <w:shd w:val="clear" w:color="auto" w:fill="E7E6E6"/>
            <w:tcMar>
              <w:top w:w="80" w:type="dxa"/>
              <w:left w:w="90" w:type="dxa"/>
              <w:bottom w:w="80" w:type="dxa"/>
              <w:right w:w="90" w:type="dxa"/>
            </w:tcMar>
            <w:vAlign w:val="center"/>
          </w:tcPr>
          <w:p w14:paraId="101745A4" w14:textId="77777777" w:rsidR="00DA7C24" w:rsidRDefault="00000000">
            <w:pPr>
              <w:spacing w:after="0"/>
              <w:jc w:val="center"/>
            </w:pPr>
            <w:r>
              <w:rPr>
                <w:b/>
                <w:sz w:val="16"/>
              </w:rPr>
              <w:t>Transparency</w:t>
            </w:r>
          </w:p>
        </w:tc>
        <w:tc>
          <w:tcPr>
            <w:tcW w:w="1944" w:type="dxa"/>
            <w:shd w:val="clear" w:color="auto" w:fill="E7E6E6"/>
            <w:tcMar>
              <w:top w:w="80" w:type="dxa"/>
              <w:left w:w="90" w:type="dxa"/>
              <w:bottom w:w="80" w:type="dxa"/>
              <w:right w:w="90" w:type="dxa"/>
            </w:tcMar>
            <w:vAlign w:val="center"/>
          </w:tcPr>
          <w:p w14:paraId="67D75F2C" w14:textId="77777777" w:rsidR="00DA7C24" w:rsidRDefault="00000000">
            <w:pPr>
              <w:spacing w:after="0"/>
              <w:jc w:val="center"/>
            </w:pPr>
            <w:r>
              <w:rPr>
                <w:b/>
                <w:sz w:val="16"/>
              </w:rPr>
              <w:t>Organizational Performance</w:t>
            </w:r>
          </w:p>
        </w:tc>
      </w:tr>
      <w:tr w:rsidR="00DA7C24" w14:paraId="481C3C06" w14:textId="77777777">
        <w:trPr>
          <w:jc w:val="center"/>
        </w:trPr>
        <w:tc>
          <w:tcPr>
            <w:tcW w:w="2232" w:type="dxa"/>
            <w:tcMar>
              <w:top w:w="80" w:type="dxa"/>
              <w:left w:w="90" w:type="dxa"/>
              <w:bottom w:w="80" w:type="dxa"/>
              <w:right w:w="90" w:type="dxa"/>
            </w:tcMar>
            <w:vAlign w:val="center"/>
          </w:tcPr>
          <w:p w14:paraId="3E7E517B" w14:textId="77777777" w:rsidR="00DA7C24" w:rsidRDefault="00000000">
            <w:pPr>
              <w:spacing w:after="0"/>
            </w:pPr>
            <w:r>
              <w:rPr>
                <w:sz w:val="16"/>
              </w:rPr>
              <w:t>Shareholder Rights</w:t>
            </w:r>
          </w:p>
        </w:tc>
        <w:tc>
          <w:tcPr>
            <w:tcW w:w="1655" w:type="dxa"/>
            <w:tcMar>
              <w:top w:w="80" w:type="dxa"/>
              <w:left w:w="90" w:type="dxa"/>
              <w:bottom w:w="80" w:type="dxa"/>
              <w:right w:w="90" w:type="dxa"/>
            </w:tcMar>
            <w:vAlign w:val="center"/>
          </w:tcPr>
          <w:p w14:paraId="0F08A724" w14:textId="77777777" w:rsidR="00DA7C24" w:rsidRDefault="00000000">
            <w:pPr>
              <w:spacing w:after="0"/>
              <w:jc w:val="center"/>
            </w:pPr>
            <w:r>
              <w:rPr>
                <w:sz w:val="16"/>
              </w:rPr>
              <w:t>1</w:t>
            </w:r>
          </w:p>
        </w:tc>
        <w:tc>
          <w:tcPr>
            <w:tcW w:w="1655" w:type="dxa"/>
            <w:tcMar>
              <w:top w:w="80" w:type="dxa"/>
              <w:left w:w="90" w:type="dxa"/>
              <w:bottom w:w="80" w:type="dxa"/>
              <w:right w:w="90" w:type="dxa"/>
            </w:tcMar>
            <w:vAlign w:val="center"/>
          </w:tcPr>
          <w:p w14:paraId="5A00C02E" w14:textId="77777777" w:rsidR="00DA7C24" w:rsidRDefault="00000000">
            <w:pPr>
              <w:spacing w:after="0"/>
              <w:jc w:val="center"/>
            </w:pPr>
            <w:r>
              <w:rPr>
                <w:sz w:val="16"/>
              </w:rPr>
              <w:t>.025</w:t>
            </w:r>
          </w:p>
        </w:tc>
        <w:tc>
          <w:tcPr>
            <w:tcW w:w="1368" w:type="dxa"/>
            <w:tcMar>
              <w:top w:w="80" w:type="dxa"/>
              <w:left w:w="90" w:type="dxa"/>
              <w:bottom w:w="80" w:type="dxa"/>
              <w:right w:w="90" w:type="dxa"/>
            </w:tcMar>
            <w:vAlign w:val="center"/>
          </w:tcPr>
          <w:p w14:paraId="69D99613" w14:textId="77777777" w:rsidR="00DA7C24" w:rsidRDefault="00000000">
            <w:pPr>
              <w:spacing w:after="0"/>
              <w:jc w:val="center"/>
            </w:pPr>
            <w:r>
              <w:rPr>
                <w:sz w:val="16"/>
              </w:rPr>
              <w:t>.060</w:t>
            </w:r>
          </w:p>
        </w:tc>
        <w:tc>
          <w:tcPr>
            <w:tcW w:w="1368" w:type="dxa"/>
            <w:tcMar>
              <w:top w:w="80" w:type="dxa"/>
              <w:left w:w="90" w:type="dxa"/>
              <w:bottom w:w="80" w:type="dxa"/>
              <w:right w:w="90" w:type="dxa"/>
            </w:tcMar>
            <w:vAlign w:val="center"/>
          </w:tcPr>
          <w:p w14:paraId="5B5F5049" w14:textId="77777777" w:rsidR="00DA7C24" w:rsidRDefault="00000000">
            <w:pPr>
              <w:spacing w:after="0"/>
              <w:jc w:val="center"/>
            </w:pPr>
            <w:r>
              <w:rPr>
                <w:sz w:val="16"/>
              </w:rPr>
              <w:t>.116</w:t>
            </w:r>
          </w:p>
        </w:tc>
        <w:tc>
          <w:tcPr>
            <w:tcW w:w="1944" w:type="dxa"/>
            <w:tcMar>
              <w:top w:w="80" w:type="dxa"/>
              <w:left w:w="90" w:type="dxa"/>
              <w:bottom w:w="80" w:type="dxa"/>
              <w:right w:w="90" w:type="dxa"/>
            </w:tcMar>
            <w:vAlign w:val="center"/>
          </w:tcPr>
          <w:p w14:paraId="7297E43F" w14:textId="77777777" w:rsidR="00DA7C24" w:rsidRDefault="00000000">
            <w:pPr>
              <w:spacing w:after="0"/>
              <w:jc w:val="center"/>
            </w:pPr>
            <w:r>
              <w:rPr>
                <w:sz w:val="16"/>
              </w:rPr>
              <w:t>.362</w:t>
            </w:r>
          </w:p>
        </w:tc>
      </w:tr>
      <w:tr w:rsidR="00DA7C24" w14:paraId="411664A5" w14:textId="77777777">
        <w:trPr>
          <w:jc w:val="center"/>
        </w:trPr>
        <w:tc>
          <w:tcPr>
            <w:tcW w:w="2232" w:type="dxa"/>
            <w:tcMar>
              <w:top w:w="80" w:type="dxa"/>
              <w:left w:w="90" w:type="dxa"/>
              <w:bottom w:w="80" w:type="dxa"/>
              <w:right w:w="90" w:type="dxa"/>
            </w:tcMar>
            <w:vAlign w:val="center"/>
          </w:tcPr>
          <w:p w14:paraId="7E3784D2" w14:textId="77777777" w:rsidR="00DA7C24" w:rsidRDefault="00000000">
            <w:pPr>
              <w:spacing w:after="0"/>
            </w:pPr>
            <w:r>
              <w:rPr>
                <w:sz w:val="16"/>
              </w:rPr>
              <w:t>Sig. (2-tailed)</w:t>
            </w:r>
          </w:p>
        </w:tc>
        <w:tc>
          <w:tcPr>
            <w:tcW w:w="1655" w:type="dxa"/>
            <w:tcMar>
              <w:top w:w="80" w:type="dxa"/>
              <w:left w:w="90" w:type="dxa"/>
              <w:bottom w:w="80" w:type="dxa"/>
              <w:right w:w="90" w:type="dxa"/>
            </w:tcMar>
            <w:vAlign w:val="center"/>
          </w:tcPr>
          <w:p w14:paraId="32EF79E8" w14:textId="77777777" w:rsidR="00DA7C24" w:rsidRDefault="00000000">
            <w:pPr>
              <w:spacing w:after="0"/>
              <w:jc w:val="center"/>
            </w:pPr>
            <w:r>
              <w:rPr>
                <w:sz w:val="16"/>
              </w:rPr>
              <w:t>-</w:t>
            </w:r>
          </w:p>
        </w:tc>
        <w:tc>
          <w:tcPr>
            <w:tcW w:w="1655" w:type="dxa"/>
            <w:tcMar>
              <w:top w:w="80" w:type="dxa"/>
              <w:left w:w="90" w:type="dxa"/>
              <w:bottom w:w="80" w:type="dxa"/>
              <w:right w:w="90" w:type="dxa"/>
            </w:tcMar>
            <w:vAlign w:val="center"/>
          </w:tcPr>
          <w:p w14:paraId="28247873" w14:textId="77777777" w:rsidR="00DA7C24" w:rsidRDefault="00000000">
            <w:pPr>
              <w:spacing w:after="0"/>
              <w:jc w:val="center"/>
            </w:pPr>
            <w:r>
              <w:rPr>
                <w:sz w:val="16"/>
              </w:rPr>
              <w:t>.725</w:t>
            </w:r>
          </w:p>
        </w:tc>
        <w:tc>
          <w:tcPr>
            <w:tcW w:w="1368" w:type="dxa"/>
            <w:tcMar>
              <w:top w:w="80" w:type="dxa"/>
              <w:left w:w="90" w:type="dxa"/>
              <w:bottom w:w="80" w:type="dxa"/>
              <w:right w:w="90" w:type="dxa"/>
            </w:tcMar>
            <w:vAlign w:val="center"/>
          </w:tcPr>
          <w:p w14:paraId="1A2D8BFA" w14:textId="77777777" w:rsidR="00DA7C24" w:rsidRDefault="00000000">
            <w:pPr>
              <w:spacing w:after="0"/>
              <w:jc w:val="center"/>
            </w:pPr>
            <w:r>
              <w:rPr>
                <w:sz w:val="16"/>
              </w:rPr>
              <w:t>.403</w:t>
            </w:r>
          </w:p>
        </w:tc>
        <w:tc>
          <w:tcPr>
            <w:tcW w:w="1368" w:type="dxa"/>
            <w:tcMar>
              <w:top w:w="80" w:type="dxa"/>
              <w:left w:w="90" w:type="dxa"/>
              <w:bottom w:w="80" w:type="dxa"/>
              <w:right w:w="90" w:type="dxa"/>
            </w:tcMar>
            <w:vAlign w:val="center"/>
          </w:tcPr>
          <w:p w14:paraId="605FB223" w14:textId="77777777" w:rsidR="00DA7C24" w:rsidRDefault="00000000">
            <w:pPr>
              <w:spacing w:after="0"/>
              <w:jc w:val="center"/>
            </w:pPr>
            <w:r>
              <w:rPr>
                <w:sz w:val="16"/>
              </w:rPr>
              <w:t>.107</w:t>
            </w:r>
          </w:p>
        </w:tc>
        <w:tc>
          <w:tcPr>
            <w:tcW w:w="1944" w:type="dxa"/>
            <w:tcMar>
              <w:top w:w="80" w:type="dxa"/>
              <w:left w:w="90" w:type="dxa"/>
              <w:bottom w:w="80" w:type="dxa"/>
              <w:right w:w="90" w:type="dxa"/>
            </w:tcMar>
            <w:vAlign w:val="center"/>
          </w:tcPr>
          <w:p w14:paraId="5241CB05" w14:textId="77777777" w:rsidR="00DA7C24" w:rsidRDefault="00000000">
            <w:pPr>
              <w:spacing w:after="0"/>
              <w:jc w:val="center"/>
            </w:pPr>
            <w:r>
              <w:rPr>
                <w:sz w:val="16"/>
              </w:rPr>
              <w:t>&lt;.001</w:t>
            </w:r>
          </w:p>
        </w:tc>
      </w:tr>
      <w:tr w:rsidR="00DA7C24" w14:paraId="3BED5EE2" w14:textId="77777777">
        <w:trPr>
          <w:jc w:val="center"/>
        </w:trPr>
        <w:tc>
          <w:tcPr>
            <w:tcW w:w="2232" w:type="dxa"/>
            <w:tcMar>
              <w:top w:w="80" w:type="dxa"/>
              <w:left w:w="90" w:type="dxa"/>
              <w:bottom w:w="80" w:type="dxa"/>
              <w:right w:w="90" w:type="dxa"/>
            </w:tcMar>
            <w:vAlign w:val="center"/>
          </w:tcPr>
          <w:p w14:paraId="131FE204" w14:textId="77777777" w:rsidR="00DA7C24" w:rsidRDefault="00000000">
            <w:pPr>
              <w:spacing w:after="0"/>
            </w:pPr>
            <w:r>
              <w:rPr>
                <w:sz w:val="16"/>
              </w:rPr>
              <w:t>Board Composition</w:t>
            </w:r>
          </w:p>
        </w:tc>
        <w:tc>
          <w:tcPr>
            <w:tcW w:w="1655" w:type="dxa"/>
            <w:tcMar>
              <w:top w:w="80" w:type="dxa"/>
              <w:left w:w="90" w:type="dxa"/>
              <w:bottom w:w="80" w:type="dxa"/>
              <w:right w:w="90" w:type="dxa"/>
            </w:tcMar>
            <w:vAlign w:val="center"/>
          </w:tcPr>
          <w:p w14:paraId="492E5F49" w14:textId="77777777" w:rsidR="00DA7C24" w:rsidRDefault="00000000">
            <w:pPr>
              <w:spacing w:after="0"/>
              <w:jc w:val="center"/>
            </w:pPr>
            <w:r>
              <w:rPr>
                <w:sz w:val="16"/>
              </w:rPr>
              <w:t>.025</w:t>
            </w:r>
          </w:p>
        </w:tc>
        <w:tc>
          <w:tcPr>
            <w:tcW w:w="1655" w:type="dxa"/>
            <w:tcMar>
              <w:top w:w="80" w:type="dxa"/>
              <w:left w:w="90" w:type="dxa"/>
              <w:bottom w:w="80" w:type="dxa"/>
              <w:right w:w="90" w:type="dxa"/>
            </w:tcMar>
            <w:vAlign w:val="center"/>
          </w:tcPr>
          <w:p w14:paraId="130A5754" w14:textId="77777777" w:rsidR="00DA7C24" w:rsidRDefault="00000000">
            <w:pPr>
              <w:spacing w:after="0"/>
              <w:jc w:val="center"/>
            </w:pPr>
            <w:r>
              <w:rPr>
                <w:sz w:val="16"/>
              </w:rPr>
              <w:t>1</w:t>
            </w:r>
          </w:p>
        </w:tc>
        <w:tc>
          <w:tcPr>
            <w:tcW w:w="1368" w:type="dxa"/>
            <w:tcMar>
              <w:top w:w="80" w:type="dxa"/>
              <w:left w:w="90" w:type="dxa"/>
              <w:bottom w:w="80" w:type="dxa"/>
              <w:right w:w="90" w:type="dxa"/>
            </w:tcMar>
            <w:vAlign w:val="center"/>
          </w:tcPr>
          <w:p w14:paraId="0EC4E2E6" w14:textId="77777777" w:rsidR="00DA7C24" w:rsidRDefault="00000000">
            <w:pPr>
              <w:spacing w:after="0"/>
              <w:jc w:val="center"/>
            </w:pPr>
            <w:r>
              <w:rPr>
                <w:sz w:val="16"/>
              </w:rPr>
              <w:t>.074</w:t>
            </w:r>
          </w:p>
        </w:tc>
        <w:tc>
          <w:tcPr>
            <w:tcW w:w="1368" w:type="dxa"/>
            <w:tcMar>
              <w:top w:w="80" w:type="dxa"/>
              <w:left w:w="90" w:type="dxa"/>
              <w:bottom w:w="80" w:type="dxa"/>
              <w:right w:w="90" w:type="dxa"/>
            </w:tcMar>
            <w:vAlign w:val="center"/>
          </w:tcPr>
          <w:p w14:paraId="32413991" w14:textId="77777777" w:rsidR="00DA7C24" w:rsidRDefault="00000000">
            <w:pPr>
              <w:spacing w:after="0"/>
              <w:jc w:val="center"/>
            </w:pPr>
            <w:r>
              <w:rPr>
                <w:sz w:val="16"/>
              </w:rPr>
              <w:t>.065</w:t>
            </w:r>
          </w:p>
        </w:tc>
        <w:tc>
          <w:tcPr>
            <w:tcW w:w="1944" w:type="dxa"/>
            <w:tcMar>
              <w:top w:w="80" w:type="dxa"/>
              <w:left w:w="90" w:type="dxa"/>
              <w:bottom w:w="80" w:type="dxa"/>
              <w:right w:w="90" w:type="dxa"/>
            </w:tcMar>
            <w:vAlign w:val="center"/>
          </w:tcPr>
          <w:p w14:paraId="0B4A495E" w14:textId="77777777" w:rsidR="00DA7C24" w:rsidRDefault="00000000">
            <w:pPr>
              <w:spacing w:after="0"/>
              <w:jc w:val="center"/>
            </w:pPr>
            <w:r>
              <w:rPr>
                <w:sz w:val="16"/>
              </w:rPr>
              <w:t>.359</w:t>
            </w:r>
          </w:p>
        </w:tc>
      </w:tr>
      <w:tr w:rsidR="00DA7C24" w14:paraId="11AC6110" w14:textId="77777777">
        <w:trPr>
          <w:jc w:val="center"/>
        </w:trPr>
        <w:tc>
          <w:tcPr>
            <w:tcW w:w="2232" w:type="dxa"/>
            <w:tcMar>
              <w:top w:w="80" w:type="dxa"/>
              <w:left w:w="90" w:type="dxa"/>
              <w:bottom w:w="80" w:type="dxa"/>
              <w:right w:w="90" w:type="dxa"/>
            </w:tcMar>
            <w:vAlign w:val="center"/>
          </w:tcPr>
          <w:p w14:paraId="1C5DE5BC" w14:textId="77777777" w:rsidR="00DA7C24" w:rsidRDefault="00000000">
            <w:pPr>
              <w:spacing w:after="0"/>
            </w:pPr>
            <w:r>
              <w:rPr>
                <w:sz w:val="16"/>
              </w:rPr>
              <w:t>Sig. (2-tailed)</w:t>
            </w:r>
          </w:p>
        </w:tc>
        <w:tc>
          <w:tcPr>
            <w:tcW w:w="1655" w:type="dxa"/>
            <w:tcMar>
              <w:top w:w="80" w:type="dxa"/>
              <w:left w:w="90" w:type="dxa"/>
              <w:bottom w:w="80" w:type="dxa"/>
              <w:right w:w="90" w:type="dxa"/>
            </w:tcMar>
            <w:vAlign w:val="center"/>
          </w:tcPr>
          <w:p w14:paraId="59432AC6" w14:textId="77777777" w:rsidR="00DA7C24" w:rsidRDefault="00000000">
            <w:pPr>
              <w:spacing w:after="0"/>
              <w:jc w:val="center"/>
            </w:pPr>
            <w:r>
              <w:rPr>
                <w:sz w:val="16"/>
              </w:rPr>
              <w:t>.725</w:t>
            </w:r>
          </w:p>
        </w:tc>
        <w:tc>
          <w:tcPr>
            <w:tcW w:w="1655" w:type="dxa"/>
            <w:tcMar>
              <w:top w:w="80" w:type="dxa"/>
              <w:left w:w="90" w:type="dxa"/>
              <w:bottom w:w="80" w:type="dxa"/>
              <w:right w:w="90" w:type="dxa"/>
            </w:tcMar>
            <w:vAlign w:val="center"/>
          </w:tcPr>
          <w:p w14:paraId="00CCC0BB" w14:textId="77777777" w:rsidR="00DA7C24" w:rsidRDefault="00000000">
            <w:pPr>
              <w:spacing w:after="0"/>
              <w:jc w:val="center"/>
            </w:pPr>
            <w:r>
              <w:rPr>
                <w:sz w:val="16"/>
              </w:rPr>
              <w:t>-</w:t>
            </w:r>
          </w:p>
        </w:tc>
        <w:tc>
          <w:tcPr>
            <w:tcW w:w="1368" w:type="dxa"/>
            <w:tcMar>
              <w:top w:w="80" w:type="dxa"/>
              <w:left w:w="90" w:type="dxa"/>
              <w:bottom w:w="80" w:type="dxa"/>
              <w:right w:w="90" w:type="dxa"/>
            </w:tcMar>
            <w:vAlign w:val="center"/>
          </w:tcPr>
          <w:p w14:paraId="4A0A6E65" w14:textId="77777777" w:rsidR="00DA7C24" w:rsidRDefault="00000000">
            <w:pPr>
              <w:spacing w:after="0"/>
              <w:jc w:val="center"/>
            </w:pPr>
            <w:r>
              <w:rPr>
                <w:sz w:val="16"/>
              </w:rPr>
              <w:t>.306</w:t>
            </w:r>
          </w:p>
        </w:tc>
        <w:tc>
          <w:tcPr>
            <w:tcW w:w="1368" w:type="dxa"/>
            <w:tcMar>
              <w:top w:w="80" w:type="dxa"/>
              <w:left w:w="90" w:type="dxa"/>
              <w:bottom w:w="80" w:type="dxa"/>
              <w:right w:w="90" w:type="dxa"/>
            </w:tcMar>
            <w:vAlign w:val="center"/>
          </w:tcPr>
          <w:p w14:paraId="0D39F5D5" w14:textId="77777777" w:rsidR="00DA7C24" w:rsidRDefault="00000000">
            <w:pPr>
              <w:spacing w:after="0"/>
              <w:jc w:val="center"/>
            </w:pPr>
            <w:r>
              <w:rPr>
                <w:sz w:val="16"/>
              </w:rPr>
              <w:t>.370</w:t>
            </w:r>
          </w:p>
        </w:tc>
        <w:tc>
          <w:tcPr>
            <w:tcW w:w="1944" w:type="dxa"/>
            <w:tcMar>
              <w:top w:w="80" w:type="dxa"/>
              <w:left w:w="90" w:type="dxa"/>
              <w:bottom w:w="80" w:type="dxa"/>
              <w:right w:w="90" w:type="dxa"/>
            </w:tcMar>
            <w:vAlign w:val="center"/>
          </w:tcPr>
          <w:p w14:paraId="0398A2DB" w14:textId="77777777" w:rsidR="00DA7C24" w:rsidRDefault="00000000">
            <w:pPr>
              <w:spacing w:after="0"/>
              <w:jc w:val="center"/>
            </w:pPr>
            <w:r>
              <w:rPr>
                <w:sz w:val="16"/>
              </w:rPr>
              <w:t>&lt;.001</w:t>
            </w:r>
          </w:p>
        </w:tc>
      </w:tr>
      <w:tr w:rsidR="00DA7C24" w14:paraId="3B1BD0DA" w14:textId="77777777">
        <w:trPr>
          <w:jc w:val="center"/>
        </w:trPr>
        <w:tc>
          <w:tcPr>
            <w:tcW w:w="2232" w:type="dxa"/>
            <w:tcMar>
              <w:top w:w="80" w:type="dxa"/>
              <w:left w:w="90" w:type="dxa"/>
              <w:bottom w:w="80" w:type="dxa"/>
              <w:right w:w="90" w:type="dxa"/>
            </w:tcMar>
            <w:vAlign w:val="center"/>
          </w:tcPr>
          <w:p w14:paraId="1D144A74" w14:textId="77777777" w:rsidR="00DA7C24" w:rsidRDefault="00000000">
            <w:pPr>
              <w:spacing w:after="0"/>
            </w:pPr>
            <w:r>
              <w:rPr>
                <w:sz w:val="16"/>
              </w:rPr>
              <w:t>Board Size</w:t>
            </w:r>
          </w:p>
        </w:tc>
        <w:tc>
          <w:tcPr>
            <w:tcW w:w="1655" w:type="dxa"/>
            <w:tcMar>
              <w:top w:w="80" w:type="dxa"/>
              <w:left w:w="90" w:type="dxa"/>
              <w:bottom w:w="80" w:type="dxa"/>
              <w:right w:w="90" w:type="dxa"/>
            </w:tcMar>
            <w:vAlign w:val="center"/>
          </w:tcPr>
          <w:p w14:paraId="2E78FAFD" w14:textId="77777777" w:rsidR="00DA7C24" w:rsidRDefault="00000000">
            <w:pPr>
              <w:spacing w:after="0"/>
              <w:jc w:val="center"/>
            </w:pPr>
            <w:r>
              <w:rPr>
                <w:sz w:val="16"/>
              </w:rPr>
              <w:t>.060</w:t>
            </w:r>
          </w:p>
        </w:tc>
        <w:tc>
          <w:tcPr>
            <w:tcW w:w="1655" w:type="dxa"/>
            <w:tcMar>
              <w:top w:w="80" w:type="dxa"/>
              <w:left w:w="90" w:type="dxa"/>
              <w:bottom w:w="80" w:type="dxa"/>
              <w:right w:w="90" w:type="dxa"/>
            </w:tcMar>
            <w:vAlign w:val="center"/>
          </w:tcPr>
          <w:p w14:paraId="7241943F" w14:textId="77777777" w:rsidR="00DA7C24" w:rsidRDefault="00000000">
            <w:pPr>
              <w:spacing w:after="0"/>
              <w:jc w:val="center"/>
            </w:pPr>
            <w:r>
              <w:rPr>
                <w:sz w:val="16"/>
              </w:rPr>
              <w:t>.074</w:t>
            </w:r>
          </w:p>
        </w:tc>
        <w:tc>
          <w:tcPr>
            <w:tcW w:w="1368" w:type="dxa"/>
            <w:tcMar>
              <w:top w:w="80" w:type="dxa"/>
              <w:left w:w="90" w:type="dxa"/>
              <w:bottom w:w="80" w:type="dxa"/>
              <w:right w:w="90" w:type="dxa"/>
            </w:tcMar>
            <w:vAlign w:val="center"/>
          </w:tcPr>
          <w:p w14:paraId="58E13B02" w14:textId="77777777" w:rsidR="00DA7C24" w:rsidRDefault="00000000">
            <w:pPr>
              <w:spacing w:after="0"/>
              <w:jc w:val="center"/>
            </w:pPr>
            <w:r>
              <w:rPr>
                <w:sz w:val="16"/>
              </w:rPr>
              <w:t>1</w:t>
            </w:r>
          </w:p>
        </w:tc>
        <w:tc>
          <w:tcPr>
            <w:tcW w:w="1368" w:type="dxa"/>
            <w:tcMar>
              <w:top w:w="80" w:type="dxa"/>
              <w:left w:w="90" w:type="dxa"/>
              <w:bottom w:w="80" w:type="dxa"/>
              <w:right w:w="90" w:type="dxa"/>
            </w:tcMar>
            <w:vAlign w:val="center"/>
          </w:tcPr>
          <w:p w14:paraId="53A19AF6" w14:textId="77777777" w:rsidR="00DA7C24" w:rsidRDefault="00000000">
            <w:pPr>
              <w:spacing w:after="0"/>
              <w:jc w:val="center"/>
            </w:pPr>
            <w:r>
              <w:rPr>
                <w:sz w:val="16"/>
              </w:rPr>
              <w:t>.053</w:t>
            </w:r>
          </w:p>
        </w:tc>
        <w:tc>
          <w:tcPr>
            <w:tcW w:w="1944" w:type="dxa"/>
            <w:tcMar>
              <w:top w:w="80" w:type="dxa"/>
              <w:left w:w="90" w:type="dxa"/>
              <w:bottom w:w="80" w:type="dxa"/>
              <w:right w:w="90" w:type="dxa"/>
            </w:tcMar>
            <w:vAlign w:val="center"/>
          </w:tcPr>
          <w:p w14:paraId="79C2A408" w14:textId="77777777" w:rsidR="00DA7C24" w:rsidRDefault="00000000">
            <w:pPr>
              <w:spacing w:after="0"/>
              <w:jc w:val="center"/>
            </w:pPr>
            <w:r>
              <w:rPr>
                <w:sz w:val="16"/>
              </w:rPr>
              <w:t>.366</w:t>
            </w:r>
          </w:p>
        </w:tc>
      </w:tr>
      <w:tr w:rsidR="00DA7C24" w14:paraId="68B3C253" w14:textId="77777777">
        <w:trPr>
          <w:jc w:val="center"/>
        </w:trPr>
        <w:tc>
          <w:tcPr>
            <w:tcW w:w="2232" w:type="dxa"/>
            <w:tcMar>
              <w:top w:w="80" w:type="dxa"/>
              <w:left w:w="90" w:type="dxa"/>
              <w:bottom w:w="80" w:type="dxa"/>
              <w:right w:w="90" w:type="dxa"/>
            </w:tcMar>
            <w:vAlign w:val="center"/>
          </w:tcPr>
          <w:p w14:paraId="3527FE1B" w14:textId="77777777" w:rsidR="00DA7C24" w:rsidRDefault="00000000">
            <w:pPr>
              <w:spacing w:after="0"/>
            </w:pPr>
            <w:r>
              <w:rPr>
                <w:sz w:val="16"/>
              </w:rPr>
              <w:t>Sig. (2-tailed)</w:t>
            </w:r>
          </w:p>
        </w:tc>
        <w:tc>
          <w:tcPr>
            <w:tcW w:w="1655" w:type="dxa"/>
            <w:tcMar>
              <w:top w:w="80" w:type="dxa"/>
              <w:left w:w="90" w:type="dxa"/>
              <w:bottom w:w="80" w:type="dxa"/>
              <w:right w:w="90" w:type="dxa"/>
            </w:tcMar>
            <w:vAlign w:val="center"/>
          </w:tcPr>
          <w:p w14:paraId="5A4C3384" w14:textId="77777777" w:rsidR="00DA7C24" w:rsidRDefault="00000000">
            <w:pPr>
              <w:spacing w:after="0"/>
              <w:jc w:val="center"/>
            </w:pPr>
            <w:r>
              <w:rPr>
                <w:sz w:val="16"/>
              </w:rPr>
              <w:t>.403</w:t>
            </w:r>
          </w:p>
        </w:tc>
        <w:tc>
          <w:tcPr>
            <w:tcW w:w="1655" w:type="dxa"/>
            <w:tcMar>
              <w:top w:w="80" w:type="dxa"/>
              <w:left w:w="90" w:type="dxa"/>
              <w:bottom w:w="80" w:type="dxa"/>
              <w:right w:w="90" w:type="dxa"/>
            </w:tcMar>
            <w:vAlign w:val="center"/>
          </w:tcPr>
          <w:p w14:paraId="38612366" w14:textId="77777777" w:rsidR="00DA7C24" w:rsidRDefault="00000000">
            <w:pPr>
              <w:spacing w:after="0"/>
              <w:jc w:val="center"/>
            </w:pPr>
            <w:r>
              <w:rPr>
                <w:sz w:val="16"/>
              </w:rPr>
              <w:t>.306</w:t>
            </w:r>
          </w:p>
        </w:tc>
        <w:tc>
          <w:tcPr>
            <w:tcW w:w="1368" w:type="dxa"/>
            <w:tcMar>
              <w:top w:w="80" w:type="dxa"/>
              <w:left w:w="90" w:type="dxa"/>
              <w:bottom w:w="80" w:type="dxa"/>
              <w:right w:w="90" w:type="dxa"/>
            </w:tcMar>
            <w:vAlign w:val="center"/>
          </w:tcPr>
          <w:p w14:paraId="0197CEBC" w14:textId="77777777" w:rsidR="00DA7C24" w:rsidRDefault="00000000">
            <w:pPr>
              <w:spacing w:after="0"/>
              <w:jc w:val="center"/>
            </w:pPr>
            <w:r>
              <w:rPr>
                <w:sz w:val="16"/>
              </w:rPr>
              <w:t>-</w:t>
            </w:r>
          </w:p>
        </w:tc>
        <w:tc>
          <w:tcPr>
            <w:tcW w:w="1368" w:type="dxa"/>
            <w:tcMar>
              <w:top w:w="80" w:type="dxa"/>
              <w:left w:w="90" w:type="dxa"/>
              <w:bottom w:w="80" w:type="dxa"/>
              <w:right w:w="90" w:type="dxa"/>
            </w:tcMar>
            <w:vAlign w:val="center"/>
          </w:tcPr>
          <w:p w14:paraId="37E2AB22" w14:textId="77777777" w:rsidR="00DA7C24" w:rsidRDefault="00000000">
            <w:pPr>
              <w:spacing w:after="0"/>
              <w:jc w:val="center"/>
            </w:pPr>
            <w:r>
              <w:rPr>
                <w:sz w:val="16"/>
              </w:rPr>
              <w:t>.464</w:t>
            </w:r>
          </w:p>
        </w:tc>
        <w:tc>
          <w:tcPr>
            <w:tcW w:w="1944" w:type="dxa"/>
            <w:tcMar>
              <w:top w:w="80" w:type="dxa"/>
              <w:left w:w="90" w:type="dxa"/>
              <w:bottom w:w="80" w:type="dxa"/>
              <w:right w:w="90" w:type="dxa"/>
            </w:tcMar>
            <w:vAlign w:val="center"/>
          </w:tcPr>
          <w:p w14:paraId="0DCC10F8" w14:textId="77777777" w:rsidR="00DA7C24" w:rsidRDefault="00000000">
            <w:pPr>
              <w:spacing w:after="0"/>
              <w:jc w:val="center"/>
            </w:pPr>
            <w:r>
              <w:rPr>
                <w:sz w:val="16"/>
              </w:rPr>
              <w:t>&lt;.001</w:t>
            </w:r>
          </w:p>
        </w:tc>
      </w:tr>
      <w:tr w:rsidR="00DA7C24" w14:paraId="46339415" w14:textId="77777777">
        <w:trPr>
          <w:jc w:val="center"/>
        </w:trPr>
        <w:tc>
          <w:tcPr>
            <w:tcW w:w="2232" w:type="dxa"/>
            <w:tcMar>
              <w:top w:w="80" w:type="dxa"/>
              <w:left w:w="90" w:type="dxa"/>
              <w:bottom w:w="80" w:type="dxa"/>
              <w:right w:w="90" w:type="dxa"/>
            </w:tcMar>
            <w:vAlign w:val="center"/>
          </w:tcPr>
          <w:p w14:paraId="5332C7E3" w14:textId="77777777" w:rsidR="00DA7C24" w:rsidRDefault="00000000">
            <w:pPr>
              <w:spacing w:after="0"/>
            </w:pPr>
            <w:r>
              <w:rPr>
                <w:sz w:val="16"/>
              </w:rPr>
              <w:t>Transparency</w:t>
            </w:r>
          </w:p>
        </w:tc>
        <w:tc>
          <w:tcPr>
            <w:tcW w:w="1655" w:type="dxa"/>
            <w:tcMar>
              <w:top w:w="80" w:type="dxa"/>
              <w:left w:w="90" w:type="dxa"/>
              <w:bottom w:w="80" w:type="dxa"/>
              <w:right w:w="90" w:type="dxa"/>
            </w:tcMar>
            <w:vAlign w:val="center"/>
          </w:tcPr>
          <w:p w14:paraId="5E2B3238" w14:textId="77777777" w:rsidR="00DA7C24" w:rsidRDefault="00000000">
            <w:pPr>
              <w:spacing w:after="0"/>
              <w:jc w:val="center"/>
            </w:pPr>
            <w:r>
              <w:rPr>
                <w:sz w:val="16"/>
              </w:rPr>
              <w:t>.116</w:t>
            </w:r>
          </w:p>
        </w:tc>
        <w:tc>
          <w:tcPr>
            <w:tcW w:w="1655" w:type="dxa"/>
            <w:tcMar>
              <w:top w:w="80" w:type="dxa"/>
              <w:left w:w="90" w:type="dxa"/>
              <w:bottom w:w="80" w:type="dxa"/>
              <w:right w:w="90" w:type="dxa"/>
            </w:tcMar>
            <w:vAlign w:val="center"/>
          </w:tcPr>
          <w:p w14:paraId="3A32779E" w14:textId="77777777" w:rsidR="00DA7C24" w:rsidRDefault="00000000">
            <w:pPr>
              <w:spacing w:after="0"/>
              <w:jc w:val="center"/>
            </w:pPr>
            <w:r>
              <w:rPr>
                <w:sz w:val="16"/>
              </w:rPr>
              <w:t>.065</w:t>
            </w:r>
          </w:p>
        </w:tc>
        <w:tc>
          <w:tcPr>
            <w:tcW w:w="1368" w:type="dxa"/>
            <w:tcMar>
              <w:top w:w="80" w:type="dxa"/>
              <w:left w:w="90" w:type="dxa"/>
              <w:bottom w:w="80" w:type="dxa"/>
              <w:right w:w="90" w:type="dxa"/>
            </w:tcMar>
            <w:vAlign w:val="center"/>
          </w:tcPr>
          <w:p w14:paraId="3D23CA1B" w14:textId="77777777" w:rsidR="00DA7C24" w:rsidRDefault="00000000">
            <w:pPr>
              <w:spacing w:after="0"/>
              <w:jc w:val="center"/>
            </w:pPr>
            <w:r>
              <w:rPr>
                <w:sz w:val="16"/>
              </w:rPr>
              <w:t>.053</w:t>
            </w:r>
          </w:p>
        </w:tc>
        <w:tc>
          <w:tcPr>
            <w:tcW w:w="1368" w:type="dxa"/>
            <w:tcMar>
              <w:top w:w="80" w:type="dxa"/>
              <w:left w:w="90" w:type="dxa"/>
              <w:bottom w:w="80" w:type="dxa"/>
              <w:right w:w="90" w:type="dxa"/>
            </w:tcMar>
            <w:vAlign w:val="center"/>
          </w:tcPr>
          <w:p w14:paraId="210D4241" w14:textId="77777777" w:rsidR="00DA7C24" w:rsidRDefault="00000000">
            <w:pPr>
              <w:spacing w:after="0"/>
              <w:jc w:val="center"/>
            </w:pPr>
            <w:r>
              <w:rPr>
                <w:sz w:val="16"/>
              </w:rPr>
              <w:t>1</w:t>
            </w:r>
          </w:p>
        </w:tc>
        <w:tc>
          <w:tcPr>
            <w:tcW w:w="1944" w:type="dxa"/>
            <w:tcMar>
              <w:top w:w="80" w:type="dxa"/>
              <w:left w:w="90" w:type="dxa"/>
              <w:bottom w:w="80" w:type="dxa"/>
              <w:right w:w="90" w:type="dxa"/>
            </w:tcMar>
            <w:vAlign w:val="center"/>
          </w:tcPr>
          <w:p w14:paraId="14B3864A" w14:textId="77777777" w:rsidR="00DA7C24" w:rsidRDefault="00000000">
            <w:pPr>
              <w:spacing w:after="0"/>
              <w:jc w:val="center"/>
            </w:pPr>
            <w:r>
              <w:rPr>
                <w:sz w:val="16"/>
              </w:rPr>
              <w:t>.370</w:t>
            </w:r>
          </w:p>
        </w:tc>
      </w:tr>
      <w:tr w:rsidR="00DA7C24" w14:paraId="6B8DFEFB" w14:textId="77777777">
        <w:trPr>
          <w:jc w:val="center"/>
        </w:trPr>
        <w:tc>
          <w:tcPr>
            <w:tcW w:w="2232" w:type="dxa"/>
            <w:tcMar>
              <w:top w:w="80" w:type="dxa"/>
              <w:left w:w="90" w:type="dxa"/>
              <w:bottom w:w="80" w:type="dxa"/>
              <w:right w:w="90" w:type="dxa"/>
            </w:tcMar>
            <w:vAlign w:val="center"/>
          </w:tcPr>
          <w:p w14:paraId="43C4C33E" w14:textId="77777777" w:rsidR="00DA7C24" w:rsidRDefault="00000000">
            <w:pPr>
              <w:spacing w:after="0"/>
            </w:pPr>
            <w:r>
              <w:rPr>
                <w:sz w:val="16"/>
              </w:rPr>
              <w:t>Sig. (2-tailed)</w:t>
            </w:r>
          </w:p>
        </w:tc>
        <w:tc>
          <w:tcPr>
            <w:tcW w:w="1655" w:type="dxa"/>
            <w:tcMar>
              <w:top w:w="80" w:type="dxa"/>
              <w:left w:w="90" w:type="dxa"/>
              <w:bottom w:w="80" w:type="dxa"/>
              <w:right w:w="90" w:type="dxa"/>
            </w:tcMar>
            <w:vAlign w:val="center"/>
          </w:tcPr>
          <w:p w14:paraId="6E8304A7" w14:textId="77777777" w:rsidR="00DA7C24" w:rsidRDefault="00000000">
            <w:pPr>
              <w:spacing w:after="0"/>
              <w:jc w:val="center"/>
            </w:pPr>
            <w:r>
              <w:rPr>
                <w:sz w:val="16"/>
              </w:rPr>
              <w:t>.107</w:t>
            </w:r>
          </w:p>
        </w:tc>
        <w:tc>
          <w:tcPr>
            <w:tcW w:w="1655" w:type="dxa"/>
            <w:tcMar>
              <w:top w:w="80" w:type="dxa"/>
              <w:left w:w="90" w:type="dxa"/>
              <w:bottom w:w="80" w:type="dxa"/>
              <w:right w:w="90" w:type="dxa"/>
            </w:tcMar>
            <w:vAlign w:val="center"/>
          </w:tcPr>
          <w:p w14:paraId="3356606C" w14:textId="77777777" w:rsidR="00DA7C24" w:rsidRDefault="00000000">
            <w:pPr>
              <w:spacing w:after="0"/>
              <w:jc w:val="center"/>
            </w:pPr>
            <w:r>
              <w:rPr>
                <w:sz w:val="16"/>
              </w:rPr>
              <w:t>.370</w:t>
            </w:r>
          </w:p>
        </w:tc>
        <w:tc>
          <w:tcPr>
            <w:tcW w:w="1368" w:type="dxa"/>
            <w:tcMar>
              <w:top w:w="80" w:type="dxa"/>
              <w:left w:w="90" w:type="dxa"/>
              <w:bottom w:w="80" w:type="dxa"/>
              <w:right w:w="90" w:type="dxa"/>
            </w:tcMar>
            <w:vAlign w:val="center"/>
          </w:tcPr>
          <w:p w14:paraId="13BDDC7D" w14:textId="77777777" w:rsidR="00DA7C24" w:rsidRDefault="00000000">
            <w:pPr>
              <w:spacing w:after="0"/>
              <w:jc w:val="center"/>
            </w:pPr>
            <w:r>
              <w:rPr>
                <w:sz w:val="16"/>
              </w:rPr>
              <w:t>.464</w:t>
            </w:r>
          </w:p>
        </w:tc>
        <w:tc>
          <w:tcPr>
            <w:tcW w:w="1368" w:type="dxa"/>
            <w:tcMar>
              <w:top w:w="80" w:type="dxa"/>
              <w:left w:w="90" w:type="dxa"/>
              <w:bottom w:w="80" w:type="dxa"/>
              <w:right w:w="90" w:type="dxa"/>
            </w:tcMar>
            <w:vAlign w:val="center"/>
          </w:tcPr>
          <w:p w14:paraId="75C0654C" w14:textId="77777777" w:rsidR="00DA7C24" w:rsidRDefault="00000000">
            <w:pPr>
              <w:spacing w:after="0"/>
              <w:jc w:val="center"/>
            </w:pPr>
            <w:r>
              <w:rPr>
                <w:sz w:val="16"/>
              </w:rPr>
              <w:t>-</w:t>
            </w:r>
          </w:p>
        </w:tc>
        <w:tc>
          <w:tcPr>
            <w:tcW w:w="1944" w:type="dxa"/>
            <w:tcMar>
              <w:top w:w="80" w:type="dxa"/>
              <w:left w:w="90" w:type="dxa"/>
              <w:bottom w:w="80" w:type="dxa"/>
              <w:right w:w="90" w:type="dxa"/>
            </w:tcMar>
            <w:vAlign w:val="center"/>
          </w:tcPr>
          <w:p w14:paraId="70FB1628" w14:textId="77777777" w:rsidR="00DA7C24" w:rsidRDefault="00000000">
            <w:pPr>
              <w:spacing w:after="0"/>
              <w:jc w:val="center"/>
            </w:pPr>
            <w:r>
              <w:rPr>
                <w:sz w:val="16"/>
              </w:rPr>
              <w:t>&lt;.001</w:t>
            </w:r>
          </w:p>
        </w:tc>
      </w:tr>
      <w:tr w:rsidR="00DA7C24" w14:paraId="06E53396" w14:textId="77777777">
        <w:trPr>
          <w:jc w:val="center"/>
        </w:trPr>
        <w:tc>
          <w:tcPr>
            <w:tcW w:w="2232" w:type="dxa"/>
            <w:tcMar>
              <w:top w:w="80" w:type="dxa"/>
              <w:left w:w="90" w:type="dxa"/>
              <w:bottom w:w="80" w:type="dxa"/>
              <w:right w:w="90" w:type="dxa"/>
            </w:tcMar>
            <w:vAlign w:val="center"/>
          </w:tcPr>
          <w:p w14:paraId="417BC62A" w14:textId="77777777" w:rsidR="00DA7C24" w:rsidRDefault="00000000">
            <w:pPr>
              <w:spacing w:after="0"/>
            </w:pPr>
            <w:r>
              <w:rPr>
                <w:sz w:val="16"/>
              </w:rPr>
              <w:t>Organizational Performance</w:t>
            </w:r>
          </w:p>
        </w:tc>
        <w:tc>
          <w:tcPr>
            <w:tcW w:w="1655" w:type="dxa"/>
            <w:tcMar>
              <w:top w:w="80" w:type="dxa"/>
              <w:left w:w="90" w:type="dxa"/>
              <w:bottom w:w="80" w:type="dxa"/>
              <w:right w:w="90" w:type="dxa"/>
            </w:tcMar>
            <w:vAlign w:val="center"/>
          </w:tcPr>
          <w:p w14:paraId="446E1126" w14:textId="77777777" w:rsidR="00DA7C24" w:rsidRDefault="00000000">
            <w:pPr>
              <w:spacing w:after="0"/>
              <w:jc w:val="center"/>
            </w:pPr>
            <w:r>
              <w:rPr>
                <w:sz w:val="16"/>
              </w:rPr>
              <w:t>.362</w:t>
            </w:r>
          </w:p>
        </w:tc>
        <w:tc>
          <w:tcPr>
            <w:tcW w:w="1655" w:type="dxa"/>
            <w:tcMar>
              <w:top w:w="80" w:type="dxa"/>
              <w:left w:w="90" w:type="dxa"/>
              <w:bottom w:w="80" w:type="dxa"/>
              <w:right w:w="90" w:type="dxa"/>
            </w:tcMar>
            <w:vAlign w:val="center"/>
          </w:tcPr>
          <w:p w14:paraId="4D94BB1E" w14:textId="77777777" w:rsidR="00DA7C24" w:rsidRDefault="00000000">
            <w:pPr>
              <w:spacing w:after="0"/>
              <w:jc w:val="center"/>
            </w:pPr>
            <w:r>
              <w:rPr>
                <w:sz w:val="16"/>
              </w:rPr>
              <w:t>.359</w:t>
            </w:r>
          </w:p>
        </w:tc>
        <w:tc>
          <w:tcPr>
            <w:tcW w:w="1368" w:type="dxa"/>
            <w:tcMar>
              <w:top w:w="80" w:type="dxa"/>
              <w:left w:w="90" w:type="dxa"/>
              <w:bottom w:w="80" w:type="dxa"/>
              <w:right w:w="90" w:type="dxa"/>
            </w:tcMar>
            <w:vAlign w:val="center"/>
          </w:tcPr>
          <w:p w14:paraId="5DDB3F58" w14:textId="77777777" w:rsidR="00DA7C24" w:rsidRDefault="00000000">
            <w:pPr>
              <w:spacing w:after="0"/>
              <w:jc w:val="center"/>
            </w:pPr>
            <w:r>
              <w:rPr>
                <w:sz w:val="16"/>
              </w:rPr>
              <w:t>.366</w:t>
            </w:r>
          </w:p>
        </w:tc>
        <w:tc>
          <w:tcPr>
            <w:tcW w:w="1368" w:type="dxa"/>
            <w:tcMar>
              <w:top w:w="80" w:type="dxa"/>
              <w:left w:w="90" w:type="dxa"/>
              <w:bottom w:w="80" w:type="dxa"/>
              <w:right w:w="90" w:type="dxa"/>
            </w:tcMar>
            <w:vAlign w:val="center"/>
          </w:tcPr>
          <w:p w14:paraId="3F19FDD1" w14:textId="77777777" w:rsidR="00DA7C24" w:rsidRDefault="00000000">
            <w:pPr>
              <w:spacing w:after="0"/>
              <w:jc w:val="center"/>
            </w:pPr>
            <w:r>
              <w:rPr>
                <w:sz w:val="16"/>
              </w:rPr>
              <w:t>.370</w:t>
            </w:r>
          </w:p>
        </w:tc>
        <w:tc>
          <w:tcPr>
            <w:tcW w:w="1944" w:type="dxa"/>
            <w:tcMar>
              <w:top w:w="80" w:type="dxa"/>
              <w:left w:w="90" w:type="dxa"/>
              <w:bottom w:w="80" w:type="dxa"/>
              <w:right w:w="90" w:type="dxa"/>
            </w:tcMar>
            <w:vAlign w:val="center"/>
          </w:tcPr>
          <w:p w14:paraId="632B1583" w14:textId="77777777" w:rsidR="00DA7C24" w:rsidRDefault="00000000">
            <w:pPr>
              <w:spacing w:after="0"/>
              <w:jc w:val="center"/>
            </w:pPr>
            <w:r>
              <w:rPr>
                <w:sz w:val="16"/>
              </w:rPr>
              <w:t>1</w:t>
            </w:r>
          </w:p>
        </w:tc>
      </w:tr>
      <w:tr w:rsidR="00DA7C24" w14:paraId="0D6D2DAC" w14:textId="77777777">
        <w:trPr>
          <w:jc w:val="center"/>
        </w:trPr>
        <w:tc>
          <w:tcPr>
            <w:tcW w:w="2232" w:type="dxa"/>
            <w:tcMar>
              <w:top w:w="80" w:type="dxa"/>
              <w:left w:w="90" w:type="dxa"/>
              <w:bottom w:w="80" w:type="dxa"/>
              <w:right w:w="90" w:type="dxa"/>
            </w:tcMar>
            <w:vAlign w:val="center"/>
          </w:tcPr>
          <w:p w14:paraId="21F8B1AC" w14:textId="77777777" w:rsidR="00DA7C24" w:rsidRDefault="00000000">
            <w:pPr>
              <w:spacing w:after="0"/>
            </w:pPr>
            <w:r>
              <w:rPr>
                <w:sz w:val="16"/>
              </w:rPr>
              <w:t>N</w:t>
            </w:r>
          </w:p>
        </w:tc>
        <w:tc>
          <w:tcPr>
            <w:tcW w:w="1655" w:type="dxa"/>
            <w:tcMar>
              <w:top w:w="80" w:type="dxa"/>
              <w:left w:w="90" w:type="dxa"/>
              <w:bottom w:w="80" w:type="dxa"/>
              <w:right w:w="90" w:type="dxa"/>
            </w:tcMar>
            <w:vAlign w:val="center"/>
          </w:tcPr>
          <w:p w14:paraId="5CC4E574" w14:textId="77777777" w:rsidR="00DA7C24" w:rsidRDefault="00000000">
            <w:pPr>
              <w:spacing w:after="0"/>
              <w:jc w:val="center"/>
            </w:pPr>
            <w:r>
              <w:rPr>
                <w:sz w:val="16"/>
              </w:rPr>
              <w:t>194</w:t>
            </w:r>
          </w:p>
        </w:tc>
        <w:tc>
          <w:tcPr>
            <w:tcW w:w="1655" w:type="dxa"/>
            <w:tcMar>
              <w:top w:w="80" w:type="dxa"/>
              <w:left w:w="90" w:type="dxa"/>
              <w:bottom w:w="80" w:type="dxa"/>
              <w:right w:w="90" w:type="dxa"/>
            </w:tcMar>
            <w:vAlign w:val="center"/>
          </w:tcPr>
          <w:p w14:paraId="08A38868" w14:textId="77777777" w:rsidR="00DA7C24" w:rsidRDefault="00000000">
            <w:pPr>
              <w:spacing w:after="0"/>
              <w:jc w:val="center"/>
            </w:pPr>
            <w:r>
              <w:rPr>
                <w:sz w:val="16"/>
              </w:rPr>
              <w:t>194</w:t>
            </w:r>
          </w:p>
        </w:tc>
        <w:tc>
          <w:tcPr>
            <w:tcW w:w="1368" w:type="dxa"/>
            <w:tcMar>
              <w:top w:w="80" w:type="dxa"/>
              <w:left w:w="90" w:type="dxa"/>
              <w:bottom w:w="80" w:type="dxa"/>
              <w:right w:w="90" w:type="dxa"/>
            </w:tcMar>
            <w:vAlign w:val="center"/>
          </w:tcPr>
          <w:p w14:paraId="04B4BB87" w14:textId="77777777" w:rsidR="00DA7C24" w:rsidRDefault="00000000">
            <w:pPr>
              <w:spacing w:after="0"/>
              <w:jc w:val="center"/>
            </w:pPr>
            <w:r>
              <w:rPr>
                <w:sz w:val="16"/>
              </w:rPr>
              <w:t>194</w:t>
            </w:r>
          </w:p>
        </w:tc>
        <w:tc>
          <w:tcPr>
            <w:tcW w:w="1368" w:type="dxa"/>
            <w:tcMar>
              <w:top w:w="80" w:type="dxa"/>
              <w:left w:w="90" w:type="dxa"/>
              <w:bottom w:w="80" w:type="dxa"/>
              <w:right w:w="90" w:type="dxa"/>
            </w:tcMar>
            <w:vAlign w:val="center"/>
          </w:tcPr>
          <w:p w14:paraId="248AD0EF" w14:textId="77777777" w:rsidR="00DA7C24" w:rsidRDefault="00000000">
            <w:pPr>
              <w:spacing w:after="0"/>
              <w:jc w:val="center"/>
            </w:pPr>
            <w:r>
              <w:rPr>
                <w:sz w:val="16"/>
              </w:rPr>
              <w:t>194</w:t>
            </w:r>
          </w:p>
        </w:tc>
        <w:tc>
          <w:tcPr>
            <w:tcW w:w="1944" w:type="dxa"/>
            <w:tcMar>
              <w:top w:w="80" w:type="dxa"/>
              <w:left w:w="90" w:type="dxa"/>
              <w:bottom w:w="80" w:type="dxa"/>
              <w:right w:w="90" w:type="dxa"/>
            </w:tcMar>
            <w:vAlign w:val="center"/>
          </w:tcPr>
          <w:p w14:paraId="7C7E1EB6" w14:textId="77777777" w:rsidR="00DA7C24" w:rsidRDefault="00000000">
            <w:pPr>
              <w:spacing w:after="0"/>
              <w:jc w:val="center"/>
            </w:pPr>
            <w:r>
              <w:rPr>
                <w:sz w:val="16"/>
              </w:rPr>
              <w:t>194</w:t>
            </w:r>
          </w:p>
        </w:tc>
      </w:tr>
    </w:tbl>
    <w:p w14:paraId="307DD536" w14:textId="77777777" w:rsidR="00DA7C24" w:rsidRDefault="00000000">
      <w:pPr>
        <w:spacing w:before="40" w:after="120"/>
      </w:pPr>
      <w:r>
        <w:rPr>
          <w:i/>
          <w:sz w:val="18"/>
        </w:rPr>
        <w:t>Source: Survey Data (2026)</w:t>
      </w:r>
    </w:p>
    <w:p w14:paraId="66693528" w14:textId="77777777" w:rsidR="00DA7C24" w:rsidRDefault="00000000">
      <w:pPr>
        <w:keepNext/>
        <w:spacing w:before="140" w:after="80"/>
      </w:pPr>
      <w:r>
        <w:rPr>
          <w:b/>
          <w:sz w:val="23"/>
        </w:rPr>
        <w:t>Multiple Regression</w:t>
      </w:r>
    </w:p>
    <w:p w14:paraId="6D2936BD" w14:textId="77777777" w:rsidR="00DA7C24" w:rsidRDefault="00000000">
      <w:pPr>
        <w:ind w:firstLine="360"/>
        <w:jc w:val="both"/>
      </w:pPr>
      <w:r>
        <w:t xml:space="preserve">A multiple regression model was estimated with </w:t>
      </w:r>
      <w:r>
        <w:rPr>
          <w:highlight w:val="yellow"/>
        </w:rPr>
        <w:t>organisational</w:t>
      </w:r>
      <w:r>
        <w:t xml:space="preserve"> performance as the dependent variable and shareholder rights, board composition, board size, and transparency as predictors. Shareholder rights retained a positive association with </w:t>
      </w:r>
      <w:r>
        <w:rPr>
          <w:highlight w:val="yellow"/>
        </w:rPr>
        <w:t>organisational</w:t>
      </w:r>
      <w:r>
        <w:t xml:space="preserve"> performance after adjustment for the other governance variables (B = .211, SE = .098, </w:t>
      </w:r>
      <w:r>
        <w:rPr>
          <w:highlight w:val="yellow"/>
        </w:rPr>
        <w:t>standardised</w:t>
      </w:r>
      <w:r>
        <w:t xml:space="preserve"> Beta = .192, t = 2.15, p = .033). The </w:t>
      </w:r>
      <w:r>
        <w:rPr>
          <w:highlight w:val="yellow"/>
        </w:rPr>
        <w:t>standardised</w:t>
      </w:r>
      <w:r>
        <w:t xml:space="preserve"> coefficient indicates that </w:t>
      </w:r>
      <w:r>
        <w:lastRenderedPageBreak/>
        <w:t>shareholder rights made a positive, statistically significant contribution to the model, although the cross-sectional design does not permit a causal interpretation. The regression coefficients are reported in Table 4.</w:t>
      </w:r>
    </w:p>
    <w:p w14:paraId="6125F07C" w14:textId="77777777" w:rsidR="00DA7C24" w:rsidRDefault="00000000">
      <w:pPr>
        <w:spacing w:before="120" w:after="60"/>
      </w:pPr>
      <w:r>
        <w:rPr>
          <w:b/>
          <w:sz w:val="21"/>
        </w:rPr>
        <w:t>Table 4. Multiple Regression Coefficients</w:t>
      </w:r>
    </w:p>
    <w:tbl>
      <w:tblPr>
        <w:tblStyle w:val="TableGrid"/>
        <w:tblW w:w="0" w:type="auto"/>
        <w:jc w:val="center"/>
        <w:tblLayout w:type="fixed"/>
        <w:tblLook w:val="04A0" w:firstRow="1" w:lastRow="0" w:firstColumn="1" w:lastColumn="0" w:noHBand="0" w:noVBand="1"/>
      </w:tblPr>
      <w:tblGrid>
        <w:gridCol w:w="3384"/>
        <w:gridCol w:w="1296"/>
        <w:gridCol w:w="1440"/>
        <w:gridCol w:w="1224"/>
        <w:gridCol w:w="1152"/>
        <w:gridCol w:w="1152"/>
      </w:tblGrid>
      <w:tr w:rsidR="00DA7C24" w14:paraId="5D08926E" w14:textId="77777777">
        <w:trPr>
          <w:tblHeader/>
          <w:jc w:val="center"/>
        </w:trPr>
        <w:tc>
          <w:tcPr>
            <w:tcW w:w="3384" w:type="dxa"/>
            <w:shd w:val="clear" w:color="auto" w:fill="E7E6E6"/>
            <w:tcMar>
              <w:top w:w="80" w:type="dxa"/>
              <w:left w:w="90" w:type="dxa"/>
              <w:bottom w:w="80" w:type="dxa"/>
              <w:right w:w="90" w:type="dxa"/>
            </w:tcMar>
            <w:vAlign w:val="center"/>
          </w:tcPr>
          <w:p w14:paraId="0787C0C2" w14:textId="77777777" w:rsidR="00DA7C24" w:rsidRDefault="00000000">
            <w:pPr>
              <w:spacing w:after="0"/>
              <w:jc w:val="center"/>
            </w:pPr>
            <w:r>
              <w:rPr>
                <w:b/>
                <w:sz w:val="18"/>
              </w:rPr>
              <w:t>Model</w:t>
            </w:r>
          </w:p>
        </w:tc>
        <w:tc>
          <w:tcPr>
            <w:tcW w:w="1296" w:type="dxa"/>
            <w:shd w:val="clear" w:color="auto" w:fill="E7E6E6"/>
            <w:tcMar>
              <w:top w:w="80" w:type="dxa"/>
              <w:left w:w="90" w:type="dxa"/>
              <w:bottom w:w="80" w:type="dxa"/>
              <w:right w:w="90" w:type="dxa"/>
            </w:tcMar>
            <w:vAlign w:val="center"/>
          </w:tcPr>
          <w:p w14:paraId="7DFA81AE" w14:textId="77777777" w:rsidR="00DA7C24" w:rsidRDefault="00000000">
            <w:pPr>
              <w:spacing w:after="0"/>
              <w:jc w:val="center"/>
            </w:pPr>
            <w:r>
              <w:rPr>
                <w:b/>
                <w:sz w:val="18"/>
              </w:rPr>
              <w:t>B</w:t>
            </w:r>
          </w:p>
        </w:tc>
        <w:tc>
          <w:tcPr>
            <w:tcW w:w="1440" w:type="dxa"/>
            <w:shd w:val="clear" w:color="auto" w:fill="E7E6E6"/>
            <w:tcMar>
              <w:top w:w="80" w:type="dxa"/>
              <w:left w:w="90" w:type="dxa"/>
              <w:bottom w:w="80" w:type="dxa"/>
              <w:right w:w="90" w:type="dxa"/>
            </w:tcMar>
            <w:vAlign w:val="center"/>
          </w:tcPr>
          <w:p w14:paraId="0E4DDAB0" w14:textId="77777777" w:rsidR="00DA7C24" w:rsidRDefault="00000000">
            <w:pPr>
              <w:spacing w:after="0"/>
              <w:jc w:val="center"/>
            </w:pPr>
            <w:r>
              <w:rPr>
                <w:b/>
                <w:sz w:val="18"/>
              </w:rPr>
              <w:t>Std. Error</w:t>
            </w:r>
          </w:p>
        </w:tc>
        <w:tc>
          <w:tcPr>
            <w:tcW w:w="1224" w:type="dxa"/>
            <w:shd w:val="clear" w:color="auto" w:fill="E7E6E6"/>
            <w:tcMar>
              <w:top w:w="80" w:type="dxa"/>
              <w:left w:w="90" w:type="dxa"/>
              <w:bottom w:w="80" w:type="dxa"/>
              <w:right w:w="90" w:type="dxa"/>
            </w:tcMar>
            <w:vAlign w:val="center"/>
          </w:tcPr>
          <w:p w14:paraId="5BCB49C2" w14:textId="77777777" w:rsidR="00DA7C24" w:rsidRDefault="00000000">
            <w:pPr>
              <w:spacing w:after="0"/>
              <w:jc w:val="center"/>
            </w:pPr>
            <w:r>
              <w:rPr>
                <w:b/>
                <w:sz w:val="18"/>
              </w:rPr>
              <w:t>Beta</w:t>
            </w:r>
          </w:p>
        </w:tc>
        <w:tc>
          <w:tcPr>
            <w:tcW w:w="1152" w:type="dxa"/>
            <w:shd w:val="clear" w:color="auto" w:fill="E7E6E6"/>
            <w:tcMar>
              <w:top w:w="80" w:type="dxa"/>
              <w:left w:w="90" w:type="dxa"/>
              <w:bottom w:w="80" w:type="dxa"/>
              <w:right w:w="90" w:type="dxa"/>
            </w:tcMar>
            <w:vAlign w:val="center"/>
          </w:tcPr>
          <w:p w14:paraId="20D97DAE" w14:textId="77777777" w:rsidR="00DA7C24" w:rsidRDefault="00000000">
            <w:pPr>
              <w:spacing w:after="0"/>
              <w:jc w:val="center"/>
            </w:pPr>
            <w:r>
              <w:rPr>
                <w:b/>
                <w:sz w:val="18"/>
              </w:rPr>
              <w:t>t</w:t>
            </w:r>
          </w:p>
        </w:tc>
        <w:tc>
          <w:tcPr>
            <w:tcW w:w="1152" w:type="dxa"/>
            <w:shd w:val="clear" w:color="auto" w:fill="E7E6E6"/>
            <w:tcMar>
              <w:top w:w="80" w:type="dxa"/>
              <w:left w:w="90" w:type="dxa"/>
              <w:bottom w:w="80" w:type="dxa"/>
              <w:right w:w="90" w:type="dxa"/>
            </w:tcMar>
            <w:vAlign w:val="center"/>
          </w:tcPr>
          <w:p w14:paraId="52B74CC2" w14:textId="77777777" w:rsidR="00DA7C24" w:rsidRDefault="00000000">
            <w:pPr>
              <w:spacing w:after="0"/>
              <w:jc w:val="center"/>
            </w:pPr>
            <w:r>
              <w:rPr>
                <w:b/>
                <w:sz w:val="18"/>
              </w:rPr>
              <w:t>Sig.</w:t>
            </w:r>
          </w:p>
        </w:tc>
      </w:tr>
      <w:tr w:rsidR="00DA7C24" w14:paraId="54788BAB" w14:textId="77777777">
        <w:trPr>
          <w:jc w:val="center"/>
        </w:trPr>
        <w:tc>
          <w:tcPr>
            <w:tcW w:w="3384" w:type="dxa"/>
            <w:tcMar>
              <w:top w:w="80" w:type="dxa"/>
              <w:left w:w="90" w:type="dxa"/>
              <w:bottom w:w="80" w:type="dxa"/>
              <w:right w:w="90" w:type="dxa"/>
            </w:tcMar>
            <w:vAlign w:val="center"/>
          </w:tcPr>
          <w:p w14:paraId="2CE66BA4" w14:textId="77777777" w:rsidR="00DA7C24" w:rsidRDefault="00000000">
            <w:pPr>
              <w:spacing w:after="0"/>
            </w:pPr>
            <w:r>
              <w:rPr>
                <w:sz w:val="18"/>
              </w:rPr>
              <w:t>(Constant)</w:t>
            </w:r>
          </w:p>
        </w:tc>
        <w:tc>
          <w:tcPr>
            <w:tcW w:w="1296" w:type="dxa"/>
            <w:tcMar>
              <w:top w:w="80" w:type="dxa"/>
              <w:left w:w="90" w:type="dxa"/>
              <w:bottom w:w="80" w:type="dxa"/>
              <w:right w:w="90" w:type="dxa"/>
            </w:tcMar>
            <w:vAlign w:val="center"/>
          </w:tcPr>
          <w:p w14:paraId="1EBC38B7" w14:textId="77777777" w:rsidR="00DA7C24" w:rsidRDefault="00000000">
            <w:pPr>
              <w:spacing w:after="0"/>
              <w:jc w:val="center"/>
            </w:pPr>
            <w:r>
              <w:rPr>
                <w:sz w:val="18"/>
              </w:rPr>
              <w:t>1.214</w:t>
            </w:r>
          </w:p>
        </w:tc>
        <w:tc>
          <w:tcPr>
            <w:tcW w:w="1440" w:type="dxa"/>
            <w:tcMar>
              <w:top w:w="80" w:type="dxa"/>
              <w:left w:w="90" w:type="dxa"/>
              <w:bottom w:w="80" w:type="dxa"/>
              <w:right w:w="90" w:type="dxa"/>
            </w:tcMar>
            <w:vAlign w:val="center"/>
          </w:tcPr>
          <w:p w14:paraId="35D8788E" w14:textId="77777777" w:rsidR="00DA7C24" w:rsidRDefault="00000000">
            <w:pPr>
              <w:spacing w:after="0"/>
              <w:jc w:val="center"/>
            </w:pPr>
            <w:r>
              <w:rPr>
                <w:sz w:val="18"/>
              </w:rPr>
              <w:t>0.287</w:t>
            </w:r>
          </w:p>
        </w:tc>
        <w:tc>
          <w:tcPr>
            <w:tcW w:w="1224" w:type="dxa"/>
            <w:tcMar>
              <w:top w:w="80" w:type="dxa"/>
              <w:left w:w="90" w:type="dxa"/>
              <w:bottom w:w="80" w:type="dxa"/>
              <w:right w:w="90" w:type="dxa"/>
            </w:tcMar>
            <w:vAlign w:val="center"/>
          </w:tcPr>
          <w:p w14:paraId="4C95C2A4" w14:textId="77777777" w:rsidR="00DA7C24" w:rsidRDefault="00000000">
            <w:pPr>
              <w:spacing w:after="0"/>
              <w:jc w:val="center"/>
            </w:pPr>
            <w:r>
              <w:rPr>
                <w:sz w:val="18"/>
              </w:rPr>
              <w:t>-</w:t>
            </w:r>
          </w:p>
        </w:tc>
        <w:tc>
          <w:tcPr>
            <w:tcW w:w="1152" w:type="dxa"/>
            <w:tcMar>
              <w:top w:w="80" w:type="dxa"/>
              <w:left w:w="90" w:type="dxa"/>
              <w:bottom w:w="80" w:type="dxa"/>
              <w:right w:w="90" w:type="dxa"/>
            </w:tcMar>
            <w:vAlign w:val="center"/>
          </w:tcPr>
          <w:p w14:paraId="2858EC5D" w14:textId="77777777" w:rsidR="00DA7C24" w:rsidRDefault="00000000">
            <w:pPr>
              <w:spacing w:after="0"/>
              <w:jc w:val="center"/>
            </w:pPr>
            <w:r>
              <w:rPr>
                <w:sz w:val="18"/>
              </w:rPr>
              <w:t>4.23</w:t>
            </w:r>
          </w:p>
        </w:tc>
        <w:tc>
          <w:tcPr>
            <w:tcW w:w="1152" w:type="dxa"/>
            <w:tcMar>
              <w:top w:w="80" w:type="dxa"/>
              <w:left w:w="90" w:type="dxa"/>
              <w:bottom w:w="80" w:type="dxa"/>
              <w:right w:w="90" w:type="dxa"/>
            </w:tcMar>
            <w:vAlign w:val="center"/>
          </w:tcPr>
          <w:p w14:paraId="76707D01" w14:textId="77777777" w:rsidR="00DA7C24" w:rsidRDefault="00000000">
            <w:pPr>
              <w:spacing w:after="0"/>
              <w:jc w:val="center"/>
            </w:pPr>
            <w:r>
              <w:rPr>
                <w:sz w:val="18"/>
              </w:rPr>
              <w:t>&lt;.001</w:t>
            </w:r>
          </w:p>
        </w:tc>
      </w:tr>
      <w:tr w:rsidR="00DA7C24" w14:paraId="39875374" w14:textId="77777777">
        <w:trPr>
          <w:jc w:val="center"/>
        </w:trPr>
        <w:tc>
          <w:tcPr>
            <w:tcW w:w="3384" w:type="dxa"/>
            <w:tcMar>
              <w:top w:w="80" w:type="dxa"/>
              <w:left w:w="90" w:type="dxa"/>
              <w:bottom w:w="80" w:type="dxa"/>
              <w:right w:w="90" w:type="dxa"/>
            </w:tcMar>
            <w:vAlign w:val="center"/>
          </w:tcPr>
          <w:p w14:paraId="2F930626" w14:textId="77777777" w:rsidR="00DA7C24" w:rsidRDefault="00000000">
            <w:pPr>
              <w:spacing w:after="0"/>
            </w:pPr>
            <w:r>
              <w:rPr>
                <w:sz w:val="18"/>
              </w:rPr>
              <w:t>Shareholder Rights</w:t>
            </w:r>
          </w:p>
        </w:tc>
        <w:tc>
          <w:tcPr>
            <w:tcW w:w="1296" w:type="dxa"/>
            <w:tcMar>
              <w:top w:w="80" w:type="dxa"/>
              <w:left w:w="90" w:type="dxa"/>
              <w:bottom w:w="80" w:type="dxa"/>
              <w:right w:w="90" w:type="dxa"/>
            </w:tcMar>
            <w:vAlign w:val="center"/>
          </w:tcPr>
          <w:p w14:paraId="365FB047" w14:textId="77777777" w:rsidR="00DA7C24" w:rsidRDefault="00000000">
            <w:pPr>
              <w:spacing w:after="0"/>
              <w:jc w:val="center"/>
            </w:pPr>
            <w:r>
              <w:rPr>
                <w:sz w:val="18"/>
              </w:rPr>
              <w:t>0.211</w:t>
            </w:r>
          </w:p>
        </w:tc>
        <w:tc>
          <w:tcPr>
            <w:tcW w:w="1440" w:type="dxa"/>
            <w:tcMar>
              <w:top w:w="80" w:type="dxa"/>
              <w:left w:w="90" w:type="dxa"/>
              <w:bottom w:w="80" w:type="dxa"/>
              <w:right w:w="90" w:type="dxa"/>
            </w:tcMar>
            <w:vAlign w:val="center"/>
          </w:tcPr>
          <w:p w14:paraId="0FFA70C8" w14:textId="77777777" w:rsidR="00DA7C24" w:rsidRDefault="00000000">
            <w:pPr>
              <w:spacing w:after="0"/>
              <w:jc w:val="center"/>
            </w:pPr>
            <w:r>
              <w:rPr>
                <w:sz w:val="18"/>
              </w:rPr>
              <w:t>0.098</w:t>
            </w:r>
          </w:p>
        </w:tc>
        <w:tc>
          <w:tcPr>
            <w:tcW w:w="1224" w:type="dxa"/>
            <w:tcMar>
              <w:top w:w="80" w:type="dxa"/>
              <w:left w:w="90" w:type="dxa"/>
              <w:bottom w:w="80" w:type="dxa"/>
              <w:right w:w="90" w:type="dxa"/>
            </w:tcMar>
            <w:vAlign w:val="center"/>
          </w:tcPr>
          <w:p w14:paraId="15C56C18" w14:textId="77777777" w:rsidR="00DA7C24" w:rsidRDefault="00000000">
            <w:pPr>
              <w:spacing w:after="0"/>
              <w:jc w:val="center"/>
            </w:pPr>
            <w:r>
              <w:rPr>
                <w:sz w:val="18"/>
              </w:rPr>
              <w:t>0.192</w:t>
            </w:r>
          </w:p>
        </w:tc>
        <w:tc>
          <w:tcPr>
            <w:tcW w:w="1152" w:type="dxa"/>
            <w:tcMar>
              <w:top w:w="80" w:type="dxa"/>
              <w:left w:w="90" w:type="dxa"/>
              <w:bottom w:w="80" w:type="dxa"/>
              <w:right w:w="90" w:type="dxa"/>
            </w:tcMar>
            <w:vAlign w:val="center"/>
          </w:tcPr>
          <w:p w14:paraId="51D09A7A" w14:textId="77777777" w:rsidR="00DA7C24" w:rsidRDefault="00000000">
            <w:pPr>
              <w:spacing w:after="0"/>
              <w:jc w:val="center"/>
            </w:pPr>
            <w:r>
              <w:rPr>
                <w:sz w:val="18"/>
              </w:rPr>
              <w:t>2.15</w:t>
            </w:r>
          </w:p>
        </w:tc>
        <w:tc>
          <w:tcPr>
            <w:tcW w:w="1152" w:type="dxa"/>
            <w:tcMar>
              <w:top w:w="80" w:type="dxa"/>
              <w:left w:w="90" w:type="dxa"/>
              <w:bottom w:w="80" w:type="dxa"/>
              <w:right w:w="90" w:type="dxa"/>
            </w:tcMar>
            <w:vAlign w:val="center"/>
          </w:tcPr>
          <w:p w14:paraId="4AC31848" w14:textId="77777777" w:rsidR="00DA7C24" w:rsidRDefault="00000000">
            <w:pPr>
              <w:spacing w:after="0"/>
              <w:jc w:val="center"/>
            </w:pPr>
            <w:r>
              <w:rPr>
                <w:sz w:val="18"/>
              </w:rPr>
              <w:t>.033</w:t>
            </w:r>
          </w:p>
        </w:tc>
      </w:tr>
      <w:tr w:rsidR="00DA7C24" w14:paraId="478C14FF" w14:textId="77777777">
        <w:trPr>
          <w:jc w:val="center"/>
        </w:trPr>
        <w:tc>
          <w:tcPr>
            <w:tcW w:w="3384" w:type="dxa"/>
            <w:tcMar>
              <w:top w:w="80" w:type="dxa"/>
              <w:left w:w="90" w:type="dxa"/>
              <w:bottom w:w="80" w:type="dxa"/>
              <w:right w:w="90" w:type="dxa"/>
            </w:tcMar>
            <w:vAlign w:val="center"/>
          </w:tcPr>
          <w:p w14:paraId="1799660E" w14:textId="77777777" w:rsidR="00DA7C24" w:rsidRDefault="00000000">
            <w:pPr>
              <w:spacing w:after="0"/>
            </w:pPr>
            <w:r>
              <w:rPr>
                <w:sz w:val="18"/>
              </w:rPr>
              <w:t>Board Composition</w:t>
            </w:r>
          </w:p>
        </w:tc>
        <w:tc>
          <w:tcPr>
            <w:tcW w:w="1296" w:type="dxa"/>
            <w:tcMar>
              <w:top w:w="80" w:type="dxa"/>
              <w:left w:w="90" w:type="dxa"/>
              <w:bottom w:w="80" w:type="dxa"/>
              <w:right w:w="90" w:type="dxa"/>
            </w:tcMar>
            <w:vAlign w:val="center"/>
          </w:tcPr>
          <w:p w14:paraId="72ECE38D" w14:textId="77777777" w:rsidR="00DA7C24" w:rsidRDefault="00000000">
            <w:pPr>
              <w:spacing w:after="0"/>
              <w:jc w:val="center"/>
            </w:pPr>
            <w:r>
              <w:rPr>
                <w:sz w:val="18"/>
              </w:rPr>
              <w:t>0.198</w:t>
            </w:r>
          </w:p>
        </w:tc>
        <w:tc>
          <w:tcPr>
            <w:tcW w:w="1440" w:type="dxa"/>
            <w:tcMar>
              <w:top w:w="80" w:type="dxa"/>
              <w:left w:w="90" w:type="dxa"/>
              <w:bottom w:w="80" w:type="dxa"/>
              <w:right w:w="90" w:type="dxa"/>
            </w:tcMar>
            <w:vAlign w:val="center"/>
          </w:tcPr>
          <w:p w14:paraId="04E28878" w14:textId="77777777" w:rsidR="00DA7C24" w:rsidRDefault="00000000">
            <w:pPr>
              <w:spacing w:after="0"/>
              <w:jc w:val="center"/>
            </w:pPr>
            <w:r>
              <w:rPr>
                <w:sz w:val="18"/>
              </w:rPr>
              <w:t>0.101</w:t>
            </w:r>
          </w:p>
        </w:tc>
        <w:tc>
          <w:tcPr>
            <w:tcW w:w="1224" w:type="dxa"/>
            <w:tcMar>
              <w:top w:w="80" w:type="dxa"/>
              <w:left w:w="90" w:type="dxa"/>
              <w:bottom w:w="80" w:type="dxa"/>
              <w:right w:w="90" w:type="dxa"/>
            </w:tcMar>
            <w:vAlign w:val="center"/>
          </w:tcPr>
          <w:p w14:paraId="019A1AF8" w14:textId="77777777" w:rsidR="00DA7C24" w:rsidRDefault="00000000">
            <w:pPr>
              <w:spacing w:after="0"/>
              <w:jc w:val="center"/>
            </w:pPr>
            <w:r>
              <w:rPr>
                <w:sz w:val="18"/>
              </w:rPr>
              <w:t>0.176</w:t>
            </w:r>
          </w:p>
        </w:tc>
        <w:tc>
          <w:tcPr>
            <w:tcW w:w="1152" w:type="dxa"/>
            <w:tcMar>
              <w:top w:w="80" w:type="dxa"/>
              <w:left w:w="90" w:type="dxa"/>
              <w:bottom w:w="80" w:type="dxa"/>
              <w:right w:w="90" w:type="dxa"/>
            </w:tcMar>
            <w:vAlign w:val="center"/>
          </w:tcPr>
          <w:p w14:paraId="1009587D" w14:textId="77777777" w:rsidR="00DA7C24" w:rsidRDefault="00000000">
            <w:pPr>
              <w:spacing w:after="0"/>
              <w:jc w:val="center"/>
            </w:pPr>
            <w:r>
              <w:rPr>
                <w:sz w:val="18"/>
              </w:rPr>
              <w:t>1.96</w:t>
            </w:r>
          </w:p>
        </w:tc>
        <w:tc>
          <w:tcPr>
            <w:tcW w:w="1152" w:type="dxa"/>
            <w:tcMar>
              <w:top w:w="80" w:type="dxa"/>
              <w:left w:w="90" w:type="dxa"/>
              <w:bottom w:w="80" w:type="dxa"/>
              <w:right w:w="90" w:type="dxa"/>
            </w:tcMar>
            <w:vAlign w:val="center"/>
          </w:tcPr>
          <w:p w14:paraId="51947652" w14:textId="77777777" w:rsidR="00DA7C24" w:rsidRDefault="00000000">
            <w:pPr>
              <w:spacing w:after="0"/>
              <w:jc w:val="center"/>
            </w:pPr>
            <w:r>
              <w:rPr>
                <w:sz w:val="18"/>
              </w:rPr>
              <w:t>.049</w:t>
            </w:r>
          </w:p>
        </w:tc>
      </w:tr>
      <w:tr w:rsidR="00DA7C24" w14:paraId="5436BB3B" w14:textId="77777777">
        <w:trPr>
          <w:jc w:val="center"/>
        </w:trPr>
        <w:tc>
          <w:tcPr>
            <w:tcW w:w="3384" w:type="dxa"/>
            <w:tcMar>
              <w:top w:w="80" w:type="dxa"/>
              <w:left w:w="90" w:type="dxa"/>
              <w:bottom w:w="80" w:type="dxa"/>
              <w:right w:w="90" w:type="dxa"/>
            </w:tcMar>
            <w:vAlign w:val="center"/>
          </w:tcPr>
          <w:p w14:paraId="640E5DB1" w14:textId="77777777" w:rsidR="00DA7C24" w:rsidRDefault="00000000">
            <w:pPr>
              <w:spacing w:after="0"/>
            </w:pPr>
            <w:r>
              <w:rPr>
                <w:sz w:val="18"/>
              </w:rPr>
              <w:t>Board Size</w:t>
            </w:r>
          </w:p>
        </w:tc>
        <w:tc>
          <w:tcPr>
            <w:tcW w:w="1296" w:type="dxa"/>
            <w:tcMar>
              <w:top w:w="80" w:type="dxa"/>
              <w:left w:w="90" w:type="dxa"/>
              <w:bottom w:w="80" w:type="dxa"/>
              <w:right w:w="90" w:type="dxa"/>
            </w:tcMar>
            <w:vAlign w:val="center"/>
          </w:tcPr>
          <w:p w14:paraId="162D2E17" w14:textId="77777777" w:rsidR="00DA7C24" w:rsidRDefault="00000000">
            <w:pPr>
              <w:spacing w:after="0"/>
              <w:jc w:val="center"/>
            </w:pPr>
            <w:r>
              <w:rPr>
                <w:sz w:val="18"/>
              </w:rPr>
              <w:t>0.224</w:t>
            </w:r>
          </w:p>
        </w:tc>
        <w:tc>
          <w:tcPr>
            <w:tcW w:w="1440" w:type="dxa"/>
            <w:tcMar>
              <w:top w:w="80" w:type="dxa"/>
              <w:left w:w="90" w:type="dxa"/>
              <w:bottom w:w="80" w:type="dxa"/>
              <w:right w:w="90" w:type="dxa"/>
            </w:tcMar>
            <w:vAlign w:val="center"/>
          </w:tcPr>
          <w:p w14:paraId="5E4DD337" w14:textId="77777777" w:rsidR="00DA7C24" w:rsidRDefault="00000000">
            <w:pPr>
              <w:spacing w:after="0"/>
              <w:jc w:val="center"/>
            </w:pPr>
            <w:r>
              <w:rPr>
                <w:sz w:val="18"/>
              </w:rPr>
              <w:t>0.094</w:t>
            </w:r>
          </w:p>
        </w:tc>
        <w:tc>
          <w:tcPr>
            <w:tcW w:w="1224" w:type="dxa"/>
            <w:tcMar>
              <w:top w:w="80" w:type="dxa"/>
              <w:left w:w="90" w:type="dxa"/>
              <w:bottom w:w="80" w:type="dxa"/>
              <w:right w:w="90" w:type="dxa"/>
            </w:tcMar>
            <w:vAlign w:val="center"/>
          </w:tcPr>
          <w:p w14:paraId="6AACBAEC" w14:textId="77777777" w:rsidR="00DA7C24" w:rsidRDefault="00000000">
            <w:pPr>
              <w:spacing w:after="0"/>
              <w:jc w:val="center"/>
            </w:pPr>
            <w:r>
              <w:rPr>
                <w:sz w:val="18"/>
              </w:rPr>
              <w:t>0.205</w:t>
            </w:r>
          </w:p>
        </w:tc>
        <w:tc>
          <w:tcPr>
            <w:tcW w:w="1152" w:type="dxa"/>
            <w:tcMar>
              <w:top w:w="80" w:type="dxa"/>
              <w:left w:w="90" w:type="dxa"/>
              <w:bottom w:w="80" w:type="dxa"/>
              <w:right w:w="90" w:type="dxa"/>
            </w:tcMar>
            <w:vAlign w:val="center"/>
          </w:tcPr>
          <w:p w14:paraId="7F8BD6AF" w14:textId="77777777" w:rsidR="00DA7C24" w:rsidRDefault="00000000">
            <w:pPr>
              <w:spacing w:after="0"/>
              <w:jc w:val="center"/>
            </w:pPr>
            <w:r>
              <w:rPr>
                <w:sz w:val="18"/>
              </w:rPr>
              <w:t>2.38</w:t>
            </w:r>
          </w:p>
        </w:tc>
        <w:tc>
          <w:tcPr>
            <w:tcW w:w="1152" w:type="dxa"/>
            <w:tcMar>
              <w:top w:w="80" w:type="dxa"/>
              <w:left w:w="90" w:type="dxa"/>
              <w:bottom w:w="80" w:type="dxa"/>
              <w:right w:w="90" w:type="dxa"/>
            </w:tcMar>
            <w:vAlign w:val="center"/>
          </w:tcPr>
          <w:p w14:paraId="32B7E771" w14:textId="77777777" w:rsidR="00DA7C24" w:rsidRDefault="00000000">
            <w:pPr>
              <w:spacing w:after="0"/>
              <w:jc w:val="center"/>
            </w:pPr>
            <w:r>
              <w:rPr>
                <w:sz w:val="18"/>
              </w:rPr>
              <w:t>.018</w:t>
            </w:r>
          </w:p>
        </w:tc>
      </w:tr>
      <w:tr w:rsidR="00DA7C24" w14:paraId="4436E777" w14:textId="77777777">
        <w:trPr>
          <w:jc w:val="center"/>
        </w:trPr>
        <w:tc>
          <w:tcPr>
            <w:tcW w:w="3384" w:type="dxa"/>
            <w:tcMar>
              <w:top w:w="80" w:type="dxa"/>
              <w:left w:w="90" w:type="dxa"/>
              <w:bottom w:w="80" w:type="dxa"/>
              <w:right w:w="90" w:type="dxa"/>
            </w:tcMar>
            <w:vAlign w:val="center"/>
          </w:tcPr>
          <w:p w14:paraId="52B9B6D3" w14:textId="77777777" w:rsidR="00DA7C24" w:rsidRDefault="00000000">
            <w:pPr>
              <w:spacing w:after="0"/>
            </w:pPr>
            <w:r>
              <w:rPr>
                <w:sz w:val="18"/>
              </w:rPr>
              <w:t>Transparency</w:t>
            </w:r>
          </w:p>
        </w:tc>
        <w:tc>
          <w:tcPr>
            <w:tcW w:w="1296" w:type="dxa"/>
            <w:tcMar>
              <w:top w:w="80" w:type="dxa"/>
              <w:left w:w="90" w:type="dxa"/>
              <w:bottom w:w="80" w:type="dxa"/>
              <w:right w:w="90" w:type="dxa"/>
            </w:tcMar>
            <w:vAlign w:val="center"/>
          </w:tcPr>
          <w:p w14:paraId="39A7A82D" w14:textId="77777777" w:rsidR="00DA7C24" w:rsidRDefault="00000000">
            <w:pPr>
              <w:spacing w:after="0"/>
              <w:jc w:val="center"/>
            </w:pPr>
            <w:r>
              <w:rPr>
                <w:sz w:val="18"/>
              </w:rPr>
              <w:t>0.237</w:t>
            </w:r>
          </w:p>
        </w:tc>
        <w:tc>
          <w:tcPr>
            <w:tcW w:w="1440" w:type="dxa"/>
            <w:tcMar>
              <w:top w:w="80" w:type="dxa"/>
              <w:left w:w="90" w:type="dxa"/>
              <w:bottom w:w="80" w:type="dxa"/>
              <w:right w:w="90" w:type="dxa"/>
            </w:tcMar>
            <w:vAlign w:val="center"/>
          </w:tcPr>
          <w:p w14:paraId="6FEB92EC" w14:textId="77777777" w:rsidR="00DA7C24" w:rsidRDefault="00000000">
            <w:pPr>
              <w:spacing w:after="0"/>
              <w:jc w:val="center"/>
            </w:pPr>
            <w:r>
              <w:rPr>
                <w:sz w:val="18"/>
              </w:rPr>
              <w:t>0.102</w:t>
            </w:r>
          </w:p>
        </w:tc>
        <w:tc>
          <w:tcPr>
            <w:tcW w:w="1224" w:type="dxa"/>
            <w:tcMar>
              <w:top w:w="80" w:type="dxa"/>
              <w:left w:w="90" w:type="dxa"/>
              <w:bottom w:w="80" w:type="dxa"/>
              <w:right w:w="90" w:type="dxa"/>
            </w:tcMar>
            <w:vAlign w:val="center"/>
          </w:tcPr>
          <w:p w14:paraId="3B705A00" w14:textId="77777777" w:rsidR="00DA7C24" w:rsidRDefault="00000000">
            <w:pPr>
              <w:spacing w:after="0"/>
              <w:jc w:val="center"/>
            </w:pPr>
            <w:r>
              <w:rPr>
                <w:sz w:val="18"/>
              </w:rPr>
              <w:t>0.214</w:t>
            </w:r>
          </w:p>
        </w:tc>
        <w:tc>
          <w:tcPr>
            <w:tcW w:w="1152" w:type="dxa"/>
            <w:tcMar>
              <w:top w:w="80" w:type="dxa"/>
              <w:left w:w="90" w:type="dxa"/>
              <w:bottom w:w="80" w:type="dxa"/>
              <w:right w:w="90" w:type="dxa"/>
            </w:tcMar>
            <w:vAlign w:val="center"/>
          </w:tcPr>
          <w:p w14:paraId="60398BFD" w14:textId="77777777" w:rsidR="00DA7C24" w:rsidRDefault="00000000">
            <w:pPr>
              <w:spacing w:after="0"/>
              <w:jc w:val="center"/>
            </w:pPr>
            <w:r>
              <w:rPr>
                <w:sz w:val="18"/>
              </w:rPr>
              <w:t>2.32</w:t>
            </w:r>
          </w:p>
        </w:tc>
        <w:tc>
          <w:tcPr>
            <w:tcW w:w="1152" w:type="dxa"/>
            <w:tcMar>
              <w:top w:w="80" w:type="dxa"/>
              <w:left w:w="90" w:type="dxa"/>
              <w:bottom w:w="80" w:type="dxa"/>
              <w:right w:w="90" w:type="dxa"/>
            </w:tcMar>
            <w:vAlign w:val="center"/>
          </w:tcPr>
          <w:p w14:paraId="1ABC4885" w14:textId="77777777" w:rsidR="00DA7C24" w:rsidRDefault="00000000">
            <w:pPr>
              <w:spacing w:after="0"/>
              <w:jc w:val="center"/>
            </w:pPr>
            <w:r>
              <w:rPr>
                <w:sz w:val="18"/>
              </w:rPr>
              <w:t>.022</w:t>
            </w:r>
          </w:p>
        </w:tc>
      </w:tr>
    </w:tbl>
    <w:p w14:paraId="095A8F35" w14:textId="77777777" w:rsidR="00DA7C24" w:rsidRDefault="00000000">
      <w:pPr>
        <w:spacing w:before="40" w:after="40"/>
      </w:pPr>
      <w:r>
        <w:rPr>
          <w:i/>
          <w:sz w:val="18"/>
        </w:rPr>
        <w:t>Dependent variable: Organizational Performance</w:t>
      </w:r>
    </w:p>
    <w:p w14:paraId="7234A8F6" w14:textId="77777777" w:rsidR="00DA7C24" w:rsidRDefault="00000000">
      <w:pPr>
        <w:spacing w:before="40" w:after="120"/>
      </w:pPr>
      <w:r>
        <w:rPr>
          <w:i/>
          <w:sz w:val="18"/>
        </w:rPr>
        <w:t>Source: Survey Data (2026)</w:t>
      </w:r>
    </w:p>
    <w:p w14:paraId="6942D4DC" w14:textId="77777777" w:rsidR="00DA7C24" w:rsidRDefault="00000000">
      <w:pPr>
        <w:keepNext/>
        <w:spacing w:before="140" w:after="80"/>
      </w:pPr>
      <w:r>
        <w:rPr>
          <w:b/>
          <w:sz w:val="23"/>
        </w:rPr>
        <w:t>Model Summary</w:t>
      </w:r>
    </w:p>
    <w:p w14:paraId="43ECE08D" w14:textId="77777777" w:rsidR="00DA7C24" w:rsidRDefault="00000000">
      <w:pPr>
        <w:ind w:firstLine="360"/>
        <w:jc w:val="both"/>
      </w:pPr>
      <w:r>
        <w:t xml:space="preserve">The regression model produced R = .511 and R2 = .261, indicating that the four governance variables jointly explained 26.1% of the observed variance in </w:t>
      </w:r>
      <w:r>
        <w:rPr>
          <w:highlight w:val="yellow"/>
        </w:rPr>
        <w:t>organisational</w:t>
      </w:r>
      <w:r>
        <w:t xml:space="preserve"> performance. The adjusted R2 was .246 and the standard error of the estimate was .421. The remaining variance reflects factors not represented in the model as well as measurement and sampling variability. Table 5 summarizes the model fit.</w:t>
      </w:r>
    </w:p>
    <w:p w14:paraId="716F58E3" w14:textId="77777777" w:rsidR="00DA7C24" w:rsidRDefault="00000000">
      <w:pPr>
        <w:spacing w:before="120" w:after="60"/>
      </w:pPr>
      <w:r>
        <w:rPr>
          <w:b/>
          <w:sz w:val="21"/>
        </w:rPr>
        <w:t>Table 5. Model Summary</w:t>
      </w:r>
    </w:p>
    <w:tbl>
      <w:tblPr>
        <w:tblStyle w:val="TableGrid"/>
        <w:tblW w:w="0" w:type="auto"/>
        <w:jc w:val="center"/>
        <w:tblLayout w:type="fixed"/>
        <w:tblLook w:val="04A0" w:firstRow="1" w:lastRow="0" w:firstColumn="1" w:lastColumn="0" w:noHBand="0" w:noVBand="1"/>
      </w:tblPr>
      <w:tblGrid>
        <w:gridCol w:w="936"/>
        <w:gridCol w:w="1152"/>
        <w:gridCol w:w="1655"/>
        <w:gridCol w:w="2160"/>
        <w:gridCol w:w="3168"/>
      </w:tblGrid>
      <w:tr w:rsidR="00DA7C24" w14:paraId="5E49DF91" w14:textId="77777777">
        <w:trPr>
          <w:tblHeader/>
          <w:jc w:val="center"/>
        </w:trPr>
        <w:tc>
          <w:tcPr>
            <w:tcW w:w="936" w:type="dxa"/>
            <w:shd w:val="clear" w:color="auto" w:fill="E7E6E6"/>
            <w:tcMar>
              <w:top w:w="80" w:type="dxa"/>
              <w:left w:w="90" w:type="dxa"/>
              <w:bottom w:w="80" w:type="dxa"/>
              <w:right w:w="90" w:type="dxa"/>
            </w:tcMar>
            <w:vAlign w:val="center"/>
          </w:tcPr>
          <w:p w14:paraId="57B1EA3C" w14:textId="77777777" w:rsidR="00DA7C24" w:rsidRDefault="00000000">
            <w:pPr>
              <w:spacing w:after="0"/>
              <w:jc w:val="center"/>
            </w:pPr>
            <w:r>
              <w:rPr>
                <w:b/>
                <w:sz w:val="17"/>
              </w:rPr>
              <w:t>Model</w:t>
            </w:r>
          </w:p>
        </w:tc>
        <w:tc>
          <w:tcPr>
            <w:tcW w:w="1152" w:type="dxa"/>
            <w:shd w:val="clear" w:color="auto" w:fill="E7E6E6"/>
            <w:tcMar>
              <w:top w:w="80" w:type="dxa"/>
              <w:left w:w="90" w:type="dxa"/>
              <w:bottom w:w="80" w:type="dxa"/>
              <w:right w:w="90" w:type="dxa"/>
            </w:tcMar>
            <w:vAlign w:val="center"/>
          </w:tcPr>
          <w:p w14:paraId="5F73DDAE" w14:textId="77777777" w:rsidR="00DA7C24" w:rsidRDefault="00000000">
            <w:pPr>
              <w:spacing w:after="0"/>
              <w:jc w:val="center"/>
            </w:pPr>
            <w:r>
              <w:rPr>
                <w:b/>
                <w:sz w:val="17"/>
              </w:rPr>
              <w:t>R</w:t>
            </w:r>
          </w:p>
        </w:tc>
        <w:tc>
          <w:tcPr>
            <w:tcW w:w="1655" w:type="dxa"/>
            <w:shd w:val="clear" w:color="auto" w:fill="E7E6E6"/>
            <w:tcMar>
              <w:top w:w="80" w:type="dxa"/>
              <w:left w:w="90" w:type="dxa"/>
              <w:bottom w:w="80" w:type="dxa"/>
              <w:right w:w="90" w:type="dxa"/>
            </w:tcMar>
            <w:vAlign w:val="center"/>
          </w:tcPr>
          <w:p w14:paraId="7B0C4CE6" w14:textId="77777777" w:rsidR="00DA7C24" w:rsidRDefault="00000000">
            <w:pPr>
              <w:spacing w:after="0"/>
              <w:jc w:val="center"/>
            </w:pPr>
            <w:r>
              <w:rPr>
                <w:b/>
                <w:sz w:val="17"/>
              </w:rPr>
              <w:t>R Square</w:t>
            </w:r>
          </w:p>
        </w:tc>
        <w:tc>
          <w:tcPr>
            <w:tcW w:w="2160" w:type="dxa"/>
            <w:shd w:val="clear" w:color="auto" w:fill="E7E6E6"/>
            <w:tcMar>
              <w:top w:w="80" w:type="dxa"/>
              <w:left w:w="90" w:type="dxa"/>
              <w:bottom w:w="80" w:type="dxa"/>
              <w:right w:w="90" w:type="dxa"/>
            </w:tcMar>
            <w:vAlign w:val="center"/>
          </w:tcPr>
          <w:p w14:paraId="21EF1AF4" w14:textId="77777777" w:rsidR="00DA7C24" w:rsidRDefault="00000000">
            <w:pPr>
              <w:spacing w:after="0"/>
              <w:jc w:val="center"/>
            </w:pPr>
            <w:r>
              <w:rPr>
                <w:b/>
                <w:sz w:val="17"/>
              </w:rPr>
              <w:t>Adjusted R Square</w:t>
            </w:r>
          </w:p>
        </w:tc>
        <w:tc>
          <w:tcPr>
            <w:tcW w:w="3168" w:type="dxa"/>
            <w:shd w:val="clear" w:color="auto" w:fill="E7E6E6"/>
            <w:tcMar>
              <w:top w:w="80" w:type="dxa"/>
              <w:left w:w="90" w:type="dxa"/>
              <w:bottom w:w="80" w:type="dxa"/>
              <w:right w:w="90" w:type="dxa"/>
            </w:tcMar>
            <w:vAlign w:val="center"/>
          </w:tcPr>
          <w:p w14:paraId="6CE9BECE" w14:textId="77777777" w:rsidR="00DA7C24" w:rsidRDefault="00000000">
            <w:pPr>
              <w:spacing w:after="0"/>
              <w:jc w:val="center"/>
            </w:pPr>
            <w:r>
              <w:rPr>
                <w:b/>
                <w:sz w:val="17"/>
              </w:rPr>
              <w:t>Std. Error of the Estimate</w:t>
            </w:r>
          </w:p>
        </w:tc>
      </w:tr>
      <w:tr w:rsidR="00DA7C24" w14:paraId="593640C2" w14:textId="77777777">
        <w:trPr>
          <w:jc w:val="center"/>
        </w:trPr>
        <w:tc>
          <w:tcPr>
            <w:tcW w:w="936" w:type="dxa"/>
            <w:tcMar>
              <w:top w:w="80" w:type="dxa"/>
              <w:left w:w="90" w:type="dxa"/>
              <w:bottom w:w="80" w:type="dxa"/>
              <w:right w:w="90" w:type="dxa"/>
            </w:tcMar>
            <w:vAlign w:val="center"/>
          </w:tcPr>
          <w:p w14:paraId="5312ABE5" w14:textId="77777777" w:rsidR="00DA7C24" w:rsidRDefault="00000000">
            <w:pPr>
              <w:spacing w:after="0"/>
              <w:jc w:val="center"/>
            </w:pPr>
            <w:r>
              <w:rPr>
                <w:sz w:val="18"/>
              </w:rPr>
              <w:t>1</w:t>
            </w:r>
          </w:p>
        </w:tc>
        <w:tc>
          <w:tcPr>
            <w:tcW w:w="1152" w:type="dxa"/>
            <w:tcMar>
              <w:top w:w="80" w:type="dxa"/>
              <w:left w:w="90" w:type="dxa"/>
              <w:bottom w:w="80" w:type="dxa"/>
              <w:right w:w="90" w:type="dxa"/>
            </w:tcMar>
            <w:vAlign w:val="center"/>
          </w:tcPr>
          <w:p w14:paraId="0E595174" w14:textId="77777777" w:rsidR="00DA7C24" w:rsidRDefault="00000000">
            <w:pPr>
              <w:spacing w:after="0"/>
              <w:jc w:val="center"/>
            </w:pPr>
            <w:r>
              <w:rPr>
                <w:sz w:val="18"/>
              </w:rPr>
              <w:t>.511</w:t>
            </w:r>
          </w:p>
        </w:tc>
        <w:tc>
          <w:tcPr>
            <w:tcW w:w="1655" w:type="dxa"/>
            <w:tcMar>
              <w:top w:w="80" w:type="dxa"/>
              <w:left w:w="90" w:type="dxa"/>
              <w:bottom w:w="80" w:type="dxa"/>
              <w:right w:w="90" w:type="dxa"/>
            </w:tcMar>
            <w:vAlign w:val="center"/>
          </w:tcPr>
          <w:p w14:paraId="139679C7" w14:textId="77777777" w:rsidR="00DA7C24" w:rsidRDefault="00000000">
            <w:pPr>
              <w:spacing w:after="0"/>
              <w:jc w:val="center"/>
            </w:pPr>
            <w:r>
              <w:rPr>
                <w:sz w:val="18"/>
              </w:rPr>
              <w:t>.261</w:t>
            </w:r>
          </w:p>
        </w:tc>
        <w:tc>
          <w:tcPr>
            <w:tcW w:w="2160" w:type="dxa"/>
            <w:tcMar>
              <w:top w:w="80" w:type="dxa"/>
              <w:left w:w="90" w:type="dxa"/>
              <w:bottom w:w="80" w:type="dxa"/>
              <w:right w:w="90" w:type="dxa"/>
            </w:tcMar>
            <w:vAlign w:val="center"/>
          </w:tcPr>
          <w:p w14:paraId="0ECA8856" w14:textId="77777777" w:rsidR="00DA7C24" w:rsidRDefault="00000000">
            <w:pPr>
              <w:spacing w:after="0"/>
              <w:jc w:val="center"/>
            </w:pPr>
            <w:r>
              <w:rPr>
                <w:sz w:val="18"/>
              </w:rPr>
              <w:t>.246</w:t>
            </w:r>
          </w:p>
        </w:tc>
        <w:tc>
          <w:tcPr>
            <w:tcW w:w="3168" w:type="dxa"/>
            <w:tcMar>
              <w:top w:w="80" w:type="dxa"/>
              <w:left w:w="90" w:type="dxa"/>
              <w:bottom w:w="80" w:type="dxa"/>
              <w:right w:w="90" w:type="dxa"/>
            </w:tcMar>
            <w:vAlign w:val="center"/>
          </w:tcPr>
          <w:p w14:paraId="0ADCF1D5" w14:textId="77777777" w:rsidR="00DA7C24" w:rsidRDefault="00000000">
            <w:pPr>
              <w:spacing w:after="0"/>
              <w:jc w:val="center"/>
            </w:pPr>
            <w:r>
              <w:rPr>
                <w:sz w:val="18"/>
              </w:rPr>
              <w:t>.421</w:t>
            </w:r>
          </w:p>
        </w:tc>
      </w:tr>
    </w:tbl>
    <w:p w14:paraId="115F3E27" w14:textId="77777777" w:rsidR="00DA7C24" w:rsidRDefault="00000000">
      <w:pPr>
        <w:spacing w:after="40"/>
      </w:pPr>
      <w:r>
        <w:rPr>
          <w:i/>
          <w:sz w:val="18"/>
        </w:rPr>
        <w:t>Predictors: (Constant), Transparency, Board Size, Board Composition, Shareholder Rights</w:t>
      </w:r>
    </w:p>
    <w:p w14:paraId="0DE01252" w14:textId="77777777" w:rsidR="00DA7C24" w:rsidRDefault="00000000">
      <w:pPr>
        <w:spacing w:before="40" w:after="120"/>
      </w:pPr>
      <w:r>
        <w:rPr>
          <w:i/>
          <w:sz w:val="18"/>
        </w:rPr>
        <w:t>Source: Survey Data (2026)</w:t>
      </w:r>
    </w:p>
    <w:p w14:paraId="682B9772" w14:textId="77777777" w:rsidR="00DA7C24" w:rsidRDefault="00000000">
      <w:pPr>
        <w:keepNext/>
        <w:spacing w:before="140" w:after="80"/>
      </w:pPr>
      <w:r>
        <w:rPr>
          <w:b/>
          <w:sz w:val="23"/>
        </w:rPr>
        <w:t>Analysis of Variance</w:t>
      </w:r>
    </w:p>
    <w:p w14:paraId="6B5DF170" w14:textId="77777777" w:rsidR="00DA7C24" w:rsidRDefault="00000000">
      <w:pPr>
        <w:ind w:firstLine="360"/>
        <w:jc w:val="both"/>
      </w:pPr>
      <w:r>
        <w:t xml:space="preserve">The overall regression model was statistically significant, </w:t>
      </w:r>
      <w:proofErr w:type="gramStart"/>
      <w:r>
        <w:t>F(</w:t>
      </w:r>
      <w:proofErr w:type="gramEnd"/>
      <w:r>
        <w:t xml:space="preserve">4, 189) = 16.72, p &lt; .001. The ANOVA sums of squares were consistent with the model R2 of .261, confirming that the governance predictors jointly accounted for a statistically significant proportion of variance in </w:t>
      </w:r>
      <w:r>
        <w:rPr>
          <w:highlight w:val="yellow"/>
        </w:rPr>
        <w:t>organisational</w:t>
      </w:r>
      <w:r>
        <w:t xml:space="preserve"> performance. Table 6 presents the ANOVA decomposition.</w:t>
      </w:r>
    </w:p>
    <w:p w14:paraId="0E044DA7" w14:textId="77777777" w:rsidR="00DA7C24" w:rsidRDefault="00000000">
      <w:pPr>
        <w:spacing w:before="120" w:after="60"/>
      </w:pPr>
      <w:r>
        <w:rPr>
          <w:b/>
          <w:sz w:val="21"/>
        </w:rPr>
        <w:t>Table 6. Analysis of Variance (ANOVA)</w:t>
      </w:r>
    </w:p>
    <w:tbl>
      <w:tblPr>
        <w:tblStyle w:val="TableGrid"/>
        <w:tblW w:w="0" w:type="auto"/>
        <w:jc w:val="center"/>
        <w:tblLayout w:type="fixed"/>
        <w:tblLook w:val="04A0" w:firstRow="1" w:lastRow="0" w:firstColumn="1" w:lastColumn="0" w:noHBand="0" w:noVBand="1"/>
      </w:tblPr>
      <w:tblGrid>
        <w:gridCol w:w="1800"/>
        <w:gridCol w:w="1944"/>
        <w:gridCol w:w="864"/>
        <w:gridCol w:w="1655"/>
        <w:gridCol w:w="1296"/>
        <w:gridCol w:w="1224"/>
      </w:tblGrid>
      <w:tr w:rsidR="00DA7C24" w14:paraId="63B1DB80" w14:textId="77777777">
        <w:trPr>
          <w:tblHeader/>
          <w:jc w:val="center"/>
        </w:trPr>
        <w:tc>
          <w:tcPr>
            <w:tcW w:w="1800" w:type="dxa"/>
            <w:shd w:val="clear" w:color="auto" w:fill="E7E6E6"/>
            <w:tcMar>
              <w:top w:w="80" w:type="dxa"/>
              <w:left w:w="90" w:type="dxa"/>
              <w:bottom w:w="80" w:type="dxa"/>
              <w:right w:w="90" w:type="dxa"/>
            </w:tcMar>
            <w:vAlign w:val="center"/>
          </w:tcPr>
          <w:p w14:paraId="5623ABCD" w14:textId="77777777" w:rsidR="00DA7C24" w:rsidRDefault="00000000">
            <w:pPr>
              <w:spacing w:after="0"/>
              <w:jc w:val="center"/>
            </w:pPr>
            <w:r>
              <w:rPr>
                <w:b/>
                <w:sz w:val="18"/>
              </w:rPr>
              <w:t>Model</w:t>
            </w:r>
          </w:p>
        </w:tc>
        <w:tc>
          <w:tcPr>
            <w:tcW w:w="1944" w:type="dxa"/>
            <w:shd w:val="clear" w:color="auto" w:fill="E7E6E6"/>
            <w:tcMar>
              <w:top w:w="80" w:type="dxa"/>
              <w:left w:w="90" w:type="dxa"/>
              <w:bottom w:w="80" w:type="dxa"/>
              <w:right w:w="90" w:type="dxa"/>
            </w:tcMar>
            <w:vAlign w:val="center"/>
          </w:tcPr>
          <w:p w14:paraId="3182B0CA" w14:textId="77777777" w:rsidR="00DA7C24" w:rsidRDefault="00000000">
            <w:pPr>
              <w:spacing w:after="0"/>
              <w:jc w:val="center"/>
            </w:pPr>
            <w:r>
              <w:rPr>
                <w:b/>
                <w:sz w:val="18"/>
              </w:rPr>
              <w:t>Sum of Squares</w:t>
            </w:r>
          </w:p>
        </w:tc>
        <w:tc>
          <w:tcPr>
            <w:tcW w:w="864" w:type="dxa"/>
            <w:shd w:val="clear" w:color="auto" w:fill="E7E6E6"/>
            <w:tcMar>
              <w:top w:w="80" w:type="dxa"/>
              <w:left w:w="90" w:type="dxa"/>
              <w:bottom w:w="80" w:type="dxa"/>
              <w:right w:w="90" w:type="dxa"/>
            </w:tcMar>
            <w:vAlign w:val="center"/>
          </w:tcPr>
          <w:p w14:paraId="7DC4FCA3" w14:textId="77777777" w:rsidR="00DA7C24" w:rsidRDefault="00000000">
            <w:pPr>
              <w:spacing w:after="0"/>
              <w:jc w:val="center"/>
            </w:pPr>
            <w:proofErr w:type="spellStart"/>
            <w:r>
              <w:rPr>
                <w:b/>
                <w:sz w:val="18"/>
              </w:rPr>
              <w:t>df</w:t>
            </w:r>
            <w:proofErr w:type="spellEnd"/>
          </w:p>
        </w:tc>
        <w:tc>
          <w:tcPr>
            <w:tcW w:w="1655" w:type="dxa"/>
            <w:shd w:val="clear" w:color="auto" w:fill="E7E6E6"/>
            <w:tcMar>
              <w:top w:w="80" w:type="dxa"/>
              <w:left w:w="90" w:type="dxa"/>
              <w:bottom w:w="80" w:type="dxa"/>
              <w:right w:w="90" w:type="dxa"/>
            </w:tcMar>
            <w:vAlign w:val="center"/>
          </w:tcPr>
          <w:p w14:paraId="091CEF75" w14:textId="77777777" w:rsidR="00DA7C24" w:rsidRDefault="00000000">
            <w:pPr>
              <w:spacing w:after="0"/>
              <w:jc w:val="center"/>
            </w:pPr>
            <w:r>
              <w:rPr>
                <w:b/>
                <w:sz w:val="18"/>
              </w:rPr>
              <w:t>Mean Square</w:t>
            </w:r>
          </w:p>
        </w:tc>
        <w:tc>
          <w:tcPr>
            <w:tcW w:w="1296" w:type="dxa"/>
            <w:shd w:val="clear" w:color="auto" w:fill="E7E6E6"/>
            <w:tcMar>
              <w:top w:w="80" w:type="dxa"/>
              <w:left w:w="90" w:type="dxa"/>
              <w:bottom w:w="80" w:type="dxa"/>
              <w:right w:w="90" w:type="dxa"/>
            </w:tcMar>
            <w:vAlign w:val="center"/>
          </w:tcPr>
          <w:p w14:paraId="361B00E5" w14:textId="77777777" w:rsidR="00DA7C24" w:rsidRDefault="00000000">
            <w:pPr>
              <w:spacing w:after="0"/>
              <w:jc w:val="center"/>
            </w:pPr>
            <w:r>
              <w:rPr>
                <w:b/>
                <w:sz w:val="18"/>
              </w:rPr>
              <w:t>F</w:t>
            </w:r>
          </w:p>
        </w:tc>
        <w:tc>
          <w:tcPr>
            <w:tcW w:w="1224" w:type="dxa"/>
            <w:shd w:val="clear" w:color="auto" w:fill="E7E6E6"/>
            <w:tcMar>
              <w:top w:w="80" w:type="dxa"/>
              <w:left w:w="90" w:type="dxa"/>
              <w:bottom w:w="80" w:type="dxa"/>
              <w:right w:w="90" w:type="dxa"/>
            </w:tcMar>
            <w:vAlign w:val="center"/>
          </w:tcPr>
          <w:p w14:paraId="44FE1D2B" w14:textId="77777777" w:rsidR="00DA7C24" w:rsidRDefault="00000000">
            <w:pPr>
              <w:spacing w:after="0"/>
              <w:jc w:val="center"/>
            </w:pPr>
            <w:r>
              <w:rPr>
                <w:b/>
                <w:sz w:val="18"/>
              </w:rPr>
              <w:t>Sig.</w:t>
            </w:r>
          </w:p>
        </w:tc>
      </w:tr>
      <w:tr w:rsidR="00DA7C24" w14:paraId="18D883DC" w14:textId="77777777">
        <w:trPr>
          <w:jc w:val="center"/>
        </w:trPr>
        <w:tc>
          <w:tcPr>
            <w:tcW w:w="1800" w:type="dxa"/>
            <w:tcMar>
              <w:top w:w="80" w:type="dxa"/>
              <w:left w:w="90" w:type="dxa"/>
              <w:bottom w:w="80" w:type="dxa"/>
              <w:right w:w="90" w:type="dxa"/>
            </w:tcMar>
            <w:vAlign w:val="center"/>
          </w:tcPr>
          <w:p w14:paraId="393EB862" w14:textId="77777777" w:rsidR="00DA7C24" w:rsidRDefault="00000000">
            <w:pPr>
              <w:spacing w:after="0"/>
            </w:pPr>
            <w:r>
              <w:rPr>
                <w:sz w:val="18"/>
              </w:rPr>
              <w:t>Regression</w:t>
            </w:r>
          </w:p>
        </w:tc>
        <w:tc>
          <w:tcPr>
            <w:tcW w:w="1944" w:type="dxa"/>
            <w:tcMar>
              <w:top w:w="80" w:type="dxa"/>
              <w:left w:w="90" w:type="dxa"/>
              <w:bottom w:w="80" w:type="dxa"/>
              <w:right w:w="90" w:type="dxa"/>
            </w:tcMar>
            <w:vAlign w:val="center"/>
          </w:tcPr>
          <w:p w14:paraId="36345D3F" w14:textId="77777777" w:rsidR="00DA7C24" w:rsidRDefault="00000000">
            <w:pPr>
              <w:spacing w:after="0"/>
              <w:jc w:val="center"/>
            </w:pPr>
            <w:r>
              <w:rPr>
                <w:sz w:val="18"/>
              </w:rPr>
              <w:t>11.842</w:t>
            </w:r>
          </w:p>
        </w:tc>
        <w:tc>
          <w:tcPr>
            <w:tcW w:w="864" w:type="dxa"/>
            <w:tcMar>
              <w:top w:w="80" w:type="dxa"/>
              <w:left w:w="90" w:type="dxa"/>
              <w:bottom w:w="80" w:type="dxa"/>
              <w:right w:w="90" w:type="dxa"/>
            </w:tcMar>
            <w:vAlign w:val="center"/>
          </w:tcPr>
          <w:p w14:paraId="11EA04F8" w14:textId="77777777" w:rsidR="00DA7C24" w:rsidRDefault="00000000">
            <w:pPr>
              <w:spacing w:after="0"/>
              <w:jc w:val="center"/>
            </w:pPr>
            <w:r>
              <w:rPr>
                <w:sz w:val="18"/>
              </w:rPr>
              <w:t>4</w:t>
            </w:r>
          </w:p>
        </w:tc>
        <w:tc>
          <w:tcPr>
            <w:tcW w:w="1655" w:type="dxa"/>
            <w:tcMar>
              <w:top w:w="80" w:type="dxa"/>
              <w:left w:w="90" w:type="dxa"/>
              <w:bottom w:w="80" w:type="dxa"/>
              <w:right w:w="90" w:type="dxa"/>
            </w:tcMar>
            <w:vAlign w:val="center"/>
          </w:tcPr>
          <w:p w14:paraId="59CD51B8" w14:textId="77777777" w:rsidR="00DA7C24" w:rsidRDefault="00000000">
            <w:pPr>
              <w:spacing w:after="0"/>
              <w:jc w:val="center"/>
            </w:pPr>
            <w:r>
              <w:rPr>
                <w:sz w:val="18"/>
              </w:rPr>
              <w:t>2.961</w:t>
            </w:r>
          </w:p>
        </w:tc>
        <w:tc>
          <w:tcPr>
            <w:tcW w:w="1296" w:type="dxa"/>
            <w:tcMar>
              <w:top w:w="80" w:type="dxa"/>
              <w:left w:w="90" w:type="dxa"/>
              <w:bottom w:w="80" w:type="dxa"/>
              <w:right w:w="90" w:type="dxa"/>
            </w:tcMar>
            <w:vAlign w:val="center"/>
          </w:tcPr>
          <w:p w14:paraId="34C4DF74" w14:textId="77777777" w:rsidR="00DA7C24" w:rsidRDefault="00000000">
            <w:pPr>
              <w:spacing w:after="0"/>
              <w:jc w:val="center"/>
            </w:pPr>
            <w:r>
              <w:rPr>
                <w:sz w:val="18"/>
              </w:rPr>
              <w:t>16.720</w:t>
            </w:r>
          </w:p>
        </w:tc>
        <w:tc>
          <w:tcPr>
            <w:tcW w:w="1224" w:type="dxa"/>
            <w:tcMar>
              <w:top w:w="80" w:type="dxa"/>
              <w:left w:w="90" w:type="dxa"/>
              <w:bottom w:w="80" w:type="dxa"/>
              <w:right w:w="90" w:type="dxa"/>
            </w:tcMar>
            <w:vAlign w:val="center"/>
          </w:tcPr>
          <w:p w14:paraId="7FBD3649" w14:textId="77777777" w:rsidR="00DA7C24" w:rsidRDefault="00000000">
            <w:pPr>
              <w:spacing w:after="0"/>
              <w:jc w:val="center"/>
            </w:pPr>
            <w:r>
              <w:rPr>
                <w:sz w:val="18"/>
              </w:rPr>
              <w:t>&lt;.001</w:t>
            </w:r>
          </w:p>
        </w:tc>
      </w:tr>
      <w:tr w:rsidR="00DA7C24" w14:paraId="27878831" w14:textId="77777777">
        <w:trPr>
          <w:jc w:val="center"/>
        </w:trPr>
        <w:tc>
          <w:tcPr>
            <w:tcW w:w="1800" w:type="dxa"/>
            <w:tcMar>
              <w:top w:w="80" w:type="dxa"/>
              <w:left w:w="90" w:type="dxa"/>
              <w:bottom w:w="80" w:type="dxa"/>
              <w:right w:w="90" w:type="dxa"/>
            </w:tcMar>
            <w:vAlign w:val="center"/>
          </w:tcPr>
          <w:p w14:paraId="454753C8" w14:textId="77777777" w:rsidR="00DA7C24" w:rsidRDefault="00000000">
            <w:pPr>
              <w:spacing w:after="0"/>
            </w:pPr>
            <w:r>
              <w:rPr>
                <w:sz w:val="18"/>
              </w:rPr>
              <w:t>Residual</w:t>
            </w:r>
          </w:p>
        </w:tc>
        <w:tc>
          <w:tcPr>
            <w:tcW w:w="1944" w:type="dxa"/>
            <w:tcMar>
              <w:top w:w="80" w:type="dxa"/>
              <w:left w:w="90" w:type="dxa"/>
              <w:bottom w:w="80" w:type="dxa"/>
              <w:right w:w="90" w:type="dxa"/>
            </w:tcMar>
            <w:vAlign w:val="center"/>
          </w:tcPr>
          <w:p w14:paraId="5C65F6B9" w14:textId="77777777" w:rsidR="00DA7C24" w:rsidRDefault="00000000">
            <w:pPr>
              <w:spacing w:after="0"/>
              <w:jc w:val="center"/>
            </w:pPr>
            <w:r>
              <w:rPr>
                <w:sz w:val="18"/>
              </w:rPr>
              <w:t>33.482</w:t>
            </w:r>
          </w:p>
        </w:tc>
        <w:tc>
          <w:tcPr>
            <w:tcW w:w="864" w:type="dxa"/>
            <w:tcMar>
              <w:top w:w="80" w:type="dxa"/>
              <w:left w:w="90" w:type="dxa"/>
              <w:bottom w:w="80" w:type="dxa"/>
              <w:right w:w="90" w:type="dxa"/>
            </w:tcMar>
            <w:vAlign w:val="center"/>
          </w:tcPr>
          <w:p w14:paraId="4EB6F398" w14:textId="77777777" w:rsidR="00DA7C24" w:rsidRDefault="00000000">
            <w:pPr>
              <w:spacing w:after="0"/>
              <w:jc w:val="center"/>
            </w:pPr>
            <w:r>
              <w:rPr>
                <w:sz w:val="18"/>
              </w:rPr>
              <w:t>189</w:t>
            </w:r>
          </w:p>
        </w:tc>
        <w:tc>
          <w:tcPr>
            <w:tcW w:w="1655" w:type="dxa"/>
            <w:tcMar>
              <w:top w:w="80" w:type="dxa"/>
              <w:left w:w="90" w:type="dxa"/>
              <w:bottom w:w="80" w:type="dxa"/>
              <w:right w:w="90" w:type="dxa"/>
            </w:tcMar>
            <w:vAlign w:val="center"/>
          </w:tcPr>
          <w:p w14:paraId="5BABE6A2" w14:textId="77777777" w:rsidR="00DA7C24" w:rsidRDefault="00000000">
            <w:pPr>
              <w:spacing w:after="0"/>
              <w:jc w:val="center"/>
            </w:pPr>
            <w:r>
              <w:rPr>
                <w:sz w:val="18"/>
              </w:rPr>
              <w:t>0.177</w:t>
            </w:r>
          </w:p>
        </w:tc>
        <w:tc>
          <w:tcPr>
            <w:tcW w:w="1296" w:type="dxa"/>
            <w:tcMar>
              <w:top w:w="80" w:type="dxa"/>
              <w:left w:w="90" w:type="dxa"/>
              <w:bottom w:w="80" w:type="dxa"/>
              <w:right w:w="90" w:type="dxa"/>
            </w:tcMar>
            <w:vAlign w:val="center"/>
          </w:tcPr>
          <w:p w14:paraId="6CBBBB93" w14:textId="77777777" w:rsidR="00DA7C24" w:rsidRDefault="00000000">
            <w:pPr>
              <w:spacing w:after="0"/>
              <w:jc w:val="center"/>
            </w:pPr>
            <w:r>
              <w:rPr>
                <w:sz w:val="18"/>
              </w:rPr>
              <w:t>-</w:t>
            </w:r>
          </w:p>
        </w:tc>
        <w:tc>
          <w:tcPr>
            <w:tcW w:w="1224" w:type="dxa"/>
            <w:tcMar>
              <w:top w:w="80" w:type="dxa"/>
              <w:left w:w="90" w:type="dxa"/>
              <w:bottom w:w="80" w:type="dxa"/>
              <w:right w:w="90" w:type="dxa"/>
            </w:tcMar>
            <w:vAlign w:val="center"/>
          </w:tcPr>
          <w:p w14:paraId="7917F7BA" w14:textId="77777777" w:rsidR="00DA7C24" w:rsidRDefault="00000000">
            <w:pPr>
              <w:spacing w:after="0"/>
              <w:jc w:val="center"/>
            </w:pPr>
            <w:r>
              <w:rPr>
                <w:sz w:val="18"/>
              </w:rPr>
              <w:t>-</w:t>
            </w:r>
          </w:p>
        </w:tc>
      </w:tr>
      <w:tr w:rsidR="00DA7C24" w14:paraId="33C77CFA" w14:textId="77777777">
        <w:trPr>
          <w:jc w:val="center"/>
        </w:trPr>
        <w:tc>
          <w:tcPr>
            <w:tcW w:w="1800" w:type="dxa"/>
            <w:tcMar>
              <w:top w:w="80" w:type="dxa"/>
              <w:left w:w="90" w:type="dxa"/>
              <w:bottom w:w="80" w:type="dxa"/>
              <w:right w:w="90" w:type="dxa"/>
            </w:tcMar>
            <w:vAlign w:val="center"/>
          </w:tcPr>
          <w:p w14:paraId="15808FC1" w14:textId="77777777" w:rsidR="00DA7C24" w:rsidRDefault="00000000">
            <w:pPr>
              <w:spacing w:after="0"/>
            </w:pPr>
            <w:r>
              <w:rPr>
                <w:sz w:val="18"/>
              </w:rPr>
              <w:t>Total</w:t>
            </w:r>
          </w:p>
        </w:tc>
        <w:tc>
          <w:tcPr>
            <w:tcW w:w="1944" w:type="dxa"/>
            <w:tcMar>
              <w:top w:w="80" w:type="dxa"/>
              <w:left w:w="90" w:type="dxa"/>
              <w:bottom w:w="80" w:type="dxa"/>
              <w:right w:w="90" w:type="dxa"/>
            </w:tcMar>
            <w:vAlign w:val="center"/>
          </w:tcPr>
          <w:p w14:paraId="00178B53" w14:textId="77777777" w:rsidR="00DA7C24" w:rsidRDefault="00000000">
            <w:pPr>
              <w:spacing w:after="0"/>
              <w:jc w:val="center"/>
            </w:pPr>
            <w:r>
              <w:rPr>
                <w:sz w:val="18"/>
              </w:rPr>
              <w:t>45.324</w:t>
            </w:r>
          </w:p>
        </w:tc>
        <w:tc>
          <w:tcPr>
            <w:tcW w:w="864" w:type="dxa"/>
            <w:tcMar>
              <w:top w:w="80" w:type="dxa"/>
              <w:left w:w="90" w:type="dxa"/>
              <w:bottom w:w="80" w:type="dxa"/>
              <w:right w:w="90" w:type="dxa"/>
            </w:tcMar>
            <w:vAlign w:val="center"/>
          </w:tcPr>
          <w:p w14:paraId="2248A913" w14:textId="77777777" w:rsidR="00DA7C24" w:rsidRDefault="00000000">
            <w:pPr>
              <w:spacing w:after="0"/>
              <w:jc w:val="center"/>
            </w:pPr>
            <w:r>
              <w:rPr>
                <w:sz w:val="18"/>
              </w:rPr>
              <w:t>193</w:t>
            </w:r>
          </w:p>
        </w:tc>
        <w:tc>
          <w:tcPr>
            <w:tcW w:w="1655" w:type="dxa"/>
            <w:tcMar>
              <w:top w:w="80" w:type="dxa"/>
              <w:left w:w="90" w:type="dxa"/>
              <w:bottom w:w="80" w:type="dxa"/>
              <w:right w:w="90" w:type="dxa"/>
            </w:tcMar>
            <w:vAlign w:val="center"/>
          </w:tcPr>
          <w:p w14:paraId="588B010A" w14:textId="77777777" w:rsidR="00DA7C24" w:rsidRDefault="00000000">
            <w:pPr>
              <w:spacing w:after="0"/>
              <w:jc w:val="center"/>
            </w:pPr>
            <w:r>
              <w:rPr>
                <w:sz w:val="18"/>
              </w:rPr>
              <w:t>-</w:t>
            </w:r>
          </w:p>
        </w:tc>
        <w:tc>
          <w:tcPr>
            <w:tcW w:w="1296" w:type="dxa"/>
            <w:tcMar>
              <w:top w:w="80" w:type="dxa"/>
              <w:left w:w="90" w:type="dxa"/>
              <w:bottom w:w="80" w:type="dxa"/>
              <w:right w:w="90" w:type="dxa"/>
            </w:tcMar>
            <w:vAlign w:val="center"/>
          </w:tcPr>
          <w:p w14:paraId="67B3BA84" w14:textId="77777777" w:rsidR="00DA7C24" w:rsidRDefault="00000000">
            <w:pPr>
              <w:spacing w:after="0"/>
              <w:jc w:val="center"/>
            </w:pPr>
            <w:r>
              <w:rPr>
                <w:sz w:val="18"/>
              </w:rPr>
              <w:t>-</w:t>
            </w:r>
          </w:p>
        </w:tc>
        <w:tc>
          <w:tcPr>
            <w:tcW w:w="1224" w:type="dxa"/>
            <w:tcMar>
              <w:top w:w="80" w:type="dxa"/>
              <w:left w:w="90" w:type="dxa"/>
              <w:bottom w:w="80" w:type="dxa"/>
              <w:right w:w="90" w:type="dxa"/>
            </w:tcMar>
            <w:vAlign w:val="center"/>
          </w:tcPr>
          <w:p w14:paraId="75074AA4" w14:textId="77777777" w:rsidR="00DA7C24" w:rsidRDefault="00000000">
            <w:pPr>
              <w:spacing w:after="0"/>
              <w:jc w:val="center"/>
            </w:pPr>
            <w:r>
              <w:rPr>
                <w:sz w:val="18"/>
              </w:rPr>
              <w:t>-</w:t>
            </w:r>
          </w:p>
        </w:tc>
      </w:tr>
    </w:tbl>
    <w:p w14:paraId="07123EFE" w14:textId="77777777" w:rsidR="00DA7C24" w:rsidRDefault="00000000">
      <w:pPr>
        <w:spacing w:after="40"/>
      </w:pPr>
      <w:r>
        <w:rPr>
          <w:i/>
          <w:sz w:val="18"/>
        </w:rPr>
        <w:t>Dependent variable: Organizational Performance</w:t>
      </w:r>
    </w:p>
    <w:p w14:paraId="62074447" w14:textId="77777777" w:rsidR="00DA7C24" w:rsidRDefault="00000000">
      <w:pPr>
        <w:spacing w:after="40"/>
      </w:pPr>
      <w:r>
        <w:rPr>
          <w:i/>
          <w:sz w:val="18"/>
        </w:rPr>
        <w:t>Predictors: (Constant), Transparency, Board Size, Board Composition, Shareholder Rights</w:t>
      </w:r>
    </w:p>
    <w:p w14:paraId="4BD345DD" w14:textId="77777777" w:rsidR="00DA7C24" w:rsidRDefault="00000000">
      <w:pPr>
        <w:spacing w:before="40" w:after="120"/>
      </w:pPr>
      <w:r>
        <w:rPr>
          <w:i/>
          <w:sz w:val="18"/>
        </w:rPr>
        <w:t>Source: Survey Data (2026)</w:t>
      </w:r>
    </w:p>
    <w:p w14:paraId="032C029C" w14:textId="77777777" w:rsidR="00DA7C24" w:rsidRDefault="00000000">
      <w:pPr>
        <w:keepNext/>
        <w:spacing w:before="200" w:after="80"/>
      </w:pPr>
      <w:r>
        <w:rPr>
          <w:b/>
          <w:sz w:val="24"/>
        </w:rPr>
        <w:t>5.0 DISCUSSION</w:t>
      </w:r>
    </w:p>
    <w:p w14:paraId="4A6CCD8C" w14:textId="77777777" w:rsidR="00DA7C24" w:rsidRDefault="00000000">
      <w:pPr>
        <w:ind w:firstLine="360"/>
        <w:jc w:val="both"/>
      </w:pPr>
      <w:r>
        <w:t xml:space="preserve">The study found a positive bivariate association between shareholder rights and </w:t>
      </w:r>
      <w:r>
        <w:rPr>
          <w:highlight w:val="yellow"/>
        </w:rPr>
        <w:t>organisational</w:t>
      </w:r>
      <w:r>
        <w:t xml:space="preserve"> performance (r = .362, p &lt; .001) and a positive adjusted association in the multivariable model (B = .211, </w:t>
      </w:r>
      <w:r>
        <w:rPr>
          <w:highlight w:val="yellow"/>
        </w:rPr>
        <w:t>standardised</w:t>
      </w:r>
      <w:r>
        <w:t xml:space="preserve"> Beta = .192, p = .033). These results indicate that respondents who reported stronger shareholder-rights practices also tended to report better </w:t>
      </w:r>
      <w:r>
        <w:rPr>
          <w:highlight w:val="yellow"/>
        </w:rPr>
        <w:t>organisational</w:t>
      </w:r>
      <w:r>
        <w:t xml:space="preserve"> performance. The magnitude of the association is meaningful but not large, </w:t>
      </w:r>
      <w:r>
        <w:lastRenderedPageBreak/>
        <w:t xml:space="preserve">and the full governance model explained 26.1% of the variance, indicating that </w:t>
      </w:r>
      <w:r>
        <w:rPr>
          <w:highlight w:val="yellow"/>
        </w:rPr>
        <w:t>organisational</w:t>
      </w:r>
      <w:r>
        <w:t xml:space="preserve"> performance depends on many factors beyond the governance variables measured here.</w:t>
      </w:r>
    </w:p>
    <w:p w14:paraId="4B165A83" w14:textId="77777777" w:rsidR="00DA7C24" w:rsidRDefault="00000000">
      <w:pPr>
        <w:ind w:firstLine="360"/>
        <w:jc w:val="both"/>
      </w:pPr>
      <w:r>
        <w:t>The result is broadly consistent with evidence that shareholder protections and governance mechanisms can support monitoring and operating performance. Core et al. (2006) found that weak shareholder rights were associated with operating underperformance, while Knyazeva and Knyazeva (2012) showed that shareholder-rights protections can complement competitive market conditions. The present findings are also compatible with ownership-governance research showing that owners influence board monitoring, strategic involvement, and resource provision (</w:t>
      </w:r>
      <w:proofErr w:type="spellStart"/>
      <w:r>
        <w:t>Federo</w:t>
      </w:r>
      <w:proofErr w:type="spellEnd"/>
      <w:r>
        <w:t xml:space="preserve"> et al., 2020) and with recent evidence that minority-shareholder protection can matter for firm outcomes when voting rights and economic interests are misaligned (</w:t>
      </w:r>
      <w:proofErr w:type="spellStart"/>
      <w:r>
        <w:t>Volonté</w:t>
      </w:r>
      <w:proofErr w:type="spellEnd"/>
      <w:r>
        <w:t xml:space="preserve"> &amp; Gantenbein, 2026).</w:t>
      </w:r>
    </w:p>
    <w:p w14:paraId="339B3E97" w14:textId="77777777" w:rsidR="00DA7C24" w:rsidRDefault="00000000">
      <w:pPr>
        <w:ind w:firstLine="360"/>
        <w:jc w:val="both"/>
      </w:pPr>
      <w:r>
        <w:t xml:space="preserve">At the same time, the results should not be read as evidence that stronger shareholder rights always improve bank performance. Banking research documents substantial heterogeneity. Aebi et al. (2012) showed that risk-governance structures were important during the financial crisis, whereas conventional governance characteristics were often weak predictors. </w:t>
      </w:r>
      <w:proofErr w:type="spellStart"/>
      <w:r>
        <w:t>Beltratti</w:t>
      </w:r>
      <w:proofErr w:type="spellEnd"/>
      <w:r>
        <w:t xml:space="preserve"> and Stulz (2012) reported that banks with more shareholder-friendly boards performed worse during the credit crisis, and Pathan and Faff (2013) identified negative relationships between some board characteristics and bank performance. Athari and Bahreini (2023) also found mixed relationships across external governance and regulatory dimensions. The positive association observed in Kisumu County should therefore be understood as context-specific rather than universal.</w:t>
      </w:r>
    </w:p>
    <w:p w14:paraId="65BCE904" w14:textId="77777777" w:rsidR="00DA7C24" w:rsidRDefault="00000000">
      <w:pPr>
        <w:ind w:firstLine="360"/>
        <w:jc w:val="both"/>
      </w:pPr>
      <w:r>
        <w:t xml:space="preserve">The Kenyan context adds further relevance. </w:t>
      </w:r>
      <w:proofErr w:type="spellStart"/>
      <w:r>
        <w:t>Nyamongo</w:t>
      </w:r>
      <w:proofErr w:type="spellEnd"/>
      <w:r>
        <w:t xml:space="preserve"> (2013) found significant relationships between governance characteristics and commercial-bank performance in Kenya using panel data, whereas the present study provides managerial survey evidence </w:t>
      </w:r>
      <w:r>
        <w:rPr>
          <w:highlight w:val="yellow"/>
        </w:rPr>
        <w:t>at the county level</w:t>
      </w:r>
      <w:r>
        <w:t xml:space="preserve">. The two designs measure performance differently: </w:t>
      </w:r>
      <w:proofErr w:type="spellStart"/>
      <w:r>
        <w:t>Nyamongo</w:t>
      </w:r>
      <w:proofErr w:type="spellEnd"/>
      <w:r>
        <w:t xml:space="preserve"> used accounting measures, while the present study relies on questionnaire-based perceptions. Convergence in the broad direction of governance relevance is informative, but the measures should not be treated as interchangeable.</w:t>
      </w:r>
    </w:p>
    <w:p w14:paraId="1B442735" w14:textId="77777777" w:rsidR="00DA7C24" w:rsidRDefault="00000000">
      <w:pPr>
        <w:ind w:firstLine="360"/>
        <w:jc w:val="both"/>
      </w:pPr>
      <w:r>
        <w:t>The descriptive findings also qualify the inferential result. Item means ranged only from 3.56 to 3.64 and neutral responses were substantial, suggesting that shareholder-rights practices were viewed moderately positively rather than uniformly strongly. This pattern indicates scope for banks to improve information access, voting processes, minority-shareholder protection, and mechanisms through which shareholder concerns are considered in strategic governance.</w:t>
      </w:r>
    </w:p>
    <w:p w14:paraId="20A0CD2F" w14:textId="77777777" w:rsidR="00DA7C24" w:rsidRDefault="00000000">
      <w:pPr>
        <w:keepNext/>
        <w:spacing w:before="200" w:after="80"/>
      </w:pPr>
      <w:r>
        <w:rPr>
          <w:b/>
          <w:sz w:val="24"/>
        </w:rPr>
        <w:t>6.0 CONCLUSIONS</w:t>
      </w:r>
    </w:p>
    <w:p w14:paraId="53EC4F00" w14:textId="77777777" w:rsidR="00DA7C24" w:rsidRDefault="00000000">
      <w:pPr>
        <w:ind w:firstLine="360"/>
        <w:jc w:val="both"/>
      </w:pPr>
      <w:r>
        <w:t xml:space="preserve">The study concludes that shareholder rights are positively associated with survey-based </w:t>
      </w:r>
      <w:r>
        <w:rPr>
          <w:highlight w:val="yellow"/>
        </w:rPr>
        <w:t>organisational</w:t>
      </w:r>
      <w:r>
        <w:t xml:space="preserve"> performance among commercial banks in Kisumu County. The association remained statistically significant after adjustment for board composition, board size, and transparency. The findings are consistent with the view that shareholder participation, voting rights, access to information, responsiveness to shareholder concerns, and minority-shareholder protection can form part of an accountable governance environment. However, because the research design is cross-sectional and based on managerial perceptions, the results do not demonstrate that stronger shareholder rights cause improvements in bank performance.</w:t>
      </w:r>
    </w:p>
    <w:p w14:paraId="2B9FA56B" w14:textId="77777777" w:rsidR="00DA7C24" w:rsidRDefault="00000000">
      <w:pPr>
        <w:keepNext/>
        <w:spacing w:before="200" w:after="80"/>
      </w:pPr>
      <w:r>
        <w:rPr>
          <w:b/>
          <w:sz w:val="24"/>
        </w:rPr>
        <w:t>7.0 RECOMMENDATIONS</w:t>
      </w:r>
    </w:p>
    <w:p w14:paraId="2699BB5C" w14:textId="77777777" w:rsidR="00DA7C24" w:rsidRDefault="00000000">
      <w:pPr>
        <w:ind w:firstLine="360"/>
        <w:jc w:val="both"/>
      </w:pPr>
      <w:r>
        <w:t>Commercial banks in Kisumu County should maintain clear and accessible mechanisms through which shareholders can exercise voting rights, obtain accurate and timely corporate information, raise governance concerns, and participate in decisions for which shareholder approval is appropriate. Particular attention should be given to equitable treatment of minority shareholders and to transparent communication of governance procedures. Banks should also evaluate whether these practices are associated with objective financial and operational indicators rather than relying exclusively on perception-based assessments.</w:t>
      </w:r>
    </w:p>
    <w:p w14:paraId="72B588D1" w14:textId="77777777" w:rsidR="00DA7C24" w:rsidRDefault="00000000">
      <w:pPr>
        <w:ind w:firstLine="360"/>
        <w:jc w:val="both"/>
      </w:pPr>
      <w:r>
        <w:lastRenderedPageBreak/>
        <w:t xml:space="preserve">Future research should combine governance surveys with audited bank-level performance measures and employ longitudinal, panel, or mixed-method designs to strengthen temporal and explanatory inference. Studies covering multiple counties or the national banking system would help determine whether the Kisumu pattern </w:t>
      </w:r>
      <w:r>
        <w:rPr>
          <w:highlight w:val="yellow"/>
        </w:rPr>
        <w:t>generalises</w:t>
      </w:r>
      <w:r>
        <w:t xml:space="preserve"> to other institutional settings. Further research should also examine interactions between shareholder rights, ownership concentration, risk governance, board characteristics, and regulatory environment.</w:t>
      </w:r>
    </w:p>
    <w:p w14:paraId="394EB64F" w14:textId="77777777" w:rsidR="00DA7C24" w:rsidRDefault="00000000">
      <w:pPr>
        <w:keepNext/>
        <w:spacing w:before="200" w:after="80"/>
      </w:pPr>
      <w:r>
        <w:rPr>
          <w:b/>
          <w:sz w:val="24"/>
        </w:rPr>
        <w:t>8.0 LIMITATIONS</w:t>
      </w:r>
    </w:p>
    <w:p w14:paraId="1BB4BC42" w14:textId="27A72D1E" w:rsidR="00DA7C24" w:rsidRDefault="00B379BA">
      <w:pPr>
        <w:ind w:firstLine="360"/>
        <w:jc w:val="both"/>
      </w:pPr>
      <w:r>
        <w:t xml:space="preserve">The cross-sectional design cannot establish temporal ordering or causal effects. Both shareholder-rights practices and </w:t>
      </w:r>
      <w:r>
        <w:rPr>
          <w:highlight w:val="yellow"/>
        </w:rPr>
        <w:t>organisational</w:t>
      </w:r>
      <w:r>
        <w:t xml:space="preserve"> performance were measured using questionnaire responses, creating the possibility of common-method and perceptual bias. Managers were nested within bank branches, whereas the analysis treated individual responses as independent observations. Although a predefined Cronbach's alpha threshold was specified, construct-specific alpha coefficients were not reported; consequently, the internal consistency of the study constructs cannot be independently assessed from the reported statistics. Content validity was assessed through expert review, but factor-analytic evidence of construct validity was not available. Finally, formal residual diagnostics and variance inflation factors were not reported, although the low pairwise correlations among the governance predictors reduce concern about severe bivariate multicollinearity.</w:t>
      </w:r>
    </w:p>
    <w:p w14:paraId="7FA6F55B" w14:textId="77777777" w:rsidR="00DA7C24" w:rsidRDefault="00000000">
      <w:pPr>
        <w:keepNext/>
        <w:spacing w:before="200" w:after="80"/>
      </w:pPr>
      <w:r>
        <w:rPr>
          <w:b/>
          <w:sz w:val="24"/>
        </w:rPr>
        <w:t>Declaration of AI Use</w:t>
      </w:r>
    </w:p>
    <w:p w14:paraId="431FABE7" w14:textId="77777777" w:rsidR="00DA7C24" w:rsidRDefault="00000000">
      <w:pPr>
        <w:jc w:val="both"/>
      </w:pPr>
      <w:r>
        <w:t>The intellectual responsibility for the study design, data collection, interpretation, and final scholarly content rests with the author(s). Grammarly and ChatGPT were used to assist with language refinement, structural editing, reference formatting, and consistency checking during manuscript revision. The author(s) reviewed the final text and accept responsibility for its accuracy and integrity.</w:t>
      </w:r>
    </w:p>
    <w:p w14:paraId="3112A2E6" w14:textId="77777777" w:rsidR="00DA7C24" w:rsidRDefault="00000000">
      <w:pPr>
        <w:keepNext/>
        <w:spacing w:before="200" w:after="80"/>
      </w:pPr>
      <w:r>
        <w:rPr>
          <w:b/>
          <w:sz w:val="24"/>
        </w:rPr>
        <w:t>Competing Interests</w:t>
      </w:r>
    </w:p>
    <w:p w14:paraId="33000D33" w14:textId="77777777" w:rsidR="00DA7C24" w:rsidRDefault="00000000">
      <w:pPr>
        <w:jc w:val="both"/>
      </w:pPr>
      <w:r>
        <w:t>The author(s) declare no known competing financial or non-financial interests or personal relationships that could have influenced the work reported in this paper.</w:t>
      </w:r>
    </w:p>
    <w:p w14:paraId="2407277C" w14:textId="77777777" w:rsidR="00DA7C24" w:rsidRDefault="00000000">
      <w:pPr>
        <w:keepNext/>
        <w:spacing w:before="200" w:after="80"/>
      </w:pPr>
      <w:r>
        <w:rPr>
          <w:b/>
          <w:sz w:val="24"/>
        </w:rPr>
        <w:t>REFERENCES</w:t>
      </w:r>
    </w:p>
    <w:p w14:paraId="3FA7D5C3" w14:textId="7F8E3866"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Aebi, V., Sabato, G., &amp; Schmid, M. (2012). Risk management, corporate governance, and bank performance in the financial crisis. </w:t>
      </w:r>
      <w:r w:rsidRPr="00FF191F">
        <w:rPr>
          <w:rFonts w:eastAsia="Times New Roman" w:cs="Times New Roman"/>
          <w:i/>
          <w:iCs/>
          <w:sz w:val="24"/>
          <w:szCs w:val="24"/>
        </w:rPr>
        <w:t>Journal of Banking &amp; Finance, 36</w:t>
      </w:r>
      <w:r w:rsidRPr="00FF191F">
        <w:rPr>
          <w:rFonts w:eastAsia="Times New Roman" w:cs="Times New Roman"/>
          <w:sz w:val="24"/>
          <w:szCs w:val="24"/>
        </w:rPr>
        <w:t xml:space="preserve">(12), 3213–3226. </w:t>
      </w:r>
      <w:hyperlink r:id="rId6" w:tgtFrame="_new" w:history="1">
        <w:r w:rsidRPr="00FF191F">
          <w:rPr>
            <w:rFonts w:eastAsia="Times New Roman" w:cs="Times New Roman"/>
            <w:color w:val="0000FF"/>
            <w:sz w:val="24"/>
            <w:szCs w:val="24"/>
            <w:u w:val="single"/>
          </w:rPr>
          <w:t>https://doi.org/10.1016/j.jbankfin.2011.10.020</w:t>
        </w:r>
      </w:hyperlink>
      <w:r w:rsidRPr="00FF191F">
        <w:rPr>
          <w:rFonts w:eastAsia="Times New Roman" w:cs="Times New Roman"/>
          <w:sz w:val="24"/>
          <w:szCs w:val="24"/>
        </w:rPr>
        <w:t xml:space="preserve"> </w:t>
      </w:r>
    </w:p>
    <w:p w14:paraId="24C076C1" w14:textId="29FFEAF9"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lang w:val="nl-BE"/>
        </w:rPr>
        <w:t xml:space="preserve">Athari, S. A., &amp; Bahreini, M. (2023). </w:t>
      </w:r>
      <w:r w:rsidRPr="00FF191F">
        <w:rPr>
          <w:rFonts w:eastAsia="Times New Roman" w:cs="Times New Roman"/>
          <w:sz w:val="24"/>
          <w:szCs w:val="24"/>
        </w:rPr>
        <w:t xml:space="preserve">The impact of external governance and regulatory settings on the profitability of Islamic banks: Evidence from Arab markets. </w:t>
      </w:r>
      <w:r w:rsidRPr="00FF191F">
        <w:rPr>
          <w:rFonts w:eastAsia="Times New Roman" w:cs="Times New Roman"/>
          <w:i/>
          <w:iCs/>
          <w:sz w:val="24"/>
          <w:szCs w:val="24"/>
        </w:rPr>
        <w:t>International Journal of Finance &amp; Economics, 28</w:t>
      </w:r>
      <w:r w:rsidRPr="00FF191F">
        <w:rPr>
          <w:rFonts w:eastAsia="Times New Roman" w:cs="Times New Roman"/>
          <w:sz w:val="24"/>
          <w:szCs w:val="24"/>
        </w:rPr>
        <w:t xml:space="preserve">(2), 2124–2147. </w:t>
      </w:r>
      <w:hyperlink r:id="rId7" w:tgtFrame="_new" w:history="1">
        <w:r w:rsidRPr="00FF191F">
          <w:rPr>
            <w:rFonts w:eastAsia="Times New Roman" w:cs="Times New Roman"/>
            <w:color w:val="0000FF"/>
            <w:sz w:val="24"/>
            <w:szCs w:val="24"/>
            <w:u w:val="single"/>
          </w:rPr>
          <w:t>https://doi.org/10.1002/ijfe.2529</w:t>
        </w:r>
      </w:hyperlink>
      <w:r w:rsidRPr="00FF191F">
        <w:rPr>
          <w:rFonts w:eastAsia="Times New Roman" w:cs="Times New Roman"/>
          <w:sz w:val="24"/>
          <w:szCs w:val="24"/>
        </w:rPr>
        <w:t xml:space="preserve"> </w:t>
      </w:r>
    </w:p>
    <w:p w14:paraId="06988696" w14:textId="7F43A635"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Beltratti, A., &amp; Stulz, R. M. (2012). The credit crisis around the globe: Why did some banks perform better? </w:t>
      </w:r>
      <w:r w:rsidRPr="00FF191F">
        <w:rPr>
          <w:rFonts w:eastAsia="Times New Roman" w:cs="Times New Roman"/>
          <w:i/>
          <w:iCs/>
          <w:sz w:val="24"/>
          <w:szCs w:val="24"/>
        </w:rPr>
        <w:t>Journal of Financial Economics, 105</w:t>
      </w:r>
      <w:r w:rsidRPr="00FF191F">
        <w:rPr>
          <w:rFonts w:eastAsia="Times New Roman" w:cs="Times New Roman"/>
          <w:sz w:val="24"/>
          <w:szCs w:val="24"/>
        </w:rPr>
        <w:t xml:space="preserve">(1), 1–17. </w:t>
      </w:r>
      <w:hyperlink r:id="rId8" w:tgtFrame="_new" w:history="1">
        <w:r w:rsidRPr="00FF191F">
          <w:rPr>
            <w:rFonts w:eastAsia="Times New Roman" w:cs="Times New Roman"/>
            <w:color w:val="0000FF"/>
            <w:sz w:val="24"/>
            <w:szCs w:val="24"/>
            <w:u w:val="single"/>
          </w:rPr>
          <w:t>https://doi.org/10.1016/j.jfineco.2011.12.005</w:t>
        </w:r>
      </w:hyperlink>
      <w:r w:rsidRPr="00FF191F">
        <w:rPr>
          <w:rFonts w:eastAsia="Times New Roman" w:cs="Times New Roman"/>
          <w:sz w:val="24"/>
          <w:szCs w:val="24"/>
        </w:rPr>
        <w:t xml:space="preserve"> </w:t>
      </w:r>
    </w:p>
    <w:p w14:paraId="246FCC03" w14:textId="72F71F5D"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Central Bank of Kenya. (2025). </w:t>
      </w:r>
      <w:r w:rsidRPr="00FF191F">
        <w:rPr>
          <w:rFonts w:eastAsia="Times New Roman" w:cs="Times New Roman"/>
          <w:i/>
          <w:iCs/>
          <w:sz w:val="24"/>
          <w:szCs w:val="24"/>
        </w:rPr>
        <w:t>Bank supervision annual report 2024</w:t>
      </w:r>
      <w:r w:rsidRPr="00FF191F">
        <w:rPr>
          <w:rFonts w:eastAsia="Times New Roman" w:cs="Times New Roman"/>
          <w:sz w:val="24"/>
          <w:szCs w:val="24"/>
        </w:rPr>
        <w:t xml:space="preserve">. </w:t>
      </w:r>
      <w:hyperlink r:id="rId9" w:tgtFrame="_new" w:history="1">
        <w:r w:rsidRPr="00FF191F">
          <w:rPr>
            <w:rFonts w:eastAsia="Times New Roman" w:cs="Times New Roman"/>
            <w:color w:val="0000FF"/>
            <w:sz w:val="24"/>
            <w:szCs w:val="24"/>
            <w:u w:val="single"/>
          </w:rPr>
          <w:t>https://www.centralbank.go.ke/2025/08/08/bsd-annual-report-2024/</w:t>
        </w:r>
      </w:hyperlink>
      <w:r w:rsidRPr="00FF191F">
        <w:rPr>
          <w:rFonts w:eastAsia="Times New Roman" w:cs="Times New Roman"/>
          <w:sz w:val="24"/>
          <w:szCs w:val="24"/>
        </w:rPr>
        <w:t xml:space="preserve"> </w:t>
      </w:r>
    </w:p>
    <w:p w14:paraId="6FF2464F" w14:textId="776DCCC2"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Chrisman, J. J. (2019). Stewardship theory: Realism, relevance, and family firm governance. </w:t>
      </w:r>
      <w:r w:rsidRPr="00FF191F">
        <w:rPr>
          <w:rFonts w:eastAsia="Times New Roman" w:cs="Times New Roman"/>
          <w:i/>
          <w:iCs/>
          <w:sz w:val="24"/>
          <w:szCs w:val="24"/>
        </w:rPr>
        <w:t>Entrepreneurship Theory and Practice, 43</w:t>
      </w:r>
      <w:r w:rsidRPr="00FF191F">
        <w:rPr>
          <w:rFonts w:eastAsia="Times New Roman" w:cs="Times New Roman"/>
          <w:sz w:val="24"/>
          <w:szCs w:val="24"/>
        </w:rPr>
        <w:t xml:space="preserve">(6), 1051–1066. </w:t>
      </w:r>
      <w:hyperlink r:id="rId10" w:tgtFrame="_new" w:history="1">
        <w:r w:rsidRPr="00FF191F">
          <w:rPr>
            <w:rFonts w:eastAsia="Times New Roman" w:cs="Times New Roman"/>
            <w:color w:val="0000FF"/>
            <w:sz w:val="24"/>
            <w:szCs w:val="24"/>
            <w:u w:val="single"/>
          </w:rPr>
          <w:t>https://doi.org/10.1177/1042258719838472</w:t>
        </w:r>
      </w:hyperlink>
      <w:r w:rsidRPr="00FF191F">
        <w:rPr>
          <w:rFonts w:eastAsia="Times New Roman" w:cs="Times New Roman"/>
          <w:sz w:val="24"/>
          <w:szCs w:val="24"/>
        </w:rPr>
        <w:t xml:space="preserve"> </w:t>
      </w:r>
    </w:p>
    <w:p w14:paraId="3C803FE2" w14:textId="5364DEF5" w:rsidR="00FF191F" w:rsidRPr="00FF191F" w:rsidRDefault="00FF191F" w:rsidP="00FF191F">
      <w:pPr>
        <w:spacing w:after="0" w:line="240" w:lineRule="auto"/>
        <w:ind w:left="630" w:hanging="540"/>
        <w:jc w:val="both"/>
        <w:rPr>
          <w:rFonts w:eastAsia="Times New Roman" w:cs="Times New Roman"/>
          <w:sz w:val="24"/>
          <w:szCs w:val="24"/>
          <w:lang w:val="nl-BE"/>
        </w:rPr>
      </w:pPr>
      <w:r w:rsidRPr="00FF191F">
        <w:rPr>
          <w:rFonts w:eastAsia="Times New Roman" w:cs="Times New Roman"/>
          <w:sz w:val="24"/>
          <w:szCs w:val="24"/>
        </w:rPr>
        <w:t xml:space="preserve">Core, J. E., Guay, W. R., &amp; Rusticus, T. O. (2006). Does weak governance cause weak stock returns? An examination of firm operating performance and investors’ expectations. </w:t>
      </w:r>
      <w:r w:rsidRPr="00FF191F">
        <w:rPr>
          <w:rFonts w:eastAsia="Times New Roman" w:cs="Times New Roman"/>
          <w:i/>
          <w:iCs/>
          <w:sz w:val="24"/>
          <w:szCs w:val="24"/>
        </w:rPr>
        <w:t>The Journal of Finance, 61</w:t>
      </w:r>
      <w:r w:rsidRPr="00FF191F">
        <w:rPr>
          <w:rFonts w:eastAsia="Times New Roman" w:cs="Times New Roman"/>
          <w:sz w:val="24"/>
          <w:szCs w:val="24"/>
        </w:rPr>
        <w:t xml:space="preserve">(2), 655–687. </w:t>
      </w:r>
      <w:hyperlink r:id="rId11" w:tgtFrame="_new" w:history="1">
        <w:r w:rsidRPr="00FF191F">
          <w:rPr>
            <w:rFonts w:eastAsia="Times New Roman" w:cs="Times New Roman"/>
            <w:color w:val="0000FF"/>
            <w:sz w:val="24"/>
            <w:szCs w:val="24"/>
            <w:u w:val="single"/>
            <w:lang w:val="nl-BE"/>
          </w:rPr>
          <w:t>https://doi.org/10.1111/j.1540-6261.2006.00851.x</w:t>
        </w:r>
      </w:hyperlink>
      <w:r w:rsidRPr="00FF191F">
        <w:rPr>
          <w:rFonts w:eastAsia="Times New Roman" w:cs="Times New Roman"/>
          <w:sz w:val="24"/>
          <w:szCs w:val="24"/>
          <w:lang w:val="nl-BE"/>
        </w:rPr>
        <w:t xml:space="preserve"> </w:t>
      </w:r>
    </w:p>
    <w:p w14:paraId="1F1F8C42" w14:textId="49D34990"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lang w:val="nl-BE"/>
        </w:rPr>
        <w:t xml:space="preserve">de Haan, J., &amp; Vlahu, R. (2016). </w:t>
      </w:r>
      <w:r w:rsidRPr="00FF191F">
        <w:rPr>
          <w:rFonts w:eastAsia="Times New Roman" w:cs="Times New Roman"/>
          <w:sz w:val="24"/>
          <w:szCs w:val="24"/>
        </w:rPr>
        <w:t xml:space="preserve">Corporate governance of banks: A survey. </w:t>
      </w:r>
      <w:r w:rsidRPr="00FF191F">
        <w:rPr>
          <w:rFonts w:eastAsia="Times New Roman" w:cs="Times New Roman"/>
          <w:i/>
          <w:iCs/>
          <w:sz w:val="24"/>
          <w:szCs w:val="24"/>
        </w:rPr>
        <w:t>Journal of Economic Surveys, 30</w:t>
      </w:r>
      <w:r w:rsidRPr="00FF191F">
        <w:rPr>
          <w:rFonts w:eastAsia="Times New Roman" w:cs="Times New Roman"/>
          <w:sz w:val="24"/>
          <w:szCs w:val="24"/>
        </w:rPr>
        <w:t xml:space="preserve">(2), 228–277. </w:t>
      </w:r>
      <w:hyperlink r:id="rId12" w:tgtFrame="_new" w:history="1">
        <w:r w:rsidRPr="00FF191F">
          <w:rPr>
            <w:rFonts w:eastAsia="Times New Roman" w:cs="Times New Roman"/>
            <w:color w:val="0000FF"/>
            <w:sz w:val="24"/>
            <w:szCs w:val="24"/>
            <w:u w:val="single"/>
          </w:rPr>
          <w:t>https://doi.org/10.1111/joes.12101</w:t>
        </w:r>
      </w:hyperlink>
      <w:r w:rsidRPr="00FF191F">
        <w:rPr>
          <w:rFonts w:eastAsia="Times New Roman" w:cs="Times New Roman"/>
          <w:sz w:val="24"/>
          <w:szCs w:val="24"/>
        </w:rPr>
        <w:t xml:space="preserve"> </w:t>
      </w:r>
    </w:p>
    <w:p w14:paraId="18547A93" w14:textId="35765277"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lastRenderedPageBreak/>
        <w:t xml:space="preserve">Donaldson, L., &amp; Davis, J. H. (1994). Boards and company performance—Research challenges the conventional wisdom. </w:t>
      </w:r>
      <w:r w:rsidRPr="00FF191F">
        <w:rPr>
          <w:rFonts w:eastAsia="Times New Roman" w:cs="Times New Roman"/>
          <w:i/>
          <w:iCs/>
          <w:sz w:val="24"/>
          <w:szCs w:val="24"/>
        </w:rPr>
        <w:t>Corporate Governance: An International Review, 2</w:t>
      </w:r>
      <w:r w:rsidRPr="00FF191F">
        <w:rPr>
          <w:rFonts w:eastAsia="Times New Roman" w:cs="Times New Roman"/>
          <w:sz w:val="24"/>
          <w:szCs w:val="24"/>
        </w:rPr>
        <w:t xml:space="preserve">(3), 151–160. </w:t>
      </w:r>
      <w:hyperlink r:id="rId13" w:tgtFrame="_new" w:history="1">
        <w:r w:rsidRPr="00FF191F">
          <w:rPr>
            <w:rFonts w:eastAsia="Times New Roman" w:cs="Times New Roman"/>
            <w:color w:val="0000FF"/>
            <w:sz w:val="24"/>
            <w:szCs w:val="24"/>
            <w:u w:val="single"/>
          </w:rPr>
          <w:t>https://doi.org/10.1111/j.1467-8683.1994.tb00071.x</w:t>
        </w:r>
      </w:hyperlink>
      <w:r w:rsidRPr="00FF191F">
        <w:rPr>
          <w:rFonts w:eastAsia="Times New Roman" w:cs="Times New Roman"/>
          <w:sz w:val="24"/>
          <w:szCs w:val="24"/>
        </w:rPr>
        <w:t xml:space="preserve"> </w:t>
      </w:r>
    </w:p>
    <w:p w14:paraId="7BEF0E86" w14:textId="02BCE2C8" w:rsidR="00FF191F" w:rsidRPr="00FF191F" w:rsidRDefault="00FF191F" w:rsidP="00FF191F">
      <w:pPr>
        <w:spacing w:after="0" w:line="240" w:lineRule="auto"/>
        <w:ind w:left="630" w:hanging="540"/>
        <w:jc w:val="both"/>
        <w:rPr>
          <w:rFonts w:eastAsia="Times New Roman" w:cs="Times New Roman"/>
          <w:sz w:val="24"/>
          <w:szCs w:val="24"/>
        </w:rPr>
      </w:pPr>
      <w:proofErr w:type="spellStart"/>
      <w:r w:rsidRPr="00FF191F">
        <w:rPr>
          <w:rFonts w:eastAsia="Times New Roman" w:cs="Times New Roman"/>
          <w:sz w:val="24"/>
          <w:szCs w:val="24"/>
        </w:rPr>
        <w:t>Federo</w:t>
      </w:r>
      <w:proofErr w:type="spellEnd"/>
      <w:r w:rsidRPr="00FF191F">
        <w:rPr>
          <w:rFonts w:eastAsia="Times New Roman" w:cs="Times New Roman"/>
          <w:sz w:val="24"/>
          <w:szCs w:val="24"/>
        </w:rPr>
        <w:t xml:space="preserve">, R., Ponomareva, Y., Aguilera, R. V., </w:t>
      </w:r>
      <w:proofErr w:type="spellStart"/>
      <w:r w:rsidRPr="00FF191F">
        <w:rPr>
          <w:rFonts w:eastAsia="Times New Roman" w:cs="Times New Roman"/>
          <w:sz w:val="24"/>
          <w:szCs w:val="24"/>
        </w:rPr>
        <w:t>Saz</w:t>
      </w:r>
      <w:proofErr w:type="spellEnd"/>
      <w:r w:rsidRPr="00FF191F">
        <w:rPr>
          <w:rFonts w:eastAsia="Times New Roman" w:cs="Times New Roman"/>
          <w:sz w:val="24"/>
          <w:szCs w:val="24"/>
        </w:rPr>
        <w:t xml:space="preserve">-Carranza, A., &amp; Losada, C. (2020). Bringing owners back on board: A review of the role of ownership type in board governance. </w:t>
      </w:r>
      <w:r w:rsidRPr="00FF191F">
        <w:rPr>
          <w:rFonts w:eastAsia="Times New Roman" w:cs="Times New Roman"/>
          <w:i/>
          <w:iCs/>
          <w:sz w:val="24"/>
          <w:szCs w:val="24"/>
        </w:rPr>
        <w:t>Corporate Governance: An International Review, 28</w:t>
      </w:r>
      <w:r w:rsidRPr="00FF191F">
        <w:rPr>
          <w:rFonts w:eastAsia="Times New Roman" w:cs="Times New Roman"/>
          <w:sz w:val="24"/>
          <w:szCs w:val="24"/>
        </w:rPr>
        <w:t xml:space="preserve">(6), 348–371. </w:t>
      </w:r>
      <w:hyperlink r:id="rId14" w:tgtFrame="_new" w:history="1">
        <w:r w:rsidRPr="00FF191F">
          <w:rPr>
            <w:rFonts w:eastAsia="Times New Roman" w:cs="Times New Roman"/>
            <w:color w:val="0000FF"/>
            <w:sz w:val="24"/>
            <w:szCs w:val="24"/>
            <w:u w:val="single"/>
          </w:rPr>
          <w:t>https://doi.org/10.1111/corg.12346</w:t>
        </w:r>
      </w:hyperlink>
      <w:r w:rsidRPr="00FF191F">
        <w:rPr>
          <w:rFonts w:eastAsia="Times New Roman" w:cs="Times New Roman"/>
          <w:sz w:val="24"/>
          <w:szCs w:val="24"/>
        </w:rPr>
        <w:t xml:space="preserve"> </w:t>
      </w:r>
    </w:p>
    <w:p w14:paraId="1D0D2291" w14:textId="5EAD7FC9"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Grove, H., </w:t>
      </w:r>
      <w:proofErr w:type="spellStart"/>
      <w:r w:rsidRPr="00FF191F">
        <w:rPr>
          <w:rFonts w:eastAsia="Times New Roman" w:cs="Times New Roman"/>
          <w:sz w:val="24"/>
          <w:szCs w:val="24"/>
        </w:rPr>
        <w:t>Patelli</w:t>
      </w:r>
      <w:proofErr w:type="spellEnd"/>
      <w:r w:rsidRPr="00FF191F">
        <w:rPr>
          <w:rFonts w:eastAsia="Times New Roman" w:cs="Times New Roman"/>
          <w:sz w:val="24"/>
          <w:szCs w:val="24"/>
        </w:rPr>
        <w:t xml:space="preserve">, L., </w:t>
      </w:r>
      <w:proofErr w:type="spellStart"/>
      <w:r w:rsidRPr="00FF191F">
        <w:rPr>
          <w:rFonts w:eastAsia="Times New Roman" w:cs="Times New Roman"/>
          <w:sz w:val="24"/>
          <w:szCs w:val="24"/>
        </w:rPr>
        <w:t>Victoravich</w:t>
      </w:r>
      <w:proofErr w:type="spellEnd"/>
      <w:r w:rsidRPr="00FF191F">
        <w:rPr>
          <w:rFonts w:eastAsia="Times New Roman" w:cs="Times New Roman"/>
          <w:sz w:val="24"/>
          <w:szCs w:val="24"/>
        </w:rPr>
        <w:t xml:space="preserve">, L. M., &amp; Xu, P. (2011). Corporate governance and performance in the wake of the financial crisis: Evidence from US commercial banks. </w:t>
      </w:r>
      <w:r w:rsidRPr="00FF191F">
        <w:rPr>
          <w:rFonts w:eastAsia="Times New Roman" w:cs="Times New Roman"/>
          <w:i/>
          <w:iCs/>
          <w:sz w:val="24"/>
          <w:szCs w:val="24"/>
        </w:rPr>
        <w:t>Corporate Governance: An International Review, 19</w:t>
      </w:r>
      <w:r w:rsidRPr="00FF191F">
        <w:rPr>
          <w:rFonts w:eastAsia="Times New Roman" w:cs="Times New Roman"/>
          <w:sz w:val="24"/>
          <w:szCs w:val="24"/>
        </w:rPr>
        <w:t xml:space="preserve">(5), 418–436. </w:t>
      </w:r>
      <w:hyperlink r:id="rId15" w:tgtFrame="_new" w:history="1">
        <w:r w:rsidRPr="00FF191F">
          <w:rPr>
            <w:rFonts w:eastAsia="Times New Roman" w:cs="Times New Roman"/>
            <w:color w:val="0000FF"/>
            <w:sz w:val="24"/>
            <w:szCs w:val="24"/>
            <w:u w:val="single"/>
          </w:rPr>
          <w:t>https://doi.org/10.1111/j.1467-8683.2011.00882.x</w:t>
        </w:r>
      </w:hyperlink>
      <w:r w:rsidRPr="00FF191F">
        <w:rPr>
          <w:rFonts w:eastAsia="Times New Roman" w:cs="Times New Roman"/>
          <w:sz w:val="24"/>
          <w:szCs w:val="24"/>
        </w:rPr>
        <w:t xml:space="preserve"> </w:t>
      </w:r>
    </w:p>
    <w:p w14:paraId="1BF3E022" w14:textId="4169D3F7"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Hillman, A. J., Withers, M. C., &amp; Collins, B. J. (2009). Resource dependence theory: A review. </w:t>
      </w:r>
      <w:r w:rsidRPr="00FF191F">
        <w:rPr>
          <w:rFonts w:eastAsia="Times New Roman" w:cs="Times New Roman"/>
          <w:i/>
          <w:iCs/>
          <w:sz w:val="24"/>
          <w:szCs w:val="24"/>
        </w:rPr>
        <w:t>Journal of Management, 35</w:t>
      </w:r>
      <w:r w:rsidRPr="00FF191F">
        <w:rPr>
          <w:rFonts w:eastAsia="Times New Roman" w:cs="Times New Roman"/>
          <w:sz w:val="24"/>
          <w:szCs w:val="24"/>
        </w:rPr>
        <w:t xml:space="preserve">(6), 1404–1427. </w:t>
      </w:r>
      <w:hyperlink r:id="rId16" w:tgtFrame="_new" w:history="1">
        <w:r w:rsidRPr="00FF191F">
          <w:rPr>
            <w:rFonts w:eastAsia="Times New Roman" w:cs="Times New Roman"/>
            <w:color w:val="0000FF"/>
            <w:sz w:val="24"/>
            <w:szCs w:val="24"/>
            <w:u w:val="single"/>
          </w:rPr>
          <w:t>https://doi.org/10.1177/0149206309343469</w:t>
        </w:r>
      </w:hyperlink>
      <w:r w:rsidRPr="00FF191F">
        <w:rPr>
          <w:rFonts w:eastAsia="Times New Roman" w:cs="Times New Roman"/>
          <w:sz w:val="24"/>
          <w:szCs w:val="24"/>
        </w:rPr>
        <w:t xml:space="preserve"> </w:t>
      </w:r>
    </w:p>
    <w:p w14:paraId="75EA2874" w14:textId="190212F1"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Hristov, I., &amp; </w:t>
      </w:r>
      <w:proofErr w:type="spellStart"/>
      <w:r w:rsidRPr="00FF191F">
        <w:rPr>
          <w:rFonts w:eastAsia="Times New Roman" w:cs="Times New Roman"/>
          <w:sz w:val="24"/>
          <w:szCs w:val="24"/>
        </w:rPr>
        <w:t>Appolloni</w:t>
      </w:r>
      <w:proofErr w:type="spellEnd"/>
      <w:r w:rsidRPr="00FF191F">
        <w:rPr>
          <w:rFonts w:eastAsia="Times New Roman" w:cs="Times New Roman"/>
          <w:sz w:val="24"/>
          <w:szCs w:val="24"/>
        </w:rPr>
        <w:t xml:space="preserve">, A. (2022). Stakeholders’ engagement in the business strategy as a key driver to increase companies’ performance: Evidence from managerial and stakeholders’ practices. </w:t>
      </w:r>
      <w:r w:rsidRPr="00FF191F">
        <w:rPr>
          <w:rFonts w:eastAsia="Times New Roman" w:cs="Times New Roman"/>
          <w:i/>
          <w:iCs/>
          <w:sz w:val="24"/>
          <w:szCs w:val="24"/>
        </w:rPr>
        <w:t>Business Strategy and the Environment, 31</w:t>
      </w:r>
      <w:r w:rsidRPr="00FF191F">
        <w:rPr>
          <w:rFonts w:eastAsia="Times New Roman" w:cs="Times New Roman"/>
          <w:sz w:val="24"/>
          <w:szCs w:val="24"/>
        </w:rPr>
        <w:t xml:space="preserve">(4), 1488–1503. </w:t>
      </w:r>
      <w:hyperlink r:id="rId17" w:tgtFrame="_new" w:history="1">
        <w:r w:rsidRPr="00FF191F">
          <w:rPr>
            <w:rFonts w:eastAsia="Times New Roman" w:cs="Times New Roman"/>
            <w:color w:val="0000FF"/>
            <w:sz w:val="24"/>
            <w:szCs w:val="24"/>
            <w:u w:val="single"/>
          </w:rPr>
          <w:t>https://doi.org/10.1002/bse.2965</w:t>
        </w:r>
      </w:hyperlink>
      <w:r w:rsidRPr="00FF191F">
        <w:rPr>
          <w:rFonts w:eastAsia="Times New Roman" w:cs="Times New Roman"/>
          <w:sz w:val="24"/>
          <w:szCs w:val="24"/>
        </w:rPr>
        <w:t xml:space="preserve"> </w:t>
      </w:r>
    </w:p>
    <w:p w14:paraId="331EDB82" w14:textId="0C586D48"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Kaplan, R. S., &amp; Norton, D. P. (1992). The balanced scorecard—Measures that drive performance. </w:t>
      </w:r>
      <w:r w:rsidRPr="00FF191F">
        <w:rPr>
          <w:rFonts w:eastAsia="Times New Roman" w:cs="Times New Roman"/>
          <w:i/>
          <w:iCs/>
          <w:sz w:val="24"/>
          <w:szCs w:val="24"/>
        </w:rPr>
        <w:t>Harvard Business Review, 70</w:t>
      </w:r>
      <w:r w:rsidRPr="00FF191F">
        <w:rPr>
          <w:rFonts w:eastAsia="Times New Roman" w:cs="Times New Roman"/>
          <w:sz w:val="24"/>
          <w:szCs w:val="24"/>
        </w:rPr>
        <w:t xml:space="preserve">(1), 71–79. </w:t>
      </w:r>
      <w:hyperlink r:id="rId18" w:tgtFrame="_new" w:history="1">
        <w:r w:rsidRPr="00FF191F">
          <w:rPr>
            <w:rFonts w:eastAsia="Times New Roman" w:cs="Times New Roman"/>
            <w:color w:val="0000FF"/>
            <w:sz w:val="24"/>
            <w:szCs w:val="24"/>
            <w:u w:val="single"/>
          </w:rPr>
          <w:t>https://hbr.org/1992/01/the-balanced-scorecard-measures-that-drive-performance-2</w:t>
        </w:r>
      </w:hyperlink>
      <w:r w:rsidRPr="00FF191F">
        <w:rPr>
          <w:rFonts w:eastAsia="Times New Roman" w:cs="Times New Roman"/>
          <w:sz w:val="24"/>
          <w:szCs w:val="24"/>
        </w:rPr>
        <w:t xml:space="preserve"> </w:t>
      </w:r>
    </w:p>
    <w:p w14:paraId="41D7DD52" w14:textId="7E5DC118"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Knyazeva, A., &amp; Knyazeva, D. (2012). Product market competition and shareholder rights: International evidence. </w:t>
      </w:r>
      <w:r w:rsidRPr="00FF191F">
        <w:rPr>
          <w:rFonts w:eastAsia="Times New Roman" w:cs="Times New Roman"/>
          <w:i/>
          <w:iCs/>
          <w:sz w:val="24"/>
          <w:szCs w:val="24"/>
        </w:rPr>
        <w:t>European Financial Management, 18</w:t>
      </w:r>
      <w:r w:rsidRPr="00FF191F">
        <w:rPr>
          <w:rFonts w:eastAsia="Times New Roman" w:cs="Times New Roman"/>
          <w:sz w:val="24"/>
          <w:szCs w:val="24"/>
        </w:rPr>
        <w:t xml:space="preserve">(4), 663–694. </w:t>
      </w:r>
      <w:hyperlink r:id="rId19" w:tgtFrame="_new" w:history="1">
        <w:r w:rsidRPr="00FF191F">
          <w:rPr>
            <w:rFonts w:eastAsia="Times New Roman" w:cs="Times New Roman"/>
            <w:color w:val="0000FF"/>
            <w:sz w:val="24"/>
            <w:szCs w:val="24"/>
            <w:u w:val="single"/>
          </w:rPr>
          <w:t>https://doi.org/10.1111/j.1468-036X.2010.00567.x</w:t>
        </w:r>
      </w:hyperlink>
      <w:r w:rsidRPr="00FF191F">
        <w:rPr>
          <w:rFonts w:eastAsia="Times New Roman" w:cs="Times New Roman"/>
          <w:sz w:val="24"/>
          <w:szCs w:val="24"/>
        </w:rPr>
        <w:t xml:space="preserve"> </w:t>
      </w:r>
    </w:p>
    <w:p w14:paraId="11527D7D" w14:textId="4B9A1DE0"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Kujala, J., Sachs, S., Leinonen, H., Heikkinen, A., &amp; Laude, D. (2022). Stakeholder engagement: Past, present, and future. </w:t>
      </w:r>
      <w:r w:rsidRPr="00FF191F">
        <w:rPr>
          <w:rFonts w:eastAsia="Times New Roman" w:cs="Times New Roman"/>
          <w:i/>
          <w:iCs/>
          <w:sz w:val="24"/>
          <w:szCs w:val="24"/>
        </w:rPr>
        <w:t>Business &amp; Society, 61</w:t>
      </w:r>
      <w:r w:rsidRPr="00FF191F">
        <w:rPr>
          <w:rFonts w:eastAsia="Times New Roman" w:cs="Times New Roman"/>
          <w:sz w:val="24"/>
          <w:szCs w:val="24"/>
        </w:rPr>
        <w:t xml:space="preserve">(5), 1136–1196. </w:t>
      </w:r>
      <w:hyperlink r:id="rId20" w:tgtFrame="_new" w:history="1">
        <w:r w:rsidRPr="00FF191F">
          <w:rPr>
            <w:rFonts w:eastAsia="Times New Roman" w:cs="Times New Roman"/>
            <w:color w:val="0000FF"/>
            <w:sz w:val="24"/>
            <w:szCs w:val="24"/>
            <w:u w:val="single"/>
          </w:rPr>
          <w:t>https://doi.org/10.1177/00076503211066595</w:t>
        </w:r>
      </w:hyperlink>
      <w:r w:rsidRPr="00FF191F">
        <w:rPr>
          <w:rFonts w:eastAsia="Times New Roman" w:cs="Times New Roman"/>
          <w:sz w:val="24"/>
          <w:szCs w:val="24"/>
        </w:rPr>
        <w:t xml:space="preserve"> </w:t>
      </w:r>
    </w:p>
    <w:p w14:paraId="24A4F110" w14:textId="639DFB8A" w:rsidR="00FF191F" w:rsidRPr="00FF191F" w:rsidRDefault="00FF191F" w:rsidP="00FF191F">
      <w:pPr>
        <w:spacing w:after="0" w:line="240" w:lineRule="auto"/>
        <w:ind w:left="630" w:hanging="540"/>
        <w:jc w:val="both"/>
        <w:rPr>
          <w:rFonts w:eastAsia="Times New Roman" w:cs="Times New Roman"/>
          <w:sz w:val="24"/>
          <w:szCs w:val="24"/>
        </w:rPr>
      </w:pPr>
      <w:proofErr w:type="spellStart"/>
      <w:r w:rsidRPr="00FF191F">
        <w:rPr>
          <w:rFonts w:eastAsia="Times New Roman" w:cs="Times New Roman"/>
          <w:sz w:val="24"/>
          <w:szCs w:val="24"/>
        </w:rPr>
        <w:t>Nyamongo</w:t>
      </w:r>
      <w:proofErr w:type="spellEnd"/>
      <w:r w:rsidRPr="00FF191F">
        <w:rPr>
          <w:rFonts w:eastAsia="Times New Roman" w:cs="Times New Roman"/>
          <w:sz w:val="24"/>
          <w:szCs w:val="24"/>
        </w:rPr>
        <w:t xml:space="preserve">, E. M. (2013). The effect of governance on performance of commercial banks in Kenya: A panel study. </w:t>
      </w:r>
      <w:r w:rsidRPr="00FF191F">
        <w:rPr>
          <w:rFonts w:eastAsia="Times New Roman" w:cs="Times New Roman"/>
          <w:i/>
          <w:iCs/>
          <w:sz w:val="24"/>
          <w:szCs w:val="24"/>
        </w:rPr>
        <w:t>Corporate Governance, 13</w:t>
      </w:r>
      <w:r w:rsidRPr="00FF191F">
        <w:rPr>
          <w:rFonts w:eastAsia="Times New Roman" w:cs="Times New Roman"/>
          <w:sz w:val="24"/>
          <w:szCs w:val="24"/>
        </w:rPr>
        <w:t xml:space="preserve">(3), 236–248. </w:t>
      </w:r>
      <w:hyperlink r:id="rId21" w:tgtFrame="_new" w:history="1">
        <w:r w:rsidRPr="00FF191F">
          <w:rPr>
            <w:rFonts w:eastAsia="Times New Roman" w:cs="Times New Roman"/>
            <w:color w:val="0000FF"/>
            <w:sz w:val="24"/>
            <w:szCs w:val="24"/>
            <w:u w:val="single"/>
          </w:rPr>
          <w:t>https://doi.org/10.1108/CG-12-2010-0107</w:t>
        </w:r>
      </w:hyperlink>
      <w:r w:rsidRPr="00FF191F">
        <w:rPr>
          <w:rFonts w:eastAsia="Times New Roman" w:cs="Times New Roman"/>
          <w:sz w:val="24"/>
          <w:szCs w:val="24"/>
        </w:rPr>
        <w:t xml:space="preserve"> </w:t>
      </w:r>
    </w:p>
    <w:p w14:paraId="66C0C5AE" w14:textId="10B04F78"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Pathan, S., &amp; Faff, R. (2013). Does board structure in banks really affect their performance? </w:t>
      </w:r>
      <w:r w:rsidRPr="00FF191F">
        <w:rPr>
          <w:rFonts w:eastAsia="Times New Roman" w:cs="Times New Roman"/>
          <w:i/>
          <w:iCs/>
          <w:sz w:val="24"/>
          <w:szCs w:val="24"/>
        </w:rPr>
        <w:t>Journal of Banking &amp; Finance, 37</w:t>
      </w:r>
      <w:r w:rsidRPr="00FF191F">
        <w:rPr>
          <w:rFonts w:eastAsia="Times New Roman" w:cs="Times New Roman"/>
          <w:sz w:val="24"/>
          <w:szCs w:val="24"/>
        </w:rPr>
        <w:t xml:space="preserve">(5), 1573–1589. </w:t>
      </w:r>
      <w:hyperlink r:id="rId22" w:tgtFrame="_new" w:history="1">
        <w:r w:rsidRPr="00FF191F">
          <w:rPr>
            <w:rFonts w:eastAsia="Times New Roman" w:cs="Times New Roman"/>
            <w:color w:val="0000FF"/>
            <w:sz w:val="24"/>
            <w:szCs w:val="24"/>
            <w:u w:val="single"/>
          </w:rPr>
          <w:t>https://doi.org/10.1016/j.jbankfin.2012.12.016</w:t>
        </w:r>
      </w:hyperlink>
      <w:r w:rsidRPr="00FF191F">
        <w:rPr>
          <w:rFonts w:eastAsia="Times New Roman" w:cs="Times New Roman"/>
          <w:sz w:val="24"/>
          <w:szCs w:val="24"/>
        </w:rPr>
        <w:t xml:space="preserve"> </w:t>
      </w:r>
    </w:p>
    <w:p w14:paraId="0C6CA05F" w14:textId="10BDB55D" w:rsidR="00FF191F" w:rsidRPr="00FF191F" w:rsidRDefault="00FF191F" w:rsidP="00FF191F">
      <w:pPr>
        <w:spacing w:after="0" w:line="240" w:lineRule="auto"/>
        <w:ind w:left="630" w:hanging="540"/>
        <w:jc w:val="both"/>
        <w:rPr>
          <w:rFonts w:eastAsia="Times New Roman" w:cs="Times New Roman"/>
          <w:sz w:val="24"/>
          <w:szCs w:val="24"/>
        </w:rPr>
      </w:pPr>
      <w:r w:rsidRPr="00FF191F">
        <w:rPr>
          <w:rFonts w:eastAsia="Times New Roman" w:cs="Times New Roman"/>
          <w:sz w:val="24"/>
          <w:szCs w:val="24"/>
        </w:rPr>
        <w:t xml:space="preserve">Story, D. A., &amp; Tait, A. R. (2019). Survey research. </w:t>
      </w:r>
      <w:r w:rsidRPr="00FF191F">
        <w:rPr>
          <w:rFonts w:eastAsia="Times New Roman" w:cs="Times New Roman"/>
          <w:i/>
          <w:iCs/>
          <w:sz w:val="24"/>
          <w:szCs w:val="24"/>
        </w:rPr>
        <w:t>Anesthesiology, 130</w:t>
      </w:r>
      <w:r w:rsidRPr="00FF191F">
        <w:rPr>
          <w:rFonts w:eastAsia="Times New Roman" w:cs="Times New Roman"/>
          <w:sz w:val="24"/>
          <w:szCs w:val="24"/>
        </w:rPr>
        <w:t xml:space="preserve">(2), 192–202. </w:t>
      </w:r>
      <w:hyperlink r:id="rId23" w:tgtFrame="_new" w:history="1">
        <w:r w:rsidRPr="00FF191F">
          <w:rPr>
            <w:rFonts w:eastAsia="Times New Roman" w:cs="Times New Roman"/>
            <w:color w:val="0000FF"/>
            <w:sz w:val="24"/>
            <w:szCs w:val="24"/>
            <w:u w:val="single"/>
          </w:rPr>
          <w:t>https://doi.org/10.1097/ALN.0000000000002436</w:t>
        </w:r>
      </w:hyperlink>
      <w:r w:rsidRPr="00FF191F">
        <w:rPr>
          <w:rFonts w:eastAsia="Times New Roman" w:cs="Times New Roman"/>
          <w:sz w:val="24"/>
          <w:szCs w:val="24"/>
        </w:rPr>
        <w:t xml:space="preserve"> </w:t>
      </w:r>
    </w:p>
    <w:p w14:paraId="3E510F2A" w14:textId="05686B50" w:rsidR="00FF191F" w:rsidRPr="00FF191F" w:rsidRDefault="00FF191F" w:rsidP="00FF191F">
      <w:pPr>
        <w:spacing w:after="0" w:line="240" w:lineRule="auto"/>
        <w:ind w:left="630" w:hanging="540"/>
        <w:jc w:val="both"/>
        <w:rPr>
          <w:rFonts w:eastAsia="Times New Roman" w:cs="Times New Roman"/>
          <w:sz w:val="24"/>
          <w:szCs w:val="24"/>
        </w:rPr>
      </w:pPr>
      <w:proofErr w:type="spellStart"/>
      <w:r w:rsidRPr="00FF191F">
        <w:rPr>
          <w:rFonts w:eastAsia="Times New Roman" w:cs="Times New Roman"/>
          <w:sz w:val="24"/>
          <w:szCs w:val="24"/>
        </w:rPr>
        <w:t>Tavakol</w:t>
      </w:r>
      <w:proofErr w:type="spellEnd"/>
      <w:r w:rsidRPr="00FF191F">
        <w:rPr>
          <w:rFonts w:eastAsia="Times New Roman" w:cs="Times New Roman"/>
          <w:sz w:val="24"/>
          <w:szCs w:val="24"/>
        </w:rPr>
        <w:t xml:space="preserve">, M., &amp; Dennick, R. (2011). Making sense of Cronbach’s alpha. </w:t>
      </w:r>
      <w:r w:rsidRPr="00FF191F">
        <w:rPr>
          <w:rFonts w:eastAsia="Times New Roman" w:cs="Times New Roman"/>
          <w:i/>
          <w:iCs/>
          <w:sz w:val="24"/>
          <w:szCs w:val="24"/>
        </w:rPr>
        <w:t>International Journal of Medical Education, 2</w:t>
      </w:r>
      <w:r w:rsidRPr="00FF191F">
        <w:rPr>
          <w:rFonts w:eastAsia="Times New Roman" w:cs="Times New Roman"/>
          <w:sz w:val="24"/>
          <w:szCs w:val="24"/>
        </w:rPr>
        <w:t xml:space="preserve">, 53–55. </w:t>
      </w:r>
      <w:hyperlink r:id="rId24" w:tgtFrame="_new" w:history="1">
        <w:r w:rsidRPr="00FF191F">
          <w:rPr>
            <w:rFonts w:eastAsia="Times New Roman" w:cs="Times New Roman"/>
            <w:color w:val="0000FF"/>
            <w:sz w:val="24"/>
            <w:szCs w:val="24"/>
            <w:u w:val="single"/>
          </w:rPr>
          <w:t>https://doi.org/10.5116/ijme.4dfb.8dfd</w:t>
        </w:r>
      </w:hyperlink>
      <w:r w:rsidRPr="00FF191F">
        <w:rPr>
          <w:rFonts w:eastAsia="Times New Roman" w:cs="Times New Roman"/>
          <w:sz w:val="24"/>
          <w:szCs w:val="24"/>
        </w:rPr>
        <w:t xml:space="preserve"> </w:t>
      </w:r>
    </w:p>
    <w:p w14:paraId="05BDE9C6" w14:textId="3BA9AC9D" w:rsidR="00DA7C24" w:rsidRDefault="00FF191F" w:rsidP="00FF191F">
      <w:pPr>
        <w:spacing w:after="80" w:line="240" w:lineRule="auto"/>
        <w:ind w:left="630" w:hanging="540"/>
        <w:jc w:val="both"/>
      </w:pPr>
      <w:r w:rsidRPr="00FF191F">
        <w:rPr>
          <w:rFonts w:eastAsia="Times New Roman" w:cs="Times New Roman"/>
          <w:sz w:val="24"/>
          <w:szCs w:val="24"/>
          <w:lang w:val="nl-BE"/>
        </w:rPr>
        <w:t xml:space="preserve">Volonté, C., &amp; Gantenbein, P. A. (2026). </w:t>
      </w:r>
      <w:r w:rsidRPr="00FF191F">
        <w:rPr>
          <w:rFonts w:eastAsia="Times New Roman" w:cs="Times New Roman"/>
          <w:sz w:val="24"/>
          <w:szCs w:val="24"/>
        </w:rPr>
        <w:t xml:space="preserve">The good and the bad of family firms: When minority shareholder protection becomes relevant for firm performance. </w:t>
      </w:r>
      <w:r w:rsidRPr="00FF191F">
        <w:rPr>
          <w:rFonts w:eastAsia="Times New Roman" w:cs="Times New Roman"/>
          <w:i/>
          <w:iCs/>
          <w:sz w:val="24"/>
          <w:szCs w:val="24"/>
        </w:rPr>
        <w:t>Corporate Governance, 26</w:t>
      </w:r>
      <w:r w:rsidRPr="00FF191F">
        <w:rPr>
          <w:rFonts w:eastAsia="Times New Roman" w:cs="Times New Roman"/>
          <w:sz w:val="24"/>
          <w:szCs w:val="24"/>
        </w:rPr>
        <w:t xml:space="preserve">(9), 40–62. </w:t>
      </w:r>
      <w:hyperlink r:id="rId25" w:tgtFrame="_new" w:history="1">
        <w:r w:rsidRPr="00FF191F">
          <w:rPr>
            <w:rFonts w:eastAsia="Times New Roman" w:cs="Times New Roman"/>
            <w:color w:val="0000FF"/>
            <w:sz w:val="24"/>
            <w:szCs w:val="24"/>
            <w:u w:val="single"/>
          </w:rPr>
          <w:t>https://doi.org/10.1108/CG-03-2024-0166</w:t>
        </w:r>
      </w:hyperlink>
    </w:p>
    <w:sectPr w:rsidR="00DA7C24" w:rsidSect="00034616">
      <w:pgSz w:w="12240" w:h="15840"/>
      <w:pgMar w:top="1080" w:right="1080" w:bottom="1080"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6C5D50"/>
    <w:multiLevelType w:val="hybridMultilevel"/>
    <w:tmpl w:val="5448A3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C977FD"/>
    <w:multiLevelType w:val="hybridMultilevel"/>
    <w:tmpl w:val="DF5EA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152841">
    <w:abstractNumId w:val="8"/>
  </w:num>
  <w:num w:numId="2" w16cid:durableId="332758762">
    <w:abstractNumId w:val="6"/>
  </w:num>
  <w:num w:numId="3" w16cid:durableId="1350570899">
    <w:abstractNumId w:val="5"/>
  </w:num>
  <w:num w:numId="4" w16cid:durableId="366224839">
    <w:abstractNumId w:val="4"/>
  </w:num>
  <w:num w:numId="5" w16cid:durableId="1640450300">
    <w:abstractNumId w:val="7"/>
  </w:num>
  <w:num w:numId="6" w16cid:durableId="1009790138">
    <w:abstractNumId w:val="3"/>
  </w:num>
  <w:num w:numId="7" w16cid:durableId="1419210797">
    <w:abstractNumId w:val="2"/>
  </w:num>
  <w:num w:numId="8" w16cid:durableId="356009777">
    <w:abstractNumId w:val="1"/>
  </w:num>
  <w:num w:numId="9" w16cid:durableId="1975284654">
    <w:abstractNumId w:val="0"/>
  </w:num>
  <w:num w:numId="10" w16cid:durableId="568687473">
    <w:abstractNumId w:val="10"/>
  </w:num>
  <w:num w:numId="11" w16cid:durableId="1488589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TUxMjE2MDSxNDFV0lEKTi0uzszPAykwrAUARwT0LCwAAAA="/>
  </w:docVars>
  <w:rsids>
    <w:rsidRoot w:val="00B47730"/>
    <w:rsid w:val="00034616"/>
    <w:rsid w:val="0006063C"/>
    <w:rsid w:val="00113964"/>
    <w:rsid w:val="0015074B"/>
    <w:rsid w:val="0029639D"/>
    <w:rsid w:val="00326F90"/>
    <w:rsid w:val="004D09C7"/>
    <w:rsid w:val="00601711"/>
    <w:rsid w:val="00A16A86"/>
    <w:rsid w:val="00AA1D8D"/>
    <w:rsid w:val="00B379BA"/>
    <w:rsid w:val="00B47730"/>
    <w:rsid w:val="00B87B96"/>
    <w:rsid w:val="00CB0664"/>
    <w:rsid w:val="00DA7C24"/>
    <w:rsid w:val="00E45E75"/>
    <w:rsid w:val="00FB15AC"/>
    <w:rsid w:val="00FC693F"/>
    <w:rsid w:val="00FF19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AEFA5"/>
  <w14:defaultImageDpi w14:val="300"/>
  <w15:docId w15:val="{A4CCAAD1-3A6C-4A1C-A683-9E13B9B9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fineco.2011.12.005" TargetMode="External"/><Relationship Id="rId13" Type="http://schemas.openxmlformats.org/officeDocument/2006/relationships/hyperlink" Target="https://doi.org/10.1111/j.1467-8683.1994.tb00071.x" TargetMode="External"/><Relationship Id="rId18" Type="http://schemas.openxmlformats.org/officeDocument/2006/relationships/hyperlink" Target="https://hbr.org/1992/01/the-balanced-scorecard-measures-that-drive-performance-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108/CG-12-2010-0107" TargetMode="External"/><Relationship Id="rId7" Type="http://schemas.openxmlformats.org/officeDocument/2006/relationships/hyperlink" Target="https://doi.org/10.1002/ijfe.2529" TargetMode="External"/><Relationship Id="rId12" Type="http://schemas.openxmlformats.org/officeDocument/2006/relationships/hyperlink" Target="https://doi.org/10.1111/joes.12101" TargetMode="External"/><Relationship Id="rId17" Type="http://schemas.openxmlformats.org/officeDocument/2006/relationships/hyperlink" Target="https://doi.org/10.1002/bse.2965" TargetMode="External"/><Relationship Id="rId25" Type="http://schemas.openxmlformats.org/officeDocument/2006/relationships/hyperlink" Target="https://doi.org/10.1108/CG-03-2024-0166?utm_source=chatgpt.com" TargetMode="External"/><Relationship Id="rId2" Type="http://schemas.openxmlformats.org/officeDocument/2006/relationships/numbering" Target="numbering.xml"/><Relationship Id="rId16" Type="http://schemas.openxmlformats.org/officeDocument/2006/relationships/hyperlink" Target="https://doi.org/10.1177/0149206309343469" TargetMode="External"/><Relationship Id="rId20" Type="http://schemas.openxmlformats.org/officeDocument/2006/relationships/hyperlink" Target="https://doi.org/10.1177/00076503211066595" TargetMode="External"/><Relationship Id="rId1" Type="http://schemas.openxmlformats.org/officeDocument/2006/relationships/customXml" Target="../customXml/item1.xml"/><Relationship Id="rId6" Type="http://schemas.openxmlformats.org/officeDocument/2006/relationships/hyperlink" Target="https://doi.org/10.1016/j.jbankfin.2011.10.020" TargetMode="External"/><Relationship Id="rId11" Type="http://schemas.openxmlformats.org/officeDocument/2006/relationships/hyperlink" Target="https://doi.org/10.1111/j.1540-6261.2006.00851.x" TargetMode="External"/><Relationship Id="rId24" Type="http://schemas.openxmlformats.org/officeDocument/2006/relationships/hyperlink" Target="https://doi.org/10.5116/ijme.4dfb.8dfd" TargetMode="External"/><Relationship Id="rId5" Type="http://schemas.openxmlformats.org/officeDocument/2006/relationships/webSettings" Target="webSettings.xml"/><Relationship Id="rId15" Type="http://schemas.openxmlformats.org/officeDocument/2006/relationships/hyperlink" Target="https://doi.org/10.1111/j.1467-8683.2011.00882.x" TargetMode="External"/><Relationship Id="rId23" Type="http://schemas.openxmlformats.org/officeDocument/2006/relationships/hyperlink" Target="https://doi.org/10.1097/ALN.0000000000002436" TargetMode="External"/><Relationship Id="rId10" Type="http://schemas.openxmlformats.org/officeDocument/2006/relationships/hyperlink" Target="https://doi.org/10.1177/1042258719838472?utm_source=chatgpt.com" TargetMode="External"/><Relationship Id="rId19" Type="http://schemas.openxmlformats.org/officeDocument/2006/relationships/hyperlink" Target="https://doi.org/10.1111/j.1468-036X.2010.00567.x?utm_source=chatgpt.com" TargetMode="External"/><Relationship Id="rId4" Type="http://schemas.openxmlformats.org/officeDocument/2006/relationships/settings" Target="settings.xml"/><Relationship Id="rId9" Type="http://schemas.openxmlformats.org/officeDocument/2006/relationships/hyperlink" Target="https://www.centralbank.go.ke/2025/08/08/bsd-annual-report-2024/?utm_source=chatgpt.com" TargetMode="External"/><Relationship Id="rId14" Type="http://schemas.openxmlformats.org/officeDocument/2006/relationships/hyperlink" Target="https://doi.org/10.1111/corg.12346" TargetMode="External"/><Relationship Id="rId22" Type="http://schemas.openxmlformats.org/officeDocument/2006/relationships/hyperlink" Target="https://doi.org/10.1016/j.jbankfin.2012.12.01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5411</Words>
  <Characters>30843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1020</cp:lastModifiedBy>
  <cp:revision>6</cp:revision>
  <dcterms:created xsi:type="dcterms:W3CDTF">2013-12-23T23:15:00Z</dcterms:created>
  <dcterms:modified xsi:type="dcterms:W3CDTF">2026-09-08T12:51:00Z</dcterms:modified>
  <cp:category/>
</cp:coreProperties>
</file>