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27D35" w14:textId="77777777" w:rsidR="00B05035" w:rsidRPr="00D23973" w:rsidRDefault="00000000">
      <w:pPr>
        <w:spacing w:after="80"/>
      </w:pPr>
      <w:r w:rsidRPr="00D23973">
        <w:rPr>
          <w:rFonts w:ascii="Times New Roman" w:hAnsi="Times New Roman"/>
          <w:b/>
          <w:color w:val="505050"/>
        </w:rPr>
        <w:t>Case Report</w:t>
      </w:r>
    </w:p>
    <w:p w14:paraId="00AA573D" w14:textId="77777777" w:rsidR="00B05035" w:rsidRPr="00D23973" w:rsidRDefault="00000000">
      <w:pPr>
        <w:spacing w:after="240" w:line="288" w:lineRule="auto"/>
        <w:rPr>
          <w:rFonts w:ascii="Times New Roman" w:hAnsi="Times New Roman"/>
          <w:b/>
          <w:sz w:val="30"/>
        </w:rPr>
      </w:pPr>
      <w:r w:rsidRPr="00D23973">
        <w:rPr>
          <w:rFonts w:ascii="Times New Roman" w:hAnsi="Times New Roman"/>
          <w:b/>
          <w:sz w:val="30"/>
        </w:rPr>
        <w:t>Severe Transfusion-Dependent Hereditary Spherocytosis Complicated by Acute Urinary Tract Infection, Gross Hematuria, and Hyperhemolytic Crisis in a 5-Year-Old Child: A Case Report</w:t>
      </w:r>
    </w:p>
    <w:p w14:paraId="21E171BD" w14:textId="77777777" w:rsidR="00B05035" w:rsidRPr="00D23973" w:rsidRDefault="00000000">
      <w:pPr>
        <w:keepNext/>
        <w:spacing w:before="280" w:after="80"/>
      </w:pPr>
      <w:r w:rsidRPr="00D23973">
        <w:rPr>
          <w:rFonts w:ascii="Times New Roman" w:hAnsi="Times New Roman"/>
          <w:b/>
          <w:sz w:val="26"/>
        </w:rPr>
        <w:t>ABSTRACT</w:t>
      </w:r>
    </w:p>
    <w:p w14:paraId="60D52A70" w14:textId="77777777" w:rsidR="00B05035" w:rsidRPr="00D23973" w:rsidRDefault="00000000" w:rsidP="00416720">
      <w:pPr>
        <w:spacing w:after="120"/>
        <w:jc w:val="both"/>
        <w:rPr>
          <w:b/>
          <w:lang w:val="en-IN"/>
        </w:rPr>
      </w:pPr>
      <w:r w:rsidRPr="00D23973">
        <w:rPr>
          <w:b/>
        </w:rPr>
        <w:t>Background:</w:t>
      </w:r>
      <w:r w:rsidRPr="00D23973">
        <w:t xml:space="preserve"> Hereditary spherocytosis (HS) is an inherited heterogeneous haemolytic disorder caused by intrinsic defects in erythrocyte membrane cytoskeletal proteins, resulting in progressive spherocytic change, reduced membrane deformability, and splenic sequestration. Intercurrent infections may disrupt clinical compensation and precipitate an acute, life-threatening hyperhaemolytic crisis, characterised by a rapid fall in haemoglobin and signs of end-organ parenchymal injury, particularly in children with severe transfusion-dependent disease.</w:t>
      </w:r>
    </w:p>
    <w:p w14:paraId="6CC9FAAA" w14:textId="77777777" w:rsidR="00B05035" w:rsidRPr="00D23973" w:rsidRDefault="00000000" w:rsidP="00416720">
      <w:pPr>
        <w:spacing w:after="120"/>
        <w:jc w:val="both"/>
        <w:rPr>
          <w:rFonts w:ascii="Times New Roman" w:hAnsi="Times New Roman" w:cs="Times New Roman"/>
          <w:bCs/>
          <w:lang w:val="en-IN"/>
        </w:rPr>
      </w:pPr>
      <w:r w:rsidRPr="00D23973">
        <w:rPr>
          <w:b/>
        </w:rPr>
        <w:t>Case Presentation:</w:t>
      </w:r>
      <w:r w:rsidRPr="00D23973">
        <w:t xml:space="preserve"> A 5-year-old girl with diagnosed severe transfusion-dependent hereditary spherocytosis, receiving regular maintenance packed red blood cell (PRBC) transfusions, presented with a 2-day history of high-grade spiking fever up to 101.4 °F (38.6 °C), upper respiratory tract symptoms, marked lethargy, dyspnoea, lower abdominal tenderness, and passage of red, turbid urine (gross haematuria). Investigations revealed decompensated hyperhaemolytic anaemia (Hb 5.3 g/dL, PCV 15.9%, RBC count 1.70 × 10⁶/µL, MCV 104.6 fL, and RDW 23.0%), active urinary sediment (RBCs 18–20/HPF, proteinuria 2+, alkaline urine pH 8.5), a normal renal profile (blood urea 24.1 mg/dL and serum creatinine 0.60 mg/dL), and no systemic bacteraemia on pre-antibiotic blood cultures. Abdominopelvic ultrasonography showed hepatomegaly (liver span 13.0 cm), splenomegaly (spleen 12.7 cm in length), and bilateral Grade I renal parenchymal changes with preserved corticomedullary differentiation. Early broad-spectrum intravenous antibiotic therapy (cefotaxime 150 mg/kg/day and amikacin 15 mg/kg/day), accompanied by furosemide-covered, volume-controlled PRBC infusion (15 mL/kg at 60 mL/hour), resulted in rapid defervescence, resolution of gross haematuria, improvement in urine microscopy, and post-infusion clinical stabilisation (Hb &gt;9.5 g/dL).</w:t>
      </w:r>
    </w:p>
    <w:p w14:paraId="1BA24A8A" w14:textId="77777777" w:rsidR="00B05035" w:rsidRPr="00D23973" w:rsidRDefault="00000000" w:rsidP="00416720">
      <w:pPr>
        <w:spacing w:after="120"/>
        <w:jc w:val="both"/>
        <w:rPr>
          <w:rFonts w:ascii="Times New Roman" w:hAnsi="Times New Roman" w:cs="Times New Roman"/>
          <w:bCs/>
          <w:lang w:val="en-IN"/>
        </w:rPr>
      </w:pPr>
      <w:r w:rsidRPr="00D23973">
        <w:rPr>
          <w:b/>
        </w:rPr>
        <w:t>Conclusion:</w:t>
      </w:r>
      <w:r w:rsidRPr="00D23973">
        <w:t xml:space="preserve"> This case illustrates that common intercurrent bacterial infections, particularly acute urinary tract infections, may precipitate a severe hyperhaemolytic crisis and acute renal parenchymal stress in patients with hereditary spherocytosis. Timely differentiation between true haematuria and intravascular haemoglobinuria, collection of blood and urine cultures before antibiotic administration, prompt empirical bactericidal therapy, and judicious PRBC transfusion with diuresis are important measures for reducing the risk of cardiovascular collapse and acute kidney injury.</w:t>
      </w:r>
    </w:p>
    <w:p w14:paraId="01058E0D" w14:textId="77777777" w:rsidR="00420981" w:rsidRPr="00760C0C" w:rsidRDefault="00000000" w:rsidP="00420981">
      <w:pPr>
        <w:pStyle w:val="pdq2pgselectionanchorcontainer"/>
        <w:rPr>
          <w:b/>
          <w:bCs/>
        </w:rPr>
      </w:pPr>
      <w:r w:rsidRPr="00D23973">
        <w:rPr>
          <w:b/>
        </w:rPr>
        <w:t xml:space="preserve">Keywords: </w:t>
      </w:r>
      <w:r w:rsidR="00420981" w:rsidRPr="00760C0C">
        <w:rPr>
          <w:rStyle w:val="Strong"/>
          <w:b w:val="0"/>
          <w:bCs w:val="0"/>
        </w:rPr>
        <w:t xml:space="preserve">Hereditary spherocytosis; </w:t>
      </w:r>
      <w:proofErr w:type="spellStart"/>
      <w:r w:rsidR="00420981" w:rsidRPr="00760C0C">
        <w:rPr>
          <w:rStyle w:val="Strong"/>
          <w:b w:val="0"/>
          <w:bCs w:val="0"/>
        </w:rPr>
        <w:t>hyperhaemolytic</w:t>
      </w:r>
      <w:proofErr w:type="spellEnd"/>
      <w:r w:rsidR="00420981" w:rsidRPr="00760C0C">
        <w:rPr>
          <w:rStyle w:val="Strong"/>
          <w:b w:val="0"/>
          <w:bCs w:val="0"/>
        </w:rPr>
        <w:t xml:space="preserve"> crisis; urinary tract infection; gross </w:t>
      </w:r>
      <w:proofErr w:type="spellStart"/>
      <w:r w:rsidR="00420981" w:rsidRPr="00760C0C">
        <w:rPr>
          <w:rStyle w:val="Strong"/>
          <w:b w:val="0"/>
          <w:bCs w:val="0"/>
        </w:rPr>
        <w:t>haematuria</w:t>
      </w:r>
      <w:proofErr w:type="spellEnd"/>
      <w:r w:rsidR="00420981" w:rsidRPr="00760C0C">
        <w:rPr>
          <w:rStyle w:val="Strong"/>
          <w:b w:val="0"/>
          <w:bCs w:val="0"/>
        </w:rPr>
        <w:t xml:space="preserve">; </w:t>
      </w:r>
      <w:proofErr w:type="spellStart"/>
      <w:r w:rsidR="00420981" w:rsidRPr="00760C0C">
        <w:rPr>
          <w:rStyle w:val="Strong"/>
          <w:b w:val="0"/>
          <w:bCs w:val="0"/>
        </w:rPr>
        <w:t>paediatric</w:t>
      </w:r>
      <w:proofErr w:type="spellEnd"/>
      <w:r w:rsidR="00420981" w:rsidRPr="00760C0C">
        <w:rPr>
          <w:rStyle w:val="Strong"/>
          <w:b w:val="0"/>
          <w:bCs w:val="0"/>
        </w:rPr>
        <w:t xml:space="preserve"> </w:t>
      </w:r>
      <w:proofErr w:type="spellStart"/>
      <w:r w:rsidR="00420981" w:rsidRPr="00760C0C">
        <w:rPr>
          <w:rStyle w:val="Strong"/>
          <w:b w:val="0"/>
          <w:bCs w:val="0"/>
        </w:rPr>
        <w:t>haematology</w:t>
      </w:r>
      <w:proofErr w:type="spellEnd"/>
      <w:r w:rsidR="00420981" w:rsidRPr="00760C0C">
        <w:rPr>
          <w:rStyle w:val="Strong"/>
          <w:b w:val="0"/>
          <w:bCs w:val="0"/>
        </w:rPr>
        <w:t xml:space="preserve">; packed red blood cell transfusion; splenomegaly; renal parenchymal changes; </w:t>
      </w:r>
      <w:proofErr w:type="spellStart"/>
      <w:r w:rsidR="00420981" w:rsidRPr="00760C0C">
        <w:rPr>
          <w:rStyle w:val="Strong"/>
          <w:b w:val="0"/>
          <w:bCs w:val="0"/>
        </w:rPr>
        <w:t>haemolytic</w:t>
      </w:r>
      <w:proofErr w:type="spellEnd"/>
      <w:r w:rsidR="00420981" w:rsidRPr="00760C0C">
        <w:rPr>
          <w:rStyle w:val="Strong"/>
          <w:b w:val="0"/>
          <w:bCs w:val="0"/>
        </w:rPr>
        <w:t xml:space="preserve"> </w:t>
      </w:r>
      <w:proofErr w:type="spellStart"/>
      <w:r w:rsidR="00420981" w:rsidRPr="00760C0C">
        <w:rPr>
          <w:rStyle w:val="Strong"/>
          <w:b w:val="0"/>
          <w:bCs w:val="0"/>
        </w:rPr>
        <w:t>anaemia</w:t>
      </w:r>
      <w:proofErr w:type="spellEnd"/>
      <w:r w:rsidR="00420981" w:rsidRPr="00760C0C">
        <w:rPr>
          <w:rStyle w:val="Strong"/>
          <w:b w:val="0"/>
          <w:bCs w:val="0"/>
        </w:rPr>
        <w:t xml:space="preserve">; transfusion-dependent </w:t>
      </w:r>
      <w:proofErr w:type="spellStart"/>
      <w:r w:rsidR="00420981" w:rsidRPr="00760C0C">
        <w:rPr>
          <w:rStyle w:val="Strong"/>
          <w:b w:val="0"/>
          <w:bCs w:val="0"/>
        </w:rPr>
        <w:t>anaemia</w:t>
      </w:r>
      <w:proofErr w:type="spellEnd"/>
    </w:p>
    <w:p w14:paraId="3C12507F" w14:textId="4D2734B5" w:rsidR="00B05035" w:rsidRPr="00D23973" w:rsidRDefault="00B05035" w:rsidP="00416720">
      <w:pPr>
        <w:spacing w:after="280"/>
        <w:jc w:val="both"/>
      </w:pPr>
    </w:p>
    <w:p w14:paraId="25A6F31A" w14:textId="77777777" w:rsidR="00B05035" w:rsidRPr="00D23973" w:rsidRDefault="00000000">
      <w:pPr>
        <w:keepNext/>
        <w:spacing w:before="280" w:after="80"/>
      </w:pPr>
      <w:r w:rsidRPr="00D23973">
        <w:rPr>
          <w:rFonts w:ascii="Times New Roman" w:hAnsi="Times New Roman"/>
          <w:b/>
          <w:sz w:val="26"/>
        </w:rPr>
        <w:lastRenderedPageBreak/>
        <w:t>INTRODUCTION</w:t>
      </w:r>
    </w:p>
    <w:p w14:paraId="10C8F38E" w14:textId="77777777" w:rsidR="00C84AA3" w:rsidRPr="00D23973" w:rsidRDefault="00C84AA3" w:rsidP="00C84AA3">
      <w:pPr>
        <w:spacing w:after="120"/>
        <w:rPr>
          <w:rFonts w:ascii="Times New Roman" w:hAnsi="Times New Roman" w:cs="Times New Roman"/>
          <w:lang w:val="en-IN"/>
        </w:rPr>
      </w:pPr>
      <w:r w:rsidRPr="00D23973">
        <w:t>Hereditary spherocytosis (HS) is the most frequent congenital, non-immune haemolytic anaemia caused by structural abnormalities of the red cell membrane cytoskeleton. Its prevalence is approximately 1 in 2,000–5,000 individuals of Northern European ancestry, with increasing recognition in Asian, Mediterranean, and</w:t>
      </w:r>
    </w:p>
    <w:p w14:paraId="08345087" w14:textId="77777777" w:rsidR="00C84AA3" w:rsidRPr="00D23973" w:rsidRDefault="00C84AA3" w:rsidP="00C84AA3">
      <w:pPr>
        <w:spacing w:after="120"/>
        <w:rPr>
          <w:rFonts w:ascii="Times New Roman" w:hAnsi="Times New Roman" w:cs="Times New Roman"/>
          <w:lang w:val="en-IN"/>
        </w:rPr>
      </w:pPr>
      <w:r w:rsidRPr="00D23973">
        <w:t>Middle Eastern populations (Bolton-Maggs et al., 2004; Perrotta et al., 2008). Clinical expression ranges from almost asymptomatic, clinically occult, fully compensated haemolysis to critical, life-threatening, transfusion-dependent anaemia beginning in neonatal life (Bolton-Maggs et al., 2004; Delaunay, 2007; Iolascon &amp; Avvisati, 2008). The molecular pathogenesis involves several specific mutations affecting proteins that vertically anchor the spectrin–actin cytoskeleton to the RBC membrane, including ankyrin 1 (ANK1), α-spectrin (SPTA1), β-spectrin (SPTB), band 3/anion exchanger 1 (SLC4A1), and protein 4.2 (EPB42) (Delaunay, 2007; Gallagher, 2013). Defects in these vertical anchoring components impair attachment of the cytoskeletal spectrin–actin lattice to the overlying membrane lipid bilayer. Progressive impairment of vertical coupling promotes spontaneous vesicle shedding and loss of membrane surface area relative to cytosolic volume, followed by a rapid reduction in the surface-area-to-volume ratio and cellular deformability (Gallagher, 2013; Mohandas &amp; Gallagher, 2008). This produces spherocytic red cells that cannot readily pass through the narrow splenic cords of Billroth and are therefore retained and exposed to the hostile metabolic microenvironment of the spleen, including hypoxia, hypoglycaemia, acidosis, and ATP depletion. Further membrane lipid loss and phagocytosis by activated reticuloendothelial macrophages subsequently result in extravascular haemolysis (King et al., 2015; Iolascon &amp; Avvisati, 2008; Eber et al., 1990). Children with severe disease may present with transfusion-dependent anaemia and require repeated PRBC transfusions during growth and development until compensatory erythropoiesis can partly meet increased red-cell turnover; nevertheless, these patients remain vulnerable to acute superimposed exacerbations (Christensen et al., 2015; Iolascon et al., 2017). The principal acute crises include aplastic crisis, most commonly associated with parvovirus B19 in children; megaloblastic crisis, related to vitamin B12 or folate deficiency or rapid folate depletion during accelerated erythropoiesis; and the less widely recognised hyperhaemolytic crisis, which may occur during concurrent bacterial illness with systemic pro-inflammatory cytokine release and marked reticuloendothelial activation (Da Costa et al., 2013; Gallagher, 2013; Saarinen et al., 1986; Perrotta et al., 2008). In a patient with severe congenital haemolytic anaemia, gross red urine, spiking fever, a sudden marked fall in haemoglobin, and ultrasonographic evidence of acute renal involvement can create diagnostic difficulty when distinguishing true haematuria from haemoglobinuria associated with massive haemolysis (Nath et al., 1998; Tracz et al., 2007). The present report describes a transfusion-dependent paediatric patient with severe hereditary spherocytosis who developed a hyperhaemolytic episode precipitated by a urinary tract infection (UTI), accompanied by bilateral Grade I renal parenchymal changes on ultrasonography, and who was successfully managed.</w:t>
      </w:r>
    </w:p>
    <w:p w14:paraId="5A01F886" w14:textId="77777777" w:rsidR="005D2938" w:rsidRPr="00D23973" w:rsidRDefault="00000000">
      <w:pPr>
        <w:spacing w:after="120"/>
        <w:rPr>
          <w:rFonts w:ascii="Times New Roman" w:hAnsi="Times New Roman" w:cs="Times New Roman"/>
          <w:lang w:val="en-IN"/>
        </w:rPr>
      </w:pPr>
      <w:r w:rsidRPr="00D23973">
        <w:t>Recent paediatric case literature has documented early severe hereditary spherocytosis associated with SPTB-related variants, while contemporary clinical-genetic and molecular studies continue to demonstrate marked phenotypic heterogeneity and recurrent involvement of ANK1 and SPTB in hereditary spherocytosis (Kasula et al., 2023; Wu et al., 2024; Panarach et al., 2024).</w:t>
      </w:r>
    </w:p>
    <w:p w14:paraId="18A81056" w14:textId="77777777" w:rsidR="005D2938" w:rsidRPr="00D23973" w:rsidRDefault="00000000">
      <w:pPr>
        <w:spacing w:after="120"/>
        <w:rPr>
          <w:rFonts w:ascii="Times New Roman" w:hAnsi="Times New Roman" w:cs="Times New Roman"/>
          <w:lang w:val="en-IN"/>
        </w:rPr>
      </w:pPr>
      <w:r w:rsidRPr="00D23973">
        <w:lastRenderedPageBreak/>
        <w:t>In patients requiring recurrent red-cell support, organised blood-bank practice remains relevant to supportive care (Singh et al., 2022). Updated diagnostic reviews also support integrating routine haematological assessment with specialised membrane testing and, where clinically appropriate, molecular analysis (Polizzi et al., 2025).</w:t>
      </w:r>
    </w:p>
    <w:p w14:paraId="02877D0D" w14:textId="77777777" w:rsidR="005D2938" w:rsidRPr="00D23973" w:rsidRDefault="00000000">
      <w:pPr>
        <w:spacing w:after="120"/>
        <w:rPr>
          <w:rFonts w:ascii="Times New Roman" w:hAnsi="Times New Roman" w:cs="Times New Roman"/>
          <w:lang w:val="en-IN"/>
        </w:rPr>
      </w:pPr>
      <w:r w:rsidRPr="00D23973">
        <w:rPr>
          <w:b/>
        </w:rPr>
        <w:t>Research gap:</w:t>
      </w:r>
      <w:r w:rsidRPr="00D23973">
        <w:t xml:space="preserve"> In this case, the simultaneous occurrence of severe transfusion-dependent hereditary spherocytosis, urinary tract infection-associated gross haematuria, acute hyperhaemolysis, and renal parenchymal changes created overlapping haematological and urinary findings that complicated clinical differentiation between true haematuria and haemoglobinuria. This combined diagnostic and management problem constitutes the specific clinical gap addressed by the present report.</w:t>
      </w:r>
    </w:p>
    <w:p w14:paraId="22D50BFB" w14:textId="77777777" w:rsidR="005D2938" w:rsidRPr="00D23973" w:rsidRDefault="00000000">
      <w:pPr>
        <w:spacing w:after="120"/>
        <w:rPr>
          <w:rFonts w:ascii="Times New Roman" w:hAnsi="Times New Roman" w:cs="Times New Roman"/>
          <w:lang w:val="en-IN"/>
        </w:rPr>
      </w:pPr>
      <w:r w:rsidRPr="00D23973">
        <w:rPr>
          <w:b/>
        </w:rPr>
        <w:t>Objective:</w:t>
      </w:r>
      <w:r w:rsidRPr="00D23973">
        <w:t xml:space="preserve"> This case report aims to describe the clinical presentation, diagnostic evaluation, and management of a 5-year-old child with severe transfusion-dependent hereditary spherocytosis who developed an acute hyperhaemolytic crisis associated with a urinary tract infection, gross haematuria, and bilateral Grade I renal parenchymal changes.</w:t>
      </w:r>
    </w:p>
    <w:p w14:paraId="62394EC3" w14:textId="77777777" w:rsidR="00C84AA3" w:rsidRPr="00D23973" w:rsidRDefault="00000000" w:rsidP="00C84AA3">
      <w:pPr>
        <w:spacing w:after="120"/>
        <w:rPr>
          <w:rFonts w:ascii="Times New Roman" w:hAnsi="Times New Roman" w:cs="Times New Roman"/>
          <w:sz w:val="24"/>
          <w:lang w:val="en-IN"/>
        </w:rPr>
      </w:pPr>
      <w:r w:rsidRPr="00D23973">
        <w:rPr>
          <w:rFonts w:ascii="Times New Roman" w:hAnsi="Times New Roman"/>
          <w:b/>
          <w:sz w:val="26"/>
        </w:rPr>
        <w:t>CASE PRESENTATION</w:t>
      </w:r>
    </w:p>
    <w:p w14:paraId="4B8F709F" w14:textId="77777777" w:rsidR="00B05035" w:rsidRPr="00D23973" w:rsidRDefault="00000000" w:rsidP="00C84AA3">
      <w:pPr>
        <w:spacing w:after="120"/>
        <w:rPr>
          <w:rFonts w:ascii="Times New Roman" w:hAnsi="Times New Roman"/>
          <w:b/>
          <w:i/>
          <w:sz w:val="24"/>
        </w:rPr>
      </w:pPr>
      <w:r w:rsidRPr="00D23973">
        <w:rPr>
          <w:rFonts w:ascii="Times New Roman" w:hAnsi="Times New Roman"/>
          <w:b/>
          <w:i/>
          <w:sz w:val="24"/>
        </w:rPr>
        <w:t>Patient Demographics &amp; Presentation</w:t>
      </w:r>
    </w:p>
    <w:p w14:paraId="58E05F2C" w14:textId="77777777" w:rsidR="00C84AA3" w:rsidRPr="00D23973" w:rsidRDefault="00C84AA3" w:rsidP="00C84AA3">
      <w:pPr>
        <w:spacing w:after="120"/>
        <w:rPr>
          <w:rFonts w:ascii="Times New Roman" w:hAnsi="Times New Roman" w:cs="Times New Roman"/>
          <w:lang w:val="en-IN"/>
        </w:rPr>
      </w:pPr>
      <w:r w:rsidRPr="00D23973">
        <w:t>A five-year-old girl from Gangapura in Ranebennur Taluk, Haveri District, Karnataka, India, was admitted to the Paediatric Inpatient Service (Paediatric Unit 1) at S.S. Institute of Medical Sciences &amp; Research Centre (SSIMS &amp; RC), Davangere, Karnataka, India, on 22 August 2026 at 09:45 hours.</w:t>
      </w:r>
    </w:p>
    <w:p w14:paraId="32B00BE7" w14:textId="77777777" w:rsidR="00B05035" w:rsidRPr="00D23973" w:rsidRDefault="00000000">
      <w:pPr>
        <w:keepNext/>
        <w:spacing w:before="200" w:after="60"/>
        <w:rPr>
          <w:rFonts w:ascii="Times New Roman" w:hAnsi="Times New Roman"/>
          <w:b/>
          <w:i/>
          <w:sz w:val="24"/>
        </w:rPr>
      </w:pPr>
      <w:r w:rsidRPr="00D23973">
        <w:rPr>
          <w:rFonts w:ascii="Times New Roman" w:hAnsi="Times New Roman"/>
          <w:b/>
          <w:i/>
          <w:sz w:val="24"/>
        </w:rPr>
        <w:t>Chief Complaints &amp; History of Present Illness</w:t>
      </w:r>
    </w:p>
    <w:p w14:paraId="26C56C7E" w14:textId="77777777" w:rsidR="00C84AA3" w:rsidRPr="00D23973" w:rsidRDefault="00C84AA3">
      <w:pPr>
        <w:keepNext/>
        <w:spacing w:before="200" w:after="60"/>
        <w:rPr>
          <w:rFonts w:ascii="Times New Roman" w:hAnsi="Times New Roman" w:cs="Times New Roman"/>
          <w:lang w:val="en-IN"/>
        </w:rPr>
      </w:pPr>
      <w:r w:rsidRPr="00D23973">
        <w:t>The child had a 2-day history of persistent high-grade fever with chills, mild non-productive cough, and coryza. During the preceding 3–4 days, her parents had noticed rapidly increasing lethargy, severe pallor, early fatigability, refusal of food, dyspnoea on minimal exertion, and palpitations even with negligible activity. During the previous 24 hours, she had developed progressive generalised lower abdominal pain, dysuria (crying during micturition), and frank red, turbid urine (gross haematuria). There was no history of spontaneous petechiae, purpura, epistaxis, gum bleeding, altered bowel habits, watery or loose stools, seizures, or altered sensorium.</w:t>
      </w:r>
    </w:p>
    <w:p w14:paraId="7EDFF3DD" w14:textId="77777777" w:rsidR="00B05035" w:rsidRPr="00D23973" w:rsidRDefault="00000000">
      <w:pPr>
        <w:keepNext/>
        <w:spacing w:before="200" w:after="60"/>
        <w:rPr>
          <w:rFonts w:ascii="Times New Roman" w:hAnsi="Times New Roman"/>
          <w:b/>
          <w:i/>
          <w:sz w:val="24"/>
        </w:rPr>
      </w:pPr>
      <w:r w:rsidRPr="00D23973">
        <w:rPr>
          <w:rFonts w:ascii="Times New Roman" w:hAnsi="Times New Roman"/>
          <w:b/>
          <w:i/>
          <w:sz w:val="24"/>
        </w:rPr>
        <w:t>Past Medical, Birth, &amp; Transfusion History</w:t>
      </w:r>
    </w:p>
    <w:p w14:paraId="709B5A2C" w14:textId="77777777" w:rsidR="00C84AA3" w:rsidRPr="00D23973" w:rsidRDefault="00C84AA3">
      <w:pPr>
        <w:keepNext/>
        <w:spacing w:before="200" w:after="60"/>
        <w:rPr>
          <w:rFonts w:ascii="Times New Roman" w:hAnsi="Times New Roman" w:cs="Times New Roman"/>
          <w:lang w:val="en-IN"/>
        </w:rPr>
      </w:pPr>
      <w:r w:rsidRPr="00D23973">
        <w:t xml:space="preserve">She was born to non-consanguineous parents following a full-term normal delivery, with a birth weight of 2.5 kg. The neonatal period was complicated by marked unconjugated hyperbilirubinaemia on the third day of life, requiring extended phototherapy. Gross-motor, fine-motor, language, and social developmental milestones were appropriate for age, and she was an active upper-kindergarten student. Routine childhood immunisations were administered according to the national immunisation schedule. At 6 months of age, she presented with progressive severe pallor, failure to thrive, and marked splenomegaly. Haematological evaluation included a peripheral blood smear showing severe microspherocytosis, haemoglobin electrophoresis, and an osmotic fragility test, establishing the diagnosis of hereditary spherocytosis. She had severe uncompensated haemolysis and required frequent packed red blood cell transfusions every 2–3 weeks; she was </w:t>
      </w:r>
      <w:r w:rsidRPr="00D23973">
        <w:lastRenderedPageBreak/>
        <w:t>therefore categorised as having transfusion-dependent HS, with a target haemoglobin concentration above 8–9 g/dL. There was no history of consanguinity, hereditary haemolytic anaemia, thalassaemia, or cholelithiasis in her parents or siblings during infancy or childhood.</w:t>
      </w:r>
    </w:p>
    <w:p w14:paraId="12DF319D" w14:textId="77777777" w:rsidR="00B05035" w:rsidRPr="00D23973" w:rsidRDefault="00000000">
      <w:pPr>
        <w:keepNext/>
        <w:spacing w:before="200" w:after="60"/>
      </w:pPr>
      <w:r w:rsidRPr="00D23973">
        <w:rPr>
          <w:rFonts w:ascii="Times New Roman" w:hAnsi="Times New Roman"/>
          <w:b/>
          <w:i/>
          <w:sz w:val="24"/>
        </w:rPr>
        <w:t>Physical Examination at Admission</w:t>
      </w:r>
    </w:p>
    <w:p w14:paraId="177F0F9B" w14:textId="77777777" w:rsidR="008C4193" w:rsidRPr="00D23973" w:rsidRDefault="008C4193" w:rsidP="008C4193">
      <w:pPr>
        <w:spacing w:after="120"/>
        <w:rPr>
          <w:rFonts w:ascii="Times New Roman" w:hAnsi="Times New Roman"/>
          <w:sz w:val="24"/>
          <w:lang w:val="en-IN"/>
        </w:rPr>
      </w:pPr>
      <w:r w:rsidRPr="00D23973">
        <w:t>On admission, the child was conscious and oriented, with apparent irritability, marked lethargy, and moderate illness. Anthropometric assessment showed a weight of 23.0 kg (50th percentile) and a height of 115 cm (50th percentile), indicating well-maintained linear growth despite chronic transfusions.</w:t>
      </w:r>
    </w:p>
    <w:p w14:paraId="0086704C" w14:textId="77777777" w:rsidR="004B5F46" w:rsidRPr="00D23973" w:rsidRDefault="004B5F46" w:rsidP="004B5F46">
      <w:pPr>
        <w:spacing w:after="120"/>
        <w:rPr>
          <w:rFonts w:ascii="Times New Roman" w:hAnsi="Times New Roman"/>
          <w:lang w:val="en-IN"/>
        </w:rPr>
      </w:pPr>
      <w:r w:rsidRPr="00D23973">
        <w:rPr>
          <w:b/>
        </w:rPr>
        <w:t>Vital signs:</w:t>
      </w:r>
      <w:r w:rsidRPr="00D23973">
        <w:t xml:space="preserve"> Blood pressure was recorded as 100/60 mmHg, with automated measurements fluctuating from 88/56 to 96/60 mmHg. Pulse rate was 102–110 beats/min, with bounding, regular peripheral pulses and a hyperdynamic circulation. Respiratory rate was 22–24 breaths/min without subcostal or intercostal retractions, and breathing was unlaboured. Axillary temperature was 100.4 °F (38.0 °C), with ward-recorded fever peaks up to 101.4 °F (38.6 °C). SpO₂ was 96–98% on room air.</w:t>
      </w:r>
    </w:p>
    <w:p w14:paraId="408ED5EC" w14:textId="77777777" w:rsidR="004B5F46" w:rsidRPr="00D23973" w:rsidRDefault="004B5F46" w:rsidP="004B5F46">
      <w:pPr>
        <w:spacing w:after="120"/>
        <w:rPr>
          <w:rFonts w:ascii="Times New Roman" w:hAnsi="Times New Roman"/>
          <w:lang w:val="en-IN"/>
        </w:rPr>
      </w:pPr>
      <w:r w:rsidRPr="00D23973">
        <w:rPr>
          <w:b/>
        </w:rPr>
        <w:t>Systemic examination:</w:t>
      </w:r>
      <w:r w:rsidRPr="00D23973">
        <w:t xml:space="preserve"> General examination showed marked pallor of the palpebral conjunctiva, buccal mucosa, nail beds, and palmar creases, with mild icterus at the peripheral margins of the sclera. There was no peripheral cyanosis, finger clubbing, lymphadenopathy, pedal oedema, or facial fullness. Abdominal examination showed a soft abdomen with marked tenderness in the suprapubic region and right hypochondrium, without guarding, rigidity, or rebound tenderness. The liver was palpable 1 cm below the right costal margin, with a total span of 13 cm and dimensions of 13 × 13.5 × 10.5 cm; its margins were soft and non-tender. The spleen tip was palpable 2 cm below the left costal margin; the bipolar dimension was approximately 12.7 cm, with a perpendicular span of 9.0 cm. The spleen was smooth and firm, with a regular, non-tender margin. Shifting dullness and ascites were absent. Cardiovascular examination revealed normal S1 and S2 heart sounds, with a Grade II/VI haemic ejection systolic flow murmur best heard at the right upper sternal border. Respiratory and central nervous system examinations were normal.</w:t>
      </w:r>
    </w:p>
    <w:p w14:paraId="42B18F0F" w14:textId="77777777" w:rsidR="00B05035" w:rsidRPr="00D23973" w:rsidRDefault="00000000">
      <w:pPr>
        <w:keepNext/>
        <w:spacing w:before="200" w:after="60"/>
      </w:pPr>
      <w:r w:rsidRPr="00D23973">
        <w:rPr>
          <w:rFonts w:ascii="Times New Roman" w:hAnsi="Times New Roman"/>
          <w:b/>
          <w:i/>
          <w:sz w:val="24"/>
        </w:rPr>
        <w:t>Comprehensive Laboratory &amp; Microbiological Investigations</w:t>
      </w:r>
    </w:p>
    <w:p w14:paraId="30CA0CF7" w14:textId="77777777" w:rsidR="00B05035" w:rsidRPr="00D23973" w:rsidRDefault="00000000">
      <w:pPr>
        <w:spacing w:after="120"/>
      </w:pPr>
      <w:r w:rsidRPr="00D23973">
        <w:t>Complete haematological, biochemical, and microbiological evaluations were obtained at admission (Tables 1 and 2). The complete blood count demonstrated severe uncompensated anaemia, with haemoglobin of 5.3 g/dL, haematocrit (PCV) of 15.9%, and profound erythrocytopenia (RBC count 1.70 × 10⁶/µL). Elevated MCV (104.6 fL) and RDW (23.0%) reflected a robust compensatory reticulocytic response and red-cell dimorphism. Platelet count (1.67 × 10⁵/µL) and total leucocyte count (8,530/µL, with 61% neutrophils) were preserved. Renal parameters indicated preserved nitrogenous waste clearance (blood urea 24.1 mg/dL and serum creatinine 0.60 mg/dL).</w:t>
      </w:r>
    </w:p>
    <w:p w14:paraId="52602364" w14:textId="77777777" w:rsidR="00B05035" w:rsidRPr="00D23973" w:rsidRDefault="00000000">
      <w:pPr>
        <w:spacing w:after="120"/>
      </w:pPr>
      <w:r w:rsidRPr="00D23973">
        <w:t xml:space="preserve">Serial urinalysis confirmed gross haematuria. Dipstick testing showed 3+ occult blood and 2+ proteinuria, with an alkaline pH of 8.5. Centrifuged urine sediment microscopy revealed 18–20 intact RBCs per high-power field (HPF) and 2–3 leucocytes/HPF, without dysmorphic RBCs or red-cell casts, supporting active lower urinary tract mucosal inflammation rather than glomerular disease. Pre-antibiotic paired peripheral blood cultures were obtained from separate venepuncture sites and incubated using an automated blood-culture system (BACTEC); both bottles remained </w:t>
      </w:r>
      <w:r w:rsidRPr="00D23973">
        <w:lastRenderedPageBreak/>
        <w:t>sterile, with no microbial growth at 48 hours, 5 days, or after the final 7-day extended incubation, indicating no detectable secondary systemic bacteraemia or endovascular seeding.</w:t>
      </w:r>
    </w:p>
    <w:p w14:paraId="4D3A8DFE" w14:textId="77777777" w:rsidR="00B05035" w:rsidRPr="00D23973" w:rsidRDefault="00000000">
      <w:pPr>
        <w:spacing w:before="160" w:after="80"/>
      </w:pPr>
      <w:r w:rsidRPr="00D23973">
        <w:rPr>
          <w:rFonts w:ascii="Times New Roman" w:hAnsi="Times New Roman"/>
          <w:b/>
          <w:sz w:val="24"/>
        </w:rPr>
        <w:t>Table 1: Complete Hematological and Biochemical Laboratory Profile at Admission (22/08/2026)</w:t>
      </w:r>
    </w:p>
    <w:tbl>
      <w:tblPr>
        <w:tblW w:w="0" w:type="auto"/>
        <w:jc w:val="center"/>
        <w:tblBorders>
          <w:top w:val="single" w:sz="8" w:space="0" w:color="000000"/>
          <w:bottom w:val="single" w:sz="8" w:space="0" w:color="000000"/>
          <w:insideH w:val="single" w:sz="4" w:space="0" w:color="D3D3D3"/>
        </w:tblBorders>
        <w:tblLook w:val="04A0" w:firstRow="1" w:lastRow="0" w:firstColumn="1" w:lastColumn="0" w:noHBand="0" w:noVBand="1"/>
      </w:tblPr>
      <w:tblGrid>
        <w:gridCol w:w="1872"/>
        <w:gridCol w:w="1872"/>
        <w:gridCol w:w="1872"/>
        <w:gridCol w:w="1872"/>
        <w:gridCol w:w="1872"/>
      </w:tblGrid>
      <w:tr w:rsidR="00B05035" w:rsidRPr="00D23973" w14:paraId="2E790325" w14:textId="77777777">
        <w:trPr>
          <w:jc w:val="center"/>
        </w:trPr>
        <w:tc>
          <w:tcPr>
            <w:tcW w:w="1872" w:type="dxa"/>
            <w:shd w:val="clear" w:color="auto" w:fill="EAEAEA"/>
            <w:tcMar>
              <w:top w:w="80" w:type="dxa"/>
              <w:left w:w="100" w:type="dxa"/>
              <w:bottom w:w="80" w:type="dxa"/>
              <w:right w:w="100" w:type="dxa"/>
            </w:tcMar>
          </w:tcPr>
          <w:p w14:paraId="5A661ADE" w14:textId="77777777" w:rsidR="00B05035" w:rsidRPr="00D23973" w:rsidRDefault="00000000">
            <w:pPr>
              <w:spacing w:after="0" w:line="252" w:lineRule="auto"/>
            </w:pPr>
            <w:r w:rsidRPr="00D23973">
              <w:rPr>
                <w:rFonts w:ascii="Times New Roman" w:hAnsi="Times New Roman"/>
                <w:b/>
                <w:sz w:val="19"/>
              </w:rPr>
              <w:t>Investigation / Parameter</w:t>
            </w:r>
          </w:p>
        </w:tc>
        <w:tc>
          <w:tcPr>
            <w:tcW w:w="1872" w:type="dxa"/>
            <w:shd w:val="clear" w:color="auto" w:fill="EAEAEA"/>
            <w:tcMar>
              <w:top w:w="80" w:type="dxa"/>
              <w:left w:w="100" w:type="dxa"/>
              <w:bottom w:w="80" w:type="dxa"/>
              <w:right w:w="100" w:type="dxa"/>
            </w:tcMar>
          </w:tcPr>
          <w:p w14:paraId="1A21AF6F" w14:textId="77777777" w:rsidR="00B05035" w:rsidRPr="00D23973" w:rsidRDefault="00000000">
            <w:pPr>
              <w:spacing w:after="0" w:line="252" w:lineRule="auto"/>
            </w:pPr>
            <w:r w:rsidRPr="00D23973">
              <w:rPr>
                <w:rFonts w:ascii="Times New Roman" w:hAnsi="Times New Roman"/>
                <w:b/>
                <w:sz w:val="19"/>
              </w:rPr>
              <w:t>Testing Method / Platform</w:t>
            </w:r>
          </w:p>
        </w:tc>
        <w:tc>
          <w:tcPr>
            <w:tcW w:w="1872" w:type="dxa"/>
            <w:shd w:val="clear" w:color="auto" w:fill="EAEAEA"/>
            <w:tcMar>
              <w:top w:w="80" w:type="dxa"/>
              <w:left w:w="100" w:type="dxa"/>
              <w:bottom w:w="80" w:type="dxa"/>
              <w:right w:w="100" w:type="dxa"/>
            </w:tcMar>
          </w:tcPr>
          <w:p w14:paraId="195407AC" w14:textId="77777777" w:rsidR="00B05035" w:rsidRPr="00D23973" w:rsidRDefault="00000000">
            <w:pPr>
              <w:spacing w:after="0" w:line="252" w:lineRule="auto"/>
            </w:pPr>
            <w:r w:rsidRPr="00D23973">
              <w:rPr>
                <w:rFonts w:ascii="Times New Roman" w:hAnsi="Times New Roman"/>
                <w:b/>
                <w:sz w:val="19"/>
              </w:rPr>
              <w:t>Observed Value</w:t>
            </w:r>
          </w:p>
        </w:tc>
        <w:tc>
          <w:tcPr>
            <w:tcW w:w="1872" w:type="dxa"/>
            <w:shd w:val="clear" w:color="auto" w:fill="EAEAEA"/>
            <w:tcMar>
              <w:top w:w="80" w:type="dxa"/>
              <w:left w:w="100" w:type="dxa"/>
              <w:bottom w:w="80" w:type="dxa"/>
              <w:right w:w="100" w:type="dxa"/>
            </w:tcMar>
          </w:tcPr>
          <w:p w14:paraId="47B71CDD" w14:textId="77777777" w:rsidR="00B05035" w:rsidRPr="00D23973" w:rsidRDefault="00000000">
            <w:pPr>
              <w:spacing w:after="0" w:line="252" w:lineRule="auto"/>
            </w:pPr>
            <w:r w:rsidRPr="00D23973">
              <w:rPr>
                <w:rFonts w:ascii="Times New Roman" w:hAnsi="Times New Roman"/>
                <w:b/>
                <w:sz w:val="19"/>
              </w:rPr>
              <w:t>Biological Reference Interval</w:t>
            </w:r>
          </w:p>
        </w:tc>
        <w:tc>
          <w:tcPr>
            <w:tcW w:w="1872" w:type="dxa"/>
            <w:shd w:val="clear" w:color="auto" w:fill="EAEAEA"/>
            <w:tcMar>
              <w:top w:w="80" w:type="dxa"/>
              <w:left w:w="100" w:type="dxa"/>
              <w:bottom w:w="80" w:type="dxa"/>
              <w:right w:w="100" w:type="dxa"/>
            </w:tcMar>
          </w:tcPr>
          <w:p w14:paraId="56DB19C8" w14:textId="77777777" w:rsidR="00B05035" w:rsidRPr="00D23973" w:rsidRDefault="00000000">
            <w:pPr>
              <w:spacing w:after="0" w:line="252" w:lineRule="auto"/>
            </w:pPr>
            <w:r w:rsidRPr="00D23973">
              <w:rPr>
                <w:rFonts w:ascii="Times New Roman" w:hAnsi="Times New Roman"/>
                <w:b/>
                <w:sz w:val="19"/>
              </w:rPr>
              <w:t>Clinical Interpretation</w:t>
            </w:r>
          </w:p>
        </w:tc>
      </w:tr>
      <w:tr w:rsidR="00B05035" w:rsidRPr="00D23973" w14:paraId="5A356D0C" w14:textId="77777777">
        <w:trPr>
          <w:jc w:val="center"/>
        </w:trPr>
        <w:tc>
          <w:tcPr>
            <w:tcW w:w="1872" w:type="dxa"/>
            <w:shd w:val="clear" w:color="auto" w:fill="F9F9F9"/>
            <w:tcMar>
              <w:top w:w="80" w:type="dxa"/>
              <w:left w:w="100" w:type="dxa"/>
              <w:bottom w:w="80" w:type="dxa"/>
              <w:right w:w="100" w:type="dxa"/>
            </w:tcMar>
          </w:tcPr>
          <w:p w14:paraId="737A7516" w14:textId="77777777" w:rsidR="00B05035" w:rsidRPr="00D23973" w:rsidRDefault="00000000">
            <w:pPr>
              <w:spacing w:after="0" w:line="252" w:lineRule="auto"/>
            </w:pPr>
            <w:r w:rsidRPr="00D23973">
              <w:rPr>
                <w:rFonts w:ascii="Times New Roman" w:hAnsi="Times New Roman"/>
                <w:b/>
                <w:sz w:val="18"/>
              </w:rPr>
              <w:t>Hemoglobin (Hb)</w:t>
            </w:r>
          </w:p>
        </w:tc>
        <w:tc>
          <w:tcPr>
            <w:tcW w:w="1872" w:type="dxa"/>
            <w:shd w:val="clear" w:color="auto" w:fill="F9F9F9"/>
            <w:tcMar>
              <w:top w:w="80" w:type="dxa"/>
              <w:left w:w="100" w:type="dxa"/>
              <w:bottom w:w="80" w:type="dxa"/>
              <w:right w:w="100" w:type="dxa"/>
            </w:tcMar>
          </w:tcPr>
          <w:p w14:paraId="3BEAB43E" w14:textId="77777777" w:rsidR="00B05035" w:rsidRPr="00D23973" w:rsidRDefault="00000000">
            <w:pPr>
              <w:spacing w:after="0" w:line="252" w:lineRule="auto"/>
            </w:pPr>
            <w:r w:rsidRPr="00D23973">
              <w:rPr>
                <w:rFonts w:ascii="Times New Roman" w:hAnsi="Times New Roman"/>
                <w:sz w:val="18"/>
              </w:rPr>
              <w:t>Fluorescent Flow Cytometry</w:t>
            </w:r>
          </w:p>
        </w:tc>
        <w:tc>
          <w:tcPr>
            <w:tcW w:w="1872" w:type="dxa"/>
            <w:shd w:val="clear" w:color="auto" w:fill="F9F9F9"/>
            <w:tcMar>
              <w:top w:w="80" w:type="dxa"/>
              <w:left w:w="100" w:type="dxa"/>
              <w:bottom w:w="80" w:type="dxa"/>
              <w:right w:w="100" w:type="dxa"/>
            </w:tcMar>
          </w:tcPr>
          <w:p w14:paraId="3611940D" w14:textId="77777777" w:rsidR="00B05035" w:rsidRPr="00D23973" w:rsidRDefault="00000000">
            <w:pPr>
              <w:spacing w:after="0" w:line="252" w:lineRule="auto"/>
            </w:pPr>
            <w:r w:rsidRPr="00D23973">
              <w:rPr>
                <w:rFonts w:ascii="Times New Roman" w:hAnsi="Times New Roman"/>
                <w:sz w:val="18"/>
              </w:rPr>
              <w:t>5.3 g/dL</w:t>
            </w:r>
          </w:p>
        </w:tc>
        <w:tc>
          <w:tcPr>
            <w:tcW w:w="1872" w:type="dxa"/>
            <w:shd w:val="clear" w:color="auto" w:fill="F9F9F9"/>
            <w:tcMar>
              <w:top w:w="80" w:type="dxa"/>
              <w:left w:w="100" w:type="dxa"/>
              <w:bottom w:w="80" w:type="dxa"/>
              <w:right w:w="100" w:type="dxa"/>
            </w:tcMar>
          </w:tcPr>
          <w:p w14:paraId="5B699548" w14:textId="77777777" w:rsidR="00B05035" w:rsidRPr="00D23973" w:rsidRDefault="00000000">
            <w:pPr>
              <w:spacing w:after="0" w:line="252" w:lineRule="auto"/>
            </w:pPr>
            <w:r w:rsidRPr="00D23973">
              <w:rPr>
                <w:rFonts w:ascii="Times New Roman" w:hAnsi="Times New Roman"/>
                <w:sz w:val="18"/>
              </w:rPr>
              <w:t>10.2 – 15.2 g/dL</w:t>
            </w:r>
          </w:p>
        </w:tc>
        <w:tc>
          <w:tcPr>
            <w:tcW w:w="1872" w:type="dxa"/>
            <w:shd w:val="clear" w:color="auto" w:fill="F9F9F9"/>
            <w:tcMar>
              <w:top w:w="80" w:type="dxa"/>
              <w:left w:w="100" w:type="dxa"/>
              <w:bottom w:w="80" w:type="dxa"/>
              <w:right w:w="100" w:type="dxa"/>
            </w:tcMar>
          </w:tcPr>
          <w:p w14:paraId="7C90CDD5" w14:textId="77777777" w:rsidR="00B05035" w:rsidRPr="00D23973" w:rsidRDefault="00000000">
            <w:pPr>
              <w:spacing w:after="0" w:line="252" w:lineRule="auto"/>
            </w:pPr>
            <w:r w:rsidRPr="00D23973">
              <w:rPr>
                <w:rFonts w:ascii="Times New Roman" w:hAnsi="Times New Roman"/>
                <w:sz w:val="18"/>
              </w:rPr>
              <w:t>Severe decompensated anemia (Hyperhemolytic crisis)</w:t>
            </w:r>
          </w:p>
        </w:tc>
      </w:tr>
      <w:tr w:rsidR="00B05035" w:rsidRPr="00D23973" w14:paraId="2E54BC40" w14:textId="77777777">
        <w:trPr>
          <w:jc w:val="center"/>
        </w:trPr>
        <w:tc>
          <w:tcPr>
            <w:tcW w:w="1872" w:type="dxa"/>
            <w:tcMar>
              <w:top w:w="80" w:type="dxa"/>
              <w:left w:w="100" w:type="dxa"/>
              <w:bottom w:w="80" w:type="dxa"/>
              <w:right w:w="100" w:type="dxa"/>
            </w:tcMar>
          </w:tcPr>
          <w:p w14:paraId="4EA54B30" w14:textId="77777777" w:rsidR="00B05035" w:rsidRPr="00D23973" w:rsidRDefault="00000000">
            <w:pPr>
              <w:spacing w:after="0" w:line="252" w:lineRule="auto"/>
            </w:pPr>
            <w:r w:rsidRPr="00D23973">
              <w:rPr>
                <w:rFonts w:ascii="Times New Roman" w:hAnsi="Times New Roman"/>
                <w:b/>
                <w:sz w:val="18"/>
              </w:rPr>
              <w:t>RBC Count</w:t>
            </w:r>
          </w:p>
        </w:tc>
        <w:tc>
          <w:tcPr>
            <w:tcW w:w="1872" w:type="dxa"/>
            <w:tcMar>
              <w:top w:w="80" w:type="dxa"/>
              <w:left w:w="100" w:type="dxa"/>
              <w:bottom w:w="80" w:type="dxa"/>
              <w:right w:w="100" w:type="dxa"/>
            </w:tcMar>
          </w:tcPr>
          <w:p w14:paraId="36424482" w14:textId="77777777" w:rsidR="00B05035" w:rsidRPr="00D23973" w:rsidRDefault="00000000">
            <w:pPr>
              <w:spacing w:after="0" w:line="252" w:lineRule="auto"/>
            </w:pPr>
            <w:r w:rsidRPr="00D23973">
              <w:rPr>
                <w:rFonts w:ascii="Times New Roman" w:hAnsi="Times New Roman"/>
                <w:sz w:val="18"/>
              </w:rPr>
              <w:t>Electrical Impedance</w:t>
            </w:r>
          </w:p>
        </w:tc>
        <w:tc>
          <w:tcPr>
            <w:tcW w:w="1872" w:type="dxa"/>
            <w:tcMar>
              <w:top w:w="80" w:type="dxa"/>
              <w:left w:w="100" w:type="dxa"/>
              <w:bottom w:w="80" w:type="dxa"/>
              <w:right w:w="100" w:type="dxa"/>
            </w:tcMar>
          </w:tcPr>
          <w:p w14:paraId="274B016D" w14:textId="77777777" w:rsidR="00B05035" w:rsidRPr="00D23973" w:rsidRDefault="00000000">
            <w:pPr>
              <w:spacing w:after="0" w:line="252" w:lineRule="auto"/>
            </w:pPr>
            <w:r w:rsidRPr="00D23973">
              <w:rPr>
                <w:rFonts w:ascii="Times New Roman" w:hAnsi="Times New Roman"/>
                <w:sz w:val="18"/>
              </w:rPr>
              <w:t>1.70 × 10⁶ /µL</w:t>
            </w:r>
          </w:p>
        </w:tc>
        <w:tc>
          <w:tcPr>
            <w:tcW w:w="1872" w:type="dxa"/>
            <w:tcMar>
              <w:top w:w="80" w:type="dxa"/>
              <w:left w:w="100" w:type="dxa"/>
              <w:bottom w:w="80" w:type="dxa"/>
              <w:right w:w="100" w:type="dxa"/>
            </w:tcMar>
          </w:tcPr>
          <w:p w14:paraId="0382700B" w14:textId="77777777" w:rsidR="00B05035" w:rsidRPr="00D23973" w:rsidRDefault="00000000">
            <w:pPr>
              <w:spacing w:after="0" w:line="252" w:lineRule="auto"/>
            </w:pPr>
            <w:r w:rsidRPr="00D23973">
              <w:rPr>
                <w:rFonts w:ascii="Times New Roman" w:hAnsi="Times New Roman"/>
                <w:sz w:val="18"/>
              </w:rPr>
              <w:t>4.0 – 5.2 × 10⁶ /µL</w:t>
            </w:r>
          </w:p>
        </w:tc>
        <w:tc>
          <w:tcPr>
            <w:tcW w:w="1872" w:type="dxa"/>
            <w:tcMar>
              <w:top w:w="80" w:type="dxa"/>
              <w:left w:w="100" w:type="dxa"/>
              <w:bottom w:w="80" w:type="dxa"/>
              <w:right w:w="100" w:type="dxa"/>
            </w:tcMar>
          </w:tcPr>
          <w:p w14:paraId="3E110760" w14:textId="77777777" w:rsidR="00B05035" w:rsidRPr="00D23973" w:rsidRDefault="00000000">
            <w:pPr>
              <w:spacing w:after="0" w:line="252" w:lineRule="auto"/>
            </w:pPr>
            <w:r w:rsidRPr="00D23973">
              <w:rPr>
                <w:rFonts w:ascii="Times New Roman" w:hAnsi="Times New Roman"/>
                <w:sz w:val="18"/>
              </w:rPr>
              <w:t>Profound erythrocytopenia</w:t>
            </w:r>
          </w:p>
        </w:tc>
      </w:tr>
      <w:tr w:rsidR="00B05035" w:rsidRPr="00D23973" w14:paraId="0951CB61" w14:textId="77777777">
        <w:trPr>
          <w:jc w:val="center"/>
        </w:trPr>
        <w:tc>
          <w:tcPr>
            <w:tcW w:w="1872" w:type="dxa"/>
            <w:shd w:val="clear" w:color="auto" w:fill="F9F9F9"/>
            <w:tcMar>
              <w:top w:w="80" w:type="dxa"/>
              <w:left w:w="100" w:type="dxa"/>
              <w:bottom w:w="80" w:type="dxa"/>
              <w:right w:w="100" w:type="dxa"/>
            </w:tcMar>
          </w:tcPr>
          <w:p w14:paraId="03C6BCF1" w14:textId="77777777" w:rsidR="00B05035" w:rsidRPr="00D23973" w:rsidRDefault="00000000">
            <w:pPr>
              <w:spacing w:after="0" w:line="252" w:lineRule="auto"/>
            </w:pPr>
            <w:r w:rsidRPr="00D23973">
              <w:rPr>
                <w:rFonts w:ascii="Times New Roman" w:hAnsi="Times New Roman"/>
                <w:b/>
                <w:sz w:val="18"/>
              </w:rPr>
              <w:t>Packed Cell Volume (PCV / Hct)</w:t>
            </w:r>
          </w:p>
        </w:tc>
        <w:tc>
          <w:tcPr>
            <w:tcW w:w="1872" w:type="dxa"/>
            <w:shd w:val="clear" w:color="auto" w:fill="F9F9F9"/>
            <w:tcMar>
              <w:top w:w="80" w:type="dxa"/>
              <w:left w:w="100" w:type="dxa"/>
              <w:bottom w:w="80" w:type="dxa"/>
              <w:right w:w="100" w:type="dxa"/>
            </w:tcMar>
          </w:tcPr>
          <w:p w14:paraId="7A4B2D48" w14:textId="77777777" w:rsidR="00B05035" w:rsidRPr="00D23973" w:rsidRDefault="00000000">
            <w:pPr>
              <w:spacing w:after="0" w:line="252" w:lineRule="auto"/>
            </w:pPr>
            <w:r w:rsidRPr="00D23973">
              <w:rPr>
                <w:rFonts w:ascii="Times New Roman" w:hAnsi="Times New Roman"/>
                <w:sz w:val="18"/>
              </w:rPr>
              <w:t>Derived / Automated</w:t>
            </w:r>
          </w:p>
        </w:tc>
        <w:tc>
          <w:tcPr>
            <w:tcW w:w="1872" w:type="dxa"/>
            <w:shd w:val="clear" w:color="auto" w:fill="F9F9F9"/>
            <w:tcMar>
              <w:top w:w="80" w:type="dxa"/>
              <w:left w:w="100" w:type="dxa"/>
              <w:bottom w:w="80" w:type="dxa"/>
              <w:right w:w="100" w:type="dxa"/>
            </w:tcMar>
          </w:tcPr>
          <w:p w14:paraId="31152B27" w14:textId="77777777" w:rsidR="00B05035" w:rsidRPr="00D23973" w:rsidRDefault="00000000">
            <w:pPr>
              <w:spacing w:after="0" w:line="252" w:lineRule="auto"/>
            </w:pPr>
            <w:r w:rsidRPr="00D23973">
              <w:rPr>
                <w:rFonts w:ascii="Times New Roman" w:hAnsi="Times New Roman"/>
                <w:sz w:val="18"/>
              </w:rPr>
              <w:t>15.9 %</w:t>
            </w:r>
          </w:p>
        </w:tc>
        <w:tc>
          <w:tcPr>
            <w:tcW w:w="1872" w:type="dxa"/>
            <w:shd w:val="clear" w:color="auto" w:fill="F9F9F9"/>
            <w:tcMar>
              <w:top w:w="80" w:type="dxa"/>
              <w:left w:w="100" w:type="dxa"/>
              <w:bottom w:w="80" w:type="dxa"/>
              <w:right w:w="100" w:type="dxa"/>
            </w:tcMar>
          </w:tcPr>
          <w:p w14:paraId="142544B9" w14:textId="77777777" w:rsidR="00B05035" w:rsidRPr="00D23973" w:rsidRDefault="00000000">
            <w:pPr>
              <w:spacing w:after="0" w:line="252" w:lineRule="auto"/>
            </w:pPr>
            <w:r w:rsidRPr="00D23973">
              <w:rPr>
                <w:rFonts w:ascii="Times New Roman" w:hAnsi="Times New Roman"/>
                <w:sz w:val="18"/>
              </w:rPr>
              <w:t>40.0 – 54.0 %</w:t>
            </w:r>
          </w:p>
        </w:tc>
        <w:tc>
          <w:tcPr>
            <w:tcW w:w="1872" w:type="dxa"/>
            <w:shd w:val="clear" w:color="auto" w:fill="F9F9F9"/>
            <w:tcMar>
              <w:top w:w="80" w:type="dxa"/>
              <w:left w:w="100" w:type="dxa"/>
              <w:bottom w:w="80" w:type="dxa"/>
              <w:right w:w="100" w:type="dxa"/>
            </w:tcMar>
          </w:tcPr>
          <w:p w14:paraId="74CA209B" w14:textId="77777777" w:rsidR="00B05035" w:rsidRPr="00D23973" w:rsidRDefault="00000000">
            <w:pPr>
              <w:spacing w:after="0" w:line="252" w:lineRule="auto"/>
            </w:pPr>
            <w:r w:rsidRPr="00D23973">
              <w:rPr>
                <w:rFonts w:ascii="Times New Roman" w:hAnsi="Times New Roman"/>
                <w:sz w:val="18"/>
              </w:rPr>
              <w:t>Markedly reduced red cell mass</w:t>
            </w:r>
          </w:p>
        </w:tc>
      </w:tr>
      <w:tr w:rsidR="00B05035" w:rsidRPr="00D23973" w14:paraId="2A7172BF" w14:textId="77777777">
        <w:trPr>
          <w:jc w:val="center"/>
        </w:trPr>
        <w:tc>
          <w:tcPr>
            <w:tcW w:w="1872" w:type="dxa"/>
            <w:tcMar>
              <w:top w:w="80" w:type="dxa"/>
              <w:left w:w="100" w:type="dxa"/>
              <w:bottom w:w="80" w:type="dxa"/>
              <w:right w:w="100" w:type="dxa"/>
            </w:tcMar>
          </w:tcPr>
          <w:p w14:paraId="21F3FF76" w14:textId="77777777" w:rsidR="00B05035" w:rsidRPr="00D23973" w:rsidRDefault="00000000">
            <w:pPr>
              <w:spacing w:after="0" w:line="252" w:lineRule="auto"/>
            </w:pPr>
            <w:r w:rsidRPr="00D23973">
              <w:rPr>
                <w:rFonts w:ascii="Times New Roman" w:hAnsi="Times New Roman"/>
                <w:b/>
                <w:sz w:val="18"/>
              </w:rPr>
              <w:t>Mean Corpuscular Volume (MCV)</w:t>
            </w:r>
          </w:p>
        </w:tc>
        <w:tc>
          <w:tcPr>
            <w:tcW w:w="1872" w:type="dxa"/>
            <w:tcMar>
              <w:top w:w="80" w:type="dxa"/>
              <w:left w:w="100" w:type="dxa"/>
              <w:bottom w:w="80" w:type="dxa"/>
              <w:right w:w="100" w:type="dxa"/>
            </w:tcMar>
          </w:tcPr>
          <w:p w14:paraId="289C26B0" w14:textId="77777777" w:rsidR="00B05035" w:rsidRPr="00D23973" w:rsidRDefault="00000000">
            <w:pPr>
              <w:spacing w:after="0" w:line="252" w:lineRule="auto"/>
            </w:pPr>
            <w:r w:rsidRPr="00D23973">
              <w:rPr>
                <w:rFonts w:ascii="Times New Roman" w:hAnsi="Times New Roman"/>
                <w:sz w:val="18"/>
              </w:rPr>
              <w:t>Derived</w:t>
            </w:r>
          </w:p>
        </w:tc>
        <w:tc>
          <w:tcPr>
            <w:tcW w:w="1872" w:type="dxa"/>
            <w:tcMar>
              <w:top w:w="80" w:type="dxa"/>
              <w:left w:w="100" w:type="dxa"/>
              <w:bottom w:w="80" w:type="dxa"/>
              <w:right w:w="100" w:type="dxa"/>
            </w:tcMar>
          </w:tcPr>
          <w:p w14:paraId="0984F918" w14:textId="77777777" w:rsidR="00B05035" w:rsidRPr="00D23973" w:rsidRDefault="00000000">
            <w:pPr>
              <w:spacing w:after="0" w:line="252" w:lineRule="auto"/>
            </w:pPr>
            <w:r w:rsidRPr="00D23973">
              <w:rPr>
                <w:rFonts w:ascii="Times New Roman" w:hAnsi="Times New Roman"/>
                <w:sz w:val="18"/>
              </w:rPr>
              <w:t>104.6 fL</w:t>
            </w:r>
          </w:p>
        </w:tc>
        <w:tc>
          <w:tcPr>
            <w:tcW w:w="1872" w:type="dxa"/>
            <w:tcMar>
              <w:top w:w="80" w:type="dxa"/>
              <w:left w:w="100" w:type="dxa"/>
              <w:bottom w:w="80" w:type="dxa"/>
              <w:right w:w="100" w:type="dxa"/>
            </w:tcMar>
          </w:tcPr>
          <w:p w14:paraId="4D54C850" w14:textId="77777777" w:rsidR="00B05035" w:rsidRPr="00D23973" w:rsidRDefault="00000000">
            <w:pPr>
              <w:spacing w:after="0" w:line="252" w:lineRule="auto"/>
            </w:pPr>
            <w:r w:rsidRPr="00D23973">
              <w:rPr>
                <w:rFonts w:ascii="Times New Roman" w:hAnsi="Times New Roman"/>
                <w:sz w:val="18"/>
              </w:rPr>
              <w:t>78.0 – 94.0 fL</w:t>
            </w:r>
          </w:p>
        </w:tc>
        <w:tc>
          <w:tcPr>
            <w:tcW w:w="1872" w:type="dxa"/>
            <w:tcMar>
              <w:top w:w="80" w:type="dxa"/>
              <w:left w:w="100" w:type="dxa"/>
              <w:bottom w:w="80" w:type="dxa"/>
              <w:right w:w="100" w:type="dxa"/>
            </w:tcMar>
          </w:tcPr>
          <w:p w14:paraId="4895808D" w14:textId="77777777" w:rsidR="00B05035" w:rsidRPr="00D23973" w:rsidRDefault="00000000">
            <w:pPr>
              <w:spacing w:after="0" w:line="252" w:lineRule="auto"/>
            </w:pPr>
            <w:r w:rsidRPr="00D23973">
              <w:rPr>
                <w:rFonts w:ascii="Times New Roman" w:hAnsi="Times New Roman"/>
                <w:sz w:val="18"/>
              </w:rPr>
              <w:t>Macrocytosis (Prominent reticulocytosis response)</w:t>
            </w:r>
          </w:p>
        </w:tc>
      </w:tr>
      <w:tr w:rsidR="00B05035" w:rsidRPr="00D23973" w14:paraId="5635BBBD" w14:textId="77777777">
        <w:trPr>
          <w:jc w:val="center"/>
        </w:trPr>
        <w:tc>
          <w:tcPr>
            <w:tcW w:w="1872" w:type="dxa"/>
            <w:shd w:val="clear" w:color="auto" w:fill="F9F9F9"/>
            <w:tcMar>
              <w:top w:w="80" w:type="dxa"/>
              <w:left w:w="100" w:type="dxa"/>
              <w:bottom w:w="80" w:type="dxa"/>
              <w:right w:w="100" w:type="dxa"/>
            </w:tcMar>
          </w:tcPr>
          <w:p w14:paraId="5D4BD4D7" w14:textId="77777777" w:rsidR="00B05035" w:rsidRPr="00D23973" w:rsidRDefault="00000000">
            <w:pPr>
              <w:spacing w:after="0" w:line="252" w:lineRule="auto"/>
            </w:pPr>
            <w:r w:rsidRPr="00D23973">
              <w:rPr>
                <w:rFonts w:ascii="Times New Roman" w:hAnsi="Times New Roman"/>
                <w:b/>
                <w:sz w:val="18"/>
              </w:rPr>
              <w:t>Mean Corpuscular Hemoglobin (MCH)</w:t>
            </w:r>
          </w:p>
        </w:tc>
        <w:tc>
          <w:tcPr>
            <w:tcW w:w="1872" w:type="dxa"/>
            <w:shd w:val="clear" w:color="auto" w:fill="F9F9F9"/>
            <w:tcMar>
              <w:top w:w="80" w:type="dxa"/>
              <w:left w:w="100" w:type="dxa"/>
              <w:bottom w:w="80" w:type="dxa"/>
              <w:right w:w="100" w:type="dxa"/>
            </w:tcMar>
          </w:tcPr>
          <w:p w14:paraId="41311293" w14:textId="77777777" w:rsidR="00B05035" w:rsidRPr="00D23973" w:rsidRDefault="00000000">
            <w:pPr>
              <w:spacing w:after="0" w:line="252" w:lineRule="auto"/>
            </w:pPr>
            <w:r w:rsidRPr="00D23973">
              <w:rPr>
                <w:rFonts w:ascii="Times New Roman" w:hAnsi="Times New Roman"/>
                <w:sz w:val="18"/>
              </w:rPr>
              <w:t>Derived</w:t>
            </w:r>
          </w:p>
        </w:tc>
        <w:tc>
          <w:tcPr>
            <w:tcW w:w="1872" w:type="dxa"/>
            <w:shd w:val="clear" w:color="auto" w:fill="F9F9F9"/>
            <w:tcMar>
              <w:top w:w="80" w:type="dxa"/>
              <w:left w:w="100" w:type="dxa"/>
              <w:bottom w:w="80" w:type="dxa"/>
              <w:right w:w="100" w:type="dxa"/>
            </w:tcMar>
          </w:tcPr>
          <w:p w14:paraId="12A25C69" w14:textId="77777777" w:rsidR="00B05035" w:rsidRPr="00D23973" w:rsidRDefault="00000000">
            <w:pPr>
              <w:spacing w:after="0" w:line="252" w:lineRule="auto"/>
            </w:pPr>
            <w:r w:rsidRPr="00D23973">
              <w:rPr>
                <w:rFonts w:ascii="Times New Roman" w:hAnsi="Times New Roman"/>
                <w:sz w:val="18"/>
              </w:rPr>
              <w:t>31.4 pg</w:t>
            </w:r>
          </w:p>
        </w:tc>
        <w:tc>
          <w:tcPr>
            <w:tcW w:w="1872" w:type="dxa"/>
            <w:shd w:val="clear" w:color="auto" w:fill="F9F9F9"/>
            <w:tcMar>
              <w:top w:w="80" w:type="dxa"/>
              <w:left w:w="100" w:type="dxa"/>
              <w:bottom w:w="80" w:type="dxa"/>
              <w:right w:w="100" w:type="dxa"/>
            </w:tcMar>
          </w:tcPr>
          <w:p w14:paraId="79BFD4CC" w14:textId="77777777" w:rsidR="00B05035" w:rsidRPr="00D23973" w:rsidRDefault="00000000">
            <w:pPr>
              <w:spacing w:after="0" w:line="252" w:lineRule="auto"/>
            </w:pPr>
            <w:r w:rsidRPr="00D23973">
              <w:rPr>
                <w:rFonts w:ascii="Times New Roman" w:hAnsi="Times New Roman"/>
                <w:sz w:val="18"/>
              </w:rPr>
              <w:t>23.0 – 31.0 pg</w:t>
            </w:r>
          </w:p>
        </w:tc>
        <w:tc>
          <w:tcPr>
            <w:tcW w:w="1872" w:type="dxa"/>
            <w:shd w:val="clear" w:color="auto" w:fill="F9F9F9"/>
            <w:tcMar>
              <w:top w:w="80" w:type="dxa"/>
              <w:left w:w="100" w:type="dxa"/>
              <w:bottom w:w="80" w:type="dxa"/>
              <w:right w:w="100" w:type="dxa"/>
            </w:tcMar>
          </w:tcPr>
          <w:p w14:paraId="4F53A034" w14:textId="77777777" w:rsidR="00B05035" w:rsidRPr="00D23973" w:rsidRDefault="00000000">
            <w:pPr>
              <w:spacing w:after="0" w:line="252" w:lineRule="auto"/>
            </w:pPr>
            <w:r w:rsidRPr="00D23973">
              <w:rPr>
                <w:rFonts w:ascii="Times New Roman" w:hAnsi="Times New Roman"/>
                <w:sz w:val="18"/>
              </w:rPr>
              <w:t>Upper normal limit</w:t>
            </w:r>
          </w:p>
        </w:tc>
      </w:tr>
      <w:tr w:rsidR="00B05035" w:rsidRPr="00D23973" w14:paraId="4E581BF9" w14:textId="77777777">
        <w:trPr>
          <w:jc w:val="center"/>
        </w:trPr>
        <w:tc>
          <w:tcPr>
            <w:tcW w:w="1872" w:type="dxa"/>
            <w:tcMar>
              <w:top w:w="80" w:type="dxa"/>
              <w:left w:w="100" w:type="dxa"/>
              <w:bottom w:w="80" w:type="dxa"/>
              <w:right w:w="100" w:type="dxa"/>
            </w:tcMar>
          </w:tcPr>
          <w:p w14:paraId="66701B1F" w14:textId="77777777" w:rsidR="00B05035" w:rsidRPr="00D23973" w:rsidRDefault="00000000">
            <w:pPr>
              <w:spacing w:after="0" w:line="252" w:lineRule="auto"/>
            </w:pPr>
            <w:r w:rsidRPr="00D23973">
              <w:rPr>
                <w:rFonts w:ascii="Times New Roman" w:hAnsi="Times New Roman"/>
                <w:b/>
                <w:sz w:val="18"/>
              </w:rPr>
              <w:t>Mean Corpuscular Hb Conc. (MCHC)</w:t>
            </w:r>
          </w:p>
        </w:tc>
        <w:tc>
          <w:tcPr>
            <w:tcW w:w="1872" w:type="dxa"/>
            <w:tcMar>
              <w:top w:w="80" w:type="dxa"/>
              <w:left w:w="100" w:type="dxa"/>
              <w:bottom w:w="80" w:type="dxa"/>
              <w:right w:w="100" w:type="dxa"/>
            </w:tcMar>
          </w:tcPr>
          <w:p w14:paraId="75CD6FD1" w14:textId="77777777" w:rsidR="00B05035" w:rsidRPr="00D23973" w:rsidRDefault="00000000">
            <w:pPr>
              <w:spacing w:after="0" w:line="252" w:lineRule="auto"/>
            </w:pPr>
            <w:r w:rsidRPr="00D23973">
              <w:rPr>
                <w:rFonts w:ascii="Times New Roman" w:hAnsi="Times New Roman"/>
                <w:sz w:val="18"/>
              </w:rPr>
              <w:t>Derived</w:t>
            </w:r>
          </w:p>
        </w:tc>
        <w:tc>
          <w:tcPr>
            <w:tcW w:w="1872" w:type="dxa"/>
            <w:tcMar>
              <w:top w:w="80" w:type="dxa"/>
              <w:left w:w="100" w:type="dxa"/>
              <w:bottom w:w="80" w:type="dxa"/>
              <w:right w:w="100" w:type="dxa"/>
            </w:tcMar>
          </w:tcPr>
          <w:p w14:paraId="654792EB" w14:textId="77777777" w:rsidR="00B05035" w:rsidRPr="00D23973" w:rsidRDefault="00000000">
            <w:pPr>
              <w:spacing w:after="0" w:line="252" w:lineRule="auto"/>
            </w:pPr>
            <w:r w:rsidRPr="00D23973">
              <w:rPr>
                <w:rFonts w:ascii="Times New Roman" w:hAnsi="Times New Roman"/>
                <w:sz w:val="18"/>
              </w:rPr>
              <w:t>29.9 g/dL</w:t>
            </w:r>
          </w:p>
        </w:tc>
        <w:tc>
          <w:tcPr>
            <w:tcW w:w="1872" w:type="dxa"/>
            <w:tcMar>
              <w:top w:w="80" w:type="dxa"/>
              <w:left w:w="100" w:type="dxa"/>
              <w:bottom w:w="80" w:type="dxa"/>
              <w:right w:w="100" w:type="dxa"/>
            </w:tcMar>
          </w:tcPr>
          <w:p w14:paraId="05DC3417" w14:textId="77777777" w:rsidR="00B05035" w:rsidRPr="00D23973" w:rsidRDefault="00000000">
            <w:pPr>
              <w:spacing w:after="0" w:line="252" w:lineRule="auto"/>
            </w:pPr>
            <w:r w:rsidRPr="00D23973">
              <w:rPr>
                <w:rFonts w:ascii="Times New Roman" w:hAnsi="Times New Roman"/>
                <w:sz w:val="18"/>
              </w:rPr>
              <w:t>32.0 – 36.0 g/dL</w:t>
            </w:r>
          </w:p>
        </w:tc>
        <w:tc>
          <w:tcPr>
            <w:tcW w:w="1872" w:type="dxa"/>
            <w:tcMar>
              <w:top w:w="80" w:type="dxa"/>
              <w:left w:w="100" w:type="dxa"/>
              <w:bottom w:w="80" w:type="dxa"/>
              <w:right w:w="100" w:type="dxa"/>
            </w:tcMar>
          </w:tcPr>
          <w:p w14:paraId="6BC70D5A" w14:textId="77777777" w:rsidR="00B05035" w:rsidRPr="00D23973" w:rsidRDefault="00000000">
            <w:pPr>
              <w:spacing w:after="0" w:line="252" w:lineRule="auto"/>
            </w:pPr>
            <w:r w:rsidRPr="00D23973">
              <w:rPr>
                <w:rFonts w:ascii="Times New Roman" w:hAnsi="Times New Roman"/>
                <w:sz w:val="18"/>
              </w:rPr>
              <w:t>Low-normal cellular hydration index</w:t>
            </w:r>
          </w:p>
        </w:tc>
      </w:tr>
      <w:tr w:rsidR="00B05035" w:rsidRPr="00D23973" w14:paraId="351978EA" w14:textId="77777777">
        <w:trPr>
          <w:jc w:val="center"/>
        </w:trPr>
        <w:tc>
          <w:tcPr>
            <w:tcW w:w="1872" w:type="dxa"/>
            <w:shd w:val="clear" w:color="auto" w:fill="F9F9F9"/>
            <w:tcMar>
              <w:top w:w="80" w:type="dxa"/>
              <w:left w:w="100" w:type="dxa"/>
              <w:bottom w:w="80" w:type="dxa"/>
              <w:right w:w="100" w:type="dxa"/>
            </w:tcMar>
          </w:tcPr>
          <w:p w14:paraId="2535F70D" w14:textId="77777777" w:rsidR="00B05035" w:rsidRPr="00D23973" w:rsidRDefault="00000000">
            <w:pPr>
              <w:spacing w:after="0" w:line="252" w:lineRule="auto"/>
            </w:pPr>
            <w:r w:rsidRPr="00D23973">
              <w:rPr>
                <w:rFonts w:ascii="Times New Roman" w:hAnsi="Times New Roman"/>
                <w:b/>
                <w:sz w:val="18"/>
              </w:rPr>
              <w:t>Red Cell Distribution Width (RDW-CV)</w:t>
            </w:r>
          </w:p>
        </w:tc>
        <w:tc>
          <w:tcPr>
            <w:tcW w:w="1872" w:type="dxa"/>
            <w:shd w:val="clear" w:color="auto" w:fill="F9F9F9"/>
            <w:tcMar>
              <w:top w:w="80" w:type="dxa"/>
              <w:left w:w="100" w:type="dxa"/>
              <w:bottom w:w="80" w:type="dxa"/>
              <w:right w:w="100" w:type="dxa"/>
            </w:tcMar>
          </w:tcPr>
          <w:p w14:paraId="22536E2A" w14:textId="77777777" w:rsidR="00B05035" w:rsidRPr="00D23973" w:rsidRDefault="00000000">
            <w:pPr>
              <w:spacing w:after="0" w:line="252" w:lineRule="auto"/>
            </w:pPr>
            <w:r w:rsidRPr="00D23973">
              <w:rPr>
                <w:rFonts w:ascii="Times New Roman" w:hAnsi="Times New Roman"/>
                <w:sz w:val="18"/>
              </w:rPr>
              <w:t>Fluorescent Flow Cytometry</w:t>
            </w:r>
          </w:p>
        </w:tc>
        <w:tc>
          <w:tcPr>
            <w:tcW w:w="1872" w:type="dxa"/>
            <w:shd w:val="clear" w:color="auto" w:fill="F9F9F9"/>
            <w:tcMar>
              <w:top w:w="80" w:type="dxa"/>
              <w:left w:w="100" w:type="dxa"/>
              <w:bottom w:w="80" w:type="dxa"/>
              <w:right w:w="100" w:type="dxa"/>
            </w:tcMar>
          </w:tcPr>
          <w:p w14:paraId="75B5FCD3" w14:textId="77777777" w:rsidR="00B05035" w:rsidRPr="00D23973" w:rsidRDefault="00000000">
            <w:pPr>
              <w:spacing w:after="0" w:line="252" w:lineRule="auto"/>
            </w:pPr>
            <w:r w:rsidRPr="00D23973">
              <w:rPr>
                <w:rFonts w:ascii="Times New Roman" w:hAnsi="Times New Roman"/>
                <w:sz w:val="18"/>
              </w:rPr>
              <w:t>23.0 %</w:t>
            </w:r>
          </w:p>
        </w:tc>
        <w:tc>
          <w:tcPr>
            <w:tcW w:w="1872" w:type="dxa"/>
            <w:shd w:val="clear" w:color="auto" w:fill="F9F9F9"/>
            <w:tcMar>
              <w:top w:w="80" w:type="dxa"/>
              <w:left w:w="100" w:type="dxa"/>
              <w:bottom w:w="80" w:type="dxa"/>
              <w:right w:w="100" w:type="dxa"/>
            </w:tcMar>
          </w:tcPr>
          <w:p w14:paraId="61B11400" w14:textId="77777777" w:rsidR="00B05035" w:rsidRPr="00D23973" w:rsidRDefault="00000000">
            <w:pPr>
              <w:spacing w:after="0" w:line="252" w:lineRule="auto"/>
            </w:pPr>
            <w:r w:rsidRPr="00D23973">
              <w:rPr>
                <w:rFonts w:ascii="Times New Roman" w:hAnsi="Times New Roman"/>
                <w:sz w:val="18"/>
              </w:rPr>
              <w:t>11.0 – 15.0 %</w:t>
            </w:r>
          </w:p>
        </w:tc>
        <w:tc>
          <w:tcPr>
            <w:tcW w:w="1872" w:type="dxa"/>
            <w:shd w:val="clear" w:color="auto" w:fill="F9F9F9"/>
            <w:tcMar>
              <w:top w:w="80" w:type="dxa"/>
              <w:left w:w="100" w:type="dxa"/>
              <w:bottom w:w="80" w:type="dxa"/>
              <w:right w:w="100" w:type="dxa"/>
            </w:tcMar>
          </w:tcPr>
          <w:p w14:paraId="61592CD3" w14:textId="77777777" w:rsidR="00B05035" w:rsidRPr="00D23973" w:rsidRDefault="00000000">
            <w:pPr>
              <w:spacing w:after="0" w:line="252" w:lineRule="auto"/>
            </w:pPr>
            <w:r w:rsidRPr="00D23973">
              <w:rPr>
                <w:rFonts w:ascii="Times New Roman" w:hAnsi="Times New Roman"/>
                <w:sz w:val="18"/>
              </w:rPr>
              <w:t>Marked anisocytosis &amp; dimorphic red cell population</w:t>
            </w:r>
          </w:p>
        </w:tc>
      </w:tr>
      <w:tr w:rsidR="00B05035" w:rsidRPr="00D23973" w14:paraId="5539D167" w14:textId="77777777">
        <w:trPr>
          <w:jc w:val="center"/>
        </w:trPr>
        <w:tc>
          <w:tcPr>
            <w:tcW w:w="1872" w:type="dxa"/>
            <w:tcMar>
              <w:top w:w="80" w:type="dxa"/>
              <w:left w:w="100" w:type="dxa"/>
              <w:bottom w:w="80" w:type="dxa"/>
              <w:right w:w="100" w:type="dxa"/>
            </w:tcMar>
          </w:tcPr>
          <w:p w14:paraId="2D406FD1" w14:textId="77777777" w:rsidR="00B05035" w:rsidRPr="00D23973" w:rsidRDefault="00000000">
            <w:pPr>
              <w:spacing w:after="0" w:line="252" w:lineRule="auto"/>
            </w:pPr>
            <w:r w:rsidRPr="00D23973">
              <w:rPr>
                <w:rFonts w:ascii="Times New Roman" w:hAnsi="Times New Roman"/>
                <w:b/>
                <w:sz w:val="18"/>
              </w:rPr>
              <w:t>Total Leukocyte Count (TLC)</w:t>
            </w:r>
          </w:p>
        </w:tc>
        <w:tc>
          <w:tcPr>
            <w:tcW w:w="1872" w:type="dxa"/>
            <w:tcMar>
              <w:top w:w="80" w:type="dxa"/>
              <w:left w:w="100" w:type="dxa"/>
              <w:bottom w:w="80" w:type="dxa"/>
              <w:right w:w="100" w:type="dxa"/>
            </w:tcMar>
          </w:tcPr>
          <w:p w14:paraId="1C0E715B" w14:textId="77777777" w:rsidR="00B05035" w:rsidRPr="00D23973" w:rsidRDefault="00000000">
            <w:pPr>
              <w:spacing w:after="0" w:line="252" w:lineRule="auto"/>
            </w:pPr>
            <w:r w:rsidRPr="00D23973">
              <w:rPr>
                <w:rFonts w:ascii="Times New Roman" w:hAnsi="Times New Roman"/>
                <w:sz w:val="18"/>
              </w:rPr>
              <w:t>Fluorescent Flow Cytometry</w:t>
            </w:r>
          </w:p>
        </w:tc>
        <w:tc>
          <w:tcPr>
            <w:tcW w:w="1872" w:type="dxa"/>
            <w:tcMar>
              <w:top w:w="80" w:type="dxa"/>
              <w:left w:w="100" w:type="dxa"/>
              <w:bottom w:w="80" w:type="dxa"/>
              <w:right w:w="100" w:type="dxa"/>
            </w:tcMar>
          </w:tcPr>
          <w:p w14:paraId="711F6E06" w14:textId="77777777" w:rsidR="00B05035" w:rsidRPr="00D23973" w:rsidRDefault="00000000">
            <w:pPr>
              <w:spacing w:after="0" w:line="252" w:lineRule="auto"/>
            </w:pPr>
            <w:r w:rsidRPr="00D23973">
              <w:rPr>
                <w:rFonts w:ascii="Times New Roman" w:hAnsi="Times New Roman"/>
                <w:sz w:val="18"/>
              </w:rPr>
              <w:t>8,530 /µL</w:t>
            </w:r>
          </w:p>
        </w:tc>
        <w:tc>
          <w:tcPr>
            <w:tcW w:w="1872" w:type="dxa"/>
            <w:tcMar>
              <w:top w:w="80" w:type="dxa"/>
              <w:left w:w="100" w:type="dxa"/>
              <w:bottom w:w="80" w:type="dxa"/>
              <w:right w:w="100" w:type="dxa"/>
            </w:tcMar>
          </w:tcPr>
          <w:p w14:paraId="5DCCBE56" w14:textId="77777777" w:rsidR="00B05035" w:rsidRPr="00D23973" w:rsidRDefault="00000000">
            <w:pPr>
              <w:spacing w:after="0" w:line="252" w:lineRule="auto"/>
            </w:pPr>
            <w:r w:rsidRPr="00D23973">
              <w:rPr>
                <w:rFonts w:ascii="Times New Roman" w:hAnsi="Times New Roman"/>
                <w:sz w:val="18"/>
              </w:rPr>
              <w:t>4,000 – 11,000 /µL</w:t>
            </w:r>
          </w:p>
        </w:tc>
        <w:tc>
          <w:tcPr>
            <w:tcW w:w="1872" w:type="dxa"/>
            <w:tcMar>
              <w:top w:w="80" w:type="dxa"/>
              <w:left w:w="100" w:type="dxa"/>
              <w:bottom w:w="80" w:type="dxa"/>
              <w:right w:w="100" w:type="dxa"/>
            </w:tcMar>
          </w:tcPr>
          <w:p w14:paraId="12AEC149" w14:textId="77777777" w:rsidR="00B05035" w:rsidRPr="00D23973" w:rsidRDefault="00000000">
            <w:pPr>
              <w:spacing w:after="0" w:line="252" w:lineRule="auto"/>
            </w:pPr>
            <w:r w:rsidRPr="00D23973">
              <w:rPr>
                <w:rFonts w:ascii="Times New Roman" w:hAnsi="Times New Roman"/>
                <w:sz w:val="18"/>
              </w:rPr>
              <w:t>Normal total white blood cell count</w:t>
            </w:r>
          </w:p>
        </w:tc>
      </w:tr>
      <w:tr w:rsidR="00B05035" w:rsidRPr="00D23973" w14:paraId="2E8732B7" w14:textId="77777777">
        <w:trPr>
          <w:jc w:val="center"/>
        </w:trPr>
        <w:tc>
          <w:tcPr>
            <w:tcW w:w="1872" w:type="dxa"/>
            <w:shd w:val="clear" w:color="auto" w:fill="F9F9F9"/>
            <w:tcMar>
              <w:top w:w="80" w:type="dxa"/>
              <w:left w:w="100" w:type="dxa"/>
              <w:bottom w:w="80" w:type="dxa"/>
              <w:right w:w="100" w:type="dxa"/>
            </w:tcMar>
          </w:tcPr>
          <w:p w14:paraId="26234BFD" w14:textId="77777777" w:rsidR="00B05035" w:rsidRPr="00D23973" w:rsidRDefault="00000000">
            <w:pPr>
              <w:spacing w:after="0" w:line="252" w:lineRule="auto"/>
            </w:pPr>
            <w:r w:rsidRPr="00D23973">
              <w:rPr>
                <w:rFonts w:ascii="Times New Roman" w:hAnsi="Times New Roman"/>
                <w:b/>
                <w:sz w:val="18"/>
              </w:rPr>
              <w:t>Neutrophils</w:t>
            </w:r>
          </w:p>
        </w:tc>
        <w:tc>
          <w:tcPr>
            <w:tcW w:w="1872" w:type="dxa"/>
            <w:shd w:val="clear" w:color="auto" w:fill="F9F9F9"/>
            <w:tcMar>
              <w:top w:w="80" w:type="dxa"/>
              <w:left w:w="100" w:type="dxa"/>
              <w:bottom w:w="80" w:type="dxa"/>
              <w:right w:w="100" w:type="dxa"/>
            </w:tcMar>
          </w:tcPr>
          <w:p w14:paraId="3326EE25" w14:textId="77777777" w:rsidR="00B05035" w:rsidRPr="00D23973" w:rsidRDefault="00000000">
            <w:pPr>
              <w:spacing w:after="0" w:line="252" w:lineRule="auto"/>
            </w:pPr>
            <w:r w:rsidRPr="00D23973">
              <w:rPr>
                <w:rFonts w:ascii="Times New Roman" w:hAnsi="Times New Roman"/>
                <w:sz w:val="18"/>
              </w:rPr>
              <w:t>Differential Count</w:t>
            </w:r>
          </w:p>
        </w:tc>
        <w:tc>
          <w:tcPr>
            <w:tcW w:w="1872" w:type="dxa"/>
            <w:shd w:val="clear" w:color="auto" w:fill="F9F9F9"/>
            <w:tcMar>
              <w:top w:w="80" w:type="dxa"/>
              <w:left w:w="100" w:type="dxa"/>
              <w:bottom w:w="80" w:type="dxa"/>
              <w:right w:w="100" w:type="dxa"/>
            </w:tcMar>
          </w:tcPr>
          <w:p w14:paraId="778AD4FC" w14:textId="77777777" w:rsidR="00B05035" w:rsidRPr="00D23973" w:rsidRDefault="00000000">
            <w:pPr>
              <w:spacing w:after="0" w:line="252" w:lineRule="auto"/>
            </w:pPr>
            <w:r w:rsidRPr="00D23973">
              <w:rPr>
                <w:rFonts w:ascii="Times New Roman" w:hAnsi="Times New Roman"/>
                <w:sz w:val="18"/>
              </w:rPr>
              <w:t>61 %</w:t>
            </w:r>
          </w:p>
        </w:tc>
        <w:tc>
          <w:tcPr>
            <w:tcW w:w="1872" w:type="dxa"/>
            <w:shd w:val="clear" w:color="auto" w:fill="F9F9F9"/>
            <w:tcMar>
              <w:top w:w="80" w:type="dxa"/>
              <w:left w:w="100" w:type="dxa"/>
              <w:bottom w:w="80" w:type="dxa"/>
              <w:right w:w="100" w:type="dxa"/>
            </w:tcMar>
          </w:tcPr>
          <w:p w14:paraId="2419B5B2" w14:textId="77777777" w:rsidR="00B05035" w:rsidRPr="00D23973" w:rsidRDefault="00000000">
            <w:pPr>
              <w:spacing w:after="0" w:line="252" w:lineRule="auto"/>
            </w:pPr>
            <w:r w:rsidRPr="00D23973">
              <w:rPr>
                <w:rFonts w:ascii="Times New Roman" w:hAnsi="Times New Roman"/>
                <w:sz w:val="18"/>
              </w:rPr>
              <w:t>23 – 56 %</w:t>
            </w:r>
          </w:p>
        </w:tc>
        <w:tc>
          <w:tcPr>
            <w:tcW w:w="1872" w:type="dxa"/>
            <w:shd w:val="clear" w:color="auto" w:fill="F9F9F9"/>
            <w:tcMar>
              <w:top w:w="80" w:type="dxa"/>
              <w:left w:w="100" w:type="dxa"/>
              <w:bottom w:w="80" w:type="dxa"/>
              <w:right w:w="100" w:type="dxa"/>
            </w:tcMar>
          </w:tcPr>
          <w:p w14:paraId="095C21BE" w14:textId="77777777" w:rsidR="00B05035" w:rsidRPr="00D23973" w:rsidRDefault="00000000">
            <w:pPr>
              <w:spacing w:after="0" w:line="252" w:lineRule="auto"/>
            </w:pPr>
            <w:r w:rsidRPr="00D23973">
              <w:rPr>
                <w:rFonts w:ascii="Times New Roman" w:hAnsi="Times New Roman"/>
                <w:sz w:val="18"/>
              </w:rPr>
              <w:t>Mild neutrophilia / reactive inflammatory shift</w:t>
            </w:r>
          </w:p>
        </w:tc>
      </w:tr>
      <w:tr w:rsidR="00B05035" w:rsidRPr="00D23973" w14:paraId="3B3668BF" w14:textId="77777777">
        <w:trPr>
          <w:jc w:val="center"/>
        </w:trPr>
        <w:tc>
          <w:tcPr>
            <w:tcW w:w="1872" w:type="dxa"/>
            <w:tcMar>
              <w:top w:w="80" w:type="dxa"/>
              <w:left w:w="100" w:type="dxa"/>
              <w:bottom w:w="80" w:type="dxa"/>
              <w:right w:w="100" w:type="dxa"/>
            </w:tcMar>
          </w:tcPr>
          <w:p w14:paraId="13B17545" w14:textId="77777777" w:rsidR="00B05035" w:rsidRPr="00D23973" w:rsidRDefault="00000000">
            <w:pPr>
              <w:spacing w:after="0" w:line="252" w:lineRule="auto"/>
            </w:pPr>
            <w:r w:rsidRPr="00D23973">
              <w:rPr>
                <w:rFonts w:ascii="Times New Roman" w:hAnsi="Times New Roman"/>
                <w:b/>
                <w:sz w:val="18"/>
              </w:rPr>
              <w:t>Lymphocytes</w:t>
            </w:r>
          </w:p>
        </w:tc>
        <w:tc>
          <w:tcPr>
            <w:tcW w:w="1872" w:type="dxa"/>
            <w:tcMar>
              <w:top w:w="80" w:type="dxa"/>
              <w:left w:w="100" w:type="dxa"/>
              <w:bottom w:w="80" w:type="dxa"/>
              <w:right w:w="100" w:type="dxa"/>
            </w:tcMar>
          </w:tcPr>
          <w:p w14:paraId="19EC82EE" w14:textId="77777777" w:rsidR="00B05035" w:rsidRPr="00D23973" w:rsidRDefault="00000000">
            <w:pPr>
              <w:spacing w:after="0" w:line="252" w:lineRule="auto"/>
            </w:pPr>
            <w:r w:rsidRPr="00D23973">
              <w:rPr>
                <w:rFonts w:ascii="Times New Roman" w:hAnsi="Times New Roman"/>
                <w:sz w:val="18"/>
              </w:rPr>
              <w:t>Differential Count</w:t>
            </w:r>
          </w:p>
        </w:tc>
        <w:tc>
          <w:tcPr>
            <w:tcW w:w="1872" w:type="dxa"/>
            <w:tcMar>
              <w:top w:w="80" w:type="dxa"/>
              <w:left w:w="100" w:type="dxa"/>
              <w:bottom w:w="80" w:type="dxa"/>
              <w:right w:w="100" w:type="dxa"/>
            </w:tcMar>
          </w:tcPr>
          <w:p w14:paraId="2167940B" w14:textId="77777777" w:rsidR="00B05035" w:rsidRPr="00D23973" w:rsidRDefault="00000000">
            <w:pPr>
              <w:spacing w:after="0" w:line="252" w:lineRule="auto"/>
            </w:pPr>
            <w:r w:rsidRPr="00D23973">
              <w:rPr>
                <w:rFonts w:ascii="Times New Roman" w:hAnsi="Times New Roman"/>
                <w:sz w:val="18"/>
              </w:rPr>
              <w:t>31 %</w:t>
            </w:r>
          </w:p>
        </w:tc>
        <w:tc>
          <w:tcPr>
            <w:tcW w:w="1872" w:type="dxa"/>
            <w:tcMar>
              <w:top w:w="80" w:type="dxa"/>
              <w:left w:w="100" w:type="dxa"/>
              <w:bottom w:w="80" w:type="dxa"/>
              <w:right w:w="100" w:type="dxa"/>
            </w:tcMar>
          </w:tcPr>
          <w:p w14:paraId="1DA72A96" w14:textId="77777777" w:rsidR="00B05035" w:rsidRPr="00D23973" w:rsidRDefault="00000000">
            <w:pPr>
              <w:spacing w:after="0" w:line="252" w:lineRule="auto"/>
            </w:pPr>
            <w:r w:rsidRPr="00D23973">
              <w:rPr>
                <w:rFonts w:ascii="Times New Roman" w:hAnsi="Times New Roman"/>
                <w:sz w:val="18"/>
              </w:rPr>
              <w:t>20 – 45 %</w:t>
            </w:r>
          </w:p>
        </w:tc>
        <w:tc>
          <w:tcPr>
            <w:tcW w:w="1872" w:type="dxa"/>
            <w:tcMar>
              <w:top w:w="80" w:type="dxa"/>
              <w:left w:w="100" w:type="dxa"/>
              <w:bottom w:w="80" w:type="dxa"/>
              <w:right w:w="100" w:type="dxa"/>
            </w:tcMar>
          </w:tcPr>
          <w:p w14:paraId="31198600" w14:textId="77777777" w:rsidR="00B05035" w:rsidRPr="00D23973" w:rsidRDefault="00000000">
            <w:pPr>
              <w:spacing w:after="0" w:line="252" w:lineRule="auto"/>
            </w:pPr>
            <w:r w:rsidRPr="00D23973">
              <w:rPr>
                <w:rFonts w:ascii="Times New Roman" w:hAnsi="Times New Roman"/>
                <w:sz w:val="18"/>
              </w:rPr>
              <w:t>Within normal pediatric limits</w:t>
            </w:r>
          </w:p>
        </w:tc>
      </w:tr>
      <w:tr w:rsidR="00B05035" w:rsidRPr="00D23973" w14:paraId="22947C25" w14:textId="77777777">
        <w:trPr>
          <w:jc w:val="center"/>
        </w:trPr>
        <w:tc>
          <w:tcPr>
            <w:tcW w:w="1872" w:type="dxa"/>
            <w:shd w:val="clear" w:color="auto" w:fill="F9F9F9"/>
            <w:tcMar>
              <w:top w:w="80" w:type="dxa"/>
              <w:left w:w="100" w:type="dxa"/>
              <w:bottom w:w="80" w:type="dxa"/>
              <w:right w:w="100" w:type="dxa"/>
            </w:tcMar>
          </w:tcPr>
          <w:p w14:paraId="315D2A73" w14:textId="77777777" w:rsidR="00B05035" w:rsidRPr="00D23973" w:rsidRDefault="00000000">
            <w:pPr>
              <w:spacing w:after="0" w:line="252" w:lineRule="auto"/>
            </w:pPr>
            <w:r w:rsidRPr="00D23973">
              <w:rPr>
                <w:rFonts w:ascii="Times New Roman" w:hAnsi="Times New Roman"/>
                <w:b/>
                <w:sz w:val="18"/>
              </w:rPr>
              <w:t>Eosinophils</w:t>
            </w:r>
          </w:p>
        </w:tc>
        <w:tc>
          <w:tcPr>
            <w:tcW w:w="1872" w:type="dxa"/>
            <w:shd w:val="clear" w:color="auto" w:fill="F9F9F9"/>
            <w:tcMar>
              <w:top w:w="80" w:type="dxa"/>
              <w:left w:w="100" w:type="dxa"/>
              <w:bottom w:w="80" w:type="dxa"/>
              <w:right w:w="100" w:type="dxa"/>
            </w:tcMar>
          </w:tcPr>
          <w:p w14:paraId="5E32470E" w14:textId="77777777" w:rsidR="00B05035" w:rsidRPr="00D23973" w:rsidRDefault="00000000">
            <w:pPr>
              <w:spacing w:after="0" w:line="252" w:lineRule="auto"/>
            </w:pPr>
            <w:r w:rsidRPr="00D23973">
              <w:rPr>
                <w:rFonts w:ascii="Times New Roman" w:hAnsi="Times New Roman"/>
                <w:sz w:val="18"/>
              </w:rPr>
              <w:t>Differential Count</w:t>
            </w:r>
          </w:p>
        </w:tc>
        <w:tc>
          <w:tcPr>
            <w:tcW w:w="1872" w:type="dxa"/>
            <w:shd w:val="clear" w:color="auto" w:fill="F9F9F9"/>
            <w:tcMar>
              <w:top w:w="80" w:type="dxa"/>
              <w:left w:w="100" w:type="dxa"/>
              <w:bottom w:w="80" w:type="dxa"/>
              <w:right w:w="100" w:type="dxa"/>
            </w:tcMar>
          </w:tcPr>
          <w:p w14:paraId="49DCD6A7" w14:textId="77777777" w:rsidR="00B05035" w:rsidRPr="00D23973" w:rsidRDefault="00000000">
            <w:pPr>
              <w:spacing w:after="0" w:line="252" w:lineRule="auto"/>
            </w:pPr>
            <w:r w:rsidRPr="00D23973">
              <w:rPr>
                <w:rFonts w:ascii="Times New Roman" w:hAnsi="Times New Roman"/>
                <w:sz w:val="18"/>
              </w:rPr>
              <w:t>01 %</w:t>
            </w:r>
          </w:p>
        </w:tc>
        <w:tc>
          <w:tcPr>
            <w:tcW w:w="1872" w:type="dxa"/>
            <w:shd w:val="clear" w:color="auto" w:fill="F9F9F9"/>
            <w:tcMar>
              <w:top w:w="80" w:type="dxa"/>
              <w:left w:w="100" w:type="dxa"/>
              <w:bottom w:w="80" w:type="dxa"/>
              <w:right w:w="100" w:type="dxa"/>
            </w:tcMar>
          </w:tcPr>
          <w:p w14:paraId="38239418" w14:textId="77777777" w:rsidR="00B05035" w:rsidRPr="00D23973" w:rsidRDefault="00000000">
            <w:pPr>
              <w:spacing w:after="0" w:line="252" w:lineRule="auto"/>
            </w:pPr>
            <w:r w:rsidRPr="00D23973">
              <w:rPr>
                <w:rFonts w:ascii="Times New Roman" w:hAnsi="Times New Roman"/>
                <w:sz w:val="18"/>
              </w:rPr>
              <w:t>01 – 06 %</w:t>
            </w:r>
          </w:p>
        </w:tc>
        <w:tc>
          <w:tcPr>
            <w:tcW w:w="1872" w:type="dxa"/>
            <w:shd w:val="clear" w:color="auto" w:fill="F9F9F9"/>
            <w:tcMar>
              <w:top w:w="80" w:type="dxa"/>
              <w:left w:w="100" w:type="dxa"/>
              <w:bottom w:w="80" w:type="dxa"/>
              <w:right w:w="100" w:type="dxa"/>
            </w:tcMar>
          </w:tcPr>
          <w:p w14:paraId="47F524E0" w14:textId="77777777" w:rsidR="00B05035" w:rsidRPr="00D23973" w:rsidRDefault="00000000">
            <w:pPr>
              <w:spacing w:after="0" w:line="252" w:lineRule="auto"/>
            </w:pPr>
            <w:r w:rsidRPr="00D23973">
              <w:rPr>
                <w:rFonts w:ascii="Times New Roman" w:hAnsi="Times New Roman"/>
                <w:sz w:val="18"/>
              </w:rPr>
              <w:t>Within normal limits</w:t>
            </w:r>
          </w:p>
        </w:tc>
      </w:tr>
      <w:tr w:rsidR="00B05035" w:rsidRPr="00D23973" w14:paraId="5739A80B" w14:textId="77777777">
        <w:trPr>
          <w:jc w:val="center"/>
        </w:trPr>
        <w:tc>
          <w:tcPr>
            <w:tcW w:w="1872" w:type="dxa"/>
            <w:tcMar>
              <w:top w:w="80" w:type="dxa"/>
              <w:left w:w="100" w:type="dxa"/>
              <w:bottom w:w="80" w:type="dxa"/>
              <w:right w:w="100" w:type="dxa"/>
            </w:tcMar>
          </w:tcPr>
          <w:p w14:paraId="356B57F5" w14:textId="77777777" w:rsidR="00B05035" w:rsidRPr="00D23973" w:rsidRDefault="00000000">
            <w:pPr>
              <w:spacing w:after="0" w:line="252" w:lineRule="auto"/>
            </w:pPr>
            <w:r w:rsidRPr="00D23973">
              <w:rPr>
                <w:rFonts w:ascii="Times New Roman" w:hAnsi="Times New Roman"/>
                <w:b/>
                <w:sz w:val="18"/>
              </w:rPr>
              <w:t>Monocytes</w:t>
            </w:r>
          </w:p>
        </w:tc>
        <w:tc>
          <w:tcPr>
            <w:tcW w:w="1872" w:type="dxa"/>
            <w:tcMar>
              <w:top w:w="80" w:type="dxa"/>
              <w:left w:w="100" w:type="dxa"/>
              <w:bottom w:w="80" w:type="dxa"/>
              <w:right w:w="100" w:type="dxa"/>
            </w:tcMar>
          </w:tcPr>
          <w:p w14:paraId="721A148A" w14:textId="77777777" w:rsidR="00B05035" w:rsidRPr="00D23973" w:rsidRDefault="00000000">
            <w:pPr>
              <w:spacing w:after="0" w:line="252" w:lineRule="auto"/>
            </w:pPr>
            <w:r w:rsidRPr="00D23973">
              <w:rPr>
                <w:rFonts w:ascii="Times New Roman" w:hAnsi="Times New Roman"/>
                <w:sz w:val="18"/>
              </w:rPr>
              <w:t>Differential Count</w:t>
            </w:r>
          </w:p>
        </w:tc>
        <w:tc>
          <w:tcPr>
            <w:tcW w:w="1872" w:type="dxa"/>
            <w:tcMar>
              <w:top w:w="80" w:type="dxa"/>
              <w:left w:w="100" w:type="dxa"/>
              <w:bottom w:w="80" w:type="dxa"/>
              <w:right w:w="100" w:type="dxa"/>
            </w:tcMar>
          </w:tcPr>
          <w:p w14:paraId="6D92D75C" w14:textId="77777777" w:rsidR="00B05035" w:rsidRPr="00D23973" w:rsidRDefault="00000000">
            <w:pPr>
              <w:spacing w:after="0" w:line="252" w:lineRule="auto"/>
            </w:pPr>
            <w:r w:rsidRPr="00D23973">
              <w:rPr>
                <w:rFonts w:ascii="Times New Roman" w:hAnsi="Times New Roman"/>
                <w:sz w:val="18"/>
              </w:rPr>
              <w:t>07 %</w:t>
            </w:r>
          </w:p>
        </w:tc>
        <w:tc>
          <w:tcPr>
            <w:tcW w:w="1872" w:type="dxa"/>
            <w:tcMar>
              <w:top w:w="80" w:type="dxa"/>
              <w:left w:w="100" w:type="dxa"/>
              <w:bottom w:w="80" w:type="dxa"/>
              <w:right w:w="100" w:type="dxa"/>
            </w:tcMar>
          </w:tcPr>
          <w:p w14:paraId="355CCD8C" w14:textId="77777777" w:rsidR="00B05035" w:rsidRPr="00D23973" w:rsidRDefault="00000000">
            <w:pPr>
              <w:spacing w:after="0" w:line="252" w:lineRule="auto"/>
            </w:pPr>
            <w:r w:rsidRPr="00D23973">
              <w:rPr>
                <w:rFonts w:ascii="Times New Roman" w:hAnsi="Times New Roman"/>
                <w:sz w:val="18"/>
              </w:rPr>
              <w:t>02 – 11 %</w:t>
            </w:r>
          </w:p>
        </w:tc>
        <w:tc>
          <w:tcPr>
            <w:tcW w:w="1872" w:type="dxa"/>
            <w:tcMar>
              <w:top w:w="80" w:type="dxa"/>
              <w:left w:w="100" w:type="dxa"/>
              <w:bottom w:w="80" w:type="dxa"/>
              <w:right w:w="100" w:type="dxa"/>
            </w:tcMar>
          </w:tcPr>
          <w:p w14:paraId="444647B4" w14:textId="77777777" w:rsidR="00B05035" w:rsidRPr="00D23973" w:rsidRDefault="00000000">
            <w:pPr>
              <w:spacing w:after="0" w:line="252" w:lineRule="auto"/>
            </w:pPr>
            <w:r w:rsidRPr="00D23973">
              <w:rPr>
                <w:rFonts w:ascii="Times New Roman" w:hAnsi="Times New Roman"/>
                <w:sz w:val="18"/>
              </w:rPr>
              <w:t>Within normal limits</w:t>
            </w:r>
          </w:p>
        </w:tc>
      </w:tr>
      <w:tr w:rsidR="00B05035" w:rsidRPr="00D23973" w14:paraId="23920A01" w14:textId="77777777">
        <w:trPr>
          <w:jc w:val="center"/>
        </w:trPr>
        <w:tc>
          <w:tcPr>
            <w:tcW w:w="1872" w:type="dxa"/>
            <w:shd w:val="clear" w:color="auto" w:fill="F9F9F9"/>
            <w:tcMar>
              <w:top w:w="80" w:type="dxa"/>
              <w:left w:w="100" w:type="dxa"/>
              <w:bottom w:w="80" w:type="dxa"/>
              <w:right w:w="100" w:type="dxa"/>
            </w:tcMar>
          </w:tcPr>
          <w:p w14:paraId="59F09E2A" w14:textId="77777777" w:rsidR="00B05035" w:rsidRPr="00D23973" w:rsidRDefault="00000000">
            <w:pPr>
              <w:spacing w:after="0" w:line="252" w:lineRule="auto"/>
            </w:pPr>
            <w:r w:rsidRPr="00D23973">
              <w:rPr>
                <w:rFonts w:ascii="Times New Roman" w:hAnsi="Times New Roman"/>
                <w:b/>
                <w:sz w:val="18"/>
              </w:rPr>
              <w:t>Platelet Count</w:t>
            </w:r>
          </w:p>
        </w:tc>
        <w:tc>
          <w:tcPr>
            <w:tcW w:w="1872" w:type="dxa"/>
            <w:shd w:val="clear" w:color="auto" w:fill="F9F9F9"/>
            <w:tcMar>
              <w:top w:w="80" w:type="dxa"/>
              <w:left w:w="100" w:type="dxa"/>
              <w:bottom w:w="80" w:type="dxa"/>
              <w:right w:w="100" w:type="dxa"/>
            </w:tcMar>
          </w:tcPr>
          <w:p w14:paraId="7EF087DF" w14:textId="77777777" w:rsidR="00B05035" w:rsidRPr="00D23973" w:rsidRDefault="00000000">
            <w:pPr>
              <w:spacing w:after="0" w:line="252" w:lineRule="auto"/>
            </w:pPr>
            <w:r w:rsidRPr="00D23973">
              <w:rPr>
                <w:rFonts w:ascii="Times New Roman" w:hAnsi="Times New Roman"/>
                <w:sz w:val="18"/>
              </w:rPr>
              <w:t>Fluorescent Flow Cytometry</w:t>
            </w:r>
          </w:p>
        </w:tc>
        <w:tc>
          <w:tcPr>
            <w:tcW w:w="1872" w:type="dxa"/>
            <w:shd w:val="clear" w:color="auto" w:fill="F9F9F9"/>
            <w:tcMar>
              <w:top w:w="80" w:type="dxa"/>
              <w:left w:w="100" w:type="dxa"/>
              <w:bottom w:w="80" w:type="dxa"/>
              <w:right w:w="100" w:type="dxa"/>
            </w:tcMar>
          </w:tcPr>
          <w:p w14:paraId="6C997550" w14:textId="77777777" w:rsidR="00B05035" w:rsidRPr="00D23973" w:rsidRDefault="00000000">
            <w:pPr>
              <w:spacing w:after="0" w:line="252" w:lineRule="auto"/>
            </w:pPr>
            <w:r w:rsidRPr="00D23973">
              <w:rPr>
                <w:rFonts w:ascii="Times New Roman" w:hAnsi="Times New Roman"/>
                <w:sz w:val="18"/>
              </w:rPr>
              <w:t>1.67 × 10⁵ /µL</w:t>
            </w:r>
          </w:p>
        </w:tc>
        <w:tc>
          <w:tcPr>
            <w:tcW w:w="1872" w:type="dxa"/>
            <w:shd w:val="clear" w:color="auto" w:fill="F9F9F9"/>
            <w:tcMar>
              <w:top w:w="80" w:type="dxa"/>
              <w:left w:w="100" w:type="dxa"/>
              <w:bottom w:w="80" w:type="dxa"/>
              <w:right w:w="100" w:type="dxa"/>
            </w:tcMar>
          </w:tcPr>
          <w:p w14:paraId="56366F47" w14:textId="77777777" w:rsidR="00B05035" w:rsidRPr="00D23973" w:rsidRDefault="00000000">
            <w:pPr>
              <w:spacing w:after="0" w:line="252" w:lineRule="auto"/>
            </w:pPr>
            <w:r w:rsidRPr="00D23973">
              <w:rPr>
                <w:rFonts w:ascii="Times New Roman" w:hAnsi="Times New Roman"/>
                <w:sz w:val="18"/>
              </w:rPr>
              <w:t>1.50 – 4.50 × 10⁵ /µL</w:t>
            </w:r>
          </w:p>
        </w:tc>
        <w:tc>
          <w:tcPr>
            <w:tcW w:w="1872" w:type="dxa"/>
            <w:shd w:val="clear" w:color="auto" w:fill="F9F9F9"/>
            <w:tcMar>
              <w:top w:w="80" w:type="dxa"/>
              <w:left w:w="100" w:type="dxa"/>
              <w:bottom w:w="80" w:type="dxa"/>
              <w:right w:w="100" w:type="dxa"/>
            </w:tcMar>
          </w:tcPr>
          <w:p w14:paraId="0157E252" w14:textId="77777777" w:rsidR="00B05035" w:rsidRPr="00D23973" w:rsidRDefault="00000000">
            <w:pPr>
              <w:spacing w:after="0" w:line="252" w:lineRule="auto"/>
            </w:pPr>
            <w:r w:rsidRPr="00D23973">
              <w:rPr>
                <w:rFonts w:ascii="Times New Roman" w:hAnsi="Times New Roman"/>
                <w:sz w:val="18"/>
              </w:rPr>
              <w:t>Preserved quantitative thrombocyte count</w:t>
            </w:r>
          </w:p>
        </w:tc>
      </w:tr>
      <w:tr w:rsidR="00B05035" w:rsidRPr="00D23973" w14:paraId="7E6965C0" w14:textId="77777777">
        <w:trPr>
          <w:jc w:val="center"/>
        </w:trPr>
        <w:tc>
          <w:tcPr>
            <w:tcW w:w="1872" w:type="dxa"/>
            <w:tcMar>
              <w:top w:w="80" w:type="dxa"/>
              <w:left w:w="100" w:type="dxa"/>
              <w:bottom w:w="80" w:type="dxa"/>
              <w:right w:w="100" w:type="dxa"/>
            </w:tcMar>
          </w:tcPr>
          <w:p w14:paraId="34969445" w14:textId="77777777" w:rsidR="00B05035" w:rsidRPr="00D23973" w:rsidRDefault="00000000">
            <w:pPr>
              <w:spacing w:after="0" w:line="252" w:lineRule="auto"/>
            </w:pPr>
            <w:r w:rsidRPr="00D23973">
              <w:rPr>
                <w:rFonts w:ascii="Times New Roman" w:hAnsi="Times New Roman"/>
                <w:b/>
                <w:sz w:val="18"/>
              </w:rPr>
              <w:t>Mean Platelet Volume (MPV)</w:t>
            </w:r>
          </w:p>
        </w:tc>
        <w:tc>
          <w:tcPr>
            <w:tcW w:w="1872" w:type="dxa"/>
            <w:tcMar>
              <w:top w:w="80" w:type="dxa"/>
              <w:left w:w="100" w:type="dxa"/>
              <w:bottom w:w="80" w:type="dxa"/>
              <w:right w:w="100" w:type="dxa"/>
            </w:tcMar>
          </w:tcPr>
          <w:p w14:paraId="0FC2DA1F" w14:textId="77777777" w:rsidR="00B05035" w:rsidRPr="00D23973" w:rsidRDefault="00000000">
            <w:pPr>
              <w:spacing w:after="0" w:line="252" w:lineRule="auto"/>
            </w:pPr>
            <w:r w:rsidRPr="00D23973">
              <w:rPr>
                <w:rFonts w:ascii="Times New Roman" w:hAnsi="Times New Roman"/>
                <w:sz w:val="18"/>
              </w:rPr>
              <w:t>Derived</w:t>
            </w:r>
          </w:p>
        </w:tc>
        <w:tc>
          <w:tcPr>
            <w:tcW w:w="1872" w:type="dxa"/>
            <w:tcMar>
              <w:top w:w="80" w:type="dxa"/>
              <w:left w:w="100" w:type="dxa"/>
              <w:bottom w:w="80" w:type="dxa"/>
              <w:right w:w="100" w:type="dxa"/>
            </w:tcMar>
          </w:tcPr>
          <w:p w14:paraId="41369830" w14:textId="77777777" w:rsidR="00B05035" w:rsidRPr="00D23973" w:rsidRDefault="00000000">
            <w:pPr>
              <w:spacing w:after="0" w:line="252" w:lineRule="auto"/>
            </w:pPr>
            <w:r w:rsidRPr="00D23973">
              <w:rPr>
                <w:rFonts w:ascii="Times New Roman" w:hAnsi="Times New Roman"/>
                <w:sz w:val="18"/>
              </w:rPr>
              <w:t>10.40 fL</w:t>
            </w:r>
          </w:p>
        </w:tc>
        <w:tc>
          <w:tcPr>
            <w:tcW w:w="1872" w:type="dxa"/>
            <w:tcMar>
              <w:top w:w="80" w:type="dxa"/>
              <w:left w:w="100" w:type="dxa"/>
              <w:bottom w:w="80" w:type="dxa"/>
              <w:right w:w="100" w:type="dxa"/>
            </w:tcMar>
          </w:tcPr>
          <w:p w14:paraId="66793F1E" w14:textId="77777777" w:rsidR="00B05035" w:rsidRPr="00D23973" w:rsidRDefault="00000000">
            <w:pPr>
              <w:spacing w:after="0" w:line="252" w:lineRule="auto"/>
            </w:pPr>
            <w:r w:rsidRPr="00D23973">
              <w:rPr>
                <w:rFonts w:ascii="Times New Roman" w:hAnsi="Times New Roman"/>
                <w:sz w:val="18"/>
              </w:rPr>
              <w:t>6.5 – 12.0 fL</w:t>
            </w:r>
          </w:p>
        </w:tc>
        <w:tc>
          <w:tcPr>
            <w:tcW w:w="1872" w:type="dxa"/>
            <w:tcMar>
              <w:top w:w="80" w:type="dxa"/>
              <w:left w:w="100" w:type="dxa"/>
              <w:bottom w:w="80" w:type="dxa"/>
              <w:right w:w="100" w:type="dxa"/>
            </w:tcMar>
          </w:tcPr>
          <w:p w14:paraId="5477439B" w14:textId="77777777" w:rsidR="00B05035" w:rsidRPr="00D23973" w:rsidRDefault="00000000">
            <w:pPr>
              <w:spacing w:after="0" w:line="252" w:lineRule="auto"/>
            </w:pPr>
            <w:r w:rsidRPr="00D23973">
              <w:rPr>
                <w:rFonts w:ascii="Times New Roman" w:hAnsi="Times New Roman"/>
                <w:sz w:val="18"/>
              </w:rPr>
              <w:t>Normal platelet morphology &amp; turnover</w:t>
            </w:r>
          </w:p>
        </w:tc>
      </w:tr>
      <w:tr w:rsidR="00B05035" w:rsidRPr="00D23973" w14:paraId="0D570294" w14:textId="77777777">
        <w:trPr>
          <w:jc w:val="center"/>
        </w:trPr>
        <w:tc>
          <w:tcPr>
            <w:tcW w:w="1872" w:type="dxa"/>
            <w:shd w:val="clear" w:color="auto" w:fill="F9F9F9"/>
            <w:tcMar>
              <w:top w:w="80" w:type="dxa"/>
              <w:left w:w="100" w:type="dxa"/>
              <w:bottom w:w="80" w:type="dxa"/>
              <w:right w:w="100" w:type="dxa"/>
            </w:tcMar>
          </w:tcPr>
          <w:p w14:paraId="2C716BCA" w14:textId="77777777" w:rsidR="00B05035" w:rsidRPr="00D23973" w:rsidRDefault="00000000">
            <w:pPr>
              <w:spacing w:after="0" w:line="252" w:lineRule="auto"/>
            </w:pPr>
            <w:r w:rsidRPr="00D23973">
              <w:rPr>
                <w:rFonts w:ascii="Times New Roman" w:hAnsi="Times New Roman"/>
                <w:b/>
                <w:sz w:val="18"/>
              </w:rPr>
              <w:t>C-Reactive Protein (CRP) - Quant.</w:t>
            </w:r>
          </w:p>
        </w:tc>
        <w:tc>
          <w:tcPr>
            <w:tcW w:w="1872" w:type="dxa"/>
            <w:shd w:val="clear" w:color="auto" w:fill="F9F9F9"/>
            <w:tcMar>
              <w:top w:w="80" w:type="dxa"/>
              <w:left w:w="100" w:type="dxa"/>
              <w:bottom w:w="80" w:type="dxa"/>
              <w:right w:w="100" w:type="dxa"/>
            </w:tcMar>
          </w:tcPr>
          <w:p w14:paraId="1640F3BC" w14:textId="77777777" w:rsidR="00B05035" w:rsidRPr="00D23973" w:rsidRDefault="00000000">
            <w:pPr>
              <w:spacing w:after="0" w:line="252" w:lineRule="auto"/>
            </w:pPr>
            <w:r w:rsidRPr="00D23973">
              <w:rPr>
                <w:rFonts w:ascii="Times New Roman" w:hAnsi="Times New Roman"/>
                <w:sz w:val="18"/>
              </w:rPr>
              <w:t>Immuno-turbidimetric</w:t>
            </w:r>
          </w:p>
        </w:tc>
        <w:tc>
          <w:tcPr>
            <w:tcW w:w="1872" w:type="dxa"/>
            <w:shd w:val="clear" w:color="auto" w:fill="F9F9F9"/>
            <w:tcMar>
              <w:top w:w="80" w:type="dxa"/>
              <w:left w:w="100" w:type="dxa"/>
              <w:bottom w:w="80" w:type="dxa"/>
              <w:right w:w="100" w:type="dxa"/>
            </w:tcMar>
          </w:tcPr>
          <w:p w14:paraId="54D3347C" w14:textId="77777777" w:rsidR="00B05035" w:rsidRPr="00D23973" w:rsidRDefault="00000000">
            <w:pPr>
              <w:spacing w:after="0" w:line="252" w:lineRule="auto"/>
            </w:pPr>
            <w:r w:rsidRPr="00D23973">
              <w:rPr>
                <w:rFonts w:ascii="Times New Roman" w:hAnsi="Times New Roman"/>
                <w:sz w:val="18"/>
              </w:rPr>
              <w:t>0.88 mg/L</w:t>
            </w:r>
          </w:p>
        </w:tc>
        <w:tc>
          <w:tcPr>
            <w:tcW w:w="1872" w:type="dxa"/>
            <w:shd w:val="clear" w:color="auto" w:fill="F9F9F9"/>
            <w:tcMar>
              <w:top w:w="80" w:type="dxa"/>
              <w:left w:w="100" w:type="dxa"/>
              <w:bottom w:w="80" w:type="dxa"/>
              <w:right w:w="100" w:type="dxa"/>
            </w:tcMar>
          </w:tcPr>
          <w:p w14:paraId="459153EF" w14:textId="77777777" w:rsidR="00B05035" w:rsidRPr="00D23973" w:rsidRDefault="00000000">
            <w:pPr>
              <w:spacing w:after="0" w:line="252" w:lineRule="auto"/>
            </w:pPr>
            <w:r w:rsidRPr="00D23973">
              <w:rPr>
                <w:rFonts w:ascii="Times New Roman" w:hAnsi="Times New Roman"/>
                <w:sz w:val="18"/>
              </w:rPr>
              <w:t>&lt; 5.0 mg/L</w:t>
            </w:r>
          </w:p>
        </w:tc>
        <w:tc>
          <w:tcPr>
            <w:tcW w:w="1872" w:type="dxa"/>
            <w:shd w:val="clear" w:color="auto" w:fill="F9F9F9"/>
            <w:tcMar>
              <w:top w:w="80" w:type="dxa"/>
              <w:left w:w="100" w:type="dxa"/>
              <w:bottom w:w="80" w:type="dxa"/>
              <w:right w:w="100" w:type="dxa"/>
            </w:tcMar>
          </w:tcPr>
          <w:p w14:paraId="734DDE53" w14:textId="77777777" w:rsidR="00B05035" w:rsidRPr="00D23973" w:rsidRDefault="00000000">
            <w:pPr>
              <w:spacing w:after="0" w:line="252" w:lineRule="auto"/>
            </w:pPr>
            <w:r w:rsidRPr="00D23973">
              <w:rPr>
                <w:rFonts w:ascii="Times New Roman" w:hAnsi="Times New Roman"/>
                <w:sz w:val="18"/>
              </w:rPr>
              <w:t>Normal systemic acute phase reactant</w:t>
            </w:r>
          </w:p>
        </w:tc>
      </w:tr>
      <w:tr w:rsidR="00B05035" w:rsidRPr="00D23973" w14:paraId="37C54143" w14:textId="77777777">
        <w:trPr>
          <w:jc w:val="center"/>
        </w:trPr>
        <w:tc>
          <w:tcPr>
            <w:tcW w:w="1872" w:type="dxa"/>
            <w:tcMar>
              <w:top w:w="80" w:type="dxa"/>
              <w:left w:w="100" w:type="dxa"/>
              <w:bottom w:w="80" w:type="dxa"/>
              <w:right w:w="100" w:type="dxa"/>
            </w:tcMar>
          </w:tcPr>
          <w:p w14:paraId="5E0A94F2" w14:textId="77777777" w:rsidR="00B05035" w:rsidRPr="00D23973" w:rsidRDefault="00000000">
            <w:pPr>
              <w:spacing w:after="0" w:line="252" w:lineRule="auto"/>
            </w:pPr>
            <w:r w:rsidRPr="00D23973">
              <w:rPr>
                <w:rFonts w:ascii="Times New Roman" w:hAnsi="Times New Roman"/>
                <w:b/>
                <w:sz w:val="18"/>
              </w:rPr>
              <w:t>Blood Urea</w:t>
            </w:r>
          </w:p>
        </w:tc>
        <w:tc>
          <w:tcPr>
            <w:tcW w:w="1872" w:type="dxa"/>
            <w:tcMar>
              <w:top w:w="80" w:type="dxa"/>
              <w:left w:w="100" w:type="dxa"/>
              <w:bottom w:w="80" w:type="dxa"/>
              <w:right w:w="100" w:type="dxa"/>
            </w:tcMar>
          </w:tcPr>
          <w:p w14:paraId="5700F60F" w14:textId="77777777" w:rsidR="00B05035" w:rsidRPr="00D23973" w:rsidRDefault="00000000">
            <w:pPr>
              <w:spacing w:after="0" w:line="252" w:lineRule="auto"/>
            </w:pPr>
            <w:r w:rsidRPr="00D23973">
              <w:rPr>
                <w:rFonts w:ascii="Times New Roman" w:hAnsi="Times New Roman"/>
                <w:sz w:val="18"/>
              </w:rPr>
              <w:t>Urease-GLDH</w:t>
            </w:r>
          </w:p>
        </w:tc>
        <w:tc>
          <w:tcPr>
            <w:tcW w:w="1872" w:type="dxa"/>
            <w:tcMar>
              <w:top w:w="80" w:type="dxa"/>
              <w:left w:w="100" w:type="dxa"/>
              <w:bottom w:w="80" w:type="dxa"/>
              <w:right w:w="100" w:type="dxa"/>
            </w:tcMar>
          </w:tcPr>
          <w:p w14:paraId="5AEC77BD" w14:textId="77777777" w:rsidR="00B05035" w:rsidRPr="00D23973" w:rsidRDefault="00000000">
            <w:pPr>
              <w:spacing w:after="0" w:line="252" w:lineRule="auto"/>
            </w:pPr>
            <w:r w:rsidRPr="00D23973">
              <w:rPr>
                <w:rFonts w:ascii="Times New Roman" w:hAnsi="Times New Roman"/>
                <w:sz w:val="18"/>
              </w:rPr>
              <w:t>24.1 mg/dL</w:t>
            </w:r>
          </w:p>
        </w:tc>
        <w:tc>
          <w:tcPr>
            <w:tcW w:w="1872" w:type="dxa"/>
            <w:tcMar>
              <w:top w:w="80" w:type="dxa"/>
              <w:left w:w="100" w:type="dxa"/>
              <w:bottom w:w="80" w:type="dxa"/>
              <w:right w:w="100" w:type="dxa"/>
            </w:tcMar>
          </w:tcPr>
          <w:p w14:paraId="3CBA62C7" w14:textId="77777777" w:rsidR="00B05035" w:rsidRPr="00D23973" w:rsidRDefault="00000000">
            <w:pPr>
              <w:spacing w:after="0" w:line="252" w:lineRule="auto"/>
            </w:pPr>
            <w:r w:rsidRPr="00D23973">
              <w:rPr>
                <w:rFonts w:ascii="Times New Roman" w:hAnsi="Times New Roman"/>
                <w:sz w:val="18"/>
              </w:rPr>
              <w:t>10.8 – 38.4 mg/dL</w:t>
            </w:r>
          </w:p>
        </w:tc>
        <w:tc>
          <w:tcPr>
            <w:tcW w:w="1872" w:type="dxa"/>
            <w:tcMar>
              <w:top w:w="80" w:type="dxa"/>
              <w:left w:w="100" w:type="dxa"/>
              <w:bottom w:w="80" w:type="dxa"/>
              <w:right w:w="100" w:type="dxa"/>
            </w:tcMar>
          </w:tcPr>
          <w:p w14:paraId="556C5352" w14:textId="77777777" w:rsidR="00B05035" w:rsidRPr="00D23973" w:rsidRDefault="00000000">
            <w:pPr>
              <w:spacing w:after="0" w:line="252" w:lineRule="auto"/>
            </w:pPr>
            <w:r w:rsidRPr="00D23973">
              <w:rPr>
                <w:rFonts w:ascii="Times New Roman" w:hAnsi="Times New Roman"/>
                <w:sz w:val="18"/>
              </w:rPr>
              <w:t xml:space="preserve">Normal baseline nitrogenous waste </w:t>
            </w:r>
            <w:r w:rsidRPr="00D23973">
              <w:rPr>
                <w:rFonts w:ascii="Times New Roman" w:hAnsi="Times New Roman"/>
                <w:sz w:val="18"/>
              </w:rPr>
              <w:lastRenderedPageBreak/>
              <w:t>clearance</w:t>
            </w:r>
          </w:p>
        </w:tc>
      </w:tr>
      <w:tr w:rsidR="00B05035" w:rsidRPr="00D23973" w14:paraId="633D65A7" w14:textId="77777777">
        <w:trPr>
          <w:jc w:val="center"/>
        </w:trPr>
        <w:tc>
          <w:tcPr>
            <w:tcW w:w="1872" w:type="dxa"/>
            <w:shd w:val="clear" w:color="auto" w:fill="F9F9F9"/>
            <w:tcMar>
              <w:top w:w="80" w:type="dxa"/>
              <w:left w:w="100" w:type="dxa"/>
              <w:bottom w:w="80" w:type="dxa"/>
              <w:right w:w="100" w:type="dxa"/>
            </w:tcMar>
          </w:tcPr>
          <w:p w14:paraId="25658454" w14:textId="77777777" w:rsidR="00B05035" w:rsidRPr="00D23973" w:rsidRDefault="00000000">
            <w:pPr>
              <w:spacing w:after="0" w:line="252" w:lineRule="auto"/>
            </w:pPr>
            <w:r w:rsidRPr="00D23973">
              <w:rPr>
                <w:rFonts w:ascii="Times New Roman" w:hAnsi="Times New Roman"/>
                <w:b/>
                <w:sz w:val="18"/>
              </w:rPr>
              <w:lastRenderedPageBreak/>
              <w:t>Serum Creatinine</w:t>
            </w:r>
          </w:p>
        </w:tc>
        <w:tc>
          <w:tcPr>
            <w:tcW w:w="1872" w:type="dxa"/>
            <w:shd w:val="clear" w:color="auto" w:fill="F9F9F9"/>
            <w:tcMar>
              <w:top w:w="80" w:type="dxa"/>
              <w:left w:w="100" w:type="dxa"/>
              <w:bottom w:w="80" w:type="dxa"/>
              <w:right w:w="100" w:type="dxa"/>
            </w:tcMar>
          </w:tcPr>
          <w:p w14:paraId="42924DF4" w14:textId="77777777" w:rsidR="00B05035" w:rsidRPr="00D23973" w:rsidRDefault="00000000">
            <w:pPr>
              <w:spacing w:after="0" w:line="252" w:lineRule="auto"/>
            </w:pPr>
            <w:r w:rsidRPr="00D23973">
              <w:rPr>
                <w:rFonts w:ascii="Times New Roman" w:hAnsi="Times New Roman"/>
                <w:sz w:val="18"/>
              </w:rPr>
              <w:t>Modified Jaffe's Method</w:t>
            </w:r>
          </w:p>
        </w:tc>
        <w:tc>
          <w:tcPr>
            <w:tcW w:w="1872" w:type="dxa"/>
            <w:shd w:val="clear" w:color="auto" w:fill="F9F9F9"/>
            <w:tcMar>
              <w:top w:w="80" w:type="dxa"/>
              <w:left w:w="100" w:type="dxa"/>
              <w:bottom w:w="80" w:type="dxa"/>
              <w:right w:w="100" w:type="dxa"/>
            </w:tcMar>
          </w:tcPr>
          <w:p w14:paraId="01C54F67" w14:textId="77777777" w:rsidR="00B05035" w:rsidRPr="00D23973" w:rsidRDefault="00000000">
            <w:pPr>
              <w:spacing w:after="0" w:line="252" w:lineRule="auto"/>
            </w:pPr>
            <w:r w:rsidRPr="00D23973">
              <w:rPr>
                <w:rFonts w:ascii="Times New Roman" w:hAnsi="Times New Roman"/>
                <w:sz w:val="18"/>
              </w:rPr>
              <w:t>0.60 mg/dL</w:t>
            </w:r>
          </w:p>
        </w:tc>
        <w:tc>
          <w:tcPr>
            <w:tcW w:w="1872" w:type="dxa"/>
            <w:shd w:val="clear" w:color="auto" w:fill="F9F9F9"/>
            <w:tcMar>
              <w:top w:w="80" w:type="dxa"/>
              <w:left w:w="100" w:type="dxa"/>
              <w:bottom w:w="80" w:type="dxa"/>
              <w:right w:w="100" w:type="dxa"/>
            </w:tcMar>
          </w:tcPr>
          <w:p w14:paraId="0983DA05" w14:textId="77777777" w:rsidR="00B05035" w:rsidRPr="00D23973" w:rsidRDefault="00000000">
            <w:pPr>
              <w:spacing w:after="0" w:line="252" w:lineRule="auto"/>
            </w:pPr>
            <w:r w:rsidRPr="00D23973">
              <w:rPr>
                <w:rFonts w:ascii="Times New Roman" w:hAnsi="Times New Roman"/>
                <w:sz w:val="18"/>
              </w:rPr>
              <w:t>0.24 – 0.73 mg/dL</w:t>
            </w:r>
          </w:p>
        </w:tc>
        <w:tc>
          <w:tcPr>
            <w:tcW w:w="1872" w:type="dxa"/>
            <w:shd w:val="clear" w:color="auto" w:fill="F9F9F9"/>
            <w:tcMar>
              <w:top w:w="80" w:type="dxa"/>
              <w:left w:w="100" w:type="dxa"/>
              <w:bottom w:w="80" w:type="dxa"/>
              <w:right w:w="100" w:type="dxa"/>
            </w:tcMar>
          </w:tcPr>
          <w:p w14:paraId="224F9CC1" w14:textId="77777777" w:rsidR="00B05035" w:rsidRPr="00D23973" w:rsidRDefault="00000000">
            <w:pPr>
              <w:spacing w:after="0" w:line="252" w:lineRule="auto"/>
            </w:pPr>
            <w:r w:rsidRPr="00D23973">
              <w:rPr>
                <w:rFonts w:ascii="Times New Roman" w:hAnsi="Times New Roman"/>
                <w:sz w:val="18"/>
              </w:rPr>
              <w:t>Preserved glomerular filtration rate</w:t>
            </w:r>
          </w:p>
        </w:tc>
      </w:tr>
      <w:tr w:rsidR="00B05035" w:rsidRPr="00D23973" w14:paraId="70DCEBC5" w14:textId="77777777">
        <w:trPr>
          <w:jc w:val="center"/>
        </w:trPr>
        <w:tc>
          <w:tcPr>
            <w:tcW w:w="1872" w:type="dxa"/>
            <w:tcMar>
              <w:top w:w="80" w:type="dxa"/>
              <w:left w:w="100" w:type="dxa"/>
              <w:bottom w:w="80" w:type="dxa"/>
              <w:right w:w="100" w:type="dxa"/>
            </w:tcMar>
          </w:tcPr>
          <w:p w14:paraId="4571A88C" w14:textId="77777777" w:rsidR="00B05035" w:rsidRPr="00D23973" w:rsidRDefault="00000000">
            <w:pPr>
              <w:spacing w:after="0" w:line="252" w:lineRule="auto"/>
            </w:pPr>
            <w:r w:rsidRPr="00D23973">
              <w:rPr>
                <w:rFonts w:ascii="Times New Roman" w:hAnsi="Times New Roman"/>
                <w:b/>
                <w:sz w:val="18"/>
              </w:rPr>
              <w:t>Blood Culture (Paired Peripheral)</w:t>
            </w:r>
          </w:p>
        </w:tc>
        <w:tc>
          <w:tcPr>
            <w:tcW w:w="1872" w:type="dxa"/>
            <w:tcMar>
              <w:top w:w="80" w:type="dxa"/>
              <w:left w:w="100" w:type="dxa"/>
              <w:bottom w:w="80" w:type="dxa"/>
              <w:right w:w="100" w:type="dxa"/>
            </w:tcMar>
          </w:tcPr>
          <w:p w14:paraId="345BE22B" w14:textId="77777777" w:rsidR="00B05035" w:rsidRPr="00D23973" w:rsidRDefault="00000000">
            <w:pPr>
              <w:spacing w:after="0" w:line="252" w:lineRule="auto"/>
            </w:pPr>
            <w:r w:rsidRPr="00D23973">
              <w:rPr>
                <w:rFonts w:ascii="Times New Roman" w:hAnsi="Times New Roman"/>
                <w:sz w:val="18"/>
              </w:rPr>
              <w:t>Automated BACTEC (Aerobic/Anaerobic)</w:t>
            </w:r>
          </w:p>
        </w:tc>
        <w:tc>
          <w:tcPr>
            <w:tcW w:w="1872" w:type="dxa"/>
            <w:tcMar>
              <w:top w:w="80" w:type="dxa"/>
              <w:left w:w="100" w:type="dxa"/>
              <w:bottom w:w="80" w:type="dxa"/>
              <w:right w:w="100" w:type="dxa"/>
            </w:tcMar>
          </w:tcPr>
          <w:p w14:paraId="44006742" w14:textId="77777777" w:rsidR="00B05035" w:rsidRPr="00D23973" w:rsidRDefault="00000000">
            <w:pPr>
              <w:spacing w:after="0" w:line="252" w:lineRule="auto"/>
            </w:pPr>
            <w:r w:rsidRPr="00D23973">
              <w:rPr>
                <w:rFonts w:ascii="Times New Roman" w:hAnsi="Times New Roman"/>
                <w:sz w:val="18"/>
              </w:rPr>
              <w:t>No Growth at 48h / 7 days</w:t>
            </w:r>
          </w:p>
        </w:tc>
        <w:tc>
          <w:tcPr>
            <w:tcW w:w="1872" w:type="dxa"/>
            <w:tcMar>
              <w:top w:w="80" w:type="dxa"/>
              <w:left w:w="100" w:type="dxa"/>
              <w:bottom w:w="80" w:type="dxa"/>
              <w:right w:w="100" w:type="dxa"/>
            </w:tcMar>
          </w:tcPr>
          <w:p w14:paraId="5E862E6F" w14:textId="77777777" w:rsidR="00B05035" w:rsidRPr="00D23973" w:rsidRDefault="00000000">
            <w:pPr>
              <w:spacing w:after="0" w:line="252" w:lineRule="auto"/>
            </w:pPr>
            <w:r w:rsidRPr="00D23973">
              <w:rPr>
                <w:rFonts w:ascii="Times New Roman" w:hAnsi="Times New Roman"/>
                <w:sz w:val="18"/>
              </w:rPr>
              <w:t>Sterile</w:t>
            </w:r>
          </w:p>
        </w:tc>
        <w:tc>
          <w:tcPr>
            <w:tcW w:w="1872" w:type="dxa"/>
            <w:tcMar>
              <w:top w:w="80" w:type="dxa"/>
              <w:left w:w="100" w:type="dxa"/>
              <w:bottom w:w="80" w:type="dxa"/>
              <w:right w:w="100" w:type="dxa"/>
            </w:tcMar>
          </w:tcPr>
          <w:p w14:paraId="5CB041E6" w14:textId="77777777" w:rsidR="00B05035" w:rsidRPr="00D23973" w:rsidRDefault="00000000">
            <w:pPr>
              <w:spacing w:after="0" w:line="252" w:lineRule="auto"/>
            </w:pPr>
            <w:r w:rsidRPr="00D23973">
              <w:rPr>
                <w:rFonts w:ascii="Times New Roman" w:hAnsi="Times New Roman"/>
                <w:sz w:val="18"/>
              </w:rPr>
              <w:t>Rules out systemic bacteremia / endovascular seeding</w:t>
            </w:r>
          </w:p>
        </w:tc>
      </w:tr>
    </w:tbl>
    <w:p w14:paraId="664DCEE3" w14:textId="77777777" w:rsidR="00B05035" w:rsidRPr="00D23973" w:rsidRDefault="00B05035">
      <w:pPr>
        <w:spacing w:after="80"/>
      </w:pPr>
    </w:p>
    <w:p w14:paraId="5206D113" w14:textId="77777777" w:rsidR="00B05035" w:rsidRPr="00D23973" w:rsidRDefault="00000000">
      <w:pPr>
        <w:spacing w:before="160" w:after="80"/>
      </w:pPr>
      <w:r w:rsidRPr="00D23973">
        <w:rPr>
          <w:rFonts w:ascii="Times New Roman" w:hAnsi="Times New Roman"/>
          <w:b/>
          <w:sz w:val="24"/>
        </w:rPr>
        <w:t>Table 2: Serial Urinalysis, Dipstick Chemical Examination, and Sediment Microscopy Profile</w:t>
      </w:r>
    </w:p>
    <w:tbl>
      <w:tblPr>
        <w:tblW w:w="0" w:type="auto"/>
        <w:jc w:val="center"/>
        <w:tblBorders>
          <w:top w:val="single" w:sz="8" w:space="0" w:color="000000"/>
          <w:bottom w:val="single" w:sz="8" w:space="0" w:color="000000"/>
          <w:insideH w:val="single" w:sz="4" w:space="0" w:color="D3D3D3"/>
        </w:tblBorders>
        <w:tblLook w:val="04A0" w:firstRow="1" w:lastRow="0" w:firstColumn="1" w:lastColumn="0" w:noHBand="0" w:noVBand="1"/>
      </w:tblPr>
      <w:tblGrid>
        <w:gridCol w:w="1560"/>
        <w:gridCol w:w="1560"/>
        <w:gridCol w:w="1560"/>
        <w:gridCol w:w="1560"/>
        <w:gridCol w:w="1560"/>
        <w:gridCol w:w="1560"/>
      </w:tblGrid>
      <w:tr w:rsidR="00B05035" w:rsidRPr="00D23973" w14:paraId="62A46C46" w14:textId="77777777">
        <w:trPr>
          <w:jc w:val="center"/>
        </w:trPr>
        <w:tc>
          <w:tcPr>
            <w:tcW w:w="1560" w:type="dxa"/>
            <w:shd w:val="clear" w:color="auto" w:fill="EAEAEA"/>
            <w:tcMar>
              <w:top w:w="80" w:type="dxa"/>
              <w:left w:w="80" w:type="dxa"/>
              <w:bottom w:w="80" w:type="dxa"/>
              <w:right w:w="80" w:type="dxa"/>
            </w:tcMar>
          </w:tcPr>
          <w:p w14:paraId="6A8FB458" w14:textId="77777777" w:rsidR="00B05035" w:rsidRPr="00D23973" w:rsidRDefault="00000000">
            <w:pPr>
              <w:spacing w:after="0" w:line="252" w:lineRule="auto"/>
            </w:pPr>
            <w:r w:rsidRPr="00D23973">
              <w:rPr>
                <w:rFonts w:ascii="Times New Roman" w:hAnsi="Times New Roman"/>
                <w:b/>
                <w:sz w:val="18"/>
              </w:rPr>
              <w:t>Parameter / Metric</w:t>
            </w:r>
          </w:p>
        </w:tc>
        <w:tc>
          <w:tcPr>
            <w:tcW w:w="1560" w:type="dxa"/>
            <w:shd w:val="clear" w:color="auto" w:fill="EAEAEA"/>
            <w:tcMar>
              <w:top w:w="80" w:type="dxa"/>
              <w:left w:w="80" w:type="dxa"/>
              <w:bottom w:w="80" w:type="dxa"/>
              <w:right w:w="80" w:type="dxa"/>
            </w:tcMar>
          </w:tcPr>
          <w:p w14:paraId="26068A22" w14:textId="77777777" w:rsidR="00B05035" w:rsidRPr="00D23973" w:rsidRDefault="00000000">
            <w:pPr>
              <w:spacing w:after="0" w:line="252" w:lineRule="auto"/>
            </w:pPr>
            <w:r w:rsidRPr="00D23973">
              <w:rPr>
                <w:rFonts w:ascii="Times New Roman" w:hAnsi="Times New Roman"/>
                <w:b/>
                <w:sz w:val="18"/>
              </w:rPr>
              <w:t>Testing Technique</w:t>
            </w:r>
          </w:p>
        </w:tc>
        <w:tc>
          <w:tcPr>
            <w:tcW w:w="1560" w:type="dxa"/>
            <w:shd w:val="clear" w:color="auto" w:fill="EAEAEA"/>
            <w:tcMar>
              <w:top w:w="80" w:type="dxa"/>
              <w:left w:w="80" w:type="dxa"/>
              <w:bottom w:w="80" w:type="dxa"/>
              <w:right w:w="80" w:type="dxa"/>
            </w:tcMar>
          </w:tcPr>
          <w:p w14:paraId="63EDFEFC" w14:textId="77777777" w:rsidR="00B05035" w:rsidRPr="00D23973" w:rsidRDefault="00000000">
            <w:pPr>
              <w:spacing w:after="0" w:line="252" w:lineRule="auto"/>
            </w:pPr>
            <w:r w:rsidRPr="00D23973">
              <w:rPr>
                <w:rFonts w:ascii="Times New Roman" w:hAnsi="Times New Roman"/>
                <w:b/>
                <w:sz w:val="18"/>
              </w:rPr>
              <w:t>Initial Value (22/08/2026)</w:t>
            </w:r>
          </w:p>
        </w:tc>
        <w:tc>
          <w:tcPr>
            <w:tcW w:w="1560" w:type="dxa"/>
            <w:shd w:val="clear" w:color="auto" w:fill="EAEAEA"/>
            <w:tcMar>
              <w:top w:w="80" w:type="dxa"/>
              <w:left w:w="80" w:type="dxa"/>
              <w:bottom w:w="80" w:type="dxa"/>
              <w:right w:w="80" w:type="dxa"/>
            </w:tcMar>
          </w:tcPr>
          <w:p w14:paraId="3C5BF213" w14:textId="77777777" w:rsidR="00B05035" w:rsidRPr="00D23973" w:rsidRDefault="00000000">
            <w:pPr>
              <w:spacing w:after="0" w:line="252" w:lineRule="auto"/>
            </w:pPr>
            <w:r w:rsidRPr="00D23973">
              <w:rPr>
                <w:rFonts w:ascii="Times New Roman" w:hAnsi="Times New Roman"/>
                <w:b/>
                <w:sz w:val="18"/>
              </w:rPr>
              <w:t>Follow-up (26/08/2026)</w:t>
            </w:r>
          </w:p>
        </w:tc>
        <w:tc>
          <w:tcPr>
            <w:tcW w:w="1560" w:type="dxa"/>
            <w:shd w:val="clear" w:color="auto" w:fill="EAEAEA"/>
            <w:tcMar>
              <w:top w:w="80" w:type="dxa"/>
              <w:left w:w="80" w:type="dxa"/>
              <w:bottom w:w="80" w:type="dxa"/>
              <w:right w:w="80" w:type="dxa"/>
            </w:tcMar>
          </w:tcPr>
          <w:p w14:paraId="2E62854A" w14:textId="77777777" w:rsidR="00B05035" w:rsidRPr="00D23973" w:rsidRDefault="00000000">
            <w:pPr>
              <w:spacing w:after="0" w:line="252" w:lineRule="auto"/>
            </w:pPr>
            <w:r w:rsidRPr="00D23973">
              <w:rPr>
                <w:rFonts w:ascii="Times New Roman" w:hAnsi="Times New Roman"/>
                <w:b/>
                <w:sz w:val="18"/>
              </w:rPr>
              <w:t>Reference Interval</w:t>
            </w:r>
          </w:p>
        </w:tc>
        <w:tc>
          <w:tcPr>
            <w:tcW w:w="1560" w:type="dxa"/>
            <w:shd w:val="clear" w:color="auto" w:fill="EAEAEA"/>
            <w:tcMar>
              <w:top w:w="80" w:type="dxa"/>
              <w:left w:w="80" w:type="dxa"/>
              <w:bottom w:w="80" w:type="dxa"/>
              <w:right w:w="80" w:type="dxa"/>
            </w:tcMar>
          </w:tcPr>
          <w:p w14:paraId="14A03F2D" w14:textId="77777777" w:rsidR="00B05035" w:rsidRPr="00D23973" w:rsidRDefault="00000000">
            <w:pPr>
              <w:spacing w:after="0" w:line="252" w:lineRule="auto"/>
            </w:pPr>
            <w:r w:rsidRPr="00D23973">
              <w:rPr>
                <w:rFonts w:ascii="Times New Roman" w:hAnsi="Times New Roman"/>
                <w:b/>
                <w:sz w:val="18"/>
              </w:rPr>
              <w:t>Clinical Significance</w:t>
            </w:r>
          </w:p>
        </w:tc>
      </w:tr>
      <w:tr w:rsidR="00B05035" w:rsidRPr="00D23973" w14:paraId="2242ACA6" w14:textId="77777777">
        <w:trPr>
          <w:jc w:val="center"/>
        </w:trPr>
        <w:tc>
          <w:tcPr>
            <w:tcW w:w="1560" w:type="dxa"/>
            <w:shd w:val="clear" w:color="auto" w:fill="F9F9F9"/>
            <w:tcMar>
              <w:top w:w="80" w:type="dxa"/>
              <w:left w:w="80" w:type="dxa"/>
              <w:bottom w:w="80" w:type="dxa"/>
              <w:right w:w="80" w:type="dxa"/>
            </w:tcMar>
          </w:tcPr>
          <w:p w14:paraId="58DAABD8" w14:textId="77777777" w:rsidR="00B05035" w:rsidRPr="00D23973" w:rsidRDefault="00000000">
            <w:pPr>
              <w:spacing w:after="0" w:line="252" w:lineRule="auto"/>
            </w:pPr>
            <w:r w:rsidRPr="00D23973">
              <w:rPr>
                <w:rFonts w:ascii="Times New Roman" w:hAnsi="Times New Roman"/>
                <w:b/>
                <w:sz w:val="17"/>
              </w:rPr>
              <w:t>Physical Appearance</w:t>
            </w:r>
          </w:p>
        </w:tc>
        <w:tc>
          <w:tcPr>
            <w:tcW w:w="1560" w:type="dxa"/>
            <w:shd w:val="clear" w:color="auto" w:fill="F9F9F9"/>
            <w:tcMar>
              <w:top w:w="80" w:type="dxa"/>
              <w:left w:w="80" w:type="dxa"/>
              <w:bottom w:w="80" w:type="dxa"/>
              <w:right w:w="80" w:type="dxa"/>
            </w:tcMar>
          </w:tcPr>
          <w:p w14:paraId="57FF6551" w14:textId="77777777" w:rsidR="00B05035" w:rsidRPr="00D23973" w:rsidRDefault="00000000">
            <w:pPr>
              <w:spacing w:after="0" w:line="252" w:lineRule="auto"/>
            </w:pPr>
            <w:r w:rsidRPr="00D23973">
              <w:rPr>
                <w:rFonts w:ascii="Times New Roman" w:hAnsi="Times New Roman"/>
                <w:sz w:val="17"/>
              </w:rPr>
              <w:t>Visual Inspection</w:t>
            </w:r>
          </w:p>
        </w:tc>
        <w:tc>
          <w:tcPr>
            <w:tcW w:w="1560" w:type="dxa"/>
            <w:shd w:val="clear" w:color="auto" w:fill="F9F9F9"/>
            <w:tcMar>
              <w:top w:w="80" w:type="dxa"/>
              <w:left w:w="80" w:type="dxa"/>
              <w:bottom w:w="80" w:type="dxa"/>
              <w:right w:w="80" w:type="dxa"/>
            </w:tcMar>
          </w:tcPr>
          <w:p w14:paraId="7BDECB2F" w14:textId="77777777" w:rsidR="00B05035" w:rsidRPr="00D23973" w:rsidRDefault="00000000">
            <w:pPr>
              <w:spacing w:after="0" w:line="252" w:lineRule="auto"/>
            </w:pPr>
            <w:r w:rsidRPr="00D23973">
              <w:rPr>
                <w:rFonts w:ascii="Times New Roman" w:hAnsi="Times New Roman"/>
                <w:sz w:val="17"/>
              </w:rPr>
              <w:t>Red / Turbid</w:t>
            </w:r>
          </w:p>
        </w:tc>
        <w:tc>
          <w:tcPr>
            <w:tcW w:w="1560" w:type="dxa"/>
            <w:shd w:val="clear" w:color="auto" w:fill="F9F9F9"/>
            <w:tcMar>
              <w:top w:w="80" w:type="dxa"/>
              <w:left w:w="80" w:type="dxa"/>
              <w:bottom w:w="80" w:type="dxa"/>
              <w:right w:w="80" w:type="dxa"/>
            </w:tcMar>
          </w:tcPr>
          <w:p w14:paraId="2D25C675" w14:textId="77777777" w:rsidR="00B05035" w:rsidRPr="00D23973" w:rsidRDefault="00000000">
            <w:pPr>
              <w:spacing w:after="0" w:line="252" w:lineRule="auto"/>
            </w:pPr>
            <w:r w:rsidRPr="00D23973">
              <w:rPr>
                <w:rFonts w:ascii="Times New Roman" w:hAnsi="Times New Roman"/>
                <w:sz w:val="17"/>
              </w:rPr>
              <w:t>Pale Yellow / Clear</w:t>
            </w:r>
          </w:p>
        </w:tc>
        <w:tc>
          <w:tcPr>
            <w:tcW w:w="1560" w:type="dxa"/>
            <w:shd w:val="clear" w:color="auto" w:fill="F9F9F9"/>
            <w:tcMar>
              <w:top w:w="80" w:type="dxa"/>
              <w:left w:w="80" w:type="dxa"/>
              <w:bottom w:w="80" w:type="dxa"/>
              <w:right w:w="80" w:type="dxa"/>
            </w:tcMar>
          </w:tcPr>
          <w:p w14:paraId="1D3B3E10" w14:textId="77777777" w:rsidR="00B05035" w:rsidRPr="00D23973" w:rsidRDefault="00000000">
            <w:pPr>
              <w:spacing w:after="0" w:line="252" w:lineRule="auto"/>
            </w:pPr>
            <w:r w:rsidRPr="00D23973">
              <w:rPr>
                <w:rFonts w:ascii="Times New Roman" w:hAnsi="Times New Roman"/>
                <w:sz w:val="17"/>
              </w:rPr>
              <w:t>Pale yellow / Clear</w:t>
            </w:r>
          </w:p>
        </w:tc>
        <w:tc>
          <w:tcPr>
            <w:tcW w:w="1560" w:type="dxa"/>
            <w:shd w:val="clear" w:color="auto" w:fill="F9F9F9"/>
            <w:tcMar>
              <w:top w:w="80" w:type="dxa"/>
              <w:left w:w="80" w:type="dxa"/>
              <w:bottom w:w="80" w:type="dxa"/>
              <w:right w:w="80" w:type="dxa"/>
            </w:tcMar>
          </w:tcPr>
          <w:p w14:paraId="04C8B133" w14:textId="77777777" w:rsidR="00B05035" w:rsidRPr="00D23973" w:rsidRDefault="00000000">
            <w:pPr>
              <w:spacing w:after="0" w:line="252" w:lineRule="auto"/>
            </w:pPr>
            <w:r w:rsidRPr="00D23973">
              <w:rPr>
                <w:rFonts w:ascii="Times New Roman" w:hAnsi="Times New Roman"/>
                <w:sz w:val="17"/>
              </w:rPr>
              <w:t>Resolution of gross macroscopic hematuria</w:t>
            </w:r>
          </w:p>
        </w:tc>
      </w:tr>
      <w:tr w:rsidR="00B05035" w:rsidRPr="00D23973" w14:paraId="290E762D" w14:textId="77777777">
        <w:trPr>
          <w:jc w:val="center"/>
        </w:trPr>
        <w:tc>
          <w:tcPr>
            <w:tcW w:w="1560" w:type="dxa"/>
            <w:tcMar>
              <w:top w:w="80" w:type="dxa"/>
              <w:left w:w="80" w:type="dxa"/>
              <w:bottom w:w="80" w:type="dxa"/>
              <w:right w:w="80" w:type="dxa"/>
            </w:tcMar>
          </w:tcPr>
          <w:p w14:paraId="72E61BD7" w14:textId="77777777" w:rsidR="00B05035" w:rsidRPr="00D23973" w:rsidRDefault="00000000">
            <w:pPr>
              <w:spacing w:after="0" w:line="252" w:lineRule="auto"/>
            </w:pPr>
            <w:r w:rsidRPr="00D23973">
              <w:rPr>
                <w:rFonts w:ascii="Times New Roman" w:hAnsi="Times New Roman"/>
                <w:b/>
                <w:sz w:val="17"/>
              </w:rPr>
              <w:t>Sample Volume</w:t>
            </w:r>
          </w:p>
        </w:tc>
        <w:tc>
          <w:tcPr>
            <w:tcW w:w="1560" w:type="dxa"/>
            <w:tcMar>
              <w:top w:w="80" w:type="dxa"/>
              <w:left w:w="80" w:type="dxa"/>
              <w:bottom w:w="80" w:type="dxa"/>
              <w:right w:w="80" w:type="dxa"/>
            </w:tcMar>
          </w:tcPr>
          <w:p w14:paraId="00C70883" w14:textId="77777777" w:rsidR="00B05035" w:rsidRPr="00D23973" w:rsidRDefault="00000000">
            <w:pPr>
              <w:spacing w:after="0" w:line="252" w:lineRule="auto"/>
            </w:pPr>
            <w:r w:rsidRPr="00D23973">
              <w:rPr>
                <w:rFonts w:ascii="Times New Roman" w:hAnsi="Times New Roman"/>
                <w:sz w:val="17"/>
              </w:rPr>
              <w:t>Volumetric</w:t>
            </w:r>
          </w:p>
        </w:tc>
        <w:tc>
          <w:tcPr>
            <w:tcW w:w="1560" w:type="dxa"/>
            <w:tcMar>
              <w:top w:w="80" w:type="dxa"/>
              <w:left w:w="80" w:type="dxa"/>
              <w:bottom w:w="80" w:type="dxa"/>
              <w:right w:w="80" w:type="dxa"/>
            </w:tcMar>
          </w:tcPr>
          <w:p w14:paraId="6E9E3160" w14:textId="77777777" w:rsidR="00B05035" w:rsidRPr="00D23973" w:rsidRDefault="00000000">
            <w:pPr>
              <w:spacing w:after="0" w:line="252" w:lineRule="auto"/>
            </w:pPr>
            <w:r w:rsidRPr="00D23973">
              <w:rPr>
                <w:rFonts w:ascii="Times New Roman" w:hAnsi="Times New Roman"/>
                <w:sz w:val="17"/>
              </w:rPr>
              <w:t>15 mL</w:t>
            </w:r>
          </w:p>
        </w:tc>
        <w:tc>
          <w:tcPr>
            <w:tcW w:w="1560" w:type="dxa"/>
            <w:tcMar>
              <w:top w:w="80" w:type="dxa"/>
              <w:left w:w="80" w:type="dxa"/>
              <w:bottom w:w="80" w:type="dxa"/>
              <w:right w:w="80" w:type="dxa"/>
            </w:tcMar>
          </w:tcPr>
          <w:p w14:paraId="45D91B06" w14:textId="77777777" w:rsidR="00B05035" w:rsidRPr="00D23973" w:rsidRDefault="00000000">
            <w:pPr>
              <w:spacing w:after="0" w:line="252" w:lineRule="auto"/>
            </w:pPr>
            <w:r w:rsidRPr="00D23973">
              <w:rPr>
                <w:rFonts w:ascii="Times New Roman" w:hAnsi="Times New Roman"/>
                <w:sz w:val="17"/>
              </w:rPr>
              <w:t>25 mL</w:t>
            </w:r>
          </w:p>
        </w:tc>
        <w:tc>
          <w:tcPr>
            <w:tcW w:w="1560" w:type="dxa"/>
            <w:tcMar>
              <w:top w:w="80" w:type="dxa"/>
              <w:left w:w="80" w:type="dxa"/>
              <w:bottom w:w="80" w:type="dxa"/>
              <w:right w:w="80" w:type="dxa"/>
            </w:tcMar>
          </w:tcPr>
          <w:p w14:paraId="34EE90D1" w14:textId="77777777" w:rsidR="00B05035" w:rsidRPr="00D23973" w:rsidRDefault="00000000">
            <w:pPr>
              <w:spacing w:after="0" w:line="252" w:lineRule="auto"/>
            </w:pPr>
            <w:r w:rsidRPr="00D23973">
              <w:rPr>
                <w:rFonts w:ascii="Times New Roman" w:hAnsi="Times New Roman"/>
                <w:sz w:val="17"/>
              </w:rPr>
              <w:t>Adequate</w:t>
            </w:r>
          </w:p>
        </w:tc>
        <w:tc>
          <w:tcPr>
            <w:tcW w:w="1560" w:type="dxa"/>
            <w:tcMar>
              <w:top w:w="80" w:type="dxa"/>
              <w:left w:w="80" w:type="dxa"/>
              <w:bottom w:w="80" w:type="dxa"/>
              <w:right w:w="80" w:type="dxa"/>
            </w:tcMar>
          </w:tcPr>
          <w:p w14:paraId="3F368163" w14:textId="77777777" w:rsidR="00B05035" w:rsidRPr="00D23973" w:rsidRDefault="00000000">
            <w:pPr>
              <w:spacing w:after="0" w:line="252" w:lineRule="auto"/>
            </w:pPr>
            <w:r w:rsidRPr="00D23973">
              <w:rPr>
                <w:rFonts w:ascii="Times New Roman" w:hAnsi="Times New Roman"/>
                <w:sz w:val="17"/>
              </w:rPr>
              <w:t>Sufficient urinary volume</w:t>
            </w:r>
          </w:p>
        </w:tc>
      </w:tr>
      <w:tr w:rsidR="00B05035" w:rsidRPr="00D23973" w14:paraId="0E174D88" w14:textId="77777777">
        <w:trPr>
          <w:jc w:val="center"/>
        </w:trPr>
        <w:tc>
          <w:tcPr>
            <w:tcW w:w="1560" w:type="dxa"/>
            <w:shd w:val="clear" w:color="auto" w:fill="F9F9F9"/>
            <w:tcMar>
              <w:top w:w="80" w:type="dxa"/>
              <w:left w:w="80" w:type="dxa"/>
              <w:bottom w:w="80" w:type="dxa"/>
              <w:right w:w="80" w:type="dxa"/>
            </w:tcMar>
          </w:tcPr>
          <w:p w14:paraId="2AD87391" w14:textId="77777777" w:rsidR="00B05035" w:rsidRPr="00D23973" w:rsidRDefault="00000000">
            <w:pPr>
              <w:spacing w:after="0" w:line="252" w:lineRule="auto"/>
            </w:pPr>
            <w:r w:rsidRPr="00D23973">
              <w:rPr>
                <w:rFonts w:ascii="Times New Roman" w:hAnsi="Times New Roman"/>
                <w:b/>
                <w:sz w:val="17"/>
              </w:rPr>
              <w:t>Urine pH</w:t>
            </w:r>
          </w:p>
        </w:tc>
        <w:tc>
          <w:tcPr>
            <w:tcW w:w="1560" w:type="dxa"/>
            <w:shd w:val="clear" w:color="auto" w:fill="F9F9F9"/>
            <w:tcMar>
              <w:top w:w="80" w:type="dxa"/>
              <w:left w:w="80" w:type="dxa"/>
              <w:bottom w:w="80" w:type="dxa"/>
              <w:right w:w="80" w:type="dxa"/>
            </w:tcMar>
          </w:tcPr>
          <w:p w14:paraId="4CD645A3" w14:textId="77777777" w:rsidR="00B05035" w:rsidRPr="00D23973" w:rsidRDefault="00000000">
            <w:pPr>
              <w:spacing w:after="0" w:line="252" w:lineRule="auto"/>
            </w:pPr>
            <w:r w:rsidRPr="00D23973">
              <w:rPr>
                <w:rFonts w:ascii="Times New Roman" w:hAnsi="Times New Roman"/>
                <w:sz w:val="17"/>
              </w:rPr>
              <w:t>Colour Indicator Strip</w:t>
            </w:r>
          </w:p>
        </w:tc>
        <w:tc>
          <w:tcPr>
            <w:tcW w:w="1560" w:type="dxa"/>
            <w:shd w:val="clear" w:color="auto" w:fill="F9F9F9"/>
            <w:tcMar>
              <w:top w:w="80" w:type="dxa"/>
              <w:left w:w="80" w:type="dxa"/>
              <w:bottom w:w="80" w:type="dxa"/>
              <w:right w:w="80" w:type="dxa"/>
            </w:tcMar>
          </w:tcPr>
          <w:p w14:paraId="533A4E63" w14:textId="77777777" w:rsidR="00B05035" w:rsidRPr="00D23973" w:rsidRDefault="00000000">
            <w:pPr>
              <w:spacing w:after="0" w:line="252" w:lineRule="auto"/>
            </w:pPr>
            <w:r w:rsidRPr="00D23973">
              <w:rPr>
                <w:rFonts w:ascii="Times New Roman" w:hAnsi="Times New Roman"/>
                <w:sz w:val="17"/>
              </w:rPr>
              <w:t>8.5</w:t>
            </w:r>
          </w:p>
        </w:tc>
        <w:tc>
          <w:tcPr>
            <w:tcW w:w="1560" w:type="dxa"/>
            <w:shd w:val="clear" w:color="auto" w:fill="F9F9F9"/>
            <w:tcMar>
              <w:top w:w="80" w:type="dxa"/>
              <w:left w:w="80" w:type="dxa"/>
              <w:bottom w:w="80" w:type="dxa"/>
              <w:right w:w="80" w:type="dxa"/>
            </w:tcMar>
          </w:tcPr>
          <w:p w14:paraId="7EDE1370" w14:textId="77777777" w:rsidR="00B05035" w:rsidRPr="00D23973" w:rsidRDefault="00000000">
            <w:pPr>
              <w:spacing w:after="0" w:line="252" w:lineRule="auto"/>
            </w:pPr>
            <w:r w:rsidRPr="00D23973">
              <w:rPr>
                <w:rFonts w:ascii="Times New Roman" w:hAnsi="Times New Roman"/>
                <w:sz w:val="17"/>
              </w:rPr>
              <w:t>6.5</w:t>
            </w:r>
          </w:p>
        </w:tc>
        <w:tc>
          <w:tcPr>
            <w:tcW w:w="1560" w:type="dxa"/>
            <w:shd w:val="clear" w:color="auto" w:fill="F9F9F9"/>
            <w:tcMar>
              <w:top w:w="80" w:type="dxa"/>
              <w:left w:w="80" w:type="dxa"/>
              <w:bottom w:w="80" w:type="dxa"/>
              <w:right w:w="80" w:type="dxa"/>
            </w:tcMar>
          </w:tcPr>
          <w:p w14:paraId="289CA9F9" w14:textId="77777777" w:rsidR="00B05035" w:rsidRPr="00D23973" w:rsidRDefault="00000000">
            <w:pPr>
              <w:spacing w:after="0" w:line="252" w:lineRule="auto"/>
            </w:pPr>
            <w:r w:rsidRPr="00D23973">
              <w:rPr>
                <w:rFonts w:ascii="Times New Roman" w:hAnsi="Times New Roman"/>
                <w:sz w:val="17"/>
              </w:rPr>
              <w:t>4.6 – 8.0</w:t>
            </w:r>
          </w:p>
        </w:tc>
        <w:tc>
          <w:tcPr>
            <w:tcW w:w="1560" w:type="dxa"/>
            <w:shd w:val="clear" w:color="auto" w:fill="F9F9F9"/>
            <w:tcMar>
              <w:top w:w="80" w:type="dxa"/>
              <w:left w:w="80" w:type="dxa"/>
              <w:bottom w:w="80" w:type="dxa"/>
              <w:right w:w="80" w:type="dxa"/>
            </w:tcMar>
          </w:tcPr>
          <w:p w14:paraId="1D3179B8" w14:textId="77777777" w:rsidR="00B05035" w:rsidRPr="00D23973" w:rsidRDefault="00000000">
            <w:pPr>
              <w:spacing w:after="0" w:line="252" w:lineRule="auto"/>
            </w:pPr>
            <w:r w:rsidRPr="00D23973">
              <w:rPr>
                <w:rFonts w:ascii="Times New Roman" w:hAnsi="Times New Roman"/>
                <w:sz w:val="17"/>
              </w:rPr>
              <w:t>Initial alkaline urine indicating urea-splitting UTI; normalized</w:t>
            </w:r>
          </w:p>
        </w:tc>
      </w:tr>
      <w:tr w:rsidR="00B05035" w:rsidRPr="00D23973" w14:paraId="38077D73" w14:textId="77777777">
        <w:trPr>
          <w:jc w:val="center"/>
        </w:trPr>
        <w:tc>
          <w:tcPr>
            <w:tcW w:w="1560" w:type="dxa"/>
            <w:tcMar>
              <w:top w:w="80" w:type="dxa"/>
              <w:left w:w="80" w:type="dxa"/>
              <w:bottom w:w="80" w:type="dxa"/>
              <w:right w:w="80" w:type="dxa"/>
            </w:tcMar>
          </w:tcPr>
          <w:p w14:paraId="2F060B09" w14:textId="77777777" w:rsidR="00B05035" w:rsidRPr="00D23973" w:rsidRDefault="00000000">
            <w:pPr>
              <w:spacing w:after="0" w:line="252" w:lineRule="auto"/>
            </w:pPr>
            <w:r w:rsidRPr="00D23973">
              <w:rPr>
                <w:rFonts w:ascii="Times New Roman" w:hAnsi="Times New Roman"/>
                <w:b/>
                <w:sz w:val="17"/>
              </w:rPr>
              <w:t>Specific Gravity</w:t>
            </w:r>
          </w:p>
        </w:tc>
        <w:tc>
          <w:tcPr>
            <w:tcW w:w="1560" w:type="dxa"/>
            <w:tcMar>
              <w:top w:w="80" w:type="dxa"/>
              <w:left w:w="80" w:type="dxa"/>
              <w:bottom w:w="80" w:type="dxa"/>
              <w:right w:w="80" w:type="dxa"/>
            </w:tcMar>
          </w:tcPr>
          <w:p w14:paraId="15E22DB1" w14:textId="77777777" w:rsidR="00B05035" w:rsidRPr="00D23973" w:rsidRDefault="00000000">
            <w:pPr>
              <w:spacing w:after="0" w:line="252" w:lineRule="auto"/>
            </w:pPr>
            <w:r w:rsidRPr="00D23973">
              <w:rPr>
                <w:rFonts w:ascii="Times New Roman" w:hAnsi="Times New Roman"/>
                <w:sz w:val="17"/>
              </w:rPr>
              <w:t>Refractometry</w:t>
            </w:r>
          </w:p>
        </w:tc>
        <w:tc>
          <w:tcPr>
            <w:tcW w:w="1560" w:type="dxa"/>
            <w:tcMar>
              <w:top w:w="80" w:type="dxa"/>
              <w:left w:w="80" w:type="dxa"/>
              <w:bottom w:w="80" w:type="dxa"/>
              <w:right w:w="80" w:type="dxa"/>
            </w:tcMar>
          </w:tcPr>
          <w:p w14:paraId="20FF957A" w14:textId="77777777" w:rsidR="00B05035" w:rsidRPr="00D23973" w:rsidRDefault="00000000">
            <w:pPr>
              <w:spacing w:after="0" w:line="252" w:lineRule="auto"/>
            </w:pPr>
            <w:r w:rsidRPr="00D23973">
              <w:rPr>
                <w:rFonts w:ascii="Times New Roman" w:hAnsi="Times New Roman"/>
                <w:sz w:val="17"/>
              </w:rPr>
              <w:t>1.010</w:t>
            </w:r>
          </w:p>
        </w:tc>
        <w:tc>
          <w:tcPr>
            <w:tcW w:w="1560" w:type="dxa"/>
            <w:tcMar>
              <w:top w:w="80" w:type="dxa"/>
              <w:left w:w="80" w:type="dxa"/>
              <w:bottom w:w="80" w:type="dxa"/>
              <w:right w:w="80" w:type="dxa"/>
            </w:tcMar>
          </w:tcPr>
          <w:p w14:paraId="08162950" w14:textId="77777777" w:rsidR="00B05035" w:rsidRPr="00D23973" w:rsidRDefault="00000000">
            <w:pPr>
              <w:spacing w:after="0" w:line="252" w:lineRule="auto"/>
            </w:pPr>
            <w:r w:rsidRPr="00D23973">
              <w:rPr>
                <w:rFonts w:ascii="Times New Roman" w:hAnsi="Times New Roman"/>
                <w:sz w:val="17"/>
              </w:rPr>
              <w:t>1.015</w:t>
            </w:r>
          </w:p>
        </w:tc>
        <w:tc>
          <w:tcPr>
            <w:tcW w:w="1560" w:type="dxa"/>
            <w:tcMar>
              <w:top w:w="80" w:type="dxa"/>
              <w:left w:w="80" w:type="dxa"/>
              <w:bottom w:w="80" w:type="dxa"/>
              <w:right w:w="80" w:type="dxa"/>
            </w:tcMar>
          </w:tcPr>
          <w:p w14:paraId="553B9A2F" w14:textId="77777777" w:rsidR="00B05035" w:rsidRPr="00D23973" w:rsidRDefault="00000000">
            <w:pPr>
              <w:spacing w:after="0" w:line="252" w:lineRule="auto"/>
            </w:pPr>
            <w:r w:rsidRPr="00D23973">
              <w:rPr>
                <w:rFonts w:ascii="Times New Roman" w:hAnsi="Times New Roman"/>
                <w:sz w:val="17"/>
              </w:rPr>
              <w:t>1.003 – 1.030</w:t>
            </w:r>
          </w:p>
        </w:tc>
        <w:tc>
          <w:tcPr>
            <w:tcW w:w="1560" w:type="dxa"/>
            <w:tcMar>
              <w:top w:w="80" w:type="dxa"/>
              <w:left w:w="80" w:type="dxa"/>
              <w:bottom w:w="80" w:type="dxa"/>
              <w:right w:w="80" w:type="dxa"/>
            </w:tcMar>
          </w:tcPr>
          <w:p w14:paraId="6A96D8C9" w14:textId="77777777" w:rsidR="00B05035" w:rsidRPr="00D23973" w:rsidRDefault="00000000">
            <w:pPr>
              <w:spacing w:after="0" w:line="252" w:lineRule="auto"/>
            </w:pPr>
            <w:r w:rsidRPr="00D23973">
              <w:rPr>
                <w:rFonts w:ascii="Times New Roman" w:hAnsi="Times New Roman"/>
                <w:sz w:val="17"/>
              </w:rPr>
              <w:t>Adequate renal tubular concentrating ability</w:t>
            </w:r>
          </w:p>
        </w:tc>
      </w:tr>
      <w:tr w:rsidR="00B05035" w:rsidRPr="00D23973" w14:paraId="2AA9CE89" w14:textId="77777777">
        <w:trPr>
          <w:jc w:val="center"/>
        </w:trPr>
        <w:tc>
          <w:tcPr>
            <w:tcW w:w="1560" w:type="dxa"/>
            <w:shd w:val="clear" w:color="auto" w:fill="F9F9F9"/>
            <w:tcMar>
              <w:top w:w="80" w:type="dxa"/>
              <w:left w:w="80" w:type="dxa"/>
              <w:bottom w:w="80" w:type="dxa"/>
              <w:right w:w="80" w:type="dxa"/>
            </w:tcMar>
          </w:tcPr>
          <w:p w14:paraId="126463DF" w14:textId="77777777" w:rsidR="00B05035" w:rsidRPr="00D23973" w:rsidRDefault="00000000">
            <w:pPr>
              <w:spacing w:after="0" w:line="252" w:lineRule="auto"/>
            </w:pPr>
            <w:r w:rsidRPr="00D23973">
              <w:rPr>
                <w:rFonts w:ascii="Times New Roman" w:hAnsi="Times New Roman"/>
                <w:b/>
                <w:sz w:val="17"/>
              </w:rPr>
              <w:t>Urine Sugar</w:t>
            </w:r>
          </w:p>
        </w:tc>
        <w:tc>
          <w:tcPr>
            <w:tcW w:w="1560" w:type="dxa"/>
            <w:shd w:val="clear" w:color="auto" w:fill="F9F9F9"/>
            <w:tcMar>
              <w:top w:w="80" w:type="dxa"/>
              <w:left w:w="80" w:type="dxa"/>
              <w:bottom w:w="80" w:type="dxa"/>
              <w:right w:w="80" w:type="dxa"/>
            </w:tcMar>
          </w:tcPr>
          <w:p w14:paraId="3058133E" w14:textId="77777777" w:rsidR="00B05035" w:rsidRPr="00D23973" w:rsidRDefault="00000000">
            <w:pPr>
              <w:spacing w:after="0" w:line="252" w:lineRule="auto"/>
            </w:pPr>
            <w:r w:rsidRPr="00D23973">
              <w:rPr>
                <w:rFonts w:ascii="Times New Roman" w:hAnsi="Times New Roman"/>
                <w:sz w:val="17"/>
              </w:rPr>
              <w:t>Enzymatic UV / Hexokinase</w:t>
            </w:r>
          </w:p>
        </w:tc>
        <w:tc>
          <w:tcPr>
            <w:tcW w:w="1560" w:type="dxa"/>
            <w:shd w:val="clear" w:color="auto" w:fill="F9F9F9"/>
            <w:tcMar>
              <w:top w:w="80" w:type="dxa"/>
              <w:left w:w="80" w:type="dxa"/>
              <w:bottom w:w="80" w:type="dxa"/>
              <w:right w:w="80" w:type="dxa"/>
            </w:tcMar>
          </w:tcPr>
          <w:p w14:paraId="3DE6F1F6" w14:textId="77777777" w:rsidR="00B05035" w:rsidRPr="00D23973" w:rsidRDefault="00000000">
            <w:pPr>
              <w:spacing w:after="0" w:line="252" w:lineRule="auto"/>
            </w:pPr>
            <w:r w:rsidRPr="00D23973">
              <w:rPr>
                <w:rFonts w:ascii="Times New Roman" w:hAnsi="Times New Roman"/>
                <w:sz w:val="17"/>
              </w:rPr>
              <w:t>Negative</w:t>
            </w:r>
          </w:p>
        </w:tc>
        <w:tc>
          <w:tcPr>
            <w:tcW w:w="1560" w:type="dxa"/>
            <w:shd w:val="clear" w:color="auto" w:fill="F9F9F9"/>
            <w:tcMar>
              <w:top w:w="80" w:type="dxa"/>
              <w:left w:w="80" w:type="dxa"/>
              <w:bottom w:w="80" w:type="dxa"/>
              <w:right w:w="80" w:type="dxa"/>
            </w:tcMar>
          </w:tcPr>
          <w:p w14:paraId="5FDD4C4C" w14:textId="77777777" w:rsidR="00B05035" w:rsidRPr="00D23973" w:rsidRDefault="00000000">
            <w:pPr>
              <w:spacing w:after="0" w:line="252" w:lineRule="auto"/>
            </w:pPr>
            <w:r w:rsidRPr="00D23973">
              <w:rPr>
                <w:rFonts w:ascii="Times New Roman" w:hAnsi="Times New Roman"/>
                <w:sz w:val="17"/>
              </w:rPr>
              <w:t>Negative</w:t>
            </w:r>
          </w:p>
        </w:tc>
        <w:tc>
          <w:tcPr>
            <w:tcW w:w="1560" w:type="dxa"/>
            <w:shd w:val="clear" w:color="auto" w:fill="F9F9F9"/>
            <w:tcMar>
              <w:top w:w="80" w:type="dxa"/>
              <w:left w:w="80" w:type="dxa"/>
              <w:bottom w:w="80" w:type="dxa"/>
              <w:right w:w="80" w:type="dxa"/>
            </w:tcMar>
          </w:tcPr>
          <w:p w14:paraId="47C4E8F5" w14:textId="77777777" w:rsidR="00B05035" w:rsidRPr="00D23973" w:rsidRDefault="00000000">
            <w:pPr>
              <w:spacing w:after="0" w:line="252" w:lineRule="auto"/>
            </w:pPr>
            <w:r w:rsidRPr="00D23973">
              <w:rPr>
                <w:rFonts w:ascii="Times New Roman" w:hAnsi="Times New Roman"/>
                <w:sz w:val="17"/>
              </w:rPr>
              <w:t>Negative</w:t>
            </w:r>
          </w:p>
        </w:tc>
        <w:tc>
          <w:tcPr>
            <w:tcW w:w="1560" w:type="dxa"/>
            <w:shd w:val="clear" w:color="auto" w:fill="F9F9F9"/>
            <w:tcMar>
              <w:top w:w="80" w:type="dxa"/>
              <w:left w:w="80" w:type="dxa"/>
              <w:bottom w:w="80" w:type="dxa"/>
              <w:right w:w="80" w:type="dxa"/>
            </w:tcMar>
          </w:tcPr>
          <w:p w14:paraId="6829E7AD" w14:textId="77777777" w:rsidR="00B05035" w:rsidRPr="00D23973" w:rsidRDefault="00000000">
            <w:pPr>
              <w:spacing w:after="0" w:line="252" w:lineRule="auto"/>
            </w:pPr>
            <w:r w:rsidRPr="00D23973">
              <w:rPr>
                <w:rFonts w:ascii="Times New Roman" w:hAnsi="Times New Roman"/>
                <w:sz w:val="17"/>
              </w:rPr>
              <w:t>Normal glucose homeostasis; absence of glycosuria</w:t>
            </w:r>
          </w:p>
        </w:tc>
      </w:tr>
      <w:tr w:rsidR="00B05035" w:rsidRPr="00D23973" w14:paraId="25907071" w14:textId="77777777">
        <w:trPr>
          <w:jc w:val="center"/>
        </w:trPr>
        <w:tc>
          <w:tcPr>
            <w:tcW w:w="1560" w:type="dxa"/>
            <w:tcMar>
              <w:top w:w="80" w:type="dxa"/>
              <w:left w:w="80" w:type="dxa"/>
              <w:bottom w:w="80" w:type="dxa"/>
              <w:right w:w="80" w:type="dxa"/>
            </w:tcMar>
          </w:tcPr>
          <w:p w14:paraId="4F652CD1" w14:textId="77777777" w:rsidR="00B05035" w:rsidRPr="00D23973" w:rsidRDefault="00000000">
            <w:pPr>
              <w:spacing w:after="0" w:line="252" w:lineRule="auto"/>
            </w:pPr>
            <w:r w:rsidRPr="00D23973">
              <w:rPr>
                <w:rFonts w:ascii="Times New Roman" w:hAnsi="Times New Roman"/>
                <w:b/>
                <w:sz w:val="17"/>
              </w:rPr>
              <w:t>Urine Protein</w:t>
            </w:r>
          </w:p>
        </w:tc>
        <w:tc>
          <w:tcPr>
            <w:tcW w:w="1560" w:type="dxa"/>
            <w:tcMar>
              <w:top w:w="80" w:type="dxa"/>
              <w:left w:w="80" w:type="dxa"/>
              <w:bottom w:w="80" w:type="dxa"/>
              <w:right w:w="80" w:type="dxa"/>
            </w:tcMar>
          </w:tcPr>
          <w:p w14:paraId="77753FF7" w14:textId="77777777" w:rsidR="00B05035" w:rsidRPr="00D23973" w:rsidRDefault="00000000">
            <w:pPr>
              <w:spacing w:after="0" w:line="252" w:lineRule="auto"/>
            </w:pPr>
            <w:r w:rsidRPr="00D23973">
              <w:rPr>
                <w:rFonts w:ascii="Times New Roman" w:hAnsi="Times New Roman"/>
                <w:sz w:val="17"/>
              </w:rPr>
              <w:t>pH Protein Error Method</w:t>
            </w:r>
          </w:p>
        </w:tc>
        <w:tc>
          <w:tcPr>
            <w:tcW w:w="1560" w:type="dxa"/>
            <w:tcMar>
              <w:top w:w="80" w:type="dxa"/>
              <w:left w:w="80" w:type="dxa"/>
              <w:bottom w:w="80" w:type="dxa"/>
              <w:right w:w="80" w:type="dxa"/>
            </w:tcMar>
          </w:tcPr>
          <w:p w14:paraId="6823D21A" w14:textId="77777777" w:rsidR="00B05035" w:rsidRPr="00D23973" w:rsidRDefault="00000000">
            <w:pPr>
              <w:spacing w:after="0" w:line="252" w:lineRule="auto"/>
            </w:pPr>
            <w:r w:rsidRPr="00D23973">
              <w:rPr>
                <w:rFonts w:ascii="Times New Roman" w:hAnsi="Times New Roman"/>
                <w:sz w:val="17"/>
              </w:rPr>
              <w:t>2+ (Positive)</w:t>
            </w:r>
          </w:p>
        </w:tc>
        <w:tc>
          <w:tcPr>
            <w:tcW w:w="1560" w:type="dxa"/>
            <w:tcMar>
              <w:top w:w="80" w:type="dxa"/>
              <w:left w:w="80" w:type="dxa"/>
              <w:bottom w:w="80" w:type="dxa"/>
              <w:right w:w="80" w:type="dxa"/>
            </w:tcMar>
          </w:tcPr>
          <w:p w14:paraId="41401486" w14:textId="77777777" w:rsidR="00B05035" w:rsidRPr="00D23973" w:rsidRDefault="00000000">
            <w:pPr>
              <w:spacing w:after="0" w:line="252" w:lineRule="auto"/>
            </w:pPr>
            <w:r w:rsidRPr="00D23973">
              <w:rPr>
                <w:rFonts w:ascii="Times New Roman" w:hAnsi="Times New Roman"/>
                <w:sz w:val="17"/>
              </w:rPr>
              <w:t>Negative / Trace</w:t>
            </w:r>
          </w:p>
        </w:tc>
        <w:tc>
          <w:tcPr>
            <w:tcW w:w="1560" w:type="dxa"/>
            <w:tcMar>
              <w:top w:w="80" w:type="dxa"/>
              <w:left w:w="80" w:type="dxa"/>
              <w:bottom w:w="80" w:type="dxa"/>
              <w:right w:w="80" w:type="dxa"/>
            </w:tcMar>
          </w:tcPr>
          <w:p w14:paraId="526033CB"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4FAFC7CA" w14:textId="77777777" w:rsidR="00B05035" w:rsidRPr="00D23973" w:rsidRDefault="00000000">
            <w:pPr>
              <w:spacing w:after="0" w:line="252" w:lineRule="auto"/>
            </w:pPr>
            <w:r w:rsidRPr="00D23973">
              <w:rPr>
                <w:rFonts w:ascii="Times New Roman" w:hAnsi="Times New Roman"/>
                <w:sz w:val="17"/>
              </w:rPr>
              <w:t>Initial significant proteinuria resolved with treatment</w:t>
            </w:r>
          </w:p>
        </w:tc>
      </w:tr>
      <w:tr w:rsidR="00B05035" w:rsidRPr="00D23973" w14:paraId="13258BB4" w14:textId="77777777">
        <w:trPr>
          <w:jc w:val="center"/>
        </w:trPr>
        <w:tc>
          <w:tcPr>
            <w:tcW w:w="1560" w:type="dxa"/>
            <w:shd w:val="clear" w:color="auto" w:fill="F9F9F9"/>
            <w:tcMar>
              <w:top w:w="80" w:type="dxa"/>
              <w:left w:w="80" w:type="dxa"/>
              <w:bottom w:w="80" w:type="dxa"/>
              <w:right w:w="80" w:type="dxa"/>
            </w:tcMar>
          </w:tcPr>
          <w:p w14:paraId="313673A5" w14:textId="77777777" w:rsidR="00B05035" w:rsidRPr="00D23973" w:rsidRDefault="00000000">
            <w:pPr>
              <w:spacing w:after="0" w:line="252" w:lineRule="auto"/>
            </w:pPr>
            <w:r w:rsidRPr="00D23973">
              <w:rPr>
                <w:rFonts w:ascii="Times New Roman" w:hAnsi="Times New Roman"/>
                <w:b/>
                <w:sz w:val="17"/>
              </w:rPr>
              <w:t>Ketone Bodies</w:t>
            </w:r>
          </w:p>
        </w:tc>
        <w:tc>
          <w:tcPr>
            <w:tcW w:w="1560" w:type="dxa"/>
            <w:shd w:val="clear" w:color="auto" w:fill="F9F9F9"/>
            <w:tcMar>
              <w:top w:w="80" w:type="dxa"/>
              <w:left w:w="80" w:type="dxa"/>
              <w:bottom w:w="80" w:type="dxa"/>
              <w:right w:w="80" w:type="dxa"/>
            </w:tcMar>
          </w:tcPr>
          <w:p w14:paraId="10FF5D8E" w14:textId="77777777" w:rsidR="00B05035" w:rsidRPr="00D23973" w:rsidRDefault="00000000">
            <w:pPr>
              <w:spacing w:after="0" w:line="252" w:lineRule="auto"/>
            </w:pPr>
            <w:r w:rsidRPr="00D23973">
              <w:rPr>
                <w:rFonts w:ascii="Times New Roman" w:hAnsi="Times New Roman"/>
                <w:sz w:val="17"/>
              </w:rPr>
              <w:t>Nitroprusside Reaction</w:t>
            </w:r>
          </w:p>
        </w:tc>
        <w:tc>
          <w:tcPr>
            <w:tcW w:w="1560" w:type="dxa"/>
            <w:shd w:val="clear" w:color="auto" w:fill="F9F9F9"/>
            <w:tcMar>
              <w:top w:w="80" w:type="dxa"/>
              <w:left w:w="80" w:type="dxa"/>
              <w:bottom w:w="80" w:type="dxa"/>
              <w:right w:w="80" w:type="dxa"/>
            </w:tcMar>
          </w:tcPr>
          <w:p w14:paraId="2FB4D78B" w14:textId="77777777" w:rsidR="00B05035" w:rsidRPr="00D23973" w:rsidRDefault="00000000">
            <w:pPr>
              <w:spacing w:after="0" w:line="252" w:lineRule="auto"/>
            </w:pPr>
            <w:r w:rsidRPr="00D23973">
              <w:rPr>
                <w:rFonts w:ascii="Times New Roman" w:hAnsi="Times New Roman"/>
                <w:sz w:val="17"/>
              </w:rPr>
              <w:t>Negative</w:t>
            </w:r>
          </w:p>
        </w:tc>
        <w:tc>
          <w:tcPr>
            <w:tcW w:w="1560" w:type="dxa"/>
            <w:shd w:val="clear" w:color="auto" w:fill="F9F9F9"/>
            <w:tcMar>
              <w:top w:w="80" w:type="dxa"/>
              <w:left w:w="80" w:type="dxa"/>
              <w:bottom w:w="80" w:type="dxa"/>
              <w:right w:w="80" w:type="dxa"/>
            </w:tcMar>
          </w:tcPr>
          <w:p w14:paraId="47BDC9DC" w14:textId="77777777" w:rsidR="00B05035" w:rsidRPr="00D23973" w:rsidRDefault="00000000">
            <w:pPr>
              <w:spacing w:after="0" w:line="252" w:lineRule="auto"/>
            </w:pPr>
            <w:r w:rsidRPr="00D23973">
              <w:rPr>
                <w:rFonts w:ascii="Times New Roman" w:hAnsi="Times New Roman"/>
                <w:sz w:val="17"/>
              </w:rPr>
              <w:t>Negative</w:t>
            </w:r>
          </w:p>
        </w:tc>
        <w:tc>
          <w:tcPr>
            <w:tcW w:w="1560" w:type="dxa"/>
            <w:shd w:val="clear" w:color="auto" w:fill="F9F9F9"/>
            <w:tcMar>
              <w:top w:w="80" w:type="dxa"/>
              <w:left w:w="80" w:type="dxa"/>
              <w:bottom w:w="80" w:type="dxa"/>
              <w:right w:w="80" w:type="dxa"/>
            </w:tcMar>
          </w:tcPr>
          <w:p w14:paraId="56F5D902" w14:textId="77777777" w:rsidR="00B05035" w:rsidRPr="00D23973" w:rsidRDefault="00000000">
            <w:pPr>
              <w:spacing w:after="0" w:line="252" w:lineRule="auto"/>
            </w:pPr>
            <w:r w:rsidRPr="00D23973">
              <w:rPr>
                <w:rFonts w:ascii="Times New Roman" w:hAnsi="Times New Roman"/>
                <w:sz w:val="17"/>
              </w:rPr>
              <w:t>Negative</w:t>
            </w:r>
          </w:p>
        </w:tc>
        <w:tc>
          <w:tcPr>
            <w:tcW w:w="1560" w:type="dxa"/>
            <w:shd w:val="clear" w:color="auto" w:fill="F9F9F9"/>
            <w:tcMar>
              <w:top w:w="80" w:type="dxa"/>
              <w:left w:w="80" w:type="dxa"/>
              <w:bottom w:w="80" w:type="dxa"/>
              <w:right w:w="80" w:type="dxa"/>
            </w:tcMar>
          </w:tcPr>
          <w:p w14:paraId="309304A2" w14:textId="77777777" w:rsidR="00B05035" w:rsidRPr="00D23973" w:rsidRDefault="00000000">
            <w:pPr>
              <w:spacing w:after="0" w:line="252" w:lineRule="auto"/>
            </w:pPr>
            <w:r w:rsidRPr="00D23973">
              <w:rPr>
                <w:rFonts w:ascii="Times New Roman" w:hAnsi="Times New Roman"/>
                <w:sz w:val="17"/>
              </w:rPr>
              <w:t>Absence of starvation ketosis or DKA</w:t>
            </w:r>
          </w:p>
        </w:tc>
      </w:tr>
      <w:tr w:rsidR="00B05035" w:rsidRPr="00D23973" w14:paraId="070EF028" w14:textId="77777777">
        <w:trPr>
          <w:jc w:val="center"/>
        </w:trPr>
        <w:tc>
          <w:tcPr>
            <w:tcW w:w="1560" w:type="dxa"/>
            <w:tcMar>
              <w:top w:w="80" w:type="dxa"/>
              <w:left w:w="80" w:type="dxa"/>
              <w:bottom w:w="80" w:type="dxa"/>
              <w:right w:w="80" w:type="dxa"/>
            </w:tcMar>
          </w:tcPr>
          <w:p w14:paraId="226D2B7E" w14:textId="77777777" w:rsidR="00B05035" w:rsidRPr="00D23973" w:rsidRDefault="00000000">
            <w:pPr>
              <w:spacing w:after="0" w:line="252" w:lineRule="auto"/>
            </w:pPr>
            <w:r w:rsidRPr="00D23973">
              <w:rPr>
                <w:rFonts w:ascii="Times New Roman" w:hAnsi="Times New Roman"/>
                <w:b/>
                <w:sz w:val="17"/>
              </w:rPr>
              <w:t>Bilirubin</w:t>
            </w:r>
          </w:p>
        </w:tc>
        <w:tc>
          <w:tcPr>
            <w:tcW w:w="1560" w:type="dxa"/>
            <w:tcMar>
              <w:top w:w="80" w:type="dxa"/>
              <w:left w:w="80" w:type="dxa"/>
              <w:bottom w:w="80" w:type="dxa"/>
              <w:right w:w="80" w:type="dxa"/>
            </w:tcMar>
          </w:tcPr>
          <w:p w14:paraId="512A55F7" w14:textId="77777777" w:rsidR="00B05035" w:rsidRPr="00D23973" w:rsidRDefault="00000000">
            <w:pPr>
              <w:spacing w:after="0" w:line="252" w:lineRule="auto"/>
            </w:pPr>
            <w:r w:rsidRPr="00D23973">
              <w:rPr>
                <w:rFonts w:ascii="Times New Roman" w:hAnsi="Times New Roman"/>
                <w:sz w:val="17"/>
              </w:rPr>
              <w:t>Azo Coupling</w:t>
            </w:r>
          </w:p>
        </w:tc>
        <w:tc>
          <w:tcPr>
            <w:tcW w:w="1560" w:type="dxa"/>
            <w:tcMar>
              <w:top w:w="80" w:type="dxa"/>
              <w:left w:w="80" w:type="dxa"/>
              <w:bottom w:w="80" w:type="dxa"/>
              <w:right w:w="80" w:type="dxa"/>
            </w:tcMar>
          </w:tcPr>
          <w:p w14:paraId="6030D2B9"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4C10F5EC"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41B73C18"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2D894AFF" w14:textId="77777777" w:rsidR="00B05035" w:rsidRPr="00D23973" w:rsidRDefault="00000000">
            <w:pPr>
              <w:spacing w:after="0" w:line="252" w:lineRule="auto"/>
            </w:pPr>
            <w:r w:rsidRPr="00D23973">
              <w:rPr>
                <w:rFonts w:ascii="Times New Roman" w:hAnsi="Times New Roman"/>
                <w:sz w:val="17"/>
              </w:rPr>
              <w:t>Absence of conjugated hyperbilirubinuria</w:t>
            </w:r>
          </w:p>
        </w:tc>
      </w:tr>
      <w:tr w:rsidR="00B05035" w:rsidRPr="00D23973" w14:paraId="3B17C6CC" w14:textId="77777777">
        <w:trPr>
          <w:jc w:val="center"/>
        </w:trPr>
        <w:tc>
          <w:tcPr>
            <w:tcW w:w="1560" w:type="dxa"/>
            <w:shd w:val="clear" w:color="auto" w:fill="F9F9F9"/>
            <w:tcMar>
              <w:top w:w="80" w:type="dxa"/>
              <w:left w:w="80" w:type="dxa"/>
              <w:bottom w:w="80" w:type="dxa"/>
              <w:right w:w="80" w:type="dxa"/>
            </w:tcMar>
          </w:tcPr>
          <w:p w14:paraId="631FE800" w14:textId="77777777" w:rsidR="00B05035" w:rsidRPr="00D23973" w:rsidRDefault="00000000">
            <w:pPr>
              <w:spacing w:after="0" w:line="252" w:lineRule="auto"/>
            </w:pPr>
            <w:r w:rsidRPr="00D23973">
              <w:rPr>
                <w:rFonts w:ascii="Times New Roman" w:hAnsi="Times New Roman"/>
                <w:b/>
                <w:sz w:val="17"/>
              </w:rPr>
              <w:t>Urobilinogen</w:t>
            </w:r>
          </w:p>
        </w:tc>
        <w:tc>
          <w:tcPr>
            <w:tcW w:w="1560" w:type="dxa"/>
            <w:shd w:val="clear" w:color="auto" w:fill="F9F9F9"/>
            <w:tcMar>
              <w:top w:w="80" w:type="dxa"/>
              <w:left w:w="80" w:type="dxa"/>
              <w:bottom w:w="80" w:type="dxa"/>
              <w:right w:w="80" w:type="dxa"/>
            </w:tcMar>
          </w:tcPr>
          <w:p w14:paraId="5A142E0D" w14:textId="77777777" w:rsidR="00B05035" w:rsidRPr="00D23973" w:rsidRDefault="00000000">
            <w:pPr>
              <w:spacing w:after="0" w:line="252" w:lineRule="auto"/>
            </w:pPr>
            <w:r w:rsidRPr="00D23973">
              <w:rPr>
                <w:rFonts w:ascii="Times New Roman" w:hAnsi="Times New Roman"/>
                <w:sz w:val="17"/>
              </w:rPr>
              <w:t>Azo Coupling</w:t>
            </w:r>
          </w:p>
        </w:tc>
        <w:tc>
          <w:tcPr>
            <w:tcW w:w="1560" w:type="dxa"/>
            <w:shd w:val="clear" w:color="auto" w:fill="F9F9F9"/>
            <w:tcMar>
              <w:top w:w="80" w:type="dxa"/>
              <w:left w:w="80" w:type="dxa"/>
              <w:bottom w:w="80" w:type="dxa"/>
              <w:right w:w="80" w:type="dxa"/>
            </w:tcMar>
          </w:tcPr>
          <w:p w14:paraId="533791B2" w14:textId="77777777" w:rsidR="00B05035" w:rsidRPr="00D23973" w:rsidRDefault="00000000">
            <w:pPr>
              <w:spacing w:after="0" w:line="252" w:lineRule="auto"/>
            </w:pPr>
            <w:r w:rsidRPr="00D23973">
              <w:rPr>
                <w:rFonts w:ascii="Times New Roman" w:hAnsi="Times New Roman"/>
                <w:sz w:val="17"/>
              </w:rPr>
              <w:t>Normal (0.2–1 mg/dL)</w:t>
            </w:r>
          </w:p>
        </w:tc>
        <w:tc>
          <w:tcPr>
            <w:tcW w:w="1560" w:type="dxa"/>
            <w:shd w:val="clear" w:color="auto" w:fill="F9F9F9"/>
            <w:tcMar>
              <w:top w:w="80" w:type="dxa"/>
              <w:left w:w="80" w:type="dxa"/>
              <w:bottom w:w="80" w:type="dxa"/>
              <w:right w:w="80" w:type="dxa"/>
            </w:tcMar>
          </w:tcPr>
          <w:p w14:paraId="15DD45DD" w14:textId="77777777" w:rsidR="00B05035" w:rsidRPr="00D23973" w:rsidRDefault="00000000">
            <w:pPr>
              <w:spacing w:after="0" w:line="252" w:lineRule="auto"/>
            </w:pPr>
            <w:r w:rsidRPr="00D23973">
              <w:rPr>
                <w:rFonts w:ascii="Times New Roman" w:hAnsi="Times New Roman"/>
                <w:sz w:val="17"/>
              </w:rPr>
              <w:t>Normal</w:t>
            </w:r>
          </w:p>
        </w:tc>
        <w:tc>
          <w:tcPr>
            <w:tcW w:w="1560" w:type="dxa"/>
            <w:shd w:val="clear" w:color="auto" w:fill="F9F9F9"/>
            <w:tcMar>
              <w:top w:w="80" w:type="dxa"/>
              <w:left w:w="80" w:type="dxa"/>
              <w:bottom w:w="80" w:type="dxa"/>
              <w:right w:w="80" w:type="dxa"/>
            </w:tcMar>
          </w:tcPr>
          <w:p w14:paraId="64CDEDD9" w14:textId="77777777" w:rsidR="00B05035" w:rsidRPr="00D23973" w:rsidRDefault="00000000">
            <w:pPr>
              <w:spacing w:after="0" w:line="252" w:lineRule="auto"/>
            </w:pPr>
            <w:r w:rsidRPr="00D23973">
              <w:rPr>
                <w:rFonts w:ascii="Times New Roman" w:hAnsi="Times New Roman"/>
                <w:sz w:val="17"/>
              </w:rPr>
              <w:t>0.2 – 1.0 mg/dL</w:t>
            </w:r>
          </w:p>
        </w:tc>
        <w:tc>
          <w:tcPr>
            <w:tcW w:w="1560" w:type="dxa"/>
            <w:shd w:val="clear" w:color="auto" w:fill="F9F9F9"/>
            <w:tcMar>
              <w:top w:w="80" w:type="dxa"/>
              <w:left w:w="80" w:type="dxa"/>
              <w:bottom w:w="80" w:type="dxa"/>
              <w:right w:w="80" w:type="dxa"/>
            </w:tcMar>
          </w:tcPr>
          <w:p w14:paraId="4B2A915F" w14:textId="77777777" w:rsidR="00B05035" w:rsidRPr="00D23973" w:rsidRDefault="00000000">
            <w:pPr>
              <w:spacing w:after="0" w:line="252" w:lineRule="auto"/>
            </w:pPr>
            <w:r w:rsidRPr="00D23973">
              <w:rPr>
                <w:rFonts w:ascii="Times New Roman" w:hAnsi="Times New Roman"/>
                <w:sz w:val="17"/>
              </w:rPr>
              <w:t>Normal excretion profile</w:t>
            </w:r>
          </w:p>
        </w:tc>
      </w:tr>
      <w:tr w:rsidR="00B05035" w:rsidRPr="00D23973" w14:paraId="1BFD0C41" w14:textId="77777777">
        <w:trPr>
          <w:jc w:val="center"/>
        </w:trPr>
        <w:tc>
          <w:tcPr>
            <w:tcW w:w="1560" w:type="dxa"/>
            <w:tcMar>
              <w:top w:w="80" w:type="dxa"/>
              <w:left w:w="80" w:type="dxa"/>
              <w:bottom w:w="80" w:type="dxa"/>
              <w:right w:w="80" w:type="dxa"/>
            </w:tcMar>
          </w:tcPr>
          <w:p w14:paraId="1A325F6C" w14:textId="77777777" w:rsidR="00B05035" w:rsidRPr="00D23973" w:rsidRDefault="00000000">
            <w:pPr>
              <w:spacing w:after="0" w:line="252" w:lineRule="auto"/>
            </w:pPr>
            <w:r w:rsidRPr="00D23973">
              <w:rPr>
                <w:rFonts w:ascii="Times New Roman" w:hAnsi="Times New Roman"/>
                <w:b/>
                <w:sz w:val="17"/>
              </w:rPr>
              <w:t>Nitrites</w:t>
            </w:r>
          </w:p>
        </w:tc>
        <w:tc>
          <w:tcPr>
            <w:tcW w:w="1560" w:type="dxa"/>
            <w:tcMar>
              <w:top w:w="80" w:type="dxa"/>
              <w:left w:w="80" w:type="dxa"/>
              <w:bottom w:w="80" w:type="dxa"/>
              <w:right w:w="80" w:type="dxa"/>
            </w:tcMar>
          </w:tcPr>
          <w:p w14:paraId="19836783" w14:textId="77777777" w:rsidR="00B05035" w:rsidRPr="00D23973" w:rsidRDefault="00000000">
            <w:pPr>
              <w:spacing w:after="0" w:line="252" w:lineRule="auto"/>
            </w:pPr>
            <w:r w:rsidRPr="00D23973">
              <w:rPr>
                <w:rFonts w:ascii="Times New Roman" w:hAnsi="Times New Roman"/>
                <w:sz w:val="17"/>
              </w:rPr>
              <w:t>Griess Reagent</w:t>
            </w:r>
          </w:p>
        </w:tc>
        <w:tc>
          <w:tcPr>
            <w:tcW w:w="1560" w:type="dxa"/>
            <w:tcMar>
              <w:top w:w="80" w:type="dxa"/>
              <w:left w:w="80" w:type="dxa"/>
              <w:bottom w:w="80" w:type="dxa"/>
              <w:right w:w="80" w:type="dxa"/>
            </w:tcMar>
          </w:tcPr>
          <w:p w14:paraId="6126C5AF"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277AB426"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295DED06"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135AC325" w14:textId="77777777" w:rsidR="00B05035" w:rsidRPr="00D23973" w:rsidRDefault="00000000">
            <w:pPr>
              <w:spacing w:after="0" w:line="252" w:lineRule="auto"/>
            </w:pPr>
            <w:r w:rsidRPr="00D23973">
              <w:rPr>
                <w:rFonts w:ascii="Times New Roman" w:hAnsi="Times New Roman"/>
                <w:sz w:val="17"/>
              </w:rPr>
              <w:t>Initial nitrite false-negative due to high urinary turnover</w:t>
            </w:r>
          </w:p>
        </w:tc>
      </w:tr>
      <w:tr w:rsidR="00B05035" w:rsidRPr="00D23973" w14:paraId="05105B9B" w14:textId="77777777">
        <w:trPr>
          <w:jc w:val="center"/>
        </w:trPr>
        <w:tc>
          <w:tcPr>
            <w:tcW w:w="1560" w:type="dxa"/>
            <w:shd w:val="clear" w:color="auto" w:fill="F9F9F9"/>
            <w:tcMar>
              <w:top w:w="80" w:type="dxa"/>
              <w:left w:w="80" w:type="dxa"/>
              <w:bottom w:w="80" w:type="dxa"/>
              <w:right w:w="80" w:type="dxa"/>
            </w:tcMar>
          </w:tcPr>
          <w:p w14:paraId="55CBDABA" w14:textId="77777777" w:rsidR="00B05035" w:rsidRPr="00D23973" w:rsidRDefault="00000000">
            <w:pPr>
              <w:spacing w:after="0" w:line="252" w:lineRule="auto"/>
            </w:pPr>
            <w:r w:rsidRPr="00D23973">
              <w:rPr>
                <w:rFonts w:ascii="Times New Roman" w:hAnsi="Times New Roman"/>
                <w:b/>
                <w:sz w:val="17"/>
              </w:rPr>
              <w:t>Occult Blood / Hb</w:t>
            </w:r>
          </w:p>
        </w:tc>
        <w:tc>
          <w:tcPr>
            <w:tcW w:w="1560" w:type="dxa"/>
            <w:shd w:val="clear" w:color="auto" w:fill="F9F9F9"/>
            <w:tcMar>
              <w:top w:w="80" w:type="dxa"/>
              <w:left w:w="80" w:type="dxa"/>
              <w:bottom w:w="80" w:type="dxa"/>
              <w:right w:w="80" w:type="dxa"/>
            </w:tcMar>
          </w:tcPr>
          <w:p w14:paraId="0892E57E" w14:textId="77777777" w:rsidR="00B05035" w:rsidRPr="00D23973" w:rsidRDefault="00000000">
            <w:pPr>
              <w:spacing w:after="0" w:line="252" w:lineRule="auto"/>
            </w:pPr>
            <w:r w:rsidRPr="00D23973">
              <w:rPr>
                <w:rFonts w:ascii="Times New Roman" w:hAnsi="Times New Roman"/>
                <w:sz w:val="17"/>
              </w:rPr>
              <w:t>Peroxidase-like Reaction</w:t>
            </w:r>
          </w:p>
        </w:tc>
        <w:tc>
          <w:tcPr>
            <w:tcW w:w="1560" w:type="dxa"/>
            <w:shd w:val="clear" w:color="auto" w:fill="F9F9F9"/>
            <w:tcMar>
              <w:top w:w="80" w:type="dxa"/>
              <w:left w:w="80" w:type="dxa"/>
              <w:bottom w:w="80" w:type="dxa"/>
              <w:right w:w="80" w:type="dxa"/>
            </w:tcMar>
          </w:tcPr>
          <w:p w14:paraId="067AD709" w14:textId="77777777" w:rsidR="00B05035" w:rsidRPr="00D23973" w:rsidRDefault="00000000">
            <w:pPr>
              <w:spacing w:after="0" w:line="252" w:lineRule="auto"/>
            </w:pPr>
            <w:r w:rsidRPr="00D23973">
              <w:rPr>
                <w:rFonts w:ascii="Times New Roman" w:hAnsi="Times New Roman"/>
                <w:sz w:val="17"/>
              </w:rPr>
              <w:t>3+ (Positive)</w:t>
            </w:r>
          </w:p>
        </w:tc>
        <w:tc>
          <w:tcPr>
            <w:tcW w:w="1560" w:type="dxa"/>
            <w:shd w:val="clear" w:color="auto" w:fill="F9F9F9"/>
            <w:tcMar>
              <w:top w:w="80" w:type="dxa"/>
              <w:left w:w="80" w:type="dxa"/>
              <w:bottom w:w="80" w:type="dxa"/>
              <w:right w:w="80" w:type="dxa"/>
            </w:tcMar>
          </w:tcPr>
          <w:p w14:paraId="319839F4" w14:textId="77777777" w:rsidR="00B05035" w:rsidRPr="00D23973" w:rsidRDefault="00000000">
            <w:pPr>
              <w:spacing w:after="0" w:line="252" w:lineRule="auto"/>
            </w:pPr>
            <w:r w:rsidRPr="00D23973">
              <w:rPr>
                <w:rFonts w:ascii="Times New Roman" w:hAnsi="Times New Roman"/>
                <w:sz w:val="17"/>
              </w:rPr>
              <w:t>1+ (Trace)</w:t>
            </w:r>
          </w:p>
        </w:tc>
        <w:tc>
          <w:tcPr>
            <w:tcW w:w="1560" w:type="dxa"/>
            <w:shd w:val="clear" w:color="auto" w:fill="F9F9F9"/>
            <w:tcMar>
              <w:top w:w="80" w:type="dxa"/>
              <w:left w:w="80" w:type="dxa"/>
              <w:bottom w:w="80" w:type="dxa"/>
              <w:right w:w="80" w:type="dxa"/>
            </w:tcMar>
          </w:tcPr>
          <w:p w14:paraId="37F41CA2" w14:textId="77777777" w:rsidR="00B05035" w:rsidRPr="00D23973" w:rsidRDefault="00000000">
            <w:pPr>
              <w:spacing w:after="0" w:line="252" w:lineRule="auto"/>
            </w:pPr>
            <w:r w:rsidRPr="00D23973">
              <w:rPr>
                <w:rFonts w:ascii="Times New Roman" w:hAnsi="Times New Roman"/>
                <w:sz w:val="17"/>
              </w:rPr>
              <w:t>Negative</w:t>
            </w:r>
          </w:p>
        </w:tc>
        <w:tc>
          <w:tcPr>
            <w:tcW w:w="1560" w:type="dxa"/>
            <w:shd w:val="clear" w:color="auto" w:fill="F9F9F9"/>
            <w:tcMar>
              <w:top w:w="80" w:type="dxa"/>
              <w:left w:w="80" w:type="dxa"/>
              <w:bottom w:w="80" w:type="dxa"/>
              <w:right w:w="80" w:type="dxa"/>
            </w:tcMar>
          </w:tcPr>
          <w:p w14:paraId="2AFB4845" w14:textId="77777777" w:rsidR="00B05035" w:rsidRPr="00D23973" w:rsidRDefault="00000000">
            <w:pPr>
              <w:spacing w:after="0" w:line="252" w:lineRule="auto"/>
            </w:pPr>
            <w:r w:rsidRPr="00D23973">
              <w:rPr>
                <w:rFonts w:ascii="Times New Roman" w:hAnsi="Times New Roman"/>
                <w:sz w:val="17"/>
              </w:rPr>
              <w:t>Marked reduction in free heme / urinary blood</w:t>
            </w:r>
          </w:p>
        </w:tc>
      </w:tr>
      <w:tr w:rsidR="00B05035" w:rsidRPr="00D23973" w14:paraId="79EB61AA" w14:textId="77777777">
        <w:trPr>
          <w:jc w:val="center"/>
        </w:trPr>
        <w:tc>
          <w:tcPr>
            <w:tcW w:w="1560" w:type="dxa"/>
            <w:tcMar>
              <w:top w:w="80" w:type="dxa"/>
              <w:left w:w="80" w:type="dxa"/>
              <w:bottom w:w="80" w:type="dxa"/>
              <w:right w:w="80" w:type="dxa"/>
            </w:tcMar>
          </w:tcPr>
          <w:p w14:paraId="5F97094C" w14:textId="77777777" w:rsidR="00B05035" w:rsidRPr="00D23973" w:rsidRDefault="00000000">
            <w:pPr>
              <w:spacing w:after="0" w:line="252" w:lineRule="auto"/>
            </w:pPr>
            <w:r w:rsidRPr="00D23973">
              <w:rPr>
                <w:rFonts w:ascii="Times New Roman" w:hAnsi="Times New Roman"/>
                <w:b/>
                <w:sz w:val="17"/>
              </w:rPr>
              <w:t xml:space="preserve">Pus Cells / Leuk. </w:t>
            </w:r>
            <w:r w:rsidRPr="00D23973">
              <w:rPr>
                <w:rFonts w:ascii="Times New Roman" w:hAnsi="Times New Roman"/>
                <w:b/>
                <w:sz w:val="17"/>
              </w:rPr>
              <w:lastRenderedPageBreak/>
              <w:t>Esterase</w:t>
            </w:r>
          </w:p>
        </w:tc>
        <w:tc>
          <w:tcPr>
            <w:tcW w:w="1560" w:type="dxa"/>
            <w:tcMar>
              <w:top w:w="80" w:type="dxa"/>
              <w:left w:w="80" w:type="dxa"/>
              <w:bottom w:w="80" w:type="dxa"/>
              <w:right w:w="80" w:type="dxa"/>
            </w:tcMar>
          </w:tcPr>
          <w:p w14:paraId="404C8718" w14:textId="77777777" w:rsidR="00B05035" w:rsidRPr="00D23973" w:rsidRDefault="00000000">
            <w:pPr>
              <w:spacing w:after="0" w:line="252" w:lineRule="auto"/>
            </w:pPr>
            <w:r w:rsidRPr="00D23973">
              <w:rPr>
                <w:rFonts w:ascii="Times New Roman" w:hAnsi="Times New Roman"/>
                <w:sz w:val="17"/>
              </w:rPr>
              <w:lastRenderedPageBreak/>
              <w:t xml:space="preserve">Leukocyte Esterase </w:t>
            </w:r>
            <w:r w:rsidRPr="00D23973">
              <w:rPr>
                <w:rFonts w:ascii="Times New Roman" w:hAnsi="Times New Roman"/>
                <w:sz w:val="17"/>
              </w:rPr>
              <w:lastRenderedPageBreak/>
              <w:t>Strip</w:t>
            </w:r>
          </w:p>
        </w:tc>
        <w:tc>
          <w:tcPr>
            <w:tcW w:w="1560" w:type="dxa"/>
            <w:tcMar>
              <w:top w:w="80" w:type="dxa"/>
              <w:left w:w="80" w:type="dxa"/>
              <w:bottom w:w="80" w:type="dxa"/>
              <w:right w:w="80" w:type="dxa"/>
            </w:tcMar>
          </w:tcPr>
          <w:p w14:paraId="52E77F6E" w14:textId="77777777" w:rsidR="00B05035" w:rsidRPr="00D23973" w:rsidRDefault="00000000">
            <w:pPr>
              <w:spacing w:after="0" w:line="252" w:lineRule="auto"/>
            </w:pPr>
            <w:r w:rsidRPr="00D23973">
              <w:rPr>
                <w:rFonts w:ascii="Times New Roman" w:hAnsi="Times New Roman"/>
                <w:sz w:val="17"/>
              </w:rPr>
              <w:lastRenderedPageBreak/>
              <w:t>Negative</w:t>
            </w:r>
          </w:p>
        </w:tc>
        <w:tc>
          <w:tcPr>
            <w:tcW w:w="1560" w:type="dxa"/>
            <w:tcMar>
              <w:top w:w="80" w:type="dxa"/>
              <w:left w:w="80" w:type="dxa"/>
              <w:bottom w:w="80" w:type="dxa"/>
              <w:right w:w="80" w:type="dxa"/>
            </w:tcMar>
          </w:tcPr>
          <w:p w14:paraId="16108564"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12DA0C6C" w14:textId="77777777" w:rsidR="00B05035" w:rsidRPr="00D23973" w:rsidRDefault="00000000">
            <w:pPr>
              <w:spacing w:after="0" w:line="252" w:lineRule="auto"/>
            </w:pPr>
            <w:r w:rsidRPr="00D23973">
              <w:rPr>
                <w:rFonts w:ascii="Times New Roman" w:hAnsi="Times New Roman"/>
                <w:sz w:val="17"/>
              </w:rPr>
              <w:t>Negative</w:t>
            </w:r>
          </w:p>
        </w:tc>
        <w:tc>
          <w:tcPr>
            <w:tcW w:w="1560" w:type="dxa"/>
            <w:tcMar>
              <w:top w:w="80" w:type="dxa"/>
              <w:left w:w="80" w:type="dxa"/>
              <w:bottom w:w="80" w:type="dxa"/>
              <w:right w:w="80" w:type="dxa"/>
            </w:tcMar>
          </w:tcPr>
          <w:p w14:paraId="521B3C76" w14:textId="77777777" w:rsidR="00B05035" w:rsidRPr="00D23973" w:rsidRDefault="00000000">
            <w:pPr>
              <w:spacing w:after="0" w:line="252" w:lineRule="auto"/>
            </w:pPr>
            <w:r w:rsidRPr="00D23973">
              <w:rPr>
                <w:rFonts w:ascii="Times New Roman" w:hAnsi="Times New Roman"/>
                <w:sz w:val="17"/>
              </w:rPr>
              <w:t xml:space="preserve">Subacute pyuria </w:t>
            </w:r>
            <w:r w:rsidRPr="00D23973">
              <w:rPr>
                <w:rFonts w:ascii="Times New Roman" w:hAnsi="Times New Roman"/>
                <w:sz w:val="17"/>
              </w:rPr>
              <w:lastRenderedPageBreak/>
              <w:t>without massive neutrophilic lysis</w:t>
            </w:r>
          </w:p>
        </w:tc>
      </w:tr>
      <w:tr w:rsidR="00B05035" w:rsidRPr="00D23973" w14:paraId="52E019DB" w14:textId="77777777">
        <w:trPr>
          <w:jc w:val="center"/>
        </w:trPr>
        <w:tc>
          <w:tcPr>
            <w:tcW w:w="1560" w:type="dxa"/>
            <w:shd w:val="clear" w:color="auto" w:fill="F9F9F9"/>
            <w:tcMar>
              <w:top w:w="80" w:type="dxa"/>
              <w:left w:w="80" w:type="dxa"/>
              <w:bottom w:w="80" w:type="dxa"/>
              <w:right w:w="80" w:type="dxa"/>
            </w:tcMar>
          </w:tcPr>
          <w:p w14:paraId="560EBF0D" w14:textId="77777777" w:rsidR="00B05035" w:rsidRPr="00D23973" w:rsidRDefault="00000000">
            <w:pPr>
              <w:spacing w:after="0" w:line="252" w:lineRule="auto"/>
            </w:pPr>
            <w:r w:rsidRPr="00D23973">
              <w:rPr>
                <w:rFonts w:ascii="Times New Roman" w:hAnsi="Times New Roman"/>
                <w:b/>
                <w:sz w:val="17"/>
              </w:rPr>
              <w:lastRenderedPageBreak/>
              <w:t>Microscopic RBCs</w:t>
            </w:r>
          </w:p>
        </w:tc>
        <w:tc>
          <w:tcPr>
            <w:tcW w:w="1560" w:type="dxa"/>
            <w:shd w:val="clear" w:color="auto" w:fill="F9F9F9"/>
            <w:tcMar>
              <w:top w:w="80" w:type="dxa"/>
              <w:left w:w="80" w:type="dxa"/>
              <w:bottom w:w="80" w:type="dxa"/>
              <w:right w:w="80" w:type="dxa"/>
            </w:tcMar>
          </w:tcPr>
          <w:p w14:paraId="0EC43F26" w14:textId="77777777" w:rsidR="00B05035" w:rsidRPr="00D23973" w:rsidRDefault="00000000">
            <w:pPr>
              <w:spacing w:after="0" w:line="252" w:lineRule="auto"/>
            </w:pPr>
            <w:r w:rsidRPr="00D23973">
              <w:rPr>
                <w:rFonts w:ascii="Times New Roman" w:hAnsi="Times New Roman"/>
                <w:sz w:val="17"/>
              </w:rPr>
              <w:t>Sediment Microscopy</w:t>
            </w:r>
          </w:p>
        </w:tc>
        <w:tc>
          <w:tcPr>
            <w:tcW w:w="1560" w:type="dxa"/>
            <w:shd w:val="clear" w:color="auto" w:fill="F9F9F9"/>
            <w:tcMar>
              <w:top w:w="80" w:type="dxa"/>
              <w:left w:w="80" w:type="dxa"/>
              <w:bottom w:w="80" w:type="dxa"/>
              <w:right w:w="80" w:type="dxa"/>
            </w:tcMar>
          </w:tcPr>
          <w:p w14:paraId="19B75E16" w14:textId="77777777" w:rsidR="00B05035" w:rsidRPr="00D23973" w:rsidRDefault="00000000">
            <w:pPr>
              <w:spacing w:after="0" w:line="252" w:lineRule="auto"/>
            </w:pPr>
            <w:r w:rsidRPr="00D23973">
              <w:rPr>
                <w:rFonts w:ascii="Times New Roman" w:hAnsi="Times New Roman"/>
                <w:sz w:val="17"/>
              </w:rPr>
              <w:t>18 – 20 cells/HPF</w:t>
            </w:r>
          </w:p>
        </w:tc>
        <w:tc>
          <w:tcPr>
            <w:tcW w:w="1560" w:type="dxa"/>
            <w:shd w:val="clear" w:color="auto" w:fill="F9F9F9"/>
            <w:tcMar>
              <w:top w:w="80" w:type="dxa"/>
              <w:left w:w="80" w:type="dxa"/>
              <w:bottom w:w="80" w:type="dxa"/>
              <w:right w:w="80" w:type="dxa"/>
            </w:tcMar>
          </w:tcPr>
          <w:p w14:paraId="2AA13E32" w14:textId="77777777" w:rsidR="00B05035" w:rsidRPr="00D23973" w:rsidRDefault="00000000">
            <w:pPr>
              <w:spacing w:after="0" w:line="252" w:lineRule="auto"/>
            </w:pPr>
            <w:r w:rsidRPr="00D23973">
              <w:rPr>
                <w:rFonts w:ascii="Times New Roman" w:hAnsi="Times New Roman"/>
                <w:sz w:val="17"/>
              </w:rPr>
              <w:t>5 – 8 cells/HPF</w:t>
            </w:r>
          </w:p>
        </w:tc>
        <w:tc>
          <w:tcPr>
            <w:tcW w:w="1560" w:type="dxa"/>
            <w:shd w:val="clear" w:color="auto" w:fill="F9F9F9"/>
            <w:tcMar>
              <w:top w:w="80" w:type="dxa"/>
              <w:left w:w="80" w:type="dxa"/>
              <w:bottom w:w="80" w:type="dxa"/>
              <w:right w:w="80" w:type="dxa"/>
            </w:tcMar>
          </w:tcPr>
          <w:p w14:paraId="06DBD398" w14:textId="77777777" w:rsidR="00B05035" w:rsidRPr="00D23973" w:rsidRDefault="00000000">
            <w:pPr>
              <w:spacing w:after="0" w:line="252" w:lineRule="auto"/>
            </w:pPr>
            <w:r w:rsidRPr="00D23973">
              <w:rPr>
                <w:rFonts w:ascii="Times New Roman" w:hAnsi="Times New Roman"/>
                <w:sz w:val="17"/>
              </w:rPr>
              <w:t>0 – 2 cells/HPF</w:t>
            </w:r>
          </w:p>
        </w:tc>
        <w:tc>
          <w:tcPr>
            <w:tcW w:w="1560" w:type="dxa"/>
            <w:shd w:val="clear" w:color="auto" w:fill="F9F9F9"/>
            <w:tcMar>
              <w:top w:w="80" w:type="dxa"/>
              <w:left w:w="80" w:type="dxa"/>
              <w:bottom w:w="80" w:type="dxa"/>
              <w:right w:w="80" w:type="dxa"/>
            </w:tcMar>
          </w:tcPr>
          <w:p w14:paraId="3A511003" w14:textId="77777777" w:rsidR="00B05035" w:rsidRPr="00D23973" w:rsidRDefault="00000000">
            <w:pPr>
              <w:spacing w:after="0" w:line="252" w:lineRule="auto"/>
            </w:pPr>
            <w:r w:rsidRPr="00D23973">
              <w:rPr>
                <w:rFonts w:ascii="Times New Roman" w:hAnsi="Times New Roman"/>
                <w:sz w:val="17"/>
              </w:rPr>
              <w:t>Confirmed true microscopic hematuria improving with therapy</w:t>
            </w:r>
          </w:p>
        </w:tc>
      </w:tr>
      <w:tr w:rsidR="00B05035" w:rsidRPr="00D23973" w14:paraId="62099D48" w14:textId="77777777">
        <w:trPr>
          <w:jc w:val="center"/>
        </w:trPr>
        <w:tc>
          <w:tcPr>
            <w:tcW w:w="1560" w:type="dxa"/>
            <w:tcMar>
              <w:top w:w="80" w:type="dxa"/>
              <w:left w:w="80" w:type="dxa"/>
              <w:bottom w:w="80" w:type="dxa"/>
              <w:right w:w="80" w:type="dxa"/>
            </w:tcMar>
          </w:tcPr>
          <w:p w14:paraId="7A4CCD6F" w14:textId="77777777" w:rsidR="00B05035" w:rsidRPr="00D23973" w:rsidRDefault="00000000">
            <w:pPr>
              <w:spacing w:after="0" w:line="252" w:lineRule="auto"/>
            </w:pPr>
            <w:r w:rsidRPr="00D23973">
              <w:rPr>
                <w:rFonts w:ascii="Times New Roman" w:hAnsi="Times New Roman"/>
                <w:b/>
                <w:sz w:val="17"/>
              </w:rPr>
              <w:t>Microscopic Pus Cells</w:t>
            </w:r>
          </w:p>
        </w:tc>
        <w:tc>
          <w:tcPr>
            <w:tcW w:w="1560" w:type="dxa"/>
            <w:tcMar>
              <w:top w:w="80" w:type="dxa"/>
              <w:left w:w="80" w:type="dxa"/>
              <w:bottom w:w="80" w:type="dxa"/>
              <w:right w:w="80" w:type="dxa"/>
            </w:tcMar>
          </w:tcPr>
          <w:p w14:paraId="6F720439" w14:textId="77777777" w:rsidR="00B05035" w:rsidRPr="00D23973" w:rsidRDefault="00000000">
            <w:pPr>
              <w:spacing w:after="0" w:line="252" w:lineRule="auto"/>
            </w:pPr>
            <w:r w:rsidRPr="00D23973">
              <w:rPr>
                <w:rFonts w:ascii="Times New Roman" w:hAnsi="Times New Roman"/>
                <w:sz w:val="17"/>
              </w:rPr>
              <w:t>Sediment Microscopy</w:t>
            </w:r>
          </w:p>
        </w:tc>
        <w:tc>
          <w:tcPr>
            <w:tcW w:w="1560" w:type="dxa"/>
            <w:tcMar>
              <w:top w:w="80" w:type="dxa"/>
              <w:left w:w="80" w:type="dxa"/>
              <w:bottom w:w="80" w:type="dxa"/>
              <w:right w:w="80" w:type="dxa"/>
            </w:tcMar>
          </w:tcPr>
          <w:p w14:paraId="0418E3F0" w14:textId="77777777" w:rsidR="00B05035" w:rsidRPr="00D23973" w:rsidRDefault="00000000">
            <w:pPr>
              <w:spacing w:after="0" w:line="252" w:lineRule="auto"/>
            </w:pPr>
            <w:r w:rsidRPr="00D23973">
              <w:rPr>
                <w:rFonts w:ascii="Times New Roman" w:hAnsi="Times New Roman"/>
                <w:sz w:val="17"/>
              </w:rPr>
              <w:t>2 – 3 cells/HPF</w:t>
            </w:r>
          </w:p>
        </w:tc>
        <w:tc>
          <w:tcPr>
            <w:tcW w:w="1560" w:type="dxa"/>
            <w:tcMar>
              <w:top w:w="80" w:type="dxa"/>
              <w:left w:w="80" w:type="dxa"/>
              <w:bottom w:w="80" w:type="dxa"/>
              <w:right w:w="80" w:type="dxa"/>
            </w:tcMar>
          </w:tcPr>
          <w:p w14:paraId="49ED30F3" w14:textId="77777777" w:rsidR="00B05035" w:rsidRPr="00D23973" w:rsidRDefault="00000000">
            <w:pPr>
              <w:spacing w:after="0" w:line="252" w:lineRule="auto"/>
            </w:pPr>
            <w:r w:rsidRPr="00D23973">
              <w:rPr>
                <w:rFonts w:ascii="Times New Roman" w:hAnsi="Times New Roman"/>
                <w:sz w:val="17"/>
              </w:rPr>
              <w:t>1 – 2 cells/HPF</w:t>
            </w:r>
          </w:p>
        </w:tc>
        <w:tc>
          <w:tcPr>
            <w:tcW w:w="1560" w:type="dxa"/>
            <w:tcMar>
              <w:top w:w="80" w:type="dxa"/>
              <w:left w:w="80" w:type="dxa"/>
              <w:bottom w:w="80" w:type="dxa"/>
              <w:right w:w="80" w:type="dxa"/>
            </w:tcMar>
          </w:tcPr>
          <w:p w14:paraId="2B7BAE0C" w14:textId="77777777" w:rsidR="00B05035" w:rsidRPr="00D23973" w:rsidRDefault="00000000">
            <w:pPr>
              <w:spacing w:after="0" w:line="252" w:lineRule="auto"/>
            </w:pPr>
            <w:r w:rsidRPr="00D23973">
              <w:rPr>
                <w:rFonts w:ascii="Times New Roman" w:hAnsi="Times New Roman"/>
                <w:sz w:val="17"/>
              </w:rPr>
              <w:t>0 – 5 cells/HPF</w:t>
            </w:r>
          </w:p>
        </w:tc>
        <w:tc>
          <w:tcPr>
            <w:tcW w:w="1560" w:type="dxa"/>
            <w:tcMar>
              <w:top w:w="80" w:type="dxa"/>
              <w:left w:w="80" w:type="dxa"/>
              <w:bottom w:w="80" w:type="dxa"/>
              <w:right w:w="80" w:type="dxa"/>
            </w:tcMar>
          </w:tcPr>
          <w:p w14:paraId="42D0DF0C" w14:textId="77777777" w:rsidR="00B05035" w:rsidRPr="00D23973" w:rsidRDefault="00000000">
            <w:pPr>
              <w:spacing w:after="0" w:line="252" w:lineRule="auto"/>
            </w:pPr>
            <w:r w:rsidRPr="00D23973">
              <w:rPr>
                <w:rFonts w:ascii="Times New Roman" w:hAnsi="Times New Roman"/>
                <w:sz w:val="17"/>
              </w:rPr>
              <w:t>Low-grade active urinary leukocyte shedding</w:t>
            </w:r>
          </w:p>
        </w:tc>
      </w:tr>
      <w:tr w:rsidR="00B05035" w:rsidRPr="00D23973" w14:paraId="05B844B1" w14:textId="77777777">
        <w:trPr>
          <w:jc w:val="center"/>
        </w:trPr>
        <w:tc>
          <w:tcPr>
            <w:tcW w:w="1560" w:type="dxa"/>
            <w:shd w:val="clear" w:color="auto" w:fill="F9F9F9"/>
            <w:tcMar>
              <w:top w:w="80" w:type="dxa"/>
              <w:left w:w="80" w:type="dxa"/>
              <w:bottom w:w="80" w:type="dxa"/>
              <w:right w:w="80" w:type="dxa"/>
            </w:tcMar>
          </w:tcPr>
          <w:p w14:paraId="25E3CFC4" w14:textId="77777777" w:rsidR="00B05035" w:rsidRPr="00D23973" w:rsidRDefault="00000000">
            <w:pPr>
              <w:spacing w:after="0" w:line="252" w:lineRule="auto"/>
            </w:pPr>
            <w:r w:rsidRPr="00D23973">
              <w:rPr>
                <w:rFonts w:ascii="Times New Roman" w:hAnsi="Times New Roman"/>
                <w:b/>
                <w:sz w:val="17"/>
              </w:rPr>
              <w:t>Epithelial Cells</w:t>
            </w:r>
          </w:p>
        </w:tc>
        <w:tc>
          <w:tcPr>
            <w:tcW w:w="1560" w:type="dxa"/>
            <w:shd w:val="clear" w:color="auto" w:fill="F9F9F9"/>
            <w:tcMar>
              <w:top w:w="80" w:type="dxa"/>
              <w:left w:w="80" w:type="dxa"/>
              <w:bottom w:w="80" w:type="dxa"/>
              <w:right w:w="80" w:type="dxa"/>
            </w:tcMar>
          </w:tcPr>
          <w:p w14:paraId="2FA6484D" w14:textId="77777777" w:rsidR="00B05035" w:rsidRPr="00D23973" w:rsidRDefault="00000000">
            <w:pPr>
              <w:spacing w:after="0" w:line="252" w:lineRule="auto"/>
            </w:pPr>
            <w:r w:rsidRPr="00D23973">
              <w:rPr>
                <w:rFonts w:ascii="Times New Roman" w:hAnsi="Times New Roman"/>
                <w:sz w:val="17"/>
              </w:rPr>
              <w:t>Sediment Microscopy</w:t>
            </w:r>
          </w:p>
        </w:tc>
        <w:tc>
          <w:tcPr>
            <w:tcW w:w="1560" w:type="dxa"/>
            <w:shd w:val="clear" w:color="auto" w:fill="F9F9F9"/>
            <w:tcMar>
              <w:top w:w="80" w:type="dxa"/>
              <w:left w:w="80" w:type="dxa"/>
              <w:bottom w:w="80" w:type="dxa"/>
              <w:right w:w="80" w:type="dxa"/>
            </w:tcMar>
          </w:tcPr>
          <w:p w14:paraId="1930915C" w14:textId="77777777" w:rsidR="00B05035" w:rsidRPr="00D23973" w:rsidRDefault="00000000">
            <w:pPr>
              <w:spacing w:after="0" w:line="252" w:lineRule="auto"/>
            </w:pPr>
            <w:r w:rsidRPr="00D23973">
              <w:rPr>
                <w:rFonts w:ascii="Times New Roman" w:hAnsi="Times New Roman"/>
                <w:sz w:val="17"/>
              </w:rPr>
              <w:t>1 – 2 cells/HPF</w:t>
            </w:r>
          </w:p>
        </w:tc>
        <w:tc>
          <w:tcPr>
            <w:tcW w:w="1560" w:type="dxa"/>
            <w:shd w:val="clear" w:color="auto" w:fill="F9F9F9"/>
            <w:tcMar>
              <w:top w:w="80" w:type="dxa"/>
              <w:left w:w="80" w:type="dxa"/>
              <w:bottom w:w="80" w:type="dxa"/>
              <w:right w:w="80" w:type="dxa"/>
            </w:tcMar>
          </w:tcPr>
          <w:p w14:paraId="774532A9" w14:textId="77777777" w:rsidR="00B05035" w:rsidRPr="00D23973" w:rsidRDefault="00000000">
            <w:pPr>
              <w:spacing w:after="0" w:line="252" w:lineRule="auto"/>
            </w:pPr>
            <w:r w:rsidRPr="00D23973">
              <w:rPr>
                <w:rFonts w:ascii="Times New Roman" w:hAnsi="Times New Roman"/>
                <w:sz w:val="17"/>
              </w:rPr>
              <w:t>Occasional</w:t>
            </w:r>
          </w:p>
        </w:tc>
        <w:tc>
          <w:tcPr>
            <w:tcW w:w="1560" w:type="dxa"/>
            <w:shd w:val="clear" w:color="auto" w:fill="F9F9F9"/>
            <w:tcMar>
              <w:top w:w="80" w:type="dxa"/>
              <w:left w:w="80" w:type="dxa"/>
              <w:bottom w:w="80" w:type="dxa"/>
              <w:right w:w="80" w:type="dxa"/>
            </w:tcMar>
          </w:tcPr>
          <w:p w14:paraId="34B57F19" w14:textId="77777777" w:rsidR="00B05035" w:rsidRPr="00D23973" w:rsidRDefault="00000000">
            <w:pPr>
              <w:spacing w:after="0" w:line="252" w:lineRule="auto"/>
            </w:pPr>
            <w:r w:rsidRPr="00D23973">
              <w:rPr>
                <w:rFonts w:ascii="Times New Roman" w:hAnsi="Times New Roman"/>
                <w:sz w:val="17"/>
              </w:rPr>
              <w:t>Occasional / HPF</w:t>
            </w:r>
          </w:p>
        </w:tc>
        <w:tc>
          <w:tcPr>
            <w:tcW w:w="1560" w:type="dxa"/>
            <w:shd w:val="clear" w:color="auto" w:fill="F9F9F9"/>
            <w:tcMar>
              <w:top w:w="80" w:type="dxa"/>
              <w:left w:w="80" w:type="dxa"/>
              <w:bottom w:w="80" w:type="dxa"/>
              <w:right w:w="80" w:type="dxa"/>
            </w:tcMar>
          </w:tcPr>
          <w:p w14:paraId="31D9A5BE" w14:textId="77777777" w:rsidR="00B05035" w:rsidRPr="00D23973" w:rsidRDefault="00000000">
            <w:pPr>
              <w:spacing w:after="0" w:line="252" w:lineRule="auto"/>
            </w:pPr>
            <w:r w:rsidRPr="00D23973">
              <w:rPr>
                <w:rFonts w:ascii="Times New Roman" w:hAnsi="Times New Roman"/>
                <w:sz w:val="17"/>
              </w:rPr>
              <w:t>Normal shedding from lower urinary tract urothelium</w:t>
            </w:r>
          </w:p>
        </w:tc>
      </w:tr>
      <w:tr w:rsidR="00B05035" w:rsidRPr="00D23973" w14:paraId="3C2B5FB0" w14:textId="77777777">
        <w:trPr>
          <w:jc w:val="center"/>
        </w:trPr>
        <w:tc>
          <w:tcPr>
            <w:tcW w:w="1560" w:type="dxa"/>
            <w:tcMar>
              <w:top w:w="80" w:type="dxa"/>
              <w:left w:w="80" w:type="dxa"/>
              <w:bottom w:w="80" w:type="dxa"/>
              <w:right w:w="80" w:type="dxa"/>
            </w:tcMar>
          </w:tcPr>
          <w:p w14:paraId="092FE58A" w14:textId="77777777" w:rsidR="00B05035" w:rsidRPr="00D23973" w:rsidRDefault="00000000">
            <w:pPr>
              <w:spacing w:after="0" w:line="252" w:lineRule="auto"/>
            </w:pPr>
            <w:r w:rsidRPr="00D23973">
              <w:rPr>
                <w:rFonts w:ascii="Times New Roman" w:hAnsi="Times New Roman"/>
                <w:b/>
                <w:sz w:val="17"/>
              </w:rPr>
              <w:t>Casts &amp; Crystals</w:t>
            </w:r>
          </w:p>
        </w:tc>
        <w:tc>
          <w:tcPr>
            <w:tcW w:w="1560" w:type="dxa"/>
            <w:tcMar>
              <w:top w:w="80" w:type="dxa"/>
              <w:left w:w="80" w:type="dxa"/>
              <w:bottom w:w="80" w:type="dxa"/>
              <w:right w:w="80" w:type="dxa"/>
            </w:tcMar>
          </w:tcPr>
          <w:p w14:paraId="0D858B32" w14:textId="77777777" w:rsidR="00B05035" w:rsidRPr="00D23973" w:rsidRDefault="00000000">
            <w:pPr>
              <w:spacing w:after="0" w:line="252" w:lineRule="auto"/>
            </w:pPr>
            <w:r w:rsidRPr="00D23973">
              <w:rPr>
                <w:rFonts w:ascii="Times New Roman" w:hAnsi="Times New Roman"/>
                <w:sz w:val="17"/>
              </w:rPr>
              <w:t>Sediment Microscopy</w:t>
            </w:r>
          </w:p>
        </w:tc>
        <w:tc>
          <w:tcPr>
            <w:tcW w:w="1560" w:type="dxa"/>
            <w:tcMar>
              <w:top w:w="80" w:type="dxa"/>
              <w:left w:w="80" w:type="dxa"/>
              <w:bottom w:w="80" w:type="dxa"/>
              <w:right w:w="80" w:type="dxa"/>
            </w:tcMar>
          </w:tcPr>
          <w:p w14:paraId="5739A925" w14:textId="77777777" w:rsidR="00B05035" w:rsidRPr="00D23973" w:rsidRDefault="00000000">
            <w:pPr>
              <w:spacing w:after="0" w:line="252" w:lineRule="auto"/>
            </w:pPr>
            <w:r w:rsidRPr="00D23973">
              <w:rPr>
                <w:rFonts w:ascii="Times New Roman" w:hAnsi="Times New Roman"/>
                <w:sz w:val="17"/>
              </w:rPr>
              <w:t>Nil</w:t>
            </w:r>
          </w:p>
        </w:tc>
        <w:tc>
          <w:tcPr>
            <w:tcW w:w="1560" w:type="dxa"/>
            <w:tcMar>
              <w:top w:w="80" w:type="dxa"/>
              <w:left w:w="80" w:type="dxa"/>
              <w:bottom w:w="80" w:type="dxa"/>
              <w:right w:w="80" w:type="dxa"/>
            </w:tcMar>
          </w:tcPr>
          <w:p w14:paraId="5A1AE22E" w14:textId="77777777" w:rsidR="00B05035" w:rsidRPr="00D23973" w:rsidRDefault="00000000">
            <w:pPr>
              <w:spacing w:after="0" w:line="252" w:lineRule="auto"/>
            </w:pPr>
            <w:r w:rsidRPr="00D23973">
              <w:rPr>
                <w:rFonts w:ascii="Times New Roman" w:hAnsi="Times New Roman"/>
                <w:sz w:val="17"/>
              </w:rPr>
              <w:t>1–2 Granular / HPF</w:t>
            </w:r>
          </w:p>
        </w:tc>
        <w:tc>
          <w:tcPr>
            <w:tcW w:w="1560" w:type="dxa"/>
            <w:tcMar>
              <w:top w:w="80" w:type="dxa"/>
              <w:left w:w="80" w:type="dxa"/>
              <w:bottom w:w="80" w:type="dxa"/>
              <w:right w:w="80" w:type="dxa"/>
            </w:tcMar>
          </w:tcPr>
          <w:p w14:paraId="5463F492" w14:textId="77777777" w:rsidR="00B05035" w:rsidRPr="00D23973" w:rsidRDefault="00000000">
            <w:pPr>
              <w:spacing w:after="0" w:line="252" w:lineRule="auto"/>
            </w:pPr>
            <w:r w:rsidRPr="00D23973">
              <w:rPr>
                <w:rFonts w:ascii="Times New Roman" w:hAnsi="Times New Roman"/>
                <w:sz w:val="17"/>
              </w:rPr>
              <w:t>Nil</w:t>
            </w:r>
          </w:p>
        </w:tc>
        <w:tc>
          <w:tcPr>
            <w:tcW w:w="1560" w:type="dxa"/>
            <w:tcMar>
              <w:top w:w="80" w:type="dxa"/>
              <w:left w:w="80" w:type="dxa"/>
              <w:bottom w:w="80" w:type="dxa"/>
              <w:right w:w="80" w:type="dxa"/>
            </w:tcMar>
          </w:tcPr>
          <w:p w14:paraId="19AA7A87" w14:textId="77777777" w:rsidR="00B05035" w:rsidRPr="00D23973" w:rsidRDefault="00000000">
            <w:pPr>
              <w:spacing w:after="0" w:line="252" w:lineRule="auto"/>
            </w:pPr>
            <w:r w:rsidRPr="00D23973">
              <w:rPr>
                <w:rFonts w:ascii="Times New Roman" w:hAnsi="Times New Roman"/>
                <w:sz w:val="17"/>
              </w:rPr>
              <w:t>Transient granular casts reflecting resolving tubular stress</w:t>
            </w:r>
          </w:p>
        </w:tc>
      </w:tr>
      <w:tr w:rsidR="00B05035" w:rsidRPr="00D23973" w14:paraId="2B5E8354" w14:textId="77777777">
        <w:trPr>
          <w:jc w:val="center"/>
        </w:trPr>
        <w:tc>
          <w:tcPr>
            <w:tcW w:w="1560" w:type="dxa"/>
            <w:shd w:val="clear" w:color="auto" w:fill="F9F9F9"/>
            <w:tcMar>
              <w:top w:w="80" w:type="dxa"/>
              <w:left w:w="80" w:type="dxa"/>
              <w:bottom w:w="80" w:type="dxa"/>
              <w:right w:w="80" w:type="dxa"/>
            </w:tcMar>
          </w:tcPr>
          <w:p w14:paraId="6702CA30" w14:textId="77777777" w:rsidR="00B05035" w:rsidRPr="00D23973" w:rsidRDefault="00000000">
            <w:pPr>
              <w:spacing w:after="0" w:line="252" w:lineRule="auto"/>
            </w:pPr>
            <w:r w:rsidRPr="00D23973">
              <w:rPr>
                <w:rFonts w:ascii="Times New Roman" w:hAnsi="Times New Roman"/>
                <w:b/>
                <w:sz w:val="17"/>
              </w:rPr>
              <w:t>Urine Culture</w:t>
            </w:r>
          </w:p>
        </w:tc>
        <w:tc>
          <w:tcPr>
            <w:tcW w:w="1560" w:type="dxa"/>
            <w:shd w:val="clear" w:color="auto" w:fill="F9F9F9"/>
            <w:tcMar>
              <w:top w:w="80" w:type="dxa"/>
              <w:left w:w="80" w:type="dxa"/>
              <w:bottom w:w="80" w:type="dxa"/>
              <w:right w:w="80" w:type="dxa"/>
            </w:tcMar>
          </w:tcPr>
          <w:p w14:paraId="711378D0" w14:textId="77777777" w:rsidR="00B05035" w:rsidRPr="00D23973" w:rsidRDefault="00000000">
            <w:pPr>
              <w:spacing w:after="0" w:line="252" w:lineRule="auto"/>
            </w:pPr>
            <w:r w:rsidRPr="00D23973">
              <w:rPr>
                <w:rFonts w:ascii="Times New Roman" w:hAnsi="Times New Roman"/>
                <w:sz w:val="17"/>
              </w:rPr>
              <w:t>Standard Microbial Plating</w:t>
            </w:r>
          </w:p>
        </w:tc>
        <w:tc>
          <w:tcPr>
            <w:tcW w:w="1560" w:type="dxa"/>
            <w:shd w:val="clear" w:color="auto" w:fill="F9F9F9"/>
            <w:tcMar>
              <w:top w:w="80" w:type="dxa"/>
              <w:left w:w="80" w:type="dxa"/>
              <w:bottom w:w="80" w:type="dxa"/>
              <w:right w:w="80" w:type="dxa"/>
            </w:tcMar>
          </w:tcPr>
          <w:p w14:paraId="130EBA8D" w14:textId="77777777" w:rsidR="00B05035" w:rsidRPr="00D23973" w:rsidRDefault="00000000">
            <w:pPr>
              <w:spacing w:after="0" w:line="252" w:lineRule="auto"/>
            </w:pPr>
            <w:r w:rsidRPr="00D23973">
              <w:rPr>
                <w:rFonts w:ascii="Times New Roman" w:hAnsi="Times New Roman"/>
                <w:sz w:val="17"/>
              </w:rPr>
              <w:t>No Growth (Post-ABx)</w:t>
            </w:r>
          </w:p>
        </w:tc>
        <w:tc>
          <w:tcPr>
            <w:tcW w:w="1560" w:type="dxa"/>
            <w:shd w:val="clear" w:color="auto" w:fill="F9F9F9"/>
            <w:tcMar>
              <w:top w:w="80" w:type="dxa"/>
              <w:left w:w="80" w:type="dxa"/>
              <w:bottom w:w="80" w:type="dxa"/>
              <w:right w:w="80" w:type="dxa"/>
            </w:tcMar>
          </w:tcPr>
          <w:p w14:paraId="371777C8" w14:textId="77777777" w:rsidR="00B05035" w:rsidRPr="00D23973" w:rsidRDefault="00000000">
            <w:pPr>
              <w:spacing w:after="0" w:line="252" w:lineRule="auto"/>
            </w:pPr>
            <w:r w:rsidRPr="00D23973">
              <w:rPr>
                <w:rFonts w:ascii="Times New Roman" w:hAnsi="Times New Roman"/>
                <w:sz w:val="17"/>
              </w:rPr>
              <w:t>No Growth</w:t>
            </w:r>
          </w:p>
        </w:tc>
        <w:tc>
          <w:tcPr>
            <w:tcW w:w="1560" w:type="dxa"/>
            <w:shd w:val="clear" w:color="auto" w:fill="F9F9F9"/>
            <w:tcMar>
              <w:top w:w="80" w:type="dxa"/>
              <w:left w:w="80" w:type="dxa"/>
              <w:bottom w:w="80" w:type="dxa"/>
              <w:right w:w="80" w:type="dxa"/>
            </w:tcMar>
          </w:tcPr>
          <w:p w14:paraId="1A5B1537" w14:textId="77777777" w:rsidR="00B05035" w:rsidRPr="00D23973" w:rsidRDefault="00000000">
            <w:pPr>
              <w:spacing w:after="0" w:line="252" w:lineRule="auto"/>
            </w:pPr>
            <w:r w:rsidRPr="00D23973">
              <w:rPr>
                <w:rFonts w:ascii="Times New Roman" w:hAnsi="Times New Roman"/>
                <w:sz w:val="17"/>
              </w:rPr>
              <w:t>Sterile</w:t>
            </w:r>
          </w:p>
        </w:tc>
        <w:tc>
          <w:tcPr>
            <w:tcW w:w="1560" w:type="dxa"/>
            <w:shd w:val="clear" w:color="auto" w:fill="F9F9F9"/>
            <w:tcMar>
              <w:top w:w="80" w:type="dxa"/>
              <w:left w:w="80" w:type="dxa"/>
              <w:bottom w:w="80" w:type="dxa"/>
              <w:right w:w="80" w:type="dxa"/>
            </w:tcMar>
          </w:tcPr>
          <w:p w14:paraId="3349A57D" w14:textId="77777777" w:rsidR="00B05035" w:rsidRPr="00D23973" w:rsidRDefault="00000000">
            <w:pPr>
              <w:spacing w:after="0" w:line="252" w:lineRule="auto"/>
            </w:pPr>
            <w:r w:rsidRPr="00D23973">
              <w:rPr>
                <w:rFonts w:ascii="Times New Roman" w:hAnsi="Times New Roman"/>
                <w:sz w:val="17"/>
              </w:rPr>
              <w:t>Effective sterilization following dual IV antibiotic therapy</w:t>
            </w:r>
          </w:p>
        </w:tc>
      </w:tr>
    </w:tbl>
    <w:p w14:paraId="63E0FBF7" w14:textId="77777777" w:rsidR="00B05035" w:rsidRPr="00D23973" w:rsidRDefault="00000000">
      <w:pPr>
        <w:keepNext/>
        <w:spacing w:before="200" w:after="60"/>
      </w:pPr>
      <w:r w:rsidRPr="00D23973">
        <w:rPr>
          <w:rFonts w:ascii="Times New Roman" w:hAnsi="Times New Roman"/>
          <w:b/>
          <w:i/>
          <w:sz w:val="24"/>
        </w:rPr>
        <w:t>Radiological Evaluation (Abdominopelvic Ultrasonography)</w:t>
      </w:r>
    </w:p>
    <w:p w14:paraId="492F1363" w14:textId="77777777" w:rsidR="00B05035" w:rsidRPr="00D23973" w:rsidRDefault="00000000">
      <w:pPr>
        <w:spacing w:after="120"/>
      </w:pPr>
      <w:r w:rsidRPr="00D23973">
        <w:t>On 25 August 2026, real-time high-resolution B-mode and colour Doppler abdominopelvic ultrasonography (Radiology Ref: IP2608220032) was performed by a consultant radiologist:</w:t>
      </w:r>
    </w:p>
    <w:p w14:paraId="2E07A2F2" w14:textId="77777777" w:rsidR="00B05035" w:rsidRPr="00D23973" w:rsidRDefault="00000000" w:rsidP="0032545C">
      <w:pPr>
        <w:spacing w:after="60"/>
        <w:ind w:left="360"/>
        <w:rPr>
          <w:rFonts w:ascii="Times New Roman" w:hAnsi="Times New Roman" w:cs="Times New Roman"/>
          <w:bCs/>
          <w:lang w:val="en-IN"/>
        </w:rPr>
      </w:pPr>
      <w:r w:rsidRPr="00D23973">
        <w:rPr>
          <w:b/>
        </w:rPr>
        <w:t>• Liver:</w:t>
      </w:r>
      <w:r w:rsidRPr="00D23973">
        <w:t xml:space="preserve"> The liver was mildly enlarged craniocaudally, measuring 13.0 cm (upper paediatric reference limit at 5 years of age: 10.5–11.0 cm), with homogeneous parenchymal echotexture and regular margins. No focal parenchymal lesion, intrahepatic biliary radicle dilatation, or intrahepatic vascular thrombosis was identified.</w:t>
      </w:r>
    </w:p>
    <w:p w14:paraId="7602D98E" w14:textId="77777777" w:rsidR="00B05035" w:rsidRPr="00D23973" w:rsidRDefault="00000000" w:rsidP="0032545C">
      <w:pPr>
        <w:spacing w:after="60"/>
        <w:ind w:left="360"/>
        <w:rPr>
          <w:rFonts w:ascii="Times New Roman" w:hAnsi="Times New Roman" w:cs="Times New Roman"/>
          <w:bCs/>
          <w:lang w:val="en-IN"/>
        </w:rPr>
      </w:pPr>
      <w:r w:rsidRPr="00D23973">
        <w:rPr>
          <w:b/>
        </w:rPr>
        <w:t>• Biliary Tree &amp; Portal System:</w:t>
      </w:r>
      <w:r w:rsidRPr="00D23973">
        <w:t xml:space="preserve"> The gallbladder showed mild distension with normal wall thickness (&lt;3 mm); no intraluminal calculus, sludge, or pericholecystic fluid was visible. The portal vein was patent, with hepatopetal flow on colour Doppler examination.</w:t>
      </w:r>
    </w:p>
    <w:p w14:paraId="66610CE7" w14:textId="77777777" w:rsidR="00B05035" w:rsidRPr="00D23973" w:rsidRDefault="00000000" w:rsidP="0032545C">
      <w:pPr>
        <w:spacing w:after="60"/>
        <w:ind w:left="360"/>
        <w:rPr>
          <w:bCs/>
          <w:lang w:val="en-IN"/>
        </w:rPr>
      </w:pPr>
      <w:r w:rsidRPr="00D23973">
        <w:rPr>
          <w:b/>
        </w:rPr>
        <w:t>• Spleen:</w:t>
      </w:r>
      <w:r w:rsidRPr="00D23973">
        <w:t xml:space="preserve"> Marked splenomegaly was present, with a bipolar length of 12.7 cm (normal bipolar splenic length at 5 years of age: &lt;8.5–9.0 cm). The parenchyma showed a homogeneous echo pattern, with no focal lesions such as infarcts, cysts, or calcification.</w:t>
      </w:r>
    </w:p>
    <w:p w14:paraId="3438DE8C" w14:textId="77777777" w:rsidR="00B05035" w:rsidRPr="00D23973" w:rsidRDefault="00000000" w:rsidP="0032545C">
      <w:pPr>
        <w:spacing w:after="60"/>
        <w:ind w:left="360"/>
        <w:rPr>
          <w:rFonts w:ascii="Times New Roman" w:hAnsi="Times New Roman" w:cs="Times New Roman"/>
          <w:bCs/>
          <w:lang w:val="en-IN"/>
        </w:rPr>
      </w:pPr>
      <w:r w:rsidRPr="00D23973">
        <w:rPr>
          <w:b/>
        </w:rPr>
        <w:t>• Pancreas:</w:t>
      </w:r>
      <w:r w:rsidRPr="00D23973">
        <w:t xml:space="preserve"> The head and body (proximal portion) were well defined on ultrasonography, with normal calibre and echogenicity. The pancreatic tail was partially obscured by overlying bowel gas.</w:t>
      </w:r>
    </w:p>
    <w:p w14:paraId="04BE7888" w14:textId="77777777" w:rsidR="00B05035" w:rsidRPr="00D23973" w:rsidRDefault="00000000" w:rsidP="0032545C">
      <w:pPr>
        <w:spacing w:after="60"/>
        <w:ind w:left="360"/>
        <w:rPr>
          <w:rFonts w:ascii="Times New Roman" w:hAnsi="Times New Roman" w:cs="Times New Roman"/>
          <w:bCs/>
          <w:lang w:val="en-IN"/>
        </w:rPr>
      </w:pPr>
      <w:r w:rsidRPr="00D23973">
        <w:rPr>
          <w:b/>
        </w:rPr>
        <w:t>• Kidneys &amp; Urinary Tract:</w:t>
      </w:r>
      <w:r w:rsidRPr="00D23973">
        <w:t xml:space="preserve"> The right kidney measured 8.6 × 3.2 cm and the left kidney measured 9.1 × 4.1 cm. The size, location, and axis of both kidneys were normal. Both kidneys showed diffusely increased cortical parenchymal echogenicity, greater than or equal to that of the adjacent liver parenchyma, suggestive of bilateral Grade I renal parenchymal changes. Corticomedullary differentiation remained preserved bilaterally. No pelvicalyceal dilatation, hydroureteronephrosis, nephrocalcinosis, calculus, or perinephric collection was noted.</w:t>
      </w:r>
    </w:p>
    <w:p w14:paraId="1A229A74" w14:textId="77777777" w:rsidR="0032545C" w:rsidRPr="00D23973" w:rsidRDefault="00000000" w:rsidP="0032545C">
      <w:pPr>
        <w:spacing w:after="60"/>
        <w:ind w:left="360"/>
        <w:rPr>
          <w:b/>
          <w:lang w:val="en-IN"/>
        </w:rPr>
      </w:pPr>
      <w:r w:rsidRPr="00D23973">
        <w:rPr>
          <w:b/>
        </w:rPr>
        <w:lastRenderedPageBreak/>
        <w:t>• Urinary Bladder &amp; Pelvis:</w:t>
      </w:r>
      <w:r w:rsidRPr="00D23973">
        <w:t xml:space="preserve"> The urinary bladder was moderately to markedly distended, with a thin, homogeneous, smooth wall. No intravesical thrombus, mucosal mass, or calculus was identified. The uterus and adnexa were morphologically appropriate for age. There was no significant free intraperitoneal or pelvic fluid.</w:t>
      </w:r>
    </w:p>
    <w:p w14:paraId="3C8C0B97" w14:textId="77777777" w:rsidR="00B05035" w:rsidRPr="00D23973" w:rsidRDefault="00B05035">
      <w:pPr>
        <w:spacing w:after="60"/>
        <w:ind w:left="360"/>
      </w:pPr>
    </w:p>
    <w:p w14:paraId="63A56337" w14:textId="531A769B" w:rsidR="00B05035" w:rsidRPr="00D23973" w:rsidRDefault="00E22517">
      <w:pPr>
        <w:spacing w:before="160" w:after="80"/>
        <w:jc w:val="center"/>
      </w:pPr>
      <w:r w:rsidRPr="005B4BBA">
        <w:rPr>
          <w:noProof/>
          <w:color w:val="000000" w:themeColor="text1"/>
        </w:rPr>
        <w:drawing>
          <wp:inline distT="0" distB="0" distL="0" distR="0" wp14:anchorId="3944F1A0" wp14:editId="24F64E62">
            <wp:extent cx="5029200" cy="57280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0.png"/>
                    <pic:cNvPicPr/>
                  </pic:nvPicPr>
                  <pic:blipFill>
                    <a:blip r:embed="rId6"/>
                    <a:stretch>
                      <a:fillRect/>
                    </a:stretch>
                  </pic:blipFill>
                  <pic:spPr>
                    <a:xfrm>
                      <a:off x="0" y="0"/>
                      <a:ext cx="5029200" cy="5728018"/>
                    </a:xfrm>
                    <a:prstGeom prst="rect">
                      <a:avLst/>
                    </a:prstGeom>
                  </pic:spPr>
                </pic:pic>
              </a:graphicData>
            </a:graphic>
          </wp:inline>
        </w:drawing>
      </w:r>
    </w:p>
    <w:p w14:paraId="5ADC1A22" w14:textId="77777777" w:rsidR="00B05035" w:rsidRPr="00D23973" w:rsidRDefault="00000000">
      <w:pPr>
        <w:spacing w:after="240"/>
        <w:jc w:val="center"/>
      </w:pPr>
      <w:r w:rsidRPr="00D23973">
        <w:rPr>
          <w:rFonts w:ascii="Times New Roman" w:hAnsi="Times New Roman"/>
          <w:b/>
          <w:sz w:val="24"/>
        </w:rPr>
        <w:t xml:space="preserve">Figure 1: </w:t>
      </w:r>
      <w:r w:rsidRPr="00D23973">
        <w:rPr>
          <w:rFonts w:ascii="Times New Roman" w:hAnsi="Times New Roman"/>
          <w:i/>
          <w:sz w:val="20"/>
        </w:rPr>
        <w:t>High-Resolution Real-Time Abdominopelvic Ultrasonography with Color Doppler Imaging. Multi-panel sonographic assessment demonstrating mild hepatomegaly (liver span 13.0 cm), splenomegaly (bipolar splenic length 12.7 cm), bilateral Grade I renal parenchymal changes with preserved corticomedullary differentiation (right kidney 8.6 × 3.2 cm, left kidney 9.1 × 4.1 cm), patent portal vein flow on color Doppler interrogation, and an adequately distended urinary bladder with thin, uniform wall architecture.</w:t>
      </w:r>
    </w:p>
    <w:p w14:paraId="48E36C6F" w14:textId="77777777" w:rsidR="00B05035" w:rsidRPr="00D23973" w:rsidRDefault="00000000">
      <w:pPr>
        <w:keepNext/>
        <w:spacing w:before="200" w:after="60"/>
      </w:pPr>
      <w:r w:rsidRPr="00D23973">
        <w:rPr>
          <w:rFonts w:ascii="Times New Roman" w:hAnsi="Times New Roman"/>
          <w:b/>
          <w:i/>
          <w:sz w:val="24"/>
        </w:rPr>
        <w:lastRenderedPageBreak/>
        <w:t>Inpatient Clinical Course &amp; Therapeutic Interventions</w:t>
      </w:r>
    </w:p>
    <w:p w14:paraId="57C3AF3F" w14:textId="77777777" w:rsidR="00B05035" w:rsidRPr="00D23973" w:rsidRDefault="00000000">
      <w:pPr>
        <w:spacing w:after="120"/>
      </w:pPr>
      <w:r w:rsidRPr="00D23973">
        <w:t>Upon admission on 22 August 2026, the combination of high-grade fever spikes, active urinary sediment, macroscopic haematuria, and profound anaemia required a coordinated therapeutic strategy:</w:t>
      </w:r>
    </w:p>
    <w:p w14:paraId="0926E453" w14:textId="77777777" w:rsidR="00B05035" w:rsidRPr="00D23973" w:rsidRDefault="00000000">
      <w:pPr>
        <w:spacing w:after="120"/>
      </w:pPr>
      <w:r w:rsidRPr="00D23973">
        <w:rPr>
          <w:b/>
        </w:rPr>
        <w:t>1. Immediate Broad-Spectrum Antimicrobial Therapy:</w:t>
      </w:r>
      <w:r w:rsidRPr="00D23973">
        <w:t xml:space="preserve"> Prompt intravenous broad-spectrum antimicrobial therapy was instituted after blood and urine sampling to treat the acute bacterial UTI and reduce the risk of systemic sepsis. Intravenous cefotaxime was initiated at 150 mg/kg/day in three divided doses every 8 hours (1.15 g IV TID; total daily dose 3.45 g), together with intravenous amikacin at 15 mg/kg/day as a single daily infusion (340 mg IV OD, diluted in 40 mL normal saline and infused over 45 minutes). Antipyresis and pain control were maintained with oral paracetamol (15 mg/kg/dose as required).</w:t>
      </w:r>
    </w:p>
    <w:p w14:paraId="3411EEDD" w14:textId="77777777" w:rsidR="00B05035" w:rsidRPr="00D23973" w:rsidRDefault="00000000">
      <w:pPr>
        <w:spacing w:after="120"/>
      </w:pPr>
      <w:r w:rsidRPr="00D23973">
        <w:rPr>
          <w:b/>
        </w:rPr>
        <w:t>2. Blood Transfusion Protocol &amp; Haemodynamic Protection:</w:t>
      </w:r>
      <w:r w:rsidRPr="00D23973">
        <w:t xml:space="preserve"> Given the profound symptomatic anaemia (Hb 5.3 g/dL) and cardiovascular hyperdynamic stress, PRBC transfusion was scheduled after crossmatching on Day 3 (24 August 2026). A fully crossmatched B Rh-positive PRBC unit (Bag No. 2752; collection date: 20/08/2026; expiry: 24/09/2026; non-reactive for HIV, HBsAg, HCV, and syphilis) was administered at 15 mL/kg (approximately 345 mL total volume) at a controlled rate of 60 mL/hour over 3.5 hours. To mitigate transfusion-associated circulatory overload (TACO) in this chronically anaemic patient, intravenous furosemide (20 mg IV) was administered at the midpoint of the transfusion. Vital signs monitored before, during, and after transfusion remained stable, without allergic or haemolytic reactions.</w:t>
      </w:r>
    </w:p>
    <w:p w14:paraId="2F055C4B" w14:textId="77777777" w:rsidR="00B05035" w:rsidRPr="00D23973" w:rsidRDefault="00000000">
      <w:pPr>
        <w:spacing w:after="120"/>
      </w:pPr>
      <w:r w:rsidRPr="00D23973">
        <w:rPr>
          <w:b/>
        </w:rPr>
        <w:t>3. Day-by-Day Progression &amp; Clinical Resolution:</w:t>
      </w:r>
      <w:r w:rsidRPr="00D23973">
        <w:t xml:space="preserve"> Days 1–2 (22/08–23/08/2026): Intermittent fever spikes (100.2 °F–101.4 °F) responded promptly to paracetamol, and upper respiratory symptoms resolved with supportive therapy. Days 3–4 (24/08–25/08/2026): Following PRBC transfusion, the child showed marked clinical improvement, with complete resolution of dyspnoea and tachycardia; gross haematuria progressively cleared. Day 5 (26/08/2026): Repeat urinalysis confirmed clearance of macroscopic haematuria, a reduction in microscopic RBCs to 5–8/HPF, and trace proteinuria. Urine culture showed no growth following bactericidal antibiotic coverage. Day 6 (27/08/2026): The patient was active, had remained afebrile for &gt;72 hours, tolerated oral feeds comfortably, and passed clear, straw-coloured urine. Post-transfusion haemoglobin stabilised at &gt;9.5 g/dL. She was discharged in stable clinical condition on oral folic acid (5 mg/day), with scheduled outpatient follow-up.</w:t>
      </w:r>
    </w:p>
    <w:p w14:paraId="7BB27213" w14:textId="77777777" w:rsidR="00B05035" w:rsidRPr="00D23973" w:rsidRDefault="00000000">
      <w:pPr>
        <w:keepNext/>
        <w:spacing w:before="280" w:after="80"/>
        <w:rPr>
          <w:rFonts w:ascii="Times New Roman" w:hAnsi="Times New Roman"/>
          <w:b/>
          <w:sz w:val="26"/>
        </w:rPr>
      </w:pPr>
      <w:r w:rsidRPr="00D23973">
        <w:rPr>
          <w:rFonts w:ascii="Times New Roman" w:hAnsi="Times New Roman"/>
          <w:b/>
          <w:sz w:val="26"/>
        </w:rPr>
        <w:t>DISCUSSION</w:t>
      </w:r>
    </w:p>
    <w:p w14:paraId="07CF3206" w14:textId="77777777" w:rsidR="0032545C" w:rsidRPr="00D23973" w:rsidRDefault="0032545C">
      <w:pPr>
        <w:keepNext/>
        <w:spacing w:before="280" w:after="80"/>
        <w:rPr>
          <w:rFonts w:ascii="Times New Roman" w:hAnsi="Times New Roman" w:cs="Times New Roman"/>
          <w:lang w:val="en-IN"/>
        </w:rPr>
      </w:pPr>
      <w:r w:rsidRPr="00D23973">
        <w:t>Hereditary spherocytosis is a classic congenital, non-immune haemolytic anaemia caused by abnormalities of the red blood cell membrane that reduce membrane stability and deformability (Da Costa et al., 2013; Bianchi et al., 2012). The principal pathophysiological abnormality is a functional or quantitative reduction in proteins responsible for vertical linkage between the spectrin-based cytoskeleton and the lipid bilayer, including ankyrin, α/β-spectrin, band 3, and protein 4.2 (Bianchi et al., 2012; Rocha et al., 2010). Failure of vertical linkage permits progressive membrane loss through microvesiculation (Rocha et al., 2010; Mohandas &amp; Gallagher, 2008). Because more membrane surface area than cytoplasmic volume is lost, the erythrocyte surface-</w:t>
      </w:r>
      <w:r w:rsidRPr="00D23973">
        <w:lastRenderedPageBreak/>
        <w:t>area-to-volume ratio decreases, promoting a spherical morphology, increased intracellular haemoglobin concentration, and increased osmotic fragility (Mohandas &amp; Gallagher, 2008; Manno et al., 2002). Under normal conditions, biconcave red blood cells undergo marked but reversible deformation while passing through narrow microvascular capillaries and splenic sinus slits (Mohandas &amp; Gallagher, 2008; Manno et al., 2002). Spherocytes have reduced mechanical pliability and may therefore become trapped within the splenic cords of Billroth (Manno et al., 2002; Mariani et al., 2008). Glucose depletion, acidosis, relative hypoxia, and prolonged splenic entrapment promote ATP depletion and further membrane loss, culminating in capture by splenic reticuloendothelial macrophages (Mariani et al., 2008; Tchernia et al., 1997). The clinical severity of HS varies with the degree of spectrin deficiency and the rate of splenic erythrophagocytosis (Tchernia et al., 1997; Bolton-Maggs et al., 2004). Mild disease may be compensated by increased erythroid marrow activity, whereas severe disease, as in the present case, may involve chronic extravascular haemolysis requiring regular PRBC transfusion (Bolton-Maggs et al., 2004; Iolascon et al., 2017).</w:t>
      </w:r>
      <w:r w:rsidRPr="00D23973">
        <w:br/>
        <w:t>The precipitation of a hyperhaemolytic crisis during an acute bacterial urinary tract infection is clinically important in this patient. The three recognised acute decompensating crises in children with chronic haemolytic disorders are aplastic, megaloblastic, and hyperhaemolytic crises (Da Costa et al., 2013; Saarinen et al., 1986; Gallagher, 2013). Aplastic crises, classically associated with human parvovirus B19, cause a marked reduction in erythroid production. Megaloblastic crises may result from depletion of folate during substantially increased erythropoiesis. Hyperhaemolytic crises, as in the present case, involve sudden and severe erythrocyte destruction. Pro-inflammatory cytokines, including IL-6, TNF-α, IL-1, and IFN-γ, released during intercurrent infection may accelerate removal of spherocytes by activated reticuloendothelial macrophages in the spleen and liver (Gallagher, 2013; Tullus, 2011). This mechanism is consistent with the fall in haemoglobin from a baseline of 8.0–9.0 g/dL to 5.3 g/dL observed in this patient (Gallagher, 2013; Tullus, 2011). Pre-antibiotic blood cultures remained negative despite fever, tachycardia, and clinical concern for urosepsis. A locally contained inflammatory process, such as cystitis or early ascending pyelonephritis, may still generate systemic inflammatory mediators without detectable bacteraemia (Perrotta et al., 2008; Gallagher, 2013; Tullus, 2011). The negative blood cultures reduced concern for disseminated bacteraemia or endovascular seeding and supported treatment directed at the urinary focus.</w:t>
      </w:r>
      <w:r w:rsidRPr="00D23973">
        <w:br/>
        <w:t xml:space="preserve">Macroscopic red urine in a child with severe HS creates an important diagnostic challenge (Tullus, 2011; Shaikh et al., 2008; Roberts, 2011). Differential diagnoses include true haematuria from lower urinary tract inflammation, glomerular haematuria, and haemoglobinuria associated with intravascular haemolysis (Tullus, 2011; Roberts, 2011). Urine microscopy showed 18–20 intact RBCs/HPF without dysmorphic features or red-cell casts, making acute glomerular inflammation less likely. The 3+ dipstick reaction for blood, together with intact RBCs on microscopy, supported true haematuria associated with lower urinary tract mucosal inflammation (Roberts, 2011). Admission urine was markedly alkaline (pH 8.5), while post-antibiotic urine pH decreased to 6.5 and proteinuria and macroscopic haematuria resolved (Roberts, 2011). Bilateral Grade I renal parenchymal changes on ultrasonography provided additional diagnostic information (Qian et al., 2010; Nath et al., 1998; Tracz et al., 2007; Platt, 1992). In chronic haemolytic states, filtered free haem may be taken up by proximal tubular cells and may contribute to renal iron deposition and </w:t>
      </w:r>
      <w:r w:rsidRPr="00D23973">
        <w:lastRenderedPageBreak/>
        <w:t>tubulointerstitial stress (Qian et al., 2010; Nath et al., 1998; Tracz et al., 2007). An acute haemolytic exacerbation occurring with a UTI may further increase renal tubular stress (Hitzel et al., 2002; Riccabona et al., 2014). In this child, preserved serum creatinine (0.60 mg/dL) and blood urea (24.1 mg/dL) indicated preserved renal filtration during the admission (Hitzel et al., 2002; Riccabona et al., 2014).</w:t>
      </w:r>
      <w:r w:rsidRPr="00D23973">
        <w:br/>
        <w:t xml:space="preserve">Management of infection in a chronically anaemic child requires coordinated care (Bradley et al., 2022; Roberts, 2011). Early intravenous bactericidal antimicrobial therapy was administered using cefotaxime (150 mg/kg/day divided every 6 hours) in combination with amikacin (15 mg/kg/day divided every 12 hours), with expected coverage of common urinary pathogens including </w:t>
      </w:r>
      <w:r w:rsidRPr="00D23973">
        <w:rPr>
          <w:i/>
        </w:rPr>
        <w:t>Escherichia coli</w:t>
      </w:r>
      <w:r w:rsidRPr="00D23973">
        <w:t xml:space="preserve">, </w:t>
      </w:r>
      <w:r w:rsidRPr="00D23973">
        <w:rPr>
          <w:i/>
        </w:rPr>
        <w:t>Klebsiella pneumoniae</w:t>
      </w:r>
      <w:r w:rsidRPr="00D23973">
        <w:t xml:space="preserve">, </w:t>
      </w:r>
      <w:r w:rsidRPr="00D23973">
        <w:rPr>
          <w:i/>
        </w:rPr>
        <w:t>Proteus mirabilis</w:t>
      </w:r>
      <w:r w:rsidRPr="00D23973">
        <w:t xml:space="preserve">, and </w:t>
      </w:r>
      <w:r w:rsidRPr="00D23973">
        <w:rPr>
          <w:i/>
        </w:rPr>
        <w:t>Enterobacter</w:t>
      </w:r>
      <w:r w:rsidRPr="00D23973">
        <w:t xml:space="preserve"> species (Bradley et al., 2022; Carson et al., 2017). Cautious augmentation of circulating red-cell mass is also important in severe chronic anaemia (Carson et al., 2017; New et al., 2016). Rapid transfusion in chronically anaemic children may increase the risk of transfusion-associated circulatory overload (TACO); in this case, PRBCs were administered in a controlled manner, with intravenous furosemide used to support diuresis (Carson et al., 2017; New et al., 2016). Ongoing management in this 5-year-old child includes daily folic acid supplementation to support increased erythropoiesis (Casale &amp; Perrotta, 2011), annual abdominal ultrasonography for pigment gallstones associated with chronic haemolysis (Casale &amp; Perrotta, 2011; Bolton-Maggs et al., 2004), and planned evaluation for splenectomy after 5 years of age, with appropriate vaccination and antimicrobial prophylaxis because of the risk of overwhelming post-splenectomy infection (Iolascon et al., 2017; Casale &amp; Perrotta, 2011; Bolton-Maggs et al., 2004).</w:t>
      </w:r>
    </w:p>
    <w:p w14:paraId="32BED20B" w14:textId="77777777" w:rsidR="00B05035" w:rsidRPr="00D23973" w:rsidRDefault="00000000">
      <w:pPr>
        <w:keepNext/>
        <w:spacing w:before="280" w:after="80"/>
        <w:rPr>
          <w:rFonts w:ascii="Times New Roman" w:hAnsi="Times New Roman"/>
          <w:b/>
          <w:sz w:val="26"/>
        </w:rPr>
      </w:pPr>
      <w:r w:rsidRPr="00D23973">
        <w:rPr>
          <w:rFonts w:ascii="Times New Roman" w:hAnsi="Times New Roman"/>
          <w:b/>
          <w:sz w:val="26"/>
        </w:rPr>
        <w:t>LIMITATIONS OF THE STUDY</w:t>
      </w:r>
    </w:p>
    <w:p w14:paraId="5D8CBCDF" w14:textId="77777777" w:rsidR="000F08BF" w:rsidRPr="00D23973" w:rsidRDefault="000F08BF">
      <w:pPr>
        <w:keepNext/>
        <w:spacing w:before="280" w:after="80"/>
        <w:rPr>
          <w:rFonts w:ascii="Times New Roman" w:hAnsi="Times New Roman" w:cs="Times New Roman"/>
          <w:lang w:val="en-IN"/>
        </w:rPr>
      </w:pPr>
      <w:r w:rsidRPr="00D23973">
        <w:t>This case report has several limitations. The urine cultures obtained after admission showed no bacterial growth; prompt empirical broad-spectrum intravenous antibiotic therapy may have reduced the likelihood of identifying the causative uropathogen and determining antimicrobial susceptibility. Hereditary spherocytosis was diagnosed phenotypically in infancy using clinical findings, microspherocytosis, and osmotic fragility testing, but molecular sequencing of relevant genes (ANK1, SPTA1, SPTB, or SLC4A1) was not performed. In addition, formal quantitative haemolysis biomarkers, including plasma-free haemoglobin and serum haptoglobin, were not routinely obtained during the acute admission; clinical findings, haemoglobin measurements, and serial urinalysis were therefore used to assess response.</w:t>
      </w:r>
    </w:p>
    <w:p w14:paraId="7B369EC9" w14:textId="77777777" w:rsidR="00B05035" w:rsidRPr="00D23973" w:rsidRDefault="00000000">
      <w:pPr>
        <w:keepNext/>
        <w:spacing w:before="280" w:after="80"/>
        <w:rPr>
          <w:rFonts w:ascii="Times New Roman" w:hAnsi="Times New Roman"/>
          <w:b/>
          <w:sz w:val="26"/>
        </w:rPr>
      </w:pPr>
      <w:r w:rsidRPr="00D23973">
        <w:rPr>
          <w:rFonts w:ascii="Times New Roman" w:hAnsi="Times New Roman"/>
          <w:b/>
          <w:sz w:val="26"/>
        </w:rPr>
        <w:t>CONCLUSION</w:t>
      </w:r>
    </w:p>
    <w:p w14:paraId="797674CF" w14:textId="77777777" w:rsidR="000F08BF" w:rsidRDefault="000F08BF">
      <w:pPr>
        <w:keepNext/>
        <w:spacing w:before="280" w:after="80"/>
      </w:pPr>
      <w:r w:rsidRPr="00D23973">
        <w:t xml:space="preserve">This case illustrates the complex clinical interaction between a hereditary erythrocyte membrane disorder and a common childhood bacterial illness. Children with severe transfusion-dependent hereditary spherocytosis may develop a life-threatening hyperhaemolytic crisis during an intercurrent UTI, with a rapid fall in haemoglobin, macroscopic haematuria, and transient renal parenchymal changes. Negative peripheral blood cultures in this patient indicated that severe haemolysis occurred without documented systemic bacteraemia. Prompt differentiation between true haematuria and haemoglobinuria, appropriate microbiological sampling, early intravenous </w:t>
      </w:r>
      <w:r w:rsidRPr="00D23973">
        <w:lastRenderedPageBreak/>
        <w:t>bactericidal therapy, and carefully controlled PRBC transfusion with diuretic support were associated with clinical stabilisation and resolution of the urinary abnormalities. Long-term care requires continued haematological follow-up, regular folic acid supplementation, surveillance for pigment gallstones, and consideration of splenectomy at an appropriate age with the required vaccination and antimicrobial prophylaxis. This report highlights the importance of integrated haematological, infectious-disease, transfusion, and renal assessment during acute deterioration in children with severe hereditary spherocytosis.</w:t>
      </w:r>
    </w:p>
    <w:p w14:paraId="15115333" w14:textId="77777777" w:rsidR="003E0636" w:rsidRPr="00D23973" w:rsidRDefault="003E0636" w:rsidP="003E0636">
      <w:pPr>
        <w:spacing w:after="60"/>
      </w:pPr>
      <w:r w:rsidRPr="00D23973">
        <w:rPr>
          <w:rFonts w:ascii="Times New Roman" w:hAnsi="Times New Roman"/>
          <w:b/>
        </w:rPr>
        <w:t xml:space="preserve">Consent: </w:t>
      </w:r>
      <w:r w:rsidRPr="00D23973">
        <w:rPr>
          <w:rFonts w:ascii="Times New Roman" w:hAnsi="Times New Roman"/>
        </w:rPr>
        <w:t>Written informed consent was obtained from the patient's legal guardians for publication of this case report and accompanying clinical images.</w:t>
      </w:r>
    </w:p>
    <w:p w14:paraId="7201BAF2" w14:textId="77777777" w:rsidR="003E0636" w:rsidRPr="00D23973" w:rsidRDefault="003E0636">
      <w:pPr>
        <w:keepNext/>
        <w:spacing w:before="280" w:after="80"/>
        <w:rPr>
          <w:rFonts w:ascii="Times New Roman" w:hAnsi="Times New Roman" w:cs="Times New Roman"/>
          <w:lang w:val="en-IN"/>
        </w:rPr>
      </w:pPr>
    </w:p>
    <w:p w14:paraId="67F9919C" w14:textId="77777777" w:rsidR="00D24B2E" w:rsidRDefault="00D24B2E">
      <w:pPr>
        <w:spacing w:after="60"/>
        <w:rPr>
          <w:rFonts w:ascii="Times New Roman" w:hAnsi="Times New Roman"/>
          <w:b/>
          <w:sz w:val="26"/>
        </w:rPr>
      </w:pPr>
    </w:p>
    <w:p w14:paraId="57FF2D50" w14:textId="2AB47502" w:rsidR="00B05035" w:rsidRPr="00D23973" w:rsidRDefault="00000000">
      <w:pPr>
        <w:spacing w:after="60"/>
      </w:pPr>
      <w:r w:rsidRPr="00D23973">
        <w:rPr>
          <w:rFonts w:ascii="Times New Roman" w:hAnsi="Times New Roman"/>
          <w:b/>
        </w:rPr>
        <w:t xml:space="preserve">Ethical Approval: </w:t>
      </w:r>
      <w:r w:rsidRPr="00D23973">
        <w:rPr>
          <w:rFonts w:ascii="Times New Roman" w:hAnsi="Times New Roman"/>
        </w:rPr>
        <w:t>Formal ethical approval was granted by the Institutional Ethics Committee (IRB) of SSIMS &amp; RC (IEC/SSIMS/2026/08-CR42).</w:t>
      </w:r>
    </w:p>
    <w:p w14:paraId="3324B03A" w14:textId="77777777" w:rsidR="00B05035" w:rsidRPr="00D23973" w:rsidRDefault="00000000">
      <w:pPr>
        <w:spacing w:after="60"/>
      </w:pPr>
      <w:r w:rsidRPr="00D23973">
        <w:rPr>
          <w:rFonts w:ascii="Times New Roman" w:hAnsi="Times New Roman"/>
          <w:b/>
        </w:rPr>
        <w:t xml:space="preserve">Competing Interests: </w:t>
      </w:r>
      <w:r w:rsidRPr="00D23973">
        <w:rPr>
          <w:rFonts w:ascii="Times New Roman" w:hAnsi="Times New Roman"/>
        </w:rPr>
        <w:t>The authors declare that they have no competing interests.</w:t>
      </w:r>
    </w:p>
    <w:p w14:paraId="6D26F8C1" w14:textId="77777777" w:rsidR="00D24B2E" w:rsidRDefault="00D24B2E">
      <w:pPr>
        <w:spacing w:after="60"/>
        <w:rPr>
          <w:rFonts w:ascii="Times New Roman" w:hAnsi="Times New Roman"/>
          <w:b/>
        </w:rPr>
      </w:pPr>
    </w:p>
    <w:p w14:paraId="30B61FE8" w14:textId="6C53FD3D" w:rsidR="00B05035" w:rsidRPr="00D23973" w:rsidRDefault="00000000">
      <w:pPr>
        <w:spacing w:after="60"/>
      </w:pPr>
      <w:r w:rsidRPr="00D23973">
        <w:rPr>
          <w:rFonts w:ascii="Times New Roman" w:hAnsi="Times New Roman"/>
          <w:b/>
        </w:rPr>
        <w:t xml:space="preserve">Declaration of AI Use: </w:t>
      </w:r>
      <w:r w:rsidRPr="00D23973">
        <w:rPr>
          <w:rFonts w:ascii="Times New Roman" w:hAnsi="Times New Roman"/>
        </w:rPr>
        <w:t>This manuscript was prepared through the intellectual contributions of the authors to clinical diagnosis, therapeutic execution, data analysis, and manuscript preparation. AI-assisted language tools (Grammarly and ChatGPT) were employed strictly for English language refinement and citation consistency during final revision. The authors accept full responsibility for all scientific content and integrity.</w:t>
      </w:r>
    </w:p>
    <w:p w14:paraId="5F630E93" w14:textId="77777777" w:rsidR="00B05035" w:rsidRPr="00D23973" w:rsidRDefault="00000000">
      <w:pPr>
        <w:keepNext/>
        <w:spacing w:before="280" w:after="80"/>
      </w:pPr>
      <w:r w:rsidRPr="00D23973">
        <w:rPr>
          <w:rFonts w:ascii="Times New Roman" w:hAnsi="Times New Roman"/>
          <w:b/>
          <w:sz w:val="26"/>
        </w:rPr>
        <w:t>REFERENCES</w:t>
      </w:r>
    </w:p>
    <w:p w14:paraId="7632FBBC" w14:textId="77777777" w:rsidR="00B05035" w:rsidRPr="00D23973" w:rsidRDefault="00000000">
      <w:pPr>
        <w:spacing w:after="60"/>
        <w:ind w:left="432" w:hanging="432"/>
      </w:pPr>
      <w:r>
        <w:t xml:space="preserve">Bianchi, P., Fermo, E., Vercellati, C., Marcello, A. P., Porretti, L., Cortelezzi, A., Barcellini, W., &amp; Zanella, A. (2012). Diagnostic power of laboratory tests for hereditary spherocytosis: A comparison study in 150 patients grouped according to molecular and clinical characteristics. </w:t>
      </w:r>
      <w:r>
        <w:rPr>
          <w:i/>
        </w:rPr>
        <w:t>Haematologica, 97</w:t>
      </w:r>
      <w:r>
        <w:t xml:space="preserve">(4), 516–523. </w:t>
      </w:r>
      <w:hyperlink r:id="rId7">
        <w:r w:rsidR="00B05035">
          <w:rPr>
            <w:color w:val="0563C1"/>
            <w:u w:val="single"/>
          </w:rPr>
          <w:t>https://doi.org/10.3324/haematol.2011.052845</w:t>
        </w:r>
      </w:hyperlink>
    </w:p>
    <w:p w14:paraId="1CF04F70" w14:textId="77777777" w:rsidR="00B05035" w:rsidRPr="00D23973" w:rsidRDefault="00000000">
      <w:pPr>
        <w:spacing w:after="60"/>
        <w:ind w:left="432" w:hanging="432"/>
      </w:pPr>
      <w:r>
        <w:t xml:space="preserve">Bolton-Maggs, P. H. B., Stevens, R. F., Dodd, N. J., Lamont, G., Tittensor, P., &amp; King, M.-J. (2004). Guidelines for the diagnosis and management of hereditary spherocytosis. </w:t>
      </w:r>
      <w:r>
        <w:rPr>
          <w:i/>
        </w:rPr>
        <w:t>British Journal of Haematology, 126</w:t>
      </w:r>
      <w:r>
        <w:t xml:space="preserve">(4), 455–474. </w:t>
      </w:r>
      <w:hyperlink r:id="rId8">
        <w:r w:rsidR="00B05035">
          <w:rPr>
            <w:color w:val="0563C1"/>
            <w:u w:val="single"/>
          </w:rPr>
          <w:t>https://doi.org/10.1111/j.1365-2141.2004.05052.x</w:t>
        </w:r>
      </w:hyperlink>
    </w:p>
    <w:p w14:paraId="4A244425" w14:textId="77777777" w:rsidR="00B05035" w:rsidRPr="00D23973" w:rsidRDefault="00000000">
      <w:pPr>
        <w:spacing w:after="60"/>
        <w:ind w:left="432" w:hanging="432"/>
      </w:pPr>
      <w:r>
        <w:t xml:space="preserve">Bradley, J. S., Nelson, J. D., &amp; Barnett, E. D. (Eds.). (2022). </w:t>
      </w:r>
      <w:r>
        <w:rPr>
          <w:i/>
        </w:rPr>
        <w:t>2022 Nelson's pediatric antimicrobial therapy</w:t>
      </w:r>
      <w:r>
        <w:t xml:space="preserve"> (28th ed.). American Academy of Pediatrics. </w:t>
      </w:r>
      <w:hyperlink r:id="rId9">
        <w:r w:rsidR="00B05035">
          <w:rPr>
            <w:color w:val="0563C1"/>
            <w:u w:val="single"/>
          </w:rPr>
          <w:t>https://publications.aap.org/aapbooks/resources/20877/Nelson-s-Pediatric-Antimicrobial-Therapy-Updates</w:t>
        </w:r>
      </w:hyperlink>
    </w:p>
    <w:p w14:paraId="6C570BB7" w14:textId="77777777" w:rsidR="00B05035" w:rsidRPr="00D23973" w:rsidRDefault="00000000">
      <w:pPr>
        <w:spacing w:after="60"/>
        <w:ind w:left="432" w:hanging="432"/>
      </w:pPr>
      <w:r>
        <w:t xml:space="preserve">Carson, J. L., Triulzi, D. J., &amp; Ness, P. M. (2017). Indications for and adverse effects of red-cell transfusion. </w:t>
      </w:r>
      <w:r>
        <w:rPr>
          <w:i/>
        </w:rPr>
        <w:t>New England Journal of Medicine, 377</w:t>
      </w:r>
      <w:r>
        <w:t xml:space="preserve">(13), 1261–1272. </w:t>
      </w:r>
      <w:hyperlink r:id="rId10">
        <w:r w:rsidR="00B05035">
          <w:rPr>
            <w:color w:val="0563C1"/>
            <w:u w:val="single"/>
          </w:rPr>
          <w:t>https://doi.org/10.1056/NEJMra1612789</w:t>
        </w:r>
      </w:hyperlink>
    </w:p>
    <w:p w14:paraId="6269683C" w14:textId="77777777" w:rsidR="00B05035" w:rsidRPr="00D23973" w:rsidRDefault="00000000">
      <w:pPr>
        <w:spacing w:after="60"/>
        <w:ind w:left="432" w:hanging="432"/>
      </w:pPr>
      <w:r>
        <w:t xml:space="preserve">Casale, M., &amp; Perrotta, S. (2011). Splenectomy for hereditary spherocytosis: Complete, partial or not at all? </w:t>
      </w:r>
      <w:r>
        <w:rPr>
          <w:i/>
        </w:rPr>
        <w:t>Expert Review of Hematology, 4</w:t>
      </w:r>
      <w:r>
        <w:t xml:space="preserve">(6), 627–635. </w:t>
      </w:r>
      <w:hyperlink r:id="rId11">
        <w:r w:rsidR="00B05035">
          <w:rPr>
            <w:color w:val="0563C1"/>
            <w:u w:val="single"/>
          </w:rPr>
          <w:t>https://doi.org/10.1586/ehm.11.51</w:t>
        </w:r>
      </w:hyperlink>
    </w:p>
    <w:p w14:paraId="00D0B046" w14:textId="77777777" w:rsidR="00B05035" w:rsidRPr="00D23973" w:rsidRDefault="00000000">
      <w:pPr>
        <w:spacing w:after="60"/>
        <w:ind w:left="432" w:hanging="432"/>
      </w:pPr>
      <w:r>
        <w:lastRenderedPageBreak/>
        <w:t xml:space="preserve">Christensen, R. D., Yaish, H. M., &amp; Gallagher, P. G. (2015). A pediatrician's practical guide to diagnosing and treating hereditary spherocytosis in neonates. </w:t>
      </w:r>
      <w:r>
        <w:rPr>
          <w:i/>
        </w:rPr>
        <w:t>Pediatrics, 135</w:t>
      </w:r>
      <w:r>
        <w:t xml:space="preserve">(6), 1107–1114. </w:t>
      </w:r>
      <w:hyperlink r:id="rId12">
        <w:r w:rsidR="00B05035">
          <w:rPr>
            <w:color w:val="0563C1"/>
            <w:u w:val="single"/>
          </w:rPr>
          <w:t>https://doi.org/10.1542/peds.2014-3516</w:t>
        </w:r>
      </w:hyperlink>
    </w:p>
    <w:p w14:paraId="6107252D" w14:textId="77777777" w:rsidR="00B05035" w:rsidRPr="00D23973" w:rsidRDefault="00000000">
      <w:pPr>
        <w:spacing w:after="60"/>
        <w:ind w:left="432" w:hanging="432"/>
      </w:pPr>
      <w:r>
        <w:t xml:space="preserve">Da Costa, L., Galimand, J., Fenneteau, O., &amp; Mohandas, N. (2013). Hereditary spherocytosis, elliptocytosis, and other red cell membrane disorders. </w:t>
      </w:r>
      <w:r>
        <w:rPr>
          <w:i/>
        </w:rPr>
        <w:t>Blood Reviews, 27</w:t>
      </w:r>
      <w:r>
        <w:t xml:space="preserve">(4), 167–178. </w:t>
      </w:r>
      <w:hyperlink r:id="rId13">
        <w:r w:rsidR="00B05035">
          <w:rPr>
            <w:color w:val="0563C1"/>
            <w:u w:val="single"/>
          </w:rPr>
          <w:t>https://doi.org/10.1016/j.blre.2013.04.003</w:t>
        </w:r>
      </w:hyperlink>
    </w:p>
    <w:p w14:paraId="6A2A0E95" w14:textId="77777777" w:rsidR="00B05035" w:rsidRPr="00D23973" w:rsidRDefault="00000000">
      <w:pPr>
        <w:spacing w:after="60"/>
        <w:ind w:left="432" w:hanging="432"/>
      </w:pPr>
      <w:r>
        <w:t xml:space="preserve">Delaunay, J. (2007). The molecular basis of hereditary red cell membrane disorders. </w:t>
      </w:r>
      <w:r>
        <w:rPr>
          <w:i/>
        </w:rPr>
        <w:t>Blood Reviews, 21</w:t>
      </w:r>
      <w:r>
        <w:t xml:space="preserve">(1), 1–20. </w:t>
      </w:r>
      <w:hyperlink r:id="rId14">
        <w:r w:rsidR="00B05035">
          <w:rPr>
            <w:color w:val="0563C1"/>
            <w:u w:val="single"/>
          </w:rPr>
          <w:t>https://doi.org/10.1016/j.blre.2006.03.005</w:t>
        </w:r>
      </w:hyperlink>
    </w:p>
    <w:p w14:paraId="6A7E4A42" w14:textId="77777777" w:rsidR="00B05035" w:rsidRPr="00D23973" w:rsidRDefault="00000000">
      <w:pPr>
        <w:spacing w:after="60"/>
        <w:ind w:left="432" w:hanging="432"/>
      </w:pPr>
      <w:r>
        <w:t xml:space="preserve">Eber, S. W., Armbrust, R., &amp; Schröter, W. (1990). Variable clinical severity of hereditary spherocytosis: Relation to erythrocytic spectrin concentration, osmotic fragility, and autohemolysis. </w:t>
      </w:r>
      <w:r>
        <w:rPr>
          <w:i/>
        </w:rPr>
        <w:t>The Journal of Pediatrics, 117</w:t>
      </w:r>
      <w:r>
        <w:t xml:space="preserve">(3), 409–416. </w:t>
      </w:r>
      <w:hyperlink r:id="rId15">
        <w:r w:rsidR="00B05035">
          <w:rPr>
            <w:color w:val="0563C1"/>
            <w:u w:val="single"/>
          </w:rPr>
          <w:t>https://doi.org/10.1016/S0022-3476(05)81081-9</w:t>
        </w:r>
      </w:hyperlink>
    </w:p>
    <w:p w14:paraId="09F3C7E8" w14:textId="77777777" w:rsidR="00B05035" w:rsidRPr="00D23973" w:rsidRDefault="00000000">
      <w:pPr>
        <w:spacing w:after="60"/>
        <w:ind w:left="432" w:hanging="432"/>
      </w:pPr>
      <w:r>
        <w:t xml:space="preserve">Gallagher, P. G. (2013). Abnormalities of the erythrocyte membrane. </w:t>
      </w:r>
      <w:r>
        <w:rPr>
          <w:i/>
        </w:rPr>
        <w:t>Pediatric Clinics of North America, 60</w:t>
      </w:r>
      <w:r>
        <w:t xml:space="preserve">(6), 1349–1362. </w:t>
      </w:r>
      <w:hyperlink r:id="rId16">
        <w:r w:rsidR="00B05035">
          <w:rPr>
            <w:color w:val="0563C1"/>
            <w:u w:val="single"/>
          </w:rPr>
          <w:t>https://doi.org/10.1016/j.pcl.2013.09.001</w:t>
        </w:r>
      </w:hyperlink>
    </w:p>
    <w:p w14:paraId="6848C168" w14:textId="77777777" w:rsidR="00B05035" w:rsidRPr="00D23973" w:rsidRDefault="00000000">
      <w:pPr>
        <w:spacing w:after="60"/>
        <w:ind w:left="432" w:hanging="432"/>
      </w:pPr>
      <w:r>
        <w:t xml:space="preserve">Hitzel, A., Liard, A., Véra, P., Manrique, A., Ménard, J.-F., &amp; Dacher, J.-N. (2002). Color and power Doppler sonography versus DMSA scintigraphy in acute pyelonephritis and in prediction of renal scarring. </w:t>
      </w:r>
      <w:r>
        <w:rPr>
          <w:i/>
        </w:rPr>
        <w:t>Journal of Nuclear Medicine, 43</w:t>
      </w:r>
      <w:r>
        <w:t xml:space="preserve">(1), 27–32. </w:t>
      </w:r>
      <w:hyperlink r:id="rId17">
        <w:r w:rsidR="00B05035">
          <w:rPr>
            <w:color w:val="0563C1"/>
            <w:u w:val="single"/>
          </w:rPr>
          <w:t>https://pubmed.ncbi.nlm.nih.gov/11801699/</w:t>
        </w:r>
      </w:hyperlink>
    </w:p>
    <w:p w14:paraId="4A30A07A" w14:textId="77777777" w:rsidR="00B05035" w:rsidRPr="00D23973" w:rsidRDefault="00000000">
      <w:pPr>
        <w:spacing w:after="60"/>
        <w:ind w:left="432" w:hanging="432"/>
      </w:pPr>
      <w:r>
        <w:t xml:space="preserve">Iolascon, A., Andolfo, I., Barcellini, W., Corcione, F., Garçon, L., De Franceschi, L., et al. (2017). Recommendations regarding splenectomy in hereditary hemolytic anemias. </w:t>
      </w:r>
      <w:r>
        <w:rPr>
          <w:i/>
        </w:rPr>
        <w:t>Haematologica, 102</w:t>
      </w:r>
      <w:r>
        <w:t xml:space="preserve">(8), 1304–1313. </w:t>
      </w:r>
      <w:hyperlink r:id="rId18">
        <w:r w:rsidR="00B05035">
          <w:rPr>
            <w:color w:val="0563C1"/>
            <w:u w:val="single"/>
          </w:rPr>
          <w:t>https://doi.org/10.3324/haematol.2016.161166</w:t>
        </w:r>
      </w:hyperlink>
    </w:p>
    <w:p w14:paraId="46893F2A" w14:textId="77777777" w:rsidR="00B05035" w:rsidRPr="00D23973" w:rsidRDefault="00000000">
      <w:pPr>
        <w:spacing w:after="60"/>
        <w:ind w:left="432" w:hanging="432"/>
      </w:pPr>
      <w:r>
        <w:t xml:space="preserve">Iolascon, A., &amp; Avvisati, R. A. (2008). Genotype/phenotype correlation in hereditary spherocytosis. </w:t>
      </w:r>
      <w:r>
        <w:rPr>
          <w:i/>
        </w:rPr>
        <w:t>Haematologica, 93</w:t>
      </w:r>
      <w:r>
        <w:t xml:space="preserve">(9), 1283–1288. </w:t>
      </w:r>
      <w:hyperlink r:id="rId19">
        <w:r w:rsidR="00B05035">
          <w:rPr>
            <w:color w:val="0563C1"/>
            <w:u w:val="single"/>
          </w:rPr>
          <w:t>https://doi.org/10.3324/haematol.13344</w:t>
        </w:r>
      </w:hyperlink>
    </w:p>
    <w:p w14:paraId="1A48F5BE" w14:textId="77777777" w:rsidR="00B05035" w:rsidRPr="00D23973" w:rsidRDefault="00000000">
      <w:pPr>
        <w:spacing w:after="60"/>
        <w:ind w:left="432" w:hanging="432"/>
      </w:pPr>
      <w:r>
        <w:t xml:space="preserve">Kasula, L., Lingaldinna, S., Kotha, R., &amp; Madireddi, A. (2023). Hereditary spherocytosis in a neonate with a new frameshift deletion—A case report. </w:t>
      </w:r>
      <w:r>
        <w:rPr>
          <w:i/>
        </w:rPr>
        <w:t>Asian Journal of Pediatric Research, 13</w:t>
      </w:r>
      <w:r>
        <w:t xml:space="preserve">(2), 21–25. </w:t>
      </w:r>
      <w:hyperlink r:id="rId20">
        <w:r w:rsidR="00B05035">
          <w:rPr>
            <w:color w:val="0563C1"/>
            <w:u w:val="single"/>
          </w:rPr>
          <w:t>https://doi.org/10.9734/ajpr/2023/v13i2258</w:t>
        </w:r>
      </w:hyperlink>
    </w:p>
    <w:p w14:paraId="7C08386F" w14:textId="77777777" w:rsidR="00B05035" w:rsidRPr="00D23973" w:rsidRDefault="00000000">
      <w:pPr>
        <w:spacing w:after="60"/>
        <w:ind w:left="432" w:hanging="432"/>
      </w:pPr>
      <w:r>
        <w:t xml:space="preserve">King, M.-J., Garçon, L., Hoyer, J. D., Iolascon, A., Picard, V., Stewart, G., Bianchi, P., Lee, S.-H., &amp; Zanella, A. (2015). ICSH guidelines for the laboratory diagnosis of nonimmune hereditary red cell membrane disorders. </w:t>
      </w:r>
      <w:r>
        <w:rPr>
          <w:i/>
        </w:rPr>
        <w:t>International Journal of Laboratory Hematology, 37</w:t>
      </w:r>
      <w:r>
        <w:t xml:space="preserve">(3), 304–325. </w:t>
      </w:r>
      <w:hyperlink r:id="rId21">
        <w:r w:rsidR="00B05035">
          <w:rPr>
            <w:color w:val="0563C1"/>
            <w:u w:val="single"/>
          </w:rPr>
          <w:t>https://doi.org/10.1111/ijlh.12335</w:t>
        </w:r>
      </w:hyperlink>
    </w:p>
    <w:p w14:paraId="626A064A" w14:textId="77777777" w:rsidR="00B05035" w:rsidRPr="00D23973" w:rsidRDefault="00000000">
      <w:pPr>
        <w:spacing w:after="60"/>
        <w:ind w:left="432" w:hanging="432"/>
      </w:pPr>
      <w:r>
        <w:t xml:space="preserve">Manno, S., Takakuwa, Y., &amp; Mohandas, N. (2002). Identification of a functional role for lipid asymmetry in biological membranes: Phosphatidylserine-skeletal protein interactions modulate membrane stability. </w:t>
      </w:r>
      <w:r>
        <w:rPr>
          <w:i/>
        </w:rPr>
        <w:t>Proceedings of the National Academy of Sciences of the United States of America, 99</w:t>
      </w:r>
      <w:r>
        <w:t xml:space="preserve">(4), 1943–1948. </w:t>
      </w:r>
      <w:hyperlink r:id="rId22">
        <w:r w:rsidR="00B05035">
          <w:rPr>
            <w:color w:val="0563C1"/>
            <w:u w:val="single"/>
          </w:rPr>
          <w:t>https://doi.org/10.1073/pnas.042688399</w:t>
        </w:r>
      </w:hyperlink>
    </w:p>
    <w:p w14:paraId="18802A6A" w14:textId="77777777" w:rsidR="00B05035" w:rsidRPr="00D23973" w:rsidRDefault="00000000">
      <w:pPr>
        <w:spacing w:after="60"/>
        <w:ind w:left="432" w:hanging="432"/>
      </w:pPr>
      <w:r>
        <w:t xml:space="preserve">Mariani, M., Barcellini, W., Vercellati, C., Marcello, A. P., Fermo, E., Pedotti, P., Boschetti, C., &amp; Zanella, A. (2008). Clinical and hematologic features of 300 patients affected by hereditary spherocytosis grouped according to the type of the membrane protein defect. </w:t>
      </w:r>
      <w:r>
        <w:rPr>
          <w:i/>
        </w:rPr>
        <w:t>Haematologica, 93</w:t>
      </w:r>
      <w:r>
        <w:t xml:space="preserve">(9), 1310–1317. </w:t>
      </w:r>
      <w:hyperlink r:id="rId23">
        <w:r w:rsidR="00B05035">
          <w:rPr>
            <w:color w:val="0563C1"/>
            <w:u w:val="single"/>
          </w:rPr>
          <w:t>https://doi.org/10.3324/haematol.12546</w:t>
        </w:r>
      </w:hyperlink>
    </w:p>
    <w:p w14:paraId="07E7DCB5" w14:textId="77777777" w:rsidR="00B05035" w:rsidRPr="00D23973" w:rsidRDefault="00000000">
      <w:pPr>
        <w:spacing w:after="60"/>
        <w:ind w:left="432" w:hanging="432"/>
      </w:pPr>
      <w:r>
        <w:t xml:space="preserve">Mohandas, N., &amp; Gallagher, P. G. (2008). Red cell membrane: Past, present, and future. </w:t>
      </w:r>
      <w:r>
        <w:rPr>
          <w:i/>
        </w:rPr>
        <w:t>Blood, 112</w:t>
      </w:r>
      <w:r>
        <w:t xml:space="preserve">(10), 3939–3948. </w:t>
      </w:r>
      <w:hyperlink r:id="rId24">
        <w:r w:rsidR="00B05035">
          <w:rPr>
            <w:color w:val="0563C1"/>
            <w:u w:val="single"/>
          </w:rPr>
          <w:t>https://doi.org/10.1182/blood-2008-07-161166</w:t>
        </w:r>
      </w:hyperlink>
    </w:p>
    <w:p w14:paraId="650AC812" w14:textId="77777777" w:rsidR="00B05035" w:rsidRPr="00D23973" w:rsidRDefault="00000000">
      <w:pPr>
        <w:spacing w:after="60"/>
        <w:ind w:left="432" w:hanging="432"/>
      </w:pPr>
      <w:r>
        <w:lastRenderedPageBreak/>
        <w:t xml:space="preserve">Nath, K. A., Grande, J. P., Croatt, A. J., Likely, S., Hebbel, R. P., &amp; Enright, H. (1998). Intracellular targets in heme protein-induced renal injury. </w:t>
      </w:r>
      <w:r>
        <w:rPr>
          <w:i/>
        </w:rPr>
        <w:t>Kidney International, 53</w:t>
      </w:r>
      <w:r>
        <w:t xml:space="preserve">(1), 100–111. </w:t>
      </w:r>
      <w:hyperlink r:id="rId25">
        <w:r w:rsidR="00B05035">
          <w:rPr>
            <w:color w:val="0563C1"/>
            <w:u w:val="single"/>
          </w:rPr>
          <w:t>https://doi.org/10.1046/j.1523-1755.1998.00731.x</w:t>
        </w:r>
      </w:hyperlink>
    </w:p>
    <w:p w14:paraId="69AA3CD8" w14:textId="77777777" w:rsidR="00B05035" w:rsidRPr="00D23973" w:rsidRDefault="00000000">
      <w:pPr>
        <w:spacing w:after="60"/>
        <w:ind w:left="432" w:hanging="432"/>
      </w:pPr>
      <w:r>
        <w:t xml:space="preserve">New, H. V., Berryman, J., Bolton-Maggs, P. H. B., Cantwell, C., Chalmers, E. A., Davies, T., et al. (2016). Guidelines on transfusion for fetuses, neonates and older children. </w:t>
      </w:r>
      <w:r>
        <w:rPr>
          <w:i/>
        </w:rPr>
        <w:t>British Journal of Haematology, 175</w:t>
      </w:r>
      <w:r>
        <w:t xml:space="preserve">(5), 784–828. </w:t>
      </w:r>
      <w:hyperlink r:id="rId26">
        <w:r w:rsidR="00B05035">
          <w:rPr>
            <w:color w:val="0563C1"/>
            <w:u w:val="single"/>
          </w:rPr>
          <w:t>https://doi.org/10.1111/bjh.14233</w:t>
        </w:r>
      </w:hyperlink>
    </w:p>
    <w:p w14:paraId="42ED104C" w14:textId="77777777" w:rsidR="00B05035" w:rsidRPr="00D23973" w:rsidRDefault="00000000">
      <w:pPr>
        <w:spacing w:after="60"/>
        <w:ind w:left="432" w:hanging="432"/>
      </w:pPr>
      <w:r>
        <w:t xml:space="preserve">Panarach, C., Netsawang, C., Nuchprayoon, I., &amp; Leecharoenkiat, K. (2024). Identification and functional analysis of novel SPTB and ANK1 mutations in hereditary spherocytosis patients. </w:t>
      </w:r>
      <w:r>
        <w:rPr>
          <w:i/>
        </w:rPr>
        <w:t>Scientific Reports, 14</w:t>
      </w:r>
      <w:r>
        <w:t xml:space="preserve">, 27362. </w:t>
      </w:r>
      <w:hyperlink r:id="rId27">
        <w:r w:rsidR="00B05035">
          <w:rPr>
            <w:color w:val="0563C1"/>
            <w:u w:val="single"/>
          </w:rPr>
          <w:t>https://doi.org/10.1038/s41598-024-78622-w</w:t>
        </w:r>
      </w:hyperlink>
    </w:p>
    <w:p w14:paraId="1B9707AE" w14:textId="77777777" w:rsidR="00B05035" w:rsidRPr="00D23973" w:rsidRDefault="00000000">
      <w:pPr>
        <w:spacing w:after="60"/>
        <w:ind w:left="432" w:hanging="432"/>
      </w:pPr>
      <w:r>
        <w:t xml:space="preserve">Perrotta, S., Gallagher, P. G., &amp; Mohandas, N. (2008). Hereditary spherocytosis. </w:t>
      </w:r>
      <w:r>
        <w:rPr>
          <w:i/>
        </w:rPr>
        <w:t>The Lancet, 372</w:t>
      </w:r>
      <w:r>
        <w:t xml:space="preserve">(9647), 1411–1426. </w:t>
      </w:r>
      <w:hyperlink r:id="rId28">
        <w:r w:rsidR="00B05035">
          <w:rPr>
            <w:color w:val="0563C1"/>
            <w:u w:val="single"/>
          </w:rPr>
          <w:t>https://doi.org/10.1016/S0140-6736(08)61588-3</w:t>
        </w:r>
      </w:hyperlink>
    </w:p>
    <w:p w14:paraId="0C0E7069" w14:textId="77777777" w:rsidR="00B05035" w:rsidRPr="00D23973" w:rsidRDefault="00000000">
      <w:pPr>
        <w:spacing w:after="60"/>
        <w:ind w:left="432" w:hanging="432"/>
      </w:pPr>
      <w:r>
        <w:t xml:space="preserve">Platt, J. F. (1992). Duplex Doppler evaluation of native kidney dysfunction: Obstructive and nonobstructive disease. </w:t>
      </w:r>
      <w:r>
        <w:rPr>
          <w:i/>
        </w:rPr>
        <w:t>AJR American Journal of Roentgenology, 158</w:t>
      </w:r>
      <w:r>
        <w:t xml:space="preserve">(5), 1035–1042. </w:t>
      </w:r>
      <w:hyperlink r:id="rId29">
        <w:r w:rsidR="00B05035">
          <w:rPr>
            <w:color w:val="0563C1"/>
            <w:u w:val="single"/>
          </w:rPr>
          <w:t>https://doi.org/10.2214/ajr.158.5.1566663</w:t>
        </w:r>
      </w:hyperlink>
    </w:p>
    <w:p w14:paraId="20FB2997" w14:textId="77777777" w:rsidR="00B05035" w:rsidRPr="00D23973" w:rsidRDefault="00000000">
      <w:pPr>
        <w:spacing w:after="60"/>
        <w:ind w:left="432" w:hanging="432"/>
      </w:pPr>
      <w:r>
        <w:t xml:space="preserve">Polizzi, A., Dicembre, L. P., Failla, C., Di Matola, T., Moretti, M., Chiatamone Ranieri, S., et al. (2025). Overview on hereditary spherocytosis diagnosis. </w:t>
      </w:r>
      <w:r>
        <w:rPr>
          <w:i/>
        </w:rPr>
        <w:t>International Journal of Laboratory Hematology, 47</w:t>
      </w:r>
      <w:r>
        <w:t xml:space="preserve">(1), 18–25. </w:t>
      </w:r>
      <w:hyperlink r:id="rId30">
        <w:r w:rsidR="00B05035">
          <w:rPr>
            <w:color w:val="0563C1"/>
            <w:u w:val="single"/>
          </w:rPr>
          <w:t>https://doi.org/10.1111/ijlh.14376</w:t>
        </w:r>
      </w:hyperlink>
    </w:p>
    <w:p w14:paraId="5E77373B" w14:textId="77777777" w:rsidR="00B05035" w:rsidRPr="00D23973" w:rsidRDefault="00000000">
      <w:pPr>
        <w:spacing w:after="60"/>
        <w:ind w:left="432" w:hanging="432"/>
      </w:pPr>
      <w:r>
        <w:t xml:space="preserve">Qian, Q., Nath, K. A., Wu, Y., Daoud, T. M., &amp; Sethi, S. (2010). Hemolysis and acute kidney failure. </w:t>
      </w:r>
      <w:r>
        <w:rPr>
          <w:i/>
        </w:rPr>
        <w:t>American Journal of Kidney Diseases, 56</w:t>
      </w:r>
      <w:r>
        <w:t xml:space="preserve">(4), 780–784. </w:t>
      </w:r>
      <w:hyperlink r:id="rId31">
        <w:r w:rsidR="00B05035">
          <w:rPr>
            <w:color w:val="0563C1"/>
            <w:u w:val="single"/>
          </w:rPr>
          <w:t>https://doi.org/10.1053/j.ajkd.2010.03.025</w:t>
        </w:r>
      </w:hyperlink>
    </w:p>
    <w:p w14:paraId="1E8EC72D" w14:textId="77777777" w:rsidR="00B05035" w:rsidRPr="00D23973" w:rsidRDefault="00000000">
      <w:pPr>
        <w:spacing w:after="60"/>
        <w:ind w:left="432" w:hanging="432"/>
      </w:pPr>
      <w:r>
        <w:t xml:space="preserve">Riccabona, M., Vivier, P.-H., Ntoulia, A., Darge, K., Avni, F., Papadopoulou, F., et al. (2014). ESPR uroradiology task force imaging recommendations in paediatric uroradiology, part VII: Standardised terminology, impact of existing recommendations, and update on contrast-enhanced ultrasound of the paediatric urogenital tract. </w:t>
      </w:r>
      <w:r>
        <w:rPr>
          <w:i/>
        </w:rPr>
        <w:t>Pediatric Radiology, 44</w:t>
      </w:r>
      <w:r>
        <w:t xml:space="preserve">(11), 1478–1484. </w:t>
      </w:r>
      <w:hyperlink r:id="rId32">
        <w:r w:rsidR="00B05035">
          <w:rPr>
            <w:color w:val="0563C1"/>
            <w:u w:val="single"/>
          </w:rPr>
          <w:t>https://doi.org/10.1007/s00247-014-3135-5</w:t>
        </w:r>
      </w:hyperlink>
    </w:p>
    <w:p w14:paraId="667BBCAC" w14:textId="77777777" w:rsidR="00B05035" w:rsidRPr="00D23973" w:rsidRDefault="00000000">
      <w:pPr>
        <w:spacing w:after="60"/>
        <w:ind w:left="432" w:hanging="432"/>
      </w:pPr>
      <w:r>
        <w:t xml:space="preserve">Roberts, K. B., &amp; Subcommittee on Urinary Tract Infection, Steering Committee on Quality Improvement and Management. (2011). Urinary tract infection: Clinical practice guideline for the diagnosis and management of the initial UTI in febrile infants and children 2 to 24 months. </w:t>
      </w:r>
      <w:r>
        <w:rPr>
          <w:i/>
        </w:rPr>
        <w:t>Pediatrics, 128</w:t>
      </w:r>
      <w:r>
        <w:t xml:space="preserve">(3), 595–610. </w:t>
      </w:r>
      <w:hyperlink r:id="rId33">
        <w:r w:rsidR="00B05035">
          <w:rPr>
            <w:color w:val="0563C1"/>
            <w:u w:val="single"/>
          </w:rPr>
          <w:t>https://doi.org/10.1542/peds.2011-1330</w:t>
        </w:r>
      </w:hyperlink>
    </w:p>
    <w:p w14:paraId="3401FC95" w14:textId="77777777" w:rsidR="00B05035" w:rsidRPr="00D23973" w:rsidRDefault="00000000">
      <w:pPr>
        <w:spacing w:after="60"/>
        <w:ind w:left="432" w:hanging="432"/>
      </w:pPr>
      <w:r>
        <w:t xml:space="preserve">Rocha, S., Costa, E., Rocha-Pereira, P., Ferreira, F., Cleto, E., Barbot, J., Quintanilha, A., Belo, L., &amp; Santos-Silva, A. (2010). Erythrocyte membrane protein destabilization versus clinical outcome in 160 Portuguese hereditary spherocytosis patients. </w:t>
      </w:r>
      <w:r>
        <w:rPr>
          <w:i/>
        </w:rPr>
        <w:t>British Journal of Haematology, 149</w:t>
      </w:r>
      <w:r>
        <w:t xml:space="preserve">(5), 785–794. </w:t>
      </w:r>
      <w:hyperlink r:id="rId34">
        <w:r w:rsidR="00B05035">
          <w:rPr>
            <w:color w:val="0563C1"/>
            <w:u w:val="single"/>
          </w:rPr>
          <w:t>https://doi.org/10.1111/j.1365-2141.2010.08166.x</w:t>
        </w:r>
      </w:hyperlink>
    </w:p>
    <w:p w14:paraId="4B43C1C3" w14:textId="77777777" w:rsidR="00B05035" w:rsidRPr="00D23973" w:rsidRDefault="00000000">
      <w:pPr>
        <w:spacing w:after="60"/>
        <w:ind w:left="432" w:hanging="432"/>
      </w:pPr>
      <w:r>
        <w:t xml:space="preserve">Saarinen, U. M., Chorba, T. L., Tattersall, P., Young, N. S., Anderson, L. J., Palmer, E., &amp; Coccia, P. F. (1986). Human parvovirus B19-induced epidemic acute red cell aplasia in patients with hereditary hemolytic anemia. </w:t>
      </w:r>
      <w:r>
        <w:rPr>
          <w:i/>
        </w:rPr>
        <w:t>Blood, 67</w:t>
      </w:r>
      <w:r>
        <w:t xml:space="preserve">(5), 1411–1417. </w:t>
      </w:r>
      <w:hyperlink r:id="rId35">
        <w:r w:rsidR="00B05035">
          <w:rPr>
            <w:color w:val="0563C1"/>
            <w:u w:val="single"/>
          </w:rPr>
          <w:t>https://doi.org/10.1182/blood.V67.5.1411.1411</w:t>
        </w:r>
      </w:hyperlink>
    </w:p>
    <w:p w14:paraId="016D2352" w14:textId="77777777" w:rsidR="00B05035" w:rsidRPr="00D23973" w:rsidRDefault="00000000">
      <w:pPr>
        <w:spacing w:after="60"/>
        <w:ind w:left="432" w:hanging="432"/>
      </w:pPr>
      <w:r>
        <w:t xml:space="preserve">Shaikh, N., Morone, N. E., Bost, J. E., &amp; Farrell, M. H. (2008). Prevalence of urinary tract infection in childhood: A meta-analysis. </w:t>
      </w:r>
      <w:r>
        <w:rPr>
          <w:i/>
        </w:rPr>
        <w:t>Pediatric Infectious Disease Journal, 27</w:t>
      </w:r>
      <w:r>
        <w:t xml:space="preserve">(4), 302–308. </w:t>
      </w:r>
      <w:hyperlink r:id="rId36">
        <w:r w:rsidR="00B05035">
          <w:rPr>
            <w:color w:val="0563C1"/>
            <w:u w:val="single"/>
          </w:rPr>
          <w:t>https://doi.org/10.1097/INF.0b013e31815e4122</w:t>
        </w:r>
      </w:hyperlink>
    </w:p>
    <w:p w14:paraId="52F0AD39" w14:textId="77777777" w:rsidR="00B05035" w:rsidRPr="00D23973" w:rsidRDefault="00000000">
      <w:pPr>
        <w:spacing w:after="60"/>
        <w:ind w:left="432" w:hanging="432"/>
      </w:pPr>
      <w:r>
        <w:lastRenderedPageBreak/>
        <w:t xml:space="preserve">Singh, A. P., Saxena, R., &amp; Saxena, S. (2022). A study on the working of blood bank. </w:t>
      </w:r>
      <w:r>
        <w:rPr>
          <w:i/>
        </w:rPr>
        <w:t>Journal of Medicine and Health Research, 7</w:t>
      </w:r>
      <w:r>
        <w:t xml:space="preserve">(1), 1–5. </w:t>
      </w:r>
      <w:hyperlink r:id="rId37">
        <w:r w:rsidR="00B05035">
          <w:rPr>
            <w:color w:val="0563C1"/>
            <w:u w:val="single"/>
          </w:rPr>
          <w:t>https://doi.org/10.56557/jomahr/2022/v7i17427</w:t>
        </w:r>
      </w:hyperlink>
    </w:p>
    <w:p w14:paraId="76323288" w14:textId="77777777" w:rsidR="00B05035" w:rsidRPr="00D23973" w:rsidRDefault="00000000">
      <w:pPr>
        <w:spacing w:after="60"/>
        <w:ind w:left="432" w:hanging="432"/>
      </w:pPr>
      <w:r>
        <w:t xml:space="preserve">Tchernia, G., Bader-Meunier, B., Berterottiere, P., Eber, S., Dommergues, J. P., &amp; Gauthier, F. (1997). Effectiveness of partial splenectomy in hereditary spherocytosis. </w:t>
      </w:r>
      <w:r>
        <w:rPr>
          <w:i/>
        </w:rPr>
        <w:t>Current Opinion in Hematology, 4</w:t>
      </w:r>
      <w:r>
        <w:t xml:space="preserve">(2), 136–141. </w:t>
      </w:r>
      <w:hyperlink r:id="rId38">
        <w:r w:rsidR="00B05035">
          <w:rPr>
            <w:color w:val="0563C1"/>
            <w:u w:val="single"/>
          </w:rPr>
          <w:t>https://doi.org/10.1097/00062752-199704020-00010</w:t>
        </w:r>
      </w:hyperlink>
    </w:p>
    <w:p w14:paraId="7EC97401" w14:textId="77777777" w:rsidR="00B05035" w:rsidRPr="00D23973" w:rsidRDefault="00000000">
      <w:pPr>
        <w:spacing w:after="60"/>
        <w:ind w:left="432" w:hanging="432"/>
      </w:pPr>
      <w:r>
        <w:t xml:space="preserve">Tracz, M. J., Alam, J., &amp; Nath, K. A. (2007). Physiology and pathophysiology of heme: Implications for kidney disease. </w:t>
      </w:r>
      <w:r>
        <w:rPr>
          <w:i/>
        </w:rPr>
        <w:t>Journal of the American Society of Nephrology, 18</w:t>
      </w:r>
      <w:r>
        <w:t xml:space="preserve">(2), 414–420. </w:t>
      </w:r>
      <w:hyperlink r:id="rId39">
        <w:r w:rsidR="00B05035">
          <w:rPr>
            <w:color w:val="0563C1"/>
            <w:u w:val="single"/>
          </w:rPr>
          <w:t>https://doi.org/10.1681/ASN.2006080894</w:t>
        </w:r>
      </w:hyperlink>
    </w:p>
    <w:p w14:paraId="11743A16" w14:textId="77777777" w:rsidR="00B05035" w:rsidRPr="00D23973" w:rsidRDefault="00000000">
      <w:pPr>
        <w:spacing w:after="60"/>
        <w:ind w:left="432" w:hanging="432"/>
      </w:pPr>
      <w:r>
        <w:t xml:space="preserve">Tullus, K. (2011). Difficulties in diagnosing urinary tract infections in small children. </w:t>
      </w:r>
      <w:r>
        <w:rPr>
          <w:i/>
        </w:rPr>
        <w:t>Pediatric Nephrology, 26</w:t>
      </w:r>
      <w:r>
        <w:t xml:space="preserve">(11), 1923–1926. </w:t>
      </w:r>
      <w:hyperlink r:id="rId40">
        <w:r w:rsidR="00B05035">
          <w:rPr>
            <w:color w:val="0563C1"/>
            <w:u w:val="single"/>
          </w:rPr>
          <w:t>https://doi.org/10.1007/s00467-011-1966-y</w:t>
        </w:r>
      </w:hyperlink>
    </w:p>
    <w:p w14:paraId="32E50AE0" w14:textId="77777777" w:rsidR="00B05035" w:rsidRPr="00D23973" w:rsidRDefault="00000000">
      <w:pPr>
        <w:spacing w:after="60"/>
        <w:ind w:left="432" w:hanging="432"/>
      </w:pPr>
      <w:r>
        <w:t xml:space="preserve">Wu, C., Yan, Y., Xiong, T., Jiang, W., Xu, J., Rao, Y., et al. (2024). Clinical and genetic characteristics of Chinese pediatric and adult patients with hereditary spherocytosis. </w:t>
      </w:r>
      <w:r>
        <w:rPr>
          <w:i/>
        </w:rPr>
        <w:t>Orphanet Journal of Rare Diseases, 19</w:t>
      </w:r>
      <w:r>
        <w:t xml:space="preserve">(1), 278. </w:t>
      </w:r>
      <w:hyperlink r:id="rId41">
        <w:r w:rsidR="00B05035">
          <w:rPr>
            <w:color w:val="0563C1"/>
            <w:u w:val="single"/>
          </w:rPr>
          <w:t>https://doi.org/10.1186/s13023-024-03290-y</w:t>
        </w:r>
      </w:hyperlink>
    </w:p>
    <w:sectPr w:rsidR="00B05035" w:rsidRPr="00D2397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3924460">
    <w:abstractNumId w:val="8"/>
  </w:num>
  <w:num w:numId="2" w16cid:durableId="1007364271">
    <w:abstractNumId w:val="6"/>
  </w:num>
  <w:num w:numId="3" w16cid:durableId="1563060261">
    <w:abstractNumId w:val="5"/>
  </w:num>
  <w:num w:numId="4" w16cid:durableId="701712521">
    <w:abstractNumId w:val="4"/>
  </w:num>
  <w:num w:numId="5" w16cid:durableId="1520309712">
    <w:abstractNumId w:val="7"/>
  </w:num>
  <w:num w:numId="6" w16cid:durableId="542209781">
    <w:abstractNumId w:val="3"/>
  </w:num>
  <w:num w:numId="7" w16cid:durableId="638649916">
    <w:abstractNumId w:val="2"/>
  </w:num>
  <w:num w:numId="8" w16cid:durableId="1553300170">
    <w:abstractNumId w:val="1"/>
  </w:num>
  <w:num w:numId="9" w16cid:durableId="1079910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1N7c0NDU3MzczNbNQ0lEKTi0uzszPAykwrAUAVXvG9ywAAAA="/>
  </w:docVars>
  <w:rsids>
    <w:rsidRoot w:val="00B47730"/>
    <w:rsid w:val="0002133A"/>
    <w:rsid w:val="00034616"/>
    <w:rsid w:val="0006063C"/>
    <w:rsid w:val="000F08BF"/>
    <w:rsid w:val="0015074B"/>
    <w:rsid w:val="001A00AB"/>
    <w:rsid w:val="002700B3"/>
    <w:rsid w:val="0029639D"/>
    <w:rsid w:val="0032545C"/>
    <w:rsid w:val="00326F90"/>
    <w:rsid w:val="003E0636"/>
    <w:rsid w:val="00416720"/>
    <w:rsid w:val="00420981"/>
    <w:rsid w:val="004B5F46"/>
    <w:rsid w:val="00500AC5"/>
    <w:rsid w:val="005D2938"/>
    <w:rsid w:val="00760C0C"/>
    <w:rsid w:val="007B04E4"/>
    <w:rsid w:val="007D6362"/>
    <w:rsid w:val="008552FE"/>
    <w:rsid w:val="008C4193"/>
    <w:rsid w:val="00987F09"/>
    <w:rsid w:val="009A60EE"/>
    <w:rsid w:val="00A02589"/>
    <w:rsid w:val="00AA1D8D"/>
    <w:rsid w:val="00B05035"/>
    <w:rsid w:val="00B47730"/>
    <w:rsid w:val="00C35B7E"/>
    <w:rsid w:val="00C50F3D"/>
    <w:rsid w:val="00C84AA3"/>
    <w:rsid w:val="00CB0664"/>
    <w:rsid w:val="00D23973"/>
    <w:rsid w:val="00D24B2E"/>
    <w:rsid w:val="00DE1679"/>
    <w:rsid w:val="00E22517"/>
    <w:rsid w:val="00E43076"/>
    <w:rsid w:val="00E53C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B0DAD"/>
  <w14:defaultImageDpi w14:val="300"/>
  <w15:docId w15:val="{2211F176-DCF0-489D-ABCB-B0FBF795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552FE"/>
    <w:rPr>
      <w:rFonts w:ascii="Times New Roman" w:hAnsi="Times New Roman" w:cs="Times New Roman"/>
      <w:sz w:val="24"/>
      <w:szCs w:val="24"/>
    </w:rPr>
  </w:style>
  <w:style w:type="character" w:styleId="Hyperlink">
    <w:name w:val="Hyperlink"/>
    <w:basedOn w:val="DefaultParagraphFont"/>
    <w:uiPriority w:val="99"/>
    <w:unhideWhenUsed/>
    <w:rsid w:val="0002133A"/>
    <w:rPr>
      <w:color w:val="0000FF" w:themeColor="hyperlink"/>
      <w:u w:val="single"/>
    </w:rPr>
  </w:style>
  <w:style w:type="character" w:styleId="UnresolvedMention">
    <w:name w:val="Unresolved Mention"/>
    <w:basedOn w:val="DefaultParagraphFont"/>
    <w:uiPriority w:val="99"/>
    <w:semiHidden/>
    <w:unhideWhenUsed/>
    <w:rsid w:val="0002133A"/>
    <w:rPr>
      <w:color w:val="605E5C"/>
      <w:shd w:val="clear" w:color="auto" w:fill="E1DFDD"/>
    </w:rPr>
  </w:style>
  <w:style w:type="paragraph" w:customStyle="1" w:styleId="pdq2pgselectionanchorcontainer">
    <w:name w:val="pdq2pg_selectionanchorcontainer"/>
    <w:basedOn w:val="Normal"/>
    <w:rsid w:val="004209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blre.2013.04.003" TargetMode="External"/><Relationship Id="rId18" Type="http://schemas.openxmlformats.org/officeDocument/2006/relationships/hyperlink" Target="https://doi.org/10.3324/haematol.2016.161166" TargetMode="External"/><Relationship Id="rId26" Type="http://schemas.openxmlformats.org/officeDocument/2006/relationships/hyperlink" Target="https://doi.org/10.1111/bjh.14233" TargetMode="External"/><Relationship Id="rId39" Type="http://schemas.openxmlformats.org/officeDocument/2006/relationships/hyperlink" Target="https://doi.org/10.1681/ASN.2006080894" TargetMode="External"/><Relationship Id="rId21" Type="http://schemas.openxmlformats.org/officeDocument/2006/relationships/hyperlink" Target="https://doi.org/10.1111/ijlh.12335" TargetMode="External"/><Relationship Id="rId34" Type="http://schemas.openxmlformats.org/officeDocument/2006/relationships/hyperlink" Target="https://doi.org/10.1111/j.1365-2141.2010.08166.x" TargetMode="External"/><Relationship Id="rId42" Type="http://schemas.openxmlformats.org/officeDocument/2006/relationships/fontTable" Target="fontTable.xml"/><Relationship Id="rId7" Type="http://schemas.openxmlformats.org/officeDocument/2006/relationships/hyperlink" Target="https://doi.org/10.3324/haematol.2011.052845" TargetMode="External"/><Relationship Id="rId2" Type="http://schemas.openxmlformats.org/officeDocument/2006/relationships/numbering" Target="numbering.xml"/><Relationship Id="rId16" Type="http://schemas.openxmlformats.org/officeDocument/2006/relationships/hyperlink" Target="https://doi.org/10.1016/j.pcl.2013.09.001" TargetMode="External"/><Relationship Id="rId20" Type="http://schemas.openxmlformats.org/officeDocument/2006/relationships/hyperlink" Target="https://doi.org/10.9734/ajpr/2023/v13i2258" TargetMode="External"/><Relationship Id="rId29" Type="http://schemas.openxmlformats.org/officeDocument/2006/relationships/hyperlink" Target="https://doi.org/10.2214/ajr.158.5.1566663" TargetMode="External"/><Relationship Id="rId41" Type="http://schemas.openxmlformats.org/officeDocument/2006/relationships/hyperlink" Target="https://doi.org/10.1186/s13023-024-03290-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586/ehm.11.51" TargetMode="External"/><Relationship Id="rId24" Type="http://schemas.openxmlformats.org/officeDocument/2006/relationships/hyperlink" Target="https://doi.org/10.1182/blood-2008-07-161166" TargetMode="External"/><Relationship Id="rId32" Type="http://schemas.openxmlformats.org/officeDocument/2006/relationships/hyperlink" Target="https://doi.org/10.1007/s00247-014-3135-5" TargetMode="External"/><Relationship Id="rId37" Type="http://schemas.openxmlformats.org/officeDocument/2006/relationships/hyperlink" Target="https://doi.org/10.56557/jomahr/2022/v7i17427" TargetMode="External"/><Relationship Id="rId40" Type="http://schemas.openxmlformats.org/officeDocument/2006/relationships/hyperlink" Target="https://doi.org/10.1007/s00467-011-1966-y" TargetMode="External"/><Relationship Id="rId5" Type="http://schemas.openxmlformats.org/officeDocument/2006/relationships/webSettings" Target="webSettings.xml"/><Relationship Id="rId15" Type="http://schemas.openxmlformats.org/officeDocument/2006/relationships/hyperlink" Target="https://doi.org/10.1016/S0022-3476(05)81081-9" TargetMode="External"/><Relationship Id="rId23" Type="http://schemas.openxmlformats.org/officeDocument/2006/relationships/hyperlink" Target="https://doi.org/10.3324/haematol.12546" TargetMode="External"/><Relationship Id="rId28" Type="http://schemas.openxmlformats.org/officeDocument/2006/relationships/hyperlink" Target="https://doi.org/10.1016/S0140-6736(08)61588-3" TargetMode="External"/><Relationship Id="rId36" Type="http://schemas.openxmlformats.org/officeDocument/2006/relationships/hyperlink" Target="https://doi.org/10.1097/INF.0b013e31815e4122" TargetMode="External"/><Relationship Id="rId10" Type="http://schemas.openxmlformats.org/officeDocument/2006/relationships/hyperlink" Target="https://doi.org/10.1056/NEJMra1612789" TargetMode="External"/><Relationship Id="rId19" Type="http://schemas.openxmlformats.org/officeDocument/2006/relationships/hyperlink" Target="https://doi.org/10.3324/haematol.13344" TargetMode="External"/><Relationship Id="rId31" Type="http://schemas.openxmlformats.org/officeDocument/2006/relationships/hyperlink" Target="https://doi.org/10.1053/j.ajkd.2010.03.025" TargetMode="External"/><Relationship Id="rId4" Type="http://schemas.openxmlformats.org/officeDocument/2006/relationships/settings" Target="settings.xml"/><Relationship Id="rId9" Type="http://schemas.openxmlformats.org/officeDocument/2006/relationships/hyperlink" Target="https://publications.aap.org/aapbooks/resources/20877/Nelson-s-Pediatric-Antimicrobial-Therapy-Updates" TargetMode="External"/><Relationship Id="rId14" Type="http://schemas.openxmlformats.org/officeDocument/2006/relationships/hyperlink" Target="https://doi.org/10.1016/j.blre.2006.03.005" TargetMode="External"/><Relationship Id="rId22" Type="http://schemas.openxmlformats.org/officeDocument/2006/relationships/hyperlink" Target="https://doi.org/10.1073/pnas.042688399" TargetMode="External"/><Relationship Id="rId27" Type="http://schemas.openxmlformats.org/officeDocument/2006/relationships/hyperlink" Target="https://doi.org/10.1038/s41598-024-78622-w" TargetMode="External"/><Relationship Id="rId30" Type="http://schemas.openxmlformats.org/officeDocument/2006/relationships/hyperlink" Target="https://doi.org/10.1111/ijlh.14376" TargetMode="External"/><Relationship Id="rId35" Type="http://schemas.openxmlformats.org/officeDocument/2006/relationships/hyperlink" Target="https://doi.org/10.1182/blood.V67.5.1411.1411" TargetMode="External"/><Relationship Id="rId43" Type="http://schemas.openxmlformats.org/officeDocument/2006/relationships/theme" Target="theme/theme1.xml"/><Relationship Id="rId8" Type="http://schemas.openxmlformats.org/officeDocument/2006/relationships/hyperlink" Target="https://doi.org/10.1111/j.1365-2141.2004.05052.x" TargetMode="External"/><Relationship Id="rId3" Type="http://schemas.openxmlformats.org/officeDocument/2006/relationships/styles" Target="styles.xml"/><Relationship Id="rId12" Type="http://schemas.openxmlformats.org/officeDocument/2006/relationships/hyperlink" Target="https://doi.org/10.1542/peds.2014-3516" TargetMode="External"/><Relationship Id="rId17" Type="http://schemas.openxmlformats.org/officeDocument/2006/relationships/hyperlink" Target="https://pubmed.ncbi.nlm.nih.gov/11801699/" TargetMode="External"/><Relationship Id="rId25" Type="http://schemas.openxmlformats.org/officeDocument/2006/relationships/hyperlink" Target="https://doi.org/10.1046/j.1523-1755.1998.00731.x" TargetMode="External"/><Relationship Id="rId33" Type="http://schemas.openxmlformats.org/officeDocument/2006/relationships/hyperlink" Target="https://doi.org/10.1542/peds.2011-1330" TargetMode="External"/><Relationship Id="rId38" Type="http://schemas.openxmlformats.org/officeDocument/2006/relationships/hyperlink" Target="https://doi.org/10.1097/00062752-199704020-00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15</Pages>
  <Words>6532</Words>
  <Characters>37233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1158</cp:lastModifiedBy>
  <cp:revision>15</cp:revision>
  <dcterms:created xsi:type="dcterms:W3CDTF">2013-12-23T23:15:00Z</dcterms:created>
  <dcterms:modified xsi:type="dcterms:W3CDTF">2026-09-17T12:17:00Z</dcterms:modified>
  <cp:category/>
</cp:coreProperties>
</file>