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C8CA66" w14:textId="3DBF9225" w:rsidR="005E7895" w:rsidRPr="004C3790" w:rsidRDefault="00AF1EA9" w:rsidP="000B50BB">
      <w:pPr>
        <w:spacing w:line="240" w:lineRule="auto"/>
        <w:jc w:val="both"/>
        <w:rPr>
          <w:rFonts w:ascii="Times New Roman" w:eastAsia="Calibri" w:hAnsi="Times New Roman" w:cs="Times New Roman"/>
          <w:b/>
          <w:sz w:val="24"/>
          <w:szCs w:val="24"/>
        </w:rPr>
      </w:pPr>
      <w:bookmarkStart w:id="0" w:name="_Hlk231482310"/>
      <w:r w:rsidRPr="004C3790">
        <w:rPr>
          <w:rFonts w:ascii="Times New Roman" w:eastAsia="Calibri" w:hAnsi="Times New Roman" w:cs="Times New Roman"/>
          <w:b/>
          <w:sz w:val="24"/>
          <w:szCs w:val="24"/>
        </w:rPr>
        <w:t xml:space="preserve">Determinants </w:t>
      </w:r>
      <w:r w:rsidR="00813879" w:rsidRPr="004C3790">
        <w:rPr>
          <w:rFonts w:ascii="Times New Roman" w:eastAsia="Calibri" w:hAnsi="Times New Roman" w:cs="Times New Roman"/>
          <w:b/>
          <w:sz w:val="24"/>
          <w:szCs w:val="24"/>
        </w:rPr>
        <w:t xml:space="preserve">of </w:t>
      </w:r>
      <w:r w:rsidRPr="004C3790">
        <w:rPr>
          <w:rFonts w:ascii="Times New Roman" w:eastAsia="Calibri" w:hAnsi="Times New Roman" w:cs="Times New Roman"/>
          <w:b/>
          <w:sz w:val="24"/>
          <w:szCs w:val="24"/>
        </w:rPr>
        <w:t xml:space="preserve">Immunization Uptake </w:t>
      </w:r>
      <w:bookmarkEnd w:id="0"/>
      <w:r w:rsidR="00813879" w:rsidRPr="004C3790">
        <w:rPr>
          <w:rFonts w:ascii="Times New Roman" w:eastAsia="Calibri" w:hAnsi="Times New Roman" w:cs="Times New Roman"/>
          <w:b/>
          <w:sz w:val="24"/>
          <w:szCs w:val="24"/>
        </w:rPr>
        <w:t xml:space="preserve">among </w:t>
      </w:r>
      <w:r w:rsidRPr="004C3790">
        <w:rPr>
          <w:rFonts w:ascii="Times New Roman" w:eastAsia="Calibri" w:hAnsi="Times New Roman" w:cs="Times New Roman"/>
          <w:b/>
          <w:sz w:val="24"/>
          <w:szCs w:val="24"/>
        </w:rPr>
        <w:t xml:space="preserve">Children Under Five </w:t>
      </w:r>
      <w:r w:rsidR="00813879" w:rsidRPr="004C3790">
        <w:rPr>
          <w:rFonts w:ascii="Times New Roman" w:eastAsia="Calibri" w:hAnsi="Times New Roman" w:cs="Times New Roman"/>
          <w:b/>
          <w:sz w:val="24"/>
          <w:szCs w:val="24"/>
        </w:rPr>
        <w:t xml:space="preserve">in </w:t>
      </w:r>
      <w:r w:rsidRPr="004C3790">
        <w:rPr>
          <w:rFonts w:ascii="Times New Roman" w:eastAsia="Calibri" w:hAnsi="Times New Roman" w:cs="Times New Roman"/>
          <w:b/>
          <w:sz w:val="24"/>
          <w:szCs w:val="24"/>
        </w:rPr>
        <w:t>Ika South Local Government Area, Delta State</w:t>
      </w:r>
    </w:p>
    <w:p w14:paraId="420982CC" w14:textId="77777777" w:rsidR="005E7895" w:rsidRPr="004C3790" w:rsidRDefault="005E7895" w:rsidP="000B50BB">
      <w:pPr>
        <w:spacing w:line="240" w:lineRule="auto"/>
        <w:jc w:val="both"/>
        <w:rPr>
          <w:rFonts w:ascii="Times New Roman" w:hAnsi="Times New Roman" w:cs="Times New Roman"/>
          <w:b/>
          <w:color w:val="000000" w:themeColor="text1"/>
          <w:sz w:val="24"/>
          <w:szCs w:val="24"/>
        </w:rPr>
      </w:pPr>
    </w:p>
    <w:p w14:paraId="01EB9A7D" w14:textId="77777777" w:rsidR="00F15B92" w:rsidRPr="004C3790" w:rsidRDefault="00F15B92" w:rsidP="000B50BB">
      <w:pPr>
        <w:spacing w:line="240" w:lineRule="auto"/>
        <w:jc w:val="both"/>
        <w:rPr>
          <w:rFonts w:ascii="Times New Roman" w:hAnsi="Times New Roman" w:cs="Times New Roman"/>
          <w:i/>
          <w:color w:val="000000" w:themeColor="text1"/>
          <w:sz w:val="24"/>
          <w:szCs w:val="24"/>
        </w:rPr>
      </w:pPr>
    </w:p>
    <w:p w14:paraId="469260BC" w14:textId="77777777" w:rsidR="005E7895" w:rsidRPr="004C3790" w:rsidRDefault="005E7895" w:rsidP="000B50BB">
      <w:pPr>
        <w:pStyle w:val="NoSpacing"/>
        <w:jc w:val="both"/>
        <w:rPr>
          <w:rFonts w:ascii="Times New Roman" w:hAnsi="Times New Roman" w:cs="Times New Roman"/>
          <w:color w:val="000000" w:themeColor="text1"/>
          <w:sz w:val="24"/>
          <w:szCs w:val="24"/>
        </w:rPr>
      </w:pPr>
    </w:p>
    <w:p w14:paraId="7895F665" w14:textId="77777777" w:rsidR="005E7895" w:rsidRPr="004C3790" w:rsidRDefault="005E7895" w:rsidP="000B50BB">
      <w:pPr>
        <w:spacing w:line="240" w:lineRule="auto"/>
        <w:jc w:val="both"/>
        <w:rPr>
          <w:rFonts w:ascii="Times New Roman" w:eastAsia="Calibri" w:hAnsi="Times New Roman" w:cs="Times New Roman"/>
          <w:b/>
          <w:sz w:val="24"/>
          <w:szCs w:val="24"/>
        </w:rPr>
      </w:pPr>
      <w:r w:rsidRPr="004C3790">
        <w:rPr>
          <w:rFonts w:ascii="Times New Roman" w:eastAsia="Calibri" w:hAnsi="Times New Roman" w:cs="Times New Roman"/>
          <w:b/>
          <w:sz w:val="24"/>
          <w:szCs w:val="24"/>
        </w:rPr>
        <w:t xml:space="preserve">ABSTRACT </w:t>
      </w:r>
    </w:p>
    <w:p w14:paraId="2C1A7954" w14:textId="77777777" w:rsidR="005E7895" w:rsidRDefault="005E7895" w:rsidP="000B50BB">
      <w:pPr>
        <w:spacing w:after="100" w:afterAutospacing="1" w:line="240" w:lineRule="auto"/>
        <w:jc w:val="both"/>
        <w:rPr>
          <w:rFonts w:ascii="Times New Roman" w:hAnsi="Times New Roman" w:cs="Times New Roman"/>
        </w:rPr>
      </w:pPr>
      <w:r w:rsidRPr="004C3790">
        <w:rPr>
          <w:rFonts w:ascii="Times New Roman" w:hAnsi="Times New Roman" w:cs="Times New Roman"/>
          <w:highlight w:val="yellow"/>
        </w:rPr>
        <w:t>The study examined the determinants of immunisation uptake among children under five in Ika South Local Government Area, Delta State. A descriptive survey research design was used. The study was guided by four objectives and four corresponding research questions. The calculated sample size was 370 mothers and caregivers from a population of 5,000, with 37 respondents added for attrition, giving 407 respondents. A structured questionnaire was used for data collection. The instrument was tested for reliability using the test-retest method, and a Pearson Product Moment Correlation coefficient of 0.85 was obtained, indicating acceptable reliability. Data were analysed using descriptive statistics, including frequencies and percentages. The findings showed that the largest age groups were respondents aged 26-35 years and 36-45 years, representing 24.6% and 22.1%, respectively. Respondents aged 18-25 years accounted for 19.7%, while those aged 46-55 years and 56 years and above accounted for 17.2% and 16.5%, respectively. The respondents were mostly male (46.7%), followed by female respondents (44.2%). The study found that 55.28% of respondents reported that their children had received all recommended vaccinations according to the national immunisation schedule, whereas 36.12% disagreed. In addition, 51.85% agreed that they could easily access immunisation services, while 39.07% disagreed. Financial constraints, income level and work schedules were identified as barriers to timely immunisation. The study concluded that, although immunisation coverage showed positive trends, important barriers remained.</w:t>
      </w:r>
    </w:p>
    <w:p w14:paraId="7072EBF7" w14:textId="77777777" w:rsidR="00227ED7" w:rsidRDefault="00227ED7" w:rsidP="000B50BB">
      <w:pPr>
        <w:spacing w:after="100" w:afterAutospacing="1" w:line="240" w:lineRule="auto"/>
        <w:jc w:val="both"/>
        <w:rPr>
          <w:rFonts w:ascii="Times New Roman" w:hAnsi="Times New Roman" w:cs="Times New Roman"/>
        </w:rPr>
      </w:pPr>
    </w:p>
    <w:p w14:paraId="5FEBD81E" w14:textId="6C8669E6" w:rsidR="00227ED7" w:rsidRPr="004C3790" w:rsidRDefault="00227ED7" w:rsidP="000B50BB">
      <w:pPr>
        <w:spacing w:after="100" w:afterAutospacing="1" w:line="240" w:lineRule="auto"/>
        <w:jc w:val="both"/>
        <w:rPr>
          <w:rFonts w:ascii="Times New Roman" w:hAnsi="Times New Roman" w:cs="Times New Roman"/>
          <w:sz w:val="24"/>
          <w:szCs w:val="24"/>
        </w:rPr>
      </w:pPr>
      <w:r w:rsidRPr="00431DD7">
        <w:rPr>
          <w:rFonts w:ascii="Times New Roman" w:hAnsi="Times New Roman" w:cs="Times New Roman"/>
          <w:b/>
          <w:bCs/>
          <w:sz w:val="24"/>
          <w:szCs w:val="24"/>
          <w:highlight w:val="yellow"/>
        </w:rPr>
        <w:t>Keywords:</w:t>
      </w:r>
      <w:r w:rsidRPr="00431DD7">
        <w:rPr>
          <w:rFonts w:ascii="Times New Roman" w:hAnsi="Times New Roman" w:cs="Times New Roman"/>
          <w:sz w:val="24"/>
          <w:szCs w:val="24"/>
          <w:highlight w:val="yellow"/>
        </w:rPr>
        <w:t xml:space="preserve"> Immunisation uptake; children under five; caregivers; routine immunisation; vaccine access; healthcare facilities; vaccination schedule; financial barriers.</w:t>
      </w:r>
    </w:p>
    <w:p w14:paraId="0EAD5014" w14:textId="77777777" w:rsidR="002D6B52" w:rsidRPr="004C3790" w:rsidRDefault="002D6B52" w:rsidP="000B50BB">
      <w:pPr>
        <w:jc w:val="both"/>
        <w:rPr>
          <w:rFonts w:ascii="Times New Roman" w:hAnsi="Times New Roman" w:cs="Times New Roman"/>
          <w:b/>
          <w:sz w:val="24"/>
          <w:szCs w:val="24"/>
        </w:rPr>
      </w:pPr>
    </w:p>
    <w:p w14:paraId="29E5CA76" w14:textId="77777777" w:rsidR="00F37CAF" w:rsidRPr="004C3790" w:rsidRDefault="00F37CAF" w:rsidP="000B50BB">
      <w:pPr>
        <w:spacing w:line="240" w:lineRule="auto"/>
        <w:jc w:val="both"/>
        <w:rPr>
          <w:rFonts w:ascii="Times New Roman" w:hAnsi="Times New Roman" w:cs="Times New Roman"/>
          <w:b/>
          <w:sz w:val="24"/>
          <w:szCs w:val="24"/>
        </w:rPr>
      </w:pPr>
      <w:r w:rsidRPr="004C3790">
        <w:rPr>
          <w:rFonts w:ascii="Times New Roman" w:hAnsi="Times New Roman" w:cs="Times New Roman"/>
          <w:b/>
          <w:sz w:val="24"/>
          <w:szCs w:val="24"/>
        </w:rPr>
        <w:t>INTRODUCTION</w:t>
      </w:r>
    </w:p>
    <w:p w14:paraId="6F94D75F" w14:textId="77777777" w:rsidR="001479C1" w:rsidRPr="004C3790" w:rsidRDefault="00F37CAF" w:rsidP="000B50BB">
      <w:pPr>
        <w:pStyle w:val="NormalWeb"/>
        <w:jc w:val="both"/>
      </w:pPr>
      <w:r w:rsidRPr="004C3790">
        <w:rPr>
          <w:highlight w:val="yellow"/>
        </w:rPr>
        <w:t>Immunisation is one of the most cost-effective public health interventions for preventing childhood illness and death globally. Globally, immunisation has saved millions of lives, and more than 100 million infants are immunised each year, preventing millions of deaths annually (Centers for Disease Control and Prevention, 2018; World Health Organization, 2023). Following Nigeria's certification as free of wild poliovirus (WPV) in August 2020, continued vaccination remained important for sustaining polio eradication gains and preventing vaccine-preventable diseases (Ekwebelem et al., 2021). The Global Polio Eradication Initiative (GPEI) has therefore emphasised the responsibility and accountability of governments, communities and other stakeholders in sustaining eradication efforts.</w:t>
      </w:r>
    </w:p>
    <w:p w14:paraId="3C1754CB" w14:textId="77777777" w:rsidR="001479C1" w:rsidRPr="004C3790" w:rsidRDefault="001479C1" w:rsidP="000B50BB">
      <w:pPr>
        <w:pStyle w:val="NormalWeb"/>
        <w:jc w:val="both"/>
      </w:pPr>
      <w:r w:rsidRPr="004C3790">
        <w:rPr>
          <w:highlight w:val="yellow"/>
        </w:rPr>
        <w:t xml:space="preserve">Equally, immunisation has contributed to reductions in recorded poliomyelitis cases and other vaccine-preventable diseases. Afghanistan and Pakistan remain the countries where wild poliovirus transmission persists, while immunisation coverage remains low in many African </w:t>
      </w:r>
      <w:r w:rsidRPr="004C3790">
        <w:rPr>
          <w:highlight w:val="yellow"/>
        </w:rPr>
        <w:lastRenderedPageBreak/>
        <w:t>countries. Many African countries continue to face high rates of under-immunised children despite the availability of vaccines and the implementation of immunisation programmes. South Africa has taken progressive policy and programmatic steps towards childhood immunisation; however, Nigeria has not achieved comparable outcomes. In Nigeria, routine immunisation coverage remains below the desired target, mainly because of sociocultural, economic and infrastructural challenges. This is particularly relevant in marginalised and underserved rural and peri-urban areas, including Ika South Local Government Area, Delta State, where children under five remain at risk of largely preventable diseases. Although vaccination is provided free of charge in many settings, some mothers may still fail to vaccinate their children for reasons other than direct vaccine cost. Differences between clinic attendees and community members may also influence refusal or delay in vaccination.</w:t>
      </w:r>
    </w:p>
    <w:p w14:paraId="661CBE32" w14:textId="77777777" w:rsidR="00FB58AE" w:rsidRPr="004C3790" w:rsidRDefault="00000000" w:rsidP="000B50BB">
      <w:pPr>
        <w:pStyle w:val="NormalWeb"/>
        <w:jc w:val="both"/>
      </w:pPr>
      <w:r w:rsidRPr="004C3790">
        <w:rPr>
          <w:highlight w:val="yellow"/>
        </w:rPr>
        <w:t>Recent Nigerian studies similarly indicate that incomplete immunisation among children under five is shaped by service-access and household-level factors, including distance to health facilities, waiting time, caregiver wealth, vaccine availability and payment-related barriers (Sabo et al., 2025; Iba et al., 2025).</w:t>
      </w:r>
    </w:p>
    <w:p w14:paraId="77B964D2" w14:textId="77777777" w:rsidR="001479C1" w:rsidRPr="004C3790" w:rsidRDefault="001479C1" w:rsidP="000B50BB">
      <w:pPr>
        <w:pStyle w:val="NormalWeb"/>
        <w:jc w:val="both"/>
      </w:pPr>
      <w:r w:rsidRPr="004C3790">
        <w:rPr>
          <w:highlight w:val="yellow"/>
        </w:rPr>
        <w:t>Vaccination uptake is also significantly affected by gender relations, especially because mothers are often the primary caregivers of children. In the context of vaccination, mothers may therefore face multiple access-related risks during the vaccination process. It has been reported that women, particularly those in rural populations, may have limited autonomy and may not be able to move freely or independently make decisions about their children's health (Bruni et al., 2021). The role of fathers in supporting child welfare, particularly in child vaccination, is also important because limited paternal involvement may reinforce gender differences in immunisation coverage (Mayerová &amp; Abbas, 2021). In Ika South Local Government Area, Delta State, the availability of trained health personnel may also affect adherence to the recommended immunisation schedule. Studies conducted in different regions of Nigeria have emphasised that the approach of healthcare workers influences parents' willingness to return to health facilities for further immunisation services (Olufadewa et al., 2024). Caregiver resistance, negative attitudes and limited knowledge may also reduce adherence to vaccination schedules and contribute to incomplete vaccination among children.</w:t>
      </w:r>
    </w:p>
    <w:p w14:paraId="1E5DB245" w14:textId="77777777" w:rsidR="00FB58AE" w:rsidRPr="004C3790" w:rsidRDefault="00000000" w:rsidP="000B50BB">
      <w:pPr>
        <w:pStyle w:val="NormalWeb"/>
        <w:jc w:val="both"/>
      </w:pPr>
      <w:r w:rsidRPr="004C3790">
        <w:rPr>
          <w:highlight w:val="yellow"/>
        </w:rPr>
        <w:t>Recent evidence from Borno State also links vaccine refusal and non-compliance with parental education and household decision-making characteristics, reinforcing the relevance of caregiver and household factors in childhood immunisation uptake (Hassan et al., 2024).</w:t>
      </w:r>
    </w:p>
    <w:p w14:paraId="0B8CBCCA" w14:textId="77777777" w:rsidR="00BB329A" w:rsidRPr="004C3790" w:rsidRDefault="00F37CAF" w:rsidP="000B50BB">
      <w:pPr>
        <w:pStyle w:val="NormalWeb"/>
        <w:jc w:val="both"/>
        <w:rPr>
          <w:b/>
        </w:rPr>
      </w:pPr>
      <w:r w:rsidRPr="004C3790">
        <w:rPr>
          <w:highlight w:val="yellow"/>
        </w:rPr>
        <w:t>In Ika South Local Government Area, Delta State, the availability of vaccines in local health facilities is critical for ensuring consistent immunisation coverage. The role of health information systems and community health workers in tracking immunisation records is also essential for improving vaccine coverage. Accurate and timely tracking of immunisation data enables health systems to identify gaps in vaccination coverage and target interventions more effectively (Isezuo &amp; Adamu, 2022). In Ika South Local Government Area, strengthening data collection processes and ensuring that community health workers are adequately trained could improve the efficiency of immunisation programmes.</w:t>
      </w:r>
    </w:p>
    <w:p w14:paraId="31333BF1" w14:textId="77777777" w:rsidR="00FB58AE" w:rsidRPr="004C3790" w:rsidRDefault="00000000" w:rsidP="000B50BB">
      <w:pPr>
        <w:pStyle w:val="NormalWeb"/>
        <w:jc w:val="both"/>
      </w:pPr>
      <w:r w:rsidRPr="004C3790">
        <w:rPr>
          <w:highlight w:val="yellow"/>
        </w:rPr>
        <w:lastRenderedPageBreak/>
        <w:t>Recent Nigerian vaccination evidence also suggests that urban-rural service differences, outreach capacity and cold-chain infrastructure may influence vaccine-related outcomes, underscoring the relevance of service reliability in this manuscript (Onu et al., 2026).</w:t>
      </w:r>
    </w:p>
    <w:p w14:paraId="158F6CFD" w14:textId="77777777" w:rsidR="00FB58AE" w:rsidRPr="004C3790" w:rsidRDefault="00000000" w:rsidP="000B50BB">
      <w:pPr>
        <w:pStyle w:val="NormalWeb"/>
        <w:jc w:val="both"/>
      </w:pPr>
      <w:r w:rsidRPr="004C3790">
        <w:rPr>
          <w:highlight w:val="yellow"/>
        </w:rPr>
        <w:t>Although existing evidence has identified socioeconomic, cultural and service-related influences on childhood immunisation in Nigeria, there remains limited context-specific evidence on how mothers and caregivers in Ika South Local Government Area experience immunisation uptake and service accessibility. This study therefore addresses the need for local evidence on the determinants of immunisation uptake among children under five in Ika South Local Government Area, Delta State.</w:t>
      </w:r>
    </w:p>
    <w:p w14:paraId="3A54D09F" w14:textId="77777777" w:rsidR="00F37CAF" w:rsidRPr="004C3790" w:rsidRDefault="006D654A" w:rsidP="000B50BB">
      <w:pPr>
        <w:pStyle w:val="NormalWeb"/>
        <w:jc w:val="both"/>
        <w:rPr>
          <w:b/>
        </w:rPr>
      </w:pPr>
      <w:r w:rsidRPr="004C3790">
        <w:rPr>
          <w:b/>
        </w:rPr>
        <w:t xml:space="preserve">1.3 </w:t>
      </w:r>
      <w:r w:rsidR="0016499B" w:rsidRPr="004C3790">
        <w:rPr>
          <w:b/>
        </w:rPr>
        <w:t xml:space="preserve">Aim and objectives of the study </w:t>
      </w:r>
    </w:p>
    <w:p w14:paraId="62D42BC4" w14:textId="77777777" w:rsidR="0016499B" w:rsidRPr="004C3790" w:rsidRDefault="0016499B" w:rsidP="000B50BB">
      <w:pPr>
        <w:pStyle w:val="NormalWeb"/>
        <w:jc w:val="both"/>
      </w:pPr>
      <w:r w:rsidRPr="004C3790">
        <w:rPr>
          <w:highlight w:val="yellow"/>
        </w:rPr>
        <w:t>The study aimed to investigate the determinants of immunisation uptake among children under five in Ika South Local Government Area, Delta State. The specific objectives were to:</w:t>
      </w:r>
    </w:p>
    <w:p w14:paraId="009FED67" w14:textId="77777777" w:rsidR="0016499B" w:rsidRPr="004C3790" w:rsidRDefault="00A75B73" w:rsidP="000B50BB">
      <w:pPr>
        <w:pStyle w:val="NormalWeb"/>
        <w:numPr>
          <w:ilvl w:val="0"/>
          <w:numId w:val="1"/>
        </w:numPr>
        <w:jc w:val="both"/>
      </w:pPr>
      <w:r w:rsidRPr="004C3790">
        <w:rPr>
          <w:highlight w:val="yellow"/>
        </w:rPr>
        <w:t>Ascertain the level of immunisation uptake among children under five in Ika South Local Government Area, Delta State.</w:t>
      </w:r>
    </w:p>
    <w:p w14:paraId="12632AD0" w14:textId="77777777" w:rsidR="00A75B73" w:rsidRPr="004C3790" w:rsidRDefault="00A75B73" w:rsidP="000B50BB">
      <w:pPr>
        <w:pStyle w:val="NormalWeb"/>
        <w:numPr>
          <w:ilvl w:val="0"/>
          <w:numId w:val="1"/>
        </w:numPr>
        <w:jc w:val="both"/>
      </w:pPr>
      <w:r w:rsidRPr="004C3790">
        <w:rPr>
          <w:highlight w:val="yellow"/>
        </w:rPr>
        <w:t>Determine the level of accessibility of immunisation services among children under five in Ika South Local Government Area, Delta State.</w:t>
      </w:r>
    </w:p>
    <w:p w14:paraId="016E2F5B" w14:textId="77777777" w:rsidR="008F7A9C" w:rsidRPr="004C3790" w:rsidRDefault="008F7A9C" w:rsidP="000B50BB">
      <w:pPr>
        <w:spacing w:after="0" w:line="240" w:lineRule="auto"/>
        <w:ind w:right="36"/>
        <w:jc w:val="both"/>
        <w:rPr>
          <w:rFonts w:ascii="Times New Roman" w:hAnsi="Times New Roman" w:cs="Times New Roman"/>
          <w:b/>
          <w:sz w:val="24"/>
          <w:szCs w:val="24"/>
        </w:rPr>
      </w:pPr>
      <w:r w:rsidRPr="004C3790">
        <w:rPr>
          <w:rFonts w:ascii="Times New Roman" w:hAnsi="Times New Roman" w:cs="Times New Roman"/>
          <w:b/>
          <w:sz w:val="24"/>
          <w:szCs w:val="24"/>
        </w:rPr>
        <w:t>METHODOLOGY</w:t>
      </w:r>
    </w:p>
    <w:p w14:paraId="7B1B611A" w14:textId="77777777" w:rsidR="008F7A9C" w:rsidRPr="004C3790" w:rsidRDefault="008F7A9C" w:rsidP="000B50BB">
      <w:pPr>
        <w:spacing w:line="240" w:lineRule="auto"/>
        <w:jc w:val="both"/>
        <w:rPr>
          <w:rFonts w:ascii="Times New Roman" w:hAnsi="Times New Roman" w:cs="Times New Roman"/>
          <w:sz w:val="24"/>
          <w:szCs w:val="24"/>
        </w:rPr>
      </w:pPr>
      <w:r w:rsidRPr="004C3790">
        <w:rPr>
          <w:rFonts w:ascii="Times New Roman" w:hAnsi="Times New Roman" w:cs="Times New Roman"/>
          <w:highlight w:val="yellow"/>
        </w:rPr>
        <w:t>This study used a descriptive survey research approach. The population of the study consisted of all mothers and caregivers in Ika South Local Government Area, Delta State. A pilot study revealed that there were 5,000 mothers and caregivers in Ika South Local Government Area, Delta State. Taro Yamane's sample size determination formula was used to select 370 mothers and caregivers from the total population of 5,000 mothers and caregivers.</w:t>
      </w:r>
    </w:p>
    <w:p w14:paraId="64691CFD" w14:textId="77777777" w:rsidR="008F7A9C" w:rsidRPr="004C3790" w:rsidRDefault="008F7A9C" w:rsidP="000B50BB">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N</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K+N(e)</m:t>
                  </m:r>
                </m:e>
                <m:sup>
                  <m:r>
                    <m:rPr>
                      <m:sty m:val="p"/>
                    </m:rPr>
                    <w:rPr>
                      <w:rFonts w:ascii="Cambria Math" w:hAnsi="Cambria Math" w:cs="Times New Roman"/>
                      <w:sz w:val="24"/>
                      <w:szCs w:val="24"/>
                    </w:rPr>
                    <m:t>2</m:t>
                  </m:r>
                </m:sup>
              </m:sSup>
            </m:den>
          </m:f>
        </m:oMath>
      </m:oMathPara>
    </w:p>
    <w:p w14:paraId="2F8A1152" w14:textId="77777777" w:rsidR="008F7A9C" w:rsidRPr="004C3790" w:rsidRDefault="008F7A9C" w:rsidP="000B50BB">
      <w:pPr>
        <w:spacing w:line="240" w:lineRule="auto"/>
        <w:jc w:val="both"/>
        <w:rPr>
          <w:rFonts w:ascii="Times New Roman" w:eastAsiaTheme="minorEastAsia" w:hAnsi="Times New Roman" w:cs="Times New Roman"/>
          <w:sz w:val="24"/>
          <w:szCs w:val="24"/>
        </w:rPr>
      </w:pPr>
      <w:r w:rsidRPr="004C3790">
        <w:rPr>
          <w:rFonts w:ascii="Times New Roman" w:eastAsiaTheme="minorEastAsia" w:hAnsi="Times New Roman" w:cs="Times New Roman"/>
          <w:sz w:val="24"/>
          <w:szCs w:val="24"/>
        </w:rPr>
        <w:t>Where:</w:t>
      </w:r>
    </w:p>
    <w:p w14:paraId="5EC7307B" w14:textId="77777777" w:rsidR="008F7A9C" w:rsidRPr="004C3790" w:rsidRDefault="008F7A9C" w:rsidP="000B50BB">
      <w:pPr>
        <w:spacing w:line="240" w:lineRule="auto"/>
        <w:jc w:val="both"/>
        <w:rPr>
          <w:rFonts w:ascii="Times New Roman" w:eastAsiaTheme="minorEastAsia" w:hAnsi="Times New Roman" w:cs="Times New Roman"/>
          <w:sz w:val="24"/>
          <w:szCs w:val="24"/>
        </w:rPr>
      </w:pPr>
      <w:r w:rsidRPr="004C3790">
        <w:rPr>
          <w:rFonts w:ascii="Times New Roman" w:eastAsiaTheme="minorEastAsia" w:hAnsi="Times New Roman" w:cs="Times New Roman"/>
          <w:sz w:val="24"/>
          <w:szCs w:val="24"/>
        </w:rPr>
        <w:t xml:space="preserve">n = Sample size </w:t>
      </w:r>
    </w:p>
    <w:p w14:paraId="1A9BD9A5" w14:textId="77777777" w:rsidR="008F7A9C" w:rsidRPr="004C3790" w:rsidRDefault="008F7A9C" w:rsidP="000B50BB">
      <w:pPr>
        <w:spacing w:line="240" w:lineRule="auto"/>
        <w:jc w:val="both"/>
        <w:rPr>
          <w:rFonts w:ascii="Times New Roman" w:eastAsiaTheme="minorEastAsia" w:hAnsi="Times New Roman" w:cs="Times New Roman"/>
          <w:sz w:val="24"/>
          <w:szCs w:val="24"/>
        </w:rPr>
      </w:pPr>
      <w:r w:rsidRPr="004C3790">
        <w:rPr>
          <w:rFonts w:ascii="Times New Roman" w:eastAsiaTheme="minorEastAsia" w:hAnsi="Times New Roman" w:cs="Times New Roman"/>
          <w:sz w:val="24"/>
          <w:szCs w:val="24"/>
        </w:rPr>
        <w:t>K = Constant = 1</w:t>
      </w:r>
    </w:p>
    <w:p w14:paraId="67F94530" w14:textId="77777777" w:rsidR="008F7A9C" w:rsidRPr="004C3790" w:rsidRDefault="008F7A9C" w:rsidP="000B50BB">
      <w:pPr>
        <w:spacing w:line="240" w:lineRule="auto"/>
        <w:jc w:val="both"/>
        <w:rPr>
          <w:rFonts w:ascii="Times New Roman" w:eastAsiaTheme="minorEastAsia" w:hAnsi="Times New Roman" w:cs="Times New Roman"/>
          <w:sz w:val="24"/>
          <w:szCs w:val="24"/>
        </w:rPr>
      </w:pPr>
      <w:r w:rsidRPr="004C3790">
        <w:rPr>
          <w:rFonts w:ascii="Times New Roman" w:eastAsiaTheme="minorEastAsia" w:hAnsi="Times New Roman" w:cs="Times New Roman"/>
          <w:sz w:val="24"/>
          <w:szCs w:val="24"/>
        </w:rPr>
        <w:t xml:space="preserve">N = Population </w:t>
      </w:r>
    </w:p>
    <w:p w14:paraId="60E02FC2" w14:textId="77777777" w:rsidR="008F7A9C" w:rsidRPr="004C3790" w:rsidRDefault="008F7A9C" w:rsidP="000B50BB">
      <w:pPr>
        <w:spacing w:line="240" w:lineRule="auto"/>
        <w:jc w:val="both"/>
        <w:rPr>
          <w:rFonts w:ascii="Times New Roman" w:eastAsiaTheme="minorEastAsia" w:hAnsi="Times New Roman" w:cs="Times New Roman"/>
          <w:sz w:val="24"/>
          <w:szCs w:val="24"/>
        </w:rPr>
      </w:pPr>
      <w:r w:rsidRPr="004C3790">
        <w:rPr>
          <w:rFonts w:ascii="Times New Roman" w:eastAsiaTheme="minorEastAsia" w:hAnsi="Times New Roman" w:cs="Times New Roman"/>
          <w:sz w:val="24"/>
          <w:szCs w:val="24"/>
        </w:rPr>
        <w:t>e</w:t>
      </w:r>
      <w:r w:rsidRPr="004C3790">
        <w:rPr>
          <w:rFonts w:ascii="Times New Roman" w:eastAsiaTheme="minorEastAsia" w:hAnsi="Times New Roman" w:cs="Times New Roman"/>
          <w:sz w:val="24"/>
          <w:szCs w:val="24"/>
          <w:vertAlign w:val="superscript"/>
        </w:rPr>
        <w:t>2</w:t>
      </w:r>
      <w:r w:rsidRPr="004C3790">
        <w:rPr>
          <w:rFonts w:ascii="Times New Roman" w:eastAsiaTheme="minorEastAsia" w:hAnsi="Times New Roman" w:cs="Times New Roman"/>
          <w:sz w:val="24"/>
          <w:szCs w:val="24"/>
        </w:rPr>
        <w:t xml:space="preserve"> = Degree of Precision, was taken to be 5% (0.05)</w:t>
      </w:r>
    </w:p>
    <w:p w14:paraId="1394FFD8" w14:textId="77777777" w:rsidR="008F7A9C" w:rsidRPr="004C3790" w:rsidRDefault="008F7A9C" w:rsidP="000B50BB">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5000</m:t>
              </m:r>
            </m:num>
            <m:den>
              <m:sSup>
                <m:sSupPr>
                  <m:ctrlPr>
                    <w:rPr>
                      <w:rFonts w:ascii="Cambria Math" w:hAnsi="Cambria Math" w:cs="Times New Roman"/>
                      <w:sz w:val="24"/>
                      <w:szCs w:val="24"/>
                    </w:rPr>
                  </m:ctrlPr>
                </m:sSupPr>
                <m:e>
                  <m:r>
                    <m:rPr>
                      <m:sty m:val="p"/>
                    </m:rPr>
                    <w:rPr>
                      <w:rFonts w:ascii="Cambria Math" w:hAnsi="Cambria Math" w:cs="Times New Roman"/>
                      <w:sz w:val="24"/>
                      <w:szCs w:val="24"/>
                    </w:rPr>
                    <m:t>1+5000(0.05)</m:t>
                  </m:r>
                </m:e>
                <m:sup>
                  <m:r>
                    <m:rPr>
                      <m:sty m:val="p"/>
                    </m:rPr>
                    <w:rPr>
                      <w:rFonts w:ascii="Cambria Math" w:hAnsi="Cambria Math" w:cs="Times New Roman"/>
                      <w:sz w:val="24"/>
                      <w:szCs w:val="24"/>
                    </w:rPr>
                    <m:t>2</m:t>
                  </m:r>
                </m:sup>
              </m:sSup>
            </m:den>
          </m:f>
        </m:oMath>
      </m:oMathPara>
    </w:p>
    <w:p w14:paraId="5627B731" w14:textId="77777777" w:rsidR="008F7A9C" w:rsidRPr="004C3790" w:rsidRDefault="008F7A9C" w:rsidP="000B50BB">
      <w:pPr>
        <w:spacing w:line="240" w:lineRule="auto"/>
        <w:jc w:val="both"/>
        <w:rPr>
          <w:rFonts w:ascii="Times New Roman" w:eastAsiaTheme="minorEastAsia" w:hAnsi="Times New Roman" w:cs="Times New Roman"/>
          <w:sz w:val="24"/>
          <w:szCs w:val="24"/>
        </w:rPr>
      </w:pPr>
      <m:oMathPara>
        <m:oMath>
          <m:r>
            <w:rPr>
              <w:rFonts w:ascii="Cambria Math" w:hAnsi="Cambria Math" w:cs="Times New Roman"/>
              <w:sz w:val="24"/>
              <w:szCs w:val="24"/>
            </w:rPr>
            <m:t>n</m:t>
          </m:r>
          <m:r>
            <m:rPr>
              <m:sty m:val="p"/>
            </m:rPr>
            <w:rPr>
              <w:rFonts w:ascii="Cambria Math" w:hAnsi="Cambria Math" w:cs="Times New Roman"/>
              <w:sz w:val="24"/>
              <w:szCs w:val="24"/>
            </w:rPr>
            <m:t>=</m:t>
          </m:r>
          <m:f>
            <m:fPr>
              <m:ctrlPr>
                <w:rPr>
                  <w:rFonts w:ascii="Cambria Math" w:hAnsi="Cambria Math" w:cs="Times New Roman"/>
                  <w:sz w:val="24"/>
                  <w:szCs w:val="24"/>
                </w:rPr>
              </m:ctrlPr>
            </m:fPr>
            <m:num>
              <m:r>
                <w:rPr>
                  <w:rFonts w:ascii="Cambria Math" w:hAnsi="Cambria Math" w:cs="Times New Roman"/>
                  <w:sz w:val="24"/>
                  <w:szCs w:val="24"/>
                </w:rPr>
                <m:t>5000</m:t>
              </m:r>
            </m:num>
            <m:den>
              <m:r>
                <w:rPr>
                  <w:rFonts w:ascii="Cambria Math" w:hAnsi="Cambria Math" w:cs="Times New Roman"/>
                  <w:sz w:val="24"/>
                  <w:szCs w:val="24"/>
                </w:rPr>
                <m:t>13.50</m:t>
              </m:r>
            </m:den>
          </m:f>
        </m:oMath>
      </m:oMathPara>
    </w:p>
    <w:p w14:paraId="4CABB5B5" w14:textId="77777777" w:rsidR="008F7A9C" w:rsidRPr="004C3790" w:rsidRDefault="008F7A9C" w:rsidP="000B50BB">
      <w:pPr>
        <w:spacing w:line="240" w:lineRule="auto"/>
        <w:jc w:val="both"/>
        <w:rPr>
          <w:rFonts w:ascii="Times New Roman" w:eastAsiaTheme="minorEastAsia" w:hAnsi="Times New Roman" w:cs="Times New Roman"/>
          <w:sz w:val="24"/>
          <w:szCs w:val="24"/>
        </w:rPr>
      </w:pPr>
      <w:r w:rsidRPr="004C3790">
        <w:rPr>
          <w:rFonts w:ascii="Times New Roman" w:eastAsiaTheme="minorEastAsia" w:hAnsi="Times New Roman" w:cs="Times New Roman"/>
          <w:sz w:val="24"/>
          <w:szCs w:val="24"/>
        </w:rPr>
        <w:t>= 370</w:t>
      </w:r>
    </w:p>
    <w:p w14:paraId="7266B199" w14:textId="77777777" w:rsidR="008F7A9C" w:rsidRPr="004C3790" w:rsidRDefault="008F7A9C" w:rsidP="000B50BB">
      <w:pPr>
        <w:spacing w:line="240" w:lineRule="auto"/>
        <w:jc w:val="both"/>
        <w:rPr>
          <w:rFonts w:ascii="Times New Roman" w:eastAsiaTheme="minorEastAsia" w:hAnsi="Times New Roman" w:cs="Times New Roman"/>
          <w:sz w:val="24"/>
          <w:szCs w:val="24"/>
        </w:rPr>
      </w:pPr>
      <w:r w:rsidRPr="004C3790">
        <w:rPr>
          <w:rFonts w:ascii="Times New Roman" w:eastAsiaTheme="minorEastAsia" w:hAnsi="Times New Roman" w:cs="Times New Roman"/>
          <w:sz w:val="24"/>
          <w:szCs w:val="24"/>
        </w:rPr>
        <w:t xml:space="preserve">A 10% attrition of 37 respondents </w:t>
      </w:r>
      <w:r w:rsidR="00DF1555" w:rsidRPr="004C3790">
        <w:rPr>
          <w:rFonts w:ascii="Times New Roman" w:eastAsiaTheme="minorEastAsia" w:hAnsi="Times New Roman" w:cs="Times New Roman"/>
          <w:sz w:val="24"/>
          <w:szCs w:val="24"/>
        </w:rPr>
        <w:t>was</w:t>
      </w:r>
      <w:r w:rsidRPr="004C3790">
        <w:rPr>
          <w:rFonts w:ascii="Times New Roman" w:eastAsiaTheme="minorEastAsia" w:hAnsi="Times New Roman" w:cs="Times New Roman"/>
          <w:sz w:val="24"/>
          <w:szCs w:val="24"/>
        </w:rPr>
        <w:t xml:space="preserve"> added </w:t>
      </w:r>
    </w:p>
    <w:p w14:paraId="68B83A68" w14:textId="77777777" w:rsidR="008F7A9C" w:rsidRPr="004C3790" w:rsidRDefault="008F7A9C" w:rsidP="000B50BB">
      <w:pPr>
        <w:spacing w:line="240" w:lineRule="auto"/>
        <w:jc w:val="both"/>
        <w:rPr>
          <w:rFonts w:ascii="Times New Roman" w:eastAsiaTheme="minorEastAsia" w:hAnsi="Times New Roman" w:cs="Times New Roman"/>
          <w:sz w:val="24"/>
          <w:szCs w:val="24"/>
        </w:rPr>
      </w:pPr>
      <w:r w:rsidRPr="004C3790">
        <w:rPr>
          <w:rFonts w:ascii="Times New Roman" w:eastAsiaTheme="minorEastAsia" w:hAnsi="Times New Roman" w:cs="Times New Roman"/>
          <w:sz w:val="24"/>
          <w:szCs w:val="24"/>
        </w:rPr>
        <w:lastRenderedPageBreak/>
        <w:t>Therefore n = 370 + 37 = 407</w:t>
      </w:r>
    </w:p>
    <w:p w14:paraId="03B622C3" w14:textId="77777777" w:rsidR="0039067D" w:rsidRPr="00DF1A2C" w:rsidRDefault="0039067D" w:rsidP="000B50BB">
      <w:pPr>
        <w:spacing w:line="240" w:lineRule="auto"/>
        <w:jc w:val="both"/>
        <w:rPr>
          <w:rFonts w:ascii="Times New Roman" w:hAnsi="Times New Roman" w:cs="Times New Roman"/>
          <w:highlight w:val="yellow"/>
        </w:rPr>
      </w:pPr>
      <w:r w:rsidRPr="00DF1A2C">
        <w:rPr>
          <w:rFonts w:ascii="Times New Roman" w:hAnsi="Times New Roman" w:cs="Times New Roman"/>
          <w:highlight w:val="yellow"/>
        </w:rPr>
        <w:t>A simple random sampling technique was used to select the respondents. This method was adopted to give eligible mothers and caregivers within the study area an equal chance of participating in the study. Respondents included mothers and caregivers who had at least one child under five years of age and who were available and willing to participate during the period of data collection.</w:t>
      </w:r>
    </w:p>
    <w:p w14:paraId="73C0C8B6" w14:textId="77777777" w:rsidR="0039067D" w:rsidRPr="00DF1A2C" w:rsidRDefault="0039067D" w:rsidP="000B50BB">
      <w:pPr>
        <w:spacing w:line="240" w:lineRule="auto"/>
        <w:jc w:val="both"/>
        <w:rPr>
          <w:rFonts w:ascii="Times New Roman" w:hAnsi="Times New Roman" w:cs="Times New Roman"/>
          <w:highlight w:val="yellow"/>
        </w:rPr>
      </w:pPr>
      <w:r w:rsidRPr="00DF1A2C">
        <w:rPr>
          <w:rFonts w:ascii="Times New Roman" w:hAnsi="Times New Roman" w:cs="Times New Roman"/>
          <w:highlight w:val="yellow"/>
        </w:rPr>
        <w:t>Data were collected using a structured questionnaire developed by the researcher. The questionnaire was divided into two sections. Section A obtained socio-demographic information from the respondents, while Section B contained items on immunization uptake, accessibility of immunization services, and factors affecting the use of immunization services among children under five. The questionnaire items were structured to allow respondents to indicate their level of agreement with statements related to the study objectives.</w:t>
      </w:r>
    </w:p>
    <w:p w14:paraId="61968C5C" w14:textId="77777777" w:rsidR="0039067D" w:rsidRPr="00DF1A2C" w:rsidRDefault="0039067D" w:rsidP="000B50BB">
      <w:pPr>
        <w:spacing w:line="240" w:lineRule="auto"/>
        <w:jc w:val="both"/>
        <w:rPr>
          <w:rFonts w:ascii="Times New Roman" w:hAnsi="Times New Roman" w:cs="Times New Roman"/>
          <w:highlight w:val="yellow"/>
        </w:rPr>
      </w:pPr>
      <w:r w:rsidRPr="00DF1A2C">
        <w:rPr>
          <w:rFonts w:ascii="Times New Roman" w:hAnsi="Times New Roman" w:cs="Times New Roman"/>
          <w:highlight w:val="yellow"/>
        </w:rPr>
        <w:t>The instrument was subjected to reliability testing using the test-retest method. Copies of the questionnaire were administered to 40 respondents with similar characteristics to the study population. The same instrument was re-administered to the same group after two weeks. The two sets of responses were analyzed using Pearson’s Product Moment Correlation, and a reliability coefficient of 0.85 was obtained, indicating that the instrument was reliable for the study.</w:t>
      </w:r>
    </w:p>
    <w:p w14:paraId="258AE534" w14:textId="77777777" w:rsidR="0039067D" w:rsidRPr="00DF1A2C" w:rsidRDefault="0039067D" w:rsidP="000B50BB">
      <w:pPr>
        <w:spacing w:line="240" w:lineRule="auto"/>
        <w:jc w:val="both"/>
        <w:rPr>
          <w:rFonts w:ascii="Times New Roman" w:hAnsi="Times New Roman" w:cs="Times New Roman"/>
          <w:highlight w:val="yellow"/>
        </w:rPr>
      </w:pPr>
      <w:r w:rsidRPr="00DF1A2C">
        <w:rPr>
          <w:rFonts w:ascii="Times New Roman" w:hAnsi="Times New Roman" w:cs="Times New Roman"/>
          <w:highlight w:val="yellow"/>
        </w:rPr>
        <w:t>The researcher personally administered the questionnaire to the respondents and provided clarification where necessary. Respondents were allowed sufficient time to complete the questionnaire, after which the completed copies were retrieved for analysis. Participation was voluntary, and respondents were assured that the information provided would be used only for academic purposes.</w:t>
      </w:r>
    </w:p>
    <w:p w14:paraId="7EA5A37C" w14:textId="0DDB9E57" w:rsidR="008F7A9C" w:rsidRPr="004C3790" w:rsidRDefault="0039067D" w:rsidP="000B50BB">
      <w:pPr>
        <w:spacing w:line="240" w:lineRule="auto"/>
        <w:jc w:val="both"/>
        <w:rPr>
          <w:rFonts w:ascii="Times New Roman" w:hAnsi="Times New Roman" w:cs="Times New Roman"/>
          <w:sz w:val="24"/>
          <w:szCs w:val="24"/>
        </w:rPr>
      </w:pPr>
      <w:r w:rsidRPr="00DF1A2C">
        <w:rPr>
          <w:rFonts w:ascii="Times New Roman" w:hAnsi="Times New Roman" w:cs="Times New Roman"/>
          <w:highlight w:val="yellow"/>
        </w:rPr>
        <w:t>Data collected from the questionnaire were checked for completeness, coded, and analyzed using descriptive statistics. Frequencies and percentages were used to summarize the socio-demographic characteristics of respondents and their responses to the questionnaire items. The results were presented in tables and interpreted in line with the objectives of the study.</w:t>
      </w:r>
    </w:p>
    <w:p w14:paraId="337DC7FB" w14:textId="77777777" w:rsidR="00E23F04" w:rsidRPr="004C3790" w:rsidRDefault="00E23F04" w:rsidP="000B50BB">
      <w:pPr>
        <w:spacing w:line="240" w:lineRule="auto"/>
        <w:jc w:val="both"/>
        <w:rPr>
          <w:rStyle w:val="Strong"/>
          <w:rFonts w:ascii="Times New Roman" w:hAnsi="Times New Roman" w:cs="Times New Roman"/>
          <w:sz w:val="24"/>
          <w:szCs w:val="24"/>
        </w:rPr>
      </w:pPr>
    </w:p>
    <w:p w14:paraId="7B6DAC71" w14:textId="77777777" w:rsidR="00C14F7F" w:rsidRPr="004C3790" w:rsidRDefault="00C14F7F" w:rsidP="000B50BB">
      <w:pPr>
        <w:spacing w:line="240" w:lineRule="auto"/>
        <w:jc w:val="both"/>
        <w:rPr>
          <w:rStyle w:val="Strong"/>
          <w:rFonts w:ascii="Times New Roman" w:hAnsi="Times New Roman" w:cs="Times New Roman"/>
          <w:b w:val="0"/>
          <w:bCs w:val="0"/>
          <w:sz w:val="24"/>
          <w:szCs w:val="24"/>
        </w:rPr>
      </w:pPr>
      <w:r w:rsidRPr="004C3790">
        <w:rPr>
          <w:rFonts w:ascii="Times New Roman" w:hAnsi="Times New Roman" w:cs="Times New Roman"/>
          <w:b/>
          <w:bCs/>
          <w:highlight w:val="yellow"/>
        </w:rPr>
        <w:t>RESULTS AND DISCUSSION</w:t>
      </w:r>
    </w:p>
    <w:p w14:paraId="397D5719" w14:textId="77777777" w:rsidR="00C14F7F" w:rsidRPr="004C3790" w:rsidRDefault="00846E3A" w:rsidP="000B50BB">
      <w:pPr>
        <w:spacing w:line="240" w:lineRule="auto"/>
        <w:jc w:val="both"/>
        <w:rPr>
          <w:rStyle w:val="Strong"/>
          <w:rFonts w:ascii="Times New Roman" w:hAnsi="Times New Roman" w:cs="Times New Roman"/>
          <w:sz w:val="24"/>
          <w:szCs w:val="24"/>
        </w:rPr>
      </w:pPr>
      <w:r w:rsidRPr="004C3790">
        <w:rPr>
          <w:rStyle w:val="Strong"/>
          <w:rFonts w:ascii="Times New Roman" w:hAnsi="Times New Roman" w:cs="Times New Roman"/>
          <w:sz w:val="24"/>
          <w:szCs w:val="24"/>
        </w:rPr>
        <w:t xml:space="preserve">Table 1: </w:t>
      </w:r>
      <w:r w:rsidR="003F576E" w:rsidRPr="004C3790">
        <w:rPr>
          <w:rStyle w:val="Strong"/>
          <w:rFonts w:ascii="Times New Roman" w:hAnsi="Times New Roman" w:cs="Times New Roman"/>
          <w:b w:val="0"/>
          <w:sz w:val="24"/>
          <w:szCs w:val="24"/>
        </w:rPr>
        <w:t>Sociodemographic Data</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962"/>
        <w:gridCol w:w="2126"/>
        <w:gridCol w:w="1154"/>
        <w:gridCol w:w="1208"/>
      </w:tblGrid>
      <w:tr w:rsidR="00CF336C" w:rsidRPr="004C3790" w14:paraId="123A3CF6" w14:textId="77777777" w:rsidTr="0087452F">
        <w:trPr>
          <w:tblHeader/>
          <w:tblCellSpacing w:w="15" w:type="dxa"/>
        </w:trPr>
        <w:tc>
          <w:tcPr>
            <w:tcW w:w="0" w:type="auto"/>
            <w:tcBorders>
              <w:top w:val="single" w:sz="4" w:space="0" w:color="auto"/>
              <w:bottom w:val="single" w:sz="4" w:space="0" w:color="auto"/>
            </w:tcBorders>
            <w:vAlign w:val="center"/>
            <w:hideMark/>
          </w:tcPr>
          <w:p w14:paraId="1883313A" w14:textId="77777777" w:rsidR="00CF336C" w:rsidRPr="004C3790" w:rsidRDefault="00CF336C" w:rsidP="000B50BB">
            <w:pPr>
              <w:spacing w:after="0" w:line="240" w:lineRule="auto"/>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Demographic Variable</w:t>
            </w:r>
          </w:p>
        </w:tc>
        <w:tc>
          <w:tcPr>
            <w:tcW w:w="0" w:type="auto"/>
            <w:tcBorders>
              <w:top w:val="single" w:sz="4" w:space="0" w:color="auto"/>
              <w:bottom w:val="single" w:sz="4" w:space="0" w:color="auto"/>
            </w:tcBorders>
            <w:vAlign w:val="center"/>
            <w:hideMark/>
          </w:tcPr>
          <w:p w14:paraId="7C043B0F" w14:textId="77777777" w:rsidR="00CF336C" w:rsidRPr="004C3790" w:rsidRDefault="00CF336C" w:rsidP="000B50BB">
            <w:pPr>
              <w:spacing w:after="0" w:line="240" w:lineRule="auto"/>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Option</w:t>
            </w:r>
          </w:p>
        </w:tc>
        <w:tc>
          <w:tcPr>
            <w:tcW w:w="0" w:type="auto"/>
            <w:tcBorders>
              <w:top w:val="single" w:sz="4" w:space="0" w:color="auto"/>
              <w:bottom w:val="single" w:sz="4" w:space="0" w:color="auto"/>
            </w:tcBorders>
            <w:vAlign w:val="center"/>
            <w:hideMark/>
          </w:tcPr>
          <w:p w14:paraId="495AA91B" w14:textId="77777777" w:rsidR="00CF336C" w:rsidRPr="004C3790" w:rsidRDefault="00CF336C" w:rsidP="000B50BB">
            <w:pPr>
              <w:spacing w:after="0" w:line="240" w:lineRule="auto"/>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Frequency</w:t>
            </w:r>
          </w:p>
        </w:tc>
        <w:tc>
          <w:tcPr>
            <w:tcW w:w="0" w:type="auto"/>
            <w:tcBorders>
              <w:top w:val="single" w:sz="4" w:space="0" w:color="auto"/>
              <w:bottom w:val="single" w:sz="4" w:space="0" w:color="auto"/>
            </w:tcBorders>
            <w:vAlign w:val="center"/>
            <w:hideMark/>
          </w:tcPr>
          <w:p w14:paraId="361657FC" w14:textId="77777777" w:rsidR="00CF336C" w:rsidRPr="004C3790" w:rsidRDefault="00CF336C" w:rsidP="000B50BB">
            <w:pPr>
              <w:spacing w:after="0" w:line="240" w:lineRule="auto"/>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Percentage</w:t>
            </w:r>
          </w:p>
        </w:tc>
      </w:tr>
      <w:tr w:rsidR="00CF336C" w:rsidRPr="004C3790" w14:paraId="3552CDF3" w14:textId="77777777" w:rsidTr="00CF336C">
        <w:trPr>
          <w:tblCellSpacing w:w="15" w:type="dxa"/>
        </w:trPr>
        <w:tc>
          <w:tcPr>
            <w:tcW w:w="0" w:type="auto"/>
            <w:vAlign w:val="center"/>
            <w:hideMark/>
          </w:tcPr>
          <w:p w14:paraId="5F4157B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Age of Respondent</w:t>
            </w:r>
          </w:p>
        </w:tc>
        <w:tc>
          <w:tcPr>
            <w:tcW w:w="0" w:type="auto"/>
            <w:vAlign w:val="center"/>
            <w:hideMark/>
          </w:tcPr>
          <w:p w14:paraId="68D024E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18-25</w:t>
            </w:r>
          </w:p>
        </w:tc>
        <w:tc>
          <w:tcPr>
            <w:tcW w:w="0" w:type="auto"/>
            <w:vAlign w:val="center"/>
            <w:hideMark/>
          </w:tcPr>
          <w:p w14:paraId="1425C9E8"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80</w:t>
            </w:r>
          </w:p>
        </w:tc>
        <w:tc>
          <w:tcPr>
            <w:tcW w:w="0" w:type="auto"/>
            <w:vAlign w:val="center"/>
            <w:hideMark/>
          </w:tcPr>
          <w:p w14:paraId="08BF7E09" w14:textId="77777777" w:rsidR="00CF336C" w:rsidRPr="004C3790" w:rsidRDefault="00DF0FB7"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19.7</w:t>
            </w:r>
          </w:p>
        </w:tc>
      </w:tr>
      <w:tr w:rsidR="00CF336C" w:rsidRPr="004C3790" w14:paraId="310E99D1" w14:textId="77777777" w:rsidTr="00CF336C">
        <w:trPr>
          <w:tblCellSpacing w:w="15" w:type="dxa"/>
        </w:trPr>
        <w:tc>
          <w:tcPr>
            <w:tcW w:w="0" w:type="auto"/>
            <w:vAlign w:val="center"/>
            <w:hideMark/>
          </w:tcPr>
          <w:p w14:paraId="44B3C35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3F598ED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26-35</w:t>
            </w:r>
          </w:p>
        </w:tc>
        <w:tc>
          <w:tcPr>
            <w:tcW w:w="0" w:type="auto"/>
            <w:vAlign w:val="center"/>
            <w:hideMark/>
          </w:tcPr>
          <w:p w14:paraId="69C9845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100</w:t>
            </w:r>
          </w:p>
        </w:tc>
        <w:tc>
          <w:tcPr>
            <w:tcW w:w="0" w:type="auto"/>
            <w:vAlign w:val="center"/>
            <w:hideMark/>
          </w:tcPr>
          <w:p w14:paraId="72E75E03"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24.6</w:t>
            </w:r>
          </w:p>
        </w:tc>
      </w:tr>
      <w:tr w:rsidR="00CF336C" w:rsidRPr="004C3790" w14:paraId="447D5664" w14:textId="77777777" w:rsidTr="00CF336C">
        <w:trPr>
          <w:tblCellSpacing w:w="15" w:type="dxa"/>
        </w:trPr>
        <w:tc>
          <w:tcPr>
            <w:tcW w:w="0" w:type="auto"/>
            <w:vAlign w:val="center"/>
            <w:hideMark/>
          </w:tcPr>
          <w:p w14:paraId="182FC32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7B5EECBC"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36-45</w:t>
            </w:r>
          </w:p>
        </w:tc>
        <w:tc>
          <w:tcPr>
            <w:tcW w:w="0" w:type="auto"/>
            <w:vAlign w:val="center"/>
            <w:hideMark/>
          </w:tcPr>
          <w:p w14:paraId="03ACD74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90</w:t>
            </w:r>
          </w:p>
        </w:tc>
        <w:tc>
          <w:tcPr>
            <w:tcW w:w="0" w:type="auto"/>
            <w:vAlign w:val="center"/>
            <w:hideMark/>
          </w:tcPr>
          <w:p w14:paraId="18CB25F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22.1</w:t>
            </w:r>
          </w:p>
        </w:tc>
      </w:tr>
      <w:tr w:rsidR="00CF336C" w:rsidRPr="004C3790" w14:paraId="4DDE23BF" w14:textId="77777777" w:rsidTr="00CF336C">
        <w:trPr>
          <w:tblCellSpacing w:w="15" w:type="dxa"/>
        </w:trPr>
        <w:tc>
          <w:tcPr>
            <w:tcW w:w="0" w:type="auto"/>
            <w:vAlign w:val="center"/>
            <w:hideMark/>
          </w:tcPr>
          <w:p w14:paraId="1768215B"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10D4708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46-55</w:t>
            </w:r>
          </w:p>
        </w:tc>
        <w:tc>
          <w:tcPr>
            <w:tcW w:w="0" w:type="auto"/>
            <w:vAlign w:val="center"/>
            <w:hideMark/>
          </w:tcPr>
          <w:p w14:paraId="40EDEE64"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70</w:t>
            </w:r>
          </w:p>
        </w:tc>
        <w:tc>
          <w:tcPr>
            <w:tcW w:w="0" w:type="auto"/>
            <w:vAlign w:val="center"/>
            <w:hideMark/>
          </w:tcPr>
          <w:p w14:paraId="02DF5C2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17.2</w:t>
            </w:r>
          </w:p>
        </w:tc>
      </w:tr>
      <w:tr w:rsidR="00CF336C" w:rsidRPr="004C3790" w14:paraId="14A377BF" w14:textId="77777777" w:rsidTr="00CF336C">
        <w:trPr>
          <w:tblCellSpacing w:w="15" w:type="dxa"/>
        </w:trPr>
        <w:tc>
          <w:tcPr>
            <w:tcW w:w="0" w:type="auto"/>
            <w:vAlign w:val="center"/>
            <w:hideMark/>
          </w:tcPr>
          <w:p w14:paraId="5E0E345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61FB22A1"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56+</w:t>
            </w:r>
          </w:p>
        </w:tc>
        <w:tc>
          <w:tcPr>
            <w:tcW w:w="0" w:type="auto"/>
            <w:vAlign w:val="center"/>
            <w:hideMark/>
          </w:tcPr>
          <w:p w14:paraId="7A6C74B1"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67</w:t>
            </w:r>
          </w:p>
        </w:tc>
        <w:tc>
          <w:tcPr>
            <w:tcW w:w="0" w:type="auto"/>
            <w:vAlign w:val="center"/>
            <w:hideMark/>
          </w:tcPr>
          <w:p w14:paraId="2DC5B45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16.5</w:t>
            </w:r>
          </w:p>
        </w:tc>
      </w:tr>
      <w:tr w:rsidR="000B15D5" w:rsidRPr="004C3790" w14:paraId="2C1958E4" w14:textId="77777777" w:rsidTr="00CF336C">
        <w:trPr>
          <w:tblCellSpacing w:w="15" w:type="dxa"/>
        </w:trPr>
        <w:tc>
          <w:tcPr>
            <w:tcW w:w="0" w:type="auto"/>
            <w:vAlign w:val="center"/>
          </w:tcPr>
          <w:p w14:paraId="5E359893"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492B3677"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19D53EC3"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24D575EA"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3588E971" w14:textId="77777777" w:rsidTr="00CF336C">
        <w:trPr>
          <w:tblCellSpacing w:w="15" w:type="dxa"/>
        </w:trPr>
        <w:tc>
          <w:tcPr>
            <w:tcW w:w="0" w:type="auto"/>
            <w:vAlign w:val="center"/>
            <w:hideMark/>
          </w:tcPr>
          <w:p w14:paraId="6373F63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Gender</w:t>
            </w:r>
          </w:p>
        </w:tc>
        <w:tc>
          <w:tcPr>
            <w:tcW w:w="0" w:type="auto"/>
            <w:vAlign w:val="center"/>
            <w:hideMark/>
          </w:tcPr>
          <w:p w14:paraId="72B9C8E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Male</w:t>
            </w:r>
          </w:p>
        </w:tc>
        <w:tc>
          <w:tcPr>
            <w:tcW w:w="0" w:type="auto"/>
            <w:vAlign w:val="center"/>
            <w:hideMark/>
          </w:tcPr>
          <w:p w14:paraId="5C5D9B8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190</w:t>
            </w:r>
          </w:p>
        </w:tc>
        <w:tc>
          <w:tcPr>
            <w:tcW w:w="0" w:type="auto"/>
            <w:vAlign w:val="center"/>
            <w:hideMark/>
          </w:tcPr>
          <w:p w14:paraId="0E24D19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46.7</w:t>
            </w:r>
          </w:p>
        </w:tc>
      </w:tr>
      <w:tr w:rsidR="00CF336C" w:rsidRPr="004C3790" w14:paraId="799D4B70" w14:textId="77777777" w:rsidTr="00CF336C">
        <w:trPr>
          <w:tblCellSpacing w:w="15" w:type="dxa"/>
        </w:trPr>
        <w:tc>
          <w:tcPr>
            <w:tcW w:w="0" w:type="auto"/>
            <w:vAlign w:val="center"/>
            <w:hideMark/>
          </w:tcPr>
          <w:p w14:paraId="6070634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529C67DD"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Female</w:t>
            </w:r>
          </w:p>
        </w:tc>
        <w:tc>
          <w:tcPr>
            <w:tcW w:w="0" w:type="auto"/>
            <w:vAlign w:val="center"/>
            <w:hideMark/>
          </w:tcPr>
          <w:p w14:paraId="55496C6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180</w:t>
            </w:r>
          </w:p>
        </w:tc>
        <w:tc>
          <w:tcPr>
            <w:tcW w:w="0" w:type="auto"/>
            <w:vAlign w:val="center"/>
            <w:hideMark/>
          </w:tcPr>
          <w:p w14:paraId="7CD1044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44.2</w:t>
            </w:r>
          </w:p>
        </w:tc>
      </w:tr>
      <w:tr w:rsidR="00CF336C" w:rsidRPr="004C3790" w14:paraId="14111912" w14:textId="77777777" w:rsidTr="00CF336C">
        <w:trPr>
          <w:tblCellSpacing w:w="15" w:type="dxa"/>
        </w:trPr>
        <w:tc>
          <w:tcPr>
            <w:tcW w:w="0" w:type="auto"/>
            <w:vAlign w:val="center"/>
            <w:hideMark/>
          </w:tcPr>
          <w:p w14:paraId="2264047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720B4D8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Other</w:t>
            </w:r>
          </w:p>
        </w:tc>
        <w:tc>
          <w:tcPr>
            <w:tcW w:w="0" w:type="auto"/>
            <w:vAlign w:val="center"/>
            <w:hideMark/>
          </w:tcPr>
          <w:p w14:paraId="36A9EBC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37</w:t>
            </w:r>
          </w:p>
        </w:tc>
        <w:tc>
          <w:tcPr>
            <w:tcW w:w="0" w:type="auto"/>
            <w:vAlign w:val="center"/>
            <w:hideMark/>
          </w:tcPr>
          <w:p w14:paraId="2FC7839E" w14:textId="77777777" w:rsidR="00CF336C" w:rsidRPr="004C3790" w:rsidRDefault="00DF0FB7"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9.1</w:t>
            </w:r>
          </w:p>
        </w:tc>
      </w:tr>
      <w:tr w:rsidR="000B15D5" w:rsidRPr="004C3790" w14:paraId="0A4FB716" w14:textId="77777777" w:rsidTr="00CF336C">
        <w:trPr>
          <w:tblCellSpacing w:w="15" w:type="dxa"/>
        </w:trPr>
        <w:tc>
          <w:tcPr>
            <w:tcW w:w="0" w:type="auto"/>
            <w:vAlign w:val="center"/>
          </w:tcPr>
          <w:p w14:paraId="6EFB84C1"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4220C950"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7ED7DCCC"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3A3E7D0A"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668A213E" w14:textId="77777777" w:rsidTr="00CF336C">
        <w:trPr>
          <w:tblCellSpacing w:w="15" w:type="dxa"/>
        </w:trPr>
        <w:tc>
          <w:tcPr>
            <w:tcW w:w="0" w:type="auto"/>
            <w:vAlign w:val="center"/>
            <w:hideMark/>
          </w:tcPr>
          <w:p w14:paraId="2F2F814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Marital Status</w:t>
            </w:r>
          </w:p>
        </w:tc>
        <w:tc>
          <w:tcPr>
            <w:tcW w:w="0" w:type="auto"/>
            <w:vAlign w:val="center"/>
            <w:hideMark/>
          </w:tcPr>
          <w:p w14:paraId="4C7FB37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Single</w:t>
            </w:r>
          </w:p>
        </w:tc>
        <w:tc>
          <w:tcPr>
            <w:tcW w:w="0" w:type="auto"/>
            <w:vAlign w:val="center"/>
            <w:hideMark/>
          </w:tcPr>
          <w:p w14:paraId="5A15F124"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130</w:t>
            </w:r>
          </w:p>
        </w:tc>
        <w:tc>
          <w:tcPr>
            <w:tcW w:w="0" w:type="auto"/>
            <w:vAlign w:val="center"/>
            <w:hideMark/>
          </w:tcPr>
          <w:p w14:paraId="16D0E26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31.9</w:t>
            </w:r>
          </w:p>
        </w:tc>
      </w:tr>
      <w:tr w:rsidR="00CF336C" w:rsidRPr="004C3790" w14:paraId="7D4E1088" w14:textId="77777777" w:rsidTr="00CF336C">
        <w:trPr>
          <w:tblCellSpacing w:w="15" w:type="dxa"/>
        </w:trPr>
        <w:tc>
          <w:tcPr>
            <w:tcW w:w="0" w:type="auto"/>
            <w:vAlign w:val="center"/>
            <w:hideMark/>
          </w:tcPr>
          <w:p w14:paraId="5C2A3E9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5BAFCC0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Married</w:t>
            </w:r>
          </w:p>
        </w:tc>
        <w:tc>
          <w:tcPr>
            <w:tcW w:w="0" w:type="auto"/>
            <w:vAlign w:val="center"/>
            <w:hideMark/>
          </w:tcPr>
          <w:p w14:paraId="0232B94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160</w:t>
            </w:r>
          </w:p>
        </w:tc>
        <w:tc>
          <w:tcPr>
            <w:tcW w:w="0" w:type="auto"/>
            <w:vAlign w:val="center"/>
            <w:hideMark/>
          </w:tcPr>
          <w:p w14:paraId="6EF9B97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39.3</w:t>
            </w:r>
          </w:p>
        </w:tc>
      </w:tr>
      <w:tr w:rsidR="00CF336C" w:rsidRPr="004C3790" w14:paraId="7346EEFA" w14:textId="77777777" w:rsidTr="00CF336C">
        <w:trPr>
          <w:tblCellSpacing w:w="15" w:type="dxa"/>
        </w:trPr>
        <w:tc>
          <w:tcPr>
            <w:tcW w:w="0" w:type="auto"/>
            <w:vAlign w:val="center"/>
            <w:hideMark/>
          </w:tcPr>
          <w:p w14:paraId="36DD289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5D6C0EF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Widowed</w:t>
            </w:r>
          </w:p>
        </w:tc>
        <w:tc>
          <w:tcPr>
            <w:tcW w:w="0" w:type="auto"/>
            <w:vAlign w:val="center"/>
            <w:hideMark/>
          </w:tcPr>
          <w:p w14:paraId="1585E95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45</w:t>
            </w:r>
          </w:p>
        </w:tc>
        <w:tc>
          <w:tcPr>
            <w:tcW w:w="0" w:type="auto"/>
            <w:vAlign w:val="center"/>
            <w:hideMark/>
          </w:tcPr>
          <w:p w14:paraId="4D55E53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11.1</w:t>
            </w:r>
          </w:p>
        </w:tc>
      </w:tr>
      <w:tr w:rsidR="00CF336C" w:rsidRPr="004C3790" w14:paraId="305EE2F8" w14:textId="77777777" w:rsidTr="00CF336C">
        <w:trPr>
          <w:tblCellSpacing w:w="15" w:type="dxa"/>
        </w:trPr>
        <w:tc>
          <w:tcPr>
            <w:tcW w:w="0" w:type="auto"/>
            <w:vAlign w:val="center"/>
            <w:hideMark/>
          </w:tcPr>
          <w:p w14:paraId="034AED0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6C73D0ED"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Divorced</w:t>
            </w:r>
          </w:p>
        </w:tc>
        <w:tc>
          <w:tcPr>
            <w:tcW w:w="0" w:type="auto"/>
            <w:vAlign w:val="center"/>
            <w:hideMark/>
          </w:tcPr>
          <w:p w14:paraId="3222F47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72</w:t>
            </w:r>
          </w:p>
        </w:tc>
        <w:tc>
          <w:tcPr>
            <w:tcW w:w="0" w:type="auto"/>
            <w:vAlign w:val="center"/>
            <w:hideMark/>
          </w:tcPr>
          <w:p w14:paraId="02090DB1"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17.7</w:t>
            </w:r>
          </w:p>
        </w:tc>
      </w:tr>
      <w:tr w:rsidR="000B15D5" w:rsidRPr="004C3790" w14:paraId="3209E43A" w14:textId="77777777" w:rsidTr="00CF336C">
        <w:trPr>
          <w:tblCellSpacing w:w="15" w:type="dxa"/>
        </w:trPr>
        <w:tc>
          <w:tcPr>
            <w:tcW w:w="0" w:type="auto"/>
            <w:vAlign w:val="center"/>
          </w:tcPr>
          <w:p w14:paraId="43360941"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0B0DE632"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2F44CF00"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7DC60DBC"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3086A9D6" w14:textId="77777777" w:rsidTr="00CF336C">
        <w:trPr>
          <w:tblCellSpacing w:w="15" w:type="dxa"/>
        </w:trPr>
        <w:tc>
          <w:tcPr>
            <w:tcW w:w="0" w:type="auto"/>
            <w:vAlign w:val="center"/>
            <w:hideMark/>
          </w:tcPr>
          <w:p w14:paraId="4085538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Highest Level of Education</w:t>
            </w:r>
          </w:p>
        </w:tc>
        <w:tc>
          <w:tcPr>
            <w:tcW w:w="0" w:type="auto"/>
            <w:vAlign w:val="center"/>
            <w:hideMark/>
          </w:tcPr>
          <w:p w14:paraId="55E1F5F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No formal education</w:t>
            </w:r>
          </w:p>
        </w:tc>
        <w:tc>
          <w:tcPr>
            <w:tcW w:w="0" w:type="auto"/>
            <w:vAlign w:val="center"/>
            <w:hideMark/>
          </w:tcPr>
          <w:p w14:paraId="58A6376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25</w:t>
            </w:r>
          </w:p>
        </w:tc>
        <w:tc>
          <w:tcPr>
            <w:tcW w:w="0" w:type="auto"/>
            <w:vAlign w:val="center"/>
            <w:hideMark/>
          </w:tcPr>
          <w:p w14:paraId="7BA97F54" w14:textId="77777777" w:rsidR="00CF336C" w:rsidRPr="004C3790" w:rsidRDefault="00DF0FB7"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6.1</w:t>
            </w:r>
          </w:p>
        </w:tc>
      </w:tr>
      <w:tr w:rsidR="00CF336C" w:rsidRPr="004C3790" w14:paraId="3F7A738D" w14:textId="77777777" w:rsidTr="00CF336C">
        <w:trPr>
          <w:tblCellSpacing w:w="15" w:type="dxa"/>
        </w:trPr>
        <w:tc>
          <w:tcPr>
            <w:tcW w:w="0" w:type="auto"/>
            <w:vAlign w:val="center"/>
            <w:hideMark/>
          </w:tcPr>
          <w:p w14:paraId="392E350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3CB4656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Primary school</w:t>
            </w:r>
          </w:p>
        </w:tc>
        <w:tc>
          <w:tcPr>
            <w:tcW w:w="0" w:type="auto"/>
            <w:vAlign w:val="center"/>
            <w:hideMark/>
          </w:tcPr>
          <w:p w14:paraId="6FA29B18"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60</w:t>
            </w:r>
          </w:p>
        </w:tc>
        <w:tc>
          <w:tcPr>
            <w:tcW w:w="0" w:type="auto"/>
            <w:vAlign w:val="center"/>
            <w:hideMark/>
          </w:tcPr>
          <w:p w14:paraId="4C24EBE4"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14.8</w:t>
            </w:r>
          </w:p>
        </w:tc>
      </w:tr>
      <w:tr w:rsidR="00CF336C" w:rsidRPr="004C3790" w14:paraId="20C5367B" w14:textId="77777777" w:rsidTr="00CF336C">
        <w:trPr>
          <w:tblCellSpacing w:w="15" w:type="dxa"/>
        </w:trPr>
        <w:tc>
          <w:tcPr>
            <w:tcW w:w="0" w:type="auto"/>
            <w:vAlign w:val="center"/>
            <w:hideMark/>
          </w:tcPr>
          <w:p w14:paraId="57AFCD6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0E66BDF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Secondary school</w:t>
            </w:r>
          </w:p>
        </w:tc>
        <w:tc>
          <w:tcPr>
            <w:tcW w:w="0" w:type="auto"/>
            <w:vAlign w:val="center"/>
            <w:hideMark/>
          </w:tcPr>
          <w:p w14:paraId="169230E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120</w:t>
            </w:r>
          </w:p>
        </w:tc>
        <w:tc>
          <w:tcPr>
            <w:tcW w:w="0" w:type="auto"/>
            <w:vAlign w:val="center"/>
            <w:hideMark/>
          </w:tcPr>
          <w:p w14:paraId="016BD48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29.5</w:t>
            </w:r>
          </w:p>
        </w:tc>
      </w:tr>
      <w:tr w:rsidR="00CF336C" w:rsidRPr="004C3790" w14:paraId="769E1474" w14:textId="77777777" w:rsidTr="00CF336C">
        <w:trPr>
          <w:tblCellSpacing w:w="15" w:type="dxa"/>
        </w:trPr>
        <w:tc>
          <w:tcPr>
            <w:tcW w:w="0" w:type="auto"/>
            <w:vAlign w:val="center"/>
            <w:hideMark/>
          </w:tcPr>
          <w:p w14:paraId="48C7D4B1"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35375EA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Tertiary education</w:t>
            </w:r>
          </w:p>
        </w:tc>
        <w:tc>
          <w:tcPr>
            <w:tcW w:w="0" w:type="auto"/>
            <w:vAlign w:val="center"/>
            <w:hideMark/>
          </w:tcPr>
          <w:p w14:paraId="28364438"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202</w:t>
            </w:r>
          </w:p>
        </w:tc>
        <w:tc>
          <w:tcPr>
            <w:tcW w:w="0" w:type="auto"/>
            <w:vAlign w:val="center"/>
            <w:hideMark/>
          </w:tcPr>
          <w:p w14:paraId="44E3EA3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49.7</w:t>
            </w:r>
          </w:p>
        </w:tc>
      </w:tr>
      <w:tr w:rsidR="000B15D5" w:rsidRPr="004C3790" w14:paraId="6DFB9EAA" w14:textId="77777777" w:rsidTr="00CF336C">
        <w:trPr>
          <w:tblCellSpacing w:w="15" w:type="dxa"/>
        </w:trPr>
        <w:tc>
          <w:tcPr>
            <w:tcW w:w="0" w:type="auto"/>
            <w:vAlign w:val="center"/>
          </w:tcPr>
          <w:p w14:paraId="29838E5E"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36F9791A"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1BA7A2D4"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091E6454"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66DC6B83" w14:textId="77777777" w:rsidTr="00CF336C">
        <w:trPr>
          <w:tblCellSpacing w:w="15" w:type="dxa"/>
        </w:trPr>
        <w:tc>
          <w:tcPr>
            <w:tcW w:w="0" w:type="auto"/>
            <w:vAlign w:val="center"/>
            <w:hideMark/>
          </w:tcPr>
          <w:p w14:paraId="6902C9C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Occupation</w:t>
            </w:r>
          </w:p>
        </w:tc>
        <w:tc>
          <w:tcPr>
            <w:tcW w:w="0" w:type="auto"/>
            <w:vAlign w:val="center"/>
            <w:hideMark/>
          </w:tcPr>
          <w:p w14:paraId="2B03D86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Unemployed</w:t>
            </w:r>
          </w:p>
        </w:tc>
        <w:tc>
          <w:tcPr>
            <w:tcW w:w="0" w:type="auto"/>
            <w:vAlign w:val="center"/>
            <w:hideMark/>
          </w:tcPr>
          <w:p w14:paraId="4D91734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40</w:t>
            </w:r>
          </w:p>
        </w:tc>
        <w:tc>
          <w:tcPr>
            <w:tcW w:w="0" w:type="auto"/>
            <w:vAlign w:val="center"/>
            <w:hideMark/>
          </w:tcPr>
          <w:p w14:paraId="5FFF7946" w14:textId="77777777" w:rsidR="00CF336C" w:rsidRPr="004C3790" w:rsidRDefault="00DF0FB7"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9.8</w:t>
            </w:r>
          </w:p>
        </w:tc>
      </w:tr>
      <w:tr w:rsidR="00CF336C" w:rsidRPr="004C3790" w14:paraId="29CA38DF" w14:textId="77777777" w:rsidTr="00CF336C">
        <w:trPr>
          <w:tblCellSpacing w:w="15" w:type="dxa"/>
        </w:trPr>
        <w:tc>
          <w:tcPr>
            <w:tcW w:w="0" w:type="auto"/>
            <w:vAlign w:val="center"/>
            <w:hideMark/>
          </w:tcPr>
          <w:p w14:paraId="31156ED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1E48DC7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Self-employed</w:t>
            </w:r>
          </w:p>
        </w:tc>
        <w:tc>
          <w:tcPr>
            <w:tcW w:w="0" w:type="auto"/>
            <w:vAlign w:val="center"/>
            <w:hideMark/>
          </w:tcPr>
          <w:p w14:paraId="6C3E458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50</w:t>
            </w:r>
          </w:p>
        </w:tc>
        <w:tc>
          <w:tcPr>
            <w:tcW w:w="0" w:type="auto"/>
            <w:vAlign w:val="center"/>
            <w:hideMark/>
          </w:tcPr>
          <w:p w14:paraId="2BFD26E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12.3</w:t>
            </w:r>
          </w:p>
        </w:tc>
      </w:tr>
      <w:tr w:rsidR="00CF336C" w:rsidRPr="004C3790" w14:paraId="20000DB3" w14:textId="77777777" w:rsidTr="00CF336C">
        <w:trPr>
          <w:tblCellSpacing w:w="15" w:type="dxa"/>
        </w:trPr>
        <w:tc>
          <w:tcPr>
            <w:tcW w:w="0" w:type="auto"/>
            <w:vAlign w:val="center"/>
            <w:hideMark/>
          </w:tcPr>
          <w:p w14:paraId="4DF48B64"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3994670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Civil servant</w:t>
            </w:r>
          </w:p>
        </w:tc>
        <w:tc>
          <w:tcPr>
            <w:tcW w:w="0" w:type="auto"/>
            <w:vAlign w:val="center"/>
            <w:hideMark/>
          </w:tcPr>
          <w:p w14:paraId="0D404584"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80</w:t>
            </w:r>
          </w:p>
        </w:tc>
        <w:tc>
          <w:tcPr>
            <w:tcW w:w="0" w:type="auto"/>
            <w:vAlign w:val="center"/>
            <w:hideMark/>
          </w:tcPr>
          <w:p w14:paraId="75B79C9C"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19.7</w:t>
            </w:r>
          </w:p>
        </w:tc>
      </w:tr>
      <w:tr w:rsidR="00CF336C" w:rsidRPr="004C3790" w14:paraId="50C2EF16" w14:textId="77777777" w:rsidTr="00CF336C">
        <w:trPr>
          <w:tblCellSpacing w:w="15" w:type="dxa"/>
        </w:trPr>
        <w:tc>
          <w:tcPr>
            <w:tcW w:w="0" w:type="auto"/>
            <w:vAlign w:val="center"/>
            <w:hideMark/>
          </w:tcPr>
          <w:p w14:paraId="3D1A5DC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378C554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Private sector worker</w:t>
            </w:r>
          </w:p>
        </w:tc>
        <w:tc>
          <w:tcPr>
            <w:tcW w:w="0" w:type="auto"/>
            <w:vAlign w:val="center"/>
            <w:hideMark/>
          </w:tcPr>
          <w:p w14:paraId="1DB0C1FD"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140</w:t>
            </w:r>
          </w:p>
        </w:tc>
        <w:tc>
          <w:tcPr>
            <w:tcW w:w="0" w:type="auto"/>
            <w:vAlign w:val="center"/>
            <w:hideMark/>
          </w:tcPr>
          <w:p w14:paraId="210ED30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34.4</w:t>
            </w:r>
          </w:p>
        </w:tc>
      </w:tr>
      <w:tr w:rsidR="00CF336C" w:rsidRPr="004C3790" w14:paraId="44CD9EBB" w14:textId="77777777" w:rsidTr="00CF336C">
        <w:trPr>
          <w:tblCellSpacing w:w="15" w:type="dxa"/>
        </w:trPr>
        <w:tc>
          <w:tcPr>
            <w:tcW w:w="0" w:type="auto"/>
            <w:vAlign w:val="center"/>
            <w:hideMark/>
          </w:tcPr>
          <w:p w14:paraId="615B11A1"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7DC04A3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Other</w:t>
            </w:r>
          </w:p>
        </w:tc>
        <w:tc>
          <w:tcPr>
            <w:tcW w:w="0" w:type="auto"/>
            <w:vAlign w:val="center"/>
            <w:hideMark/>
          </w:tcPr>
          <w:p w14:paraId="54ED16EC"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97</w:t>
            </w:r>
          </w:p>
        </w:tc>
        <w:tc>
          <w:tcPr>
            <w:tcW w:w="0" w:type="auto"/>
            <w:vAlign w:val="center"/>
            <w:hideMark/>
          </w:tcPr>
          <w:p w14:paraId="269532E1"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23.8</w:t>
            </w:r>
          </w:p>
        </w:tc>
      </w:tr>
      <w:tr w:rsidR="000B15D5" w:rsidRPr="004C3790" w14:paraId="5660AE30" w14:textId="77777777" w:rsidTr="00CF336C">
        <w:trPr>
          <w:tblCellSpacing w:w="15" w:type="dxa"/>
        </w:trPr>
        <w:tc>
          <w:tcPr>
            <w:tcW w:w="0" w:type="auto"/>
            <w:vAlign w:val="center"/>
          </w:tcPr>
          <w:p w14:paraId="1F4F403B"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3E5FD82C"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7DF4E76C"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375F1977"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268660FD" w14:textId="77777777" w:rsidTr="00CF336C">
        <w:trPr>
          <w:tblCellSpacing w:w="15" w:type="dxa"/>
        </w:trPr>
        <w:tc>
          <w:tcPr>
            <w:tcW w:w="0" w:type="auto"/>
            <w:vAlign w:val="center"/>
            <w:hideMark/>
          </w:tcPr>
          <w:p w14:paraId="56075DF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Household Income</w:t>
            </w:r>
          </w:p>
        </w:tc>
        <w:tc>
          <w:tcPr>
            <w:tcW w:w="0" w:type="auto"/>
            <w:vAlign w:val="center"/>
            <w:hideMark/>
          </w:tcPr>
          <w:p w14:paraId="73AD00E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Less than ₦50,000</w:t>
            </w:r>
          </w:p>
        </w:tc>
        <w:tc>
          <w:tcPr>
            <w:tcW w:w="0" w:type="auto"/>
            <w:vAlign w:val="center"/>
            <w:hideMark/>
          </w:tcPr>
          <w:p w14:paraId="4F09A4B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110</w:t>
            </w:r>
          </w:p>
        </w:tc>
        <w:tc>
          <w:tcPr>
            <w:tcW w:w="0" w:type="auto"/>
            <w:vAlign w:val="center"/>
            <w:hideMark/>
          </w:tcPr>
          <w:p w14:paraId="4001F7A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27.1</w:t>
            </w:r>
          </w:p>
        </w:tc>
      </w:tr>
      <w:tr w:rsidR="00CF336C" w:rsidRPr="004C3790" w14:paraId="368F4694" w14:textId="77777777" w:rsidTr="00CF336C">
        <w:trPr>
          <w:tblCellSpacing w:w="15" w:type="dxa"/>
        </w:trPr>
        <w:tc>
          <w:tcPr>
            <w:tcW w:w="0" w:type="auto"/>
            <w:vAlign w:val="center"/>
            <w:hideMark/>
          </w:tcPr>
          <w:p w14:paraId="0C43A0E8"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1980935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₦50,000 - ₦100,000</w:t>
            </w:r>
          </w:p>
        </w:tc>
        <w:tc>
          <w:tcPr>
            <w:tcW w:w="0" w:type="auto"/>
            <w:vAlign w:val="center"/>
            <w:hideMark/>
          </w:tcPr>
          <w:p w14:paraId="74A126C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130</w:t>
            </w:r>
          </w:p>
        </w:tc>
        <w:tc>
          <w:tcPr>
            <w:tcW w:w="0" w:type="auto"/>
            <w:vAlign w:val="center"/>
            <w:hideMark/>
          </w:tcPr>
          <w:p w14:paraId="655986A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31.9</w:t>
            </w:r>
          </w:p>
        </w:tc>
      </w:tr>
      <w:tr w:rsidR="00CF336C" w:rsidRPr="004C3790" w14:paraId="2BCB752D" w14:textId="77777777" w:rsidTr="00CF336C">
        <w:trPr>
          <w:tblCellSpacing w:w="15" w:type="dxa"/>
        </w:trPr>
        <w:tc>
          <w:tcPr>
            <w:tcW w:w="0" w:type="auto"/>
            <w:vAlign w:val="center"/>
            <w:hideMark/>
          </w:tcPr>
          <w:p w14:paraId="31935F0D"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7DB253E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₦101,000 - ₦200,000</w:t>
            </w:r>
          </w:p>
        </w:tc>
        <w:tc>
          <w:tcPr>
            <w:tcW w:w="0" w:type="auto"/>
            <w:vAlign w:val="center"/>
            <w:hideMark/>
          </w:tcPr>
          <w:p w14:paraId="3D49D17C"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95</w:t>
            </w:r>
          </w:p>
        </w:tc>
        <w:tc>
          <w:tcPr>
            <w:tcW w:w="0" w:type="auto"/>
            <w:vAlign w:val="center"/>
            <w:hideMark/>
          </w:tcPr>
          <w:p w14:paraId="53F65298"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23.3</w:t>
            </w:r>
          </w:p>
        </w:tc>
      </w:tr>
      <w:tr w:rsidR="00CF336C" w:rsidRPr="004C3790" w14:paraId="0C6C5E44" w14:textId="77777777" w:rsidTr="00CF336C">
        <w:trPr>
          <w:tblCellSpacing w:w="15" w:type="dxa"/>
        </w:trPr>
        <w:tc>
          <w:tcPr>
            <w:tcW w:w="0" w:type="auto"/>
            <w:vAlign w:val="center"/>
            <w:hideMark/>
          </w:tcPr>
          <w:p w14:paraId="375AFEA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38E885E4"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Above ₦200,000</w:t>
            </w:r>
          </w:p>
        </w:tc>
        <w:tc>
          <w:tcPr>
            <w:tcW w:w="0" w:type="auto"/>
            <w:vAlign w:val="center"/>
            <w:hideMark/>
          </w:tcPr>
          <w:p w14:paraId="4B655644"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72</w:t>
            </w:r>
          </w:p>
        </w:tc>
        <w:tc>
          <w:tcPr>
            <w:tcW w:w="0" w:type="auto"/>
            <w:vAlign w:val="center"/>
            <w:hideMark/>
          </w:tcPr>
          <w:p w14:paraId="09AB51C3"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17.7</w:t>
            </w:r>
          </w:p>
        </w:tc>
      </w:tr>
      <w:tr w:rsidR="000B15D5" w:rsidRPr="004C3790" w14:paraId="5FAD60E4" w14:textId="77777777" w:rsidTr="00CF336C">
        <w:trPr>
          <w:tblCellSpacing w:w="15" w:type="dxa"/>
        </w:trPr>
        <w:tc>
          <w:tcPr>
            <w:tcW w:w="0" w:type="auto"/>
            <w:vAlign w:val="center"/>
          </w:tcPr>
          <w:p w14:paraId="34690190"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3B6DC741"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7D81EF90"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7CD0572D"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2737DCBE" w14:textId="77777777" w:rsidTr="00CF336C">
        <w:trPr>
          <w:tblCellSpacing w:w="15" w:type="dxa"/>
        </w:trPr>
        <w:tc>
          <w:tcPr>
            <w:tcW w:w="0" w:type="auto"/>
            <w:vAlign w:val="center"/>
            <w:hideMark/>
          </w:tcPr>
          <w:p w14:paraId="196AFB4C"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Number of Children under Five in the Household</w:t>
            </w:r>
          </w:p>
        </w:tc>
        <w:tc>
          <w:tcPr>
            <w:tcW w:w="0" w:type="auto"/>
            <w:vAlign w:val="center"/>
            <w:hideMark/>
          </w:tcPr>
          <w:p w14:paraId="38375EBD"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w:t>
            </w:r>
          </w:p>
        </w:tc>
        <w:tc>
          <w:tcPr>
            <w:tcW w:w="0" w:type="auto"/>
            <w:vAlign w:val="center"/>
            <w:hideMark/>
          </w:tcPr>
          <w:p w14:paraId="3F3A411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170</w:t>
            </w:r>
          </w:p>
        </w:tc>
        <w:tc>
          <w:tcPr>
            <w:tcW w:w="0" w:type="auto"/>
            <w:vAlign w:val="center"/>
            <w:hideMark/>
          </w:tcPr>
          <w:p w14:paraId="38E0E82D"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41.8</w:t>
            </w:r>
          </w:p>
        </w:tc>
      </w:tr>
      <w:tr w:rsidR="00CF336C" w:rsidRPr="004C3790" w14:paraId="42F9BBBF" w14:textId="77777777" w:rsidTr="00CF336C">
        <w:trPr>
          <w:tblCellSpacing w:w="15" w:type="dxa"/>
        </w:trPr>
        <w:tc>
          <w:tcPr>
            <w:tcW w:w="0" w:type="auto"/>
            <w:vAlign w:val="center"/>
            <w:hideMark/>
          </w:tcPr>
          <w:p w14:paraId="251C290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445FFB9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w:t>
            </w:r>
          </w:p>
        </w:tc>
        <w:tc>
          <w:tcPr>
            <w:tcW w:w="0" w:type="auto"/>
            <w:vAlign w:val="center"/>
            <w:hideMark/>
          </w:tcPr>
          <w:p w14:paraId="3143B33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120</w:t>
            </w:r>
          </w:p>
        </w:tc>
        <w:tc>
          <w:tcPr>
            <w:tcW w:w="0" w:type="auto"/>
            <w:vAlign w:val="center"/>
            <w:hideMark/>
          </w:tcPr>
          <w:p w14:paraId="0D3EF2E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29.5</w:t>
            </w:r>
          </w:p>
        </w:tc>
      </w:tr>
      <w:tr w:rsidR="00CF336C" w:rsidRPr="004C3790" w14:paraId="5F5B0C63" w14:textId="77777777" w:rsidTr="00CF336C">
        <w:trPr>
          <w:tblCellSpacing w:w="15" w:type="dxa"/>
        </w:trPr>
        <w:tc>
          <w:tcPr>
            <w:tcW w:w="0" w:type="auto"/>
            <w:vAlign w:val="center"/>
            <w:hideMark/>
          </w:tcPr>
          <w:p w14:paraId="01A465D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1AE34EE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w:t>
            </w:r>
          </w:p>
        </w:tc>
        <w:tc>
          <w:tcPr>
            <w:tcW w:w="0" w:type="auto"/>
            <w:vAlign w:val="center"/>
            <w:hideMark/>
          </w:tcPr>
          <w:p w14:paraId="1D55F7E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60</w:t>
            </w:r>
          </w:p>
        </w:tc>
        <w:tc>
          <w:tcPr>
            <w:tcW w:w="0" w:type="auto"/>
            <w:vAlign w:val="center"/>
            <w:hideMark/>
          </w:tcPr>
          <w:p w14:paraId="061499C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14.8</w:t>
            </w:r>
          </w:p>
        </w:tc>
      </w:tr>
      <w:tr w:rsidR="00CF336C" w:rsidRPr="004C3790" w14:paraId="39172964" w14:textId="77777777" w:rsidTr="00CF336C">
        <w:trPr>
          <w:tblCellSpacing w:w="15" w:type="dxa"/>
        </w:trPr>
        <w:tc>
          <w:tcPr>
            <w:tcW w:w="0" w:type="auto"/>
            <w:vAlign w:val="center"/>
            <w:hideMark/>
          </w:tcPr>
          <w:p w14:paraId="42F72BE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1F5C680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w:t>
            </w:r>
          </w:p>
        </w:tc>
        <w:tc>
          <w:tcPr>
            <w:tcW w:w="0" w:type="auto"/>
            <w:vAlign w:val="center"/>
            <w:hideMark/>
          </w:tcPr>
          <w:p w14:paraId="3710B5D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57</w:t>
            </w:r>
          </w:p>
        </w:tc>
        <w:tc>
          <w:tcPr>
            <w:tcW w:w="0" w:type="auto"/>
            <w:vAlign w:val="center"/>
            <w:hideMark/>
          </w:tcPr>
          <w:p w14:paraId="171C7091"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14.0</w:t>
            </w:r>
          </w:p>
        </w:tc>
      </w:tr>
      <w:tr w:rsidR="000B15D5" w:rsidRPr="004C3790" w14:paraId="0354B715" w14:textId="77777777" w:rsidTr="00CF336C">
        <w:trPr>
          <w:tblCellSpacing w:w="15" w:type="dxa"/>
        </w:trPr>
        <w:tc>
          <w:tcPr>
            <w:tcW w:w="0" w:type="auto"/>
            <w:vAlign w:val="center"/>
          </w:tcPr>
          <w:p w14:paraId="489BBC71"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19991019"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200B48C7"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6BF3CEE2"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376CD130" w14:textId="77777777" w:rsidTr="00CF336C">
        <w:trPr>
          <w:tblCellSpacing w:w="15" w:type="dxa"/>
        </w:trPr>
        <w:tc>
          <w:tcPr>
            <w:tcW w:w="0" w:type="auto"/>
            <w:vAlign w:val="center"/>
            <w:hideMark/>
          </w:tcPr>
          <w:p w14:paraId="6400413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Place of Residence</w:t>
            </w:r>
          </w:p>
        </w:tc>
        <w:tc>
          <w:tcPr>
            <w:tcW w:w="0" w:type="auto"/>
            <w:vAlign w:val="center"/>
            <w:hideMark/>
          </w:tcPr>
          <w:p w14:paraId="78D3021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Urban</w:t>
            </w:r>
          </w:p>
        </w:tc>
        <w:tc>
          <w:tcPr>
            <w:tcW w:w="0" w:type="auto"/>
            <w:vAlign w:val="center"/>
            <w:hideMark/>
          </w:tcPr>
          <w:p w14:paraId="52035FA1"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220</w:t>
            </w:r>
          </w:p>
        </w:tc>
        <w:tc>
          <w:tcPr>
            <w:tcW w:w="0" w:type="auto"/>
            <w:vAlign w:val="center"/>
            <w:hideMark/>
          </w:tcPr>
          <w:p w14:paraId="66787D53"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54.1</w:t>
            </w:r>
          </w:p>
        </w:tc>
      </w:tr>
      <w:tr w:rsidR="00CF336C" w:rsidRPr="004C3790" w14:paraId="200F859A" w14:textId="77777777" w:rsidTr="00CF336C">
        <w:trPr>
          <w:tblCellSpacing w:w="15" w:type="dxa"/>
        </w:trPr>
        <w:tc>
          <w:tcPr>
            <w:tcW w:w="0" w:type="auto"/>
            <w:vAlign w:val="center"/>
            <w:hideMark/>
          </w:tcPr>
          <w:p w14:paraId="64A1F7D3"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34AD4E3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Rural</w:t>
            </w:r>
          </w:p>
        </w:tc>
        <w:tc>
          <w:tcPr>
            <w:tcW w:w="0" w:type="auto"/>
            <w:vAlign w:val="center"/>
            <w:hideMark/>
          </w:tcPr>
          <w:p w14:paraId="779F6C4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140</w:t>
            </w:r>
          </w:p>
        </w:tc>
        <w:tc>
          <w:tcPr>
            <w:tcW w:w="0" w:type="auto"/>
            <w:vAlign w:val="center"/>
            <w:hideMark/>
          </w:tcPr>
          <w:p w14:paraId="3A09ABC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34.4</w:t>
            </w:r>
          </w:p>
        </w:tc>
      </w:tr>
      <w:tr w:rsidR="00CF336C" w:rsidRPr="004C3790" w14:paraId="6591724D" w14:textId="77777777" w:rsidTr="00CF336C">
        <w:trPr>
          <w:tblCellSpacing w:w="15" w:type="dxa"/>
        </w:trPr>
        <w:tc>
          <w:tcPr>
            <w:tcW w:w="0" w:type="auto"/>
            <w:vAlign w:val="center"/>
            <w:hideMark/>
          </w:tcPr>
          <w:p w14:paraId="0E85210B"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24514A0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Peri-urban</w:t>
            </w:r>
          </w:p>
        </w:tc>
        <w:tc>
          <w:tcPr>
            <w:tcW w:w="0" w:type="auto"/>
            <w:vAlign w:val="center"/>
            <w:hideMark/>
          </w:tcPr>
          <w:p w14:paraId="5D920718"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47</w:t>
            </w:r>
          </w:p>
        </w:tc>
        <w:tc>
          <w:tcPr>
            <w:tcW w:w="0" w:type="auto"/>
            <w:vAlign w:val="center"/>
            <w:hideMark/>
          </w:tcPr>
          <w:p w14:paraId="46271D0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11.5</w:t>
            </w:r>
          </w:p>
        </w:tc>
      </w:tr>
      <w:tr w:rsidR="000B15D5" w:rsidRPr="004C3790" w14:paraId="50FC3C15" w14:textId="77777777" w:rsidTr="00CF336C">
        <w:trPr>
          <w:tblCellSpacing w:w="15" w:type="dxa"/>
        </w:trPr>
        <w:tc>
          <w:tcPr>
            <w:tcW w:w="0" w:type="auto"/>
            <w:vAlign w:val="center"/>
          </w:tcPr>
          <w:p w14:paraId="17DAEF3C"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45187C8E"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576F306C"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5FA17B18"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294CF92A" w14:textId="77777777" w:rsidTr="00CF336C">
        <w:trPr>
          <w:tblCellSpacing w:w="15" w:type="dxa"/>
        </w:trPr>
        <w:tc>
          <w:tcPr>
            <w:tcW w:w="0" w:type="auto"/>
            <w:vAlign w:val="center"/>
            <w:hideMark/>
          </w:tcPr>
          <w:p w14:paraId="7799CED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Religion</w:t>
            </w:r>
          </w:p>
        </w:tc>
        <w:tc>
          <w:tcPr>
            <w:tcW w:w="0" w:type="auto"/>
            <w:vAlign w:val="center"/>
            <w:hideMark/>
          </w:tcPr>
          <w:p w14:paraId="62A0E67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Christian</w:t>
            </w:r>
          </w:p>
        </w:tc>
        <w:tc>
          <w:tcPr>
            <w:tcW w:w="0" w:type="auto"/>
            <w:vAlign w:val="center"/>
            <w:hideMark/>
          </w:tcPr>
          <w:p w14:paraId="51B5833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220</w:t>
            </w:r>
          </w:p>
        </w:tc>
        <w:tc>
          <w:tcPr>
            <w:tcW w:w="0" w:type="auto"/>
            <w:vAlign w:val="center"/>
            <w:hideMark/>
          </w:tcPr>
          <w:p w14:paraId="3B78EDF1"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54.1</w:t>
            </w:r>
          </w:p>
        </w:tc>
      </w:tr>
      <w:tr w:rsidR="00CF336C" w:rsidRPr="004C3790" w14:paraId="0DE08C97" w14:textId="77777777" w:rsidTr="00CF336C">
        <w:trPr>
          <w:tblCellSpacing w:w="15" w:type="dxa"/>
        </w:trPr>
        <w:tc>
          <w:tcPr>
            <w:tcW w:w="0" w:type="auto"/>
            <w:vAlign w:val="center"/>
            <w:hideMark/>
          </w:tcPr>
          <w:p w14:paraId="08FF8618"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4DC8054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Muslim</w:t>
            </w:r>
          </w:p>
        </w:tc>
        <w:tc>
          <w:tcPr>
            <w:tcW w:w="0" w:type="auto"/>
            <w:vAlign w:val="center"/>
            <w:hideMark/>
          </w:tcPr>
          <w:p w14:paraId="0D7F8EB3"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160</w:t>
            </w:r>
          </w:p>
        </w:tc>
        <w:tc>
          <w:tcPr>
            <w:tcW w:w="0" w:type="auto"/>
            <w:vAlign w:val="center"/>
            <w:hideMark/>
          </w:tcPr>
          <w:p w14:paraId="71921FF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39.3</w:t>
            </w:r>
          </w:p>
        </w:tc>
      </w:tr>
      <w:tr w:rsidR="00CF336C" w:rsidRPr="004C3790" w14:paraId="0F8CFBBC" w14:textId="77777777" w:rsidTr="00CF336C">
        <w:trPr>
          <w:tblCellSpacing w:w="15" w:type="dxa"/>
        </w:trPr>
        <w:tc>
          <w:tcPr>
            <w:tcW w:w="0" w:type="auto"/>
            <w:vAlign w:val="center"/>
            <w:hideMark/>
          </w:tcPr>
          <w:p w14:paraId="7A7E322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5655FB7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Traditional</w:t>
            </w:r>
          </w:p>
        </w:tc>
        <w:tc>
          <w:tcPr>
            <w:tcW w:w="0" w:type="auto"/>
            <w:vAlign w:val="center"/>
            <w:hideMark/>
          </w:tcPr>
          <w:p w14:paraId="3B9C2E23"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w:t>
            </w:r>
          </w:p>
        </w:tc>
        <w:tc>
          <w:tcPr>
            <w:tcW w:w="0" w:type="auto"/>
            <w:vAlign w:val="center"/>
            <w:hideMark/>
          </w:tcPr>
          <w:p w14:paraId="71A2D9DE" w14:textId="77777777" w:rsidR="00CF336C" w:rsidRPr="004C3790" w:rsidRDefault="00DF0FB7"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2.9</w:t>
            </w:r>
          </w:p>
        </w:tc>
      </w:tr>
      <w:tr w:rsidR="00CF336C" w:rsidRPr="004C3790" w14:paraId="2430C2CF" w14:textId="77777777" w:rsidTr="00CF336C">
        <w:trPr>
          <w:tblCellSpacing w:w="15" w:type="dxa"/>
        </w:trPr>
        <w:tc>
          <w:tcPr>
            <w:tcW w:w="0" w:type="auto"/>
            <w:vAlign w:val="center"/>
            <w:hideMark/>
          </w:tcPr>
          <w:p w14:paraId="2EA205E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18CA62DD"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Other</w:t>
            </w:r>
          </w:p>
        </w:tc>
        <w:tc>
          <w:tcPr>
            <w:tcW w:w="0" w:type="auto"/>
            <w:vAlign w:val="center"/>
            <w:hideMark/>
          </w:tcPr>
          <w:p w14:paraId="273F853D"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15</w:t>
            </w:r>
          </w:p>
        </w:tc>
        <w:tc>
          <w:tcPr>
            <w:tcW w:w="0" w:type="auto"/>
            <w:vAlign w:val="center"/>
            <w:hideMark/>
          </w:tcPr>
          <w:p w14:paraId="4AE73D8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3.7</w:t>
            </w:r>
          </w:p>
        </w:tc>
      </w:tr>
      <w:tr w:rsidR="000B15D5" w:rsidRPr="004C3790" w14:paraId="5FFD4525" w14:textId="77777777" w:rsidTr="00CF336C">
        <w:trPr>
          <w:tblCellSpacing w:w="15" w:type="dxa"/>
        </w:trPr>
        <w:tc>
          <w:tcPr>
            <w:tcW w:w="0" w:type="auto"/>
            <w:vAlign w:val="center"/>
          </w:tcPr>
          <w:p w14:paraId="7DAE3359"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1EF4C75C"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2F90C8CC"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607412AC"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3C3CA85A" w14:textId="77777777" w:rsidTr="00CF336C">
        <w:trPr>
          <w:tblCellSpacing w:w="15" w:type="dxa"/>
        </w:trPr>
        <w:tc>
          <w:tcPr>
            <w:tcW w:w="0" w:type="auto"/>
            <w:vAlign w:val="center"/>
            <w:hideMark/>
          </w:tcPr>
          <w:p w14:paraId="1252958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Ethnic Group</w:t>
            </w:r>
          </w:p>
        </w:tc>
        <w:tc>
          <w:tcPr>
            <w:tcW w:w="0" w:type="auto"/>
            <w:vAlign w:val="center"/>
            <w:hideMark/>
          </w:tcPr>
          <w:p w14:paraId="053F23E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Ika</w:t>
            </w:r>
          </w:p>
        </w:tc>
        <w:tc>
          <w:tcPr>
            <w:tcW w:w="0" w:type="auto"/>
            <w:vAlign w:val="center"/>
            <w:hideMark/>
          </w:tcPr>
          <w:p w14:paraId="62510FC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40</w:t>
            </w:r>
          </w:p>
        </w:tc>
        <w:tc>
          <w:tcPr>
            <w:tcW w:w="0" w:type="auto"/>
            <w:vAlign w:val="center"/>
            <w:hideMark/>
          </w:tcPr>
          <w:p w14:paraId="5AD86F8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9.8</w:t>
            </w:r>
          </w:p>
        </w:tc>
      </w:tr>
      <w:tr w:rsidR="00CF336C" w:rsidRPr="004C3790" w14:paraId="2F49BBDC" w14:textId="77777777" w:rsidTr="00CF336C">
        <w:trPr>
          <w:tblCellSpacing w:w="15" w:type="dxa"/>
        </w:trPr>
        <w:tc>
          <w:tcPr>
            <w:tcW w:w="0" w:type="auto"/>
            <w:vAlign w:val="center"/>
            <w:hideMark/>
          </w:tcPr>
          <w:p w14:paraId="7E1351A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463015A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Yoruba</w:t>
            </w:r>
          </w:p>
        </w:tc>
        <w:tc>
          <w:tcPr>
            <w:tcW w:w="0" w:type="auto"/>
            <w:vAlign w:val="center"/>
            <w:hideMark/>
          </w:tcPr>
          <w:p w14:paraId="3DBCC66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150</w:t>
            </w:r>
          </w:p>
        </w:tc>
        <w:tc>
          <w:tcPr>
            <w:tcW w:w="0" w:type="auto"/>
            <w:vAlign w:val="center"/>
            <w:hideMark/>
          </w:tcPr>
          <w:p w14:paraId="0E13F92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36.9</w:t>
            </w:r>
          </w:p>
        </w:tc>
      </w:tr>
      <w:tr w:rsidR="00CF336C" w:rsidRPr="004C3790" w14:paraId="33C9CDA6" w14:textId="77777777" w:rsidTr="00CF336C">
        <w:trPr>
          <w:tblCellSpacing w:w="15" w:type="dxa"/>
        </w:trPr>
        <w:tc>
          <w:tcPr>
            <w:tcW w:w="0" w:type="auto"/>
            <w:vAlign w:val="center"/>
            <w:hideMark/>
          </w:tcPr>
          <w:p w14:paraId="3AB8C25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5D0427CB"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Igbo</w:t>
            </w:r>
          </w:p>
        </w:tc>
        <w:tc>
          <w:tcPr>
            <w:tcW w:w="0" w:type="auto"/>
            <w:vAlign w:val="center"/>
            <w:hideMark/>
          </w:tcPr>
          <w:p w14:paraId="03778CB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125</w:t>
            </w:r>
          </w:p>
        </w:tc>
        <w:tc>
          <w:tcPr>
            <w:tcW w:w="0" w:type="auto"/>
            <w:vAlign w:val="center"/>
            <w:hideMark/>
          </w:tcPr>
          <w:p w14:paraId="1C5CEBAB"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30.7</w:t>
            </w:r>
          </w:p>
        </w:tc>
      </w:tr>
      <w:tr w:rsidR="00CF336C" w:rsidRPr="004C3790" w14:paraId="437101E0" w14:textId="77777777" w:rsidTr="00CF336C">
        <w:trPr>
          <w:tblCellSpacing w:w="15" w:type="dxa"/>
        </w:trPr>
        <w:tc>
          <w:tcPr>
            <w:tcW w:w="0" w:type="auto"/>
            <w:vAlign w:val="center"/>
            <w:hideMark/>
          </w:tcPr>
          <w:p w14:paraId="5FE31A91"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267F0E8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Hausa</w:t>
            </w:r>
          </w:p>
        </w:tc>
        <w:tc>
          <w:tcPr>
            <w:tcW w:w="0" w:type="auto"/>
            <w:vAlign w:val="center"/>
            <w:hideMark/>
          </w:tcPr>
          <w:p w14:paraId="735D59C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60</w:t>
            </w:r>
          </w:p>
        </w:tc>
        <w:tc>
          <w:tcPr>
            <w:tcW w:w="0" w:type="auto"/>
            <w:vAlign w:val="center"/>
            <w:hideMark/>
          </w:tcPr>
          <w:p w14:paraId="5F4A60D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14.8</w:t>
            </w:r>
          </w:p>
        </w:tc>
      </w:tr>
      <w:tr w:rsidR="00CF336C" w:rsidRPr="004C3790" w14:paraId="402549CF" w14:textId="77777777" w:rsidTr="00CF336C">
        <w:trPr>
          <w:tblCellSpacing w:w="15" w:type="dxa"/>
        </w:trPr>
        <w:tc>
          <w:tcPr>
            <w:tcW w:w="0" w:type="auto"/>
            <w:vAlign w:val="center"/>
            <w:hideMark/>
          </w:tcPr>
          <w:p w14:paraId="6161C0F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7E33E43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Other</w:t>
            </w:r>
          </w:p>
        </w:tc>
        <w:tc>
          <w:tcPr>
            <w:tcW w:w="0" w:type="auto"/>
            <w:vAlign w:val="center"/>
            <w:hideMark/>
          </w:tcPr>
          <w:p w14:paraId="27C63BA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32</w:t>
            </w:r>
          </w:p>
        </w:tc>
        <w:tc>
          <w:tcPr>
            <w:tcW w:w="0" w:type="auto"/>
            <w:vAlign w:val="center"/>
            <w:hideMark/>
          </w:tcPr>
          <w:p w14:paraId="7AEBB901" w14:textId="77777777" w:rsidR="00CF336C" w:rsidRPr="004C3790" w:rsidRDefault="00DF0FB7"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7.9</w:t>
            </w:r>
          </w:p>
        </w:tc>
      </w:tr>
      <w:tr w:rsidR="000B15D5" w:rsidRPr="004C3790" w14:paraId="1FE0C7F0" w14:textId="77777777" w:rsidTr="00CF336C">
        <w:trPr>
          <w:tblCellSpacing w:w="15" w:type="dxa"/>
        </w:trPr>
        <w:tc>
          <w:tcPr>
            <w:tcW w:w="0" w:type="auto"/>
            <w:vAlign w:val="center"/>
          </w:tcPr>
          <w:p w14:paraId="718D5A25"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56C83660"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59DAE14E"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3D0264C6"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3A4608A7" w14:textId="77777777" w:rsidTr="00CF336C">
        <w:trPr>
          <w:tblCellSpacing w:w="15" w:type="dxa"/>
        </w:trPr>
        <w:tc>
          <w:tcPr>
            <w:tcW w:w="0" w:type="auto"/>
            <w:vAlign w:val="center"/>
            <w:hideMark/>
          </w:tcPr>
          <w:p w14:paraId="0D630B0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Type of Housing</w:t>
            </w:r>
          </w:p>
        </w:tc>
        <w:tc>
          <w:tcPr>
            <w:tcW w:w="0" w:type="auto"/>
            <w:vAlign w:val="center"/>
            <w:hideMark/>
          </w:tcPr>
          <w:p w14:paraId="2BAA8793"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Owned</w:t>
            </w:r>
          </w:p>
        </w:tc>
        <w:tc>
          <w:tcPr>
            <w:tcW w:w="0" w:type="auto"/>
            <w:vAlign w:val="center"/>
            <w:hideMark/>
          </w:tcPr>
          <w:p w14:paraId="481FD43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140</w:t>
            </w:r>
          </w:p>
        </w:tc>
        <w:tc>
          <w:tcPr>
            <w:tcW w:w="0" w:type="auto"/>
            <w:vAlign w:val="center"/>
            <w:hideMark/>
          </w:tcPr>
          <w:p w14:paraId="081C21B6"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34.4</w:t>
            </w:r>
          </w:p>
        </w:tc>
      </w:tr>
      <w:tr w:rsidR="00CF336C" w:rsidRPr="004C3790" w14:paraId="0CCDE7AE" w14:textId="77777777" w:rsidTr="00CF336C">
        <w:trPr>
          <w:tblCellSpacing w:w="15" w:type="dxa"/>
        </w:trPr>
        <w:tc>
          <w:tcPr>
            <w:tcW w:w="0" w:type="auto"/>
            <w:vAlign w:val="center"/>
            <w:hideMark/>
          </w:tcPr>
          <w:p w14:paraId="2BC6B7BA"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018311DF"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Rented</w:t>
            </w:r>
          </w:p>
        </w:tc>
        <w:tc>
          <w:tcPr>
            <w:tcW w:w="0" w:type="auto"/>
            <w:vAlign w:val="center"/>
            <w:hideMark/>
          </w:tcPr>
          <w:p w14:paraId="1C514D70"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180</w:t>
            </w:r>
          </w:p>
        </w:tc>
        <w:tc>
          <w:tcPr>
            <w:tcW w:w="0" w:type="auto"/>
            <w:vAlign w:val="center"/>
            <w:hideMark/>
          </w:tcPr>
          <w:p w14:paraId="761488B8"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44.2</w:t>
            </w:r>
          </w:p>
        </w:tc>
      </w:tr>
      <w:tr w:rsidR="00CF336C" w:rsidRPr="004C3790" w14:paraId="1940E2DB" w14:textId="77777777" w:rsidTr="00CF336C">
        <w:trPr>
          <w:tblCellSpacing w:w="15" w:type="dxa"/>
        </w:trPr>
        <w:tc>
          <w:tcPr>
            <w:tcW w:w="0" w:type="auto"/>
            <w:vAlign w:val="center"/>
            <w:hideMark/>
          </w:tcPr>
          <w:p w14:paraId="523DBE93"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25C4E85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Family-owned</w:t>
            </w:r>
          </w:p>
        </w:tc>
        <w:tc>
          <w:tcPr>
            <w:tcW w:w="0" w:type="auto"/>
            <w:vAlign w:val="center"/>
            <w:hideMark/>
          </w:tcPr>
          <w:p w14:paraId="0E13254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87</w:t>
            </w:r>
          </w:p>
        </w:tc>
        <w:tc>
          <w:tcPr>
            <w:tcW w:w="0" w:type="auto"/>
            <w:vAlign w:val="center"/>
            <w:hideMark/>
          </w:tcPr>
          <w:p w14:paraId="0F8916EB"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21.4</w:t>
            </w:r>
          </w:p>
        </w:tc>
      </w:tr>
      <w:tr w:rsidR="000B15D5" w:rsidRPr="004C3790" w14:paraId="25FBF963" w14:textId="77777777" w:rsidTr="00CF336C">
        <w:trPr>
          <w:tblCellSpacing w:w="15" w:type="dxa"/>
        </w:trPr>
        <w:tc>
          <w:tcPr>
            <w:tcW w:w="0" w:type="auto"/>
            <w:vAlign w:val="center"/>
          </w:tcPr>
          <w:p w14:paraId="694BA8D9"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16997D01"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195D3F9F"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c>
          <w:tcPr>
            <w:tcW w:w="0" w:type="auto"/>
            <w:vAlign w:val="center"/>
          </w:tcPr>
          <w:p w14:paraId="295E6957" w14:textId="77777777" w:rsidR="000B15D5" w:rsidRPr="004C3790" w:rsidRDefault="000B15D5" w:rsidP="000B50BB">
            <w:pPr>
              <w:spacing w:after="0" w:line="240" w:lineRule="auto"/>
              <w:jc w:val="both"/>
              <w:rPr>
                <w:rFonts w:ascii="Times New Roman" w:eastAsia="Times New Roman" w:hAnsi="Times New Roman" w:cs="Times New Roman"/>
                <w:sz w:val="24"/>
                <w:szCs w:val="24"/>
              </w:rPr>
            </w:pPr>
          </w:p>
        </w:tc>
      </w:tr>
      <w:tr w:rsidR="00CF336C" w:rsidRPr="004C3790" w14:paraId="7514F659" w14:textId="77777777" w:rsidTr="00CF336C">
        <w:trPr>
          <w:tblCellSpacing w:w="15" w:type="dxa"/>
        </w:trPr>
        <w:tc>
          <w:tcPr>
            <w:tcW w:w="0" w:type="auto"/>
            <w:vAlign w:val="center"/>
            <w:hideMark/>
          </w:tcPr>
          <w:p w14:paraId="4E9B0914"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b/>
                <w:bCs/>
                <w:sz w:val="24"/>
                <w:szCs w:val="24"/>
              </w:rPr>
              <w:t>Average Household Size</w:t>
            </w:r>
          </w:p>
        </w:tc>
        <w:tc>
          <w:tcPr>
            <w:tcW w:w="0" w:type="auto"/>
            <w:vAlign w:val="center"/>
            <w:hideMark/>
          </w:tcPr>
          <w:p w14:paraId="2CB8345C"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1-3 members</w:t>
            </w:r>
          </w:p>
        </w:tc>
        <w:tc>
          <w:tcPr>
            <w:tcW w:w="0" w:type="auto"/>
            <w:vAlign w:val="center"/>
            <w:hideMark/>
          </w:tcPr>
          <w:p w14:paraId="31BD7D1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150</w:t>
            </w:r>
          </w:p>
        </w:tc>
        <w:tc>
          <w:tcPr>
            <w:tcW w:w="0" w:type="auto"/>
            <w:vAlign w:val="center"/>
            <w:hideMark/>
          </w:tcPr>
          <w:p w14:paraId="4D73F899"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36.9</w:t>
            </w:r>
          </w:p>
        </w:tc>
      </w:tr>
      <w:tr w:rsidR="00CF336C" w:rsidRPr="004C3790" w14:paraId="6766155C" w14:textId="77777777" w:rsidTr="00CF336C">
        <w:trPr>
          <w:tblCellSpacing w:w="15" w:type="dxa"/>
        </w:trPr>
        <w:tc>
          <w:tcPr>
            <w:tcW w:w="0" w:type="auto"/>
            <w:vAlign w:val="center"/>
            <w:hideMark/>
          </w:tcPr>
          <w:p w14:paraId="403B9C55"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vAlign w:val="center"/>
            <w:hideMark/>
          </w:tcPr>
          <w:p w14:paraId="49E94737"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4-6 members</w:t>
            </w:r>
          </w:p>
        </w:tc>
        <w:tc>
          <w:tcPr>
            <w:tcW w:w="0" w:type="auto"/>
            <w:vAlign w:val="center"/>
            <w:hideMark/>
          </w:tcPr>
          <w:p w14:paraId="155DD6C2"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170</w:t>
            </w:r>
          </w:p>
        </w:tc>
        <w:tc>
          <w:tcPr>
            <w:tcW w:w="0" w:type="auto"/>
            <w:vAlign w:val="center"/>
            <w:hideMark/>
          </w:tcPr>
          <w:p w14:paraId="4C0498C8"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41.8</w:t>
            </w:r>
          </w:p>
        </w:tc>
      </w:tr>
      <w:tr w:rsidR="00CF336C" w:rsidRPr="004C3790" w14:paraId="69C6D603" w14:textId="77777777" w:rsidTr="0087452F">
        <w:trPr>
          <w:tblCellSpacing w:w="15" w:type="dxa"/>
        </w:trPr>
        <w:tc>
          <w:tcPr>
            <w:tcW w:w="0" w:type="auto"/>
            <w:tcBorders>
              <w:bottom w:val="single" w:sz="4" w:space="0" w:color="auto"/>
            </w:tcBorders>
            <w:vAlign w:val="center"/>
            <w:hideMark/>
          </w:tcPr>
          <w:p w14:paraId="524E490E"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p>
        </w:tc>
        <w:tc>
          <w:tcPr>
            <w:tcW w:w="0" w:type="auto"/>
            <w:tcBorders>
              <w:bottom w:val="single" w:sz="4" w:space="0" w:color="auto"/>
            </w:tcBorders>
            <w:vAlign w:val="center"/>
            <w:hideMark/>
          </w:tcPr>
          <w:p w14:paraId="205587BD"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 members</w:t>
            </w:r>
          </w:p>
        </w:tc>
        <w:tc>
          <w:tcPr>
            <w:tcW w:w="0" w:type="auto"/>
            <w:tcBorders>
              <w:bottom w:val="single" w:sz="4" w:space="0" w:color="auto"/>
            </w:tcBorders>
            <w:vAlign w:val="center"/>
            <w:hideMark/>
          </w:tcPr>
          <w:p w14:paraId="0C45157C"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87</w:t>
            </w:r>
          </w:p>
        </w:tc>
        <w:tc>
          <w:tcPr>
            <w:tcW w:w="0" w:type="auto"/>
            <w:tcBorders>
              <w:bottom w:val="single" w:sz="4" w:space="0" w:color="auto"/>
            </w:tcBorders>
            <w:vAlign w:val="center"/>
            <w:hideMark/>
          </w:tcPr>
          <w:p w14:paraId="5155F5E3" w14:textId="77777777" w:rsidR="00CF336C" w:rsidRPr="004C3790" w:rsidRDefault="00CF336C" w:rsidP="000B50BB">
            <w:pPr>
              <w:spacing w:after="0" w:line="240" w:lineRule="auto"/>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21.4</w:t>
            </w:r>
          </w:p>
        </w:tc>
      </w:tr>
    </w:tbl>
    <w:p w14:paraId="0C0D150C" w14:textId="77777777" w:rsidR="00CF336C" w:rsidRPr="004C3790" w:rsidRDefault="00CF336C" w:rsidP="000B50BB">
      <w:pPr>
        <w:spacing w:line="240" w:lineRule="auto"/>
        <w:jc w:val="both"/>
        <w:rPr>
          <w:rStyle w:val="Strong"/>
          <w:rFonts w:ascii="Times New Roman" w:hAnsi="Times New Roman" w:cs="Times New Roman"/>
          <w:sz w:val="24"/>
          <w:szCs w:val="24"/>
        </w:rPr>
      </w:pPr>
    </w:p>
    <w:p w14:paraId="6CED2CAC" w14:textId="77777777" w:rsidR="001A52FF" w:rsidRPr="004C3790" w:rsidRDefault="00A56CF2" w:rsidP="000B50BB">
      <w:pPr>
        <w:spacing w:before="100" w:beforeAutospacing="1" w:after="100" w:afterAutospacing="1" w:line="240" w:lineRule="auto"/>
        <w:jc w:val="both"/>
        <w:rPr>
          <w:rFonts w:ascii="Times New Roman" w:eastAsia="Times New Roman" w:hAnsi="Times New Roman" w:cs="Times New Roman"/>
          <w:sz w:val="24"/>
          <w:szCs w:val="24"/>
        </w:rPr>
      </w:pPr>
      <w:r w:rsidRPr="004C3790">
        <w:rPr>
          <w:rFonts w:ascii="Times New Roman" w:hAnsi="Times New Roman" w:cs="Times New Roman"/>
          <w:highlight w:val="yellow"/>
        </w:rPr>
        <w:t>The demographic breakdown of the respondents shows a varied distribution across the categories. Regarding age, the largest groups of respondents were aged 26-35 years and 36-45 years, representing 24.6% and 22.1%, respectively. Respondents aged 18-25 years accounted for 19.7%, while those aged 46-55 years and 56 years and above accounted for 17.2% and 16.5%, respectively. In terms of gender, 46.7% of the respondents were male, 44.2% were female and 9.1% identified as other. For marital status, the largest proportion of respondents were married (39.3%), followed by single respondents (31.9%), divorced respondents (17.7%) and widowed respondents (11.1%). In terms of educational attainment, 49.7% of respondents had tertiary education, while 29.5% had secondary education. Smaller proportions had primary education (14.8%) or no formal education (6.1%). Regarding occupation, the largest proportion worked in the private sector (34.4%), followed by other occupations (23.8%), civil servants (19.7%), self-employed respondents (12.3%) and unemployed respondents (9.8%).</w:t>
      </w:r>
    </w:p>
    <w:p w14:paraId="61D7AEFB" w14:textId="77777777" w:rsidR="00A56CF2" w:rsidRPr="004C3790" w:rsidRDefault="001A52FF" w:rsidP="000B50BB">
      <w:pPr>
        <w:spacing w:before="100" w:beforeAutospacing="1" w:after="100" w:afterAutospacing="1" w:line="240" w:lineRule="auto"/>
        <w:jc w:val="both"/>
        <w:rPr>
          <w:rFonts w:ascii="Times New Roman" w:eastAsia="Times New Roman" w:hAnsi="Times New Roman" w:cs="Times New Roman"/>
          <w:sz w:val="24"/>
          <w:szCs w:val="24"/>
        </w:rPr>
      </w:pPr>
      <w:r w:rsidRPr="004C3790">
        <w:rPr>
          <w:rFonts w:ascii="Times New Roman" w:hAnsi="Times New Roman" w:cs="Times New Roman"/>
          <w:highlight w:val="yellow"/>
        </w:rPr>
        <w:t>The distribution of household income indicates that the largest proportion of respondents earned between ₦50,000 and ₦100,000 (31.9%), followed by those who earned less than ₦50,000 (27.1%). Respondents who earned ₦101,000-₦200,000 accounted for 23.3%, while those who earned above ₦200,000 accounted for 17.7%. Regarding the number of children under five in the household, most respondents had one child (41.8%), followed by two children (29.5%), three children (14.8%) and four or more children (14.0%). In terms of residence, 54.1% of respondents lived in urban areas, 34.4% lived in rural areas and 11.5% lived in peri-urban areas. Regarding religion, 54.1% were Christian, 39.3% were Muslim, 2.9% practised traditional religion and 3.7% followed other religions. The ethnic distribution showed that Yoruba respondents accounted for 36.9%, Igbo respondents for 30.7%, Hausa respondents for 14.8%, Ika respondents for 9.8% and other ethnic groups for 7.9%. Regarding housing, 44.2% lived in rented accommodation, 34.4% owned their homes and 21.4% lived in family-owned housing. The average household size was mainly 4-6 members (41.8%), followed by 1-3 members (36.9%) and 7 or more members (21.4%).</w:t>
      </w:r>
    </w:p>
    <w:p w14:paraId="2A60ADA0" w14:textId="77777777" w:rsidR="001A5395" w:rsidRPr="004C3790" w:rsidRDefault="001A5395" w:rsidP="000B50BB">
      <w:pPr>
        <w:pStyle w:val="NormalWeb"/>
        <w:jc w:val="both"/>
      </w:pPr>
      <w:r w:rsidRPr="004C3790">
        <w:rPr>
          <w:b/>
        </w:rPr>
        <w:t xml:space="preserve">Table </w:t>
      </w:r>
      <w:r w:rsidR="00E23B3B" w:rsidRPr="004C3790">
        <w:rPr>
          <w:b/>
        </w:rPr>
        <w:t>2</w:t>
      </w:r>
      <w:r w:rsidRPr="004C3790">
        <w:rPr>
          <w:b/>
        </w:rPr>
        <w:t>:</w:t>
      </w:r>
      <w:r w:rsidR="00C6206E" w:rsidRPr="004C3790">
        <w:rPr>
          <w:b/>
        </w:rPr>
        <w:t xml:space="preserve"> </w:t>
      </w:r>
      <w:r w:rsidR="00C6206E" w:rsidRPr="004C3790">
        <w:t>level of Immunization Uptake among Children under Five, In Ika South Local Government Area, Delta State</w:t>
      </w:r>
      <w:r w:rsidR="00A3376C" w:rsidRPr="004C3790">
        <w:t>.</w:t>
      </w:r>
    </w:p>
    <w:tbl>
      <w:tblPr>
        <w:tblStyle w:val="TableGrid"/>
        <w:tblW w:w="10042" w:type="dxa"/>
        <w:tblLayout w:type="fixed"/>
        <w:tblLook w:val="04A0" w:firstRow="1" w:lastRow="0" w:firstColumn="1" w:lastColumn="0" w:noHBand="0" w:noVBand="1"/>
      </w:tblPr>
      <w:tblGrid>
        <w:gridCol w:w="630"/>
        <w:gridCol w:w="4054"/>
        <w:gridCol w:w="1419"/>
        <w:gridCol w:w="1294"/>
        <w:gridCol w:w="1294"/>
        <w:gridCol w:w="1351"/>
      </w:tblGrid>
      <w:tr w:rsidR="005B5F41" w:rsidRPr="004C3790" w14:paraId="7AC0A05B" w14:textId="77777777" w:rsidTr="005B5F41">
        <w:trPr>
          <w:trHeight w:val="434"/>
        </w:trPr>
        <w:tc>
          <w:tcPr>
            <w:tcW w:w="630" w:type="dxa"/>
            <w:hideMark/>
          </w:tcPr>
          <w:p w14:paraId="59F18FD1" w14:textId="77777777" w:rsidR="005B5F41" w:rsidRPr="004C3790" w:rsidRDefault="005B5F41"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S/N</w:t>
            </w:r>
          </w:p>
        </w:tc>
        <w:tc>
          <w:tcPr>
            <w:tcW w:w="4054" w:type="dxa"/>
            <w:hideMark/>
          </w:tcPr>
          <w:p w14:paraId="232723B6" w14:textId="77777777" w:rsidR="005B5F41" w:rsidRPr="004C3790" w:rsidRDefault="005B5F41"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Statement</w:t>
            </w:r>
          </w:p>
        </w:tc>
        <w:tc>
          <w:tcPr>
            <w:tcW w:w="1419" w:type="dxa"/>
            <w:vAlign w:val="center"/>
          </w:tcPr>
          <w:p w14:paraId="2F91CE57" w14:textId="77777777" w:rsidR="005B5F41" w:rsidRPr="004C3790" w:rsidRDefault="005B5F41"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Strongly Disagree</w:t>
            </w:r>
          </w:p>
        </w:tc>
        <w:tc>
          <w:tcPr>
            <w:tcW w:w="1294" w:type="dxa"/>
            <w:vAlign w:val="center"/>
          </w:tcPr>
          <w:p w14:paraId="07A5B58D" w14:textId="77777777" w:rsidR="005B5F41" w:rsidRPr="004C3790" w:rsidRDefault="005B5F41"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Disagree</w:t>
            </w:r>
          </w:p>
        </w:tc>
        <w:tc>
          <w:tcPr>
            <w:tcW w:w="1294" w:type="dxa"/>
            <w:vAlign w:val="center"/>
          </w:tcPr>
          <w:p w14:paraId="7B32A2CF" w14:textId="77777777" w:rsidR="005B5F41" w:rsidRPr="004C3790" w:rsidRDefault="005B5F41"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Agree</w:t>
            </w:r>
          </w:p>
        </w:tc>
        <w:tc>
          <w:tcPr>
            <w:tcW w:w="1351" w:type="dxa"/>
            <w:vAlign w:val="center"/>
          </w:tcPr>
          <w:p w14:paraId="609CCF11" w14:textId="77777777" w:rsidR="005B5F41" w:rsidRPr="004C3790" w:rsidRDefault="005B5F41"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 xml:space="preserve">Strongly Agree </w:t>
            </w:r>
          </w:p>
        </w:tc>
      </w:tr>
      <w:tr w:rsidR="005B5F41" w:rsidRPr="004C3790" w14:paraId="3CF52933" w14:textId="77777777" w:rsidTr="005B5F41">
        <w:trPr>
          <w:trHeight w:val="868"/>
        </w:trPr>
        <w:tc>
          <w:tcPr>
            <w:tcW w:w="630" w:type="dxa"/>
            <w:hideMark/>
          </w:tcPr>
          <w:p w14:paraId="4AD4B373"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lastRenderedPageBreak/>
              <w:t>1</w:t>
            </w:r>
          </w:p>
        </w:tc>
        <w:tc>
          <w:tcPr>
            <w:tcW w:w="4054" w:type="dxa"/>
            <w:hideMark/>
          </w:tcPr>
          <w:p w14:paraId="5CF52E4C"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My child has received all the recommended vaccinations according to the national immunization schedule.</w:t>
            </w:r>
          </w:p>
        </w:tc>
        <w:tc>
          <w:tcPr>
            <w:tcW w:w="1419" w:type="dxa"/>
            <w:vAlign w:val="center"/>
          </w:tcPr>
          <w:p w14:paraId="44FE0C8D"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54 (13.27%)</w:t>
            </w:r>
          </w:p>
        </w:tc>
        <w:tc>
          <w:tcPr>
            <w:tcW w:w="1294" w:type="dxa"/>
            <w:vAlign w:val="center"/>
          </w:tcPr>
          <w:p w14:paraId="61344920"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93 (22.85%)</w:t>
            </w:r>
          </w:p>
        </w:tc>
        <w:tc>
          <w:tcPr>
            <w:tcW w:w="1294" w:type="dxa"/>
            <w:vAlign w:val="center"/>
          </w:tcPr>
          <w:p w14:paraId="2DE62A8A"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128 (31.45%)</w:t>
            </w:r>
          </w:p>
        </w:tc>
        <w:tc>
          <w:tcPr>
            <w:tcW w:w="1351" w:type="dxa"/>
            <w:vAlign w:val="center"/>
          </w:tcPr>
          <w:p w14:paraId="71FAC8C5"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97 (23.83%)</w:t>
            </w:r>
          </w:p>
        </w:tc>
      </w:tr>
      <w:tr w:rsidR="005B5F41" w:rsidRPr="004C3790" w14:paraId="096655C6" w14:textId="77777777" w:rsidTr="005B5F41">
        <w:trPr>
          <w:trHeight w:val="425"/>
        </w:trPr>
        <w:tc>
          <w:tcPr>
            <w:tcW w:w="630" w:type="dxa"/>
            <w:hideMark/>
          </w:tcPr>
          <w:p w14:paraId="243A5847"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w:t>
            </w:r>
          </w:p>
        </w:tc>
        <w:tc>
          <w:tcPr>
            <w:tcW w:w="4054" w:type="dxa"/>
            <w:hideMark/>
          </w:tcPr>
          <w:p w14:paraId="6D5971F5"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My child has received the first dose of vaccination on time.</w:t>
            </w:r>
          </w:p>
        </w:tc>
        <w:tc>
          <w:tcPr>
            <w:tcW w:w="1419" w:type="dxa"/>
            <w:vAlign w:val="center"/>
          </w:tcPr>
          <w:p w14:paraId="1B75BFDD"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91 (22.36%)</w:t>
            </w:r>
          </w:p>
        </w:tc>
        <w:tc>
          <w:tcPr>
            <w:tcW w:w="1294" w:type="dxa"/>
            <w:vAlign w:val="center"/>
          </w:tcPr>
          <w:p w14:paraId="0F4E3E81"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97 (23.83%)</w:t>
            </w:r>
          </w:p>
        </w:tc>
        <w:tc>
          <w:tcPr>
            <w:tcW w:w="1294" w:type="dxa"/>
            <w:vAlign w:val="center"/>
          </w:tcPr>
          <w:p w14:paraId="47C09DB3"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121 (29.73%)</w:t>
            </w:r>
          </w:p>
        </w:tc>
        <w:tc>
          <w:tcPr>
            <w:tcW w:w="1351" w:type="dxa"/>
            <w:vAlign w:val="center"/>
          </w:tcPr>
          <w:p w14:paraId="436EB6C4"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72 (17.69%)</w:t>
            </w:r>
          </w:p>
        </w:tc>
      </w:tr>
      <w:tr w:rsidR="005B5F41" w:rsidRPr="004C3790" w14:paraId="0419B2EB" w14:textId="77777777" w:rsidTr="005B5F41">
        <w:trPr>
          <w:trHeight w:val="651"/>
        </w:trPr>
        <w:tc>
          <w:tcPr>
            <w:tcW w:w="630" w:type="dxa"/>
            <w:hideMark/>
          </w:tcPr>
          <w:p w14:paraId="35F534DE"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w:t>
            </w:r>
          </w:p>
        </w:tc>
        <w:tc>
          <w:tcPr>
            <w:tcW w:w="4054" w:type="dxa"/>
            <w:hideMark/>
          </w:tcPr>
          <w:p w14:paraId="1AF9FB5F"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My child has received the complete set of immunizations for their age group.</w:t>
            </w:r>
          </w:p>
        </w:tc>
        <w:tc>
          <w:tcPr>
            <w:tcW w:w="1419" w:type="dxa"/>
            <w:vAlign w:val="center"/>
          </w:tcPr>
          <w:p w14:paraId="032D335F"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98 (24.08%)</w:t>
            </w:r>
          </w:p>
        </w:tc>
        <w:tc>
          <w:tcPr>
            <w:tcW w:w="1294" w:type="dxa"/>
            <w:vAlign w:val="center"/>
          </w:tcPr>
          <w:p w14:paraId="78187E67"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63 (15.48%)</w:t>
            </w:r>
          </w:p>
        </w:tc>
        <w:tc>
          <w:tcPr>
            <w:tcW w:w="1294" w:type="dxa"/>
            <w:vAlign w:val="center"/>
          </w:tcPr>
          <w:p w14:paraId="5EB62CC8"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113 (27.76%)</w:t>
            </w:r>
          </w:p>
        </w:tc>
        <w:tc>
          <w:tcPr>
            <w:tcW w:w="1351" w:type="dxa"/>
            <w:vAlign w:val="center"/>
          </w:tcPr>
          <w:p w14:paraId="0DE0CCB3"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82 (20.15%)</w:t>
            </w:r>
          </w:p>
        </w:tc>
      </w:tr>
      <w:tr w:rsidR="005B5F41" w:rsidRPr="004C3790" w14:paraId="39193F26" w14:textId="77777777" w:rsidTr="005B5F41">
        <w:trPr>
          <w:trHeight w:val="651"/>
        </w:trPr>
        <w:tc>
          <w:tcPr>
            <w:tcW w:w="630" w:type="dxa"/>
            <w:hideMark/>
          </w:tcPr>
          <w:p w14:paraId="68F18436"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w:t>
            </w:r>
          </w:p>
        </w:tc>
        <w:tc>
          <w:tcPr>
            <w:tcW w:w="4054" w:type="dxa"/>
            <w:hideMark/>
          </w:tcPr>
          <w:p w14:paraId="1469F738"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have followed the immunization schedule provided by the healthcare workers.</w:t>
            </w:r>
          </w:p>
        </w:tc>
        <w:tc>
          <w:tcPr>
            <w:tcW w:w="1419" w:type="dxa"/>
            <w:vAlign w:val="center"/>
          </w:tcPr>
          <w:p w14:paraId="403DCC87"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85 (20.88%)</w:t>
            </w:r>
          </w:p>
        </w:tc>
        <w:tc>
          <w:tcPr>
            <w:tcW w:w="1294" w:type="dxa"/>
            <w:vAlign w:val="center"/>
          </w:tcPr>
          <w:p w14:paraId="1DDC1ED4"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70 (17.20%)</w:t>
            </w:r>
          </w:p>
        </w:tc>
        <w:tc>
          <w:tcPr>
            <w:tcW w:w="1294" w:type="dxa"/>
            <w:vAlign w:val="center"/>
          </w:tcPr>
          <w:p w14:paraId="20975EF1"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118 (28.99%)</w:t>
            </w:r>
          </w:p>
        </w:tc>
        <w:tc>
          <w:tcPr>
            <w:tcW w:w="1351" w:type="dxa"/>
            <w:vAlign w:val="center"/>
          </w:tcPr>
          <w:p w14:paraId="6A2218AB"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61 (14.99%)</w:t>
            </w:r>
          </w:p>
        </w:tc>
      </w:tr>
      <w:tr w:rsidR="005B5F41" w:rsidRPr="004C3790" w14:paraId="4B331320" w14:textId="77777777" w:rsidTr="005B5F41">
        <w:trPr>
          <w:trHeight w:val="651"/>
        </w:trPr>
        <w:tc>
          <w:tcPr>
            <w:tcW w:w="630" w:type="dxa"/>
            <w:hideMark/>
          </w:tcPr>
          <w:p w14:paraId="18986548"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5</w:t>
            </w:r>
          </w:p>
        </w:tc>
        <w:tc>
          <w:tcPr>
            <w:tcW w:w="4054" w:type="dxa"/>
            <w:hideMark/>
          </w:tcPr>
          <w:p w14:paraId="297231C8"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have taken my child to a healthcare facility for immunization at the recommended times.</w:t>
            </w:r>
          </w:p>
        </w:tc>
        <w:tc>
          <w:tcPr>
            <w:tcW w:w="1419" w:type="dxa"/>
            <w:vAlign w:val="center"/>
          </w:tcPr>
          <w:p w14:paraId="1CEC8918"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76 (18.67%)</w:t>
            </w:r>
          </w:p>
        </w:tc>
        <w:tc>
          <w:tcPr>
            <w:tcW w:w="1294" w:type="dxa"/>
            <w:vAlign w:val="center"/>
          </w:tcPr>
          <w:p w14:paraId="3954237A"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67 (16.46%)</w:t>
            </w:r>
          </w:p>
        </w:tc>
        <w:tc>
          <w:tcPr>
            <w:tcW w:w="1294" w:type="dxa"/>
            <w:vAlign w:val="center"/>
          </w:tcPr>
          <w:p w14:paraId="6BE1DD47"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122 (29.98%)</w:t>
            </w:r>
          </w:p>
        </w:tc>
        <w:tc>
          <w:tcPr>
            <w:tcW w:w="1351" w:type="dxa"/>
            <w:vAlign w:val="center"/>
          </w:tcPr>
          <w:p w14:paraId="52F2E474"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92 (22.60%)</w:t>
            </w:r>
          </w:p>
        </w:tc>
      </w:tr>
      <w:tr w:rsidR="005B5F41" w:rsidRPr="004C3790" w14:paraId="44099011" w14:textId="77777777" w:rsidTr="005B5F41">
        <w:trPr>
          <w:trHeight w:val="651"/>
        </w:trPr>
        <w:tc>
          <w:tcPr>
            <w:tcW w:w="630" w:type="dxa"/>
            <w:hideMark/>
          </w:tcPr>
          <w:p w14:paraId="01719C6E"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w:t>
            </w:r>
          </w:p>
        </w:tc>
        <w:tc>
          <w:tcPr>
            <w:tcW w:w="4054" w:type="dxa"/>
            <w:hideMark/>
          </w:tcPr>
          <w:p w14:paraId="7E8AC75A"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have completed all vaccination doses for my child without missing any.</w:t>
            </w:r>
          </w:p>
        </w:tc>
        <w:tc>
          <w:tcPr>
            <w:tcW w:w="1419" w:type="dxa"/>
            <w:vAlign w:val="center"/>
          </w:tcPr>
          <w:p w14:paraId="2D0ECC05"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83 (20.41%)</w:t>
            </w:r>
          </w:p>
        </w:tc>
        <w:tc>
          <w:tcPr>
            <w:tcW w:w="1294" w:type="dxa"/>
            <w:vAlign w:val="center"/>
          </w:tcPr>
          <w:p w14:paraId="2BB5B8A7"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80 (19.70%)</w:t>
            </w:r>
          </w:p>
        </w:tc>
        <w:tc>
          <w:tcPr>
            <w:tcW w:w="1294" w:type="dxa"/>
            <w:vAlign w:val="center"/>
          </w:tcPr>
          <w:p w14:paraId="7579BA87"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105 (25.80%)</w:t>
            </w:r>
          </w:p>
        </w:tc>
        <w:tc>
          <w:tcPr>
            <w:tcW w:w="1351" w:type="dxa"/>
            <w:vAlign w:val="center"/>
          </w:tcPr>
          <w:p w14:paraId="59F5C168"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96 (23.59%)</w:t>
            </w:r>
          </w:p>
        </w:tc>
      </w:tr>
      <w:tr w:rsidR="005B5F41" w:rsidRPr="004C3790" w14:paraId="246ED9EA" w14:textId="77777777" w:rsidTr="005B5F41">
        <w:trPr>
          <w:trHeight w:val="868"/>
        </w:trPr>
        <w:tc>
          <w:tcPr>
            <w:tcW w:w="630" w:type="dxa"/>
            <w:hideMark/>
          </w:tcPr>
          <w:p w14:paraId="3DE8BB7C"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w:t>
            </w:r>
          </w:p>
        </w:tc>
        <w:tc>
          <w:tcPr>
            <w:tcW w:w="4054" w:type="dxa"/>
            <w:hideMark/>
          </w:tcPr>
          <w:p w14:paraId="246D5FB0"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The immunization services in Ika South Local Government Area, Delta State are easily accessible to me.</w:t>
            </w:r>
          </w:p>
        </w:tc>
        <w:tc>
          <w:tcPr>
            <w:tcW w:w="1419" w:type="dxa"/>
            <w:vAlign w:val="center"/>
          </w:tcPr>
          <w:p w14:paraId="12FC9C09"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79 (19.41%)</w:t>
            </w:r>
          </w:p>
        </w:tc>
        <w:tc>
          <w:tcPr>
            <w:tcW w:w="1294" w:type="dxa"/>
            <w:vAlign w:val="center"/>
          </w:tcPr>
          <w:p w14:paraId="7FFAC87A"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102 (25.09%)</w:t>
            </w:r>
          </w:p>
        </w:tc>
        <w:tc>
          <w:tcPr>
            <w:tcW w:w="1294" w:type="dxa"/>
            <w:vAlign w:val="center"/>
          </w:tcPr>
          <w:p w14:paraId="52E9EDE6"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112 (27.52%)</w:t>
            </w:r>
          </w:p>
        </w:tc>
        <w:tc>
          <w:tcPr>
            <w:tcW w:w="1351" w:type="dxa"/>
            <w:vAlign w:val="center"/>
          </w:tcPr>
          <w:p w14:paraId="73587AE0"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88 (21.65%)</w:t>
            </w:r>
          </w:p>
        </w:tc>
      </w:tr>
      <w:tr w:rsidR="005B5F41" w:rsidRPr="004C3790" w14:paraId="33D331FB" w14:textId="77777777" w:rsidTr="005B5F41">
        <w:trPr>
          <w:trHeight w:val="642"/>
        </w:trPr>
        <w:tc>
          <w:tcPr>
            <w:tcW w:w="630" w:type="dxa"/>
            <w:hideMark/>
          </w:tcPr>
          <w:p w14:paraId="4BAAA745"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w:t>
            </w:r>
          </w:p>
        </w:tc>
        <w:tc>
          <w:tcPr>
            <w:tcW w:w="4054" w:type="dxa"/>
            <w:hideMark/>
          </w:tcPr>
          <w:p w14:paraId="6CDFE3EC"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have been able to get my child vaccinated on time despite living in a rural area.</w:t>
            </w:r>
          </w:p>
        </w:tc>
        <w:tc>
          <w:tcPr>
            <w:tcW w:w="1419" w:type="dxa"/>
            <w:vAlign w:val="center"/>
          </w:tcPr>
          <w:p w14:paraId="6437B71D"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64 (15.73%)</w:t>
            </w:r>
          </w:p>
        </w:tc>
        <w:tc>
          <w:tcPr>
            <w:tcW w:w="1294" w:type="dxa"/>
            <w:vAlign w:val="center"/>
          </w:tcPr>
          <w:p w14:paraId="4878C068"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90 (22.14%)</w:t>
            </w:r>
          </w:p>
        </w:tc>
        <w:tc>
          <w:tcPr>
            <w:tcW w:w="1294" w:type="dxa"/>
            <w:vAlign w:val="center"/>
          </w:tcPr>
          <w:p w14:paraId="5B7A2CB2"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126 (30.98%)</w:t>
            </w:r>
          </w:p>
        </w:tc>
        <w:tc>
          <w:tcPr>
            <w:tcW w:w="1351" w:type="dxa"/>
            <w:vAlign w:val="center"/>
          </w:tcPr>
          <w:p w14:paraId="79119D79"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127 (31.21%)</w:t>
            </w:r>
          </w:p>
        </w:tc>
      </w:tr>
      <w:tr w:rsidR="005B5F41" w:rsidRPr="004C3790" w14:paraId="0ED0573C" w14:textId="77777777" w:rsidTr="005B5F41">
        <w:trPr>
          <w:trHeight w:val="434"/>
        </w:trPr>
        <w:tc>
          <w:tcPr>
            <w:tcW w:w="630" w:type="dxa"/>
            <w:hideMark/>
          </w:tcPr>
          <w:p w14:paraId="483129F3"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w:t>
            </w:r>
          </w:p>
        </w:tc>
        <w:tc>
          <w:tcPr>
            <w:tcW w:w="4054" w:type="dxa"/>
            <w:hideMark/>
          </w:tcPr>
          <w:p w14:paraId="212318DC"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encountered no challenges in getting my child vaccinated on time.</w:t>
            </w:r>
          </w:p>
        </w:tc>
        <w:tc>
          <w:tcPr>
            <w:tcW w:w="1419" w:type="dxa"/>
            <w:vAlign w:val="center"/>
          </w:tcPr>
          <w:p w14:paraId="5A7D71A2"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88 (21.65%)</w:t>
            </w:r>
          </w:p>
        </w:tc>
        <w:tc>
          <w:tcPr>
            <w:tcW w:w="1294" w:type="dxa"/>
            <w:vAlign w:val="center"/>
          </w:tcPr>
          <w:p w14:paraId="197D3928"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73 (17.92%)</w:t>
            </w:r>
          </w:p>
        </w:tc>
        <w:tc>
          <w:tcPr>
            <w:tcW w:w="1294" w:type="dxa"/>
            <w:vAlign w:val="center"/>
          </w:tcPr>
          <w:p w14:paraId="74067D2F"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102 (25.09%)</w:t>
            </w:r>
          </w:p>
        </w:tc>
        <w:tc>
          <w:tcPr>
            <w:tcW w:w="1351" w:type="dxa"/>
            <w:vAlign w:val="center"/>
          </w:tcPr>
          <w:p w14:paraId="37FD631E"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98 (24.08%)</w:t>
            </w:r>
          </w:p>
        </w:tc>
      </w:tr>
      <w:tr w:rsidR="005B5F41" w:rsidRPr="004C3790" w14:paraId="4F419738" w14:textId="77777777" w:rsidTr="005B5F41">
        <w:trPr>
          <w:trHeight w:val="868"/>
        </w:trPr>
        <w:tc>
          <w:tcPr>
            <w:tcW w:w="630" w:type="dxa"/>
            <w:hideMark/>
          </w:tcPr>
          <w:p w14:paraId="69AF4A66"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w:t>
            </w:r>
          </w:p>
        </w:tc>
        <w:tc>
          <w:tcPr>
            <w:tcW w:w="4054" w:type="dxa"/>
            <w:hideMark/>
          </w:tcPr>
          <w:p w14:paraId="04C60E57"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feel confident in the vaccination process and would continue to get my child vaccinated as per the schedule.</w:t>
            </w:r>
          </w:p>
        </w:tc>
        <w:tc>
          <w:tcPr>
            <w:tcW w:w="1419" w:type="dxa"/>
            <w:vAlign w:val="center"/>
          </w:tcPr>
          <w:p w14:paraId="3D20C692"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78 (19.18%)</w:t>
            </w:r>
          </w:p>
        </w:tc>
        <w:tc>
          <w:tcPr>
            <w:tcW w:w="1294" w:type="dxa"/>
            <w:vAlign w:val="center"/>
          </w:tcPr>
          <w:p w14:paraId="2D6E93E6"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77 (18.92%)</w:t>
            </w:r>
          </w:p>
        </w:tc>
        <w:tc>
          <w:tcPr>
            <w:tcW w:w="1294" w:type="dxa"/>
            <w:vAlign w:val="center"/>
          </w:tcPr>
          <w:p w14:paraId="062CB5A0"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118 (28.99%)</w:t>
            </w:r>
          </w:p>
        </w:tc>
        <w:tc>
          <w:tcPr>
            <w:tcW w:w="1351" w:type="dxa"/>
            <w:vAlign w:val="center"/>
          </w:tcPr>
          <w:p w14:paraId="7C407125"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134 (32.91%)</w:t>
            </w:r>
          </w:p>
        </w:tc>
      </w:tr>
      <w:tr w:rsidR="005B5F41" w:rsidRPr="004C3790" w14:paraId="3755827F" w14:textId="77777777" w:rsidTr="005B5F41">
        <w:trPr>
          <w:trHeight w:val="651"/>
        </w:trPr>
        <w:tc>
          <w:tcPr>
            <w:tcW w:w="630" w:type="dxa"/>
            <w:hideMark/>
          </w:tcPr>
          <w:p w14:paraId="22532613"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w:t>
            </w:r>
          </w:p>
        </w:tc>
        <w:tc>
          <w:tcPr>
            <w:tcW w:w="4054" w:type="dxa"/>
            <w:hideMark/>
          </w:tcPr>
          <w:p w14:paraId="6AE85B80"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My child received all the necessary vaccines from a local healthcare center without any delays.</w:t>
            </w:r>
          </w:p>
        </w:tc>
        <w:tc>
          <w:tcPr>
            <w:tcW w:w="1419" w:type="dxa"/>
            <w:vAlign w:val="center"/>
          </w:tcPr>
          <w:p w14:paraId="6F0B2AF8"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101 (24.85%)</w:t>
            </w:r>
          </w:p>
        </w:tc>
        <w:tc>
          <w:tcPr>
            <w:tcW w:w="1294" w:type="dxa"/>
            <w:vAlign w:val="center"/>
          </w:tcPr>
          <w:p w14:paraId="1A7C5479"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79 (19.41%)</w:t>
            </w:r>
          </w:p>
        </w:tc>
        <w:tc>
          <w:tcPr>
            <w:tcW w:w="1294" w:type="dxa"/>
            <w:vAlign w:val="center"/>
          </w:tcPr>
          <w:p w14:paraId="2EC15A7C"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109 (26.80%)</w:t>
            </w:r>
          </w:p>
        </w:tc>
        <w:tc>
          <w:tcPr>
            <w:tcW w:w="1351" w:type="dxa"/>
            <w:vAlign w:val="center"/>
          </w:tcPr>
          <w:p w14:paraId="4AB9072F"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94 (23.08%)</w:t>
            </w:r>
          </w:p>
        </w:tc>
      </w:tr>
      <w:tr w:rsidR="005B5F41" w:rsidRPr="004C3790" w14:paraId="67B0D658" w14:textId="77777777" w:rsidTr="005B5F41">
        <w:trPr>
          <w:trHeight w:val="651"/>
        </w:trPr>
        <w:tc>
          <w:tcPr>
            <w:tcW w:w="630" w:type="dxa"/>
            <w:hideMark/>
          </w:tcPr>
          <w:p w14:paraId="667C159B"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w:t>
            </w:r>
          </w:p>
        </w:tc>
        <w:tc>
          <w:tcPr>
            <w:tcW w:w="4054" w:type="dxa"/>
            <w:hideMark/>
          </w:tcPr>
          <w:p w14:paraId="4155C27C"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have never had to miss a vaccination appointment for my child.</w:t>
            </w:r>
          </w:p>
        </w:tc>
        <w:tc>
          <w:tcPr>
            <w:tcW w:w="1419" w:type="dxa"/>
            <w:vAlign w:val="center"/>
          </w:tcPr>
          <w:p w14:paraId="1212ED76"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81 (19.90%)</w:t>
            </w:r>
          </w:p>
        </w:tc>
        <w:tc>
          <w:tcPr>
            <w:tcW w:w="1294" w:type="dxa"/>
            <w:vAlign w:val="center"/>
          </w:tcPr>
          <w:p w14:paraId="7B2C763F"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84 (20.64%)</w:t>
            </w:r>
          </w:p>
        </w:tc>
        <w:tc>
          <w:tcPr>
            <w:tcW w:w="1294" w:type="dxa"/>
            <w:vAlign w:val="center"/>
          </w:tcPr>
          <w:p w14:paraId="73C1396F"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123 (30.23%)</w:t>
            </w:r>
          </w:p>
        </w:tc>
        <w:tc>
          <w:tcPr>
            <w:tcW w:w="1351" w:type="dxa"/>
            <w:vAlign w:val="center"/>
          </w:tcPr>
          <w:p w14:paraId="56C53C8D"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106 (26.06%)</w:t>
            </w:r>
          </w:p>
        </w:tc>
      </w:tr>
      <w:tr w:rsidR="005B5F41" w:rsidRPr="004C3790" w14:paraId="3FA2A7EC" w14:textId="77777777" w:rsidTr="005B5F41">
        <w:trPr>
          <w:trHeight w:val="651"/>
        </w:trPr>
        <w:tc>
          <w:tcPr>
            <w:tcW w:w="630" w:type="dxa"/>
            <w:hideMark/>
          </w:tcPr>
          <w:p w14:paraId="061BE81B"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13</w:t>
            </w:r>
          </w:p>
        </w:tc>
        <w:tc>
          <w:tcPr>
            <w:tcW w:w="4054" w:type="dxa"/>
            <w:hideMark/>
          </w:tcPr>
          <w:p w14:paraId="77A40A21"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My child was vaccinated in line with the scheduled dates and recommended vaccinations.</w:t>
            </w:r>
          </w:p>
        </w:tc>
        <w:tc>
          <w:tcPr>
            <w:tcW w:w="1419" w:type="dxa"/>
            <w:vAlign w:val="center"/>
          </w:tcPr>
          <w:p w14:paraId="6B258846"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94 (23.09%)</w:t>
            </w:r>
          </w:p>
        </w:tc>
        <w:tc>
          <w:tcPr>
            <w:tcW w:w="1294" w:type="dxa"/>
            <w:vAlign w:val="center"/>
          </w:tcPr>
          <w:p w14:paraId="19E9E20A"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69 (16.97%)</w:t>
            </w:r>
          </w:p>
        </w:tc>
        <w:tc>
          <w:tcPr>
            <w:tcW w:w="1294" w:type="dxa"/>
            <w:vAlign w:val="center"/>
          </w:tcPr>
          <w:p w14:paraId="3C914FCE"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118 (28.99%)</w:t>
            </w:r>
          </w:p>
        </w:tc>
        <w:tc>
          <w:tcPr>
            <w:tcW w:w="1351" w:type="dxa"/>
            <w:vAlign w:val="center"/>
          </w:tcPr>
          <w:p w14:paraId="2DAF7830"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126 (30.98%)</w:t>
            </w:r>
          </w:p>
        </w:tc>
      </w:tr>
      <w:tr w:rsidR="005B5F41" w:rsidRPr="004C3790" w14:paraId="72F65C76" w14:textId="77777777" w:rsidTr="005B5F41">
        <w:trPr>
          <w:trHeight w:val="859"/>
        </w:trPr>
        <w:tc>
          <w:tcPr>
            <w:tcW w:w="630" w:type="dxa"/>
            <w:hideMark/>
          </w:tcPr>
          <w:p w14:paraId="5E10E472"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w:t>
            </w:r>
          </w:p>
        </w:tc>
        <w:tc>
          <w:tcPr>
            <w:tcW w:w="4054" w:type="dxa"/>
            <w:hideMark/>
          </w:tcPr>
          <w:p w14:paraId="4918CFD7"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The immunization services in my area are reliable, and I trust them to meet my child’s immunization needs.</w:t>
            </w:r>
          </w:p>
        </w:tc>
        <w:tc>
          <w:tcPr>
            <w:tcW w:w="1419" w:type="dxa"/>
            <w:vAlign w:val="center"/>
          </w:tcPr>
          <w:p w14:paraId="57EA508F"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65 (15.98%)</w:t>
            </w:r>
          </w:p>
        </w:tc>
        <w:tc>
          <w:tcPr>
            <w:tcW w:w="1294" w:type="dxa"/>
            <w:vAlign w:val="center"/>
          </w:tcPr>
          <w:p w14:paraId="5321558A"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80 (19.70%)</w:t>
            </w:r>
          </w:p>
        </w:tc>
        <w:tc>
          <w:tcPr>
            <w:tcW w:w="1294" w:type="dxa"/>
            <w:vAlign w:val="center"/>
          </w:tcPr>
          <w:p w14:paraId="40DB75EF"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119 (29.24%)</w:t>
            </w:r>
          </w:p>
        </w:tc>
        <w:tc>
          <w:tcPr>
            <w:tcW w:w="1351" w:type="dxa"/>
            <w:vAlign w:val="center"/>
          </w:tcPr>
          <w:p w14:paraId="3E4833C2"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143 (35.14%)</w:t>
            </w:r>
          </w:p>
        </w:tc>
      </w:tr>
      <w:tr w:rsidR="005B5F41" w:rsidRPr="004C3790" w14:paraId="5897B6C7" w14:textId="77777777" w:rsidTr="005B5F41">
        <w:trPr>
          <w:trHeight w:val="868"/>
        </w:trPr>
        <w:tc>
          <w:tcPr>
            <w:tcW w:w="630" w:type="dxa"/>
            <w:hideMark/>
          </w:tcPr>
          <w:p w14:paraId="7046038A"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15</w:t>
            </w:r>
          </w:p>
        </w:tc>
        <w:tc>
          <w:tcPr>
            <w:tcW w:w="4054" w:type="dxa"/>
            <w:hideMark/>
          </w:tcPr>
          <w:p w14:paraId="4902BBE5"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am satisfied with the immunization services and would encourage other parents to get their children vaccinated.</w:t>
            </w:r>
          </w:p>
        </w:tc>
        <w:tc>
          <w:tcPr>
            <w:tcW w:w="1419" w:type="dxa"/>
            <w:vAlign w:val="center"/>
          </w:tcPr>
          <w:p w14:paraId="08EF164A"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84 (20.64%)</w:t>
            </w:r>
          </w:p>
        </w:tc>
        <w:tc>
          <w:tcPr>
            <w:tcW w:w="1294" w:type="dxa"/>
            <w:vAlign w:val="center"/>
          </w:tcPr>
          <w:p w14:paraId="5736BD0B"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75 (18.42%)</w:t>
            </w:r>
          </w:p>
        </w:tc>
        <w:tc>
          <w:tcPr>
            <w:tcW w:w="1294" w:type="dxa"/>
            <w:vAlign w:val="center"/>
          </w:tcPr>
          <w:p w14:paraId="69FF369F"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117 (28.74%)</w:t>
            </w:r>
          </w:p>
        </w:tc>
        <w:tc>
          <w:tcPr>
            <w:tcW w:w="1351" w:type="dxa"/>
            <w:vAlign w:val="center"/>
          </w:tcPr>
          <w:p w14:paraId="7EDF539D" w14:textId="77777777" w:rsidR="005B5F41" w:rsidRPr="004C3790" w:rsidRDefault="005B5F41"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131 (32.19%)</w:t>
            </w:r>
          </w:p>
        </w:tc>
      </w:tr>
    </w:tbl>
    <w:p w14:paraId="4F4BDD2A" w14:textId="77777777" w:rsidR="00DC6C9E" w:rsidRPr="004C3790" w:rsidRDefault="00DC6C9E" w:rsidP="000B50BB">
      <w:pPr>
        <w:spacing w:line="240" w:lineRule="auto"/>
        <w:jc w:val="both"/>
        <w:rPr>
          <w:rStyle w:val="Strong"/>
          <w:rFonts w:ascii="Times New Roman" w:hAnsi="Times New Roman" w:cs="Times New Roman"/>
          <w:sz w:val="24"/>
          <w:szCs w:val="24"/>
        </w:rPr>
      </w:pPr>
    </w:p>
    <w:p w14:paraId="2C706B2D" w14:textId="77777777" w:rsidR="00EA738B" w:rsidRPr="004C3790" w:rsidRDefault="00DC6C9E" w:rsidP="000B50BB">
      <w:pPr>
        <w:spacing w:before="100" w:beforeAutospacing="1" w:after="100" w:afterAutospacing="1" w:line="240" w:lineRule="auto"/>
        <w:jc w:val="both"/>
        <w:rPr>
          <w:rFonts w:ascii="Times New Roman" w:eastAsia="Times New Roman" w:hAnsi="Times New Roman" w:cs="Times New Roman"/>
          <w:sz w:val="24"/>
          <w:szCs w:val="24"/>
        </w:rPr>
      </w:pPr>
      <w:r w:rsidRPr="004C3790">
        <w:rPr>
          <w:rFonts w:ascii="Times New Roman" w:hAnsi="Times New Roman" w:cs="Times New Roman"/>
          <w:highlight w:val="yellow"/>
        </w:rPr>
        <w:t xml:space="preserve">The survey results on immunisation uptake among children under five in Ika South Local Government Area, Delta State, reveal both positive trends and areas requiring attention. A majority of respondents </w:t>
      </w:r>
      <w:r w:rsidRPr="004C3790">
        <w:rPr>
          <w:rFonts w:ascii="Times New Roman" w:hAnsi="Times New Roman" w:cs="Times New Roman"/>
          <w:highlight w:val="yellow"/>
        </w:rPr>
        <w:lastRenderedPageBreak/>
        <w:t>agreed or strongly agreed that their children had received all recommended vaccinations according to the national immunisation schedule (55.28%). However, 36.12% disagreed or strongly disagreed, indicating that not all children had been vaccinated according to national recommendations. Regarding the first dose of vaccination, 47.42% agreed or strongly agreed that their children received it on time, while 46.19% disagreed or strongly disagreed. This suggests that some children may have experienced delays in receiving the first dose.</w:t>
      </w:r>
    </w:p>
    <w:p w14:paraId="6FCC6BCC" w14:textId="77777777" w:rsidR="00EA738B" w:rsidRPr="004C3790" w:rsidRDefault="00EA738B" w:rsidP="000B50BB">
      <w:pPr>
        <w:spacing w:before="100" w:beforeAutospacing="1" w:after="100" w:afterAutospacing="1" w:line="240" w:lineRule="auto"/>
        <w:jc w:val="both"/>
        <w:rPr>
          <w:rFonts w:ascii="Times New Roman" w:eastAsia="Times New Roman" w:hAnsi="Times New Roman" w:cs="Times New Roman"/>
          <w:sz w:val="24"/>
          <w:szCs w:val="24"/>
        </w:rPr>
      </w:pPr>
      <w:r w:rsidRPr="004C3790">
        <w:rPr>
          <w:rFonts w:ascii="Times New Roman" w:hAnsi="Times New Roman" w:cs="Times New Roman"/>
          <w:highlight w:val="yellow"/>
        </w:rPr>
        <w:t>Regarding receipt of the complete set of immunisations for the child's age group, 47.91% agreed or strongly agreed, while 39.56% disagreed or strongly disagreed. In terms of following the immunisation schedule provided by healthcare workers, 43.98% agreed or strongly agreed, while 38.08% disagreed or strongly disagreed. For attendance at healthcare facilities at the recommended times, 52.58% agreed or strongly agreed, while 35.13% disagreed or strongly disagreed. These findings suggest that, although many caregivers followed the recommended schedule, some still experienced challenges in completing vaccination at the appropriate time.</w:t>
      </w:r>
    </w:p>
    <w:p w14:paraId="105051C5" w14:textId="77777777" w:rsidR="00DC6C9E" w:rsidRPr="004C3790" w:rsidRDefault="00EA738B" w:rsidP="000B50BB">
      <w:pPr>
        <w:spacing w:before="100" w:beforeAutospacing="1" w:after="100" w:afterAutospacing="1" w:line="240" w:lineRule="auto"/>
        <w:jc w:val="both"/>
        <w:rPr>
          <w:rFonts w:ascii="Times New Roman" w:eastAsia="Times New Roman" w:hAnsi="Times New Roman" w:cs="Times New Roman"/>
          <w:sz w:val="24"/>
          <w:szCs w:val="24"/>
        </w:rPr>
      </w:pPr>
      <w:r w:rsidRPr="004C3790">
        <w:rPr>
          <w:rFonts w:ascii="Times New Roman" w:hAnsi="Times New Roman" w:cs="Times New Roman"/>
          <w:highlight w:val="yellow"/>
        </w:rPr>
        <w:t>The results also showed that 59.97% of respondents agreed or strongly agreed that their children were vaccinated in line with scheduled dates and recommended vaccinations, whereas 40.06% disagreed or strongly disagreed. In addition, 64.38% agreed or strongly agreed that immunisation services in their area were reliable, while 35.68% disagreed or strongly disagreed. Overall satisfaction with immunisation services was also relatively high, with 60.93% agreeing or strongly agreeing that they were satisfied and would encourage other parents to vaccinate their children. However, 39.06% disagreed or strongly disagreed, indicating that some respondents remained dissatisfied with the services.</w:t>
      </w:r>
    </w:p>
    <w:p w14:paraId="745DB254" w14:textId="77777777" w:rsidR="00016DC6" w:rsidRPr="004C3790" w:rsidRDefault="00016DC6" w:rsidP="000B50BB">
      <w:pPr>
        <w:pStyle w:val="NormalWeb"/>
        <w:jc w:val="both"/>
      </w:pPr>
      <w:r w:rsidRPr="004C3790">
        <w:t xml:space="preserve">Table 3: </w:t>
      </w:r>
      <w:r w:rsidR="00C16D1C" w:rsidRPr="004C3790">
        <w:t>level of accessibility of immunization service among children under five in Ika South Local Government Area, Delta State.</w:t>
      </w:r>
    </w:p>
    <w:tbl>
      <w:tblPr>
        <w:tblStyle w:val="TableGrid"/>
        <w:tblW w:w="10177" w:type="dxa"/>
        <w:tblLayout w:type="fixed"/>
        <w:tblLook w:val="04A0" w:firstRow="1" w:lastRow="0" w:firstColumn="1" w:lastColumn="0" w:noHBand="0" w:noVBand="1"/>
      </w:tblPr>
      <w:tblGrid>
        <w:gridCol w:w="639"/>
        <w:gridCol w:w="4256"/>
        <w:gridCol w:w="1390"/>
        <w:gridCol w:w="1266"/>
        <w:gridCol w:w="1290"/>
        <w:gridCol w:w="1336"/>
      </w:tblGrid>
      <w:tr w:rsidR="001C7DA7" w:rsidRPr="004C3790" w14:paraId="3B337E96" w14:textId="77777777" w:rsidTr="001C7DA7">
        <w:trPr>
          <w:trHeight w:val="437"/>
        </w:trPr>
        <w:tc>
          <w:tcPr>
            <w:tcW w:w="639" w:type="dxa"/>
            <w:hideMark/>
          </w:tcPr>
          <w:p w14:paraId="498F3075" w14:textId="77777777" w:rsidR="001C7DA7" w:rsidRPr="004C3790" w:rsidRDefault="001C7DA7"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S/N</w:t>
            </w:r>
          </w:p>
        </w:tc>
        <w:tc>
          <w:tcPr>
            <w:tcW w:w="4256" w:type="dxa"/>
            <w:hideMark/>
          </w:tcPr>
          <w:p w14:paraId="1542E0BB" w14:textId="77777777" w:rsidR="001C7DA7" w:rsidRPr="004C3790" w:rsidRDefault="001C7DA7"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Statement</w:t>
            </w:r>
          </w:p>
        </w:tc>
        <w:tc>
          <w:tcPr>
            <w:tcW w:w="1390" w:type="dxa"/>
            <w:vAlign w:val="center"/>
          </w:tcPr>
          <w:p w14:paraId="41B432CF" w14:textId="77777777" w:rsidR="001C7DA7" w:rsidRPr="004C3790" w:rsidRDefault="001C7DA7"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Strongly Disagree</w:t>
            </w:r>
          </w:p>
        </w:tc>
        <w:tc>
          <w:tcPr>
            <w:tcW w:w="1266" w:type="dxa"/>
            <w:vAlign w:val="center"/>
          </w:tcPr>
          <w:p w14:paraId="390E16FA" w14:textId="77777777" w:rsidR="001C7DA7" w:rsidRPr="004C3790" w:rsidRDefault="001C7DA7"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Disagree</w:t>
            </w:r>
          </w:p>
        </w:tc>
        <w:tc>
          <w:tcPr>
            <w:tcW w:w="1290" w:type="dxa"/>
            <w:vAlign w:val="center"/>
          </w:tcPr>
          <w:p w14:paraId="6C943E3F" w14:textId="77777777" w:rsidR="001C7DA7" w:rsidRPr="004C3790" w:rsidRDefault="001C7DA7"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Agree</w:t>
            </w:r>
          </w:p>
        </w:tc>
        <w:tc>
          <w:tcPr>
            <w:tcW w:w="1336" w:type="dxa"/>
            <w:vAlign w:val="center"/>
          </w:tcPr>
          <w:p w14:paraId="0E24F764" w14:textId="77777777" w:rsidR="001C7DA7" w:rsidRPr="004C3790" w:rsidRDefault="001C7DA7" w:rsidP="000B50BB">
            <w:pPr>
              <w:jc w:val="both"/>
              <w:rPr>
                <w:rFonts w:ascii="Times New Roman" w:eastAsia="Times New Roman" w:hAnsi="Times New Roman" w:cs="Times New Roman"/>
                <w:b/>
                <w:bCs/>
                <w:sz w:val="24"/>
                <w:szCs w:val="24"/>
              </w:rPr>
            </w:pPr>
            <w:r w:rsidRPr="004C3790">
              <w:rPr>
                <w:rFonts w:ascii="Times New Roman" w:eastAsia="Times New Roman" w:hAnsi="Times New Roman" w:cs="Times New Roman"/>
                <w:b/>
                <w:bCs/>
                <w:sz w:val="24"/>
                <w:szCs w:val="24"/>
              </w:rPr>
              <w:t>Strongly Agree</w:t>
            </w:r>
          </w:p>
        </w:tc>
      </w:tr>
      <w:tr w:rsidR="001C7DA7" w:rsidRPr="004C3790" w14:paraId="6047D614" w14:textId="77777777" w:rsidTr="001C7DA7">
        <w:trPr>
          <w:trHeight w:val="874"/>
        </w:trPr>
        <w:tc>
          <w:tcPr>
            <w:tcW w:w="639" w:type="dxa"/>
            <w:hideMark/>
          </w:tcPr>
          <w:p w14:paraId="418C105E"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w:t>
            </w:r>
          </w:p>
        </w:tc>
        <w:tc>
          <w:tcPr>
            <w:tcW w:w="4256" w:type="dxa"/>
            <w:hideMark/>
          </w:tcPr>
          <w:p w14:paraId="355CB1C1"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Healthcare facilities in Ika South Local Government Area, Delta State provide immunization services to all children under five.</w:t>
            </w:r>
          </w:p>
        </w:tc>
        <w:tc>
          <w:tcPr>
            <w:tcW w:w="1390" w:type="dxa"/>
            <w:vAlign w:val="center"/>
          </w:tcPr>
          <w:p w14:paraId="401BF727"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90 (22.11%)</w:t>
            </w:r>
          </w:p>
        </w:tc>
        <w:tc>
          <w:tcPr>
            <w:tcW w:w="1266" w:type="dxa"/>
            <w:vAlign w:val="center"/>
          </w:tcPr>
          <w:p w14:paraId="0BE57C4C"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90 (22.11%)</w:t>
            </w:r>
          </w:p>
        </w:tc>
        <w:tc>
          <w:tcPr>
            <w:tcW w:w="1290" w:type="dxa"/>
            <w:vAlign w:val="center"/>
          </w:tcPr>
          <w:p w14:paraId="7DDE1D03"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126 (30.96%)</w:t>
            </w:r>
          </w:p>
        </w:tc>
        <w:tc>
          <w:tcPr>
            <w:tcW w:w="1336" w:type="dxa"/>
            <w:vAlign w:val="center"/>
          </w:tcPr>
          <w:p w14:paraId="4D0BFF24"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64 (15.72%)</w:t>
            </w:r>
          </w:p>
        </w:tc>
      </w:tr>
      <w:tr w:rsidR="001C7DA7" w:rsidRPr="004C3790" w14:paraId="336080D5" w14:textId="77777777" w:rsidTr="001C7DA7">
        <w:trPr>
          <w:trHeight w:val="646"/>
        </w:trPr>
        <w:tc>
          <w:tcPr>
            <w:tcW w:w="639" w:type="dxa"/>
            <w:hideMark/>
          </w:tcPr>
          <w:p w14:paraId="3EEC9A7A"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2</w:t>
            </w:r>
          </w:p>
        </w:tc>
        <w:tc>
          <w:tcPr>
            <w:tcW w:w="4256" w:type="dxa"/>
            <w:hideMark/>
          </w:tcPr>
          <w:p w14:paraId="15EF12AA"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The distance to the nearest healthcare facility with immunization services is manageable.</w:t>
            </w:r>
          </w:p>
        </w:tc>
        <w:tc>
          <w:tcPr>
            <w:tcW w:w="1390" w:type="dxa"/>
            <w:vAlign w:val="center"/>
          </w:tcPr>
          <w:p w14:paraId="0FABBD28"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71 (17.44%)</w:t>
            </w:r>
          </w:p>
        </w:tc>
        <w:tc>
          <w:tcPr>
            <w:tcW w:w="1266" w:type="dxa"/>
            <w:vAlign w:val="center"/>
          </w:tcPr>
          <w:p w14:paraId="4A846040"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60 (14.74%)</w:t>
            </w:r>
          </w:p>
        </w:tc>
        <w:tc>
          <w:tcPr>
            <w:tcW w:w="1290" w:type="dxa"/>
            <w:vAlign w:val="center"/>
          </w:tcPr>
          <w:p w14:paraId="536D6458"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104 (25.55%)</w:t>
            </w:r>
          </w:p>
        </w:tc>
        <w:tc>
          <w:tcPr>
            <w:tcW w:w="1336" w:type="dxa"/>
            <w:vAlign w:val="center"/>
          </w:tcPr>
          <w:p w14:paraId="26AF6FCB"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98 (24.08%)</w:t>
            </w:r>
          </w:p>
        </w:tc>
      </w:tr>
      <w:tr w:rsidR="001C7DA7" w:rsidRPr="004C3790" w14:paraId="3E89DB17" w14:textId="77777777" w:rsidTr="001C7DA7">
        <w:trPr>
          <w:trHeight w:val="655"/>
        </w:trPr>
        <w:tc>
          <w:tcPr>
            <w:tcW w:w="639" w:type="dxa"/>
            <w:hideMark/>
          </w:tcPr>
          <w:p w14:paraId="183B4D2A"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3</w:t>
            </w:r>
          </w:p>
        </w:tc>
        <w:tc>
          <w:tcPr>
            <w:tcW w:w="4256" w:type="dxa"/>
            <w:hideMark/>
          </w:tcPr>
          <w:p w14:paraId="360BF94F"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can easily access immunization services for my child in Ika South Local Government Area, Delta State.</w:t>
            </w:r>
          </w:p>
        </w:tc>
        <w:tc>
          <w:tcPr>
            <w:tcW w:w="1390" w:type="dxa"/>
            <w:vAlign w:val="center"/>
          </w:tcPr>
          <w:p w14:paraId="04681642"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80 (19.66%)</w:t>
            </w:r>
          </w:p>
        </w:tc>
        <w:tc>
          <w:tcPr>
            <w:tcW w:w="1266" w:type="dxa"/>
            <w:vAlign w:val="center"/>
          </w:tcPr>
          <w:p w14:paraId="282A8B30"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79 (19.41%)</w:t>
            </w:r>
          </w:p>
        </w:tc>
        <w:tc>
          <w:tcPr>
            <w:tcW w:w="1290" w:type="dxa"/>
            <w:vAlign w:val="center"/>
          </w:tcPr>
          <w:p w14:paraId="032A8689"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124 (30.47%)</w:t>
            </w:r>
          </w:p>
        </w:tc>
        <w:tc>
          <w:tcPr>
            <w:tcW w:w="1336" w:type="dxa"/>
            <w:vAlign w:val="center"/>
          </w:tcPr>
          <w:p w14:paraId="1177DDEF"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87 (21.38%)</w:t>
            </w:r>
          </w:p>
        </w:tc>
      </w:tr>
      <w:tr w:rsidR="001C7DA7" w:rsidRPr="004C3790" w14:paraId="0A3F80FF" w14:textId="77777777" w:rsidTr="001C7DA7">
        <w:trPr>
          <w:trHeight w:val="874"/>
        </w:trPr>
        <w:tc>
          <w:tcPr>
            <w:tcW w:w="639" w:type="dxa"/>
            <w:hideMark/>
          </w:tcPr>
          <w:p w14:paraId="49A6D3DA"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4</w:t>
            </w:r>
          </w:p>
        </w:tc>
        <w:tc>
          <w:tcPr>
            <w:tcW w:w="4256" w:type="dxa"/>
            <w:hideMark/>
          </w:tcPr>
          <w:p w14:paraId="201A2B83"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Immunization services in Ika South Local Government Area, Delta State are available within a reasonable timeframe.</w:t>
            </w:r>
          </w:p>
        </w:tc>
        <w:tc>
          <w:tcPr>
            <w:tcW w:w="1390" w:type="dxa"/>
            <w:vAlign w:val="center"/>
          </w:tcPr>
          <w:p w14:paraId="270407D9"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93 (22.85%)</w:t>
            </w:r>
          </w:p>
        </w:tc>
        <w:tc>
          <w:tcPr>
            <w:tcW w:w="1266" w:type="dxa"/>
            <w:vAlign w:val="center"/>
          </w:tcPr>
          <w:p w14:paraId="60ADDFB4"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82 (20.15%)</w:t>
            </w:r>
          </w:p>
        </w:tc>
        <w:tc>
          <w:tcPr>
            <w:tcW w:w="1290" w:type="dxa"/>
            <w:vAlign w:val="center"/>
          </w:tcPr>
          <w:p w14:paraId="096BEE5C"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148 (36.36%)</w:t>
            </w:r>
          </w:p>
        </w:tc>
        <w:tc>
          <w:tcPr>
            <w:tcW w:w="1336" w:type="dxa"/>
            <w:vAlign w:val="center"/>
          </w:tcPr>
          <w:p w14:paraId="0CA3FD77"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81 (19.90%)</w:t>
            </w:r>
          </w:p>
        </w:tc>
      </w:tr>
      <w:tr w:rsidR="001C7DA7" w:rsidRPr="004C3790" w14:paraId="5B7F9275" w14:textId="77777777" w:rsidTr="001C7DA7">
        <w:trPr>
          <w:trHeight w:val="655"/>
        </w:trPr>
        <w:tc>
          <w:tcPr>
            <w:tcW w:w="639" w:type="dxa"/>
            <w:hideMark/>
          </w:tcPr>
          <w:p w14:paraId="4144640B"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5</w:t>
            </w:r>
          </w:p>
        </w:tc>
        <w:tc>
          <w:tcPr>
            <w:tcW w:w="4256" w:type="dxa"/>
            <w:hideMark/>
          </w:tcPr>
          <w:p w14:paraId="77BED6AE"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My child’s immunization appointments are scheduled at times that are convenient for my family.</w:t>
            </w:r>
          </w:p>
        </w:tc>
        <w:tc>
          <w:tcPr>
            <w:tcW w:w="1390" w:type="dxa"/>
            <w:vAlign w:val="center"/>
          </w:tcPr>
          <w:p w14:paraId="6F3EC57F"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95 (23.34%)</w:t>
            </w:r>
          </w:p>
        </w:tc>
        <w:tc>
          <w:tcPr>
            <w:tcW w:w="1266" w:type="dxa"/>
            <w:vAlign w:val="center"/>
          </w:tcPr>
          <w:p w14:paraId="562B95BE"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70 (17.20%)</w:t>
            </w:r>
          </w:p>
        </w:tc>
        <w:tc>
          <w:tcPr>
            <w:tcW w:w="1290" w:type="dxa"/>
            <w:vAlign w:val="center"/>
          </w:tcPr>
          <w:p w14:paraId="611C768F"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104 (25.55%)</w:t>
            </w:r>
          </w:p>
        </w:tc>
        <w:tc>
          <w:tcPr>
            <w:tcW w:w="1336" w:type="dxa"/>
            <w:vAlign w:val="center"/>
          </w:tcPr>
          <w:p w14:paraId="1BFD324E"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59 (14.50%)</w:t>
            </w:r>
          </w:p>
        </w:tc>
      </w:tr>
      <w:tr w:rsidR="001C7DA7" w:rsidRPr="004C3790" w14:paraId="248E812F" w14:textId="77777777" w:rsidTr="001C7DA7">
        <w:trPr>
          <w:trHeight w:val="874"/>
        </w:trPr>
        <w:tc>
          <w:tcPr>
            <w:tcW w:w="639" w:type="dxa"/>
            <w:hideMark/>
          </w:tcPr>
          <w:p w14:paraId="48226E37"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w:t>
            </w:r>
          </w:p>
        </w:tc>
        <w:tc>
          <w:tcPr>
            <w:tcW w:w="4256" w:type="dxa"/>
            <w:hideMark/>
          </w:tcPr>
          <w:p w14:paraId="6BEB1A68"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There is always a healthcare provider available to administer immunizations in Ika South Local Government Area, Delta State.</w:t>
            </w:r>
          </w:p>
        </w:tc>
        <w:tc>
          <w:tcPr>
            <w:tcW w:w="1390" w:type="dxa"/>
            <w:vAlign w:val="center"/>
          </w:tcPr>
          <w:p w14:paraId="3560ED3C"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92 (22.61%)</w:t>
            </w:r>
          </w:p>
        </w:tc>
        <w:tc>
          <w:tcPr>
            <w:tcW w:w="1266" w:type="dxa"/>
            <w:vAlign w:val="center"/>
          </w:tcPr>
          <w:p w14:paraId="6279EE89"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86 (21.14%)</w:t>
            </w:r>
          </w:p>
        </w:tc>
        <w:tc>
          <w:tcPr>
            <w:tcW w:w="1290" w:type="dxa"/>
            <w:vAlign w:val="center"/>
          </w:tcPr>
          <w:p w14:paraId="7AC0F281"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105 (25.80%)</w:t>
            </w:r>
          </w:p>
        </w:tc>
        <w:tc>
          <w:tcPr>
            <w:tcW w:w="1336" w:type="dxa"/>
            <w:vAlign w:val="center"/>
          </w:tcPr>
          <w:p w14:paraId="57243EEA"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66 (16.21%)</w:t>
            </w:r>
          </w:p>
        </w:tc>
      </w:tr>
      <w:tr w:rsidR="001C7DA7" w:rsidRPr="004C3790" w14:paraId="674BA771" w14:textId="77777777" w:rsidTr="001C7DA7">
        <w:trPr>
          <w:trHeight w:val="655"/>
        </w:trPr>
        <w:tc>
          <w:tcPr>
            <w:tcW w:w="639" w:type="dxa"/>
            <w:hideMark/>
          </w:tcPr>
          <w:p w14:paraId="09FEAA51"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lastRenderedPageBreak/>
              <w:t>7</w:t>
            </w:r>
          </w:p>
        </w:tc>
        <w:tc>
          <w:tcPr>
            <w:tcW w:w="4256" w:type="dxa"/>
            <w:hideMark/>
          </w:tcPr>
          <w:p w14:paraId="09D8886C"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find the cost of transportation to healthcare facilities for immunization to be affordable.</w:t>
            </w:r>
          </w:p>
        </w:tc>
        <w:tc>
          <w:tcPr>
            <w:tcW w:w="1390" w:type="dxa"/>
            <w:vAlign w:val="center"/>
          </w:tcPr>
          <w:p w14:paraId="52F6440A"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98 (24.08%)</w:t>
            </w:r>
          </w:p>
        </w:tc>
        <w:tc>
          <w:tcPr>
            <w:tcW w:w="1266" w:type="dxa"/>
            <w:vAlign w:val="center"/>
          </w:tcPr>
          <w:p w14:paraId="4C9D254C"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77 (18.92%)</w:t>
            </w:r>
          </w:p>
        </w:tc>
        <w:tc>
          <w:tcPr>
            <w:tcW w:w="1290" w:type="dxa"/>
            <w:vAlign w:val="center"/>
          </w:tcPr>
          <w:p w14:paraId="43ACC381"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107 (26.29%)</w:t>
            </w:r>
          </w:p>
        </w:tc>
        <w:tc>
          <w:tcPr>
            <w:tcW w:w="1336" w:type="dxa"/>
            <w:vAlign w:val="center"/>
          </w:tcPr>
          <w:p w14:paraId="55D4FF1C"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73 (17.92%)</w:t>
            </w:r>
          </w:p>
        </w:tc>
      </w:tr>
      <w:tr w:rsidR="001C7DA7" w:rsidRPr="004C3790" w14:paraId="10CA4C5E" w14:textId="77777777" w:rsidTr="001C7DA7">
        <w:trPr>
          <w:trHeight w:val="646"/>
        </w:trPr>
        <w:tc>
          <w:tcPr>
            <w:tcW w:w="639" w:type="dxa"/>
            <w:hideMark/>
          </w:tcPr>
          <w:p w14:paraId="5C6384D2"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w:t>
            </w:r>
          </w:p>
        </w:tc>
        <w:tc>
          <w:tcPr>
            <w:tcW w:w="4256" w:type="dxa"/>
            <w:hideMark/>
          </w:tcPr>
          <w:p w14:paraId="70EB6645"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can access immunization services even during weekends or off-peak hours.</w:t>
            </w:r>
          </w:p>
        </w:tc>
        <w:tc>
          <w:tcPr>
            <w:tcW w:w="1390" w:type="dxa"/>
            <w:vAlign w:val="center"/>
          </w:tcPr>
          <w:p w14:paraId="11BF5A2F"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75 (18.43%)</w:t>
            </w:r>
          </w:p>
        </w:tc>
        <w:tc>
          <w:tcPr>
            <w:tcW w:w="1266" w:type="dxa"/>
            <w:vAlign w:val="center"/>
          </w:tcPr>
          <w:p w14:paraId="74F36CF3"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70 (17.20%)</w:t>
            </w:r>
          </w:p>
        </w:tc>
        <w:tc>
          <w:tcPr>
            <w:tcW w:w="1290" w:type="dxa"/>
            <w:vAlign w:val="center"/>
          </w:tcPr>
          <w:p w14:paraId="39A7A91A"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133 (32.67%)</w:t>
            </w:r>
          </w:p>
        </w:tc>
        <w:tc>
          <w:tcPr>
            <w:tcW w:w="1336" w:type="dxa"/>
            <w:vAlign w:val="center"/>
          </w:tcPr>
          <w:p w14:paraId="700F29FA"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95 (23.34%)</w:t>
            </w:r>
          </w:p>
        </w:tc>
      </w:tr>
      <w:tr w:rsidR="001C7DA7" w:rsidRPr="004C3790" w14:paraId="544FC726" w14:textId="77777777" w:rsidTr="001C7DA7">
        <w:trPr>
          <w:trHeight w:val="874"/>
        </w:trPr>
        <w:tc>
          <w:tcPr>
            <w:tcW w:w="639" w:type="dxa"/>
            <w:hideMark/>
          </w:tcPr>
          <w:p w14:paraId="3BE05F08"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w:t>
            </w:r>
          </w:p>
        </w:tc>
        <w:tc>
          <w:tcPr>
            <w:tcW w:w="4256" w:type="dxa"/>
            <w:hideMark/>
          </w:tcPr>
          <w:p w14:paraId="29AA882E"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Immunization services in Ika South Local Government Area, Delta State are available at locations that are easily accessible by public transport.</w:t>
            </w:r>
          </w:p>
        </w:tc>
        <w:tc>
          <w:tcPr>
            <w:tcW w:w="1390" w:type="dxa"/>
            <w:vAlign w:val="center"/>
          </w:tcPr>
          <w:p w14:paraId="0E371120"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85 (20.91%)</w:t>
            </w:r>
          </w:p>
        </w:tc>
        <w:tc>
          <w:tcPr>
            <w:tcW w:w="1266" w:type="dxa"/>
            <w:vAlign w:val="center"/>
          </w:tcPr>
          <w:p w14:paraId="7198A5E1"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79 (19.41%)</w:t>
            </w:r>
          </w:p>
        </w:tc>
        <w:tc>
          <w:tcPr>
            <w:tcW w:w="1290" w:type="dxa"/>
            <w:vAlign w:val="center"/>
          </w:tcPr>
          <w:p w14:paraId="08209DDB"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110 (27.04%)</w:t>
            </w:r>
          </w:p>
        </w:tc>
        <w:tc>
          <w:tcPr>
            <w:tcW w:w="1336" w:type="dxa"/>
            <w:vAlign w:val="center"/>
          </w:tcPr>
          <w:p w14:paraId="66548A70"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133 (32.67%)</w:t>
            </w:r>
          </w:p>
        </w:tc>
      </w:tr>
      <w:tr w:rsidR="001C7DA7" w:rsidRPr="004C3790" w14:paraId="07C879AA" w14:textId="77777777" w:rsidTr="001C7DA7">
        <w:trPr>
          <w:trHeight w:val="655"/>
        </w:trPr>
        <w:tc>
          <w:tcPr>
            <w:tcW w:w="639" w:type="dxa"/>
            <w:hideMark/>
          </w:tcPr>
          <w:p w14:paraId="1397DC31"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w:t>
            </w:r>
          </w:p>
        </w:tc>
        <w:tc>
          <w:tcPr>
            <w:tcW w:w="4256" w:type="dxa"/>
            <w:hideMark/>
          </w:tcPr>
          <w:p w14:paraId="43E7000B"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There is no shortage of vaccines in local healthcare centers when I take my child for immunization.</w:t>
            </w:r>
          </w:p>
        </w:tc>
        <w:tc>
          <w:tcPr>
            <w:tcW w:w="1390" w:type="dxa"/>
            <w:vAlign w:val="center"/>
          </w:tcPr>
          <w:p w14:paraId="0FF98156"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79 (19.41%)</w:t>
            </w:r>
          </w:p>
        </w:tc>
        <w:tc>
          <w:tcPr>
            <w:tcW w:w="1266" w:type="dxa"/>
            <w:vAlign w:val="center"/>
          </w:tcPr>
          <w:p w14:paraId="71E383D3"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82 (20.15%)</w:t>
            </w:r>
          </w:p>
        </w:tc>
        <w:tc>
          <w:tcPr>
            <w:tcW w:w="1290" w:type="dxa"/>
            <w:vAlign w:val="center"/>
          </w:tcPr>
          <w:p w14:paraId="40452FB6"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122 (29.98%)</w:t>
            </w:r>
          </w:p>
        </w:tc>
        <w:tc>
          <w:tcPr>
            <w:tcW w:w="1336" w:type="dxa"/>
            <w:vAlign w:val="center"/>
          </w:tcPr>
          <w:p w14:paraId="39442EE9"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124 (30.47%)</w:t>
            </w:r>
          </w:p>
        </w:tc>
      </w:tr>
      <w:tr w:rsidR="001C7DA7" w:rsidRPr="004C3790" w14:paraId="3B820F93" w14:textId="77777777" w:rsidTr="001C7DA7">
        <w:trPr>
          <w:trHeight w:val="874"/>
        </w:trPr>
        <w:tc>
          <w:tcPr>
            <w:tcW w:w="639" w:type="dxa"/>
            <w:hideMark/>
          </w:tcPr>
          <w:p w14:paraId="30F01A24"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w:t>
            </w:r>
          </w:p>
        </w:tc>
        <w:tc>
          <w:tcPr>
            <w:tcW w:w="4256" w:type="dxa"/>
            <w:hideMark/>
          </w:tcPr>
          <w:p w14:paraId="0627B771"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am aware of the vaccination schedules and immunization campaigns in Ika South Local Government Area, Delta State.</w:t>
            </w:r>
          </w:p>
        </w:tc>
        <w:tc>
          <w:tcPr>
            <w:tcW w:w="1390" w:type="dxa"/>
            <w:vAlign w:val="center"/>
          </w:tcPr>
          <w:p w14:paraId="3CB50DCB"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98 (24.08%)</w:t>
            </w:r>
          </w:p>
        </w:tc>
        <w:tc>
          <w:tcPr>
            <w:tcW w:w="1266" w:type="dxa"/>
            <w:vAlign w:val="center"/>
          </w:tcPr>
          <w:p w14:paraId="08DEF0E0"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63 (15.48%)</w:t>
            </w:r>
          </w:p>
        </w:tc>
        <w:tc>
          <w:tcPr>
            <w:tcW w:w="1290" w:type="dxa"/>
            <w:vAlign w:val="center"/>
          </w:tcPr>
          <w:p w14:paraId="6BCB89D4"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113 (27.76%)</w:t>
            </w:r>
          </w:p>
        </w:tc>
        <w:tc>
          <w:tcPr>
            <w:tcW w:w="1336" w:type="dxa"/>
            <w:vAlign w:val="center"/>
          </w:tcPr>
          <w:p w14:paraId="7A737CA7"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82 (20.15%)</w:t>
            </w:r>
          </w:p>
        </w:tc>
      </w:tr>
      <w:tr w:rsidR="001C7DA7" w:rsidRPr="004C3790" w14:paraId="1A51923E" w14:textId="77777777" w:rsidTr="001C7DA7">
        <w:trPr>
          <w:trHeight w:val="874"/>
        </w:trPr>
        <w:tc>
          <w:tcPr>
            <w:tcW w:w="639" w:type="dxa"/>
            <w:hideMark/>
          </w:tcPr>
          <w:p w14:paraId="079C4C74"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w:t>
            </w:r>
          </w:p>
        </w:tc>
        <w:tc>
          <w:tcPr>
            <w:tcW w:w="4256" w:type="dxa"/>
            <w:hideMark/>
          </w:tcPr>
          <w:p w14:paraId="122DADA6"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The availability of immunization services is consistent throughout the year in Ika South Local Government Area, Delta State.</w:t>
            </w:r>
          </w:p>
        </w:tc>
        <w:tc>
          <w:tcPr>
            <w:tcW w:w="1390" w:type="dxa"/>
            <w:vAlign w:val="center"/>
          </w:tcPr>
          <w:p w14:paraId="7D6B72EC"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90 (22.11%)</w:t>
            </w:r>
          </w:p>
        </w:tc>
        <w:tc>
          <w:tcPr>
            <w:tcW w:w="1266" w:type="dxa"/>
            <w:vAlign w:val="center"/>
          </w:tcPr>
          <w:p w14:paraId="1E24BBBA"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79 (19.41%)</w:t>
            </w:r>
          </w:p>
        </w:tc>
        <w:tc>
          <w:tcPr>
            <w:tcW w:w="1290" w:type="dxa"/>
            <w:vAlign w:val="center"/>
          </w:tcPr>
          <w:p w14:paraId="024288F2"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117 (28.74%)</w:t>
            </w:r>
          </w:p>
        </w:tc>
        <w:tc>
          <w:tcPr>
            <w:tcW w:w="1336" w:type="dxa"/>
            <w:vAlign w:val="center"/>
          </w:tcPr>
          <w:p w14:paraId="4D8C4C22"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121 (29.73%)</w:t>
            </w:r>
          </w:p>
        </w:tc>
      </w:tr>
      <w:tr w:rsidR="001C7DA7" w:rsidRPr="004C3790" w14:paraId="0E32DFD8" w14:textId="77777777" w:rsidTr="001C7DA7">
        <w:trPr>
          <w:trHeight w:val="864"/>
        </w:trPr>
        <w:tc>
          <w:tcPr>
            <w:tcW w:w="639" w:type="dxa"/>
            <w:hideMark/>
          </w:tcPr>
          <w:p w14:paraId="46640F7E"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13</w:t>
            </w:r>
          </w:p>
        </w:tc>
        <w:tc>
          <w:tcPr>
            <w:tcW w:w="4256" w:type="dxa"/>
            <w:hideMark/>
          </w:tcPr>
          <w:p w14:paraId="07B32CBE"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Healthcare workers in Ika South Local Government Area, Delta State are readily available to provide immunizations.</w:t>
            </w:r>
          </w:p>
        </w:tc>
        <w:tc>
          <w:tcPr>
            <w:tcW w:w="1390" w:type="dxa"/>
            <w:vAlign w:val="center"/>
          </w:tcPr>
          <w:p w14:paraId="7FC831F0"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78 (19.18%)</w:t>
            </w:r>
          </w:p>
        </w:tc>
        <w:tc>
          <w:tcPr>
            <w:tcW w:w="1266" w:type="dxa"/>
            <w:vAlign w:val="center"/>
          </w:tcPr>
          <w:p w14:paraId="3E30B7E1"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71 (17.44%)</w:t>
            </w:r>
          </w:p>
        </w:tc>
        <w:tc>
          <w:tcPr>
            <w:tcW w:w="1290" w:type="dxa"/>
            <w:vAlign w:val="center"/>
          </w:tcPr>
          <w:p w14:paraId="6E0AF798"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118 (28.99%)</w:t>
            </w:r>
          </w:p>
        </w:tc>
        <w:tc>
          <w:tcPr>
            <w:tcW w:w="1336" w:type="dxa"/>
            <w:vAlign w:val="center"/>
          </w:tcPr>
          <w:p w14:paraId="35C97FA6"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122 (29.98%)</w:t>
            </w:r>
          </w:p>
        </w:tc>
      </w:tr>
      <w:tr w:rsidR="001C7DA7" w:rsidRPr="004C3790" w14:paraId="440F0DAC" w14:textId="77777777" w:rsidTr="001C7DA7">
        <w:trPr>
          <w:trHeight w:val="655"/>
        </w:trPr>
        <w:tc>
          <w:tcPr>
            <w:tcW w:w="639" w:type="dxa"/>
            <w:hideMark/>
          </w:tcPr>
          <w:p w14:paraId="50C22175"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14</w:t>
            </w:r>
          </w:p>
        </w:tc>
        <w:tc>
          <w:tcPr>
            <w:tcW w:w="4256" w:type="dxa"/>
            <w:hideMark/>
          </w:tcPr>
          <w:p w14:paraId="428A63FD"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 have not experienced difficulties in getting my child vaccinated due to limited healthcare facility hours.</w:t>
            </w:r>
          </w:p>
        </w:tc>
        <w:tc>
          <w:tcPr>
            <w:tcW w:w="1390" w:type="dxa"/>
            <w:vAlign w:val="center"/>
          </w:tcPr>
          <w:p w14:paraId="522ABC9F"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94 (23.09%)</w:t>
            </w:r>
          </w:p>
        </w:tc>
        <w:tc>
          <w:tcPr>
            <w:tcW w:w="1266" w:type="dxa"/>
            <w:vAlign w:val="center"/>
          </w:tcPr>
          <w:p w14:paraId="4C930630"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69 (16.97%)</w:t>
            </w:r>
          </w:p>
        </w:tc>
        <w:tc>
          <w:tcPr>
            <w:tcW w:w="1290" w:type="dxa"/>
            <w:vAlign w:val="center"/>
          </w:tcPr>
          <w:p w14:paraId="3F6144E4"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121 (29.73%)</w:t>
            </w:r>
          </w:p>
        </w:tc>
        <w:tc>
          <w:tcPr>
            <w:tcW w:w="1336" w:type="dxa"/>
            <w:vAlign w:val="center"/>
          </w:tcPr>
          <w:p w14:paraId="119CB66C"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123 (30.23%)</w:t>
            </w:r>
          </w:p>
        </w:tc>
      </w:tr>
      <w:tr w:rsidR="001C7DA7" w:rsidRPr="004C3790" w14:paraId="4E47923D" w14:textId="77777777" w:rsidTr="001C7DA7">
        <w:trPr>
          <w:trHeight w:val="874"/>
        </w:trPr>
        <w:tc>
          <w:tcPr>
            <w:tcW w:w="639" w:type="dxa"/>
            <w:hideMark/>
          </w:tcPr>
          <w:p w14:paraId="108C616B"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15</w:t>
            </w:r>
          </w:p>
        </w:tc>
        <w:tc>
          <w:tcPr>
            <w:tcW w:w="4256" w:type="dxa"/>
            <w:hideMark/>
          </w:tcPr>
          <w:p w14:paraId="748208DB"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Immunization services are easily accessible to children from all communities within Ika South Local Government Area, Delta State.</w:t>
            </w:r>
          </w:p>
        </w:tc>
        <w:tc>
          <w:tcPr>
            <w:tcW w:w="1390" w:type="dxa"/>
            <w:vAlign w:val="center"/>
          </w:tcPr>
          <w:p w14:paraId="3B9AA23C"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101 (24.85%)</w:t>
            </w:r>
          </w:p>
        </w:tc>
        <w:tc>
          <w:tcPr>
            <w:tcW w:w="1266" w:type="dxa"/>
            <w:vAlign w:val="center"/>
          </w:tcPr>
          <w:p w14:paraId="364EA832"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84 (20.64%)</w:t>
            </w:r>
          </w:p>
        </w:tc>
        <w:tc>
          <w:tcPr>
            <w:tcW w:w="1290" w:type="dxa"/>
            <w:vAlign w:val="center"/>
          </w:tcPr>
          <w:p w14:paraId="02975C30"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98 (24.08%)</w:t>
            </w:r>
          </w:p>
        </w:tc>
        <w:tc>
          <w:tcPr>
            <w:tcW w:w="1336" w:type="dxa"/>
            <w:vAlign w:val="center"/>
          </w:tcPr>
          <w:p w14:paraId="03B83EA2" w14:textId="77777777" w:rsidR="001C7DA7" w:rsidRPr="004C3790" w:rsidRDefault="001C7DA7" w:rsidP="000B50BB">
            <w:pPr>
              <w:jc w:val="both"/>
              <w:rPr>
                <w:rFonts w:ascii="Times New Roman" w:eastAsia="Times New Roman" w:hAnsi="Times New Roman" w:cs="Times New Roman"/>
                <w:sz w:val="24"/>
                <w:szCs w:val="24"/>
              </w:rPr>
            </w:pPr>
            <w:r w:rsidRPr="004C3790">
              <w:rPr>
                <w:rFonts w:ascii="Times New Roman" w:eastAsia="Times New Roman" w:hAnsi="Times New Roman" w:cs="Times New Roman"/>
                <w:sz w:val="24"/>
                <w:szCs w:val="24"/>
              </w:rPr>
              <w:t>124 (30.47%)</w:t>
            </w:r>
          </w:p>
        </w:tc>
      </w:tr>
    </w:tbl>
    <w:p w14:paraId="2AC20046" w14:textId="77777777" w:rsidR="00A44BA0" w:rsidRPr="004C3790" w:rsidRDefault="004839F6" w:rsidP="000B50BB">
      <w:pPr>
        <w:spacing w:before="100" w:beforeAutospacing="1" w:after="100" w:afterAutospacing="1" w:line="240" w:lineRule="auto"/>
        <w:jc w:val="both"/>
        <w:rPr>
          <w:rFonts w:ascii="Times New Roman" w:eastAsia="Times New Roman" w:hAnsi="Times New Roman" w:cs="Times New Roman"/>
          <w:sz w:val="24"/>
          <w:szCs w:val="24"/>
        </w:rPr>
      </w:pPr>
      <w:r w:rsidRPr="004C3790">
        <w:rPr>
          <w:rFonts w:ascii="Times New Roman" w:hAnsi="Times New Roman" w:cs="Times New Roman"/>
          <w:highlight w:val="yellow"/>
        </w:rPr>
        <w:t>The findings on the accessibility of immunisation services among children under five in Ika South Local Government Area, Delta State, present a mixed picture of progress and persistent challenges. Less than half of the respondents agreed or strongly agreed that healthcare facilities in the area provided immunisation services to all children under five (46.68%), while 44.22% disagreed or strongly disagreed. This suggests that immunisation services may not be perceived as equally available to all children within the local government area.</w:t>
      </w:r>
    </w:p>
    <w:p w14:paraId="6F914AFA" w14:textId="77777777" w:rsidR="00A44BA0" w:rsidRPr="004C3790" w:rsidRDefault="00A44BA0" w:rsidP="000B50BB">
      <w:pPr>
        <w:spacing w:before="100" w:beforeAutospacing="1" w:after="100" w:afterAutospacing="1" w:line="240" w:lineRule="auto"/>
        <w:jc w:val="both"/>
        <w:rPr>
          <w:rFonts w:ascii="Times New Roman" w:eastAsia="Times New Roman" w:hAnsi="Times New Roman" w:cs="Times New Roman"/>
          <w:sz w:val="24"/>
          <w:szCs w:val="24"/>
        </w:rPr>
      </w:pPr>
      <w:r w:rsidRPr="004C3790">
        <w:rPr>
          <w:rFonts w:ascii="Times New Roman" w:hAnsi="Times New Roman" w:cs="Times New Roman"/>
          <w:highlight w:val="yellow"/>
        </w:rPr>
        <w:t>With regard to access, 49.63% of respondents agreed or strongly agreed that the distance to the nearest healthcare facility providing immunisation services was manageable, while 32.18% disagreed or strongly disagreed. Similarly, 51.85% agreed or strongly agreed that they could easily access immunisation services for their children, whereas 39.07% disagreed or strongly disagreed. In relation to service availability within a reasonable timeframe, 56.26% agreed or strongly agreed, while 43.00% disagreed or strongly disagreed. These findings suggest that, although many respondents perceived immunisation services as accessible, delays, waiting times and distance remained concerns for some families. Appointment timing also appeared to be challenging, as 40.05% agreed or strongly agreed that appointments were convenient for their families, while 40.54% disagreed or strongly disagreed.</w:t>
      </w:r>
    </w:p>
    <w:p w14:paraId="33F658F3" w14:textId="77777777" w:rsidR="00A44BA0" w:rsidRPr="004C3790" w:rsidRDefault="00A44BA0" w:rsidP="000B50BB">
      <w:pPr>
        <w:spacing w:before="100" w:beforeAutospacing="1" w:after="100" w:afterAutospacing="1" w:line="240" w:lineRule="auto"/>
        <w:jc w:val="both"/>
        <w:rPr>
          <w:rFonts w:ascii="Times New Roman" w:eastAsia="Times New Roman" w:hAnsi="Times New Roman" w:cs="Times New Roman"/>
          <w:sz w:val="24"/>
          <w:szCs w:val="24"/>
        </w:rPr>
      </w:pPr>
      <w:r w:rsidRPr="004C3790">
        <w:rPr>
          <w:rFonts w:ascii="Times New Roman" w:hAnsi="Times New Roman" w:cs="Times New Roman"/>
          <w:highlight w:val="yellow"/>
        </w:rPr>
        <w:lastRenderedPageBreak/>
        <w:t>Another important factor was access to vaccines and service availability. Regarding vaccine stock, 60.45% of respondents agreed or strongly agreed that there was no shortage of vaccines in local healthcare centres when they took their children for immunisation, while 39.56% disagreed or strongly disagreed. Awareness of vaccination schedules and immunisation campaigns was reported by 47.91% of respondents who agreed or strongly agreed, while 39.56% disagreed or strongly disagreed. In addition, 58.47% agreed or strongly agreed that immunisation services were available consistently throughout the year, and 58.97% agreed or strongly agreed that healthcare workers were readily available to provide immunisation. However, concerns remained regarding facility hours, as 40.06% disagreed or strongly disagreed that they had not experienced difficulties due to limited healthcare facility hours.</w:t>
      </w:r>
    </w:p>
    <w:p w14:paraId="0CBF2D22" w14:textId="017C28DE" w:rsidR="003B6B5A" w:rsidRPr="004C3790" w:rsidRDefault="00463C31" w:rsidP="000B50BB">
      <w:pPr>
        <w:spacing w:before="100" w:beforeAutospacing="1" w:after="100" w:afterAutospacing="1" w:line="240" w:lineRule="auto"/>
        <w:jc w:val="both"/>
        <w:rPr>
          <w:rFonts w:ascii="Times New Roman" w:hAnsi="Times New Roman" w:cs="Times New Roman"/>
          <w:b/>
          <w:sz w:val="24"/>
          <w:szCs w:val="24"/>
        </w:rPr>
      </w:pPr>
      <w:r w:rsidRPr="004C3790">
        <w:rPr>
          <w:rFonts w:ascii="Times New Roman" w:hAnsi="Times New Roman" w:cs="Times New Roman"/>
          <w:b/>
          <w:sz w:val="24"/>
          <w:szCs w:val="24"/>
        </w:rPr>
        <w:t xml:space="preserve">Discussion </w:t>
      </w:r>
    </w:p>
    <w:p w14:paraId="1D333670" w14:textId="77777777" w:rsidR="00AD15C3" w:rsidRPr="00431DD7" w:rsidRDefault="00AD15C3" w:rsidP="000B50BB">
      <w:pPr>
        <w:pStyle w:val="NormalWeb"/>
        <w:jc w:val="both"/>
        <w:rPr>
          <w:b/>
          <w:bCs/>
        </w:rPr>
      </w:pPr>
      <w:r w:rsidRPr="00431DD7">
        <w:rPr>
          <w:b/>
          <w:bCs/>
          <w:highlight w:val="yellow"/>
        </w:rPr>
        <w:t>Level of immunisation uptake among children under five in Ika South Local Government Area, Delta State</w:t>
      </w:r>
    </w:p>
    <w:p w14:paraId="4CBE37C5" w14:textId="77777777" w:rsidR="00B2111F" w:rsidRPr="00B2111F" w:rsidRDefault="00B2111F" w:rsidP="000B50BB">
      <w:pPr>
        <w:spacing w:before="100" w:beforeAutospacing="1" w:after="100" w:afterAutospacing="1" w:line="240" w:lineRule="auto"/>
        <w:jc w:val="both"/>
        <w:rPr>
          <w:rFonts w:ascii="Times New Roman" w:hAnsi="Times New Roman" w:cs="Times New Roman"/>
        </w:rPr>
      </w:pPr>
      <w:r w:rsidRPr="00B2111F">
        <w:rPr>
          <w:rFonts w:ascii="Times New Roman" w:hAnsi="Times New Roman" w:cs="Times New Roman"/>
        </w:rPr>
        <w:t>The study on the level of immunisation uptake among children under five in Ika South Local Government Area, Delta State, found that a significant proportion of the population was engaged in the immunisation process, although several challenges continued to hinder full vaccination coverage. Based on the statistics gathered, a considerable proportion of respondents confirmed that their children had received the full package of scheduled vaccines as recommended. This suggests a level of demand for immunisation services, as some caregivers administered the required doses according to the prescribed vaccination schedule. However, this was not the case for all children in Ika South. This finding is consistent with Abdi et al. (2014), who reported regional under-coverage in childhood immunisation in Ethiopia. From epidemiological and health-system perspectives, social determinants of health and weak health-service environments may contribute to irregular vaccination uptake. Similarly, Abdulraheem et al. (2011) reported that some rural Nigerian children remained incompletely vaccinated, largely because service-related issues, missed opportunities and costs impeded completion of the vaccination schedule. Regarding the timeliness of the first vaccination dose, only some respondents indicated that their children received the first dose promptly. This reflects findings by Adedokun et al. (2017), who observed that childhood immunisation in Nigeria is affected by factors such as the availability of nearby health facilities, appointment scheduling and health-system constraints, which may result in delayed or missed doses.</w:t>
      </w:r>
    </w:p>
    <w:p w14:paraId="386E6439" w14:textId="77777777" w:rsidR="00B2111F" w:rsidRPr="00B2111F" w:rsidRDefault="00B2111F" w:rsidP="000B50BB">
      <w:pPr>
        <w:spacing w:before="100" w:beforeAutospacing="1" w:after="100" w:afterAutospacing="1" w:line="240" w:lineRule="auto"/>
        <w:jc w:val="both"/>
        <w:rPr>
          <w:rFonts w:ascii="Times New Roman" w:hAnsi="Times New Roman" w:cs="Times New Roman"/>
        </w:rPr>
      </w:pPr>
      <w:r w:rsidRPr="00B2111F">
        <w:rPr>
          <w:rFonts w:ascii="Times New Roman" w:hAnsi="Times New Roman" w:cs="Times New Roman"/>
        </w:rPr>
        <w:t>The findings also revealed that a considerable number of respondents reported taking their children to healthcare facilities for immunisation at the recommended times, whereas a smaller proportion did not. This indicates that access to immunisation services remains an important challenge. This result is consistent with Adeloye et al. (2017), whose meta-analysis on childhood immunisation in Nigeria showed that geographical access and logistical constraints were prominent barriers to adherence to immunisation schedules. In terms of vaccine availability, many respondents agreed or strongly agreed that they could access vaccines whenever needed, suggesting that vaccine supply management in Ika South was functional for many caregivers. However, a considerable proportion disagreed or strongly disagreed, which is consistent with Gunnala et al. (2016), who reported that persistent vaccine unavailability and service-delivery challenges contributed to poor routine immunisation coverage in northern Nigeria.</w:t>
      </w:r>
    </w:p>
    <w:p w14:paraId="7E07A882" w14:textId="77777777" w:rsidR="00B2111F" w:rsidRPr="00B2111F" w:rsidRDefault="00B2111F" w:rsidP="000B50BB">
      <w:pPr>
        <w:spacing w:before="100" w:beforeAutospacing="1" w:after="100" w:afterAutospacing="1" w:line="240" w:lineRule="auto"/>
        <w:jc w:val="both"/>
        <w:rPr>
          <w:rFonts w:ascii="Times New Roman" w:hAnsi="Times New Roman" w:cs="Times New Roman"/>
        </w:rPr>
      </w:pPr>
      <w:r w:rsidRPr="00B2111F">
        <w:rPr>
          <w:rFonts w:ascii="Times New Roman" w:hAnsi="Times New Roman" w:cs="Times New Roman"/>
        </w:rPr>
        <w:t xml:space="preserve">Additionally, in relation to the costs associated with immunisation, many caregivers believed that they could not always afford to take their children for immunisation, even where immunisation programmes were available. This finding aligns with Akwataghibe et al. (2019), who established that cost and service-access factors were important barriers to immunisation utilisation in Nigeria. Ophori et al. (2014) also observed that transportation costs and service-delivery barriers hindered immunisation in both urban and rural settings. To some extent, the findings also suggest that income level and household priorities influenced caregivers' decisions about child health. Although many respondents appeared willing to </w:t>
      </w:r>
      <w:r w:rsidRPr="00B2111F">
        <w:rPr>
          <w:rFonts w:ascii="Times New Roman" w:hAnsi="Times New Roman" w:cs="Times New Roman"/>
        </w:rPr>
        <w:lastRenderedPageBreak/>
        <w:t>prioritise their children's health over other household needs, a sizeable proportion did not fully share this view, indicating the continued influence of economic constraints. This is in accordance with Berhane (2008), who emphasised that child-health priorities are shaped by household context and that low-income parents may face difficult choices between healthcare and other survival needs. In addition, community norms and social attitudes towards vaccination appeared to influence caregivers' decisions to vaccinate their children. This is consistent with Chido-Amajuoyi et al. (2018), who showed that individual and community-related factors, including social attitudes and community influence, were associated with vaccination behaviour among caregivers in Nigeria.</w:t>
      </w:r>
    </w:p>
    <w:p w14:paraId="06D88036" w14:textId="77777777" w:rsidR="00B2111F" w:rsidRPr="00B2111F" w:rsidRDefault="00B2111F" w:rsidP="000B50BB">
      <w:pPr>
        <w:spacing w:before="100" w:beforeAutospacing="1" w:after="100" w:afterAutospacing="1" w:line="240" w:lineRule="auto"/>
        <w:jc w:val="both"/>
        <w:rPr>
          <w:rFonts w:ascii="Times New Roman" w:hAnsi="Times New Roman" w:cs="Times New Roman"/>
          <w:b/>
          <w:bCs/>
        </w:rPr>
      </w:pPr>
      <w:r w:rsidRPr="00B2111F">
        <w:rPr>
          <w:rFonts w:ascii="Times New Roman" w:hAnsi="Times New Roman" w:cs="Times New Roman"/>
          <w:b/>
          <w:bCs/>
        </w:rPr>
        <w:t>Level of accessibility of immunisation services among children under five in Ika South Local Government Area, Delta State</w:t>
      </w:r>
    </w:p>
    <w:p w14:paraId="3ABB4A32" w14:textId="77777777" w:rsidR="00B2111F" w:rsidRPr="00B2111F" w:rsidRDefault="00B2111F" w:rsidP="000B50BB">
      <w:pPr>
        <w:spacing w:before="100" w:beforeAutospacing="1" w:after="100" w:afterAutospacing="1" w:line="240" w:lineRule="auto"/>
        <w:jc w:val="both"/>
        <w:rPr>
          <w:rFonts w:ascii="Times New Roman" w:hAnsi="Times New Roman" w:cs="Times New Roman"/>
        </w:rPr>
      </w:pPr>
      <w:r w:rsidRPr="00B2111F">
        <w:rPr>
          <w:rFonts w:ascii="Times New Roman" w:hAnsi="Times New Roman" w:cs="Times New Roman"/>
        </w:rPr>
        <w:t>The study on the level of accessibility of immunisation services among children under five in Ika South Local Government Area, Delta State, found that while many respondents reported ease of access to immunisation services, challenges related to distance, availability of healthcare providers and service timing still posed important barriers to full access. In the survey, most parents reported that they could access immunisation services for their children, suggesting that healthcare facilities provided some level of adequate service coverage. This finding is consistent with Akwataghibe et al. (2019), who found that access to services and community-level factors were important determinants of immunisation utilisation in Nigeria. Nevertheless, distance and transportation challenges were still reported by a substantial proportion of respondents, which is consistent with Gunnala et al. (2016), who identified service-access barriers and health-system constraints as important challenges affecting the use of routine immunisation services.</w:t>
      </w:r>
    </w:p>
    <w:p w14:paraId="3E1A2AF1" w14:textId="77777777" w:rsidR="00B2111F" w:rsidRPr="00B2111F" w:rsidRDefault="00B2111F" w:rsidP="000B50BB">
      <w:pPr>
        <w:spacing w:before="100" w:beforeAutospacing="1" w:after="100" w:afterAutospacing="1" w:line="240" w:lineRule="auto"/>
        <w:jc w:val="both"/>
        <w:rPr>
          <w:rFonts w:ascii="Times New Roman" w:hAnsi="Times New Roman" w:cs="Times New Roman"/>
        </w:rPr>
      </w:pPr>
      <w:r w:rsidRPr="00B2111F">
        <w:rPr>
          <w:rFonts w:ascii="Times New Roman" w:hAnsi="Times New Roman" w:cs="Times New Roman"/>
        </w:rPr>
        <w:t>Regarding the availability of medical services, most respondents considered the services acceptable, although a large proportion disagreed with this claim. In particular, delays and long waiting periods were notable concerns. A similar point was reported by Datar et al. (2007), who showed that health infrastructure and service availability may influence immunisation coverage, although infrastructure alone may not be sufficient to close gaps in coverage. Despite the presence of service points, timely service provision remained a concern. The study also showed that many parents were not fully satisfied with the ease of scheduling appointments for child immunisation. Some respondents appreciated the available time slots, whereas others found it difficult to fit vaccination times around family and work responsibilities. This point is similar to the finding by Fatiregun and Okoro (2012), who identified maternal and service-related determinants of complete child immunisation in southern Nigeria. The finding suggests that strict timetables and limited integration of services may discourage timely attendance for immunisation.</w:t>
      </w:r>
    </w:p>
    <w:p w14:paraId="4DE92CDD" w14:textId="77777777" w:rsidR="00B2111F" w:rsidRDefault="00B2111F" w:rsidP="000B50BB">
      <w:pPr>
        <w:spacing w:before="100" w:beforeAutospacing="1" w:after="100" w:afterAutospacing="1" w:line="240" w:lineRule="auto"/>
        <w:jc w:val="both"/>
        <w:rPr>
          <w:rFonts w:ascii="Times New Roman" w:hAnsi="Times New Roman" w:cs="Times New Roman"/>
        </w:rPr>
      </w:pPr>
      <w:r w:rsidRPr="00B2111F">
        <w:rPr>
          <w:rFonts w:ascii="Times New Roman" w:hAnsi="Times New Roman" w:cs="Times New Roman"/>
        </w:rPr>
        <w:t xml:space="preserve">One advantage identified in the study was the availability of vaccination services during weekends and off-peak hours, which may reduce scheduling barriers for working mothers and other caregivers. However, some respondents still could not access services within the stipulated facility hours, a concern that is consistent with Ophori et al. (2014), who identified service-delivery limitations as barriers to immunisation access. </w:t>
      </w:r>
      <w:proofErr w:type="gramStart"/>
      <w:r w:rsidRPr="00B2111F">
        <w:rPr>
          <w:rFonts w:ascii="Times New Roman" w:hAnsi="Times New Roman" w:cs="Times New Roman"/>
        </w:rPr>
        <w:t>Limited service</w:t>
      </w:r>
      <w:proofErr w:type="gramEnd"/>
      <w:r w:rsidRPr="00B2111F">
        <w:rPr>
          <w:rFonts w:ascii="Times New Roman" w:hAnsi="Times New Roman" w:cs="Times New Roman"/>
        </w:rPr>
        <w:t xml:space="preserve"> hours may therefore restrict healthcare delivery for many parents. The study also evaluated vaccine availability and the readiness of healthcare providers within the community. More than half of the respondents stated that vaccines were accessible when needed; however, a significant number expressed concerns about periods of stock-outs and the lack of adequately trained healthcare personnel. This aligns with Adedokun et al. (2017), who acknowledged that shortages of vaccines and health workers are obstacles to effective immunisation delivery. Finally, the study underscored the role of social support for immunisation, including support from family members and community networks. Respondents who received support from community members, especially encouragement to complete their children's immunisation, appeared more likely to support completion of vaccination schedules. This indicates the importance of community participation in strengthening health </w:t>
      </w:r>
      <w:r w:rsidRPr="00B2111F">
        <w:rPr>
          <w:rFonts w:ascii="Times New Roman" w:hAnsi="Times New Roman" w:cs="Times New Roman"/>
        </w:rPr>
        <w:lastRenderedPageBreak/>
        <w:t>systems. Akwataghibe et al. (2019) similarly showed that community-based support systems can help address barriers to immunisation in underserved communities.</w:t>
      </w:r>
    </w:p>
    <w:p w14:paraId="38CE48AB" w14:textId="2BB4B0A3" w:rsidR="00F940FA" w:rsidRPr="00C16B9D" w:rsidRDefault="00F940FA" w:rsidP="000B50BB">
      <w:pPr>
        <w:spacing w:before="100" w:beforeAutospacing="1" w:after="100" w:afterAutospacing="1" w:line="240" w:lineRule="auto"/>
        <w:jc w:val="both"/>
        <w:rPr>
          <w:rFonts w:ascii="Times New Roman" w:eastAsia="Times New Roman" w:hAnsi="Times New Roman" w:cs="Times New Roman"/>
          <w:b/>
          <w:bCs/>
          <w:sz w:val="24"/>
          <w:szCs w:val="24"/>
        </w:rPr>
      </w:pPr>
      <w:r w:rsidRPr="00C16B9D">
        <w:rPr>
          <w:rFonts w:ascii="Times New Roman" w:eastAsia="Times New Roman" w:hAnsi="Times New Roman" w:cs="Times New Roman"/>
          <w:b/>
          <w:bCs/>
          <w:sz w:val="24"/>
          <w:szCs w:val="24"/>
        </w:rPr>
        <w:t>Limitations</w:t>
      </w:r>
    </w:p>
    <w:p w14:paraId="6A4D50C2" w14:textId="1B29F39E" w:rsidR="00DF1A2C" w:rsidRPr="00F940FA" w:rsidRDefault="00F940FA" w:rsidP="000B50BB">
      <w:pPr>
        <w:spacing w:before="100" w:beforeAutospacing="1" w:after="100" w:afterAutospacing="1" w:line="240" w:lineRule="auto"/>
        <w:jc w:val="both"/>
        <w:rPr>
          <w:rFonts w:ascii="Times New Roman" w:eastAsia="Times New Roman" w:hAnsi="Times New Roman" w:cs="Times New Roman"/>
          <w:sz w:val="24"/>
          <w:szCs w:val="24"/>
        </w:rPr>
      </w:pPr>
      <w:r w:rsidRPr="00F940FA">
        <w:rPr>
          <w:rFonts w:ascii="Times New Roman" w:eastAsia="Times New Roman" w:hAnsi="Times New Roman" w:cs="Times New Roman"/>
          <w:sz w:val="24"/>
          <w:szCs w:val="24"/>
          <w:highlight w:val="yellow"/>
        </w:rPr>
        <w:t>The study was limited to mothers and caregivers in Ika South Local Government Area, Delta State; therefore, the findings may not be generalisable to other locations. Data were collected using questionnaire responses, which may be affected by recall bias or social desirability bias. The descriptive survey design also limits causal interpretation of the determinants of immunisation uptake.</w:t>
      </w:r>
      <w:r w:rsidRPr="00F940FA">
        <w:rPr>
          <w:rFonts w:ascii="Times New Roman" w:eastAsia="Times New Roman" w:hAnsi="Times New Roman" w:cs="Times New Roman"/>
          <w:sz w:val="24"/>
          <w:szCs w:val="24"/>
        </w:rPr>
        <w:t xml:space="preserve"> </w:t>
      </w:r>
    </w:p>
    <w:p w14:paraId="4942C03E" w14:textId="77777777" w:rsidR="005B55F3" w:rsidRPr="004C3790" w:rsidRDefault="006607EB" w:rsidP="000B50BB">
      <w:pPr>
        <w:spacing w:before="100" w:beforeAutospacing="1" w:after="100" w:afterAutospacing="1" w:line="240" w:lineRule="auto"/>
        <w:jc w:val="both"/>
        <w:rPr>
          <w:rFonts w:ascii="Times New Roman" w:eastAsia="Times New Roman" w:hAnsi="Times New Roman" w:cs="Times New Roman"/>
          <w:b/>
          <w:sz w:val="24"/>
          <w:szCs w:val="24"/>
        </w:rPr>
      </w:pPr>
      <w:r w:rsidRPr="004C3790">
        <w:rPr>
          <w:rFonts w:ascii="Times New Roman" w:eastAsia="Times New Roman" w:hAnsi="Times New Roman" w:cs="Times New Roman"/>
          <w:b/>
          <w:sz w:val="24"/>
          <w:szCs w:val="24"/>
        </w:rPr>
        <w:t xml:space="preserve">Conclusion </w:t>
      </w:r>
    </w:p>
    <w:p w14:paraId="20D5E3EA" w14:textId="77777777" w:rsidR="000D122A" w:rsidRPr="004C3790" w:rsidRDefault="000D122A" w:rsidP="000B50BB">
      <w:pPr>
        <w:spacing w:before="100" w:beforeAutospacing="1" w:after="100" w:afterAutospacing="1" w:line="240" w:lineRule="auto"/>
        <w:jc w:val="both"/>
        <w:rPr>
          <w:rFonts w:ascii="Times New Roman" w:eastAsia="Times New Roman" w:hAnsi="Times New Roman" w:cs="Times New Roman"/>
          <w:sz w:val="24"/>
          <w:szCs w:val="24"/>
        </w:rPr>
      </w:pPr>
      <w:r w:rsidRPr="004C3790">
        <w:rPr>
          <w:rFonts w:ascii="Times New Roman" w:hAnsi="Times New Roman" w:cs="Times New Roman"/>
          <w:highlight w:val="yellow"/>
        </w:rPr>
        <w:t>The study showed that immunisation uptake among children under five in Ika South Local Government Area, Delta State, had positive elements, but important barriers persisted. Many respondents reported that their children received recommended vaccinations and accessed services when needed. However, gaps remained in full and timely vaccination, particularly where families experienced financial constraints, transport difficulties, limited income and competing work schedules. The findings also showed that service-related factors, including waiting time, appointment convenience, vaccine availability and the presence of healthcare workers, influenced caregivers' ability to complete immunisation schedules. Household and community factors, including caregiver knowledge, decision-making and trust in health services, also appeared relevant to vaccination decisions. Overall, the study indicates that improving immunisation uptake in Ika South requires attention to both demand-side and service-delivery barriers. Strengthening local service availability, reducing indirect costs and improving caregiver engagement may support timely and complete vaccination among children under five.</w:t>
      </w:r>
    </w:p>
    <w:p w14:paraId="4895563C" w14:textId="77777777" w:rsidR="000D122A" w:rsidRPr="004C3790" w:rsidRDefault="000D122A" w:rsidP="000B50BB">
      <w:pPr>
        <w:spacing w:before="100" w:beforeAutospacing="1" w:after="100" w:afterAutospacing="1" w:line="240" w:lineRule="auto"/>
        <w:jc w:val="both"/>
        <w:rPr>
          <w:rFonts w:ascii="Times New Roman" w:eastAsia="Times New Roman" w:hAnsi="Times New Roman" w:cs="Times New Roman"/>
          <w:sz w:val="24"/>
          <w:szCs w:val="24"/>
        </w:rPr>
      </w:pPr>
      <w:r w:rsidRPr="004C3790">
        <w:rPr>
          <w:rFonts w:ascii="Times New Roman" w:hAnsi="Times New Roman" w:cs="Times New Roman"/>
          <w:highlight w:val="yellow"/>
        </w:rPr>
        <w:t>To improve immunisation uptake in the region, barriers should be addressed through more accessible and affordable healthcare services, consistent vaccine availability and stronger community engagement. Reducing financial and logistical obstacles, while strengthening trust in healthcare services, may help improve vaccination coverage and ensure that more children receive timely immunisation. Engagement with community leaders and caregivers may also help address misconceptions and support improved immunisation uptake in Ika South Local Government Area.</w:t>
      </w:r>
    </w:p>
    <w:p w14:paraId="241A078D" w14:textId="77777777" w:rsidR="006607EB" w:rsidRPr="004C3790" w:rsidRDefault="00B52821" w:rsidP="000B50BB">
      <w:pPr>
        <w:spacing w:before="100" w:beforeAutospacing="1" w:after="100" w:afterAutospacing="1" w:line="240" w:lineRule="auto"/>
        <w:jc w:val="both"/>
        <w:rPr>
          <w:rFonts w:ascii="Times New Roman" w:eastAsia="Times New Roman" w:hAnsi="Times New Roman" w:cs="Times New Roman"/>
          <w:b/>
          <w:sz w:val="24"/>
          <w:szCs w:val="24"/>
        </w:rPr>
      </w:pPr>
      <w:r w:rsidRPr="004C3790">
        <w:rPr>
          <w:rFonts w:ascii="Times New Roman" w:eastAsia="Times New Roman" w:hAnsi="Times New Roman" w:cs="Times New Roman"/>
          <w:b/>
          <w:sz w:val="24"/>
          <w:szCs w:val="24"/>
        </w:rPr>
        <w:t>Recommendations</w:t>
      </w:r>
    </w:p>
    <w:p w14:paraId="15A07834" w14:textId="77777777" w:rsidR="00BF1E88" w:rsidRPr="004C3790" w:rsidRDefault="00BF1E88" w:rsidP="000B50BB">
      <w:pPr>
        <w:pStyle w:val="NormalWeb"/>
        <w:jc w:val="both"/>
      </w:pPr>
      <w:r w:rsidRPr="004C3790">
        <w:rPr>
          <w:highlight w:val="yellow"/>
        </w:rPr>
        <w:t>Based on the findings of the study on immunisation uptake among children under five in Ika South Local Government Area, Delta State, the following recommendations are made:</w:t>
      </w:r>
    </w:p>
    <w:p w14:paraId="48301D69" w14:textId="77777777" w:rsidR="00BF1E88" w:rsidRPr="004C3790" w:rsidRDefault="00BF1E88" w:rsidP="000B50BB">
      <w:pPr>
        <w:pStyle w:val="NormalWeb"/>
        <w:numPr>
          <w:ilvl w:val="0"/>
          <w:numId w:val="18"/>
        </w:numPr>
        <w:ind w:hanging="720"/>
        <w:jc w:val="both"/>
      </w:pPr>
      <w:r w:rsidRPr="004C3790">
        <w:rPr>
          <w:highlight w:val="yellow"/>
        </w:rPr>
        <w:t>Improve accessibility and affordability of immunisation services: To reduce financial barriers, especially transportation costs, local healthcare facilities should implement mobile vaccination units or outreach programmes in rural and underserved areas. In addition, free or subsidised transportation services for families could help ensure that more children receive timely immunisation.</w:t>
      </w:r>
    </w:p>
    <w:p w14:paraId="78E519A9" w14:textId="77777777" w:rsidR="00BF1E88" w:rsidRPr="004C3790" w:rsidRDefault="00BF1E88" w:rsidP="000B50BB">
      <w:pPr>
        <w:pStyle w:val="NormalWeb"/>
        <w:numPr>
          <w:ilvl w:val="0"/>
          <w:numId w:val="18"/>
        </w:numPr>
        <w:ind w:hanging="720"/>
        <w:jc w:val="both"/>
      </w:pPr>
      <w:r w:rsidRPr="004C3790">
        <w:rPr>
          <w:highlight w:val="yellow"/>
        </w:rPr>
        <w:t>Flexible immunisation scheduling: Healthcare facilities should offer flexible vaccination appointment hours, including weekends and off-peak periods, to accommodate parents with work commitments. This would help ensure that working parents have better access to immunisation services without compromising their employment responsibilities.</w:t>
      </w:r>
    </w:p>
    <w:p w14:paraId="08166468" w14:textId="77777777" w:rsidR="001D32A7" w:rsidRPr="004C3790" w:rsidRDefault="001D32A7" w:rsidP="000B50BB">
      <w:pPr>
        <w:pStyle w:val="NormalWeb"/>
        <w:jc w:val="both"/>
      </w:pPr>
    </w:p>
    <w:p w14:paraId="5E168E92" w14:textId="77777777" w:rsidR="0077329D" w:rsidRPr="004C3790" w:rsidRDefault="0077329D" w:rsidP="000B50BB">
      <w:pPr>
        <w:pStyle w:val="NormalWeb"/>
        <w:jc w:val="both"/>
        <w:rPr>
          <w:b/>
          <w:bCs/>
          <w:highlight w:val="yellow"/>
        </w:rPr>
      </w:pPr>
      <w:r w:rsidRPr="004C3790">
        <w:rPr>
          <w:b/>
          <w:bCs/>
          <w:highlight w:val="yellow"/>
        </w:rPr>
        <w:t>Ethical Approval:</w:t>
      </w:r>
    </w:p>
    <w:p w14:paraId="22685800" w14:textId="77777777" w:rsidR="00AB4F28" w:rsidRPr="004C3790" w:rsidRDefault="0077329D" w:rsidP="000B50BB">
      <w:pPr>
        <w:pStyle w:val="NormalWeb"/>
        <w:jc w:val="both"/>
      </w:pPr>
      <w:r w:rsidRPr="004C3790">
        <w:t>As per international standards or university standards written ethical approval has been collected and preserved by the author(s).</w:t>
      </w:r>
    </w:p>
    <w:p w14:paraId="1804AD20" w14:textId="77777777" w:rsidR="00AB4F28" w:rsidRPr="004C3790" w:rsidRDefault="00AB4F28" w:rsidP="000B50BB">
      <w:pPr>
        <w:jc w:val="both"/>
        <w:rPr>
          <w:rFonts w:ascii="Times New Roman" w:eastAsiaTheme="minorEastAsia" w:hAnsi="Times New Roman" w:cs="Times New Roman"/>
          <w:sz w:val="20"/>
          <w:szCs w:val="20"/>
        </w:rPr>
      </w:pPr>
      <w:bookmarkStart w:id="1" w:name="_Hlk223955456"/>
    </w:p>
    <w:bookmarkEnd w:id="1"/>
    <w:p w14:paraId="06727627" w14:textId="77777777" w:rsidR="00500EE4" w:rsidRPr="004C3790" w:rsidRDefault="00500EE4" w:rsidP="000B50BB">
      <w:pPr>
        <w:pStyle w:val="NoSpacing"/>
        <w:jc w:val="both"/>
        <w:rPr>
          <w:rFonts w:ascii="Times New Roman" w:hAnsi="Times New Roman" w:cs="Times New Roman"/>
          <w:b/>
          <w:bCs/>
          <w:highlight w:val="yellow"/>
        </w:rPr>
      </w:pPr>
      <w:r w:rsidRPr="004C3790">
        <w:rPr>
          <w:rFonts w:ascii="Times New Roman" w:hAnsi="Times New Roman" w:cs="Times New Roman"/>
          <w:b/>
          <w:bCs/>
          <w:highlight w:val="yellow"/>
        </w:rPr>
        <w:t>Declaration of AI Use</w:t>
      </w:r>
    </w:p>
    <w:p w14:paraId="702B5B41" w14:textId="77777777" w:rsidR="00500EE4" w:rsidRPr="004C3790" w:rsidRDefault="00500EE4" w:rsidP="000B50BB">
      <w:pPr>
        <w:pStyle w:val="NoSpacing"/>
        <w:jc w:val="both"/>
        <w:rPr>
          <w:rFonts w:ascii="Times New Roman" w:hAnsi="Times New Roman" w:cs="Times New Roman"/>
          <w:highlight w:val="yellow"/>
        </w:rPr>
      </w:pPr>
    </w:p>
    <w:p w14:paraId="4A58C972" w14:textId="77777777" w:rsidR="00AB4F28" w:rsidRPr="004C3790" w:rsidRDefault="00500EE4" w:rsidP="000B50BB">
      <w:pPr>
        <w:pStyle w:val="NoSpacing"/>
        <w:jc w:val="both"/>
        <w:rPr>
          <w:rFonts w:ascii="Times New Roman" w:hAnsi="Times New Roman" w:cs="Times New Roman"/>
        </w:rPr>
      </w:pPr>
      <w:r w:rsidRPr="004C3790">
        <w:rPr>
          <w:rFonts w:ascii="Times New Roman" w:hAnsi="Times New Roman" w:cs="Times New Roman"/>
          <w:highlight w:val="yellow"/>
        </w:rPr>
        <w:t>This manuscript was prepared through the combined contributions of all author(s), including contributions to the study design, data, content development, results, interpretation, and related scholarly work. The author(s) acknowledge the use of Grammarly and ChatGPT to assist with grammar checking, language refinement, reference formatting. These AI-assisted tools were not used as authors and did not replace the intellectual contributions or scholarly judgment of the author(s). All AI-assisted outputs, including content, references, and interpretations, were carefully reviewed, revised, verified, and approved by the author(s). The author(s) accept full responsibility for the accuracy, integrity, and final content of the manuscript.</w:t>
      </w:r>
    </w:p>
    <w:p w14:paraId="4B34E591" w14:textId="77777777" w:rsidR="00AB4F28" w:rsidRPr="004C3790" w:rsidRDefault="00AB4F28" w:rsidP="000B50BB">
      <w:pPr>
        <w:pStyle w:val="NoSpacing"/>
        <w:jc w:val="both"/>
        <w:rPr>
          <w:rFonts w:ascii="Times New Roman" w:hAnsi="Times New Roman" w:cs="Times New Roman"/>
        </w:rPr>
      </w:pPr>
    </w:p>
    <w:p w14:paraId="4757CCA2" w14:textId="77777777" w:rsidR="00AB4F28" w:rsidRPr="004C3790" w:rsidRDefault="00AB4F28" w:rsidP="000B50BB">
      <w:pPr>
        <w:pStyle w:val="NormalWeb"/>
        <w:jc w:val="both"/>
      </w:pPr>
    </w:p>
    <w:p w14:paraId="0E523E58" w14:textId="77777777" w:rsidR="002347C5" w:rsidRPr="004C3790" w:rsidRDefault="002347C5" w:rsidP="000B50BB">
      <w:pPr>
        <w:pStyle w:val="NormalWeb"/>
        <w:ind w:left="900" w:hanging="900"/>
        <w:jc w:val="both"/>
        <w:rPr>
          <w:rStyle w:val="Strong"/>
        </w:rPr>
      </w:pPr>
      <w:r w:rsidRPr="004C3790">
        <w:rPr>
          <w:rStyle w:val="Strong"/>
        </w:rPr>
        <w:t>References</w:t>
      </w:r>
    </w:p>
    <w:p w14:paraId="51CED8BC"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Abdi, A., Gebremariam, M. B., &amp; Tessema, F. (2014). Determinants of childhood immunization among children aged 12-23 months in Ethiopia. BMC Public Health, 14, Article 965. https://doi.org/10.1186/1471-2458-14-965</w:t>
      </w:r>
    </w:p>
    <w:p w14:paraId="075D7ED0"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Abdulraheem, I. S., Onajole, A. T., Jimoh, A. A. G., &amp; Oladipo, A. R. (2011). Reasons for incomplete vaccination and factors for missed opportunities among rural Nigerian children. Journal of Public Health and Epidemiology, 3(4), 194-203. https://academicjournals.org/article/article1379427155_Abdulraheem%20et%20al.pdf</w:t>
      </w:r>
    </w:p>
    <w:p w14:paraId="28D6B539"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Adedokun, S. T., Uthman, O. A., Adekanmbi, V. T., &amp; Wiysonge, C. S. (2017). Incomplete childhood immunization in Nigeria: A multilevel analysis of individual and contextual factors. BMC Public Health, 17(1), Article 236. https://doi.org/10.1186/s12889-017-4137-7</w:t>
      </w:r>
    </w:p>
    <w:p w14:paraId="4FF3265F"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Adeloye, D., Jacobs, W., Amuta, A. O., Ogundipe, O., Mosaku, O., Gadanya, M. A., &amp; Oni, G. (2017). Coverage and determinants of childhood immunization in Nigeria: A systematic review and meta-analysis. Vaccine, 35(22), 2871-2881. https://doi.org/10.1016/j.vaccine.2017.04.034</w:t>
      </w:r>
    </w:p>
    <w:p w14:paraId="3E13DC1C"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Akwataghibe, N. N., Ogunsola, E. A., Broerse, J. E. W., Popoola, O. A., Agbo, A. I., &amp; Dieleman, M. A. (2019). Exploring factors influencing immunization utilization in Nigeria: A mixed methods study. Frontiers in Public Health, 7, Article 392. https://doi.org/10.3389/fpubh.2019.00392</w:t>
      </w:r>
    </w:p>
    <w:p w14:paraId="1AEFF098"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Berhane, Y. (2008). Universal immunization: The need for community engagement and health system strengthening. Ethiopian Journal of Health Development, 22(1), 1-3. https://www.ajol.info/index.php/ejhd/article/view/10056</w:t>
      </w:r>
    </w:p>
    <w:p w14:paraId="01EDC992"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lastRenderedPageBreak/>
        <w:t>Bruni, L., Saura-Lazaro, A., Montoliu, A., Brotons, M., Alemany, L., Diallo, M. S., et al. (2021). HPV vaccination introduction worldwide and WHO and UNICEF estimates of national HPV immunization coverage 2010-2019. Preventive Medicine, 144, Article 106399. https://doi.org/10.1016/j.ypmed.2020.106399</w:t>
      </w:r>
    </w:p>
    <w:p w14:paraId="1A5A8B0E"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Centers for Disease Control and Prevention. (2018). World Immunization Week. https://archive.cdc.gov/www_cdc_gov/globalhealth/resources/dcl/2018/dear-colleagues-world-immunization-week.html</w:t>
      </w:r>
    </w:p>
    <w:p w14:paraId="1E956797"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Chido-Amajuoyi, O. G., Wonodi, C., Mantey, D., Perez, A., &amp; McAlister, A. (2018). Prevalence and correlates of never vaccinated Nigerian children, aged 1-5 years. Vaccine, 36(46), 6953-6960. https://doi.org/10.1016/j.vaccine.2018.10.006</w:t>
      </w:r>
    </w:p>
    <w:p w14:paraId="64B3CB9E"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Datar, A., Mukherji, A., &amp; Sood, N. (2007). Health infrastructure and immunization coverage in rural India. Indian Journal of Medical Research, 125(1), 31-42. https://doi.org/10.25259/IJMR_20071251_031</w:t>
      </w:r>
    </w:p>
    <w:p w14:paraId="60975C57"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Ekwebelem, O. C., Nnorom-Dike, O. V., Aborode, A. T., Ekwebelem, N. C., Aleke, J. C., &amp; Ofielu, E. S. (2021). Eradication of wild poliovirus in Nigeria: Lessons learnt. Public Health in Practice, 2, Article 100144. https://doi.org/10.1016/j.puhip.2021.100144</w:t>
      </w:r>
    </w:p>
    <w:p w14:paraId="29BE5DAF"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Fatiregun, A. A., &amp; Okoro, A. O. (2012). Maternal determinants of complete child immunization among children aged 12-23 months in a southern district of Nigeria. Vaccine, 30(4), 730-736. https://doi.org/10.1016/j.vaccine.2011.11.082</w:t>
      </w:r>
    </w:p>
    <w:p w14:paraId="071CC185"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Gunnala, R., Ogbuanu, I. U., Adegoke, O. J., Scobie, H. M., Uba, B. V., Wannemuehler, K. A., et al. (2016). Routine vaccination coverage in northern Nigeria: Results from 40 district-level cluster surveys, 2014-2015. PLOS ONE, 11(12), Article e0167835. https://doi.org/10.1371/journal.pone.0167835</w:t>
      </w:r>
    </w:p>
    <w:p w14:paraId="7538AE9B"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Hassan, S. M., Okoli, E. C., Azike, C. A., &amp; Okoye, N. A. (2024). Vaccination hesitancy and zero-dose children in Borno State, Nigeria: Comparative analysis of urban priority and non-priority LGAs and their implications for immunization coverage. International Journal of Tropical Disease &amp; Health, 45(10), 18-32. https://doi.org/10.9734/ijtdh/2024/v45i101595</w:t>
      </w:r>
    </w:p>
    <w:p w14:paraId="1A8F5F5B"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Iba, B., Zar, V. D., &amp; Oteng, J. (2025). Determinants of uptake of childhood immunization in Gboko, Benue State, Nigeria. BMC Public Health, 25, Article 3940. https://doi.org/10.1186/s12889-025-25355-8</w:t>
      </w:r>
    </w:p>
    <w:p w14:paraId="0949E108"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Isezuo, K. O., &amp; Adamu, A. (2022). Vaccination hesitancy and refusal among parents of under-fives attending health facilities in Sokoto Metropolis, Nigeria using the WHO vaccine hesitancy tool. Open Access Journal of Biomedical Science, 4(5), 2138-2147. https://doi.org/10.38125/OAJBS.000504</w:t>
      </w:r>
    </w:p>
    <w:p w14:paraId="724AA182"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Mayerova, D., &amp; Abbas, K. (2021). Childhood immunisation timeliness and vaccine confidence by health information source, maternal, socioeconomic, and geographic characteristics in Albania. BMC Public Health, 21(1), Article 1724. https://doi.org/10.1186/s12889-021-11429-3</w:t>
      </w:r>
    </w:p>
    <w:p w14:paraId="3422DB82"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Olufadewa, I., Adesina, M., Oladele, R., Shonubi, A., Bamidele, D., &amp; Obigwe, E. (2024). Trends and predictors of full immunization coverage in Nigeria. Discover Public Health, 21, Article 83. https://doi.org/10.1186/s12982-024-00283-x</w:t>
      </w:r>
    </w:p>
    <w:p w14:paraId="384BD7A1"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Onu, E. N., Obaji, E. A., Orji, C. E., Ologwu, R. O., &amp; Nwifuru, F. O. (2026). Evaluation of IgG antibody response to human papillomavirus vaccination among urban and rural populations in Ebonyi State, Nigeria. Journal of Disease and Global Health, 19(1), 68-78. https://doi.org/10.56557/jodagh/2026/v19i110179</w:t>
      </w:r>
    </w:p>
    <w:p w14:paraId="509C0751"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lastRenderedPageBreak/>
        <w:t>Ophori, E. A., Tula, M. Y., Azih, A. V., Okojie, R., &amp; Ikpo, P. E. (2014). Current trends of immunization in Nigeria: Prospect and challenges. Tropical Medicine and Health, 42(2), 67-75. https://doi.org/10.2149/tmh.2013-13</w:t>
      </w:r>
    </w:p>
    <w:p w14:paraId="0CD18160" w14:textId="77777777" w:rsidR="00B2111F" w:rsidRPr="00B2111F" w:rsidRDefault="00B2111F" w:rsidP="000B50BB">
      <w:pPr>
        <w:jc w:val="both"/>
        <w:rPr>
          <w:rFonts w:ascii="Times New Roman" w:hAnsi="Times New Roman" w:cs="Times New Roman"/>
          <w:highlight w:val="yellow"/>
        </w:rPr>
      </w:pPr>
      <w:r w:rsidRPr="00B2111F">
        <w:rPr>
          <w:rFonts w:ascii="Times New Roman" w:hAnsi="Times New Roman" w:cs="Times New Roman"/>
          <w:highlight w:val="yellow"/>
        </w:rPr>
        <w:t>Sabo, A., Alzoubi, M. M., Garba, A., Saidu, A. Y., Usman, U. S., Saulawa, I. M., Al-Mugheed, K., &amp; Abdelaliem, S. M. F. (2025). Determinants of routine immunization coverage among under-five children in Jigawa State, Nigeria. BMC Public Health, 25, Article 2065. https://doi.org/10.1186/s12889-025-23363-2</w:t>
      </w:r>
    </w:p>
    <w:p w14:paraId="1491B233" w14:textId="5C5CF646" w:rsidR="00EF175C" w:rsidRPr="004C3790" w:rsidRDefault="00B2111F" w:rsidP="000B50BB">
      <w:pPr>
        <w:jc w:val="both"/>
        <w:rPr>
          <w:rFonts w:ascii="Times New Roman" w:hAnsi="Times New Roman" w:cs="Times New Roman"/>
        </w:rPr>
      </w:pPr>
      <w:r w:rsidRPr="00B2111F">
        <w:rPr>
          <w:rFonts w:ascii="Times New Roman" w:hAnsi="Times New Roman" w:cs="Times New Roman"/>
          <w:highlight w:val="yellow"/>
        </w:rPr>
        <w:t>World Health Organization. (2023). Immunization coverage. https://www.who.int/news-room/fact-sheets/detail/immunization-coverage</w:t>
      </w:r>
    </w:p>
    <w:sectPr w:rsidR="00EF175C" w:rsidRPr="004C379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EE19B24" w14:textId="77777777" w:rsidR="007770DF" w:rsidRDefault="007770DF" w:rsidP="00904D45">
      <w:pPr>
        <w:spacing w:after="0" w:line="240" w:lineRule="auto"/>
      </w:pPr>
      <w:r>
        <w:separator/>
      </w:r>
    </w:p>
  </w:endnote>
  <w:endnote w:type="continuationSeparator" w:id="0">
    <w:p w14:paraId="6FA0BC8A" w14:textId="77777777" w:rsidR="007770DF" w:rsidRDefault="007770DF" w:rsidP="00904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D21F2F" w14:textId="77777777" w:rsidR="007770DF" w:rsidRDefault="007770DF" w:rsidP="00904D45">
      <w:pPr>
        <w:spacing w:after="0" w:line="240" w:lineRule="auto"/>
      </w:pPr>
      <w:r>
        <w:separator/>
      </w:r>
    </w:p>
  </w:footnote>
  <w:footnote w:type="continuationSeparator" w:id="0">
    <w:p w14:paraId="1C54D1C0" w14:textId="77777777" w:rsidR="007770DF" w:rsidRDefault="007770DF" w:rsidP="00904D4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37818"/>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584C09"/>
    <w:multiLevelType w:val="hybridMultilevel"/>
    <w:tmpl w:val="72D4AA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07E20DA"/>
    <w:multiLevelType w:val="hybridMultilevel"/>
    <w:tmpl w:val="1C0668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3E338C7"/>
    <w:multiLevelType w:val="hybridMultilevel"/>
    <w:tmpl w:val="F05CB9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93858A5"/>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E0E5264"/>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BD02D39"/>
    <w:multiLevelType w:val="hybridMultilevel"/>
    <w:tmpl w:val="3B84B0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E56770E"/>
    <w:multiLevelType w:val="hybridMultilevel"/>
    <w:tmpl w:val="28F6CD7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31B0600"/>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B7F5C28"/>
    <w:multiLevelType w:val="multilevel"/>
    <w:tmpl w:val="457E5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60C41965"/>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1997B5B"/>
    <w:multiLevelType w:val="hybridMultilevel"/>
    <w:tmpl w:val="6DB2D182"/>
    <w:lvl w:ilvl="0" w:tplc="4984D12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40A15B5"/>
    <w:multiLevelType w:val="multilevel"/>
    <w:tmpl w:val="0CD6BA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4CD46E1"/>
    <w:multiLevelType w:val="multilevel"/>
    <w:tmpl w:val="B5B46D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68C476A"/>
    <w:multiLevelType w:val="multilevel"/>
    <w:tmpl w:val="D422B022"/>
    <w:lvl w:ilvl="0">
      <w:start w:val="1"/>
      <w:numFmt w:val="decimal"/>
      <w:lvlText w:val="%1."/>
      <w:lvlJc w:val="left"/>
      <w:pPr>
        <w:ind w:left="720" w:hanging="360"/>
      </w:pPr>
      <w:rPr>
        <w:b w:val="0"/>
      </w:rPr>
    </w:lvl>
    <w:lvl w:ilvl="1">
      <w:start w:val="3"/>
      <w:numFmt w:val="decimal"/>
      <w:lvlText w:val="%1.%2"/>
      <w:lvlJc w:val="left"/>
      <w:pPr>
        <w:ind w:left="1110" w:hanging="540"/>
      </w:pPr>
      <w:rPr>
        <w:b w:val="0"/>
      </w:rPr>
    </w:lvl>
    <w:lvl w:ilvl="2">
      <w:start w:val="1"/>
      <w:numFmt w:val="decimal"/>
      <w:lvlText w:val="%1.%2.%3"/>
      <w:lvlJc w:val="left"/>
      <w:pPr>
        <w:ind w:left="1530" w:hanging="720"/>
      </w:pPr>
      <w:rPr>
        <w:b/>
      </w:rPr>
    </w:lvl>
    <w:lvl w:ilvl="3">
      <w:start w:val="1"/>
      <w:numFmt w:val="decimal"/>
      <w:lvlText w:val="%1.%2.%3.%4"/>
      <w:lvlJc w:val="left"/>
      <w:pPr>
        <w:ind w:left="1710" w:hanging="720"/>
      </w:pPr>
      <w:rPr>
        <w:b w:val="0"/>
      </w:rPr>
    </w:lvl>
    <w:lvl w:ilvl="4">
      <w:start w:val="1"/>
      <w:numFmt w:val="decimal"/>
      <w:lvlText w:val="%1.%2.%3.%4.%5"/>
      <w:lvlJc w:val="left"/>
      <w:pPr>
        <w:ind w:left="2280" w:hanging="1080"/>
      </w:pPr>
      <w:rPr>
        <w:b w:val="0"/>
      </w:rPr>
    </w:lvl>
    <w:lvl w:ilvl="5">
      <w:start w:val="1"/>
      <w:numFmt w:val="decimal"/>
      <w:lvlText w:val="%1.%2.%3.%4.%5.%6"/>
      <w:lvlJc w:val="left"/>
      <w:pPr>
        <w:ind w:left="2490" w:hanging="1080"/>
      </w:pPr>
      <w:rPr>
        <w:b w:val="0"/>
      </w:rPr>
    </w:lvl>
    <w:lvl w:ilvl="6">
      <w:start w:val="1"/>
      <w:numFmt w:val="decimal"/>
      <w:lvlText w:val="%1.%2.%3.%4.%5.%6.%7"/>
      <w:lvlJc w:val="left"/>
      <w:pPr>
        <w:ind w:left="3060" w:hanging="1440"/>
      </w:pPr>
      <w:rPr>
        <w:b w:val="0"/>
      </w:rPr>
    </w:lvl>
    <w:lvl w:ilvl="7">
      <w:start w:val="1"/>
      <w:numFmt w:val="decimal"/>
      <w:lvlText w:val="%1.%2.%3.%4.%5.%6.%7.%8"/>
      <w:lvlJc w:val="left"/>
      <w:pPr>
        <w:ind w:left="3270" w:hanging="1440"/>
      </w:pPr>
      <w:rPr>
        <w:b w:val="0"/>
      </w:rPr>
    </w:lvl>
    <w:lvl w:ilvl="8">
      <w:start w:val="1"/>
      <w:numFmt w:val="decimal"/>
      <w:lvlText w:val="%1.%2.%3.%4.%5.%6.%7.%8.%9"/>
      <w:lvlJc w:val="left"/>
      <w:pPr>
        <w:ind w:left="3840" w:hanging="1800"/>
      </w:pPr>
      <w:rPr>
        <w:b w:val="0"/>
      </w:rPr>
    </w:lvl>
  </w:abstractNum>
  <w:abstractNum w:abstractNumId="15" w15:restartNumberingAfterBreak="0">
    <w:nsid w:val="6A081159"/>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E2E212C"/>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71EF3875"/>
    <w:multiLevelType w:val="hybridMultilevel"/>
    <w:tmpl w:val="846809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7B66632"/>
    <w:multiLevelType w:val="hybridMultilevel"/>
    <w:tmpl w:val="B2C01B3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008316546">
    <w:abstractNumId w:val="16"/>
  </w:num>
  <w:num w:numId="2" w16cid:durableId="1274821852">
    <w:abstractNumId w:val="17"/>
  </w:num>
  <w:num w:numId="3" w16cid:durableId="1288245311">
    <w:abstractNumId w:val="14"/>
  </w:num>
  <w:num w:numId="4" w16cid:durableId="1772241428">
    <w:abstractNumId w:val="1"/>
  </w:num>
  <w:num w:numId="5" w16cid:durableId="131103120">
    <w:abstractNumId w:val="7"/>
  </w:num>
  <w:num w:numId="6" w16cid:durableId="1904292199">
    <w:abstractNumId w:val="8"/>
  </w:num>
  <w:num w:numId="7" w16cid:durableId="1474835002">
    <w:abstractNumId w:val="9"/>
  </w:num>
  <w:num w:numId="8" w16cid:durableId="506603040">
    <w:abstractNumId w:val="3"/>
  </w:num>
  <w:num w:numId="9" w16cid:durableId="920917476">
    <w:abstractNumId w:val="11"/>
  </w:num>
  <w:num w:numId="10" w16cid:durableId="1895892719">
    <w:abstractNumId w:val="2"/>
  </w:num>
  <w:num w:numId="11" w16cid:durableId="1658873873">
    <w:abstractNumId w:val="18"/>
  </w:num>
  <w:num w:numId="12" w16cid:durableId="314797533">
    <w:abstractNumId w:val="15"/>
  </w:num>
  <w:num w:numId="13" w16cid:durableId="1043559530">
    <w:abstractNumId w:val="10"/>
  </w:num>
  <w:num w:numId="14" w16cid:durableId="840853946">
    <w:abstractNumId w:val="5"/>
  </w:num>
  <w:num w:numId="15" w16cid:durableId="356657576">
    <w:abstractNumId w:val="4"/>
  </w:num>
  <w:num w:numId="16" w16cid:durableId="2086492985">
    <w:abstractNumId w:val="0"/>
  </w:num>
  <w:num w:numId="17" w16cid:durableId="1973631507">
    <w:abstractNumId w:val="6"/>
  </w:num>
  <w:num w:numId="18" w16cid:durableId="931820851">
    <w:abstractNumId w:val="12"/>
  </w:num>
  <w:num w:numId="19" w16cid:durableId="13395891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2"/>
  <w:proofState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jO1NDc2MTc3MzQxsDBU0lEKTi0uzszPAykwrgUABWBrsywAAAA="/>
  </w:docVars>
  <w:rsids>
    <w:rsidRoot w:val="00BB5874"/>
    <w:rsid w:val="00015C67"/>
    <w:rsid w:val="00015FBE"/>
    <w:rsid w:val="00016DC6"/>
    <w:rsid w:val="000412F1"/>
    <w:rsid w:val="00045555"/>
    <w:rsid w:val="00067730"/>
    <w:rsid w:val="000751E0"/>
    <w:rsid w:val="00080C04"/>
    <w:rsid w:val="00084110"/>
    <w:rsid w:val="000949AF"/>
    <w:rsid w:val="000B15D5"/>
    <w:rsid w:val="000B4A1C"/>
    <w:rsid w:val="000B50BB"/>
    <w:rsid w:val="000C4985"/>
    <w:rsid w:val="000D122A"/>
    <w:rsid w:val="000E19C6"/>
    <w:rsid w:val="000E1FFE"/>
    <w:rsid w:val="000F0ADF"/>
    <w:rsid w:val="000F18C4"/>
    <w:rsid w:val="001158A3"/>
    <w:rsid w:val="001272BF"/>
    <w:rsid w:val="00134D26"/>
    <w:rsid w:val="0014210B"/>
    <w:rsid w:val="001479C1"/>
    <w:rsid w:val="00147B77"/>
    <w:rsid w:val="00156031"/>
    <w:rsid w:val="001614AB"/>
    <w:rsid w:val="00162B2B"/>
    <w:rsid w:val="0016499B"/>
    <w:rsid w:val="00194C6C"/>
    <w:rsid w:val="00197DCE"/>
    <w:rsid w:val="001A402F"/>
    <w:rsid w:val="001A52FF"/>
    <w:rsid w:val="001A5395"/>
    <w:rsid w:val="001C7DA7"/>
    <w:rsid w:val="001D32A7"/>
    <w:rsid w:val="00221405"/>
    <w:rsid w:val="00227ED7"/>
    <w:rsid w:val="00230897"/>
    <w:rsid w:val="002347C5"/>
    <w:rsid w:val="00261285"/>
    <w:rsid w:val="00261EE6"/>
    <w:rsid w:val="00276E87"/>
    <w:rsid w:val="00286563"/>
    <w:rsid w:val="00291EE1"/>
    <w:rsid w:val="00292163"/>
    <w:rsid w:val="002D1DC5"/>
    <w:rsid w:val="002D6B52"/>
    <w:rsid w:val="002E1CC8"/>
    <w:rsid w:val="0039067D"/>
    <w:rsid w:val="003B3178"/>
    <w:rsid w:val="003B48CB"/>
    <w:rsid w:val="003B6B5A"/>
    <w:rsid w:val="003E5078"/>
    <w:rsid w:val="003F576E"/>
    <w:rsid w:val="0040433C"/>
    <w:rsid w:val="00412344"/>
    <w:rsid w:val="00431DD7"/>
    <w:rsid w:val="00435BEB"/>
    <w:rsid w:val="00445DDB"/>
    <w:rsid w:val="004554CB"/>
    <w:rsid w:val="00463C31"/>
    <w:rsid w:val="004839F6"/>
    <w:rsid w:val="004B513D"/>
    <w:rsid w:val="004C3790"/>
    <w:rsid w:val="004C5E4F"/>
    <w:rsid w:val="004D11BC"/>
    <w:rsid w:val="004E49C9"/>
    <w:rsid w:val="00500EE4"/>
    <w:rsid w:val="00526AF5"/>
    <w:rsid w:val="005411C8"/>
    <w:rsid w:val="00552D57"/>
    <w:rsid w:val="00592251"/>
    <w:rsid w:val="005B55F3"/>
    <w:rsid w:val="005B5F41"/>
    <w:rsid w:val="005E010A"/>
    <w:rsid w:val="005E7895"/>
    <w:rsid w:val="005F2CA1"/>
    <w:rsid w:val="005F55EF"/>
    <w:rsid w:val="00617FC1"/>
    <w:rsid w:val="00633ED2"/>
    <w:rsid w:val="00637A40"/>
    <w:rsid w:val="00643805"/>
    <w:rsid w:val="00644655"/>
    <w:rsid w:val="006607EB"/>
    <w:rsid w:val="00662421"/>
    <w:rsid w:val="006650E6"/>
    <w:rsid w:val="0067156A"/>
    <w:rsid w:val="00672038"/>
    <w:rsid w:val="00673150"/>
    <w:rsid w:val="006A1685"/>
    <w:rsid w:val="006A502D"/>
    <w:rsid w:val="006A5787"/>
    <w:rsid w:val="006A67AD"/>
    <w:rsid w:val="006D654A"/>
    <w:rsid w:val="006F115F"/>
    <w:rsid w:val="006F1AAB"/>
    <w:rsid w:val="007076A7"/>
    <w:rsid w:val="007109E3"/>
    <w:rsid w:val="00710E1E"/>
    <w:rsid w:val="0073416F"/>
    <w:rsid w:val="00735647"/>
    <w:rsid w:val="00752F2E"/>
    <w:rsid w:val="0077329D"/>
    <w:rsid w:val="007745A3"/>
    <w:rsid w:val="007770DF"/>
    <w:rsid w:val="00797958"/>
    <w:rsid w:val="007E250E"/>
    <w:rsid w:val="007E4F52"/>
    <w:rsid w:val="007F37D5"/>
    <w:rsid w:val="0080698F"/>
    <w:rsid w:val="00813879"/>
    <w:rsid w:val="00820CB5"/>
    <w:rsid w:val="008233E1"/>
    <w:rsid w:val="008259AC"/>
    <w:rsid w:val="00837C0B"/>
    <w:rsid w:val="00842CB9"/>
    <w:rsid w:val="00846E3A"/>
    <w:rsid w:val="0085101A"/>
    <w:rsid w:val="0087452F"/>
    <w:rsid w:val="00875762"/>
    <w:rsid w:val="0087644B"/>
    <w:rsid w:val="00877EC4"/>
    <w:rsid w:val="00892374"/>
    <w:rsid w:val="0089510A"/>
    <w:rsid w:val="008A25FE"/>
    <w:rsid w:val="008B3C79"/>
    <w:rsid w:val="008C00CD"/>
    <w:rsid w:val="008C1099"/>
    <w:rsid w:val="008D0CBB"/>
    <w:rsid w:val="008D2A53"/>
    <w:rsid w:val="008E6513"/>
    <w:rsid w:val="008F63C3"/>
    <w:rsid w:val="008F7A9C"/>
    <w:rsid w:val="00904D45"/>
    <w:rsid w:val="00924711"/>
    <w:rsid w:val="00924E3E"/>
    <w:rsid w:val="009649E6"/>
    <w:rsid w:val="009708BD"/>
    <w:rsid w:val="00986A6D"/>
    <w:rsid w:val="009A4D41"/>
    <w:rsid w:val="009A7797"/>
    <w:rsid w:val="009E28C1"/>
    <w:rsid w:val="009E7D88"/>
    <w:rsid w:val="00A30619"/>
    <w:rsid w:val="00A3376C"/>
    <w:rsid w:val="00A44BA0"/>
    <w:rsid w:val="00A56CF2"/>
    <w:rsid w:val="00A72F66"/>
    <w:rsid w:val="00A75B73"/>
    <w:rsid w:val="00AB3988"/>
    <w:rsid w:val="00AB4F28"/>
    <w:rsid w:val="00AD1062"/>
    <w:rsid w:val="00AD15C3"/>
    <w:rsid w:val="00AE24DA"/>
    <w:rsid w:val="00AE7E40"/>
    <w:rsid w:val="00AF1EA9"/>
    <w:rsid w:val="00AF2ED7"/>
    <w:rsid w:val="00B00AFC"/>
    <w:rsid w:val="00B028A0"/>
    <w:rsid w:val="00B1165D"/>
    <w:rsid w:val="00B150C9"/>
    <w:rsid w:val="00B2111F"/>
    <w:rsid w:val="00B52821"/>
    <w:rsid w:val="00B560DC"/>
    <w:rsid w:val="00B71F0A"/>
    <w:rsid w:val="00B82D49"/>
    <w:rsid w:val="00BA5EF2"/>
    <w:rsid w:val="00BB329A"/>
    <w:rsid w:val="00BB5336"/>
    <w:rsid w:val="00BB5874"/>
    <w:rsid w:val="00BB66D6"/>
    <w:rsid w:val="00BC56DD"/>
    <w:rsid w:val="00BC5DDA"/>
    <w:rsid w:val="00BD4AE2"/>
    <w:rsid w:val="00BD75F2"/>
    <w:rsid w:val="00BE00FD"/>
    <w:rsid w:val="00BE14A0"/>
    <w:rsid w:val="00BF1D56"/>
    <w:rsid w:val="00BF1E88"/>
    <w:rsid w:val="00C06D75"/>
    <w:rsid w:val="00C1128D"/>
    <w:rsid w:val="00C118B3"/>
    <w:rsid w:val="00C14F7F"/>
    <w:rsid w:val="00C16B9D"/>
    <w:rsid w:val="00C16D1C"/>
    <w:rsid w:val="00C21478"/>
    <w:rsid w:val="00C451E5"/>
    <w:rsid w:val="00C4786C"/>
    <w:rsid w:val="00C564A2"/>
    <w:rsid w:val="00C6206E"/>
    <w:rsid w:val="00C63C0D"/>
    <w:rsid w:val="00C741AE"/>
    <w:rsid w:val="00C832D6"/>
    <w:rsid w:val="00C9226B"/>
    <w:rsid w:val="00C948B3"/>
    <w:rsid w:val="00CE3548"/>
    <w:rsid w:val="00CE4AE6"/>
    <w:rsid w:val="00CF336C"/>
    <w:rsid w:val="00CF3559"/>
    <w:rsid w:val="00CF54D2"/>
    <w:rsid w:val="00D003B9"/>
    <w:rsid w:val="00D232A5"/>
    <w:rsid w:val="00D6067B"/>
    <w:rsid w:val="00D644E6"/>
    <w:rsid w:val="00D65603"/>
    <w:rsid w:val="00D74603"/>
    <w:rsid w:val="00D8440B"/>
    <w:rsid w:val="00D85DD7"/>
    <w:rsid w:val="00DA6959"/>
    <w:rsid w:val="00DC6C9E"/>
    <w:rsid w:val="00DD1FDB"/>
    <w:rsid w:val="00DF0FB7"/>
    <w:rsid w:val="00DF1555"/>
    <w:rsid w:val="00DF1A2C"/>
    <w:rsid w:val="00DF1D94"/>
    <w:rsid w:val="00DF5DC3"/>
    <w:rsid w:val="00E05DFF"/>
    <w:rsid w:val="00E10A30"/>
    <w:rsid w:val="00E1743A"/>
    <w:rsid w:val="00E22C4E"/>
    <w:rsid w:val="00E23B3B"/>
    <w:rsid w:val="00E23F04"/>
    <w:rsid w:val="00E51E2C"/>
    <w:rsid w:val="00E52DBD"/>
    <w:rsid w:val="00E555F4"/>
    <w:rsid w:val="00E55E47"/>
    <w:rsid w:val="00E75100"/>
    <w:rsid w:val="00EA1C35"/>
    <w:rsid w:val="00EA738B"/>
    <w:rsid w:val="00EE3348"/>
    <w:rsid w:val="00EF175C"/>
    <w:rsid w:val="00EF7D40"/>
    <w:rsid w:val="00F0273A"/>
    <w:rsid w:val="00F058DB"/>
    <w:rsid w:val="00F15B92"/>
    <w:rsid w:val="00F17261"/>
    <w:rsid w:val="00F30705"/>
    <w:rsid w:val="00F34463"/>
    <w:rsid w:val="00F37CAF"/>
    <w:rsid w:val="00F57E69"/>
    <w:rsid w:val="00F66867"/>
    <w:rsid w:val="00F66E7A"/>
    <w:rsid w:val="00F90C89"/>
    <w:rsid w:val="00F940FA"/>
    <w:rsid w:val="00FB58AE"/>
    <w:rsid w:val="00FB6C04"/>
    <w:rsid w:val="00FD1B06"/>
    <w:rsid w:val="00FE2A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896507"/>
  <w15:docId w15:val="{D1B0522B-CF07-4948-9A01-F362F468A0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F17261"/>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link w:val="Heading2Char"/>
    <w:uiPriority w:val="9"/>
    <w:qFormat/>
    <w:rsid w:val="00F17261"/>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F17261"/>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37CA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4110"/>
    <w:rPr>
      <w:b/>
      <w:bCs/>
    </w:rPr>
  </w:style>
  <w:style w:type="paragraph" w:styleId="ListParagraph">
    <w:name w:val="List Paragraph"/>
    <w:basedOn w:val="Normal"/>
    <w:link w:val="ListParagraphChar"/>
    <w:uiPriority w:val="34"/>
    <w:qFormat/>
    <w:rsid w:val="008F7A9C"/>
    <w:pPr>
      <w:ind w:left="720"/>
      <w:contextualSpacing/>
    </w:pPr>
  </w:style>
  <w:style w:type="paragraph" w:styleId="BodyText">
    <w:name w:val="Body Text"/>
    <w:basedOn w:val="Normal"/>
    <w:link w:val="BodyTextChar"/>
    <w:uiPriority w:val="1"/>
    <w:qFormat/>
    <w:rsid w:val="008F7A9C"/>
    <w:pPr>
      <w:widowControl w:val="0"/>
      <w:autoSpaceDE w:val="0"/>
      <w:autoSpaceDN w:val="0"/>
      <w:adjustRightInd w:val="0"/>
      <w:spacing w:after="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uiPriority w:val="1"/>
    <w:rsid w:val="008F7A9C"/>
    <w:rPr>
      <w:rFonts w:ascii="Times New Roman" w:eastAsia="Times New Roman" w:hAnsi="Times New Roman" w:cs="Times New Roman"/>
      <w:sz w:val="24"/>
      <w:szCs w:val="24"/>
    </w:rPr>
  </w:style>
  <w:style w:type="character" w:customStyle="1" w:styleId="ListParagraphChar">
    <w:name w:val="List Paragraph Char"/>
    <w:link w:val="ListParagraph"/>
    <w:uiPriority w:val="34"/>
    <w:qFormat/>
    <w:rsid w:val="008F7A9C"/>
  </w:style>
  <w:style w:type="character" w:customStyle="1" w:styleId="hgkelc">
    <w:name w:val="hgkelc"/>
    <w:basedOn w:val="DefaultParagraphFont"/>
    <w:rsid w:val="008F7A9C"/>
  </w:style>
  <w:style w:type="character" w:styleId="Emphasis">
    <w:name w:val="Emphasis"/>
    <w:basedOn w:val="DefaultParagraphFont"/>
    <w:uiPriority w:val="20"/>
    <w:qFormat/>
    <w:rsid w:val="005E010A"/>
    <w:rPr>
      <w:i/>
      <w:iCs/>
    </w:rPr>
  </w:style>
  <w:style w:type="character" w:styleId="Hyperlink">
    <w:name w:val="Hyperlink"/>
    <w:basedOn w:val="DefaultParagraphFont"/>
    <w:uiPriority w:val="99"/>
    <w:unhideWhenUsed/>
    <w:rsid w:val="005E010A"/>
    <w:rPr>
      <w:color w:val="0000FF"/>
      <w:u w:val="single"/>
    </w:rPr>
  </w:style>
  <w:style w:type="table" w:styleId="TableGrid">
    <w:name w:val="Table Grid"/>
    <w:basedOn w:val="TableNormal"/>
    <w:uiPriority w:val="39"/>
    <w:rsid w:val="00194C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F17261"/>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rsid w:val="00F17261"/>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F17261"/>
    <w:rPr>
      <w:rFonts w:ascii="Times New Roman" w:eastAsia="Times New Roman" w:hAnsi="Times New Roman" w:cs="Times New Roman"/>
      <w:b/>
      <w:bCs/>
      <w:sz w:val="27"/>
      <w:szCs w:val="27"/>
    </w:rPr>
  </w:style>
  <w:style w:type="character" w:customStyle="1" w:styleId="cite-bracket">
    <w:name w:val="cite-bracket"/>
    <w:basedOn w:val="DefaultParagraphFont"/>
    <w:rsid w:val="00F17261"/>
  </w:style>
  <w:style w:type="paragraph" w:styleId="Header">
    <w:name w:val="header"/>
    <w:basedOn w:val="Normal"/>
    <w:link w:val="HeaderChar"/>
    <w:uiPriority w:val="99"/>
    <w:unhideWhenUsed/>
    <w:rsid w:val="00F17261"/>
    <w:pPr>
      <w:tabs>
        <w:tab w:val="center" w:pos="4680"/>
        <w:tab w:val="right" w:pos="9360"/>
      </w:tabs>
      <w:spacing w:after="0" w:line="240" w:lineRule="auto"/>
    </w:pPr>
    <w:rPr>
      <w:kern w:val="2"/>
      <w:sz w:val="24"/>
      <w:szCs w:val="24"/>
      <w14:ligatures w14:val="standardContextual"/>
    </w:rPr>
  </w:style>
  <w:style w:type="character" w:customStyle="1" w:styleId="HeaderChar">
    <w:name w:val="Header Char"/>
    <w:basedOn w:val="DefaultParagraphFont"/>
    <w:link w:val="Header"/>
    <w:uiPriority w:val="99"/>
    <w:rsid w:val="00F17261"/>
    <w:rPr>
      <w:kern w:val="2"/>
      <w:sz w:val="24"/>
      <w:szCs w:val="24"/>
      <w14:ligatures w14:val="standardContextual"/>
    </w:rPr>
  </w:style>
  <w:style w:type="paragraph" w:styleId="Footer">
    <w:name w:val="footer"/>
    <w:basedOn w:val="Normal"/>
    <w:link w:val="FooterChar"/>
    <w:uiPriority w:val="99"/>
    <w:unhideWhenUsed/>
    <w:rsid w:val="00F17261"/>
    <w:pPr>
      <w:tabs>
        <w:tab w:val="center" w:pos="4680"/>
        <w:tab w:val="right" w:pos="9360"/>
      </w:tabs>
      <w:spacing w:after="0" w:line="240" w:lineRule="auto"/>
    </w:pPr>
    <w:rPr>
      <w:kern w:val="2"/>
      <w:sz w:val="24"/>
      <w:szCs w:val="24"/>
      <w14:ligatures w14:val="standardContextual"/>
    </w:rPr>
  </w:style>
  <w:style w:type="character" w:customStyle="1" w:styleId="FooterChar">
    <w:name w:val="Footer Char"/>
    <w:basedOn w:val="DefaultParagraphFont"/>
    <w:link w:val="Footer"/>
    <w:uiPriority w:val="99"/>
    <w:rsid w:val="00F17261"/>
    <w:rPr>
      <w:kern w:val="2"/>
      <w:sz w:val="24"/>
      <w:szCs w:val="24"/>
      <w14:ligatures w14:val="standardContextual"/>
    </w:rPr>
  </w:style>
  <w:style w:type="character" w:customStyle="1" w:styleId="ls1">
    <w:name w:val="ls1"/>
    <w:basedOn w:val="DefaultParagraphFont"/>
    <w:rsid w:val="00F17261"/>
  </w:style>
  <w:style w:type="character" w:customStyle="1" w:styleId="ff2">
    <w:name w:val="ff2"/>
    <w:basedOn w:val="DefaultParagraphFont"/>
    <w:rsid w:val="00F17261"/>
  </w:style>
  <w:style w:type="character" w:customStyle="1" w:styleId="ls4">
    <w:name w:val="ls4"/>
    <w:basedOn w:val="DefaultParagraphFont"/>
    <w:rsid w:val="00F17261"/>
  </w:style>
  <w:style w:type="character" w:customStyle="1" w:styleId="ms-1">
    <w:name w:val="ms-1"/>
    <w:basedOn w:val="DefaultParagraphFont"/>
    <w:rsid w:val="00F17261"/>
  </w:style>
  <w:style w:type="character" w:customStyle="1" w:styleId="max-w-15ch">
    <w:name w:val="max-w-[15ch]"/>
    <w:basedOn w:val="DefaultParagraphFont"/>
    <w:rsid w:val="00F17261"/>
  </w:style>
  <w:style w:type="character" w:customStyle="1" w:styleId="-me-1">
    <w:name w:val="-me-1"/>
    <w:basedOn w:val="DefaultParagraphFont"/>
    <w:rsid w:val="00F17261"/>
  </w:style>
  <w:style w:type="character" w:customStyle="1" w:styleId="15">
    <w:name w:val="15"/>
    <w:basedOn w:val="DefaultParagraphFont"/>
    <w:rsid w:val="005E7895"/>
    <w:rPr>
      <w:rFonts w:ascii="Calibri" w:hAnsi="Calibri" w:cs="Calibri" w:hint="default"/>
      <w:b/>
      <w:bCs/>
    </w:rPr>
  </w:style>
  <w:style w:type="paragraph" w:styleId="NoSpacing">
    <w:name w:val="No Spacing"/>
    <w:link w:val="NoSpacingChar"/>
    <w:uiPriority w:val="1"/>
    <w:qFormat/>
    <w:rsid w:val="005E7895"/>
    <w:pPr>
      <w:spacing w:after="0" w:line="240" w:lineRule="auto"/>
    </w:pPr>
  </w:style>
  <w:style w:type="character" w:customStyle="1" w:styleId="NoSpacingChar">
    <w:name w:val="No Spacing Char"/>
    <w:link w:val="NoSpacing"/>
    <w:uiPriority w:val="1"/>
    <w:qFormat/>
    <w:rsid w:val="005E7895"/>
  </w:style>
  <w:style w:type="character" w:styleId="UnresolvedMention">
    <w:name w:val="Unresolved Mention"/>
    <w:basedOn w:val="DefaultParagraphFont"/>
    <w:uiPriority w:val="99"/>
    <w:semiHidden/>
    <w:unhideWhenUsed/>
    <w:rsid w:val="00F15B9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655997">
      <w:bodyDiv w:val="1"/>
      <w:marLeft w:val="0"/>
      <w:marRight w:val="0"/>
      <w:marTop w:val="0"/>
      <w:marBottom w:val="0"/>
      <w:divBdr>
        <w:top w:val="none" w:sz="0" w:space="0" w:color="auto"/>
        <w:left w:val="none" w:sz="0" w:space="0" w:color="auto"/>
        <w:bottom w:val="none" w:sz="0" w:space="0" w:color="auto"/>
        <w:right w:val="none" w:sz="0" w:space="0" w:color="auto"/>
      </w:divBdr>
      <w:divsChild>
        <w:div w:id="81075262">
          <w:marLeft w:val="0"/>
          <w:marRight w:val="0"/>
          <w:marTop w:val="0"/>
          <w:marBottom w:val="0"/>
          <w:divBdr>
            <w:top w:val="none" w:sz="0" w:space="0" w:color="auto"/>
            <w:left w:val="none" w:sz="0" w:space="0" w:color="auto"/>
            <w:bottom w:val="none" w:sz="0" w:space="0" w:color="auto"/>
            <w:right w:val="none" w:sz="0" w:space="0" w:color="auto"/>
          </w:divBdr>
          <w:divsChild>
            <w:div w:id="1134829180">
              <w:marLeft w:val="0"/>
              <w:marRight w:val="0"/>
              <w:marTop w:val="0"/>
              <w:marBottom w:val="0"/>
              <w:divBdr>
                <w:top w:val="none" w:sz="0" w:space="0" w:color="auto"/>
                <w:left w:val="none" w:sz="0" w:space="0" w:color="auto"/>
                <w:bottom w:val="none" w:sz="0" w:space="0" w:color="auto"/>
                <w:right w:val="none" w:sz="0" w:space="0" w:color="auto"/>
              </w:divBdr>
              <w:divsChild>
                <w:div w:id="1480877745">
                  <w:marLeft w:val="0"/>
                  <w:marRight w:val="0"/>
                  <w:marTop w:val="0"/>
                  <w:marBottom w:val="0"/>
                  <w:divBdr>
                    <w:top w:val="none" w:sz="0" w:space="0" w:color="auto"/>
                    <w:left w:val="none" w:sz="0" w:space="0" w:color="auto"/>
                    <w:bottom w:val="none" w:sz="0" w:space="0" w:color="auto"/>
                    <w:right w:val="none" w:sz="0" w:space="0" w:color="auto"/>
                  </w:divBdr>
                  <w:divsChild>
                    <w:div w:id="467670497">
                      <w:marLeft w:val="0"/>
                      <w:marRight w:val="0"/>
                      <w:marTop w:val="0"/>
                      <w:marBottom w:val="0"/>
                      <w:divBdr>
                        <w:top w:val="none" w:sz="0" w:space="0" w:color="auto"/>
                        <w:left w:val="none" w:sz="0" w:space="0" w:color="auto"/>
                        <w:bottom w:val="none" w:sz="0" w:space="0" w:color="auto"/>
                        <w:right w:val="none" w:sz="0" w:space="0" w:color="auto"/>
                      </w:divBdr>
                      <w:divsChild>
                        <w:div w:id="1315720298">
                          <w:marLeft w:val="0"/>
                          <w:marRight w:val="0"/>
                          <w:marTop w:val="0"/>
                          <w:marBottom w:val="0"/>
                          <w:divBdr>
                            <w:top w:val="none" w:sz="0" w:space="0" w:color="auto"/>
                            <w:left w:val="none" w:sz="0" w:space="0" w:color="auto"/>
                            <w:bottom w:val="none" w:sz="0" w:space="0" w:color="auto"/>
                            <w:right w:val="none" w:sz="0" w:space="0" w:color="auto"/>
                          </w:divBdr>
                          <w:divsChild>
                            <w:div w:id="11690203">
                              <w:marLeft w:val="0"/>
                              <w:marRight w:val="0"/>
                              <w:marTop w:val="0"/>
                              <w:marBottom w:val="0"/>
                              <w:divBdr>
                                <w:top w:val="none" w:sz="0" w:space="0" w:color="auto"/>
                                <w:left w:val="none" w:sz="0" w:space="0" w:color="auto"/>
                                <w:bottom w:val="none" w:sz="0" w:space="0" w:color="auto"/>
                                <w:right w:val="none" w:sz="0" w:space="0" w:color="auto"/>
                              </w:divBdr>
                              <w:divsChild>
                                <w:div w:id="18944625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4370246">
      <w:bodyDiv w:val="1"/>
      <w:marLeft w:val="0"/>
      <w:marRight w:val="0"/>
      <w:marTop w:val="0"/>
      <w:marBottom w:val="0"/>
      <w:divBdr>
        <w:top w:val="none" w:sz="0" w:space="0" w:color="auto"/>
        <w:left w:val="none" w:sz="0" w:space="0" w:color="auto"/>
        <w:bottom w:val="none" w:sz="0" w:space="0" w:color="auto"/>
        <w:right w:val="none" w:sz="0" w:space="0" w:color="auto"/>
      </w:divBdr>
    </w:div>
    <w:div w:id="209850696">
      <w:bodyDiv w:val="1"/>
      <w:marLeft w:val="0"/>
      <w:marRight w:val="0"/>
      <w:marTop w:val="0"/>
      <w:marBottom w:val="0"/>
      <w:divBdr>
        <w:top w:val="none" w:sz="0" w:space="0" w:color="auto"/>
        <w:left w:val="none" w:sz="0" w:space="0" w:color="auto"/>
        <w:bottom w:val="none" w:sz="0" w:space="0" w:color="auto"/>
        <w:right w:val="none" w:sz="0" w:space="0" w:color="auto"/>
      </w:divBdr>
    </w:div>
    <w:div w:id="242566204">
      <w:bodyDiv w:val="1"/>
      <w:marLeft w:val="0"/>
      <w:marRight w:val="0"/>
      <w:marTop w:val="0"/>
      <w:marBottom w:val="0"/>
      <w:divBdr>
        <w:top w:val="none" w:sz="0" w:space="0" w:color="auto"/>
        <w:left w:val="none" w:sz="0" w:space="0" w:color="auto"/>
        <w:bottom w:val="none" w:sz="0" w:space="0" w:color="auto"/>
        <w:right w:val="none" w:sz="0" w:space="0" w:color="auto"/>
      </w:divBdr>
    </w:div>
    <w:div w:id="260797515">
      <w:bodyDiv w:val="1"/>
      <w:marLeft w:val="0"/>
      <w:marRight w:val="0"/>
      <w:marTop w:val="0"/>
      <w:marBottom w:val="0"/>
      <w:divBdr>
        <w:top w:val="none" w:sz="0" w:space="0" w:color="auto"/>
        <w:left w:val="none" w:sz="0" w:space="0" w:color="auto"/>
        <w:bottom w:val="none" w:sz="0" w:space="0" w:color="auto"/>
        <w:right w:val="none" w:sz="0" w:space="0" w:color="auto"/>
      </w:divBdr>
    </w:div>
    <w:div w:id="326134211">
      <w:bodyDiv w:val="1"/>
      <w:marLeft w:val="0"/>
      <w:marRight w:val="0"/>
      <w:marTop w:val="0"/>
      <w:marBottom w:val="0"/>
      <w:divBdr>
        <w:top w:val="none" w:sz="0" w:space="0" w:color="auto"/>
        <w:left w:val="none" w:sz="0" w:space="0" w:color="auto"/>
        <w:bottom w:val="none" w:sz="0" w:space="0" w:color="auto"/>
        <w:right w:val="none" w:sz="0" w:space="0" w:color="auto"/>
      </w:divBdr>
    </w:div>
    <w:div w:id="389305628">
      <w:bodyDiv w:val="1"/>
      <w:marLeft w:val="0"/>
      <w:marRight w:val="0"/>
      <w:marTop w:val="0"/>
      <w:marBottom w:val="0"/>
      <w:divBdr>
        <w:top w:val="none" w:sz="0" w:space="0" w:color="auto"/>
        <w:left w:val="none" w:sz="0" w:space="0" w:color="auto"/>
        <w:bottom w:val="none" w:sz="0" w:space="0" w:color="auto"/>
        <w:right w:val="none" w:sz="0" w:space="0" w:color="auto"/>
      </w:divBdr>
    </w:div>
    <w:div w:id="769202884">
      <w:bodyDiv w:val="1"/>
      <w:marLeft w:val="0"/>
      <w:marRight w:val="0"/>
      <w:marTop w:val="0"/>
      <w:marBottom w:val="0"/>
      <w:divBdr>
        <w:top w:val="none" w:sz="0" w:space="0" w:color="auto"/>
        <w:left w:val="none" w:sz="0" w:space="0" w:color="auto"/>
        <w:bottom w:val="none" w:sz="0" w:space="0" w:color="auto"/>
        <w:right w:val="none" w:sz="0" w:space="0" w:color="auto"/>
      </w:divBdr>
    </w:div>
    <w:div w:id="880288320">
      <w:bodyDiv w:val="1"/>
      <w:marLeft w:val="0"/>
      <w:marRight w:val="0"/>
      <w:marTop w:val="0"/>
      <w:marBottom w:val="0"/>
      <w:divBdr>
        <w:top w:val="none" w:sz="0" w:space="0" w:color="auto"/>
        <w:left w:val="none" w:sz="0" w:space="0" w:color="auto"/>
        <w:bottom w:val="none" w:sz="0" w:space="0" w:color="auto"/>
        <w:right w:val="none" w:sz="0" w:space="0" w:color="auto"/>
      </w:divBdr>
    </w:div>
    <w:div w:id="911740707">
      <w:bodyDiv w:val="1"/>
      <w:marLeft w:val="0"/>
      <w:marRight w:val="0"/>
      <w:marTop w:val="0"/>
      <w:marBottom w:val="0"/>
      <w:divBdr>
        <w:top w:val="none" w:sz="0" w:space="0" w:color="auto"/>
        <w:left w:val="none" w:sz="0" w:space="0" w:color="auto"/>
        <w:bottom w:val="none" w:sz="0" w:space="0" w:color="auto"/>
        <w:right w:val="none" w:sz="0" w:space="0" w:color="auto"/>
      </w:divBdr>
    </w:div>
    <w:div w:id="939683708">
      <w:bodyDiv w:val="1"/>
      <w:marLeft w:val="0"/>
      <w:marRight w:val="0"/>
      <w:marTop w:val="0"/>
      <w:marBottom w:val="0"/>
      <w:divBdr>
        <w:top w:val="none" w:sz="0" w:space="0" w:color="auto"/>
        <w:left w:val="none" w:sz="0" w:space="0" w:color="auto"/>
        <w:bottom w:val="none" w:sz="0" w:space="0" w:color="auto"/>
        <w:right w:val="none" w:sz="0" w:space="0" w:color="auto"/>
      </w:divBdr>
      <w:divsChild>
        <w:div w:id="1311520770">
          <w:marLeft w:val="0"/>
          <w:marRight w:val="0"/>
          <w:marTop w:val="0"/>
          <w:marBottom w:val="0"/>
          <w:divBdr>
            <w:top w:val="none" w:sz="0" w:space="0" w:color="auto"/>
            <w:left w:val="none" w:sz="0" w:space="0" w:color="auto"/>
            <w:bottom w:val="none" w:sz="0" w:space="0" w:color="auto"/>
            <w:right w:val="none" w:sz="0" w:space="0" w:color="auto"/>
          </w:divBdr>
          <w:divsChild>
            <w:div w:id="828332013">
              <w:marLeft w:val="0"/>
              <w:marRight w:val="0"/>
              <w:marTop w:val="0"/>
              <w:marBottom w:val="0"/>
              <w:divBdr>
                <w:top w:val="none" w:sz="0" w:space="0" w:color="auto"/>
                <w:left w:val="none" w:sz="0" w:space="0" w:color="auto"/>
                <w:bottom w:val="none" w:sz="0" w:space="0" w:color="auto"/>
                <w:right w:val="none" w:sz="0" w:space="0" w:color="auto"/>
              </w:divBdr>
              <w:divsChild>
                <w:div w:id="1914656218">
                  <w:marLeft w:val="0"/>
                  <w:marRight w:val="0"/>
                  <w:marTop w:val="0"/>
                  <w:marBottom w:val="0"/>
                  <w:divBdr>
                    <w:top w:val="none" w:sz="0" w:space="0" w:color="auto"/>
                    <w:left w:val="none" w:sz="0" w:space="0" w:color="auto"/>
                    <w:bottom w:val="none" w:sz="0" w:space="0" w:color="auto"/>
                    <w:right w:val="none" w:sz="0" w:space="0" w:color="auto"/>
                  </w:divBdr>
                  <w:divsChild>
                    <w:div w:id="1307663583">
                      <w:marLeft w:val="0"/>
                      <w:marRight w:val="0"/>
                      <w:marTop w:val="0"/>
                      <w:marBottom w:val="0"/>
                      <w:divBdr>
                        <w:top w:val="none" w:sz="0" w:space="0" w:color="auto"/>
                        <w:left w:val="none" w:sz="0" w:space="0" w:color="auto"/>
                        <w:bottom w:val="none" w:sz="0" w:space="0" w:color="auto"/>
                        <w:right w:val="none" w:sz="0" w:space="0" w:color="auto"/>
                      </w:divBdr>
                      <w:divsChild>
                        <w:div w:id="595603244">
                          <w:marLeft w:val="0"/>
                          <w:marRight w:val="0"/>
                          <w:marTop w:val="0"/>
                          <w:marBottom w:val="0"/>
                          <w:divBdr>
                            <w:top w:val="none" w:sz="0" w:space="0" w:color="auto"/>
                            <w:left w:val="none" w:sz="0" w:space="0" w:color="auto"/>
                            <w:bottom w:val="none" w:sz="0" w:space="0" w:color="auto"/>
                            <w:right w:val="none" w:sz="0" w:space="0" w:color="auto"/>
                          </w:divBdr>
                          <w:divsChild>
                            <w:div w:id="1266961020">
                              <w:marLeft w:val="0"/>
                              <w:marRight w:val="0"/>
                              <w:marTop w:val="0"/>
                              <w:marBottom w:val="0"/>
                              <w:divBdr>
                                <w:top w:val="none" w:sz="0" w:space="0" w:color="auto"/>
                                <w:left w:val="none" w:sz="0" w:space="0" w:color="auto"/>
                                <w:bottom w:val="none" w:sz="0" w:space="0" w:color="auto"/>
                                <w:right w:val="none" w:sz="0" w:space="0" w:color="auto"/>
                              </w:divBdr>
                              <w:divsChild>
                                <w:div w:id="1391417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63577582">
      <w:bodyDiv w:val="1"/>
      <w:marLeft w:val="0"/>
      <w:marRight w:val="0"/>
      <w:marTop w:val="0"/>
      <w:marBottom w:val="0"/>
      <w:divBdr>
        <w:top w:val="none" w:sz="0" w:space="0" w:color="auto"/>
        <w:left w:val="none" w:sz="0" w:space="0" w:color="auto"/>
        <w:bottom w:val="none" w:sz="0" w:space="0" w:color="auto"/>
        <w:right w:val="none" w:sz="0" w:space="0" w:color="auto"/>
      </w:divBdr>
    </w:div>
    <w:div w:id="1018234106">
      <w:bodyDiv w:val="1"/>
      <w:marLeft w:val="0"/>
      <w:marRight w:val="0"/>
      <w:marTop w:val="0"/>
      <w:marBottom w:val="0"/>
      <w:divBdr>
        <w:top w:val="none" w:sz="0" w:space="0" w:color="auto"/>
        <w:left w:val="none" w:sz="0" w:space="0" w:color="auto"/>
        <w:bottom w:val="none" w:sz="0" w:space="0" w:color="auto"/>
        <w:right w:val="none" w:sz="0" w:space="0" w:color="auto"/>
      </w:divBdr>
    </w:div>
    <w:div w:id="1047335753">
      <w:bodyDiv w:val="1"/>
      <w:marLeft w:val="0"/>
      <w:marRight w:val="0"/>
      <w:marTop w:val="0"/>
      <w:marBottom w:val="0"/>
      <w:divBdr>
        <w:top w:val="none" w:sz="0" w:space="0" w:color="auto"/>
        <w:left w:val="none" w:sz="0" w:space="0" w:color="auto"/>
        <w:bottom w:val="none" w:sz="0" w:space="0" w:color="auto"/>
        <w:right w:val="none" w:sz="0" w:space="0" w:color="auto"/>
      </w:divBdr>
    </w:div>
    <w:div w:id="1205632257">
      <w:bodyDiv w:val="1"/>
      <w:marLeft w:val="0"/>
      <w:marRight w:val="0"/>
      <w:marTop w:val="0"/>
      <w:marBottom w:val="0"/>
      <w:divBdr>
        <w:top w:val="none" w:sz="0" w:space="0" w:color="auto"/>
        <w:left w:val="none" w:sz="0" w:space="0" w:color="auto"/>
        <w:bottom w:val="none" w:sz="0" w:space="0" w:color="auto"/>
        <w:right w:val="none" w:sz="0" w:space="0" w:color="auto"/>
      </w:divBdr>
    </w:div>
    <w:div w:id="1330594047">
      <w:bodyDiv w:val="1"/>
      <w:marLeft w:val="0"/>
      <w:marRight w:val="0"/>
      <w:marTop w:val="0"/>
      <w:marBottom w:val="0"/>
      <w:divBdr>
        <w:top w:val="none" w:sz="0" w:space="0" w:color="auto"/>
        <w:left w:val="none" w:sz="0" w:space="0" w:color="auto"/>
        <w:bottom w:val="none" w:sz="0" w:space="0" w:color="auto"/>
        <w:right w:val="none" w:sz="0" w:space="0" w:color="auto"/>
      </w:divBdr>
    </w:div>
    <w:div w:id="1336495549">
      <w:bodyDiv w:val="1"/>
      <w:marLeft w:val="0"/>
      <w:marRight w:val="0"/>
      <w:marTop w:val="0"/>
      <w:marBottom w:val="0"/>
      <w:divBdr>
        <w:top w:val="none" w:sz="0" w:space="0" w:color="auto"/>
        <w:left w:val="none" w:sz="0" w:space="0" w:color="auto"/>
        <w:bottom w:val="none" w:sz="0" w:space="0" w:color="auto"/>
        <w:right w:val="none" w:sz="0" w:space="0" w:color="auto"/>
      </w:divBdr>
      <w:divsChild>
        <w:div w:id="1375882995">
          <w:marLeft w:val="0"/>
          <w:marRight w:val="0"/>
          <w:marTop w:val="0"/>
          <w:marBottom w:val="0"/>
          <w:divBdr>
            <w:top w:val="none" w:sz="0" w:space="0" w:color="auto"/>
            <w:left w:val="none" w:sz="0" w:space="0" w:color="auto"/>
            <w:bottom w:val="none" w:sz="0" w:space="0" w:color="auto"/>
            <w:right w:val="none" w:sz="0" w:space="0" w:color="auto"/>
          </w:divBdr>
          <w:divsChild>
            <w:div w:id="1918205316">
              <w:marLeft w:val="0"/>
              <w:marRight w:val="0"/>
              <w:marTop w:val="0"/>
              <w:marBottom w:val="0"/>
              <w:divBdr>
                <w:top w:val="none" w:sz="0" w:space="0" w:color="auto"/>
                <w:left w:val="none" w:sz="0" w:space="0" w:color="auto"/>
                <w:bottom w:val="none" w:sz="0" w:space="0" w:color="auto"/>
                <w:right w:val="none" w:sz="0" w:space="0" w:color="auto"/>
              </w:divBdr>
              <w:divsChild>
                <w:div w:id="1722747537">
                  <w:marLeft w:val="0"/>
                  <w:marRight w:val="0"/>
                  <w:marTop w:val="0"/>
                  <w:marBottom w:val="0"/>
                  <w:divBdr>
                    <w:top w:val="none" w:sz="0" w:space="0" w:color="auto"/>
                    <w:left w:val="none" w:sz="0" w:space="0" w:color="auto"/>
                    <w:bottom w:val="none" w:sz="0" w:space="0" w:color="auto"/>
                    <w:right w:val="none" w:sz="0" w:space="0" w:color="auto"/>
                  </w:divBdr>
                  <w:divsChild>
                    <w:div w:id="938177200">
                      <w:marLeft w:val="0"/>
                      <w:marRight w:val="0"/>
                      <w:marTop w:val="0"/>
                      <w:marBottom w:val="0"/>
                      <w:divBdr>
                        <w:top w:val="none" w:sz="0" w:space="0" w:color="auto"/>
                        <w:left w:val="none" w:sz="0" w:space="0" w:color="auto"/>
                        <w:bottom w:val="none" w:sz="0" w:space="0" w:color="auto"/>
                        <w:right w:val="none" w:sz="0" w:space="0" w:color="auto"/>
                      </w:divBdr>
                      <w:divsChild>
                        <w:div w:id="904687251">
                          <w:marLeft w:val="0"/>
                          <w:marRight w:val="0"/>
                          <w:marTop w:val="0"/>
                          <w:marBottom w:val="0"/>
                          <w:divBdr>
                            <w:top w:val="none" w:sz="0" w:space="0" w:color="auto"/>
                            <w:left w:val="none" w:sz="0" w:space="0" w:color="auto"/>
                            <w:bottom w:val="none" w:sz="0" w:space="0" w:color="auto"/>
                            <w:right w:val="none" w:sz="0" w:space="0" w:color="auto"/>
                          </w:divBdr>
                          <w:divsChild>
                            <w:div w:id="1830637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68487381">
      <w:bodyDiv w:val="1"/>
      <w:marLeft w:val="0"/>
      <w:marRight w:val="0"/>
      <w:marTop w:val="0"/>
      <w:marBottom w:val="0"/>
      <w:divBdr>
        <w:top w:val="none" w:sz="0" w:space="0" w:color="auto"/>
        <w:left w:val="none" w:sz="0" w:space="0" w:color="auto"/>
        <w:bottom w:val="none" w:sz="0" w:space="0" w:color="auto"/>
        <w:right w:val="none" w:sz="0" w:space="0" w:color="auto"/>
      </w:divBdr>
    </w:div>
    <w:div w:id="1402677920">
      <w:bodyDiv w:val="1"/>
      <w:marLeft w:val="0"/>
      <w:marRight w:val="0"/>
      <w:marTop w:val="0"/>
      <w:marBottom w:val="0"/>
      <w:divBdr>
        <w:top w:val="none" w:sz="0" w:space="0" w:color="auto"/>
        <w:left w:val="none" w:sz="0" w:space="0" w:color="auto"/>
        <w:bottom w:val="none" w:sz="0" w:space="0" w:color="auto"/>
        <w:right w:val="none" w:sz="0" w:space="0" w:color="auto"/>
      </w:divBdr>
    </w:div>
    <w:div w:id="1434282410">
      <w:bodyDiv w:val="1"/>
      <w:marLeft w:val="0"/>
      <w:marRight w:val="0"/>
      <w:marTop w:val="0"/>
      <w:marBottom w:val="0"/>
      <w:divBdr>
        <w:top w:val="none" w:sz="0" w:space="0" w:color="auto"/>
        <w:left w:val="none" w:sz="0" w:space="0" w:color="auto"/>
        <w:bottom w:val="none" w:sz="0" w:space="0" w:color="auto"/>
        <w:right w:val="none" w:sz="0" w:space="0" w:color="auto"/>
      </w:divBdr>
    </w:div>
    <w:div w:id="1467771455">
      <w:bodyDiv w:val="1"/>
      <w:marLeft w:val="0"/>
      <w:marRight w:val="0"/>
      <w:marTop w:val="0"/>
      <w:marBottom w:val="0"/>
      <w:divBdr>
        <w:top w:val="none" w:sz="0" w:space="0" w:color="auto"/>
        <w:left w:val="none" w:sz="0" w:space="0" w:color="auto"/>
        <w:bottom w:val="none" w:sz="0" w:space="0" w:color="auto"/>
        <w:right w:val="none" w:sz="0" w:space="0" w:color="auto"/>
      </w:divBdr>
    </w:div>
    <w:div w:id="1497957072">
      <w:bodyDiv w:val="1"/>
      <w:marLeft w:val="0"/>
      <w:marRight w:val="0"/>
      <w:marTop w:val="0"/>
      <w:marBottom w:val="0"/>
      <w:divBdr>
        <w:top w:val="none" w:sz="0" w:space="0" w:color="auto"/>
        <w:left w:val="none" w:sz="0" w:space="0" w:color="auto"/>
        <w:bottom w:val="none" w:sz="0" w:space="0" w:color="auto"/>
        <w:right w:val="none" w:sz="0" w:space="0" w:color="auto"/>
      </w:divBdr>
    </w:div>
    <w:div w:id="1648893418">
      <w:bodyDiv w:val="1"/>
      <w:marLeft w:val="0"/>
      <w:marRight w:val="0"/>
      <w:marTop w:val="0"/>
      <w:marBottom w:val="0"/>
      <w:divBdr>
        <w:top w:val="none" w:sz="0" w:space="0" w:color="auto"/>
        <w:left w:val="none" w:sz="0" w:space="0" w:color="auto"/>
        <w:bottom w:val="none" w:sz="0" w:space="0" w:color="auto"/>
        <w:right w:val="none" w:sz="0" w:space="0" w:color="auto"/>
      </w:divBdr>
    </w:div>
    <w:div w:id="1746221164">
      <w:bodyDiv w:val="1"/>
      <w:marLeft w:val="0"/>
      <w:marRight w:val="0"/>
      <w:marTop w:val="0"/>
      <w:marBottom w:val="0"/>
      <w:divBdr>
        <w:top w:val="none" w:sz="0" w:space="0" w:color="auto"/>
        <w:left w:val="none" w:sz="0" w:space="0" w:color="auto"/>
        <w:bottom w:val="none" w:sz="0" w:space="0" w:color="auto"/>
        <w:right w:val="none" w:sz="0" w:space="0" w:color="auto"/>
      </w:divBdr>
    </w:div>
    <w:div w:id="1830900211">
      <w:bodyDiv w:val="1"/>
      <w:marLeft w:val="0"/>
      <w:marRight w:val="0"/>
      <w:marTop w:val="0"/>
      <w:marBottom w:val="0"/>
      <w:divBdr>
        <w:top w:val="none" w:sz="0" w:space="0" w:color="auto"/>
        <w:left w:val="none" w:sz="0" w:space="0" w:color="auto"/>
        <w:bottom w:val="none" w:sz="0" w:space="0" w:color="auto"/>
        <w:right w:val="none" w:sz="0" w:space="0" w:color="auto"/>
      </w:divBdr>
    </w:div>
    <w:div w:id="1854491215">
      <w:bodyDiv w:val="1"/>
      <w:marLeft w:val="0"/>
      <w:marRight w:val="0"/>
      <w:marTop w:val="0"/>
      <w:marBottom w:val="0"/>
      <w:divBdr>
        <w:top w:val="none" w:sz="0" w:space="0" w:color="auto"/>
        <w:left w:val="none" w:sz="0" w:space="0" w:color="auto"/>
        <w:bottom w:val="none" w:sz="0" w:space="0" w:color="auto"/>
        <w:right w:val="none" w:sz="0" w:space="0" w:color="auto"/>
      </w:divBdr>
      <w:divsChild>
        <w:div w:id="703869685">
          <w:marLeft w:val="0"/>
          <w:marRight w:val="0"/>
          <w:marTop w:val="0"/>
          <w:marBottom w:val="0"/>
          <w:divBdr>
            <w:top w:val="none" w:sz="0" w:space="0" w:color="auto"/>
            <w:left w:val="none" w:sz="0" w:space="0" w:color="auto"/>
            <w:bottom w:val="none" w:sz="0" w:space="0" w:color="auto"/>
            <w:right w:val="none" w:sz="0" w:space="0" w:color="auto"/>
          </w:divBdr>
          <w:divsChild>
            <w:div w:id="1199051511">
              <w:marLeft w:val="0"/>
              <w:marRight w:val="0"/>
              <w:marTop w:val="0"/>
              <w:marBottom w:val="0"/>
              <w:divBdr>
                <w:top w:val="none" w:sz="0" w:space="0" w:color="auto"/>
                <w:left w:val="none" w:sz="0" w:space="0" w:color="auto"/>
                <w:bottom w:val="none" w:sz="0" w:space="0" w:color="auto"/>
                <w:right w:val="none" w:sz="0" w:space="0" w:color="auto"/>
              </w:divBdr>
              <w:divsChild>
                <w:div w:id="864296237">
                  <w:marLeft w:val="0"/>
                  <w:marRight w:val="0"/>
                  <w:marTop w:val="0"/>
                  <w:marBottom w:val="0"/>
                  <w:divBdr>
                    <w:top w:val="none" w:sz="0" w:space="0" w:color="auto"/>
                    <w:left w:val="none" w:sz="0" w:space="0" w:color="auto"/>
                    <w:bottom w:val="none" w:sz="0" w:space="0" w:color="auto"/>
                    <w:right w:val="none" w:sz="0" w:space="0" w:color="auto"/>
                  </w:divBdr>
                  <w:divsChild>
                    <w:div w:id="646595176">
                      <w:marLeft w:val="0"/>
                      <w:marRight w:val="0"/>
                      <w:marTop w:val="0"/>
                      <w:marBottom w:val="0"/>
                      <w:divBdr>
                        <w:top w:val="none" w:sz="0" w:space="0" w:color="auto"/>
                        <w:left w:val="none" w:sz="0" w:space="0" w:color="auto"/>
                        <w:bottom w:val="none" w:sz="0" w:space="0" w:color="auto"/>
                        <w:right w:val="none" w:sz="0" w:space="0" w:color="auto"/>
                      </w:divBdr>
                      <w:divsChild>
                        <w:div w:id="3939071">
                          <w:marLeft w:val="0"/>
                          <w:marRight w:val="0"/>
                          <w:marTop w:val="0"/>
                          <w:marBottom w:val="0"/>
                          <w:divBdr>
                            <w:top w:val="none" w:sz="0" w:space="0" w:color="auto"/>
                            <w:left w:val="none" w:sz="0" w:space="0" w:color="auto"/>
                            <w:bottom w:val="none" w:sz="0" w:space="0" w:color="auto"/>
                            <w:right w:val="none" w:sz="0" w:space="0" w:color="auto"/>
                          </w:divBdr>
                          <w:divsChild>
                            <w:div w:id="1099787939">
                              <w:marLeft w:val="0"/>
                              <w:marRight w:val="0"/>
                              <w:marTop w:val="0"/>
                              <w:marBottom w:val="0"/>
                              <w:divBdr>
                                <w:top w:val="none" w:sz="0" w:space="0" w:color="auto"/>
                                <w:left w:val="none" w:sz="0" w:space="0" w:color="auto"/>
                                <w:bottom w:val="none" w:sz="0" w:space="0" w:color="auto"/>
                                <w:right w:val="none" w:sz="0" w:space="0" w:color="auto"/>
                              </w:divBdr>
                              <w:divsChild>
                                <w:div w:id="651180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36327320">
      <w:bodyDiv w:val="1"/>
      <w:marLeft w:val="0"/>
      <w:marRight w:val="0"/>
      <w:marTop w:val="0"/>
      <w:marBottom w:val="0"/>
      <w:divBdr>
        <w:top w:val="none" w:sz="0" w:space="0" w:color="auto"/>
        <w:left w:val="none" w:sz="0" w:space="0" w:color="auto"/>
        <w:bottom w:val="none" w:sz="0" w:space="0" w:color="auto"/>
        <w:right w:val="none" w:sz="0" w:space="0" w:color="auto"/>
      </w:divBdr>
    </w:div>
    <w:div w:id="2114324364">
      <w:bodyDiv w:val="1"/>
      <w:marLeft w:val="0"/>
      <w:marRight w:val="0"/>
      <w:marTop w:val="0"/>
      <w:marBottom w:val="0"/>
      <w:divBdr>
        <w:top w:val="none" w:sz="0" w:space="0" w:color="auto"/>
        <w:left w:val="none" w:sz="0" w:space="0" w:color="auto"/>
        <w:bottom w:val="none" w:sz="0" w:space="0" w:color="auto"/>
        <w:right w:val="none" w:sz="0" w:space="0" w:color="auto"/>
      </w:divBdr>
    </w:div>
    <w:div w:id="2119132429">
      <w:bodyDiv w:val="1"/>
      <w:marLeft w:val="0"/>
      <w:marRight w:val="0"/>
      <w:marTop w:val="0"/>
      <w:marBottom w:val="0"/>
      <w:divBdr>
        <w:top w:val="none" w:sz="0" w:space="0" w:color="auto"/>
        <w:left w:val="none" w:sz="0" w:space="0" w:color="auto"/>
        <w:bottom w:val="none" w:sz="0" w:space="0" w:color="auto"/>
        <w:right w:val="none" w:sz="0" w:space="0" w:color="auto"/>
      </w:divBdr>
    </w:div>
    <w:div w:id="2128155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1278</TotalTime>
  <Pages>15</Pages>
  <Words>6159</Words>
  <Characters>35109</Characters>
  <Application>Microsoft Office Word</Application>
  <DocSecurity>0</DocSecurity>
  <Lines>292</Lines>
  <Paragraphs>82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41186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2026_AJRMMS_2630</dc:title>
  <dc:subject/>
  <dc:creator>BARBS</dc:creator>
  <cp:keywords/>
  <dc:description/>
  <cp:lastModifiedBy>SDI CPU 1117</cp:lastModifiedBy>
  <cp:revision>227</cp:revision>
  <dcterms:created xsi:type="dcterms:W3CDTF">2025-10-08T13:06:00Z</dcterms:created>
  <dcterms:modified xsi:type="dcterms:W3CDTF">2026-06-24T11:29:00Z</dcterms:modified>
</cp:coreProperties>
</file>