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F8771" w14:textId="77777777" w:rsidR="00A73316" w:rsidRDefault="00FE6880" w:rsidP="00FE6880">
      <w:pPr>
        <w:jc w:val="center"/>
        <w:rPr>
          <w:rFonts w:ascii="Times New Roman" w:hAnsi="Times New Roman" w:cs="Times New Roman"/>
          <w:b/>
          <w:sz w:val="24"/>
          <w:szCs w:val="24"/>
        </w:rPr>
      </w:pPr>
      <w:r w:rsidRPr="00FE6880">
        <w:rPr>
          <w:rFonts w:ascii="Times New Roman" w:hAnsi="Times New Roman" w:cs="Times New Roman"/>
          <w:b/>
          <w:sz w:val="24"/>
          <w:szCs w:val="24"/>
        </w:rPr>
        <w:t>A Mathematical Model for Macroeconomic and Regulatory Stress Effects on Bank Valuation</w:t>
      </w:r>
    </w:p>
    <w:p w14:paraId="6ECB983F" w14:textId="77777777" w:rsidR="00B66923" w:rsidRDefault="00B66923" w:rsidP="00B66923">
      <w:pPr>
        <w:spacing w:after="0"/>
        <w:jc w:val="both"/>
      </w:pPr>
    </w:p>
    <w:p w14:paraId="139C8A73" w14:textId="77777777" w:rsidR="006127D3" w:rsidRPr="006127D3" w:rsidRDefault="006127D3" w:rsidP="00B66923">
      <w:pPr>
        <w:spacing w:after="0"/>
        <w:jc w:val="both"/>
        <w:rPr>
          <w:b/>
          <w:color w:val="FF0000"/>
        </w:rPr>
      </w:pPr>
    </w:p>
    <w:p w14:paraId="77780BB5" w14:textId="77777777" w:rsidR="00B66923" w:rsidRPr="00F620E2" w:rsidRDefault="00B66923" w:rsidP="00B66923">
      <w:pPr>
        <w:jc w:val="both"/>
        <w:rPr>
          <w:rFonts w:ascii="Times New Roman" w:hAnsi="Times New Roman" w:cs="Times New Roman"/>
          <w:b/>
          <w:bCs/>
          <w:sz w:val="24"/>
          <w:szCs w:val="24"/>
        </w:rPr>
      </w:pPr>
      <w:r w:rsidRPr="00F620E2">
        <w:rPr>
          <w:rFonts w:ascii="Times New Roman" w:hAnsi="Times New Roman" w:cs="Times New Roman"/>
          <w:b/>
          <w:bCs/>
          <w:sz w:val="24"/>
          <w:szCs w:val="24"/>
        </w:rPr>
        <w:t>Abstract</w:t>
      </w:r>
    </w:p>
    <w:p w14:paraId="51F60BC1" w14:textId="77777777" w:rsidR="0028150D" w:rsidRDefault="0028150D" w:rsidP="00B66923">
      <w:pPr>
        <w:jc w:val="both"/>
        <w:rPr>
          <w:rFonts w:ascii="Times New Roman" w:hAnsi="Times New Roman" w:cs="Times New Roman"/>
          <w:b/>
          <w:sz w:val="24"/>
          <w:szCs w:val="24"/>
        </w:rPr>
      </w:pPr>
      <w:r w:rsidRPr="0028150D">
        <w:rPr>
          <w:highlight w:val="yellow"/>
        </w:rPr>
        <w:t xml:space="preserve">This study develops a two-model Geometric Brownian Motion (GBM) framework to examine the effects of macroeconomic growth, regulatory stress, and stochastic shocks on bank valuation. The first specification incorporates an exponential-decay adjustment to represent valuation erosion under regulatory pressure, while the second introduces an exponential-growth adjustment to reflect inflation and economic growth effects. Closed-form solutions are obtained through </w:t>
      </w:r>
      <w:proofErr w:type="spellStart"/>
      <w:r w:rsidRPr="0028150D">
        <w:rPr>
          <w:highlight w:val="yellow"/>
        </w:rPr>
        <w:t>Itô’s</w:t>
      </w:r>
      <w:proofErr w:type="spellEnd"/>
      <w:r w:rsidRPr="0028150D">
        <w:rPr>
          <w:highlight w:val="yellow"/>
        </w:rPr>
        <w:t xml:space="preserve"> formula, and Brownian motion paths are used to illustrate the source of stochastic variability. Simulated valuation paths demonstrate how assets with common starting values can diverge over time because of volatility and random shocks. Sensitivity analysis of the decay-adjusted model shows that the relationship between the decay parameter and the drift determines whether expected valuations decrease, remain stable, or increase. For the growth-adjusted model, the simulations show that a common positive growth component can still generate both upward and downward trajectories when stochastic shocks differ across paths. The analysis further indicates that changes in the growth-adjustment parameter influence long-term path dispersion. Together, the two specifications provide a structured stochastic representation of how deterministic growth or decay components interact with market randomness in bank valuation. The framework is intended to support stress-testing, forecasting, and investment analysis in the Nigerian banking context while retaining the analytical tractability of a GBM-based model.</w:t>
      </w:r>
      <w:r w:rsidRPr="0059211E">
        <w:rPr>
          <w:rFonts w:ascii="Times New Roman" w:hAnsi="Times New Roman" w:cs="Times New Roman"/>
          <w:b/>
          <w:sz w:val="24"/>
          <w:szCs w:val="24"/>
        </w:rPr>
        <w:t xml:space="preserve"> </w:t>
      </w:r>
    </w:p>
    <w:p w14:paraId="0BFB7A01" w14:textId="4DA1C457" w:rsidR="002B5A0F" w:rsidRPr="002420DA" w:rsidRDefault="00B66923" w:rsidP="00B66923">
      <w:pPr>
        <w:jc w:val="both"/>
        <w:rPr>
          <w:rFonts w:ascii="Times New Roman" w:hAnsi="Times New Roman" w:cs="Times New Roman"/>
          <w:sz w:val="24"/>
          <w:szCs w:val="24"/>
        </w:rPr>
      </w:pPr>
      <w:r w:rsidRPr="0059211E">
        <w:rPr>
          <w:rFonts w:ascii="Times New Roman" w:hAnsi="Times New Roman" w:cs="Times New Roman"/>
          <w:b/>
          <w:sz w:val="24"/>
          <w:szCs w:val="24"/>
        </w:rPr>
        <w:t xml:space="preserve">Keywords: </w:t>
      </w:r>
      <w:r w:rsidR="007A3D5F">
        <w:rPr>
          <w:rFonts w:ascii="Times New Roman" w:hAnsi="Times New Roman" w:cs="Times New Roman"/>
          <w:b/>
          <w:sz w:val="24"/>
          <w:szCs w:val="24"/>
        </w:rPr>
        <w:t>Stochastic processes</w:t>
      </w:r>
      <w:r>
        <w:rPr>
          <w:rFonts w:ascii="Times New Roman" w:hAnsi="Times New Roman" w:cs="Times New Roman"/>
          <w:b/>
          <w:sz w:val="24"/>
          <w:szCs w:val="24"/>
        </w:rPr>
        <w:t>, GBM, Exponential Decay</w:t>
      </w:r>
      <w:r w:rsidR="007A3D5F">
        <w:rPr>
          <w:rFonts w:ascii="Times New Roman" w:hAnsi="Times New Roman" w:cs="Times New Roman"/>
          <w:b/>
          <w:sz w:val="24"/>
          <w:szCs w:val="24"/>
        </w:rPr>
        <w:t>,</w:t>
      </w:r>
      <w:r>
        <w:rPr>
          <w:rFonts w:ascii="Times New Roman" w:hAnsi="Times New Roman" w:cs="Times New Roman"/>
          <w:b/>
          <w:sz w:val="24"/>
          <w:szCs w:val="24"/>
        </w:rPr>
        <w:t xml:space="preserve"> </w:t>
      </w:r>
      <w:r w:rsidR="007A3D5F">
        <w:rPr>
          <w:rFonts w:ascii="Times New Roman" w:hAnsi="Times New Roman" w:cs="Times New Roman"/>
          <w:b/>
          <w:sz w:val="24"/>
          <w:szCs w:val="24"/>
        </w:rPr>
        <w:t xml:space="preserve">Exponential Growth </w:t>
      </w:r>
      <w:r>
        <w:rPr>
          <w:rFonts w:ascii="Times New Roman" w:hAnsi="Times New Roman" w:cs="Times New Roman"/>
          <w:b/>
          <w:sz w:val="24"/>
          <w:szCs w:val="24"/>
        </w:rPr>
        <w:t>and Initial Stock prices</w:t>
      </w:r>
    </w:p>
    <w:p w14:paraId="49842ADD" w14:textId="77777777" w:rsidR="00B66923" w:rsidRPr="006766C1" w:rsidRDefault="00B66923" w:rsidP="00B66923">
      <w:pPr>
        <w:spacing w:before="240" w:after="0" w:line="240" w:lineRule="auto"/>
        <w:jc w:val="both"/>
        <w:rPr>
          <w:rFonts w:ascii="Times New Roman" w:hAnsi="Times New Roman" w:cs="Times New Roman"/>
          <w:b/>
          <w:bCs/>
          <w:sz w:val="24"/>
          <w:szCs w:val="24"/>
        </w:rPr>
      </w:pPr>
      <w:r w:rsidRPr="006766C1">
        <w:rPr>
          <w:rFonts w:ascii="Times New Roman" w:hAnsi="Times New Roman" w:cs="Times New Roman"/>
          <w:b/>
          <w:bCs/>
          <w:sz w:val="24"/>
          <w:szCs w:val="24"/>
        </w:rPr>
        <w:t>1.1 Introduction</w:t>
      </w:r>
    </w:p>
    <w:p w14:paraId="6E6D4A75" w14:textId="62F6384B" w:rsidR="00280B7F" w:rsidRPr="00572BAA" w:rsidRDefault="00D74DA7" w:rsidP="00572BAA">
      <w:pPr>
        <w:spacing w:before="240" w:after="240" w:line="240" w:lineRule="auto"/>
        <w:jc w:val="both"/>
        <w:rPr>
          <w:rFonts w:ascii="Times New Roman" w:eastAsia="Times New Roman" w:hAnsi="Times New Roman" w:cs="Times New Roman"/>
          <w:sz w:val="24"/>
          <w:szCs w:val="24"/>
        </w:rPr>
      </w:pPr>
      <w:r w:rsidRPr="00A76AE1">
        <w:rPr>
          <w:rFonts w:ascii="Times New Roman" w:hAnsi="Times New Roman" w:cs="Times New Roman"/>
          <w:sz w:val="24"/>
          <w:szCs w:val="24"/>
          <w:highlight w:val="yellow"/>
        </w:rPr>
        <w:t>The valuation of banks in emerging economies such as Nigeria is highly sensitive to macroeconomic instability and regulatory shocks. Inflation erodes real earnings, long-term GDP growth drives the trend in banking assets, and CBN policy actions and regulatory distress create abrupt deviations from the trend. Traditional Geometric Brownian Motion assumes a constant drift, which fails to capture these time-varying macroeconomic and policy effects (</w:t>
      </w:r>
      <w:r w:rsidR="00662D3F" w:rsidRPr="00662D3F">
        <w:rPr>
          <w:rFonts w:ascii="Times New Roman" w:hAnsi="Times New Roman" w:cs="Times New Roman"/>
          <w:sz w:val="24"/>
          <w:szCs w:val="24"/>
        </w:rPr>
        <w:t>Abdullahi</w:t>
      </w:r>
      <w:r w:rsidRPr="00A76AE1">
        <w:rPr>
          <w:rFonts w:ascii="Times New Roman" w:hAnsi="Times New Roman" w:cs="Times New Roman"/>
          <w:sz w:val="24"/>
          <w:szCs w:val="24"/>
          <w:highlight w:val="yellow"/>
        </w:rPr>
        <w:t>, 202</w:t>
      </w:r>
      <w:r w:rsidR="00662D3F">
        <w:rPr>
          <w:rFonts w:ascii="Times New Roman" w:hAnsi="Times New Roman" w:cs="Times New Roman"/>
          <w:sz w:val="24"/>
          <w:szCs w:val="24"/>
          <w:highlight w:val="yellow"/>
        </w:rPr>
        <w:t>0</w:t>
      </w:r>
      <w:r w:rsidRPr="00A76AE1">
        <w:rPr>
          <w:rFonts w:ascii="Times New Roman" w:hAnsi="Times New Roman" w:cs="Times New Roman"/>
          <w:sz w:val="24"/>
          <w:szCs w:val="24"/>
          <w:highlight w:val="yellow"/>
        </w:rPr>
        <w:t xml:space="preserve">; </w:t>
      </w:r>
      <w:proofErr w:type="spellStart"/>
      <w:r w:rsidR="00662D3F" w:rsidRPr="00662D3F">
        <w:rPr>
          <w:rFonts w:ascii="Times New Roman" w:hAnsi="Times New Roman" w:cs="Times New Roman"/>
          <w:sz w:val="24"/>
          <w:szCs w:val="24"/>
        </w:rPr>
        <w:t>Obalade</w:t>
      </w:r>
      <w:proofErr w:type="spellEnd"/>
      <w:r w:rsidR="00662D3F">
        <w:rPr>
          <w:rFonts w:ascii="Times New Roman" w:hAnsi="Times New Roman" w:cs="Times New Roman"/>
          <w:sz w:val="24"/>
          <w:szCs w:val="24"/>
        </w:rPr>
        <w:t xml:space="preserve"> et al.</w:t>
      </w:r>
      <w:r w:rsidRPr="00A76AE1">
        <w:rPr>
          <w:rFonts w:ascii="Times New Roman" w:hAnsi="Times New Roman" w:cs="Times New Roman"/>
          <w:sz w:val="24"/>
          <w:szCs w:val="24"/>
          <w:highlight w:val="yellow"/>
        </w:rPr>
        <w:t>, 202</w:t>
      </w:r>
      <w:r w:rsidR="00662D3F">
        <w:rPr>
          <w:rFonts w:ascii="Times New Roman" w:hAnsi="Times New Roman" w:cs="Times New Roman"/>
          <w:sz w:val="24"/>
          <w:szCs w:val="24"/>
          <w:highlight w:val="yellow"/>
        </w:rPr>
        <w:t>1</w:t>
      </w:r>
      <w:r w:rsidRPr="00A76AE1">
        <w:rPr>
          <w:rFonts w:ascii="Times New Roman" w:hAnsi="Times New Roman" w:cs="Times New Roman"/>
          <w:sz w:val="24"/>
          <w:szCs w:val="24"/>
          <w:highlight w:val="yellow"/>
        </w:rPr>
        <w:t>). However, financial markets play a crucial role in the economic development of nations by facilitating capital mobilisation, efficient allocation of resources, and risk management. Stock markets, in particular, provide a platform where investors buy and sell ownership shares of publicly traded companies, thereby enabling firms to raise long-term capital for expansion and development. The behaviour of stock prices in financial markets has been a subject of extensive research among statisticians, economists, and financial analysts because of its complex and dynamic nature. Stock price movements are influenced by numerous factors, including macroeconomic conditions, investor expectations, government policies, and global financial events. As a result, modelling stock market behaviour has become an important field within mathematical and financial research.</w:t>
      </w:r>
    </w:p>
    <w:p w14:paraId="71CE531A" w14:textId="5D6D3C27" w:rsidR="00441052" w:rsidRDefault="00776C38" w:rsidP="00B66923">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lastRenderedPageBreak/>
        <w:t>Many scholars have written extensively on stock prices in diverse ways. For instance, Amadi et al. (2024) studied a stochastic system with changes to measure the value of wealth for each corporate investor through linear and quadratic returns. In a similar manner, Wokoma et al. (2022) considered a system of stochastic differential equations with emphasis on variations in drift parameters. Osu and Amadi (2022) successfully analysed the stochastic behaviour of two asset values. Moreover, Browne (1995) considered maximising exponential utility and minimising the probability of ruin, and the result showed the same type of investment strategy for a zero interest rate. Similarly, Bai and Guo (2008) studied an optimal reinsurance and investment problem for an insurer with a jump-diffusion risk process. Liang and Bayraktar (2014) considered the risk reserve of an insurer and a reinsurer following Brownian motion with drift and applied an optimal probability-of-survival problem under proportional reinsurance and power utility preference. In the same context, Ihedioha and Osu (2015) considered excess-of-loss reinsurance and investment in a financial market, and optimal strategies were obtained explicitly. Zhao et al. (2013) focused on an optimal reinsurance-investment problem for an insurer with a jump-diffusion risk model when the stock price was governed by a CEV model. Gu et al. (2012) worked on strategies for optimal reinsurance and investment for exponential utility maximisation under different financial markets. Lin and Li (201</w:t>
      </w:r>
      <w:r w:rsidR="00662D3F">
        <w:rPr>
          <w:rFonts w:ascii="Times New Roman" w:hAnsi="Times New Roman" w:cs="Times New Roman"/>
          <w:sz w:val="24"/>
          <w:szCs w:val="24"/>
          <w:highlight w:val="yellow"/>
        </w:rPr>
        <w:t>1</w:t>
      </w:r>
      <w:r>
        <w:rPr>
          <w:rFonts w:ascii="Times New Roman" w:hAnsi="Times New Roman" w:cs="Times New Roman"/>
          <w:sz w:val="24"/>
          <w:szCs w:val="24"/>
          <w:highlight w:val="yellow"/>
        </w:rPr>
        <w:t>) investigated an investment problem with multiple risky assets. Osu and Okoroafor (2007) studied the stability analysis of a stochastic model of price change on the floor of a stock market. In examining SDE-related issues, Davies et al. (2019) considered the unstable nature of stock market forces using a proposed differential equation model. Osu et al. (2009) considered the stochastic analysis of stock-price behaviour. Similarly, Adeosun et al. (2015) studied a stochastic model of selected stocks on the Nigerian Stock Exchange (NSE). Ofomata et al. (2017) developed geometric Brownian motion and studied the accuracy of the model through a detailed analysis of simulated data. By contrast, Osu (2010) worked on a stochastic model of stock-market price fluctuations, while Ugbebor et al. (2001) considered a stochastic model of price changes on the floor of a stock market.</w:t>
      </w:r>
    </w:p>
    <w:p w14:paraId="0B14AA82" w14:textId="64819870" w:rsidR="007E6186" w:rsidRPr="0028150D" w:rsidRDefault="00000000">
      <w:pPr>
        <w:spacing w:line="240" w:lineRule="auto"/>
        <w:jc w:val="both"/>
        <w:rPr>
          <w:rFonts w:ascii="Times New Roman" w:hAnsi="Times New Roman" w:cs="Times New Roman"/>
          <w:bCs/>
          <w:sz w:val="24"/>
          <w:szCs w:val="24"/>
        </w:rPr>
      </w:pPr>
      <w:r w:rsidRPr="0028150D">
        <w:rPr>
          <w:bCs/>
          <w:highlight w:val="yellow"/>
        </w:rPr>
        <w:t>Recent applications of geometric Brownian motion continue to demonstrate its usefulness for modelling stock-market volatility and risk across sectoral indices (Sengupta, 2025). Related stochastic pricing work has applied the Black-Scholes framework to share-price analysis in capital-market settings (Obeten et al., 2025). Recent empirical studies further indicate that monetary-policy announcements can affect banking-sector stock returns (O’Donnell et al., 2024), while bank valuation is associated with stock-return volatility and macroeconomic conditions (Markoulis et al., 2025). Economic policy uncertainty has also been identified as a factor that can influence bank value (Lai &amp; Goh, 2025).</w:t>
      </w:r>
      <w:r w:rsidR="0028150D" w:rsidRPr="0028150D">
        <w:rPr>
          <w:rFonts w:ascii="Times New Roman" w:hAnsi="Times New Roman" w:cs="Times New Roman"/>
          <w:bCs/>
          <w:sz w:val="24"/>
          <w:szCs w:val="24"/>
        </w:rPr>
        <w:t xml:space="preserve"> </w:t>
      </w:r>
      <w:r w:rsidRPr="0028150D">
        <w:rPr>
          <w:bCs/>
          <w:highlight w:val="yellow"/>
        </w:rPr>
        <w:t>Although the reviewed studies examine stochastic stock-price dynamics, macroeconomic influences and bank valuation, the literature presented in this manuscript does not explicitly integrate an exponential-decay mechanism for regulatory stress and an exponential-growth mechanism for macroeconomic expansion within a paired GBM-based framework for Nigerian bank valuation. This specific gap motivates the paired modelling approach adopted in the present study.</w:t>
      </w:r>
    </w:p>
    <w:p w14:paraId="32DDE923" w14:textId="566BE302" w:rsidR="00441052" w:rsidRPr="00A76AE1" w:rsidRDefault="00441052" w:rsidP="00441052">
      <w:pPr>
        <w:spacing w:line="240" w:lineRule="auto"/>
        <w:jc w:val="both"/>
        <w:rPr>
          <w:rFonts w:ascii="Times New Roman" w:hAnsi="Times New Roman" w:cs="Times New Roman"/>
          <w:sz w:val="24"/>
          <w:szCs w:val="24"/>
        </w:rPr>
      </w:pPr>
      <w:r w:rsidRPr="00A76AE1">
        <w:rPr>
          <w:rFonts w:ascii="Times New Roman" w:hAnsi="Times New Roman" w:cs="Times New Roman"/>
          <w:sz w:val="24"/>
          <w:szCs w:val="24"/>
          <w:highlight w:val="yellow"/>
        </w:rPr>
        <w:t xml:space="preserve">To address this gap, recent literature has extended GBM by making the drift a function of observable macro variables. Hull and White proposed mean-reverting extensions to capture policy-induced decay, while Merton-type models have been adapted to include inflation and growth as additive components in the drift. In the Nigerian context, studies by </w:t>
      </w:r>
      <w:r w:rsidR="00662D3F" w:rsidRPr="00662D3F">
        <w:rPr>
          <w:rFonts w:ascii="Times New Roman" w:hAnsi="Times New Roman" w:cs="Times New Roman"/>
          <w:sz w:val="24"/>
          <w:szCs w:val="24"/>
        </w:rPr>
        <w:t>Abdullahi</w:t>
      </w:r>
      <w:r w:rsidR="00662D3F" w:rsidRPr="00662D3F">
        <w:rPr>
          <w:rFonts w:ascii="Times New Roman" w:hAnsi="Times New Roman" w:cs="Times New Roman"/>
          <w:sz w:val="24"/>
          <w:szCs w:val="24"/>
          <w:highlight w:val="yellow"/>
        </w:rPr>
        <w:t xml:space="preserve"> </w:t>
      </w:r>
      <w:r w:rsidRPr="00A76AE1">
        <w:rPr>
          <w:rFonts w:ascii="Times New Roman" w:hAnsi="Times New Roman" w:cs="Times New Roman"/>
          <w:sz w:val="24"/>
          <w:szCs w:val="24"/>
          <w:highlight w:val="yellow"/>
        </w:rPr>
        <w:t>(202</w:t>
      </w:r>
      <w:r w:rsidR="00662D3F">
        <w:rPr>
          <w:rFonts w:ascii="Times New Roman" w:hAnsi="Times New Roman" w:cs="Times New Roman"/>
          <w:sz w:val="24"/>
          <w:szCs w:val="24"/>
          <w:highlight w:val="yellow"/>
        </w:rPr>
        <w:t>0</w:t>
      </w:r>
      <w:r w:rsidRPr="00A76AE1">
        <w:rPr>
          <w:rFonts w:ascii="Times New Roman" w:hAnsi="Times New Roman" w:cs="Times New Roman"/>
          <w:sz w:val="24"/>
          <w:szCs w:val="24"/>
          <w:highlight w:val="yellow"/>
        </w:rPr>
        <w:t xml:space="preserve">), </w:t>
      </w:r>
      <w:proofErr w:type="spellStart"/>
      <w:r w:rsidR="00662D3F" w:rsidRPr="00662D3F">
        <w:rPr>
          <w:rFonts w:ascii="Times New Roman" w:hAnsi="Times New Roman" w:cs="Times New Roman"/>
          <w:sz w:val="24"/>
          <w:szCs w:val="24"/>
        </w:rPr>
        <w:t>Obalade</w:t>
      </w:r>
      <w:proofErr w:type="spellEnd"/>
      <w:r w:rsidR="00662D3F">
        <w:rPr>
          <w:rFonts w:ascii="Times New Roman" w:hAnsi="Times New Roman" w:cs="Times New Roman"/>
          <w:sz w:val="24"/>
          <w:szCs w:val="24"/>
          <w:highlight w:val="yellow"/>
        </w:rPr>
        <w:t xml:space="preserve"> et al. </w:t>
      </w:r>
      <w:r w:rsidRPr="00A76AE1">
        <w:rPr>
          <w:rFonts w:ascii="Times New Roman" w:hAnsi="Times New Roman" w:cs="Times New Roman"/>
          <w:sz w:val="24"/>
          <w:szCs w:val="24"/>
          <w:highlight w:val="yellow"/>
        </w:rPr>
        <w:t>(202</w:t>
      </w:r>
      <w:r w:rsidR="00662D3F">
        <w:rPr>
          <w:rFonts w:ascii="Times New Roman" w:hAnsi="Times New Roman" w:cs="Times New Roman"/>
          <w:sz w:val="24"/>
          <w:szCs w:val="24"/>
          <w:highlight w:val="yellow"/>
        </w:rPr>
        <w:t>1</w:t>
      </w:r>
      <w:r w:rsidRPr="00A76AE1">
        <w:rPr>
          <w:rFonts w:ascii="Times New Roman" w:hAnsi="Times New Roman" w:cs="Times New Roman"/>
          <w:sz w:val="24"/>
          <w:szCs w:val="24"/>
          <w:highlight w:val="yellow"/>
        </w:rPr>
        <w:t>), and Hull and White (1990) show that bank stock returns exhibit significant sensitivity to CPI inflation and monetary policy rates.</w:t>
      </w:r>
    </w:p>
    <w:p w14:paraId="0645A821" w14:textId="77777777" w:rsidR="00B66923" w:rsidRDefault="00441052" w:rsidP="00441052">
      <w:pPr>
        <w:spacing w:line="240" w:lineRule="auto"/>
        <w:jc w:val="both"/>
        <w:rPr>
          <w:rFonts w:ascii="Times New Roman" w:hAnsi="Times New Roman" w:cs="Times New Roman"/>
          <w:sz w:val="24"/>
          <w:szCs w:val="24"/>
        </w:rPr>
      </w:pPr>
      <w:r w:rsidRPr="00A76AE1">
        <w:rPr>
          <w:rFonts w:ascii="Times New Roman" w:hAnsi="Times New Roman" w:cs="Times New Roman"/>
          <w:sz w:val="24"/>
          <w:szCs w:val="24"/>
          <w:highlight w:val="yellow"/>
        </w:rPr>
        <w:lastRenderedPageBreak/>
        <w:t>This section therefore develops a linear SDE framework in which the drift is decomposed into</w:t>
      </w:r>
      <w:r w:rsidRPr="00520D96">
        <w:rPr>
          <w:rFonts w:ascii="Times New Roman" w:hAnsi="Times New Roman" w:cs="Times New Roman"/>
          <w:position w:val="-14"/>
          <w:sz w:val="24"/>
          <w:szCs w:val="24"/>
        </w:rPr>
        <w:object w:dxaOrig="1140" w:dyaOrig="380" w14:anchorId="6ACC32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05pt;height:18.35pt" o:ole="">
            <v:imagedata r:id="rId7" o:title=""/>
          </v:shape>
          <o:OLEObject Type="Embed" ProgID="Equation.DSMT4" ShapeID="_x0000_i1025" DrawAspect="Content" ObjectID="_1850987120" r:id="rId8"/>
        </w:object>
      </w:r>
      <w:r>
        <w:rPr>
          <w:rFonts w:ascii="Times New Roman" w:hAnsi="Times New Roman" w:cs="Times New Roman"/>
          <w:sz w:val="24"/>
          <w:szCs w:val="24"/>
          <w:highlight w:val="yellow"/>
        </w:rPr>
        <w:t>, representing long-term growth, inflation drag, and regulatory decay, respectively. The model allows us to quantify how regulatory distress and macroeconomic fundamentals jointly determine bank valuation, providing a tool for stress testing and policy scenario analysis.</w:t>
      </w:r>
    </w:p>
    <w:p w14:paraId="394FA73F" w14:textId="77777777" w:rsidR="00B66923" w:rsidRPr="006766C1" w:rsidRDefault="00B66923" w:rsidP="00B66923">
      <w:pPr>
        <w:spacing w:line="240" w:lineRule="auto"/>
        <w:jc w:val="both"/>
        <w:rPr>
          <w:rFonts w:ascii="Times New Roman" w:hAnsi="Times New Roman" w:cs="Times New Roman"/>
          <w:sz w:val="24"/>
          <w:szCs w:val="24"/>
        </w:rPr>
      </w:pPr>
      <w:r w:rsidRPr="006766C1">
        <w:rPr>
          <w:rFonts w:ascii="Times New Roman" w:hAnsi="Times New Roman" w:cs="Times New Roman"/>
          <w:sz w:val="24"/>
          <w:szCs w:val="24"/>
          <w:highlight w:val="yellow"/>
        </w:rPr>
        <w:t>This paper is organised as follows: Section 2.1 presents the materials and methods, Section 3.1 presents the results and discussion, and Section 4.1 concludes the paper.</w:t>
      </w:r>
    </w:p>
    <w:p w14:paraId="3FCFEAA3" w14:textId="77777777" w:rsidR="007E6186" w:rsidRDefault="00000000">
      <w:pPr>
        <w:spacing w:line="240" w:lineRule="auto"/>
        <w:jc w:val="both"/>
        <w:rPr>
          <w:rFonts w:ascii="Times New Roman" w:hAnsi="Times New Roman" w:cs="Times New Roman"/>
          <w:sz w:val="24"/>
          <w:szCs w:val="24"/>
        </w:rPr>
      </w:pPr>
      <w:r>
        <w:rPr>
          <w:b/>
          <w:highlight w:val="yellow"/>
        </w:rPr>
        <w:t>Objective of the Study</w:t>
      </w:r>
    </w:p>
    <w:p w14:paraId="26694562" w14:textId="77777777" w:rsidR="007E6186" w:rsidRPr="00E7185C" w:rsidRDefault="00000000">
      <w:pPr>
        <w:spacing w:line="240" w:lineRule="auto"/>
        <w:jc w:val="both"/>
        <w:rPr>
          <w:rFonts w:ascii="Times New Roman" w:hAnsi="Times New Roman" w:cs="Times New Roman"/>
          <w:bCs/>
          <w:sz w:val="24"/>
          <w:szCs w:val="24"/>
        </w:rPr>
      </w:pPr>
      <w:r w:rsidRPr="00E7185C">
        <w:rPr>
          <w:bCs/>
          <w:highlight w:val="yellow"/>
        </w:rPr>
        <w:t>The objective of this study is to formulate and analyse exponential-decay and exponential-growth GBM models for bank valuation under regulatory pressure, inflation, economic growth and stochastic shocks, and to examine how the decay/growth parameter and volatility influence the resulting valuation paths.</w:t>
      </w:r>
    </w:p>
    <w:p w14:paraId="2F979619" w14:textId="77777777" w:rsidR="00B66923" w:rsidRPr="003A628E" w:rsidRDefault="00B66923" w:rsidP="00B66923">
      <w:pPr>
        <w:spacing w:after="0"/>
        <w:jc w:val="both"/>
        <w:rPr>
          <w:rFonts w:ascii="Times New Roman" w:hAnsi="Times New Roman" w:cs="Times New Roman"/>
          <w:b/>
          <w:sz w:val="24"/>
          <w:szCs w:val="24"/>
        </w:rPr>
      </w:pPr>
      <w:r>
        <w:rPr>
          <w:rFonts w:ascii="Times New Roman" w:hAnsi="Times New Roman" w:cs="Times New Roman"/>
          <w:b/>
          <w:sz w:val="24"/>
          <w:szCs w:val="24"/>
        </w:rPr>
        <w:t>2.1 Material</w:t>
      </w:r>
      <w:r w:rsidRPr="003A628E">
        <w:rPr>
          <w:rFonts w:ascii="Times New Roman" w:hAnsi="Times New Roman" w:cs="Times New Roman"/>
          <w:b/>
          <w:sz w:val="24"/>
          <w:szCs w:val="24"/>
        </w:rPr>
        <w:t xml:space="preserve"> and Method</w:t>
      </w:r>
      <w:r>
        <w:rPr>
          <w:rFonts w:ascii="Times New Roman" w:hAnsi="Times New Roman" w:cs="Times New Roman"/>
          <w:b/>
          <w:sz w:val="24"/>
          <w:szCs w:val="24"/>
        </w:rPr>
        <w:t>s</w:t>
      </w:r>
    </w:p>
    <w:p w14:paraId="6565FA39" w14:textId="77777777" w:rsidR="00B66923" w:rsidRPr="00C711FF" w:rsidRDefault="00B66923" w:rsidP="00B66923">
      <w:pPr>
        <w:spacing w:line="240" w:lineRule="auto"/>
        <w:jc w:val="both"/>
        <w:rPr>
          <w:rFonts w:ascii="Times New Roman" w:eastAsiaTheme="minorEastAsia" w:hAnsi="Times New Roman" w:cs="Times New Roman"/>
          <w:sz w:val="24"/>
          <w:szCs w:val="24"/>
        </w:rPr>
      </w:pPr>
      <w:r w:rsidRPr="00C711FF">
        <w:rPr>
          <w:rFonts w:ascii="Times New Roman" w:eastAsiaTheme="minorEastAsia" w:hAnsi="Times New Roman" w:cs="Times New Roman"/>
          <w:sz w:val="24"/>
          <w:szCs w:val="24"/>
          <w:highlight w:val="yellow"/>
        </w:rPr>
        <w:t xml:space="preserve">Consider a market in which the underlying asset price </w:t>
      </w:r>
      <w:r w:rsidRPr="00C711FF">
        <w:rPr>
          <w:rFonts w:ascii="Times New Roman" w:eastAsiaTheme="minorEastAsia" w:hAnsi="Times New Roman" w:cs="Times New Roman"/>
          <w:position w:val="-6"/>
          <w:sz w:val="24"/>
          <w:szCs w:val="24"/>
        </w:rPr>
        <w:object w:dxaOrig="180" w:dyaOrig="220" w14:anchorId="36AB314B">
          <v:shape id="_x0000_i1026" type="#_x0000_t75" style="width:9.5pt;height:11.55pt" o:ole="">
            <v:imagedata r:id="rId9" o:title=""/>
          </v:shape>
          <o:OLEObject Type="Embed" ProgID="Equation.DSMT4" ShapeID="_x0000_i1026" DrawAspect="Content" ObjectID="_1850987121" r:id="rId10"/>
        </w:object>
      </w:r>
      <w:r w:rsidRPr="00C711FF">
        <w:rPr>
          <w:rFonts w:ascii="Times New Roman" w:eastAsiaTheme="minorEastAsia" w:hAnsi="Times New Roman" w:cs="Times New Roman"/>
          <w:sz w:val="24"/>
          <w:szCs w:val="24"/>
          <w:highlight w:val="yellow"/>
        </w:rPr>
        <w:t xml:space="preserve">, </w:t>
      </w:r>
      <w:r w:rsidRPr="00C711FF">
        <w:rPr>
          <w:rFonts w:ascii="Times New Roman" w:eastAsiaTheme="minorEastAsia" w:hAnsi="Times New Roman" w:cs="Times New Roman"/>
          <w:position w:val="-6"/>
          <w:sz w:val="24"/>
          <w:szCs w:val="24"/>
        </w:rPr>
        <w:object w:dxaOrig="920" w:dyaOrig="279" w14:anchorId="608ECAE8">
          <v:shape id="_x0000_i1027" type="#_x0000_t75" style="width:44.85pt;height:14.25pt" o:ole="">
            <v:imagedata r:id="rId11" o:title=""/>
          </v:shape>
          <o:OLEObject Type="Embed" ProgID="Equation.DSMT4" ShapeID="_x0000_i1027" DrawAspect="Content" ObjectID="_1850987122" r:id="rId12"/>
        </w:object>
      </w:r>
      <w:r w:rsidRPr="00C711FF">
        <w:rPr>
          <w:rFonts w:ascii="Times New Roman" w:eastAsiaTheme="minorEastAsia" w:hAnsi="Times New Roman" w:cs="Times New Roman"/>
          <w:sz w:val="24"/>
          <w:szCs w:val="24"/>
          <w:highlight w:val="yellow"/>
        </w:rPr>
        <w:t xml:space="preserve">, on a complete probability space </w:t>
      </w:r>
      <w:r w:rsidRPr="00C711FF">
        <w:rPr>
          <w:rFonts w:ascii="Times New Roman" w:eastAsiaTheme="minorEastAsia" w:hAnsi="Times New Roman" w:cs="Times New Roman"/>
          <w:position w:val="-14"/>
          <w:sz w:val="24"/>
          <w:szCs w:val="24"/>
        </w:rPr>
        <w:object w:dxaOrig="960" w:dyaOrig="400" w14:anchorId="610B1D1E">
          <v:shape id="_x0000_i1028" type="#_x0000_t75" style="width:48.25pt;height:20.4pt" o:ole="">
            <v:imagedata r:id="rId13" o:title=""/>
          </v:shape>
          <o:OLEObject Type="Embed" ProgID="Equation.DSMT4" ShapeID="_x0000_i1028" DrawAspect="Content" ObjectID="_1850987123" r:id="rId14"/>
        </w:object>
      </w:r>
      <w:r w:rsidRPr="00C711FF">
        <w:rPr>
          <w:rFonts w:ascii="Times New Roman" w:eastAsiaTheme="minorEastAsia" w:hAnsi="Times New Roman" w:cs="Times New Roman"/>
          <w:sz w:val="24"/>
          <w:szCs w:val="24"/>
          <w:highlight w:val="yellow"/>
        </w:rPr>
        <w:t>, is governed by the following stochastic differential equation:</w:t>
      </w:r>
    </w:p>
    <w:p w14:paraId="143D3EF1" w14:textId="77777777" w:rsidR="00B66923" w:rsidRDefault="00B66923" w:rsidP="00B66923">
      <w:pPr>
        <w:pStyle w:val="MTDisplayEquation"/>
        <w:spacing w:line="240" w:lineRule="auto"/>
        <w:rPr>
          <w:rFonts w:ascii="Times New Roman" w:hAnsi="Times New Roman" w:cs="Times New Roman"/>
        </w:rPr>
      </w:pPr>
      <w:r w:rsidRPr="00C711FF">
        <w:rPr>
          <w:rFonts w:ascii="Times New Roman" w:hAnsi="Times New Roman" w:cs="Times New Roman"/>
        </w:rPr>
        <w:tab/>
      </w:r>
      <w:r w:rsidR="00031E81" w:rsidRPr="00E65538">
        <w:rPr>
          <w:rFonts w:ascii="Times New Roman" w:hAnsi="Times New Roman" w:cs="Times New Roman"/>
          <w:position w:val="-14"/>
        </w:rPr>
        <w:object w:dxaOrig="3540" w:dyaOrig="400" w14:anchorId="0268E4E3">
          <v:shape id="_x0000_i1029" type="#_x0000_t75" style="width:177.3pt;height:20.4pt" o:ole="">
            <v:imagedata r:id="rId15" o:title=""/>
          </v:shape>
          <o:OLEObject Type="Embed" ProgID="Equation.DSMT4" ShapeID="_x0000_i1029" DrawAspect="Content" ObjectID="_1850987124" r:id="rId16"/>
        </w:object>
      </w:r>
      <w:r w:rsidRPr="00C711FF">
        <w:rPr>
          <w:rFonts w:ascii="Times New Roman" w:hAnsi="Times New Roman" w:cs="Times New Roman"/>
        </w:rPr>
        <w:t xml:space="preserve"> .</w:t>
      </w:r>
      <w:r w:rsidRPr="00C711FF">
        <w:rPr>
          <w:rFonts w:ascii="Times New Roman" w:hAnsi="Times New Roman" w:cs="Times New Roman"/>
        </w:rPr>
        <w:tab/>
        <w:t>(1.1)</w:t>
      </w:r>
    </w:p>
    <w:p w14:paraId="0CA45C0D" w14:textId="77777777" w:rsidR="00031E81" w:rsidRPr="002420DA" w:rsidRDefault="00031E81" w:rsidP="002420DA">
      <w:pPr>
        <w:jc w:val="both"/>
        <w:rPr>
          <w:rFonts w:ascii="Times New Roman" w:hAnsi="Times New Roman" w:cs="Times New Roman"/>
          <w:sz w:val="24"/>
          <w:szCs w:val="24"/>
        </w:rPr>
      </w:pPr>
      <w:r>
        <w:rPr>
          <w:rFonts w:ascii="Times New Roman" w:hAnsi="Times New Roman" w:cs="Times New Roman"/>
          <w:sz w:val="24"/>
          <w:szCs w:val="24"/>
          <w:highlight w:val="yellow"/>
        </w:rPr>
        <w:t>where</w:t>
      </w:r>
      <w:r>
        <w:rPr>
          <w:rFonts w:ascii="Times New Roman" w:hAnsi="Times New Roman" w:cs="Times New Roman"/>
          <w:position w:val="-10"/>
          <w:sz w:val="24"/>
          <w:szCs w:val="24"/>
        </w:rPr>
        <w:object w:dxaOrig="240" w:dyaOrig="240" w14:anchorId="0D219BE7">
          <v:shape id="_x0000_i1030" type="#_x0000_t75" style="width:12.25pt;height:12.25pt" o:ole="">
            <v:imagedata r:id="rId17" o:title=""/>
          </v:shape>
          <o:OLEObject Type="Embed" ProgID="Equation.DSMT4" ShapeID="_x0000_i1030" DrawAspect="Content" ObjectID="_1850987125" r:id="rId18"/>
        </w:object>
      </w:r>
      <w:r>
        <w:rPr>
          <w:rFonts w:ascii="Times New Roman" w:hAnsi="Times New Roman" w:cs="Times New Roman"/>
          <w:sz w:val="24"/>
          <w:szCs w:val="24"/>
          <w:highlight w:val="yellow"/>
        </w:rPr>
        <w:t xml:space="preserve"> is the drift and </w:t>
      </w:r>
      <w:r>
        <w:rPr>
          <w:rFonts w:ascii="Times New Roman" w:hAnsi="Times New Roman" w:cs="Times New Roman"/>
          <w:position w:val="-6"/>
          <w:sz w:val="24"/>
          <w:szCs w:val="24"/>
        </w:rPr>
        <w:object w:dxaOrig="240" w:dyaOrig="225" w14:anchorId="5D66B2AD">
          <v:shape id="_x0000_i1031" type="#_x0000_t75" style="width:12.25pt;height:11.55pt" o:ole="">
            <v:imagedata r:id="rId19" o:title=""/>
          </v:shape>
          <o:OLEObject Type="Embed" ProgID="Equation.DSMT4" ShapeID="_x0000_i1031" DrawAspect="Content" ObjectID="_1850987126" r:id="rId20"/>
        </w:object>
      </w:r>
      <w:r>
        <w:rPr>
          <w:rFonts w:ascii="Times New Roman" w:hAnsi="Times New Roman" w:cs="Times New Roman"/>
          <w:sz w:val="24"/>
          <w:szCs w:val="24"/>
          <w:highlight w:val="yellow"/>
        </w:rPr>
        <w:t xml:space="preserve"> is the volatility of the stock, </w:t>
      </w:r>
      <w:r>
        <w:rPr>
          <w:rFonts w:ascii="Times New Roman" w:hAnsi="Times New Roman" w:cs="Times New Roman"/>
          <w:position w:val="-12"/>
          <w:sz w:val="24"/>
          <w:szCs w:val="24"/>
        </w:rPr>
        <w:object w:dxaOrig="300" w:dyaOrig="345" w14:anchorId="47E18BCD">
          <v:shape id="_x0000_i1032" type="#_x0000_t75" style="width:14.95pt;height:17.65pt" o:ole="">
            <v:imagedata r:id="rId21" o:title=""/>
          </v:shape>
          <o:OLEObject Type="Embed" ProgID="Equation.DSMT4" ShapeID="_x0000_i1032" DrawAspect="Content" ObjectID="_1850987127" r:id="rId22"/>
        </w:object>
      </w:r>
      <w:r>
        <w:rPr>
          <w:rFonts w:ascii="Times New Roman" w:hAnsi="Times New Roman" w:cs="Times New Roman"/>
          <w:sz w:val="24"/>
          <w:szCs w:val="24"/>
          <w:highlight w:val="yellow"/>
        </w:rPr>
        <w:t xml:space="preserve"> is a Brownian motion or Wiener process on the probability space </w:t>
      </w:r>
      <w:r>
        <w:rPr>
          <w:rFonts w:ascii="Times New Roman" w:hAnsi="Times New Roman" w:cs="Times New Roman"/>
          <w:position w:val="-14"/>
          <w:sz w:val="24"/>
          <w:szCs w:val="24"/>
        </w:rPr>
        <w:object w:dxaOrig="1140" w:dyaOrig="405" w14:anchorId="32BD16C8">
          <v:shape id="_x0000_i1033" type="#_x0000_t75" style="width:57.05pt;height:20.4pt" o:ole="">
            <v:imagedata r:id="rId23" o:title=""/>
          </v:shape>
          <o:OLEObject Type="Embed" ProgID="Equation.DSMT4" ShapeID="_x0000_i1033" DrawAspect="Content" ObjectID="_1850987128" r:id="rId24"/>
        </w:object>
      </w:r>
      <w:r>
        <w:rPr>
          <w:rFonts w:ascii="Times New Roman" w:hAnsi="Times New Roman" w:cs="Times New Roman"/>
          <w:sz w:val="24"/>
          <w:szCs w:val="24"/>
        </w:rPr>
        <w:t xml:space="preserve"> is a </w:t>
      </w:r>
      <w:r>
        <w:rPr>
          <w:rFonts w:ascii="Times New Roman" w:hAnsi="Times New Roman" w:cs="Times New Roman"/>
          <w:position w:val="-10"/>
          <w:sz w:val="24"/>
          <w:szCs w:val="24"/>
        </w:rPr>
        <w:object w:dxaOrig="1200" w:dyaOrig="330" w14:anchorId="1B1FD24C">
          <v:shape id="_x0000_i1034" type="#_x0000_t75" style="width:59.75pt;height:16.3pt" o:ole="">
            <v:imagedata r:id="rId25" o:title=""/>
          </v:shape>
          <o:OLEObject Type="Embed" ProgID="Equation.DSMT4" ShapeID="_x0000_i1034" DrawAspect="Content" ObjectID="_1850987129" r:id="rId26"/>
        </w:object>
      </w:r>
      <w:r>
        <w:rPr>
          <w:rFonts w:ascii="Times New Roman" w:hAnsi="Times New Roman" w:cs="Times New Roman"/>
          <w:sz w:val="24"/>
          <w:szCs w:val="24"/>
        </w:rPr>
        <w:t xml:space="preserve"> generated by </w:t>
      </w:r>
      <w:r>
        <w:rPr>
          <w:rFonts w:ascii="Times New Roman" w:hAnsi="Times New Roman" w:cs="Times New Roman"/>
          <w:position w:val="-12"/>
          <w:sz w:val="24"/>
          <w:szCs w:val="24"/>
        </w:rPr>
        <w:object w:dxaOrig="855" w:dyaOrig="345" w14:anchorId="2ED366B5">
          <v:shape id="_x0000_i1035" type="#_x0000_t75" style="width:43.45pt;height:17.65pt" o:ole="">
            <v:imagedata r:id="rId27" o:title=""/>
          </v:shape>
          <o:OLEObject Type="Embed" ProgID="Equation.DSMT4" ShapeID="_x0000_i1035" DrawAspect="Content" ObjectID="_1850987130" r:id="rId28"/>
        </w:object>
      </w:r>
      <w:r w:rsidR="002420DA">
        <w:rPr>
          <w:rFonts w:ascii="Times New Roman" w:hAnsi="Times New Roman" w:cs="Times New Roman"/>
          <w:sz w:val="24"/>
          <w:szCs w:val="24"/>
          <w:highlight w:val="yellow"/>
        </w:rPr>
        <w:t>.</w:t>
      </w:r>
    </w:p>
    <w:p w14:paraId="186C108D" w14:textId="77777777" w:rsidR="00B66923" w:rsidRPr="00590E76" w:rsidRDefault="00B66923" w:rsidP="00B66923">
      <w:pPr>
        <w:jc w:val="both"/>
        <w:rPr>
          <w:rFonts w:ascii="Times New Roman" w:hAnsi="Times New Roman" w:cs="Times New Roman"/>
          <w:sz w:val="24"/>
          <w:szCs w:val="24"/>
        </w:rPr>
      </w:pPr>
      <w:r>
        <w:rPr>
          <w:rFonts w:ascii="Times New Roman" w:hAnsi="Times New Roman" w:cs="Times New Roman"/>
          <w:b/>
          <w:sz w:val="24"/>
          <w:szCs w:val="24"/>
        </w:rPr>
        <w:t>Theorem 1</w:t>
      </w:r>
      <w:r w:rsidRPr="009D24F1">
        <w:rPr>
          <w:rFonts w:ascii="Times New Roman" w:hAnsi="Times New Roman" w:cs="Times New Roman"/>
          <w:b/>
          <w:sz w:val="24"/>
          <w:szCs w:val="24"/>
        </w:rPr>
        <w:t>.1</w:t>
      </w:r>
      <w:r w:rsidRPr="00590E76">
        <w:rPr>
          <w:rFonts w:ascii="Times New Roman" w:hAnsi="Times New Roman" w:cs="Times New Roman"/>
          <w:sz w:val="24"/>
          <w:szCs w:val="24"/>
          <w:highlight w:val="yellow"/>
        </w:rPr>
        <w:t xml:space="preserve"> (</w:t>
      </w:r>
      <w:proofErr w:type="spellStart"/>
      <w:r w:rsidRPr="00590E76">
        <w:rPr>
          <w:rFonts w:ascii="Times New Roman" w:hAnsi="Times New Roman" w:cs="Times New Roman"/>
          <w:sz w:val="24"/>
          <w:szCs w:val="24"/>
          <w:highlight w:val="yellow"/>
        </w:rPr>
        <w:t>Itô's</w:t>
      </w:r>
      <w:proofErr w:type="spellEnd"/>
      <w:r w:rsidRPr="00590E76">
        <w:rPr>
          <w:rFonts w:ascii="Times New Roman" w:hAnsi="Times New Roman" w:cs="Times New Roman"/>
          <w:sz w:val="24"/>
          <w:szCs w:val="24"/>
          <w:highlight w:val="yellow"/>
        </w:rPr>
        <w:t xml:space="preserve"> formula): Let </w:t>
      </w:r>
      <w:r w:rsidRPr="00590E76">
        <w:rPr>
          <w:rFonts w:ascii="Times New Roman" w:hAnsi="Times New Roman" w:cs="Times New Roman"/>
          <w:position w:val="-14"/>
          <w:sz w:val="24"/>
          <w:szCs w:val="24"/>
        </w:rPr>
        <w:object w:dxaOrig="1425" w:dyaOrig="405" w14:anchorId="7F17F0F6">
          <v:shape id="_x0000_i1036" type="#_x0000_t75" style="width:71.3pt;height:20.4pt" o:ole="">
            <v:imagedata r:id="rId29" o:title=""/>
          </v:shape>
          <o:OLEObject Type="Embed" ProgID="Equation.DSMT4" ShapeID="_x0000_i1036" DrawAspect="Content" ObjectID="_1850987131" r:id="rId30"/>
        </w:object>
      </w:r>
      <w:r w:rsidRPr="00590E76">
        <w:rPr>
          <w:rFonts w:ascii="Times New Roman" w:hAnsi="Times New Roman" w:cs="Times New Roman"/>
          <w:sz w:val="24"/>
          <w:szCs w:val="24"/>
          <w:highlight w:val="yellow"/>
        </w:rPr>
        <w:t xml:space="preserve"> be a filtered probability space, and let </w:t>
      </w:r>
      <w:r w:rsidRPr="00590E76">
        <w:rPr>
          <w:rFonts w:ascii="Times New Roman" w:hAnsi="Times New Roman" w:cs="Times New Roman"/>
          <w:position w:val="-14"/>
          <w:sz w:val="24"/>
          <w:szCs w:val="24"/>
        </w:rPr>
        <w:object w:dxaOrig="1455" w:dyaOrig="405" w14:anchorId="54840AF2">
          <v:shape id="_x0000_i1037" type="#_x0000_t75" style="width:72.7pt;height:20.4pt" o:ole="">
            <v:imagedata r:id="rId31" o:title=""/>
          </v:shape>
          <o:OLEObject Type="Embed" ProgID="Equation.DSMT4" ShapeID="_x0000_i1037" DrawAspect="Content" ObjectID="_1850987132" r:id="rId32"/>
        </w:object>
      </w:r>
      <w:r w:rsidRPr="00590E76">
        <w:rPr>
          <w:rFonts w:ascii="Times New Roman" w:hAnsi="Times New Roman" w:cs="Times New Roman"/>
          <w:sz w:val="24"/>
          <w:szCs w:val="24"/>
          <w:highlight w:val="yellow"/>
        </w:rPr>
        <w:t xml:space="preserve"> be an adapted stochastic process on </w:t>
      </w:r>
      <w:r w:rsidRPr="00590E76">
        <w:rPr>
          <w:rFonts w:ascii="Times New Roman" w:hAnsi="Times New Roman" w:cs="Times New Roman"/>
          <w:position w:val="-14"/>
          <w:sz w:val="24"/>
          <w:szCs w:val="24"/>
        </w:rPr>
        <w:object w:dxaOrig="1425" w:dyaOrig="405" w14:anchorId="68A4D03C">
          <v:shape id="_x0000_i1038" type="#_x0000_t75" style="width:71.3pt;height:20.4pt" o:ole="">
            <v:imagedata r:id="rId29" o:title=""/>
          </v:shape>
          <o:OLEObject Type="Embed" ProgID="Equation.DSMT4" ShapeID="_x0000_i1038" DrawAspect="Content" ObjectID="_1850987133" r:id="rId33"/>
        </w:object>
      </w:r>
      <w:r w:rsidRPr="00590E76">
        <w:rPr>
          <w:rFonts w:ascii="Times New Roman" w:hAnsi="Times New Roman" w:cs="Times New Roman"/>
          <w:sz w:val="24"/>
          <w:szCs w:val="24"/>
          <w:highlight w:val="yellow"/>
        </w:rPr>
        <w:t xml:space="preserve"> possessing quadratic variation </w:t>
      </w:r>
      <w:r w:rsidRPr="00590E76">
        <w:rPr>
          <w:rFonts w:ascii="Times New Roman" w:hAnsi="Times New Roman" w:cs="Times New Roman"/>
          <w:position w:val="-14"/>
          <w:sz w:val="24"/>
          <w:szCs w:val="24"/>
        </w:rPr>
        <w:object w:dxaOrig="450" w:dyaOrig="405" w14:anchorId="15D58456">
          <v:shape id="_x0000_i1039" type="#_x0000_t75" style="width:23.1pt;height:20.4pt" o:ole="">
            <v:imagedata r:id="rId34" o:title=""/>
          </v:shape>
          <o:OLEObject Type="Embed" ProgID="Equation.DSMT4" ShapeID="_x0000_i1039" DrawAspect="Content" ObjectID="_1850987134" r:id="rId35"/>
        </w:object>
      </w:r>
      <w:r w:rsidRPr="00590E76">
        <w:rPr>
          <w:rFonts w:ascii="Times New Roman" w:hAnsi="Times New Roman" w:cs="Times New Roman"/>
          <w:sz w:val="24"/>
          <w:szCs w:val="24"/>
          <w:highlight w:val="yellow"/>
        </w:rPr>
        <w:t>, with the SDE defined as:</w:t>
      </w:r>
    </w:p>
    <w:p w14:paraId="04C3C30C" w14:textId="77777777" w:rsidR="00B66923" w:rsidRPr="00590E76" w:rsidRDefault="00B66923" w:rsidP="00B66923">
      <w:pPr>
        <w:pStyle w:val="MTDisplayEquation"/>
        <w:jc w:val="both"/>
        <w:rPr>
          <w:rFonts w:ascii="Times New Roman" w:hAnsi="Times New Roman" w:cs="Times New Roman"/>
        </w:rPr>
      </w:pPr>
      <w:r w:rsidRPr="00590E76">
        <w:rPr>
          <w:rFonts w:ascii="Times New Roman" w:hAnsi="Times New Roman" w:cs="Times New Roman"/>
        </w:rPr>
        <w:tab/>
      </w:r>
      <w:r w:rsidRPr="00590E76">
        <w:rPr>
          <w:rFonts w:ascii="Times New Roman" w:hAnsi="Times New Roman" w:cs="Times New Roman"/>
          <w:position w:val="-14"/>
        </w:rPr>
        <w:object w:dxaOrig="4095" w:dyaOrig="405" w14:anchorId="3B42985B">
          <v:shape id="_x0000_i1040" type="#_x0000_t75" style="width:205.15pt;height:20.4pt" o:ole="">
            <v:imagedata r:id="rId36" o:title=""/>
          </v:shape>
          <o:OLEObject Type="Embed" ProgID="Equation.DSMT4" ShapeID="_x0000_i1040" DrawAspect="Content" ObjectID="_1850987135" r:id="rId37"/>
        </w:object>
      </w:r>
      <w:r>
        <w:rPr>
          <w:rFonts w:ascii="Times New Roman" w:hAnsi="Times New Roman" w:cs="Times New Roman"/>
        </w:rPr>
        <w:t xml:space="preserve"> </w:t>
      </w:r>
      <w:r>
        <w:rPr>
          <w:rFonts w:ascii="Times New Roman" w:hAnsi="Times New Roman" w:cs="Times New Roman"/>
        </w:rPr>
        <w:tab/>
      </w:r>
    </w:p>
    <w:p w14:paraId="651E6452" w14:textId="77777777" w:rsidR="00B66923" w:rsidRPr="00590E76" w:rsidRDefault="00B66923" w:rsidP="00B66923">
      <w:pPr>
        <w:pStyle w:val="MTDisplayEquation"/>
        <w:jc w:val="both"/>
        <w:rPr>
          <w:rFonts w:ascii="Times New Roman" w:hAnsi="Times New Roman" w:cs="Times New Roman"/>
        </w:rPr>
      </w:pPr>
      <w:r w:rsidRPr="00590E76">
        <w:rPr>
          <w:rFonts w:ascii="Times New Roman" w:hAnsi="Times New Roman" w:cs="Times New Roman"/>
          <w:position w:val="-6"/>
        </w:rPr>
        <w:object w:dxaOrig="570" w:dyaOrig="270" w14:anchorId="04DBAEFB">
          <v:shape id="_x0000_i1041" type="#_x0000_t75" style="width:28.55pt;height:13.6pt" o:ole="">
            <v:imagedata r:id="rId38" o:title=""/>
          </v:shape>
          <o:OLEObject Type="Embed" ProgID="Equation.DSMT4" ShapeID="_x0000_i1041" DrawAspect="Content" ObjectID="_1850987136" r:id="rId39"/>
        </w:object>
      </w:r>
      <w:r w:rsidRPr="00590E76">
        <w:rPr>
          <w:rFonts w:ascii="Times New Roman" w:hAnsi="Times New Roman" w:cs="Times New Roman"/>
        </w:rPr>
        <w:t xml:space="preserve"> and for </w:t>
      </w:r>
      <w:r w:rsidRPr="00590E76">
        <w:rPr>
          <w:rFonts w:ascii="Times New Roman" w:hAnsi="Times New Roman" w:cs="Times New Roman"/>
          <w:position w:val="-16"/>
        </w:rPr>
        <w:object w:dxaOrig="2880" w:dyaOrig="435" w14:anchorId="7AD49771">
          <v:shape id="_x0000_i1042" type="#_x0000_t75" style="width:2in;height:22.4pt" o:ole="">
            <v:imagedata r:id="rId40" o:title=""/>
          </v:shape>
          <o:OLEObject Type="Embed" ProgID="Equation.DSMT4" ShapeID="_x0000_i1042" DrawAspect="Content" ObjectID="_1850987137" r:id="rId41"/>
        </w:object>
      </w:r>
      <w:r w:rsidRPr="00590E76">
        <w:rPr>
          <w:rFonts w:ascii="Times New Roman" w:hAnsi="Times New Roman" w:cs="Times New Roman"/>
        </w:rPr>
        <w:t xml:space="preserve"> </w:t>
      </w:r>
    </w:p>
    <w:p w14:paraId="59FB8A22" w14:textId="77777777" w:rsidR="00B66923" w:rsidRPr="00590E76" w:rsidRDefault="00B66923" w:rsidP="00B66923">
      <w:pPr>
        <w:pStyle w:val="MTDisplayEquation"/>
        <w:jc w:val="both"/>
        <w:rPr>
          <w:rFonts w:ascii="Times New Roman" w:hAnsi="Times New Roman" w:cs="Times New Roman"/>
        </w:rPr>
      </w:pPr>
      <w:r w:rsidRPr="00590E76">
        <w:rPr>
          <w:rFonts w:ascii="Times New Roman" w:hAnsi="Times New Roman" w:cs="Times New Roman"/>
        </w:rPr>
        <w:tab/>
      </w:r>
      <w:r w:rsidRPr="00590E76">
        <w:rPr>
          <w:rFonts w:ascii="Times New Roman" w:hAnsi="Times New Roman" w:cs="Times New Roman"/>
          <w:position w:val="-32"/>
        </w:rPr>
        <w:object w:dxaOrig="5460" w:dyaOrig="765" w14:anchorId="48C2B619">
          <v:shape id="_x0000_i1043" type="#_x0000_t75" style="width:273.05pt;height:38.7pt" o:ole="">
            <v:imagedata r:id="rId42" o:title=""/>
          </v:shape>
          <o:OLEObject Type="Embed" ProgID="Equation.DSMT4" ShapeID="_x0000_i1043" DrawAspect="Content" ObjectID="_1850987138" r:id="rId43"/>
        </w:object>
      </w:r>
      <w:r>
        <w:rPr>
          <w:rFonts w:ascii="Times New Roman" w:hAnsi="Times New Roman" w:cs="Times New Roman"/>
        </w:rPr>
        <w:t xml:space="preserve"> </w:t>
      </w:r>
      <w:r>
        <w:rPr>
          <w:rFonts w:ascii="Times New Roman" w:hAnsi="Times New Roman" w:cs="Times New Roman"/>
        </w:rPr>
        <w:tab/>
      </w:r>
    </w:p>
    <w:p w14:paraId="21EF2D38" w14:textId="77777777" w:rsidR="00B66923" w:rsidRPr="00590E76" w:rsidRDefault="00B66923" w:rsidP="00B66923">
      <w:pPr>
        <w:pStyle w:val="MTDisplayEquation"/>
        <w:jc w:val="both"/>
        <w:rPr>
          <w:rFonts w:ascii="Times New Roman" w:hAnsi="Times New Roman" w:cs="Times New Roman"/>
        </w:rPr>
      </w:pPr>
      <w:r>
        <w:rPr>
          <w:rFonts w:ascii="Times New Roman" w:hAnsi="Times New Roman" w:cs="Times New Roman"/>
          <w:highlight w:val="yellow"/>
        </w:rPr>
        <w:t>Using Theorem 1.1 and Equation (1.1), the SDE is solved to obtain the solution below:</w:t>
      </w:r>
    </w:p>
    <w:p w14:paraId="6FA68246" w14:textId="015A5171" w:rsidR="00B66923" w:rsidRPr="009D08B3" w:rsidRDefault="00B66923" w:rsidP="00B66923">
      <w:pPr>
        <w:pStyle w:val="MTDisplayEquation"/>
        <w:jc w:val="both"/>
        <w:rPr>
          <w:rFonts w:ascii="Times New Roman" w:hAnsi="Times New Roman" w:cs="Times New Roman"/>
        </w:rPr>
      </w:pPr>
      <w:r w:rsidRPr="00590E76">
        <w:rPr>
          <w:rFonts w:ascii="Times New Roman" w:hAnsi="Times New Roman" w:cs="Times New Roman"/>
          <w:position w:val="-30"/>
        </w:rPr>
        <w:object w:dxaOrig="4965" w:dyaOrig="735" w14:anchorId="70D0B439">
          <v:shape id="_x0000_i1044" type="#_x0000_t75" style="width:248.6pt;height:36.7pt" o:ole="">
            <v:imagedata r:id="rId44" o:title=""/>
          </v:shape>
          <o:OLEObject Type="Embed" ProgID="Equation.DSMT4" ShapeID="_x0000_i1044" DrawAspect="Content" ObjectID="_1850987139" r:id="rId45"/>
        </w:object>
      </w:r>
      <w:r w:rsidR="00031E81" w:rsidRPr="00662D3F">
        <w:rPr>
          <w:rFonts w:ascii="Times New Roman" w:hAnsi="Times New Roman" w:cs="Times New Roman"/>
          <w:highlight w:val="yellow"/>
          <w:lang w:val="nl-BE"/>
        </w:rPr>
        <w:t xml:space="preserve"> See Ofomata et al. (2017), Osu (2010), Ugbebor et al. (2001), Liang et al. (2012), </w:t>
      </w:r>
      <w:r w:rsidR="00662D3F" w:rsidRPr="00662D3F">
        <w:rPr>
          <w:rFonts w:ascii="Times New Roman" w:hAnsi="Times New Roman" w:cs="Times New Roman"/>
          <w:lang w:val="nl-BE"/>
        </w:rPr>
        <w:t>Noor</w:t>
      </w:r>
      <w:r w:rsidR="00031E81" w:rsidRPr="00662D3F">
        <w:rPr>
          <w:rFonts w:ascii="Times New Roman" w:hAnsi="Times New Roman" w:cs="Times New Roman"/>
          <w:highlight w:val="yellow"/>
          <w:lang w:val="nl-BE"/>
        </w:rPr>
        <w:t xml:space="preserve"> et al. (2020), Amadi et al. (2017), and Giet et al. </w:t>
      </w:r>
      <w:r w:rsidR="00031E81">
        <w:rPr>
          <w:rFonts w:ascii="Times New Roman" w:hAnsi="Times New Roman" w:cs="Times New Roman"/>
          <w:highlight w:val="yellow"/>
        </w:rPr>
        <w:t>(2015).</w:t>
      </w:r>
    </w:p>
    <w:p w14:paraId="61E0BBD4" w14:textId="77777777" w:rsidR="00B66923" w:rsidRDefault="00B66923" w:rsidP="00B66923">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2.1.1 Problem Formulation</w:t>
      </w:r>
    </w:p>
    <w:p w14:paraId="05928C5C" w14:textId="77777777" w:rsidR="00B66923" w:rsidRDefault="00B66923" w:rsidP="00B66923">
      <w:pPr>
        <w:spacing w:before="240" w:after="0" w:line="240" w:lineRule="auto"/>
        <w:jc w:val="both"/>
        <w:rPr>
          <w:rFonts w:ascii="Times New Roman" w:hAnsi="Times New Roman" w:cs="Times New Roman"/>
          <w:bCs/>
          <w:sz w:val="24"/>
          <w:szCs w:val="24"/>
        </w:rPr>
      </w:pPr>
      <w:r>
        <w:rPr>
          <w:rFonts w:ascii="Times New Roman" w:hAnsi="Times New Roman" w:cs="Times New Roman"/>
          <w:bCs/>
          <w:sz w:val="24"/>
          <w:szCs w:val="24"/>
          <w:highlight w:val="yellow"/>
        </w:rPr>
        <w:lastRenderedPageBreak/>
        <w:t>Here, a Geometric Brownian Motion model with exponential-decay and exponential-growth initial conditions is considered. Hence, we model a distressed bank under regulatory pressure where the baseline valuation decays exponentially. We also model the Access Bank price with an exponentially growing baseline to capture inflation and economic growth effects. Therefore, the dynamics are as follows:</w:t>
      </w:r>
    </w:p>
    <w:p w14:paraId="621F5ED1" w14:textId="77777777" w:rsidR="00B66923" w:rsidRDefault="00B66923" w:rsidP="00B66923">
      <w:pPr>
        <w:pStyle w:val="MTDisplayEquation"/>
        <w:spacing w:line="240" w:lineRule="auto"/>
      </w:pPr>
      <w:r>
        <w:tab/>
      </w:r>
      <w:r>
        <w:tab/>
      </w:r>
    </w:p>
    <w:p w14:paraId="68855702" w14:textId="77777777" w:rsidR="00B66923" w:rsidRPr="00346C83" w:rsidRDefault="00B66923" w:rsidP="00B66923"/>
    <w:p w14:paraId="5E67D4D2" w14:textId="77777777" w:rsidR="00B66923" w:rsidRDefault="00B66923" w:rsidP="00B66923">
      <w:pPr>
        <w:pStyle w:val="MTDisplayEquation"/>
        <w:tabs>
          <w:tab w:val="left" w:pos="1494"/>
        </w:tabs>
      </w:pPr>
      <w:r>
        <w:tab/>
      </w:r>
      <w:r>
        <w:tab/>
      </w:r>
      <w:r w:rsidRPr="00007676">
        <w:rPr>
          <w:position w:val="-32"/>
        </w:rPr>
        <w:object w:dxaOrig="2980" w:dyaOrig="760" w14:anchorId="119ED211">
          <v:shape id="_x0000_i1045" type="#_x0000_t75" style="width:148.75pt;height:38.7pt" o:ole="">
            <v:imagedata r:id="rId46" o:title=""/>
          </v:shape>
          <o:OLEObject Type="Embed" ProgID="Equation.DSMT4" ShapeID="_x0000_i1045" DrawAspect="Content" ObjectID="_1850987140" r:id="rId47"/>
        </w:object>
      </w:r>
      <w:r>
        <w:t xml:space="preserve"> </w:t>
      </w:r>
      <w:r>
        <w:tab/>
        <w:t>(1.2)</w:t>
      </w:r>
    </w:p>
    <w:p w14:paraId="505C681C" w14:textId="77777777" w:rsidR="0050596A" w:rsidRDefault="0050596A" w:rsidP="0050596A">
      <w:pPr>
        <w:spacing w:before="240" w:after="0" w:line="240" w:lineRule="auto"/>
        <w:jc w:val="both"/>
        <w:rPr>
          <w:rFonts w:ascii="Times New Roman" w:hAnsi="Times New Roman" w:cs="Times New Roman"/>
          <w:bCs/>
          <w:sz w:val="24"/>
          <w:szCs w:val="24"/>
        </w:rPr>
      </w:pPr>
    </w:p>
    <w:p w14:paraId="0412E2A0" w14:textId="77777777" w:rsidR="0050596A" w:rsidRDefault="0050596A" w:rsidP="0050596A">
      <w:pPr>
        <w:pStyle w:val="MTDisplayEquation"/>
      </w:pPr>
      <w:r>
        <w:tab/>
      </w:r>
      <w:r>
        <w:rPr>
          <w:position w:val="-32"/>
        </w:rPr>
        <w:object w:dxaOrig="2980" w:dyaOrig="760" w14:anchorId="14ED8442">
          <v:shape id="_x0000_i1046" type="#_x0000_t75" style="width:148.75pt;height:38.7pt" o:ole="">
            <v:imagedata r:id="rId48" o:title=""/>
          </v:shape>
          <o:OLEObject Type="Embed" ProgID="Equation.DSMT4" ShapeID="_x0000_i1046" DrawAspect="Content" ObjectID="_1850987141" r:id="rId49"/>
        </w:object>
      </w:r>
      <w:r>
        <w:t xml:space="preserve"> </w:t>
      </w:r>
      <w:r>
        <w:tab/>
      </w:r>
      <w:r w:rsidR="00942CDF">
        <w:t>(1.3)</w:t>
      </w:r>
    </w:p>
    <w:p w14:paraId="638CCF8B" w14:textId="77777777" w:rsidR="0050596A" w:rsidRPr="0050596A" w:rsidRDefault="0050596A" w:rsidP="0050596A"/>
    <w:p w14:paraId="2C02E2E9" w14:textId="77777777" w:rsidR="0050596A" w:rsidRPr="00BD4D05" w:rsidRDefault="00B66923" w:rsidP="00CA0860">
      <w:r>
        <w:t xml:space="preserve">where </w:t>
      </w:r>
      <w:r w:rsidRPr="00510610">
        <w:rPr>
          <w:position w:val="-12"/>
        </w:rPr>
        <w:object w:dxaOrig="279" w:dyaOrig="360" w14:anchorId="76F7A6A6">
          <v:shape id="_x0000_i1047" type="#_x0000_t75" style="width:14.25pt;height:18.35pt" o:ole="">
            <v:imagedata r:id="rId50" o:title=""/>
          </v:shape>
          <o:OLEObject Type="Embed" ProgID="Equation.DSMT4" ShapeID="_x0000_i1047" DrawAspect="Content" ObjectID="_1850987142" r:id="rId51"/>
        </w:object>
      </w:r>
      <w:r>
        <w:rPr>
          <w:highlight w:val="yellow"/>
        </w:rPr>
        <w:t xml:space="preserve"> represents the initial price, </w:t>
      </w:r>
      <w:r w:rsidRPr="00E54B33">
        <w:rPr>
          <w:position w:val="-6"/>
        </w:rPr>
        <w:object w:dxaOrig="200" w:dyaOrig="279" w14:anchorId="15C123DF">
          <v:shape id="_x0000_i1048" type="#_x0000_t75" style="width:10.2pt;height:14.25pt" o:ole="">
            <v:imagedata r:id="rId52" o:title=""/>
          </v:shape>
          <o:OLEObject Type="Embed" ProgID="Equation.DSMT4" ShapeID="_x0000_i1048" DrawAspect="Content" ObjectID="_1850987143" r:id="rId53"/>
        </w:object>
      </w:r>
      <w:r>
        <w:rPr>
          <w:highlight w:val="yellow"/>
        </w:rPr>
        <w:t xml:space="preserve"> represents the growth rate, </w:t>
      </w:r>
      <w:r>
        <w:rPr>
          <w:position w:val="-10"/>
        </w:rPr>
        <w:object w:dxaOrig="240" w:dyaOrig="255" w14:anchorId="2D89D557">
          <v:shape id="_x0000_i1049" type="#_x0000_t75" style="width:12.25pt;height:12.9pt" o:ole="">
            <v:imagedata r:id="rId54" o:title=""/>
          </v:shape>
          <o:OLEObject Type="Embed" ProgID="Equation.DSMT4" ShapeID="_x0000_i1049" DrawAspect="Content" ObjectID="_1850987144" r:id="rId55"/>
        </w:object>
      </w:r>
      <w:r>
        <w:rPr>
          <w:highlight w:val="yellow"/>
        </w:rPr>
        <w:t xml:space="preserve"> represents the drift coefficient, </w:t>
      </w:r>
      <w:r>
        <w:rPr>
          <w:position w:val="-6"/>
        </w:rPr>
        <w:object w:dxaOrig="240" w:dyaOrig="210" w14:anchorId="1BCA2E58">
          <v:shape id="_x0000_i1050" type="#_x0000_t75" style="width:12.25pt;height:10.2pt" o:ole="">
            <v:imagedata r:id="rId56" o:title=""/>
          </v:shape>
          <o:OLEObject Type="Embed" ProgID="Equation.DSMT4" ShapeID="_x0000_i1050" DrawAspect="Content" ObjectID="_1850987145" r:id="rId57"/>
        </w:object>
      </w:r>
      <w:r>
        <w:rPr>
          <w:highlight w:val="yellow"/>
        </w:rPr>
        <w:t xml:space="preserve"> represents the volatility coefficient, </w:t>
      </w:r>
      <w:r>
        <w:rPr>
          <w:position w:val="-12"/>
        </w:rPr>
        <w:object w:dxaOrig="540" w:dyaOrig="360" w14:anchorId="3660A13D">
          <v:shape id="_x0000_i1051" type="#_x0000_t75" style="width:27.15pt;height:18.35pt" o:ole="">
            <v:imagedata r:id="rId58" o:title=""/>
          </v:shape>
          <o:OLEObject Type="Embed" ProgID="Equation.DSMT4" ShapeID="_x0000_i1051" DrawAspect="Content" ObjectID="_1850987146" r:id="rId59"/>
        </w:object>
      </w:r>
      <w:r>
        <w:t xml:space="preserve"> is the base price level,</w:t>
      </w:r>
      <w:r>
        <w:rPr>
          <w:position w:val="-12"/>
        </w:rPr>
        <w:t xml:space="preserve"> </w:t>
      </w:r>
      <w:r>
        <w:rPr>
          <w:position w:val="-12"/>
        </w:rPr>
        <w:object w:dxaOrig="300" w:dyaOrig="360" w14:anchorId="34166EA3">
          <v:shape id="_x0000_i1052" type="#_x0000_t75" style="width:14.95pt;height:18.35pt" o:ole="">
            <v:imagedata r:id="rId60" o:title=""/>
          </v:shape>
          <o:OLEObject Type="Embed" ProgID="Equation.DSMT4" ShapeID="_x0000_i1052" DrawAspect="Content" ObjectID="_1850987147" r:id="rId61"/>
        </w:object>
      </w:r>
      <w:r>
        <w:rPr>
          <w:highlight w:val="yellow"/>
        </w:rPr>
        <w:t xml:space="preserve"> represents Brownian motion, and </w:t>
      </w:r>
      <w:r w:rsidRPr="00E54B33">
        <w:rPr>
          <w:position w:val="-6"/>
        </w:rPr>
        <w:object w:dxaOrig="139" w:dyaOrig="240" w14:anchorId="5B9F3602">
          <v:shape id="_x0000_i1053" type="#_x0000_t75" style="width:6.8pt;height:12.25pt" o:ole="">
            <v:imagedata r:id="rId62" o:title=""/>
          </v:shape>
          <o:OLEObject Type="Embed" ProgID="Equation.DSMT4" ShapeID="_x0000_i1053" DrawAspect="Content" ObjectID="_1850987148" r:id="rId63"/>
        </w:object>
      </w:r>
      <w:r>
        <w:t xml:space="preserve"> represents time.</w:t>
      </w:r>
      <w:r w:rsidR="0050596A">
        <w:tab/>
      </w:r>
      <w:r w:rsidR="0050596A">
        <w:tab/>
      </w:r>
    </w:p>
    <w:p w14:paraId="05C7CF34" w14:textId="77777777" w:rsidR="00B66923" w:rsidRDefault="00B66923" w:rsidP="00B66923">
      <w:pPr>
        <w:spacing w:before="240" w:after="0" w:line="240" w:lineRule="auto"/>
        <w:jc w:val="both"/>
        <w:rPr>
          <w:rFonts w:ascii="Times New Roman" w:hAnsi="Times New Roman" w:cs="Times New Roman"/>
          <w:sz w:val="24"/>
          <w:szCs w:val="24"/>
        </w:rPr>
      </w:pPr>
      <w:r>
        <w:rPr>
          <w:rFonts w:ascii="Times New Roman" w:hAnsi="Times New Roman" w:cs="Times New Roman"/>
          <w:b/>
          <w:bCs/>
          <w:sz w:val="24"/>
          <w:szCs w:val="24"/>
        </w:rPr>
        <w:t>2.1.2</w:t>
      </w:r>
      <w:r>
        <w:rPr>
          <w:rFonts w:ascii="Times New Roman" w:hAnsi="Times New Roman" w:cs="Times New Roman"/>
          <w:b/>
          <w:bCs/>
          <w:sz w:val="24"/>
          <w:szCs w:val="24"/>
        </w:rPr>
        <w:tab/>
        <w:t>Method of Solution</w:t>
      </w:r>
    </w:p>
    <w:p w14:paraId="5D64A71A" w14:textId="77777777" w:rsidR="00B66923" w:rsidRDefault="00B66923" w:rsidP="00B66923">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investment equation consists of a system of variable-coefficient problems whose solutions are non-trivial. Applying Theorem 1.1 gives the following:</w:t>
      </w:r>
    </w:p>
    <w:p w14:paraId="796B6689" w14:textId="77777777" w:rsidR="00B66923" w:rsidRPr="0090619F" w:rsidRDefault="00B66923" w:rsidP="00B66923">
      <w:pPr>
        <w:spacing w:before="240" w:after="0" w:line="480" w:lineRule="auto"/>
        <w:jc w:val="both"/>
        <w:rPr>
          <w:b/>
          <w:sz w:val="24"/>
          <w:szCs w:val="24"/>
        </w:rPr>
      </w:pPr>
      <w:r>
        <w:rPr>
          <w:b/>
          <w:sz w:val="24"/>
          <w:szCs w:val="24"/>
          <w:highlight w:val="yellow"/>
        </w:rPr>
        <w:t xml:space="preserve">Let </w:t>
      </w:r>
      <w:r>
        <w:rPr>
          <w:rFonts w:ascii="Times New Roman" w:hAnsi="Times New Roman" w:cs="Times New Roman"/>
          <w:position w:val="-14"/>
          <w:sz w:val="24"/>
          <w:szCs w:val="24"/>
        </w:rPr>
        <w:object w:dxaOrig="1485" w:dyaOrig="390" w14:anchorId="05E7DFEB">
          <v:shape id="_x0000_i1054" type="#_x0000_t75" style="width:74.7pt;height:19.7pt" o:ole="">
            <v:imagedata r:id="rId64" o:title=""/>
          </v:shape>
          <o:OLEObject Type="Embed" ProgID="Equation.DSMT4" ShapeID="_x0000_i1054" DrawAspect="Content" ObjectID="_1850987149" r:id="rId65"/>
        </w:object>
      </w:r>
      <w:r>
        <w:rPr>
          <w:rFonts w:ascii="Times New Roman" w:hAnsi="Times New Roman" w:cs="Times New Roman"/>
          <w:sz w:val="24"/>
          <w:szCs w:val="24"/>
          <w:highlight w:val="yellow"/>
        </w:rPr>
        <w:t>. Taking the partial derivatives yields:</w:t>
      </w:r>
    </w:p>
    <w:p w14:paraId="28498AA9" w14:textId="77777777" w:rsidR="00B66923" w:rsidRDefault="00B66923" w:rsidP="00B66923">
      <w:pPr>
        <w:pStyle w:val="MTDisplayEquation"/>
      </w:pPr>
      <w:r>
        <w:tab/>
      </w:r>
      <w:r>
        <w:rPr>
          <w:position w:val="-32"/>
        </w:rPr>
        <w:object w:dxaOrig="3060" w:dyaOrig="765" w14:anchorId="2B85F125">
          <v:shape id="_x0000_i1055" type="#_x0000_t75" style="width:153.5pt;height:38.7pt" o:ole="">
            <v:imagedata r:id="rId66" o:title=""/>
          </v:shape>
          <o:OLEObject Type="Embed" ProgID="Equation.DSMT4" ShapeID="_x0000_i1055" DrawAspect="Content" ObjectID="_1850987150" r:id="rId67"/>
        </w:object>
      </w:r>
      <w:r w:rsidR="00942CDF">
        <w:t xml:space="preserve"> </w:t>
      </w:r>
      <w:r w:rsidR="00942CDF">
        <w:tab/>
        <w:t>(1.4</w:t>
      </w:r>
      <w:r>
        <w:t>)</w:t>
      </w:r>
    </w:p>
    <w:p w14:paraId="285936A9" w14:textId="77777777" w:rsidR="00B66923" w:rsidRDefault="00B66923" w:rsidP="00B66923"/>
    <w:p w14:paraId="0192ACE4" w14:textId="77777777" w:rsidR="00B66923" w:rsidRDefault="00B66923" w:rsidP="00B66923">
      <w:r>
        <w:rPr>
          <w:highlight w:val="yellow"/>
        </w:rPr>
        <w:t>According to Itô's theorem, we obtain:</w:t>
      </w:r>
    </w:p>
    <w:p w14:paraId="72FF62D8" w14:textId="77777777" w:rsidR="00B66923" w:rsidRPr="00031E81" w:rsidRDefault="00B66923" w:rsidP="00031E81">
      <w:pPr>
        <w:pStyle w:val="MTDisplayEquation"/>
      </w:pPr>
      <w:r>
        <w:tab/>
      </w:r>
      <w:r>
        <w:rPr>
          <w:position w:val="-32"/>
        </w:rPr>
        <w:object w:dxaOrig="5025" w:dyaOrig="765" w14:anchorId="4C80E9D0">
          <v:shape id="_x0000_i1056" type="#_x0000_t75" style="width:251.3pt;height:38.7pt" o:ole="">
            <v:imagedata r:id="rId68" o:title=""/>
          </v:shape>
          <o:OLEObject Type="Embed" ProgID="Equation.DSMT4" ShapeID="_x0000_i1056" DrawAspect="Content" ObjectID="_1850987151" r:id="rId69"/>
        </w:object>
      </w:r>
      <w:r w:rsidR="00942CDF">
        <w:t xml:space="preserve"> </w:t>
      </w:r>
      <w:r w:rsidR="00942CDF">
        <w:tab/>
        <w:t>(1.5</w:t>
      </w:r>
      <w:r w:rsidR="00031E81">
        <w:t>)</w:t>
      </w:r>
    </w:p>
    <w:p w14:paraId="4A7FE544" w14:textId="77777777" w:rsidR="00B66923" w:rsidRDefault="00942CDF" w:rsidP="00B66923">
      <w:r>
        <w:rPr>
          <w:highlight w:val="yellow"/>
        </w:rPr>
        <w:t>Substituting (1.4) into (1.5) gives the following:</w:t>
      </w:r>
    </w:p>
    <w:p w14:paraId="278B3D31" w14:textId="77777777" w:rsidR="00B66923" w:rsidRDefault="00B66923" w:rsidP="00B66923">
      <w:pPr>
        <w:pStyle w:val="MTDisplayEquation"/>
      </w:pPr>
      <w:r>
        <w:tab/>
      </w:r>
      <w:r>
        <w:rPr>
          <w:position w:val="-34"/>
        </w:rPr>
        <w:object w:dxaOrig="5550" w:dyaOrig="795" w14:anchorId="0896B472">
          <v:shape id="_x0000_i1057" type="#_x0000_t75" style="width:277.8pt;height:40.1pt" o:ole="">
            <v:imagedata r:id="rId70" o:title=""/>
          </v:shape>
          <o:OLEObject Type="Embed" ProgID="Equation.DSMT4" ShapeID="_x0000_i1057" DrawAspect="Content" ObjectID="_1850987152" r:id="rId71"/>
        </w:object>
      </w:r>
      <w:r w:rsidR="00942CDF">
        <w:t xml:space="preserve"> </w:t>
      </w:r>
      <w:r w:rsidR="00942CDF">
        <w:tab/>
        <w:t>(1.6</w:t>
      </w:r>
      <w:r>
        <w:t>)</w:t>
      </w:r>
    </w:p>
    <w:p w14:paraId="23B75253" w14:textId="77777777" w:rsidR="00B66923" w:rsidRDefault="00B66923" w:rsidP="00B66923">
      <w:pPr>
        <w:spacing w:line="480" w:lineRule="auto"/>
        <w:jc w:val="both"/>
        <w:rPr>
          <w:rFonts w:ascii="Times New Roman" w:hAnsi="Times New Roman" w:cs="Times New Roman"/>
          <w:b/>
          <w:sz w:val="24"/>
          <w:szCs w:val="24"/>
        </w:rPr>
      </w:pPr>
    </w:p>
    <w:p w14:paraId="4ADE059B" w14:textId="77777777" w:rsidR="00B66923" w:rsidRDefault="00B66923" w:rsidP="00B66923">
      <w:pPr>
        <w:spacing w:line="480" w:lineRule="auto"/>
        <w:jc w:val="both"/>
        <w:rPr>
          <w:rFonts w:ascii="Times New Roman" w:hAnsi="Times New Roman" w:cs="Times New Roman"/>
          <w:sz w:val="24"/>
          <w:szCs w:val="24"/>
        </w:rPr>
      </w:pPr>
      <w:r>
        <w:rPr>
          <w:rFonts w:ascii="Times New Roman" w:hAnsi="Times New Roman" w:cs="Times New Roman"/>
          <w:sz w:val="24"/>
          <w:szCs w:val="24"/>
          <w:highlight w:val="yellow"/>
        </w:rPr>
        <w:t>Simplifying gives:</w:t>
      </w:r>
    </w:p>
    <w:p w14:paraId="4289E1C7" w14:textId="77777777" w:rsidR="00B66923" w:rsidRDefault="00B66923" w:rsidP="00B66923">
      <w:pPr>
        <w:pStyle w:val="MTDisplayEquation"/>
      </w:pPr>
      <w:r>
        <w:tab/>
      </w:r>
      <w:r>
        <w:rPr>
          <w:position w:val="-32"/>
        </w:rPr>
        <w:object w:dxaOrig="3540" w:dyaOrig="765" w14:anchorId="189531C3">
          <v:shape id="_x0000_i1058" type="#_x0000_t75" style="width:176.6pt;height:38.7pt" o:ole="">
            <v:imagedata r:id="rId72" o:title=""/>
          </v:shape>
          <o:OLEObject Type="Embed" ProgID="Equation.DSMT4" ShapeID="_x0000_i1058" DrawAspect="Content" ObjectID="_1850987153" r:id="rId73"/>
        </w:object>
      </w:r>
      <w:r w:rsidR="00942CDF">
        <w:t xml:space="preserve"> </w:t>
      </w:r>
      <w:r w:rsidR="00942CDF">
        <w:tab/>
        <w:t>(1.7</w:t>
      </w:r>
      <w:r>
        <w:t>)</w:t>
      </w:r>
    </w:p>
    <w:p w14:paraId="3EA75A4C" w14:textId="77777777" w:rsidR="00B66923" w:rsidRDefault="00B66923" w:rsidP="00B66923">
      <w:pPr>
        <w:pStyle w:val="MTDisplayEquation"/>
      </w:pPr>
      <w:r>
        <w:tab/>
      </w:r>
      <w:r>
        <w:rPr>
          <w:position w:val="-28"/>
        </w:rPr>
        <w:object w:dxaOrig="2550" w:dyaOrig="675" w14:anchorId="2EA2D018">
          <v:shape id="_x0000_i1059" type="#_x0000_t75" style="width:127pt;height:33.95pt" o:ole="">
            <v:imagedata r:id="rId74" o:title=""/>
          </v:shape>
          <o:OLEObject Type="Embed" ProgID="Equation.DSMT4" ShapeID="_x0000_i1059" DrawAspect="Content" ObjectID="_1850987154" r:id="rId75"/>
        </w:object>
      </w:r>
      <w:r>
        <w:t xml:space="preserve"> </w:t>
      </w:r>
    </w:p>
    <w:p w14:paraId="353FE8A2" w14:textId="77777777" w:rsidR="00B66923" w:rsidRDefault="00B66923" w:rsidP="00B66923">
      <w:pPr>
        <w:pStyle w:val="MTDisplayEquation"/>
      </w:pPr>
      <w:r>
        <w:tab/>
      </w:r>
      <w:r>
        <w:rPr>
          <w:position w:val="-28"/>
        </w:rPr>
        <w:object w:dxaOrig="3225" w:dyaOrig="675" w14:anchorId="371602C9">
          <v:shape id="_x0000_i1060" type="#_x0000_t75" style="width:161.65pt;height:33.95pt" o:ole="">
            <v:imagedata r:id="rId76" o:title=""/>
          </v:shape>
          <o:OLEObject Type="Embed" ProgID="Equation.DSMT4" ShapeID="_x0000_i1060" DrawAspect="Content" ObjectID="_1850987155" r:id="rId77"/>
        </w:object>
      </w:r>
      <w:r w:rsidR="00942CDF">
        <w:t xml:space="preserve"> </w:t>
      </w:r>
      <w:r w:rsidR="00942CDF">
        <w:tab/>
        <w:t>(1.8</w:t>
      </w:r>
      <w:r>
        <w:t>)</w:t>
      </w:r>
    </w:p>
    <w:p w14:paraId="6FCC4C37" w14:textId="77777777" w:rsidR="00B66923" w:rsidRDefault="00942CDF" w:rsidP="00B66923">
      <w:r>
        <w:rPr>
          <w:highlight w:val="yellow"/>
        </w:rPr>
        <w:t>Integrating (1.8) from</w:t>
      </w:r>
      <w:r w:rsidR="00B66923">
        <w:rPr>
          <w:position w:val="-10"/>
        </w:rPr>
        <w:object w:dxaOrig="675" w:dyaOrig="330" w14:anchorId="6275993B">
          <v:shape id="_x0000_i1061" type="#_x0000_t75" style="width:33.95pt;height:16.3pt" o:ole="">
            <v:imagedata r:id="rId78" o:title=""/>
          </v:shape>
          <o:OLEObject Type="Embed" ProgID="Equation.DSMT4" ShapeID="_x0000_i1061" DrawAspect="Content" ObjectID="_1850987156" r:id="rId79"/>
        </w:object>
      </w:r>
      <w:r w:rsidR="00B66923">
        <w:rPr>
          <w:highlight w:val="yellow"/>
        </w:rPr>
        <w:t xml:space="preserve"> gives:</w:t>
      </w:r>
    </w:p>
    <w:p w14:paraId="0B94D11F" w14:textId="77777777" w:rsidR="00B66923" w:rsidRDefault="00B66923" w:rsidP="00B66923">
      <w:pPr>
        <w:pStyle w:val="MTDisplayEquation"/>
      </w:pPr>
      <w:r>
        <w:tab/>
      </w:r>
      <w:r>
        <w:rPr>
          <w:position w:val="-28"/>
        </w:rPr>
        <w:object w:dxaOrig="5385" w:dyaOrig="675" w14:anchorId="54845FD2">
          <v:shape id="_x0000_i1062" type="#_x0000_t75" style="width:269.65pt;height:33.95pt" o:ole="">
            <v:imagedata r:id="rId80" o:title=""/>
          </v:shape>
          <o:OLEObject Type="Embed" ProgID="Equation.DSMT4" ShapeID="_x0000_i1062" DrawAspect="Content" ObjectID="_1850987157" r:id="rId81"/>
        </w:object>
      </w:r>
      <w:r w:rsidR="00942CDF">
        <w:t xml:space="preserve"> </w:t>
      </w:r>
      <w:r w:rsidR="00942CDF">
        <w:tab/>
        <w:t>(1.9</w:t>
      </w:r>
      <w:r>
        <w:t>)</w:t>
      </w:r>
    </w:p>
    <w:p w14:paraId="67273E8B" w14:textId="77777777" w:rsidR="00B66923" w:rsidRDefault="00B66923" w:rsidP="00B66923">
      <w:pPr>
        <w:pStyle w:val="MTDisplayEquation"/>
      </w:pPr>
      <w:r>
        <w:tab/>
      </w:r>
      <w:r>
        <w:rPr>
          <w:position w:val="-30"/>
        </w:rPr>
        <w:object w:dxaOrig="4020" w:dyaOrig="760" w14:anchorId="755CF100">
          <v:shape id="_x0000_i1063" type="#_x0000_t75" style="width:201.05pt;height:38.7pt" o:ole="">
            <v:imagedata r:id="rId82" o:title=""/>
          </v:shape>
          <o:OLEObject Type="Embed" ProgID="Equation.DSMT4" ShapeID="_x0000_i1063" DrawAspect="Content" ObjectID="_1850987158" r:id="rId83"/>
        </w:object>
      </w:r>
      <w:r>
        <w:t xml:space="preserve"> </w:t>
      </w:r>
    </w:p>
    <w:p w14:paraId="679741BF" w14:textId="77777777" w:rsidR="00B66923" w:rsidRDefault="00B66923" w:rsidP="00B66923">
      <w:pPr>
        <w:pStyle w:val="MTDisplayEquation"/>
      </w:pPr>
      <w:r>
        <w:tab/>
      </w:r>
      <w:r w:rsidRPr="008E182E">
        <w:rPr>
          <w:position w:val="-32"/>
        </w:rPr>
        <w:object w:dxaOrig="3000" w:dyaOrig="760" w14:anchorId="0996748E">
          <v:shape id="_x0000_i1064" type="#_x0000_t75" style="width:149.45pt;height:38.7pt" o:ole="">
            <v:imagedata r:id="rId84" o:title=""/>
          </v:shape>
          <o:OLEObject Type="Embed" ProgID="Equation.DSMT4" ShapeID="_x0000_i1064" DrawAspect="Content" ObjectID="_1850987159" r:id="rId85"/>
        </w:object>
      </w:r>
      <w:r>
        <w:t xml:space="preserve"> </w:t>
      </w:r>
    </w:p>
    <w:p w14:paraId="30C221C4" w14:textId="77777777" w:rsidR="00B66923" w:rsidRDefault="00B66923" w:rsidP="00B66923">
      <w:r>
        <w:rPr>
          <w:highlight w:val="yellow"/>
        </w:rPr>
        <w:t>Taking the natural logarithm of both sides gives:</w:t>
      </w:r>
    </w:p>
    <w:p w14:paraId="22962CD4" w14:textId="77777777" w:rsidR="00B66923" w:rsidRDefault="00B66923" w:rsidP="00B66923">
      <w:pPr>
        <w:pStyle w:val="MTDisplayEquation"/>
      </w:pPr>
      <w:r>
        <w:tab/>
      </w:r>
      <w:r>
        <w:rPr>
          <w:position w:val="-28"/>
        </w:rPr>
        <w:object w:dxaOrig="3120" w:dyaOrig="680" w14:anchorId="6C022042">
          <v:shape id="_x0000_i1065" type="#_x0000_t75" style="width:156.25pt;height:33.95pt" o:ole="">
            <v:imagedata r:id="rId86" o:title=""/>
          </v:shape>
          <o:OLEObject Type="Embed" ProgID="Equation.DSMT4" ShapeID="_x0000_i1065" DrawAspect="Content" ObjectID="_1850987160" r:id="rId87"/>
        </w:object>
      </w:r>
      <w:r w:rsidR="00942CDF">
        <w:t xml:space="preserve"> </w:t>
      </w:r>
      <w:r w:rsidR="00942CDF">
        <w:tab/>
        <w:t>(1.10</w:t>
      </w:r>
      <w:r>
        <w:t>)</w:t>
      </w:r>
    </w:p>
    <w:p w14:paraId="76428592" w14:textId="77777777" w:rsidR="00B66923" w:rsidRDefault="00B66923" w:rsidP="00B66923">
      <w:r>
        <w:rPr>
          <w:highlight w:val="yellow"/>
        </w:rPr>
        <w:t>This gives the general solution of the SDE. To find the particular solution:</w:t>
      </w:r>
    </w:p>
    <w:p w14:paraId="710B39F5" w14:textId="77777777" w:rsidR="00B66923" w:rsidRPr="00C42EE8" w:rsidRDefault="00B66923" w:rsidP="00B66923">
      <w:r w:rsidRPr="00C42EE8">
        <w:rPr>
          <w:position w:val="-14"/>
        </w:rPr>
        <w:object w:dxaOrig="1660" w:dyaOrig="400" w14:anchorId="289C786B">
          <v:shape id="_x0000_i1066" type="#_x0000_t75" style="width:82.2pt;height:19.7pt" o:ole="">
            <v:imagedata r:id="rId88" o:title=""/>
          </v:shape>
          <o:OLEObject Type="Embed" ProgID="Equation.DSMT4" ShapeID="_x0000_i1066" DrawAspect="Content" ObjectID="_1850987161" r:id="rId89"/>
        </w:object>
      </w:r>
      <w:r>
        <w:t xml:space="preserve"> ,</w:t>
      </w:r>
      <w:r w:rsidRPr="00C42EE8">
        <w:rPr>
          <w:position w:val="-28"/>
        </w:rPr>
        <w:object w:dxaOrig="4020" w:dyaOrig="680" w14:anchorId="15C45ED7">
          <v:shape id="_x0000_i1067" type="#_x0000_t75" style="width:201.05pt;height:33.95pt" o:ole="">
            <v:imagedata r:id="rId90" o:title=""/>
          </v:shape>
          <o:OLEObject Type="Embed" ProgID="Equation.DSMT4" ShapeID="_x0000_i1067" DrawAspect="Content" ObjectID="_1850987162" r:id="rId91"/>
        </w:object>
      </w:r>
      <w:r>
        <w:t xml:space="preserve"> </w:t>
      </w:r>
    </w:p>
    <w:p w14:paraId="56BB5906" w14:textId="77777777" w:rsidR="00B66923" w:rsidRDefault="00B66923" w:rsidP="00B66923">
      <w:pPr>
        <w:pStyle w:val="MTDisplayEquation"/>
      </w:pPr>
      <w:r>
        <w:tab/>
      </w:r>
      <w:r w:rsidRPr="00C42EE8">
        <w:rPr>
          <w:position w:val="-12"/>
        </w:rPr>
        <w:object w:dxaOrig="1359" w:dyaOrig="380" w14:anchorId="297719E6">
          <v:shape id="_x0000_i1068" type="#_x0000_t75" style="width:68.6pt;height:18.35pt" o:ole="">
            <v:imagedata r:id="rId92" o:title=""/>
          </v:shape>
          <o:OLEObject Type="Embed" ProgID="Equation.DSMT4" ShapeID="_x0000_i1068" DrawAspect="Content" ObjectID="_1850987163" r:id="rId93"/>
        </w:object>
      </w:r>
      <w:r>
        <w:t xml:space="preserve"> </w:t>
      </w:r>
    </w:p>
    <w:p w14:paraId="6C53201B" w14:textId="77777777" w:rsidR="00B66923" w:rsidRDefault="00B66923" w:rsidP="00B66923">
      <w:pPr>
        <w:pStyle w:val="MTDisplayEquation"/>
      </w:pPr>
      <w:r>
        <w:tab/>
      </w:r>
      <w:r w:rsidRPr="00C42EE8">
        <w:rPr>
          <w:position w:val="-30"/>
        </w:rPr>
        <w:object w:dxaOrig="3980" w:dyaOrig="720" w14:anchorId="59296472">
          <v:shape id="_x0000_i1069" type="#_x0000_t75" style="width:198.35pt;height:36pt" o:ole="">
            <v:imagedata r:id="rId94" o:title=""/>
          </v:shape>
          <o:OLEObject Type="Embed" ProgID="Equation.DSMT4" ShapeID="_x0000_i1069" DrawAspect="Content" ObjectID="_1850987164" r:id="rId95"/>
        </w:object>
      </w:r>
      <w:r w:rsidR="00942CDF">
        <w:t xml:space="preserve"> </w:t>
      </w:r>
      <w:r w:rsidR="00942CDF">
        <w:tab/>
        <w:t>(1.11</w:t>
      </w:r>
      <w:r>
        <w:t>)</w:t>
      </w:r>
    </w:p>
    <w:p w14:paraId="4C039F59" w14:textId="77777777" w:rsidR="0072392B" w:rsidRDefault="0072392B" w:rsidP="0072392B"/>
    <w:p w14:paraId="4204F6C5" w14:textId="77777777" w:rsidR="0072392B" w:rsidRPr="00BB629B" w:rsidRDefault="0072392B" w:rsidP="0072392B">
      <w:pPr>
        <w:spacing w:before="240" w:after="0" w:line="480" w:lineRule="auto"/>
        <w:jc w:val="both"/>
        <w:rPr>
          <w:b/>
          <w:sz w:val="24"/>
          <w:szCs w:val="24"/>
        </w:rPr>
      </w:pPr>
      <w:r>
        <w:rPr>
          <w:rFonts w:ascii="Times New Roman" w:hAnsi="Times New Roman" w:cs="Times New Roman"/>
          <w:sz w:val="24"/>
          <w:szCs w:val="24"/>
          <w:highlight w:val="yellow"/>
        </w:rPr>
        <w:lastRenderedPageBreak/>
        <w:t xml:space="preserve">Applying Itô's formula to (1.3), let </w:t>
      </w:r>
      <w:r w:rsidRPr="009C7D8E">
        <w:rPr>
          <w:rFonts w:ascii="Times New Roman" w:hAnsi="Times New Roman" w:cs="Times New Roman"/>
          <w:position w:val="-18"/>
          <w:sz w:val="24"/>
          <w:szCs w:val="24"/>
        </w:rPr>
        <w:object w:dxaOrig="1520" w:dyaOrig="480" w14:anchorId="23FF45BA">
          <v:shape id="_x0000_i1070" type="#_x0000_t75" style="width:75.4pt;height:23.75pt" o:ole="">
            <v:imagedata r:id="rId96" o:title=""/>
          </v:shape>
          <o:OLEObject Type="Embed" ProgID="Equation.DSMT4" ShapeID="_x0000_i1070" DrawAspect="Content" ObjectID="_1850987165" r:id="rId97"/>
        </w:object>
      </w:r>
      <w:r>
        <w:rPr>
          <w:rFonts w:ascii="Times New Roman" w:hAnsi="Times New Roman" w:cs="Times New Roman"/>
          <w:sz w:val="24"/>
          <w:szCs w:val="24"/>
          <w:highlight w:val="yellow"/>
        </w:rPr>
        <w:t>. Taking the partial derivatives yields:</w:t>
      </w:r>
    </w:p>
    <w:p w14:paraId="537BAA73" w14:textId="77777777" w:rsidR="0072392B" w:rsidRDefault="0072392B" w:rsidP="0072392B">
      <w:pPr>
        <w:pStyle w:val="MTDisplayEquation"/>
      </w:pPr>
      <w:r>
        <w:tab/>
      </w:r>
      <w:r w:rsidRPr="0071730D">
        <w:rPr>
          <w:position w:val="-32"/>
        </w:rPr>
        <w:object w:dxaOrig="3060" w:dyaOrig="760" w14:anchorId="1322C205">
          <v:shape id="_x0000_i1071" type="#_x0000_t75" style="width:153.5pt;height:38.7pt" o:ole="">
            <v:imagedata r:id="rId98" o:title=""/>
          </v:shape>
          <o:OLEObject Type="Embed" ProgID="Equation.DSMT4" ShapeID="_x0000_i1071" DrawAspect="Content" ObjectID="_1850987166" r:id="rId99"/>
        </w:object>
      </w:r>
      <w:r>
        <w:t xml:space="preserve"> </w:t>
      </w:r>
      <w:r>
        <w:tab/>
        <w:t>(1.12)</w:t>
      </w:r>
    </w:p>
    <w:p w14:paraId="4A46D12C" w14:textId="77777777" w:rsidR="0072392B" w:rsidRDefault="0072392B" w:rsidP="0072392B"/>
    <w:p w14:paraId="19D36532" w14:textId="77777777" w:rsidR="0072392B" w:rsidRDefault="0072392B" w:rsidP="0072392B">
      <w:r>
        <w:rPr>
          <w:highlight w:val="yellow"/>
        </w:rPr>
        <w:t>According to Itô's theorem, we obtain:</w:t>
      </w:r>
    </w:p>
    <w:p w14:paraId="5DDDEB54" w14:textId="77777777" w:rsidR="0072392B" w:rsidRDefault="0072392B" w:rsidP="0072392B">
      <w:pPr>
        <w:pStyle w:val="MTDisplayEquation"/>
      </w:pPr>
      <w:r>
        <w:tab/>
      </w:r>
      <w:r w:rsidRPr="0071730D">
        <w:rPr>
          <w:position w:val="-32"/>
        </w:rPr>
        <w:object w:dxaOrig="5020" w:dyaOrig="760" w14:anchorId="3779FE4D">
          <v:shape id="_x0000_i1072" type="#_x0000_t75" style="width:251.3pt;height:38.7pt" o:ole="">
            <v:imagedata r:id="rId100" o:title=""/>
          </v:shape>
          <o:OLEObject Type="Embed" ProgID="Equation.DSMT4" ShapeID="_x0000_i1072" DrawAspect="Content" ObjectID="_1850987167" r:id="rId101"/>
        </w:object>
      </w:r>
      <w:r>
        <w:t xml:space="preserve"> </w:t>
      </w:r>
      <w:r>
        <w:tab/>
        <w:t>(1.13)</w:t>
      </w:r>
    </w:p>
    <w:p w14:paraId="2599F040" w14:textId="77777777" w:rsidR="0072392B" w:rsidRDefault="0072392B" w:rsidP="0072392B">
      <w:pPr>
        <w:rPr>
          <w:rFonts w:ascii="Times New Roman" w:hAnsi="Times New Roman" w:cs="Times New Roman"/>
          <w:b/>
          <w:sz w:val="24"/>
          <w:szCs w:val="24"/>
        </w:rPr>
      </w:pPr>
    </w:p>
    <w:p w14:paraId="1DA28EF5" w14:textId="77777777" w:rsidR="0072392B" w:rsidRDefault="0072392B" w:rsidP="0072392B">
      <w:r>
        <w:rPr>
          <w:highlight w:val="yellow"/>
        </w:rPr>
        <w:t>Substituting (1.12) into (1.13) gives the following:</w:t>
      </w:r>
    </w:p>
    <w:p w14:paraId="00532054" w14:textId="77777777" w:rsidR="0072392B" w:rsidRDefault="0072392B" w:rsidP="0072392B">
      <w:pPr>
        <w:pStyle w:val="MTDisplayEquation"/>
      </w:pPr>
      <w:r>
        <w:tab/>
      </w:r>
      <w:r w:rsidRPr="00597EB2">
        <w:rPr>
          <w:position w:val="-34"/>
        </w:rPr>
        <w:object w:dxaOrig="5560" w:dyaOrig="800" w14:anchorId="5E1DAA8F">
          <v:shape id="_x0000_i1073" type="#_x0000_t75" style="width:278.5pt;height:39.4pt" o:ole="">
            <v:imagedata r:id="rId102" o:title=""/>
          </v:shape>
          <o:OLEObject Type="Embed" ProgID="Equation.DSMT4" ShapeID="_x0000_i1073" DrawAspect="Content" ObjectID="_1850987168" r:id="rId103"/>
        </w:object>
      </w:r>
      <w:r>
        <w:t xml:space="preserve"> </w:t>
      </w:r>
      <w:r>
        <w:tab/>
        <w:t>(1.14)</w:t>
      </w:r>
    </w:p>
    <w:p w14:paraId="100BE965" w14:textId="77777777" w:rsidR="0072392B" w:rsidRDefault="0072392B" w:rsidP="0072392B">
      <w:pPr>
        <w:spacing w:line="480" w:lineRule="auto"/>
        <w:jc w:val="both"/>
        <w:rPr>
          <w:rFonts w:ascii="Times New Roman" w:hAnsi="Times New Roman" w:cs="Times New Roman"/>
          <w:b/>
          <w:sz w:val="24"/>
          <w:szCs w:val="24"/>
        </w:rPr>
      </w:pPr>
    </w:p>
    <w:p w14:paraId="340587FB" w14:textId="77777777" w:rsidR="0072392B" w:rsidRDefault="0072392B" w:rsidP="0072392B">
      <w:pPr>
        <w:spacing w:line="480" w:lineRule="auto"/>
        <w:jc w:val="both"/>
        <w:rPr>
          <w:rFonts w:ascii="Times New Roman" w:hAnsi="Times New Roman" w:cs="Times New Roman"/>
          <w:sz w:val="24"/>
          <w:szCs w:val="24"/>
        </w:rPr>
      </w:pPr>
      <w:r>
        <w:rPr>
          <w:rFonts w:ascii="Times New Roman" w:hAnsi="Times New Roman" w:cs="Times New Roman"/>
          <w:sz w:val="24"/>
          <w:szCs w:val="24"/>
          <w:highlight w:val="yellow"/>
        </w:rPr>
        <w:t>Simplifying gives:</w:t>
      </w:r>
    </w:p>
    <w:p w14:paraId="533E8A8B" w14:textId="77777777" w:rsidR="0072392B" w:rsidRDefault="0072392B" w:rsidP="0072392B">
      <w:pPr>
        <w:pStyle w:val="MTDisplayEquation"/>
      </w:pPr>
      <w:r>
        <w:tab/>
      </w:r>
      <w:r>
        <w:rPr>
          <w:position w:val="-32"/>
        </w:rPr>
        <w:object w:dxaOrig="3540" w:dyaOrig="765" w14:anchorId="332520F1">
          <v:shape id="_x0000_i1074" type="#_x0000_t75" style="width:176.6pt;height:38.7pt" o:ole="">
            <v:imagedata r:id="rId72" o:title=""/>
          </v:shape>
          <o:OLEObject Type="Embed" ProgID="Equation.DSMT4" ShapeID="_x0000_i1074" DrawAspect="Content" ObjectID="_1850987169" r:id="rId104"/>
        </w:object>
      </w:r>
      <w:r>
        <w:t xml:space="preserve"> </w:t>
      </w:r>
      <w:r>
        <w:tab/>
        <w:t>(1.15)</w:t>
      </w:r>
    </w:p>
    <w:p w14:paraId="2155EB29" w14:textId="77777777" w:rsidR="0072392B" w:rsidRDefault="0072392B" w:rsidP="0072392B">
      <w:pPr>
        <w:pStyle w:val="MTDisplayEquation"/>
      </w:pPr>
      <w:r>
        <w:tab/>
      </w:r>
      <w:r>
        <w:rPr>
          <w:position w:val="-28"/>
        </w:rPr>
        <w:object w:dxaOrig="2550" w:dyaOrig="675" w14:anchorId="326D9418">
          <v:shape id="_x0000_i1075" type="#_x0000_t75" style="width:127pt;height:33.95pt" o:ole="">
            <v:imagedata r:id="rId74" o:title=""/>
          </v:shape>
          <o:OLEObject Type="Embed" ProgID="Equation.DSMT4" ShapeID="_x0000_i1075" DrawAspect="Content" ObjectID="_1850987170" r:id="rId105"/>
        </w:object>
      </w:r>
      <w:r>
        <w:t xml:space="preserve"> </w:t>
      </w:r>
    </w:p>
    <w:p w14:paraId="782B569D" w14:textId="77777777" w:rsidR="0072392B" w:rsidRDefault="0072392B" w:rsidP="0072392B">
      <w:pPr>
        <w:pStyle w:val="MTDisplayEquation"/>
      </w:pPr>
      <w:r>
        <w:tab/>
      </w:r>
      <w:r>
        <w:rPr>
          <w:position w:val="-28"/>
        </w:rPr>
        <w:object w:dxaOrig="3225" w:dyaOrig="675" w14:anchorId="30D72EB1">
          <v:shape id="_x0000_i1076" type="#_x0000_t75" style="width:161.65pt;height:33.95pt" o:ole="">
            <v:imagedata r:id="rId76" o:title=""/>
          </v:shape>
          <o:OLEObject Type="Embed" ProgID="Equation.DSMT4" ShapeID="_x0000_i1076" DrawAspect="Content" ObjectID="_1850987171" r:id="rId106"/>
        </w:object>
      </w:r>
      <w:r>
        <w:t xml:space="preserve"> </w:t>
      </w:r>
      <w:r>
        <w:tab/>
        <w:t>(1.16)</w:t>
      </w:r>
    </w:p>
    <w:p w14:paraId="31A6B342" w14:textId="77777777" w:rsidR="0072392B" w:rsidRDefault="0072392B" w:rsidP="0072392B">
      <w:r>
        <w:rPr>
          <w:highlight w:val="yellow"/>
        </w:rPr>
        <w:t>Integrating (1.16) from</w:t>
      </w:r>
      <w:r>
        <w:rPr>
          <w:position w:val="-10"/>
        </w:rPr>
        <w:object w:dxaOrig="675" w:dyaOrig="330" w14:anchorId="4A270B33">
          <v:shape id="_x0000_i1077" type="#_x0000_t75" style="width:33.95pt;height:16.3pt" o:ole="">
            <v:imagedata r:id="rId78" o:title=""/>
          </v:shape>
          <o:OLEObject Type="Embed" ProgID="Equation.DSMT4" ShapeID="_x0000_i1077" DrawAspect="Content" ObjectID="_1850987172" r:id="rId107"/>
        </w:object>
      </w:r>
      <w:r>
        <w:rPr>
          <w:highlight w:val="yellow"/>
        </w:rPr>
        <w:t xml:space="preserve"> gives:</w:t>
      </w:r>
    </w:p>
    <w:p w14:paraId="6337A5F1" w14:textId="77777777" w:rsidR="0072392B" w:rsidRDefault="0072392B" w:rsidP="0072392B">
      <w:pPr>
        <w:pStyle w:val="MTDisplayEquation"/>
      </w:pPr>
      <w:r>
        <w:tab/>
      </w:r>
      <w:r>
        <w:rPr>
          <w:position w:val="-28"/>
        </w:rPr>
        <w:object w:dxaOrig="5385" w:dyaOrig="675" w14:anchorId="56E587A1">
          <v:shape id="_x0000_i1078" type="#_x0000_t75" style="width:269.65pt;height:33.95pt" o:ole="">
            <v:imagedata r:id="rId80" o:title=""/>
          </v:shape>
          <o:OLEObject Type="Embed" ProgID="Equation.DSMT4" ShapeID="_x0000_i1078" DrawAspect="Content" ObjectID="_1850987173" r:id="rId108"/>
        </w:object>
      </w:r>
      <w:r>
        <w:t xml:space="preserve"> </w:t>
      </w:r>
      <w:r>
        <w:tab/>
        <w:t>(1.17)</w:t>
      </w:r>
    </w:p>
    <w:p w14:paraId="68E60CE1" w14:textId="77777777" w:rsidR="0072392B" w:rsidRDefault="0072392B" w:rsidP="0072392B">
      <w:pPr>
        <w:pStyle w:val="MTDisplayEquation"/>
      </w:pPr>
      <w:r>
        <w:tab/>
      </w:r>
      <w:r>
        <w:rPr>
          <w:position w:val="-30"/>
        </w:rPr>
        <w:object w:dxaOrig="4020" w:dyaOrig="760" w14:anchorId="3E911F1A">
          <v:shape id="_x0000_i1079" type="#_x0000_t75" style="width:201.05pt;height:38.7pt" o:ole="">
            <v:imagedata r:id="rId82" o:title=""/>
          </v:shape>
          <o:OLEObject Type="Embed" ProgID="Equation.DSMT4" ShapeID="_x0000_i1079" DrawAspect="Content" ObjectID="_1850987174" r:id="rId109"/>
        </w:object>
      </w:r>
      <w:r>
        <w:t xml:space="preserve"> </w:t>
      </w:r>
    </w:p>
    <w:p w14:paraId="5C88F704" w14:textId="77777777" w:rsidR="0072392B" w:rsidRDefault="0072392B" w:rsidP="0072392B">
      <w:pPr>
        <w:pStyle w:val="MTDisplayEquation"/>
      </w:pPr>
      <w:r>
        <w:lastRenderedPageBreak/>
        <w:tab/>
      </w:r>
      <w:r w:rsidRPr="008E182E">
        <w:rPr>
          <w:position w:val="-32"/>
        </w:rPr>
        <w:object w:dxaOrig="3000" w:dyaOrig="760" w14:anchorId="60630CB3">
          <v:shape id="_x0000_i1080" type="#_x0000_t75" style="width:149.45pt;height:38.7pt" o:ole="">
            <v:imagedata r:id="rId84" o:title=""/>
          </v:shape>
          <o:OLEObject Type="Embed" ProgID="Equation.DSMT4" ShapeID="_x0000_i1080" DrawAspect="Content" ObjectID="_1850987175" r:id="rId110"/>
        </w:object>
      </w:r>
      <w:r>
        <w:t xml:space="preserve"> </w:t>
      </w:r>
    </w:p>
    <w:p w14:paraId="0D794825" w14:textId="77777777" w:rsidR="0072392B" w:rsidRDefault="0072392B" w:rsidP="0072392B">
      <w:r>
        <w:rPr>
          <w:highlight w:val="yellow"/>
        </w:rPr>
        <w:t>Taking the natural logarithm of both sides gives:</w:t>
      </w:r>
    </w:p>
    <w:p w14:paraId="00D1784E" w14:textId="77777777" w:rsidR="0072392B" w:rsidRDefault="0072392B" w:rsidP="0072392B">
      <w:pPr>
        <w:pStyle w:val="MTDisplayEquation"/>
      </w:pPr>
      <w:r>
        <w:tab/>
      </w:r>
      <w:r>
        <w:rPr>
          <w:position w:val="-28"/>
        </w:rPr>
        <w:object w:dxaOrig="3120" w:dyaOrig="680" w14:anchorId="52EB0A37">
          <v:shape id="_x0000_i1081" type="#_x0000_t75" style="width:156.25pt;height:33.95pt" o:ole="">
            <v:imagedata r:id="rId86" o:title=""/>
          </v:shape>
          <o:OLEObject Type="Embed" ProgID="Equation.DSMT4" ShapeID="_x0000_i1081" DrawAspect="Content" ObjectID="_1850987176" r:id="rId111"/>
        </w:object>
      </w:r>
      <w:r>
        <w:t xml:space="preserve"> </w:t>
      </w:r>
      <w:r>
        <w:tab/>
        <w:t>(1.18)</w:t>
      </w:r>
    </w:p>
    <w:p w14:paraId="7F00F909" w14:textId="77777777" w:rsidR="0072392B" w:rsidRDefault="0072392B" w:rsidP="0072392B">
      <w:r>
        <w:rPr>
          <w:highlight w:val="yellow"/>
        </w:rPr>
        <w:t>This gives the general solution of the SDE. To find the particular solution:</w:t>
      </w:r>
    </w:p>
    <w:p w14:paraId="635ED105" w14:textId="77777777" w:rsidR="0072392B" w:rsidRPr="00C42EE8" w:rsidRDefault="0072392B" w:rsidP="0072392B">
      <w:r w:rsidRPr="00C42EE8">
        <w:rPr>
          <w:position w:val="-14"/>
        </w:rPr>
        <w:object w:dxaOrig="1579" w:dyaOrig="400" w14:anchorId="1DF3BBFF">
          <v:shape id="_x0000_i1082" type="#_x0000_t75" style="width:78.8pt;height:19.7pt" o:ole="">
            <v:imagedata r:id="rId112" o:title=""/>
          </v:shape>
          <o:OLEObject Type="Embed" ProgID="Equation.DSMT4" ShapeID="_x0000_i1082" DrawAspect="Content" ObjectID="_1850987177" r:id="rId113"/>
        </w:object>
      </w:r>
      <w:r>
        <w:t xml:space="preserve"> ,</w:t>
      </w:r>
      <w:r w:rsidRPr="00C42EE8">
        <w:rPr>
          <w:position w:val="-28"/>
        </w:rPr>
        <w:object w:dxaOrig="3940" w:dyaOrig="680" w14:anchorId="2A7FDB36">
          <v:shape id="_x0000_i1083" type="#_x0000_t75" style="width:197.65pt;height:33.95pt" o:ole="">
            <v:imagedata r:id="rId114" o:title=""/>
          </v:shape>
          <o:OLEObject Type="Embed" ProgID="Equation.DSMT4" ShapeID="_x0000_i1083" DrawAspect="Content" ObjectID="_1850987178" r:id="rId115"/>
        </w:object>
      </w:r>
      <w:r>
        <w:t xml:space="preserve"> </w:t>
      </w:r>
    </w:p>
    <w:p w14:paraId="478590D8" w14:textId="77777777" w:rsidR="0072392B" w:rsidRDefault="0072392B" w:rsidP="0072392B">
      <w:pPr>
        <w:pStyle w:val="MTDisplayEquation"/>
      </w:pPr>
      <w:r>
        <w:tab/>
      </w:r>
      <w:r w:rsidRPr="00C42EE8">
        <w:rPr>
          <w:position w:val="-12"/>
        </w:rPr>
        <w:object w:dxaOrig="1280" w:dyaOrig="380" w14:anchorId="06097B97">
          <v:shape id="_x0000_i1084" type="#_x0000_t75" style="width:63.85pt;height:18.35pt" o:ole="">
            <v:imagedata r:id="rId116" o:title=""/>
          </v:shape>
          <o:OLEObject Type="Embed" ProgID="Equation.DSMT4" ShapeID="_x0000_i1084" DrawAspect="Content" ObjectID="_1850987179" r:id="rId117"/>
        </w:object>
      </w:r>
      <w:r>
        <w:t xml:space="preserve"> </w:t>
      </w:r>
    </w:p>
    <w:p w14:paraId="6A129B1D" w14:textId="77777777" w:rsidR="0072392B" w:rsidRPr="0072392B" w:rsidRDefault="0072392B" w:rsidP="00CA0860">
      <w:pPr>
        <w:pStyle w:val="MTDisplayEquation"/>
      </w:pPr>
      <w:r>
        <w:tab/>
      </w:r>
      <w:r w:rsidRPr="00C42EE8">
        <w:rPr>
          <w:position w:val="-30"/>
        </w:rPr>
        <w:object w:dxaOrig="3879" w:dyaOrig="720" w14:anchorId="34D70295">
          <v:shape id="_x0000_i1085" type="#_x0000_t75" style="width:194.25pt;height:36pt" o:ole="">
            <v:imagedata r:id="rId118" o:title=""/>
          </v:shape>
          <o:OLEObject Type="Embed" ProgID="Equation.DSMT4" ShapeID="_x0000_i1085" DrawAspect="Content" ObjectID="_1850987180" r:id="rId119"/>
        </w:object>
      </w:r>
      <w:r>
        <w:t xml:space="preserve"> </w:t>
      </w:r>
      <w:r>
        <w:tab/>
        <w:t>(1.19)</w:t>
      </w:r>
    </w:p>
    <w:p w14:paraId="66D58FE9" w14:textId="77777777" w:rsidR="00B66923" w:rsidRPr="004F0745" w:rsidRDefault="00B66923" w:rsidP="00B66923">
      <w:pPr>
        <w:spacing w:line="240" w:lineRule="auto"/>
        <w:jc w:val="both"/>
        <w:rPr>
          <w:rFonts w:ascii="Times New Roman" w:hAnsi="Times New Roman" w:cs="Times New Roman"/>
          <w:b/>
          <w:sz w:val="24"/>
          <w:szCs w:val="24"/>
        </w:rPr>
      </w:pPr>
      <w:r w:rsidRPr="004F0745">
        <w:rPr>
          <w:rFonts w:ascii="Times New Roman" w:hAnsi="Times New Roman" w:cs="Times New Roman"/>
          <w:b/>
          <w:sz w:val="24"/>
          <w:szCs w:val="24"/>
        </w:rPr>
        <w:t>3.1 Results and Discussion</w:t>
      </w:r>
    </w:p>
    <w:p w14:paraId="29FEB876" w14:textId="77777777" w:rsidR="00B66923" w:rsidRPr="004F0745" w:rsidRDefault="00B66923" w:rsidP="00B66923">
      <w:pPr>
        <w:pStyle w:val="Heading1"/>
        <w:spacing w:line="240" w:lineRule="auto"/>
        <w:ind w:left="9"/>
        <w:rPr>
          <w:rFonts w:ascii="Times New Roman" w:hAnsi="Times New Roman" w:cs="Times New Roman"/>
          <w:b w:val="0"/>
          <w:sz w:val="24"/>
          <w:szCs w:val="24"/>
        </w:rPr>
      </w:pPr>
      <w:r w:rsidRPr="004F0745">
        <w:rPr>
          <w:rFonts w:ascii="Times New Roman" w:hAnsi="Times New Roman" w:cs="Times New Roman"/>
          <w:b w:val="0"/>
          <w:sz w:val="24"/>
          <w:szCs w:val="24"/>
          <w:highlight w:val="yellow"/>
        </w:rPr>
        <w:t>Analysis of the Model: Exponential-Decay Adjustment with Parameter Values.</w:t>
      </w:r>
    </w:p>
    <w:p w14:paraId="2BF7400A" w14:textId="77777777" w:rsidR="00B66923" w:rsidRDefault="00B66923" w:rsidP="00B66923">
      <w:pPr>
        <w:spacing w:line="240" w:lineRule="auto"/>
        <w:ind w:left="5" w:right="55"/>
        <w:rPr>
          <w:position w:val="-30"/>
        </w:rPr>
      </w:pPr>
      <w:r w:rsidRPr="004F0745">
        <w:rPr>
          <w:rFonts w:ascii="Times New Roman" w:hAnsi="Times New Roman" w:cs="Times New Roman"/>
          <w:sz w:val="24"/>
          <w:szCs w:val="24"/>
        </w:rPr>
        <w:t>The decay-adjusted model is</w:t>
      </w:r>
      <w:r w:rsidRPr="00C42EE8">
        <w:rPr>
          <w:position w:val="-30"/>
        </w:rPr>
        <w:object w:dxaOrig="7680" w:dyaOrig="720" w14:anchorId="378AE6D8">
          <v:shape id="_x0000_i1086" type="#_x0000_t75" style="width:385.15pt;height:36pt" o:ole="">
            <v:imagedata r:id="rId120" o:title=""/>
          </v:shape>
          <o:OLEObject Type="Embed" ProgID="Equation.DSMT4" ShapeID="_x0000_i1086" DrawAspect="Content" ObjectID="_1850987181" r:id="rId121"/>
        </w:object>
      </w:r>
    </w:p>
    <w:p w14:paraId="476089D0" w14:textId="77777777" w:rsidR="00520ABF" w:rsidRPr="0026699B" w:rsidRDefault="00520ABF" w:rsidP="00520ABF">
      <w:pPr>
        <w:pStyle w:val="Heading1"/>
        <w:ind w:left="9"/>
        <w:rPr>
          <w:rFonts w:ascii="Times New Roman" w:hAnsi="Times New Roman" w:cs="Times New Roman"/>
          <w:b w:val="0"/>
          <w:sz w:val="24"/>
          <w:szCs w:val="24"/>
        </w:rPr>
      </w:pPr>
      <w:r>
        <w:rPr>
          <w:rFonts w:ascii="Times New Roman" w:hAnsi="Times New Roman" w:cs="Times New Roman"/>
          <w:b w:val="0"/>
          <w:sz w:val="24"/>
          <w:szCs w:val="24"/>
          <w:highlight w:val="yellow"/>
        </w:rPr>
        <w:t>Analysis of the Model: The Exponential-Growth Adjustment can be written as follows:</w:t>
      </w:r>
    </w:p>
    <w:p w14:paraId="5D93C3A8" w14:textId="77777777" w:rsidR="00520ABF" w:rsidRDefault="00520ABF" w:rsidP="00520ABF">
      <w:pPr>
        <w:tabs>
          <w:tab w:val="center" w:pos="4655"/>
        </w:tabs>
        <w:spacing w:after="173"/>
        <w:ind w:right="55"/>
      </w:pPr>
    </w:p>
    <w:p w14:paraId="08C5EEBC" w14:textId="77777777" w:rsidR="00520ABF" w:rsidRPr="0015561C" w:rsidRDefault="00520ABF" w:rsidP="00520ABF">
      <w:pPr>
        <w:tabs>
          <w:tab w:val="center" w:pos="4655"/>
        </w:tabs>
        <w:spacing w:after="173"/>
        <w:ind w:left="5" w:right="55"/>
      </w:pPr>
      <w:r>
        <w:rPr>
          <w:position w:val="-30"/>
        </w:rPr>
        <w:t xml:space="preserve">   </w:t>
      </w:r>
      <w:r w:rsidRPr="00C42EE8">
        <w:rPr>
          <w:position w:val="-30"/>
        </w:rPr>
        <w:object w:dxaOrig="7640" w:dyaOrig="720" w14:anchorId="66C6C8B4">
          <v:shape id="_x0000_i1087" type="#_x0000_t75" style="width:383.1pt;height:36pt" o:ole="">
            <v:imagedata r:id="rId122" o:title=""/>
          </v:shape>
          <o:OLEObject Type="Embed" ProgID="Equation.DSMT4" ShapeID="_x0000_i1087" DrawAspect="Content" ObjectID="_1850987182" r:id="rId123"/>
        </w:object>
      </w:r>
    </w:p>
    <w:p w14:paraId="2C644896" w14:textId="77777777" w:rsidR="00520ABF" w:rsidRDefault="00520ABF" w:rsidP="00B66923">
      <w:pPr>
        <w:spacing w:line="240" w:lineRule="auto"/>
        <w:ind w:left="5" w:right="55"/>
      </w:pPr>
    </w:p>
    <w:p w14:paraId="1E41755E" w14:textId="77777777" w:rsidR="00B66923" w:rsidRDefault="00B66923" w:rsidP="00B66923">
      <w:pPr>
        <w:tabs>
          <w:tab w:val="center" w:pos="4527"/>
          <w:tab w:val="right" w:pos="9110"/>
        </w:tabs>
        <w:spacing w:after="151" w:line="265" w:lineRule="auto"/>
      </w:pPr>
      <w:r>
        <w:rPr>
          <w:rFonts w:ascii="Calibri" w:eastAsia="Calibri" w:hAnsi="Calibri" w:cs="Calibri"/>
        </w:rPr>
        <w:tab/>
      </w:r>
    </w:p>
    <w:p w14:paraId="50404694" w14:textId="77777777" w:rsidR="00B66923" w:rsidRPr="00AA03AE" w:rsidRDefault="00B66923" w:rsidP="00B66923">
      <w:pPr>
        <w:spacing w:line="480" w:lineRule="auto"/>
        <w:jc w:val="both"/>
        <w:rPr>
          <w:rFonts w:ascii="Times New Roman" w:hAnsi="Times New Roman" w:cs="Times New Roman"/>
          <w:sz w:val="24"/>
          <w:szCs w:val="24"/>
        </w:rPr>
      </w:pPr>
    </w:p>
    <w:p w14:paraId="4CE074C8" w14:textId="77777777" w:rsidR="00B66923" w:rsidRPr="00A87F2E" w:rsidRDefault="00B66923" w:rsidP="00B66923">
      <w:pPr>
        <w:rPr>
          <w:b/>
        </w:rPr>
      </w:pPr>
    </w:p>
    <w:p w14:paraId="59ECEE67" w14:textId="77777777" w:rsidR="00B66923" w:rsidRDefault="00B66923" w:rsidP="00B66923">
      <w:pPr>
        <w:spacing w:after="238" w:line="259" w:lineRule="auto"/>
        <w:ind w:left="555"/>
        <w:jc w:val="center"/>
      </w:pPr>
      <w:r>
        <w:rPr>
          <w:noProof/>
        </w:rPr>
        <w:lastRenderedPageBreak/>
        <w:drawing>
          <wp:inline distT="0" distB="0" distL="0" distR="0" wp14:anchorId="42F15E8E" wp14:editId="40C5434E">
            <wp:extent cx="3838755" cy="23118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842029" cy="2313851"/>
                    </a:xfrm>
                    <a:prstGeom prst="rect">
                      <a:avLst/>
                    </a:prstGeom>
                    <a:noFill/>
                    <a:ln>
                      <a:noFill/>
                    </a:ln>
                  </pic:spPr>
                </pic:pic>
              </a:graphicData>
            </a:graphic>
          </wp:inline>
        </w:drawing>
      </w:r>
    </w:p>
    <w:p w14:paraId="7182C5C6" w14:textId="77777777" w:rsidR="00B66923" w:rsidRPr="00287436" w:rsidRDefault="00B66923" w:rsidP="00B66923">
      <w:pPr>
        <w:spacing w:after="531" w:line="265" w:lineRule="auto"/>
        <w:ind w:left="10" w:right="56" w:hanging="10"/>
        <w:jc w:val="center"/>
        <w:rPr>
          <w:rFonts w:ascii="Times New Roman" w:hAnsi="Times New Roman" w:cs="Times New Roman"/>
          <w:b/>
          <w:sz w:val="24"/>
          <w:szCs w:val="24"/>
        </w:rPr>
      </w:pPr>
      <w:r>
        <w:rPr>
          <w:rFonts w:ascii="Times New Roman" w:hAnsi="Times New Roman" w:cs="Times New Roman"/>
          <w:b/>
          <w:sz w:val="24"/>
          <w:szCs w:val="24"/>
        </w:rPr>
        <w:t xml:space="preserve">                </w:t>
      </w:r>
      <w:r w:rsidRPr="00287436">
        <w:rPr>
          <w:rFonts w:ascii="Times New Roman" w:hAnsi="Times New Roman" w:cs="Times New Roman"/>
          <w:b/>
          <w:sz w:val="24"/>
          <w:szCs w:val="24"/>
        </w:rPr>
        <w:t xml:space="preserve">Figure 1: Three Brownian-Motion Paths for </w:t>
      </w:r>
      <w:r w:rsidR="00756FED">
        <w:rPr>
          <w:rFonts w:ascii="Times New Roman" w:hAnsi="Times New Roman" w:cs="Times New Roman"/>
          <w:b/>
          <w:sz w:val="24"/>
          <w:szCs w:val="24"/>
        </w:rPr>
        <w:t xml:space="preserve">Exponential Decay </w:t>
      </w:r>
      <w:r w:rsidRPr="00287436">
        <w:rPr>
          <w:rFonts w:ascii="Times New Roman" w:hAnsi="Times New Roman" w:cs="Times New Roman"/>
          <w:b/>
          <w:sz w:val="24"/>
          <w:szCs w:val="24"/>
        </w:rPr>
        <w:t>Model.</w:t>
      </w:r>
    </w:p>
    <w:p w14:paraId="40EA2D66" w14:textId="77777777" w:rsidR="00B66923" w:rsidRPr="004A0D8B" w:rsidRDefault="00CA0860" w:rsidP="00B66923">
      <w:pPr>
        <w:jc w:val="both"/>
        <w:rPr>
          <w:rFonts w:ascii="Times New Roman" w:hAnsi="Times New Roman" w:cs="Times New Roman"/>
          <w:sz w:val="24"/>
          <w:szCs w:val="24"/>
        </w:rPr>
      </w:pPr>
      <w:r>
        <w:rPr>
          <w:rFonts w:ascii="Times New Roman" w:hAnsi="Times New Roman" w:cs="Times New Roman"/>
          <w:sz w:val="24"/>
          <w:szCs w:val="24"/>
          <w:highlight w:val="yellow"/>
        </w:rPr>
        <w:t>In Figure 1, all paths start from the same initial point. Path 2 crosses Path 1 and subsequently moves above it, while Path 1 continues upwards but remains below Path 2. Path 3, in contrast, declines from the initial point. This illustrates the inherent randomness of Brownian motion and shows how even identical starting conditions can lead to divergent trajectories. These paths form the stochastic input that drives uncertainty in the exponential-decay model.</w:t>
      </w:r>
    </w:p>
    <w:p w14:paraId="72DC6E41" w14:textId="77777777" w:rsidR="00B66923" w:rsidRDefault="00B66923" w:rsidP="00B66923">
      <w:pPr>
        <w:spacing w:after="531" w:line="265" w:lineRule="auto"/>
        <w:ind w:left="10" w:right="56" w:hanging="10"/>
        <w:jc w:val="center"/>
      </w:pPr>
    </w:p>
    <w:p w14:paraId="0D7EA967" w14:textId="77777777" w:rsidR="00B66923" w:rsidRDefault="00B66923" w:rsidP="00B66923">
      <w:pPr>
        <w:spacing w:after="238" w:line="259" w:lineRule="auto"/>
        <w:ind w:left="555"/>
        <w:jc w:val="center"/>
      </w:pPr>
      <w:r>
        <w:rPr>
          <w:noProof/>
        </w:rPr>
        <w:drawing>
          <wp:inline distT="0" distB="0" distL="0" distR="0" wp14:anchorId="6AB3D961" wp14:editId="10A75A79">
            <wp:extent cx="3786996" cy="2165231"/>
            <wp:effectExtent l="0" t="0" r="444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789078" cy="2166421"/>
                    </a:xfrm>
                    <a:prstGeom prst="rect">
                      <a:avLst/>
                    </a:prstGeom>
                    <a:noFill/>
                    <a:ln>
                      <a:noFill/>
                    </a:ln>
                  </pic:spPr>
                </pic:pic>
              </a:graphicData>
            </a:graphic>
          </wp:inline>
        </w:drawing>
      </w:r>
    </w:p>
    <w:p w14:paraId="4F359C93" w14:textId="77777777" w:rsidR="00B66923" w:rsidRDefault="00B66923" w:rsidP="00B66923">
      <w:pPr>
        <w:spacing w:after="531" w:line="265" w:lineRule="auto"/>
        <w:ind w:left="10" w:right="56" w:hanging="10"/>
        <w:jc w:val="center"/>
      </w:pPr>
      <w:r w:rsidRPr="00BE7158">
        <w:rPr>
          <w:rFonts w:ascii="Times New Roman" w:hAnsi="Times New Roman" w:cs="Times New Roman"/>
          <w:b/>
          <w:sz w:val="24"/>
          <w:szCs w:val="24"/>
        </w:rPr>
        <w:t xml:space="preserve">Figure 2: </w:t>
      </w:r>
      <w:r w:rsidR="00756FED">
        <w:rPr>
          <w:rFonts w:ascii="Times New Roman" w:hAnsi="Times New Roman" w:cs="Times New Roman"/>
          <w:b/>
          <w:sz w:val="24"/>
          <w:szCs w:val="24"/>
        </w:rPr>
        <w:t xml:space="preserve">The </w:t>
      </w:r>
      <w:r w:rsidRPr="00BE7158">
        <w:rPr>
          <w:rFonts w:ascii="Times New Roman" w:hAnsi="Times New Roman" w:cs="Times New Roman"/>
          <w:b/>
          <w:sz w:val="24"/>
          <w:szCs w:val="24"/>
        </w:rPr>
        <w:t>Sample Paths for the Exponential-Decay Model</w:t>
      </w:r>
      <w:r>
        <w:t>.</w:t>
      </w:r>
    </w:p>
    <w:p w14:paraId="56C48A2B" w14:textId="77777777" w:rsidR="00B66923" w:rsidRPr="004A0D8B" w:rsidRDefault="009D32B7" w:rsidP="00B66923">
      <w:pPr>
        <w:jc w:val="both"/>
        <w:rPr>
          <w:rFonts w:ascii="Times New Roman" w:hAnsi="Times New Roman" w:cs="Times New Roman"/>
          <w:sz w:val="24"/>
          <w:szCs w:val="24"/>
        </w:rPr>
      </w:pPr>
      <w:r>
        <w:rPr>
          <w:rFonts w:ascii="Times New Roman" w:hAnsi="Times New Roman" w:cs="Times New Roman"/>
          <w:sz w:val="24"/>
          <w:szCs w:val="24"/>
          <w:highlight w:val="yellow"/>
        </w:rPr>
        <w:t xml:space="preserve">As shown in Figure 2, Paths 1 and 3 initially align closely before Path 3 diverges and fluctuates downwards. Path 2 exhibits a consistent downward movement towards the time axis. The divergence reflects stochastic shocks superimposed on a decaying drift. This captures how </w:t>
      </w:r>
      <w:r>
        <w:rPr>
          <w:rFonts w:ascii="Times New Roman" w:hAnsi="Times New Roman" w:cs="Times New Roman"/>
          <w:sz w:val="24"/>
          <w:szCs w:val="24"/>
          <w:highlight w:val="yellow"/>
        </w:rPr>
        <w:lastRenderedPageBreak/>
        <w:t>Nigerian bank stocks can experience initial co-movement followed by separation due to idiosyncratic news or market stress, consistent with periods following CBN policy pronouncements.</w:t>
      </w:r>
    </w:p>
    <w:p w14:paraId="4CF57A7F" w14:textId="77777777" w:rsidR="00B66923" w:rsidRDefault="00B66923" w:rsidP="00B66923">
      <w:pPr>
        <w:spacing w:after="531" w:line="265" w:lineRule="auto"/>
        <w:ind w:left="10" w:right="56" w:hanging="10"/>
        <w:jc w:val="center"/>
      </w:pPr>
    </w:p>
    <w:p w14:paraId="0069430A" w14:textId="77777777" w:rsidR="00B66923" w:rsidRDefault="00B66923" w:rsidP="00B66923">
      <w:pPr>
        <w:spacing w:after="238" w:line="259" w:lineRule="auto"/>
        <w:ind w:left="555"/>
        <w:jc w:val="center"/>
      </w:pPr>
      <w:r>
        <w:rPr>
          <w:noProof/>
        </w:rPr>
        <w:drawing>
          <wp:inline distT="0" distB="0" distL="0" distR="0" wp14:anchorId="7F468D93" wp14:editId="50B23464">
            <wp:extent cx="4002657" cy="222561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004857" cy="2226838"/>
                    </a:xfrm>
                    <a:prstGeom prst="rect">
                      <a:avLst/>
                    </a:prstGeom>
                    <a:noFill/>
                    <a:ln>
                      <a:noFill/>
                    </a:ln>
                  </pic:spPr>
                </pic:pic>
              </a:graphicData>
            </a:graphic>
          </wp:inline>
        </w:drawing>
      </w:r>
    </w:p>
    <w:p w14:paraId="613D957F" w14:textId="77777777" w:rsidR="00B66923" w:rsidRDefault="00B66923" w:rsidP="00B66923">
      <w:pPr>
        <w:spacing w:after="531" w:line="265" w:lineRule="auto"/>
        <w:ind w:left="10" w:right="56" w:hanging="10"/>
        <w:jc w:val="center"/>
      </w:pPr>
      <w:r w:rsidRPr="00BE7158">
        <w:rPr>
          <w:rFonts w:ascii="Times New Roman" w:hAnsi="Times New Roman" w:cs="Times New Roman"/>
          <w:b/>
          <w:sz w:val="24"/>
          <w:szCs w:val="24"/>
        </w:rPr>
        <w:t xml:space="preserve">Figure 3: </w:t>
      </w:r>
      <w:r w:rsidR="00756FED">
        <w:rPr>
          <w:rFonts w:ascii="Times New Roman" w:hAnsi="Times New Roman" w:cs="Times New Roman"/>
          <w:b/>
          <w:sz w:val="24"/>
          <w:szCs w:val="24"/>
        </w:rPr>
        <w:t xml:space="preserve">The </w:t>
      </w:r>
      <w:r w:rsidRPr="00BE7158">
        <w:rPr>
          <w:rFonts w:ascii="Times New Roman" w:hAnsi="Times New Roman" w:cs="Times New Roman"/>
          <w:b/>
          <w:sz w:val="24"/>
          <w:szCs w:val="24"/>
        </w:rPr>
        <w:t>S</w:t>
      </w:r>
      <w:r w:rsidR="00756FED">
        <w:rPr>
          <w:rFonts w:ascii="Times New Roman" w:hAnsi="Times New Roman" w:cs="Times New Roman"/>
          <w:b/>
          <w:sz w:val="24"/>
          <w:szCs w:val="24"/>
        </w:rPr>
        <w:t>ensitivity of the Exponential  Decay Model</w:t>
      </w:r>
    </w:p>
    <w:p w14:paraId="129D1231" w14:textId="77777777" w:rsidR="00B66923" w:rsidRPr="00581590" w:rsidRDefault="00032A6A" w:rsidP="00581590">
      <w:pPr>
        <w:jc w:val="both"/>
        <w:rPr>
          <w:rFonts w:ascii="Times New Roman" w:hAnsi="Times New Roman" w:cs="Times New Roman"/>
          <w:sz w:val="24"/>
          <w:szCs w:val="24"/>
        </w:rPr>
      </w:pPr>
      <w:r>
        <w:rPr>
          <w:rFonts w:ascii="Times New Roman" w:hAnsi="Times New Roman" w:cs="Times New Roman"/>
          <w:sz w:val="24"/>
          <w:szCs w:val="24"/>
          <w:highlight w:val="yellow"/>
        </w:rPr>
        <w:t>Figure 3 describes the effect of the decay parameter k on the expected rate of return. The effective rate of return is</w:t>
      </w:r>
      <w:r w:rsidR="00B66923" w:rsidRPr="00745D7A">
        <w:rPr>
          <w:rFonts w:ascii="Times New Roman" w:hAnsi="Times New Roman" w:cs="Times New Roman"/>
          <w:position w:val="-10"/>
          <w:sz w:val="24"/>
          <w:szCs w:val="24"/>
        </w:rPr>
        <w:object w:dxaOrig="580" w:dyaOrig="320" w14:anchorId="730E923B">
          <v:shape id="_x0000_i1088" type="#_x0000_t75" style="width:29.2pt;height:16.3pt" o:ole="">
            <v:imagedata r:id="rId127" o:title=""/>
          </v:shape>
          <o:OLEObject Type="Embed" ProgID="Equation.DSMT4" ShapeID="_x0000_i1088" DrawAspect="Content" ObjectID="_1850987183" r:id="rId128"/>
        </w:object>
      </w:r>
      <w:r>
        <w:rPr>
          <w:rFonts w:ascii="Times New Roman" w:hAnsi="Times New Roman" w:cs="Times New Roman"/>
          <w:sz w:val="24"/>
          <w:szCs w:val="24"/>
        </w:rPr>
        <w:t>. Therefore, when</w:t>
      </w:r>
      <w:r w:rsidR="00B66923">
        <w:rPr>
          <w:rFonts w:ascii="Times New Roman" w:hAnsi="Times New Roman" w:cs="Times New Roman"/>
          <w:sz w:val="24"/>
          <w:szCs w:val="24"/>
        </w:rPr>
        <w:t xml:space="preserve"> </w:t>
      </w:r>
      <w:r w:rsidR="00B66923" w:rsidRPr="00745D7A">
        <w:rPr>
          <w:rFonts w:ascii="Times New Roman" w:hAnsi="Times New Roman" w:cs="Times New Roman"/>
          <w:position w:val="-10"/>
          <w:sz w:val="24"/>
          <w:szCs w:val="24"/>
        </w:rPr>
        <w:object w:dxaOrig="600" w:dyaOrig="320" w14:anchorId="110CD068">
          <v:shape id="_x0000_i1089" type="#_x0000_t75" style="width:30.55pt;height:16.3pt" o:ole="">
            <v:imagedata r:id="rId129" o:title=""/>
          </v:shape>
          <o:OLEObject Type="Embed" ProgID="Equation.DSMT4" ShapeID="_x0000_i1089" DrawAspect="Content" ObjectID="_1850987184" r:id="rId130"/>
        </w:object>
      </w:r>
      <w:r w:rsidR="00B66923">
        <w:rPr>
          <w:rFonts w:ascii="Times New Roman" w:hAnsi="Times New Roman" w:cs="Times New Roman"/>
          <w:sz w:val="24"/>
          <w:szCs w:val="24"/>
          <w:highlight w:val="yellow"/>
        </w:rPr>
        <w:t xml:space="preserve">, the expected value </w:t>
      </w:r>
      <w:r w:rsidR="00B66923" w:rsidRPr="00745D7A">
        <w:rPr>
          <w:rFonts w:ascii="Times New Roman" w:hAnsi="Times New Roman" w:cs="Times New Roman"/>
          <w:position w:val="-14"/>
          <w:sz w:val="24"/>
          <w:szCs w:val="24"/>
        </w:rPr>
        <w:object w:dxaOrig="420" w:dyaOrig="400" w14:anchorId="33A3D9B5">
          <v:shape id="_x0000_i1090" type="#_x0000_t75" style="width:21.05pt;height:19.7pt" o:ole="">
            <v:imagedata r:id="rId131" o:title=""/>
          </v:shape>
          <o:OLEObject Type="Embed" ProgID="Equation.DSMT4" ShapeID="_x0000_i1090" DrawAspect="Content" ObjectID="_1850987185" r:id="rId132"/>
        </w:object>
      </w:r>
      <w:r w:rsidR="00B66923">
        <w:rPr>
          <w:rFonts w:ascii="Times New Roman" w:hAnsi="Times New Roman" w:cs="Times New Roman"/>
          <w:sz w:val="24"/>
          <w:szCs w:val="24"/>
          <w:highlight w:val="yellow"/>
        </w:rPr>
        <w:t xml:space="preserve"> decreases exponentially, signifying a stress condition. When </w:t>
      </w:r>
      <w:r w:rsidR="00B66923" w:rsidRPr="00745D7A">
        <w:rPr>
          <w:rFonts w:ascii="Times New Roman" w:hAnsi="Times New Roman" w:cs="Times New Roman"/>
          <w:position w:val="-10"/>
          <w:sz w:val="24"/>
          <w:szCs w:val="24"/>
        </w:rPr>
        <w:object w:dxaOrig="600" w:dyaOrig="320" w14:anchorId="2FE3C9E0">
          <v:shape id="_x0000_i1091" type="#_x0000_t75" style="width:30.55pt;height:16.3pt" o:ole="">
            <v:imagedata r:id="rId133" o:title=""/>
          </v:shape>
          <o:OLEObject Type="Embed" ProgID="Equation.DSMT4" ShapeID="_x0000_i1091" DrawAspect="Content" ObjectID="_1850987186" r:id="rId134"/>
        </w:object>
      </w:r>
      <w:r w:rsidR="00B66923">
        <w:rPr>
          <w:rFonts w:ascii="Times New Roman" w:hAnsi="Times New Roman" w:cs="Times New Roman"/>
          <w:sz w:val="24"/>
          <w:szCs w:val="24"/>
          <w:highlight w:val="yellow"/>
        </w:rPr>
        <w:t xml:space="preserve">, the mean remains constant, demonstrating a neutral equilibrium. When </w:t>
      </w:r>
      <w:r w:rsidR="00B66923" w:rsidRPr="00745D7A">
        <w:rPr>
          <w:rFonts w:ascii="Times New Roman" w:hAnsi="Times New Roman" w:cs="Times New Roman"/>
          <w:position w:val="-10"/>
          <w:sz w:val="24"/>
          <w:szCs w:val="24"/>
        </w:rPr>
        <w:object w:dxaOrig="600" w:dyaOrig="320" w14:anchorId="50C4570A">
          <v:shape id="_x0000_i1092" type="#_x0000_t75" style="width:30.55pt;height:16.3pt" o:ole="">
            <v:imagedata r:id="rId135" o:title=""/>
          </v:shape>
          <o:OLEObject Type="Embed" ProgID="Equation.DSMT4" ShapeID="_x0000_i1092" DrawAspect="Content" ObjectID="_1850987187" r:id="rId136"/>
        </w:object>
      </w:r>
      <w:r w:rsidR="00B66923">
        <w:rPr>
          <w:rFonts w:ascii="Times New Roman" w:hAnsi="Times New Roman" w:cs="Times New Roman"/>
          <w:sz w:val="24"/>
          <w:szCs w:val="24"/>
          <w:highlight w:val="yellow"/>
        </w:rPr>
        <w:t>, the expected value increases over time, signifying recovery. This sensitivity analysis shows that k controls the speed and path of mean reversion. For risk managers, a higher k implies faster erosion of value after a shock, making it an important parameter for stress testing Nigerian banks.</w:t>
      </w:r>
    </w:p>
    <w:p w14:paraId="2ECF96A0" w14:textId="77777777" w:rsidR="00115AD9" w:rsidRDefault="00115AD9" w:rsidP="00115AD9">
      <w:pPr>
        <w:spacing w:after="238" w:line="259" w:lineRule="auto"/>
        <w:ind w:left="555"/>
        <w:jc w:val="center"/>
      </w:pPr>
      <w:r>
        <w:rPr>
          <w:noProof/>
        </w:rPr>
        <w:drawing>
          <wp:inline distT="0" distB="0" distL="0" distR="0" wp14:anchorId="70989916" wp14:editId="2935C639">
            <wp:extent cx="3838755" cy="21220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842029" cy="2123908"/>
                    </a:xfrm>
                    <a:prstGeom prst="rect">
                      <a:avLst/>
                    </a:prstGeom>
                    <a:noFill/>
                    <a:ln>
                      <a:noFill/>
                    </a:ln>
                  </pic:spPr>
                </pic:pic>
              </a:graphicData>
            </a:graphic>
          </wp:inline>
        </w:drawing>
      </w:r>
    </w:p>
    <w:p w14:paraId="6CD25422" w14:textId="77777777" w:rsidR="00115AD9" w:rsidRPr="00E84319" w:rsidRDefault="00BD2B0E" w:rsidP="00115AD9">
      <w:pPr>
        <w:spacing w:after="0" w:line="265" w:lineRule="auto"/>
        <w:ind w:left="10" w:right="56" w:hanging="10"/>
        <w:jc w:val="center"/>
      </w:pPr>
      <w:r>
        <w:rPr>
          <w:rFonts w:ascii="Times New Roman" w:hAnsi="Times New Roman" w:cs="Times New Roman"/>
          <w:b/>
          <w:sz w:val="24"/>
          <w:szCs w:val="24"/>
        </w:rPr>
        <w:lastRenderedPageBreak/>
        <w:t>Figure 4</w:t>
      </w:r>
      <w:r w:rsidR="00115AD9" w:rsidRPr="00E84319">
        <w:rPr>
          <w:rFonts w:ascii="Times New Roman" w:hAnsi="Times New Roman" w:cs="Times New Roman"/>
          <w:b/>
          <w:sz w:val="24"/>
          <w:szCs w:val="24"/>
        </w:rPr>
        <w:t xml:space="preserve">: Three Brownian-Motion Paths for </w:t>
      </w:r>
      <w:r w:rsidR="00581590">
        <w:rPr>
          <w:rFonts w:ascii="Times New Roman" w:hAnsi="Times New Roman" w:cs="Times New Roman"/>
          <w:b/>
          <w:sz w:val="24"/>
          <w:szCs w:val="24"/>
        </w:rPr>
        <w:t xml:space="preserve">Exponential Growth </w:t>
      </w:r>
      <w:r w:rsidR="00115AD9" w:rsidRPr="00E84319">
        <w:rPr>
          <w:rFonts w:ascii="Times New Roman" w:hAnsi="Times New Roman" w:cs="Times New Roman"/>
          <w:b/>
          <w:sz w:val="24"/>
          <w:szCs w:val="24"/>
        </w:rPr>
        <w:t>Model</w:t>
      </w:r>
      <w:r w:rsidR="00115AD9">
        <w:t>.</w:t>
      </w:r>
      <w:r w:rsidR="00115AD9" w:rsidRPr="0037788C">
        <w:rPr>
          <w:b/>
          <w:bCs/>
          <w:sz w:val="28"/>
          <w:szCs w:val="28"/>
        </w:rPr>
        <w:t xml:space="preserve"> </w:t>
      </w:r>
    </w:p>
    <w:p w14:paraId="5BF29EA7" w14:textId="77777777" w:rsidR="00115AD9" w:rsidRPr="00E84319" w:rsidRDefault="00BD2B0E" w:rsidP="00115AD9">
      <w:pPr>
        <w:jc w:val="both"/>
        <w:rPr>
          <w:rFonts w:ascii="Times New Roman" w:hAnsi="Times New Roman" w:cs="Times New Roman"/>
          <w:sz w:val="24"/>
          <w:szCs w:val="24"/>
        </w:rPr>
      </w:pPr>
      <w:r>
        <w:rPr>
          <w:rFonts w:ascii="Times New Roman" w:hAnsi="Times New Roman" w:cs="Times New Roman"/>
          <w:sz w:val="24"/>
          <w:szCs w:val="24"/>
          <w:highlight w:val="yellow"/>
        </w:rPr>
        <w:t>In Figure 4, all three paths start from the same initial point and exhibit stochastic fluctuations that move both upwards and downwards. Over time, the paths display a gradual downward drift in their oscillations. This illustrates the underlying random-noise component before it is scaled by the volatility and growth parameters. The figure highlights that, even with the same starting point, Brownian motion generates divergent trajectories that form the basis of uncertainty in bank stock dynamics.</w:t>
      </w:r>
    </w:p>
    <w:p w14:paraId="05BD41B7" w14:textId="77777777" w:rsidR="00115AD9" w:rsidRDefault="00115AD9" w:rsidP="00115AD9">
      <w:pPr>
        <w:spacing w:after="0" w:line="265" w:lineRule="auto"/>
        <w:ind w:left="10" w:right="56" w:hanging="10"/>
        <w:jc w:val="center"/>
      </w:pPr>
    </w:p>
    <w:p w14:paraId="488EC32D" w14:textId="77777777" w:rsidR="00115AD9" w:rsidRDefault="00115AD9" w:rsidP="00115AD9">
      <w:pPr>
        <w:spacing w:after="238" w:line="259" w:lineRule="auto"/>
        <w:ind w:left="555"/>
        <w:jc w:val="center"/>
      </w:pPr>
      <w:r>
        <w:rPr>
          <w:noProof/>
        </w:rPr>
        <w:drawing>
          <wp:inline distT="0" distB="0" distL="0" distR="0" wp14:anchorId="0F023B79" wp14:editId="63B03E5D">
            <wp:extent cx="3579962" cy="2078966"/>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581930" cy="2080109"/>
                    </a:xfrm>
                    <a:prstGeom prst="rect">
                      <a:avLst/>
                    </a:prstGeom>
                    <a:noFill/>
                    <a:ln>
                      <a:noFill/>
                    </a:ln>
                  </pic:spPr>
                </pic:pic>
              </a:graphicData>
            </a:graphic>
          </wp:inline>
        </w:drawing>
      </w:r>
    </w:p>
    <w:p w14:paraId="27E269F2" w14:textId="77777777" w:rsidR="00115AD9" w:rsidRPr="00917572" w:rsidRDefault="00BD2B0E" w:rsidP="00115AD9">
      <w:pPr>
        <w:spacing w:after="531" w:line="265" w:lineRule="auto"/>
        <w:ind w:left="10" w:right="56" w:hanging="10"/>
        <w:jc w:val="center"/>
      </w:pPr>
      <w:r>
        <w:rPr>
          <w:rFonts w:ascii="Times New Roman" w:hAnsi="Times New Roman" w:cs="Times New Roman"/>
          <w:b/>
          <w:sz w:val="24"/>
          <w:szCs w:val="24"/>
        </w:rPr>
        <w:t>Figure 5</w:t>
      </w:r>
      <w:r w:rsidR="00115AD9" w:rsidRPr="00917572">
        <w:rPr>
          <w:rFonts w:ascii="Times New Roman" w:hAnsi="Times New Roman" w:cs="Times New Roman"/>
          <w:b/>
          <w:sz w:val="24"/>
          <w:szCs w:val="24"/>
        </w:rPr>
        <w:t xml:space="preserve">: </w:t>
      </w:r>
      <w:r w:rsidR="008A6D45">
        <w:rPr>
          <w:rFonts w:ascii="Times New Roman" w:hAnsi="Times New Roman" w:cs="Times New Roman"/>
          <w:b/>
          <w:sz w:val="24"/>
          <w:szCs w:val="24"/>
        </w:rPr>
        <w:t xml:space="preserve">The </w:t>
      </w:r>
      <w:r w:rsidR="00115AD9" w:rsidRPr="00917572">
        <w:rPr>
          <w:rFonts w:ascii="Times New Roman" w:hAnsi="Times New Roman" w:cs="Times New Roman"/>
          <w:b/>
          <w:sz w:val="24"/>
          <w:szCs w:val="24"/>
        </w:rPr>
        <w:t>Sample Paths for the Exponential-Growth Model</w:t>
      </w:r>
      <w:r w:rsidR="00115AD9">
        <w:t>.</w:t>
      </w:r>
      <w:r w:rsidR="00115AD9" w:rsidRPr="0037788C">
        <w:rPr>
          <w:b/>
          <w:bCs/>
          <w:sz w:val="28"/>
          <w:szCs w:val="28"/>
        </w:rPr>
        <w:t xml:space="preserve">  </w:t>
      </w:r>
    </w:p>
    <w:p w14:paraId="34071F2A" w14:textId="77777777" w:rsidR="00115AD9" w:rsidRPr="00917572" w:rsidRDefault="000F25F5" w:rsidP="00115AD9">
      <w:pPr>
        <w:spacing w:after="531" w:line="265" w:lineRule="auto"/>
        <w:ind w:left="10" w:right="56" w:hanging="10"/>
        <w:jc w:val="both"/>
        <w:rPr>
          <w:rFonts w:ascii="Times New Roman" w:hAnsi="Times New Roman" w:cs="Times New Roman"/>
          <w:sz w:val="24"/>
          <w:szCs w:val="24"/>
        </w:rPr>
      </w:pPr>
      <w:r>
        <w:rPr>
          <w:rFonts w:ascii="Times New Roman" w:hAnsi="Times New Roman" w:cs="Times New Roman"/>
          <w:sz w:val="24"/>
          <w:szCs w:val="24"/>
          <w:highlight w:val="yellow"/>
        </w:rPr>
        <w:t>Figure 5 shows simulated price paths from the exponential-growth SDE for three different realisations. The parameter k controls the deterministic exponential growth rate in the drift term. Paths 1 and 3 exhibit upward growth trends over the horizon, consistent with a positive net drift, while Path 2 declines towards the time axis, reflecting the impact of adverse Brownian shocks. The divergence between paths demonstrates how the same growth parameter can produce both gains and losses depending on the realisation of randomness. This captures the dual nature of Nigerian bank stocks: long-term growth potential tempered by short-term volatility.</w:t>
      </w:r>
    </w:p>
    <w:p w14:paraId="10435538" w14:textId="77777777" w:rsidR="00115AD9" w:rsidRPr="0037788C" w:rsidRDefault="00115AD9" w:rsidP="00115AD9">
      <w:pPr>
        <w:jc w:val="both"/>
        <w:rPr>
          <w:b/>
          <w:bCs/>
          <w:sz w:val="28"/>
          <w:szCs w:val="28"/>
        </w:rPr>
      </w:pPr>
    </w:p>
    <w:p w14:paraId="0228F959" w14:textId="77777777" w:rsidR="00115AD9" w:rsidRPr="0037788C" w:rsidRDefault="00115AD9" w:rsidP="00115AD9">
      <w:pPr>
        <w:jc w:val="both"/>
        <w:rPr>
          <w:sz w:val="28"/>
          <w:szCs w:val="28"/>
        </w:rPr>
      </w:pPr>
    </w:p>
    <w:p w14:paraId="78F2810D" w14:textId="77777777" w:rsidR="00115AD9" w:rsidRDefault="00115AD9" w:rsidP="00115AD9">
      <w:pPr>
        <w:spacing w:after="531" w:line="265" w:lineRule="auto"/>
        <w:ind w:left="10" w:right="56" w:hanging="10"/>
        <w:jc w:val="center"/>
      </w:pPr>
    </w:p>
    <w:p w14:paraId="0A4DD8FF" w14:textId="77777777" w:rsidR="00115AD9" w:rsidRDefault="00115AD9" w:rsidP="00115AD9">
      <w:pPr>
        <w:spacing w:after="238" w:line="259" w:lineRule="auto"/>
        <w:ind w:left="555"/>
        <w:jc w:val="center"/>
      </w:pPr>
      <w:r>
        <w:rPr>
          <w:noProof/>
        </w:rPr>
        <w:lastRenderedPageBreak/>
        <w:drawing>
          <wp:inline distT="0" distB="0" distL="0" distR="0" wp14:anchorId="7B555278" wp14:editId="1349B9E3">
            <wp:extent cx="3847381" cy="2182483"/>
            <wp:effectExtent l="0" t="0" r="127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49496" cy="2183683"/>
                    </a:xfrm>
                    <a:prstGeom prst="rect">
                      <a:avLst/>
                    </a:prstGeom>
                    <a:noFill/>
                    <a:ln>
                      <a:noFill/>
                    </a:ln>
                  </pic:spPr>
                </pic:pic>
              </a:graphicData>
            </a:graphic>
          </wp:inline>
        </w:drawing>
      </w:r>
    </w:p>
    <w:p w14:paraId="678A7032" w14:textId="77777777" w:rsidR="00115AD9" w:rsidRPr="0015561C" w:rsidRDefault="00BD2B0E" w:rsidP="00115AD9">
      <w:pPr>
        <w:spacing w:after="531" w:line="265" w:lineRule="auto"/>
        <w:ind w:left="10" w:right="56" w:hanging="10"/>
        <w:jc w:val="center"/>
      </w:pPr>
      <w:r>
        <w:rPr>
          <w:rFonts w:ascii="Times New Roman" w:hAnsi="Times New Roman" w:cs="Times New Roman"/>
          <w:b/>
          <w:sz w:val="24"/>
          <w:szCs w:val="24"/>
        </w:rPr>
        <w:t>Figure 6</w:t>
      </w:r>
      <w:r w:rsidR="00115AD9" w:rsidRPr="0015561C">
        <w:rPr>
          <w:rFonts w:ascii="Times New Roman" w:hAnsi="Times New Roman" w:cs="Times New Roman"/>
          <w:b/>
          <w:sz w:val="24"/>
          <w:szCs w:val="24"/>
        </w:rPr>
        <w:t xml:space="preserve">: </w:t>
      </w:r>
      <w:r w:rsidR="008A6D45">
        <w:rPr>
          <w:rFonts w:ascii="Times New Roman" w:hAnsi="Times New Roman" w:cs="Times New Roman"/>
          <w:b/>
          <w:sz w:val="24"/>
          <w:szCs w:val="24"/>
        </w:rPr>
        <w:t xml:space="preserve">The </w:t>
      </w:r>
      <w:r w:rsidR="00115AD9" w:rsidRPr="0015561C">
        <w:rPr>
          <w:rFonts w:ascii="Times New Roman" w:hAnsi="Times New Roman" w:cs="Times New Roman"/>
          <w:b/>
          <w:sz w:val="24"/>
          <w:szCs w:val="24"/>
        </w:rPr>
        <w:t>Sensitivity of</w:t>
      </w:r>
      <w:r w:rsidR="008A6D45" w:rsidRPr="008A6D45">
        <w:rPr>
          <w:rFonts w:ascii="Times New Roman" w:hAnsi="Times New Roman" w:cs="Times New Roman"/>
          <w:b/>
          <w:sz w:val="24"/>
          <w:szCs w:val="24"/>
        </w:rPr>
        <w:t xml:space="preserve"> </w:t>
      </w:r>
      <w:r w:rsidR="008A6D45">
        <w:rPr>
          <w:rFonts w:ascii="Times New Roman" w:hAnsi="Times New Roman" w:cs="Times New Roman"/>
          <w:b/>
          <w:sz w:val="24"/>
          <w:szCs w:val="24"/>
        </w:rPr>
        <w:t xml:space="preserve">Exponential Growth </w:t>
      </w:r>
      <w:r w:rsidR="008A6D45" w:rsidRPr="00E84319">
        <w:rPr>
          <w:rFonts w:ascii="Times New Roman" w:hAnsi="Times New Roman" w:cs="Times New Roman"/>
          <w:b/>
          <w:sz w:val="24"/>
          <w:szCs w:val="24"/>
        </w:rPr>
        <w:t>Model</w:t>
      </w:r>
      <w:r w:rsidR="00115AD9" w:rsidRPr="0015561C">
        <w:rPr>
          <w:rFonts w:ascii="Times New Roman" w:hAnsi="Times New Roman" w:cs="Times New Roman"/>
          <w:b/>
          <w:sz w:val="24"/>
          <w:szCs w:val="24"/>
        </w:rPr>
        <w:t xml:space="preserve"> </w:t>
      </w:r>
      <w:r w:rsidR="00115AD9" w:rsidRPr="0037788C">
        <w:rPr>
          <w:b/>
          <w:bCs/>
          <w:sz w:val="28"/>
          <w:szCs w:val="28"/>
        </w:rPr>
        <w:t xml:space="preserve"> </w:t>
      </w:r>
    </w:p>
    <w:p w14:paraId="44FF2BE5" w14:textId="77777777" w:rsidR="00B66923" w:rsidRPr="00B471B0" w:rsidRDefault="00BD2B0E" w:rsidP="00B66923">
      <w:pPr>
        <w:jc w:val="both"/>
        <w:rPr>
          <w:sz w:val="24"/>
          <w:szCs w:val="24"/>
        </w:rPr>
      </w:pPr>
      <w:r>
        <w:rPr>
          <w:sz w:val="24"/>
          <w:szCs w:val="24"/>
          <w:highlight w:val="yellow"/>
        </w:rPr>
        <w:t>Figure 6 examines how changes in the growth-adjustment parameter k affect path dispersion. As k increases, the deterministic component of the drift becomes stronger, leading to wider exponential growth or decay across paths. The result is greater dispersion: some paths grow exponentially upwards while others fall exponentially downwards. This sensitivity analysis shows that k is a major driver of long-term valuation trends. For Nigerian banks, a higher k could connote stronger earnings growth or expansion, but it also amplifies uncertainty, making stress testing indispensable.</w:t>
      </w:r>
    </w:p>
    <w:p w14:paraId="0C43C217" w14:textId="77777777" w:rsidR="00B66923" w:rsidRPr="00DA1057" w:rsidRDefault="00B66923" w:rsidP="00B66923">
      <w:pPr>
        <w:jc w:val="both"/>
        <w:rPr>
          <w:rFonts w:ascii="Times New Roman" w:hAnsi="Times New Roman" w:cs="Times New Roman"/>
          <w:b/>
          <w:bCs/>
          <w:sz w:val="24"/>
          <w:szCs w:val="24"/>
        </w:rPr>
      </w:pPr>
      <w:r w:rsidRPr="00DA1057">
        <w:rPr>
          <w:rFonts w:ascii="Times New Roman" w:hAnsi="Times New Roman" w:cs="Times New Roman"/>
          <w:b/>
          <w:bCs/>
          <w:sz w:val="24"/>
          <w:szCs w:val="24"/>
        </w:rPr>
        <w:t>4.1 Conclusion</w:t>
      </w:r>
    </w:p>
    <w:p w14:paraId="1E79B44A" w14:textId="77777777" w:rsidR="001137E9" w:rsidRDefault="00186E09" w:rsidP="00031E81">
      <w:pPr>
        <w:spacing w:line="240" w:lineRule="auto"/>
        <w:jc w:val="both"/>
        <w:rPr>
          <w:rFonts w:ascii="Times New Roman" w:hAnsi="Times New Roman"/>
          <w:sz w:val="24"/>
          <w:szCs w:val="24"/>
        </w:rPr>
      </w:pPr>
      <w:r>
        <w:rPr>
          <w:rFonts w:ascii="Times New Roman" w:hAnsi="Times New Roman" w:cs="Times New Roman"/>
          <w:sz w:val="24"/>
          <w:szCs w:val="24"/>
          <w:highlight w:val="yellow"/>
        </w:rPr>
        <w:t>This paper considered exponential-decay and exponential-growth GBM models, which provide a realistic framework for stress testing and bank-stock evolution under both growth expectations and market randomness. The findings show that the parameter k critically governs whether a shock leads to permanent decline, stabilisation, or eventual recovery. When k exceeds the growth rate, the model predicts exponential erosion of value, whereas</w:t>
      </w:r>
      <w:r w:rsidRPr="004C4CE0">
        <w:rPr>
          <w:rFonts w:ascii="Times New Roman" w:hAnsi="Times New Roman" w:cs="Times New Roman"/>
          <w:position w:val="-10"/>
          <w:sz w:val="24"/>
          <w:szCs w:val="24"/>
        </w:rPr>
        <w:object w:dxaOrig="600" w:dyaOrig="320" w14:anchorId="174BEB1C">
          <v:shape id="_x0000_i1093" type="#_x0000_t75" style="width:30.55pt;height:16.3pt" o:ole="">
            <v:imagedata r:id="rId140" o:title=""/>
          </v:shape>
          <o:OLEObject Type="Embed" ProgID="Equation.DSMT4" ShapeID="_x0000_i1093" DrawAspect="Content" ObjectID="_1850987188" r:id="rId141"/>
        </w:object>
      </w:r>
      <w:r>
        <w:rPr>
          <w:rFonts w:ascii="Times New Roman" w:hAnsi="Times New Roman" w:cs="Times New Roman"/>
          <w:sz w:val="24"/>
          <w:szCs w:val="24"/>
          <w:highlight w:val="yellow"/>
        </w:rPr>
        <w:t xml:space="preserve"> allows for long-term growth. Moreover, in the stochastic analysis of the growth model, the simulation results indicate that, while the parameter </w:t>
      </w:r>
      <w:r w:rsidR="00E26890" w:rsidRPr="002B584C">
        <w:rPr>
          <w:rFonts w:ascii="Times New Roman" w:hAnsi="Times New Roman" w:cs="Times New Roman"/>
          <w:position w:val="-6"/>
          <w:sz w:val="24"/>
          <w:szCs w:val="24"/>
        </w:rPr>
        <w:object w:dxaOrig="200" w:dyaOrig="279" w14:anchorId="568747CB">
          <v:shape id="_x0000_i1094" type="#_x0000_t75" style="width:9.5pt;height:14.25pt" o:ole="">
            <v:imagedata r:id="rId142" o:title=""/>
          </v:shape>
          <o:OLEObject Type="Embed" ProgID="Equation.DSMT4" ShapeID="_x0000_i1094" DrawAspect="Content" ObjectID="_1850987189" r:id="rId143"/>
        </w:object>
      </w:r>
      <w:r w:rsidR="00E26890" w:rsidRPr="002B584C">
        <w:rPr>
          <w:rFonts w:ascii="Times New Roman" w:hAnsi="Times New Roman" w:cs="Times New Roman"/>
          <w:sz w:val="24"/>
          <w:szCs w:val="24"/>
        </w:rPr>
        <w:t xml:space="preserve"> drives the overall trend, stochastic shocks remain the dominant source of short-term divergence across paths. Sensitivity analysis confirms that increases in </w:t>
      </w:r>
      <w:r w:rsidR="00E26890" w:rsidRPr="002B584C">
        <w:rPr>
          <w:rFonts w:ascii="Times New Roman" w:hAnsi="Times New Roman" w:cs="Times New Roman"/>
          <w:position w:val="-6"/>
          <w:sz w:val="24"/>
          <w:szCs w:val="24"/>
        </w:rPr>
        <w:object w:dxaOrig="200" w:dyaOrig="279" w14:anchorId="1EDA208C">
          <v:shape id="_x0000_i1095" type="#_x0000_t75" style="width:9.5pt;height:14.25pt" o:ole="">
            <v:imagedata r:id="rId142" o:title=""/>
          </v:shape>
          <o:OLEObject Type="Embed" ProgID="Equation.DSMT4" ShapeID="_x0000_i1095" DrawAspect="Content" ObjectID="_1850987190" r:id="rId144"/>
        </w:object>
      </w:r>
      <w:r w:rsidR="00E26890" w:rsidRPr="002B584C">
        <w:rPr>
          <w:rFonts w:ascii="Times New Roman" w:hAnsi="Times New Roman" w:cs="Times New Roman"/>
          <w:sz w:val="24"/>
          <w:szCs w:val="24"/>
          <w:highlight w:val="yellow"/>
        </w:rPr>
        <w:t xml:space="preserve"> lead to greater dispersion, highlighting the trade-off between growth potential and risk. In general, the exponential-decay and exponential-growth GBM models provide a useful complement to standard GBM by explicitly linking valuation trends to decay and growth parameters, making them relevant to forecasting and investment analysis in the Nigerian financial market. Finally, validating the existence and uniqueness of the two analytical solutions via Itô's formula is highly recommended.</w:t>
      </w:r>
    </w:p>
    <w:p w14:paraId="3E063CBF" w14:textId="3BE6CFFB" w:rsidR="00B3047E" w:rsidRPr="00E7185C" w:rsidRDefault="00E7185C" w:rsidP="00031E81">
      <w:pPr>
        <w:spacing w:line="240" w:lineRule="auto"/>
        <w:jc w:val="both"/>
        <w:rPr>
          <w:rFonts w:ascii="Times New Roman" w:hAnsi="Times New Roman" w:cs="Times New Roman"/>
          <w:b/>
          <w:bCs/>
          <w:sz w:val="24"/>
          <w:szCs w:val="24"/>
        </w:rPr>
      </w:pPr>
      <w:r w:rsidRPr="00E7185C">
        <w:rPr>
          <w:rFonts w:ascii="Times New Roman" w:hAnsi="Times New Roman" w:cs="Times New Roman"/>
          <w:b/>
          <w:bCs/>
          <w:sz w:val="24"/>
          <w:szCs w:val="24"/>
        </w:rPr>
        <w:t>Limitations</w:t>
      </w:r>
    </w:p>
    <w:p w14:paraId="789C1B0A" w14:textId="77777777" w:rsidR="00E7185C" w:rsidRDefault="00E7185C" w:rsidP="00E7185C">
      <w:pPr>
        <w:pStyle w:val="pdq2pgselectionanchorcontainer"/>
        <w:jc w:val="both"/>
      </w:pPr>
      <w:r>
        <w:t xml:space="preserve">The framework is theoretical and simulation-based, so its conclusions depend on the assumed GBM structure, parameter choices, and specified exponential growth or decay adjustments. The </w:t>
      </w:r>
      <w:r>
        <w:lastRenderedPageBreak/>
        <w:t>models do not incorporate additional market frictions, structural breaks, or alternative stochastic processes beyond those represented in the manuscript. Consequently, the simulated paths should be interpreted as model-based illustrations of valuation dynamics rather than direct empirical forecasts. Further validation of the analytical solutions and empirical calibration would strengthen the practical application of the framework.</w:t>
      </w:r>
    </w:p>
    <w:p w14:paraId="1F8E60D7" w14:textId="77777777" w:rsidR="00E7185C" w:rsidRDefault="00E7185C" w:rsidP="00031E81">
      <w:pPr>
        <w:spacing w:line="240" w:lineRule="auto"/>
        <w:jc w:val="both"/>
        <w:rPr>
          <w:rFonts w:ascii="Times New Roman" w:hAnsi="Times New Roman" w:cs="Times New Roman"/>
          <w:sz w:val="24"/>
          <w:szCs w:val="24"/>
        </w:rPr>
      </w:pPr>
    </w:p>
    <w:p w14:paraId="10553844" w14:textId="77777777" w:rsidR="00B3047E" w:rsidRPr="002D08AC" w:rsidRDefault="00B3047E" w:rsidP="00B3047E">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305C4A1E" w14:textId="77777777" w:rsidR="00B3047E" w:rsidRPr="002D08AC" w:rsidRDefault="00B3047E" w:rsidP="00B3047E">
      <w:pPr>
        <w:spacing w:after="0" w:line="240" w:lineRule="auto"/>
        <w:rPr>
          <w:rFonts w:ascii="Arial" w:hAnsi="Arial" w:cs="Arial"/>
          <w:sz w:val="20"/>
          <w:szCs w:val="20"/>
        </w:rPr>
      </w:pPr>
      <w:bookmarkStart w:id="2" w:name="_Hlk239068730"/>
    </w:p>
    <w:p w14:paraId="5F942A54" w14:textId="77777777" w:rsidR="00B3047E" w:rsidRPr="002D08AC" w:rsidRDefault="00B3047E" w:rsidP="00B3047E">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5228B2A7" w14:textId="77777777" w:rsidR="00B3047E" w:rsidRPr="00031E81" w:rsidRDefault="00B3047E" w:rsidP="00031E81">
      <w:pPr>
        <w:spacing w:line="240" w:lineRule="auto"/>
        <w:jc w:val="both"/>
        <w:rPr>
          <w:rFonts w:ascii="Times New Roman" w:hAnsi="Times New Roman" w:cs="Times New Roman"/>
          <w:sz w:val="24"/>
          <w:szCs w:val="24"/>
        </w:rPr>
      </w:pPr>
    </w:p>
    <w:p w14:paraId="7E5A9E36" w14:textId="77777777" w:rsidR="00B66923" w:rsidRPr="001137E9" w:rsidRDefault="00B66923" w:rsidP="001137E9">
      <w:pPr>
        <w:spacing w:line="240" w:lineRule="auto"/>
        <w:jc w:val="both"/>
        <w:rPr>
          <w:rFonts w:ascii="Times New Roman" w:hAnsi="Times New Roman" w:cs="Times New Roman"/>
          <w:b/>
          <w:sz w:val="24"/>
          <w:szCs w:val="24"/>
        </w:rPr>
      </w:pPr>
      <w:r w:rsidRPr="001137E9">
        <w:rPr>
          <w:rFonts w:ascii="Times New Roman" w:hAnsi="Times New Roman" w:cs="Times New Roman"/>
          <w:b/>
          <w:sz w:val="24"/>
          <w:szCs w:val="24"/>
          <w:highlight w:val="yellow"/>
        </w:rPr>
        <w:t>References</w:t>
      </w:r>
    </w:p>
    <w:p w14:paraId="1A20CF48" w14:textId="6C26F35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Abdullahi, I. B. (2020). Effect of unstable macroeconomic indicators on banking sector stock price </w:t>
      </w:r>
      <w:proofErr w:type="spellStart"/>
      <w:r w:rsidRPr="00662D3F">
        <w:rPr>
          <w:rFonts w:ascii="Times New Roman" w:eastAsia="Times New Roman" w:hAnsi="Times New Roman" w:cs="Times New Roman"/>
          <w:sz w:val="24"/>
          <w:szCs w:val="24"/>
        </w:rPr>
        <w:t>behaviour</w:t>
      </w:r>
      <w:proofErr w:type="spellEnd"/>
      <w:r w:rsidRPr="00662D3F">
        <w:rPr>
          <w:rFonts w:ascii="Times New Roman" w:eastAsia="Times New Roman" w:hAnsi="Times New Roman" w:cs="Times New Roman"/>
          <w:sz w:val="24"/>
          <w:szCs w:val="24"/>
        </w:rPr>
        <w:t xml:space="preserve"> in Nigerian stock market. </w:t>
      </w:r>
      <w:r w:rsidRPr="00662D3F">
        <w:rPr>
          <w:rFonts w:ascii="Times New Roman" w:eastAsia="Times New Roman" w:hAnsi="Times New Roman" w:cs="Times New Roman"/>
          <w:i/>
          <w:iCs/>
          <w:sz w:val="24"/>
          <w:szCs w:val="24"/>
        </w:rPr>
        <w:t>International Journal of Economics and Financial Issues, 10</w:t>
      </w:r>
      <w:r w:rsidRPr="00662D3F">
        <w:rPr>
          <w:rFonts w:ascii="Times New Roman" w:eastAsia="Times New Roman" w:hAnsi="Times New Roman" w:cs="Times New Roman"/>
          <w:sz w:val="24"/>
          <w:szCs w:val="24"/>
        </w:rPr>
        <w:t>(2), 1–5. https://doi.org/10.32479/ijefi.9041</w:t>
      </w:r>
    </w:p>
    <w:p w14:paraId="77BCB3DA"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Noor, A., Barnawi, A., Nour, R., Assiri, A., &amp; El-</w:t>
      </w:r>
      <w:proofErr w:type="spellStart"/>
      <w:r w:rsidRPr="00662D3F">
        <w:rPr>
          <w:rFonts w:ascii="Times New Roman" w:eastAsia="Times New Roman" w:hAnsi="Times New Roman" w:cs="Times New Roman"/>
          <w:sz w:val="24"/>
          <w:szCs w:val="24"/>
        </w:rPr>
        <w:t>Beltagy</w:t>
      </w:r>
      <w:proofErr w:type="spellEnd"/>
      <w:r w:rsidRPr="00662D3F">
        <w:rPr>
          <w:rFonts w:ascii="Times New Roman" w:eastAsia="Times New Roman" w:hAnsi="Times New Roman" w:cs="Times New Roman"/>
          <w:sz w:val="24"/>
          <w:szCs w:val="24"/>
        </w:rPr>
        <w:t xml:space="preserve">, M. (2020). Analysis of the stochastic population model with random parameters. </w:t>
      </w:r>
      <w:r w:rsidRPr="00662D3F">
        <w:rPr>
          <w:rFonts w:ascii="Times New Roman" w:eastAsia="Times New Roman" w:hAnsi="Times New Roman" w:cs="Times New Roman"/>
          <w:i/>
          <w:iCs/>
          <w:sz w:val="24"/>
          <w:szCs w:val="24"/>
        </w:rPr>
        <w:t>Entropy, 22</w:t>
      </w:r>
      <w:r w:rsidRPr="00662D3F">
        <w:rPr>
          <w:rFonts w:ascii="Times New Roman" w:eastAsia="Times New Roman" w:hAnsi="Times New Roman" w:cs="Times New Roman"/>
          <w:sz w:val="24"/>
          <w:szCs w:val="24"/>
        </w:rPr>
        <w:t xml:space="preserve">(5), 562. https://doi.org/10.3390/e22050562 </w:t>
      </w:r>
    </w:p>
    <w:p w14:paraId="20149F72"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lang w:val="nl-BE"/>
        </w:rPr>
        <w:t xml:space="preserve">Adeosun, M. E., Edeki, S. O., &amp; Ugbebor, O. O. (2015). </w:t>
      </w:r>
      <w:r w:rsidRPr="00662D3F">
        <w:rPr>
          <w:rFonts w:ascii="Times New Roman" w:eastAsia="Times New Roman" w:hAnsi="Times New Roman" w:cs="Times New Roman"/>
          <w:sz w:val="24"/>
          <w:szCs w:val="24"/>
        </w:rPr>
        <w:t xml:space="preserve">Stochastic analysis of stock market price models: A case study of the Nigerian Stock Exchange (NSE). </w:t>
      </w:r>
      <w:r w:rsidRPr="00662D3F">
        <w:rPr>
          <w:rFonts w:ascii="Times New Roman" w:eastAsia="Times New Roman" w:hAnsi="Times New Roman" w:cs="Times New Roman"/>
          <w:i/>
          <w:iCs/>
          <w:sz w:val="24"/>
          <w:szCs w:val="24"/>
        </w:rPr>
        <w:t>WSEAS Transactions on Mathematics, 14</w:t>
      </w:r>
      <w:r w:rsidRPr="00662D3F">
        <w:rPr>
          <w:rFonts w:ascii="Times New Roman" w:eastAsia="Times New Roman" w:hAnsi="Times New Roman" w:cs="Times New Roman"/>
          <w:sz w:val="24"/>
          <w:szCs w:val="24"/>
        </w:rPr>
        <w:t xml:space="preserve">, 353–363. </w:t>
      </w:r>
      <w:hyperlink r:id="rId145" w:tgtFrame="_blank" w:history="1">
        <w:r w:rsidRPr="00662D3F">
          <w:rPr>
            <w:rFonts w:ascii="Times New Roman" w:eastAsia="Times New Roman" w:hAnsi="Times New Roman" w:cs="Times New Roman"/>
            <w:color w:val="0000FF"/>
            <w:sz w:val="24"/>
            <w:szCs w:val="24"/>
            <w:u w:val="single"/>
          </w:rPr>
          <w:t>https://wseas.org/wseas/cms.action?id=10188</w:t>
        </w:r>
      </w:hyperlink>
      <w:r w:rsidRPr="00662D3F">
        <w:rPr>
          <w:rFonts w:ascii="Times New Roman" w:eastAsia="Times New Roman" w:hAnsi="Times New Roman" w:cs="Times New Roman"/>
          <w:sz w:val="24"/>
          <w:szCs w:val="24"/>
        </w:rPr>
        <w:t xml:space="preserve"> </w:t>
      </w:r>
    </w:p>
    <w:p w14:paraId="5235975A"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lang w:val="nl-BE"/>
        </w:rPr>
        <w:t xml:space="preserve">Amadi, I. U., Ogbogbo, C. P. N., Davies, I., &amp; Katsekpor, T. (2024). </w:t>
      </w:r>
      <w:r w:rsidRPr="00662D3F">
        <w:rPr>
          <w:rFonts w:ascii="Times New Roman" w:eastAsia="Times New Roman" w:hAnsi="Times New Roman" w:cs="Times New Roman"/>
          <w:sz w:val="24"/>
          <w:szCs w:val="24"/>
        </w:rPr>
        <w:t xml:space="preserve">A stochastic model for the variation of Fourier series expansions with time delay arising in financial market price changes. </w:t>
      </w:r>
      <w:r w:rsidRPr="00662D3F">
        <w:rPr>
          <w:rFonts w:ascii="Times New Roman" w:eastAsia="Times New Roman" w:hAnsi="Times New Roman" w:cs="Times New Roman"/>
          <w:i/>
          <w:iCs/>
          <w:sz w:val="24"/>
          <w:szCs w:val="24"/>
        </w:rPr>
        <w:t>International Journal of Mathematical Sciences and Optimization: Theory and Applications, 10</w:t>
      </w:r>
      <w:r w:rsidRPr="00662D3F">
        <w:rPr>
          <w:rFonts w:ascii="Times New Roman" w:eastAsia="Times New Roman" w:hAnsi="Times New Roman" w:cs="Times New Roman"/>
          <w:sz w:val="24"/>
          <w:szCs w:val="24"/>
        </w:rPr>
        <w:t xml:space="preserve">(3), 140–153. https://doi.org/10.5281/zenodo.13626097 </w:t>
      </w:r>
    </w:p>
    <w:p w14:paraId="6CFC47B6" w14:textId="00F2FEBF"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Amadi, I. U., </w:t>
      </w:r>
      <w:proofErr w:type="spellStart"/>
      <w:r w:rsidRPr="00662D3F">
        <w:rPr>
          <w:rFonts w:ascii="Times New Roman" w:eastAsia="Times New Roman" w:hAnsi="Times New Roman" w:cs="Times New Roman"/>
          <w:sz w:val="24"/>
          <w:szCs w:val="24"/>
        </w:rPr>
        <w:t>Eleki</w:t>
      </w:r>
      <w:proofErr w:type="spellEnd"/>
      <w:r w:rsidRPr="00662D3F">
        <w:rPr>
          <w:rFonts w:ascii="Times New Roman" w:eastAsia="Times New Roman" w:hAnsi="Times New Roman" w:cs="Times New Roman"/>
          <w:sz w:val="24"/>
          <w:szCs w:val="24"/>
        </w:rPr>
        <w:t xml:space="preserve">, A. G., &amp; </w:t>
      </w:r>
      <w:proofErr w:type="spellStart"/>
      <w:r w:rsidRPr="00662D3F">
        <w:rPr>
          <w:rFonts w:ascii="Times New Roman" w:eastAsia="Times New Roman" w:hAnsi="Times New Roman" w:cs="Times New Roman"/>
          <w:sz w:val="24"/>
          <w:szCs w:val="24"/>
        </w:rPr>
        <w:t>Onwugbta</w:t>
      </w:r>
      <w:proofErr w:type="spellEnd"/>
      <w:r w:rsidRPr="00662D3F">
        <w:rPr>
          <w:rFonts w:ascii="Times New Roman" w:eastAsia="Times New Roman" w:hAnsi="Times New Roman" w:cs="Times New Roman"/>
          <w:sz w:val="24"/>
          <w:szCs w:val="24"/>
        </w:rPr>
        <w:t xml:space="preserve">, G. (2017). Application of nonlinear first order ordinary differential equations on stock market prices. </w:t>
      </w:r>
      <w:r w:rsidRPr="00662D3F">
        <w:rPr>
          <w:rFonts w:ascii="Times New Roman" w:eastAsia="Times New Roman" w:hAnsi="Times New Roman" w:cs="Times New Roman"/>
          <w:i/>
          <w:iCs/>
          <w:sz w:val="24"/>
          <w:szCs w:val="24"/>
        </w:rPr>
        <w:t>Frontiers of Knowledge Journal Series: International Journal of Pure and Applied Sciences, 1</w:t>
      </w:r>
      <w:r w:rsidRPr="00662D3F">
        <w:rPr>
          <w:rFonts w:ascii="Times New Roman" w:eastAsia="Times New Roman" w:hAnsi="Times New Roman" w:cs="Times New Roman"/>
          <w:sz w:val="24"/>
          <w:szCs w:val="24"/>
        </w:rPr>
        <w:t xml:space="preserve">(1). </w:t>
      </w:r>
    </w:p>
    <w:p w14:paraId="2558002A"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Bai, L., &amp; Guo, J. (2008). Optimal proportional reinsurance and investment with multiple risky assets and no-shorting constraint. </w:t>
      </w:r>
      <w:r w:rsidRPr="00662D3F">
        <w:rPr>
          <w:rFonts w:ascii="Times New Roman" w:eastAsia="Times New Roman" w:hAnsi="Times New Roman" w:cs="Times New Roman"/>
          <w:i/>
          <w:iCs/>
          <w:sz w:val="24"/>
          <w:szCs w:val="24"/>
        </w:rPr>
        <w:t>Insurance: Mathematics and Economics, 42</w:t>
      </w:r>
      <w:r w:rsidRPr="00662D3F">
        <w:rPr>
          <w:rFonts w:ascii="Times New Roman" w:eastAsia="Times New Roman" w:hAnsi="Times New Roman" w:cs="Times New Roman"/>
          <w:sz w:val="24"/>
          <w:szCs w:val="24"/>
        </w:rPr>
        <w:t xml:space="preserve">(3), 968–975. https://doi.org/10.1016/j.insmatheco.2007.11.002 </w:t>
      </w:r>
    </w:p>
    <w:p w14:paraId="3C0B063A"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Browne, S. (1995). Optimal investment policies for a firm with a random risk process: Exponential utility and minimizing the probability of ruin. </w:t>
      </w:r>
      <w:r w:rsidRPr="00662D3F">
        <w:rPr>
          <w:rFonts w:ascii="Times New Roman" w:eastAsia="Times New Roman" w:hAnsi="Times New Roman" w:cs="Times New Roman"/>
          <w:i/>
          <w:iCs/>
          <w:sz w:val="24"/>
          <w:szCs w:val="24"/>
        </w:rPr>
        <w:t>Mathematics of Operations Research, 20</w:t>
      </w:r>
      <w:r w:rsidRPr="00662D3F">
        <w:rPr>
          <w:rFonts w:ascii="Times New Roman" w:eastAsia="Times New Roman" w:hAnsi="Times New Roman" w:cs="Times New Roman"/>
          <w:sz w:val="24"/>
          <w:szCs w:val="24"/>
        </w:rPr>
        <w:t xml:space="preserve">(4), 937–958. </w:t>
      </w:r>
      <w:hyperlink r:id="rId146" w:tgtFrame="_blank" w:history="1">
        <w:r w:rsidRPr="00662D3F">
          <w:rPr>
            <w:rFonts w:ascii="Times New Roman" w:eastAsia="Times New Roman" w:hAnsi="Times New Roman" w:cs="Times New Roman"/>
            <w:color w:val="0000FF"/>
            <w:sz w:val="24"/>
            <w:szCs w:val="24"/>
            <w:u w:val="single"/>
          </w:rPr>
          <w:t>https://doi.org/10.1287/moor.20.4.937</w:t>
        </w:r>
      </w:hyperlink>
      <w:r w:rsidRPr="00662D3F">
        <w:rPr>
          <w:rFonts w:ascii="Times New Roman" w:eastAsia="Times New Roman" w:hAnsi="Times New Roman" w:cs="Times New Roman"/>
          <w:sz w:val="24"/>
          <w:szCs w:val="24"/>
        </w:rPr>
        <w:t xml:space="preserve"> </w:t>
      </w:r>
    </w:p>
    <w:p w14:paraId="0DFAB70A"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lastRenderedPageBreak/>
        <w:t xml:space="preserve">Davies, I., Amadi, I. U., &amp; </w:t>
      </w:r>
      <w:proofErr w:type="spellStart"/>
      <w:r w:rsidRPr="00662D3F">
        <w:rPr>
          <w:rFonts w:ascii="Times New Roman" w:eastAsia="Times New Roman" w:hAnsi="Times New Roman" w:cs="Times New Roman"/>
          <w:sz w:val="24"/>
          <w:szCs w:val="24"/>
        </w:rPr>
        <w:t>Ndu</w:t>
      </w:r>
      <w:proofErr w:type="spellEnd"/>
      <w:r w:rsidRPr="00662D3F">
        <w:rPr>
          <w:rFonts w:ascii="Times New Roman" w:eastAsia="Times New Roman" w:hAnsi="Times New Roman" w:cs="Times New Roman"/>
          <w:sz w:val="24"/>
          <w:szCs w:val="24"/>
        </w:rPr>
        <w:t xml:space="preserve">, R. I. (2019). Stability analysis of stochastic model for stock market prices. </w:t>
      </w:r>
      <w:r w:rsidRPr="00662D3F">
        <w:rPr>
          <w:rFonts w:ascii="Times New Roman" w:eastAsia="Times New Roman" w:hAnsi="Times New Roman" w:cs="Times New Roman"/>
          <w:i/>
          <w:iCs/>
          <w:sz w:val="24"/>
          <w:szCs w:val="24"/>
        </w:rPr>
        <w:t>International Journal of Mathematical and Computational Methods, 4</w:t>
      </w:r>
      <w:r w:rsidRPr="00662D3F">
        <w:rPr>
          <w:rFonts w:ascii="Times New Roman" w:eastAsia="Times New Roman" w:hAnsi="Times New Roman" w:cs="Times New Roman"/>
          <w:sz w:val="24"/>
          <w:szCs w:val="24"/>
        </w:rPr>
        <w:t xml:space="preserve">, 79–86. </w:t>
      </w:r>
      <w:hyperlink r:id="rId147" w:tgtFrame="_blank" w:history="1">
        <w:r w:rsidRPr="00662D3F">
          <w:rPr>
            <w:rFonts w:ascii="Times New Roman" w:eastAsia="Times New Roman" w:hAnsi="Times New Roman" w:cs="Times New Roman"/>
            <w:color w:val="0000FF"/>
            <w:sz w:val="24"/>
            <w:szCs w:val="24"/>
            <w:u w:val="single"/>
          </w:rPr>
          <w:t>https://www.iaras.org/iaras/filedownloads/ijmcm/2019/001-0012%282019%29.pdf</w:t>
        </w:r>
      </w:hyperlink>
      <w:r w:rsidRPr="00662D3F">
        <w:rPr>
          <w:rFonts w:ascii="Times New Roman" w:eastAsia="Times New Roman" w:hAnsi="Times New Roman" w:cs="Times New Roman"/>
          <w:sz w:val="24"/>
          <w:szCs w:val="24"/>
        </w:rPr>
        <w:t xml:space="preserve"> </w:t>
      </w:r>
    </w:p>
    <w:p w14:paraId="664CB78C"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lang w:val="nl-BE"/>
        </w:rPr>
        <w:t xml:space="preserve">Giet, J.-S., Vallois, P., &amp; Wantz-Mézières, S. (2015). </w:t>
      </w:r>
      <w:r w:rsidRPr="00662D3F">
        <w:rPr>
          <w:rFonts w:ascii="Times New Roman" w:eastAsia="Times New Roman" w:hAnsi="Times New Roman" w:cs="Times New Roman"/>
          <w:sz w:val="24"/>
          <w:szCs w:val="24"/>
        </w:rPr>
        <w:t xml:space="preserve">The logistic S.D.E. </w:t>
      </w:r>
      <w:r w:rsidRPr="00662D3F">
        <w:rPr>
          <w:rFonts w:ascii="Times New Roman" w:eastAsia="Times New Roman" w:hAnsi="Times New Roman" w:cs="Times New Roman"/>
          <w:i/>
          <w:iCs/>
          <w:sz w:val="24"/>
          <w:szCs w:val="24"/>
        </w:rPr>
        <w:t>Theory of Stochastic Processes, 20</w:t>
      </w:r>
      <w:r w:rsidRPr="00662D3F">
        <w:rPr>
          <w:rFonts w:ascii="Times New Roman" w:eastAsia="Times New Roman" w:hAnsi="Times New Roman" w:cs="Times New Roman"/>
          <w:sz w:val="24"/>
          <w:szCs w:val="24"/>
        </w:rPr>
        <w:t xml:space="preserve">(1), 28–62. </w:t>
      </w:r>
      <w:hyperlink r:id="rId148" w:tgtFrame="_blank" w:history="1">
        <w:r w:rsidRPr="00662D3F">
          <w:rPr>
            <w:rFonts w:ascii="Times New Roman" w:eastAsia="Times New Roman" w:hAnsi="Times New Roman" w:cs="Times New Roman"/>
            <w:color w:val="0000FF"/>
            <w:sz w:val="24"/>
            <w:szCs w:val="24"/>
            <w:u w:val="single"/>
          </w:rPr>
          <w:t>https://tsp.imath.kiev.ua/published/volume20_1/abs3/index.html</w:t>
        </w:r>
      </w:hyperlink>
      <w:r w:rsidRPr="00662D3F">
        <w:rPr>
          <w:rFonts w:ascii="Times New Roman" w:eastAsia="Times New Roman" w:hAnsi="Times New Roman" w:cs="Times New Roman"/>
          <w:sz w:val="24"/>
          <w:szCs w:val="24"/>
        </w:rPr>
        <w:t xml:space="preserve"> </w:t>
      </w:r>
    </w:p>
    <w:p w14:paraId="282A698D"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lang w:val="nl-BE"/>
        </w:rPr>
        <w:t xml:space="preserve">Gu, A., Guo, X., Li, Z., &amp; Zeng, Y. (2012). </w:t>
      </w:r>
      <w:r w:rsidRPr="00662D3F">
        <w:rPr>
          <w:rFonts w:ascii="Times New Roman" w:eastAsia="Times New Roman" w:hAnsi="Times New Roman" w:cs="Times New Roman"/>
          <w:sz w:val="24"/>
          <w:szCs w:val="24"/>
        </w:rPr>
        <w:t xml:space="preserve">Optimal control of excess-of-loss reinsurance and investment for insurers under a CEV model. </w:t>
      </w:r>
      <w:r w:rsidRPr="00662D3F">
        <w:rPr>
          <w:rFonts w:ascii="Times New Roman" w:eastAsia="Times New Roman" w:hAnsi="Times New Roman" w:cs="Times New Roman"/>
          <w:i/>
          <w:iCs/>
          <w:sz w:val="24"/>
          <w:szCs w:val="24"/>
        </w:rPr>
        <w:t>Insurance: Mathematics and Economics, 51</w:t>
      </w:r>
      <w:r w:rsidRPr="00662D3F">
        <w:rPr>
          <w:rFonts w:ascii="Times New Roman" w:eastAsia="Times New Roman" w:hAnsi="Times New Roman" w:cs="Times New Roman"/>
          <w:sz w:val="24"/>
          <w:szCs w:val="24"/>
        </w:rPr>
        <w:t xml:space="preserve">(3), 674–684. https://doi.org/10.1016/j.insmatheco.2012.09.003 </w:t>
      </w:r>
    </w:p>
    <w:p w14:paraId="7E200B14"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Hull, J., &amp; White, A. (1990). Pricing interest-rate-derivative securities. </w:t>
      </w:r>
      <w:r w:rsidRPr="00662D3F">
        <w:rPr>
          <w:rFonts w:ascii="Times New Roman" w:eastAsia="Times New Roman" w:hAnsi="Times New Roman" w:cs="Times New Roman"/>
          <w:i/>
          <w:iCs/>
          <w:sz w:val="24"/>
          <w:szCs w:val="24"/>
        </w:rPr>
        <w:t>The Review of Financial Studies, 3</w:t>
      </w:r>
      <w:r w:rsidRPr="00662D3F">
        <w:rPr>
          <w:rFonts w:ascii="Times New Roman" w:eastAsia="Times New Roman" w:hAnsi="Times New Roman" w:cs="Times New Roman"/>
          <w:sz w:val="24"/>
          <w:szCs w:val="24"/>
        </w:rPr>
        <w:t xml:space="preserve">(4), 573–592. </w:t>
      </w:r>
      <w:hyperlink r:id="rId149" w:tgtFrame="_blank" w:history="1">
        <w:r w:rsidRPr="00662D3F">
          <w:rPr>
            <w:rFonts w:ascii="Times New Roman" w:eastAsia="Times New Roman" w:hAnsi="Times New Roman" w:cs="Times New Roman"/>
            <w:color w:val="0000FF"/>
            <w:sz w:val="24"/>
            <w:szCs w:val="24"/>
            <w:u w:val="single"/>
          </w:rPr>
          <w:t>https://doi.org/10.1093/rfs/3.4.573</w:t>
        </w:r>
      </w:hyperlink>
      <w:r w:rsidRPr="00662D3F">
        <w:rPr>
          <w:rFonts w:ascii="Times New Roman" w:eastAsia="Times New Roman" w:hAnsi="Times New Roman" w:cs="Times New Roman"/>
          <w:sz w:val="24"/>
          <w:szCs w:val="24"/>
        </w:rPr>
        <w:t xml:space="preserve"> </w:t>
      </w:r>
    </w:p>
    <w:p w14:paraId="2E55FBB2"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662D3F">
        <w:rPr>
          <w:rFonts w:ascii="Times New Roman" w:eastAsia="Times New Roman" w:hAnsi="Times New Roman" w:cs="Times New Roman"/>
          <w:sz w:val="24"/>
          <w:szCs w:val="24"/>
        </w:rPr>
        <w:t>Ihedioha</w:t>
      </w:r>
      <w:proofErr w:type="spellEnd"/>
      <w:r w:rsidRPr="00662D3F">
        <w:rPr>
          <w:rFonts w:ascii="Times New Roman" w:eastAsia="Times New Roman" w:hAnsi="Times New Roman" w:cs="Times New Roman"/>
          <w:sz w:val="24"/>
          <w:szCs w:val="24"/>
        </w:rPr>
        <w:t xml:space="preserve">, S. A., &amp; Osu, B. O. (2015). Optimal portfolios of an insurer and a reinsurer under proportional reinsurance and power utility preference. </w:t>
      </w:r>
      <w:r w:rsidRPr="00662D3F">
        <w:rPr>
          <w:rFonts w:ascii="Times New Roman" w:eastAsia="Times New Roman" w:hAnsi="Times New Roman" w:cs="Times New Roman"/>
          <w:i/>
          <w:iCs/>
          <w:sz w:val="24"/>
          <w:szCs w:val="24"/>
        </w:rPr>
        <w:t>Open Access Library Journal, 2</w:t>
      </w:r>
      <w:r w:rsidRPr="00662D3F">
        <w:rPr>
          <w:rFonts w:ascii="Times New Roman" w:eastAsia="Times New Roman" w:hAnsi="Times New Roman" w:cs="Times New Roman"/>
          <w:sz w:val="24"/>
          <w:szCs w:val="24"/>
        </w:rPr>
        <w:t xml:space="preserve">(12), 1–11. </w:t>
      </w:r>
      <w:hyperlink r:id="rId150" w:tgtFrame="_blank" w:history="1">
        <w:r w:rsidRPr="00662D3F">
          <w:rPr>
            <w:rFonts w:ascii="Times New Roman" w:eastAsia="Times New Roman" w:hAnsi="Times New Roman" w:cs="Times New Roman"/>
            <w:color w:val="0000FF"/>
            <w:sz w:val="24"/>
            <w:szCs w:val="24"/>
            <w:u w:val="single"/>
          </w:rPr>
          <w:t>https://doi.org/10.4236/oalib.1102033</w:t>
        </w:r>
      </w:hyperlink>
      <w:r w:rsidRPr="00662D3F">
        <w:rPr>
          <w:rFonts w:ascii="Times New Roman" w:eastAsia="Times New Roman" w:hAnsi="Times New Roman" w:cs="Times New Roman"/>
          <w:sz w:val="24"/>
          <w:szCs w:val="24"/>
        </w:rPr>
        <w:t xml:space="preserve"> </w:t>
      </w:r>
    </w:p>
    <w:p w14:paraId="33A5B834"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Lai, W.-F., &amp; Goh, K.-L. (2025). Loan loss provisions and bank value in the United States: A moderation analysis of economic policy uncertainty. </w:t>
      </w:r>
      <w:r w:rsidRPr="00662D3F">
        <w:rPr>
          <w:rFonts w:ascii="Times New Roman" w:eastAsia="Times New Roman" w:hAnsi="Times New Roman" w:cs="Times New Roman"/>
          <w:i/>
          <w:iCs/>
          <w:sz w:val="24"/>
          <w:szCs w:val="24"/>
        </w:rPr>
        <w:t>Economics, 19</w:t>
      </w:r>
      <w:r w:rsidRPr="00662D3F">
        <w:rPr>
          <w:rFonts w:ascii="Times New Roman" w:eastAsia="Times New Roman" w:hAnsi="Times New Roman" w:cs="Times New Roman"/>
          <w:sz w:val="24"/>
          <w:szCs w:val="24"/>
        </w:rPr>
        <w:t xml:space="preserve">(1), 20250141. https://doi.org/10.1515/econ-2025-0141 </w:t>
      </w:r>
    </w:p>
    <w:p w14:paraId="779862E0"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Liang, Z., &amp; Bayraktar, E. (2014). Optimal reinsurance and investment with unobservable claim size and intensity. </w:t>
      </w:r>
      <w:r w:rsidRPr="00662D3F">
        <w:rPr>
          <w:rFonts w:ascii="Times New Roman" w:eastAsia="Times New Roman" w:hAnsi="Times New Roman" w:cs="Times New Roman"/>
          <w:i/>
          <w:iCs/>
          <w:sz w:val="24"/>
          <w:szCs w:val="24"/>
        </w:rPr>
        <w:t>Insurance: Mathematics and Economics, 55</w:t>
      </w:r>
      <w:r w:rsidRPr="00662D3F">
        <w:rPr>
          <w:rFonts w:ascii="Times New Roman" w:eastAsia="Times New Roman" w:hAnsi="Times New Roman" w:cs="Times New Roman"/>
          <w:sz w:val="24"/>
          <w:szCs w:val="24"/>
        </w:rPr>
        <w:t xml:space="preserve">, 156–166. https://doi.org/10.1016/j.insmatheco.2014.01.011 </w:t>
      </w:r>
    </w:p>
    <w:p w14:paraId="2C163039"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Liang, Z., Yuen, K. C., &amp; Cheung, K. C. (2012). Optimal reinsurance–investment problem in a constant elasticity of variance stock market for jump-diffusion risk model. </w:t>
      </w:r>
      <w:r w:rsidRPr="00662D3F">
        <w:rPr>
          <w:rFonts w:ascii="Times New Roman" w:eastAsia="Times New Roman" w:hAnsi="Times New Roman" w:cs="Times New Roman"/>
          <w:i/>
          <w:iCs/>
          <w:sz w:val="24"/>
          <w:szCs w:val="24"/>
        </w:rPr>
        <w:t>Applied Stochastic Models in Business and Industry, 28</w:t>
      </w:r>
      <w:r w:rsidRPr="00662D3F">
        <w:rPr>
          <w:rFonts w:ascii="Times New Roman" w:eastAsia="Times New Roman" w:hAnsi="Times New Roman" w:cs="Times New Roman"/>
          <w:sz w:val="24"/>
          <w:szCs w:val="24"/>
        </w:rPr>
        <w:t xml:space="preserve">(6), 585–597. https://doi.org/10.1002/asmb.934 </w:t>
      </w:r>
    </w:p>
    <w:p w14:paraId="6A44D67E"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Lin, X., &amp; Li, Y. (2011). Optimal reinsurance and investment for a jump diffusion risk process under the CEV model. </w:t>
      </w:r>
      <w:r w:rsidRPr="00662D3F">
        <w:rPr>
          <w:rFonts w:ascii="Times New Roman" w:eastAsia="Times New Roman" w:hAnsi="Times New Roman" w:cs="Times New Roman"/>
          <w:i/>
          <w:iCs/>
          <w:sz w:val="24"/>
          <w:szCs w:val="24"/>
        </w:rPr>
        <w:t>North American Actuarial Journal, 15</w:t>
      </w:r>
      <w:r w:rsidRPr="00662D3F">
        <w:rPr>
          <w:rFonts w:ascii="Times New Roman" w:eastAsia="Times New Roman" w:hAnsi="Times New Roman" w:cs="Times New Roman"/>
          <w:sz w:val="24"/>
          <w:szCs w:val="24"/>
        </w:rPr>
        <w:t xml:space="preserve">(3), 417–431. </w:t>
      </w:r>
      <w:hyperlink r:id="rId151" w:tgtFrame="_blank" w:history="1">
        <w:r w:rsidRPr="00662D3F">
          <w:rPr>
            <w:rFonts w:ascii="Times New Roman" w:eastAsia="Times New Roman" w:hAnsi="Times New Roman" w:cs="Times New Roman"/>
            <w:color w:val="0000FF"/>
            <w:sz w:val="24"/>
            <w:szCs w:val="24"/>
            <w:u w:val="single"/>
          </w:rPr>
          <w:t>https://doi.org/10.1080/10920277.2011.10597628</w:t>
        </w:r>
      </w:hyperlink>
      <w:r w:rsidRPr="00662D3F">
        <w:rPr>
          <w:rFonts w:ascii="Times New Roman" w:eastAsia="Times New Roman" w:hAnsi="Times New Roman" w:cs="Times New Roman"/>
          <w:sz w:val="24"/>
          <w:szCs w:val="24"/>
        </w:rPr>
        <w:t xml:space="preserve"> </w:t>
      </w:r>
    </w:p>
    <w:p w14:paraId="1A658BF5"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662D3F">
        <w:rPr>
          <w:rFonts w:ascii="Times New Roman" w:eastAsia="Times New Roman" w:hAnsi="Times New Roman" w:cs="Times New Roman"/>
          <w:sz w:val="24"/>
          <w:szCs w:val="24"/>
        </w:rPr>
        <w:t>Markoulis</w:t>
      </w:r>
      <w:proofErr w:type="spellEnd"/>
      <w:r w:rsidRPr="00662D3F">
        <w:rPr>
          <w:rFonts w:ascii="Times New Roman" w:eastAsia="Times New Roman" w:hAnsi="Times New Roman" w:cs="Times New Roman"/>
          <w:sz w:val="24"/>
          <w:szCs w:val="24"/>
        </w:rPr>
        <w:t xml:space="preserve">, S., </w:t>
      </w:r>
      <w:proofErr w:type="spellStart"/>
      <w:r w:rsidRPr="00662D3F">
        <w:rPr>
          <w:rFonts w:ascii="Times New Roman" w:eastAsia="Times New Roman" w:hAnsi="Times New Roman" w:cs="Times New Roman"/>
          <w:sz w:val="24"/>
          <w:szCs w:val="24"/>
        </w:rPr>
        <w:t>Martzoukos</w:t>
      </w:r>
      <w:proofErr w:type="spellEnd"/>
      <w:r w:rsidRPr="00662D3F">
        <w:rPr>
          <w:rFonts w:ascii="Times New Roman" w:eastAsia="Times New Roman" w:hAnsi="Times New Roman" w:cs="Times New Roman"/>
          <w:sz w:val="24"/>
          <w:szCs w:val="24"/>
        </w:rPr>
        <w:t xml:space="preserve">, S., Savvas, S., &amp; Zagkreos, V. (2025). A comprehensive analysis of the decline in the market-to-book ratio of European banks. </w:t>
      </w:r>
      <w:r w:rsidRPr="00662D3F">
        <w:rPr>
          <w:rFonts w:ascii="Times New Roman" w:eastAsia="Times New Roman" w:hAnsi="Times New Roman" w:cs="Times New Roman"/>
          <w:i/>
          <w:iCs/>
          <w:sz w:val="24"/>
          <w:szCs w:val="24"/>
        </w:rPr>
        <w:t>International Review of Economics &amp; Finance, 100</w:t>
      </w:r>
      <w:r w:rsidRPr="00662D3F">
        <w:rPr>
          <w:rFonts w:ascii="Times New Roman" w:eastAsia="Times New Roman" w:hAnsi="Times New Roman" w:cs="Times New Roman"/>
          <w:sz w:val="24"/>
          <w:szCs w:val="24"/>
        </w:rPr>
        <w:t xml:space="preserve">, 104107. https://doi.org/10.1016/j.iref.2025.104107 </w:t>
      </w:r>
    </w:p>
    <w:p w14:paraId="44B6E7AE"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662D3F">
        <w:rPr>
          <w:rFonts w:ascii="Times New Roman" w:eastAsia="Times New Roman" w:hAnsi="Times New Roman" w:cs="Times New Roman"/>
          <w:sz w:val="24"/>
          <w:szCs w:val="24"/>
        </w:rPr>
        <w:t>Obeten</w:t>
      </w:r>
      <w:proofErr w:type="spellEnd"/>
      <w:r w:rsidRPr="00662D3F">
        <w:rPr>
          <w:rFonts w:ascii="Times New Roman" w:eastAsia="Times New Roman" w:hAnsi="Times New Roman" w:cs="Times New Roman"/>
          <w:sz w:val="24"/>
          <w:szCs w:val="24"/>
        </w:rPr>
        <w:t xml:space="preserve">, B. O., </w:t>
      </w:r>
      <w:proofErr w:type="spellStart"/>
      <w:r w:rsidRPr="00662D3F">
        <w:rPr>
          <w:rFonts w:ascii="Times New Roman" w:eastAsia="Times New Roman" w:hAnsi="Times New Roman" w:cs="Times New Roman"/>
          <w:sz w:val="24"/>
          <w:szCs w:val="24"/>
        </w:rPr>
        <w:t>Chims</w:t>
      </w:r>
      <w:proofErr w:type="spellEnd"/>
      <w:r w:rsidRPr="00662D3F">
        <w:rPr>
          <w:rFonts w:ascii="Times New Roman" w:eastAsia="Times New Roman" w:hAnsi="Times New Roman" w:cs="Times New Roman"/>
          <w:sz w:val="24"/>
          <w:szCs w:val="24"/>
        </w:rPr>
        <w:t xml:space="preserve">, B. E., </w:t>
      </w:r>
      <w:proofErr w:type="spellStart"/>
      <w:r w:rsidRPr="00662D3F">
        <w:rPr>
          <w:rFonts w:ascii="Times New Roman" w:eastAsia="Times New Roman" w:hAnsi="Times New Roman" w:cs="Times New Roman"/>
          <w:sz w:val="24"/>
          <w:szCs w:val="24"/>
        </w:rPr>
        <w:t>Nwaigwe</w:t>
      </w:r>
      <w:proofErr w:type="spellEnd"/>
      <w:r w:rsidRPr="00662D3F">
        <w:rPr>
          <w:rFonts w:ascii="Times New Roman" w:eastAsia="Times New Roman" w:hAnsi="Times New Roman" w:cs="Times New Roman"/>
          <w:sz w:val="24"/>
          <w:szCs w:val="24"/>
        </w:rPr>
        <w:t xml:space="preserve">, E., Amadi, I. U., &amp; Davies, I. (2025). Stochastic pricing of European options using the Black-Scholes model on the analysis of share prices for capital markets. </w:t>
      </w:r>
      <w:r w:rsidRPr="00662D3F">
        <w:rPr>
          <w:rFonts w:ascii="Times New Roman" w:eastAsia="Times New Roman" w:hAnsi="Times New Roman" w:cs="Times New Roman"/>
          <w:i/>
          <w:iCs/>
          <w:sz w:val="24"/>
          <w:szCs w:val="24"/>
        </w:rPr>
        <w:t>Asian Journal of Economics, Finance and Management, 7</w:t>
      </w:r>
      <w:r w:rsidRPr="00662D3F">
        <w:rPr>
          <w:rFonts w:ascii="Times New Roman" w:eastAsia="Times New Roman" w:hAnsi="Times New Roman" w:cs="Times New Roman"/>
          <w:sz w:val="24"/>
          <w:szCs w:val="24"/>
        </w:rPr>
        <w:t xml:space="preserve">(1), 397–406. https://doi.org/10.56557/ajefm/2025/v7i1283 </w:t>
      </w:r>
    </w:p>
    <w:p w14:paraId="37E2E876"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lastRenderedPageBreak/>
        <w:t xml:space="preserve">O’Donnell, N., Shannon, D., &amp; Sheehan, B. (2024). The impact of monetary policy interventions on banking sector stocks: An empirical investigation of the COVID-19 crisis. </w:t>
      </w:r>
      <w:r w:rsidRPr="00662D3F">
        <w:rPr>
          <w:rFonts w:ascii="Times New Roman" w:eastAsia="Times New Roman" w:hAnsi="Times New Roman" w:cs="Times New Roman"/>
          <w:i/>
          <w:iCs/>
          <w:sz w:val="24"/>
          <w:szCs w:val="24"/>
        </w:rPr>
        <w:t>Financial Innovation, 10</w:t>
      </w:r>
      <w:r w:rsidRPr="00662D3F">
        <w:rPr>
          <w:rFonts w:ascii="Times New Roman" w:eastAsia="Times New Roman" w:hAnsi="Times New Roman" w:cs="Times New Roman"/>
          <w:sz w:val="24"/>
          <w:szCs w:val="24"/>
        </w:rPr>
        <w:t xml:space="preserve">, Article 44. </w:t>
      </w:r>
      <w:hyperlink r:id="rId152" w:tgtFrame="_blank" w:history="1">
        <w:r w:rsidRPr="00662D3F">
          <w:rPr>
            <w:rFonts w:ascii="Times New Roman" w:eastAsia="Times New Roman" w:hAnsi="Times New Roman" w:cs="Times New Roman"/>
            <w:color w:val="0000FF"/>
            <w:sz w:val="24"/>
            <w:szCs w:val="24"/>
            <w:u w:val="single"/>
          </w:rPr>
          <w:t>https://doi.org/10.1186/s40854-023-00575-2</w:t>
        </w:r>
      </w:hyperlink>
      <w:r w:rsidRPr="00662D3F">
        <w:rPr>
          <w:rFonts w:ascii="Times New Roman" w:eastAsia="Times New Roman" w:hAnsi="Times New Roman" w:cs="Times New Roman"/>
          <w:sz w:val="24"/>
          <w:szCs w:val="24"/>
        </w:rPr>
        <w:t xml:space="preserve"> </w:t>
      </w:r>
    </w:p>
    <w:p w14:paraId="16FCC013"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662D3F">
        <w:rPr>
          <w:rFonts w:ascii="Times New Roman" w:eastAsia="Times New Roman" w:hAnsi="Times New Roman" w:cs="Times New Roman"/>
          <w:sz w:val="24"/>
          <w:szCs w:val="24"/>
        </w:rPr>
        <w:t>Ofomata</w:t>
      </w:r>
      <w:proofErr w:type="spellEnd"/>
      <w:r w:rsidRPr="00662D3F">
        <w:rPr>
          <w:rFonts w:ascii="Times New Roman" w:eastAsia="Times New Roman" w:hAnsi="Times New Roman" w:cs="Times New Roman"/>
          <w:sz w:val="24"/>
          <w:szCs w:val="24"/>
        </w:rPr>
        <w:t xml:space="preserve">, A. I. O., </w:t>
      </w:r>
      <w:proofErr w:type="spellStart"/>
      <w:r w:rsidRPr="00662D3F">
        <w:rPr>
          <w:rFonts w:ascii="Times New Roman" w:eastAsia="Times New Roman" w:hAnsi="Times New Roman" w:cs="Times New Roman"/>
          <w:sz w:val="24"/>
          <w:szCs w:val="24"/>
        </w:rPr>
        <w:t>Inyama</w:t>
      </w:r>
      <w:proofErr w:type="spellEnd"/>
      <w:r w:rsidRPr="00662D3F">
        <w:rPr>
          <w:rFonts w:ascii="Times New Roman" w:eastAsia="Times New Roman" w:hAnsi="Times New Roman" w:cs="Times New Roman"/>
          <w:sz w:val="24"/>
          <w:szCs w:val="24"/>
        </w:rPr>
        <w:t xml:space="preserve">, S. C., Umana, R. A., &amp; </w:t>
      </w:r>
      <w:proofErr w:type="spellStart"/>
      <w:r w:rsidRPr="00662D3F">
        <w:rPr>
          <w:rFonts w:ascii="Times New Roman" w:eastAsia="Times New Roman" w:hAnsi="Times New Roman" w:cs="Times New Roman"/>
          <w:sz w:val="24"/>
          <w:szCs w:val="24"/>
        </w:rPr>
        <w:t>Omame</w:t>
      </w:r>
      <w:proofErr w:type="spellEnd"/>
      <w:r w:rsidRPr="00662D3F">
        <w:rPr>
          <w:rFonts w:ascii="Times New Roman" w:eastAsia="Times New Roman" w:hAnsi="Times New Roman" w:cs="Times New Roman"/>
          <w:sz w:val="24"/>
          <w:szCs w:val="24"/>
        </w:rPr>
        <w:t xml:space="preserve">, A. (2017). A stochastic model of the dynamics of stock price for forecasting. </w:t>
      </w:r>
      <w:r w:rsidRPr="00662D3F">
        <w:rPr>
          <w:rFonts w:ascii="Times New Roman" w:eastAsia="Times New Roman" w:hAnsi="Times New Roman" w:cs="Times New Roman"/>
          <w:i/>
          <w:iCs/>
          <w:sz w:val="24"/>
          <w:szCs w:val="24"/>
        </w:rPr>
        <w:t>Journal of Advances in Mathematics and Computer Science, 25</w:t>
      </w:r>
      <w:r w:rsidRPr="00662D3F">
        <w:rPr>
          <w:rFonts w:ascii="Times New Roman" w:eastAsia="Times New Roman" w:hAnsi="Times New Roman" w:cs="Times New Roman"/>
          <w:sz w:val="24"/>
          <w:szCs w:val="24"/>
        </w:rPr>
        <w:t xml:space="preserve">(6), 1–24. https://doi.org/10.9734/JAMCS/2017/38014 </w:t>
      </w:r>
    </w:p>
    <w:p w14:paraId="27653843" w14:textId="41E7C931"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662D3F">
        <w:rPr>
          <w:rFonts w:ascii="Times New Roman" w:eastAsia="Times New Roman" w:hAnsi="Times New Roman" w:cs="Times New Roman"/>
          <w:sz w:val="24"/>
          <w:szCs w:val="24"/>
        </w:rPr>
        <w:t>Obalade</w:t>
      </w:r>
      <w:proofErr w:type="spellEnd"/>
      <w:r w:rsidRPr="00662D3F">
        <w:rPr>
          <w:rFonts w:ascii="Times New Roman" w:eastAsia="Times New Roman" w:hAnsi="Times New Roman" w:cs="Times New Roman"/>
          <w:sz w:val="24"/>
          <w:szCs w:val="24"/>
        </w:rPr>
        <w:t xml:space="preserve">, A. A., Lawrence, B., &amp; Akande, J. O. (2021). Political risk and banking sector performance in Nigeria. </w:t>
      </w:r>
      <w:r w:rsidRPr="00662D3F">
        <w:rPr>
          <w:rFonts w:ascii="Times New Roman" w:eastAsia="Times New Roman" w:hAnsi="Times New Roman" w:cs="Times New Roman"/>
          <w:i/>
          <w:iCs/>
          <w:sz w:val="24"/>
          <w:szCs w:val="24"/>
        </w:rPr>
        <w:t>Banks and Bank Systems, 16</w:t>
      </w:r>
      <w:r w:rsidRPr="00662D3F">
        <w:rPr>
          <w:rFonts w:ascii="Times New Roman" w:eastAsia="Times New Roman" w:hAnsi="Times New Roman" w:cs="Times New Roman"/>
          <w:sz w:val="24"/>
          <w:szCs w:val="24"/>
        </w:rPr>
        <w:t>(3), 1–12. https://doi.org/10.21511/bbs.16(3).2021.01</w:t>
      </w:r>
    </w:p>
    <w:p w14:paraId="712C2A32"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Osu, B. O., &amp; Amadi, I. U. (2022). A stochastic analysis of stock market price fluctuations for capital market. </w:t>
      </w:r>
      <w:r w:rsidRPr="00662D3F">
        <w:rPr>
          <w:rFonts w:ascii="Times New Roman" w:eastAsia="Times New Roman" w:hAnsi="Times New Roman" w:cs="Times New Roman"/>
          <w:i/>
          <w:iCs/>
          <w:sz w:val="24"/>
          <w:szCs w:val="24"/>
        </w:rPr>
        <w:t>Journal of Applied Mathematics and Computation, 6</w:t>
      </w:r>
      <w:r w:rsidRPr="00662D3F">
        <w:rPr>
          <w:rFonts w:ascii="Times New Roman" w:eastAsia="Times New Roman" w:hAnsi="Times New Roman" w:cs="Times New Roman"/>
          <w:sz w:val="24"/>
          <w:szCs w:val="24"/>
        </w:rPr>
        <w:t xml:space="preserve">(1), 85–95. https://doi.org/10.26855/jamc.2022.03.011 </w:t>
      </w:r>
    </w:p>
    <w:p w14:paraId="465BA16C" w14:textId="741E3271"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Osu, B. O., &amp; Okoroafor, A. C. (2007). On the measurement of random </w:t>
      </w:r>
      <w:proofErr w:type="spellStart"/>
      <w:r w:rsidRPr="00662D3F">
        <w:rPr>
          <w:rFonts w:ascii="Times New Roman" w:eastAsia="Times New Roman" w:hAnsi="Times New Roman" w:cs="Times New Roman"/>
          <w:sz w:val="24"/>
          <w:szCs w:val="24"/>
        </w:rPr>
        <w:t>behaviour</w:t>
      </w:r>
      <w:proofErr w:type="spellEnd"/>
      <w:r w:rsidRPr="00662D3F">
        <w:rPr>
          <w:rFonts w:ascii="Times New Roman" w:eastAsia="Times New Roman" w:hAnsi="Times New Roman" w:cs="Times New Roman"/>
          <w:sz w:val="24"/>
          <w:szCs w:val="24"/>
        </w:rPr>
        <w:t xml:space="preserve"> of stock price changes. </w:t>
      </w:r>
      <w:r w:rsidRPr="00662D3F">
        <w:rPr>
          <w:rFonts w:ascii="Times New Roman" w:eastAsia="Times New Roman" w:hAnsi="Times New Roman" w:cs="Times New Roman"/>
          <w:i/>
          <w:iCs/>
          <w:sz w:val="24"/>
          <w:szCs w:val="24"/>
        </w:rPr>
        <w:t xml:space="preserve">Journal of Mathematical Sciences, </w:t>
      </w:r>
      <w:proofErr w:type="spellStart"/>
      <w:r w:rsidRPr="00662D3F">
        <w:rPr>
          <w:rFonts w:ascii="Times New Roman" w:eastAsia="Times New Roman" w:hAnsi="Times New Roman" w:cs="Times New Roman"/>
          <w:i/>
          <w:iCs/>
          <w:sz w:val="24"/>
          <w:szCs w:val="24"/>
        </w:rPr>
        <w:t>Dattapukur</w:t>
      </w:r>
      <w:proofErr w:type="spellEnd"/>
      <w:r w:rsidRPr="00662D3F">
        <w:rPr>
          <w:rFonts w:ascii="Times New Roman" w:eastAsia="Times New Roman" w:hAnsi="Times New Roman" w:cs="Times New Roman"/>
          <w:i/>
          <w:iCs/>
          <w:sz w:val="24"/>
          <w:szCs w:val="24"/>
        </w:rPr>
        <w:t>, 18</w:t>
      </w:r>
      <w:r w:rsidRPr="00662D3F">
        <w:rPr>
          <w:rFonts w:ascii="Times New Roman" w:eastAsia="Times New Roman" w:hAnsi="Times New Roman" w:cs="Times New Roman"/>
          <w:sz w:val="24"/>
          <w:szCs w:val="24"/>
        </w:rPr>
        <w:t xml:space="preserve">(2), 131–141. </w:t>
      </w:r>
    </w:p>
    <w:p w14:paraId="444C7D62"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Osu, B. O., Okoroafor, A. C., &amp; </w:t>
      </w:r>
      <w:proofErr w:type="spellStart"/>
      <w:r w:rsidRPr="00662D3F">
        <w:rPr>
          <w:rFonts w:ascii="Times New Roman" w:eastAsia="Times New Roman" w:hAnsi="Times New Roman" w:cs="Times New Roman"/>
          <w:sz w:val="24"/>
          <w:szCs w:val="24"/>
        </w:rPr>
        <w:t>Olunkwa</w:t>
      </w:r>
      <w:proofErr w:type="spellEnd"/>
      <w:r w:rsidRPr="00662D3F">
        <w:rPr>
          <w:rFonts w:ascii="Times New Roman" w:eastAsia="Times New Roman" w:hAnsi="Times New Roman" w:cs="Times New Roman"/>
          <w:sz w:val="24"/>
          <w:szCs w:val="24"/>
        </w:rPr>
        <w:t xml:space="preserve">, C. (2009). Stability analysis of stochastic model of stock market price. </w:t>
      </w:r>
      <w:r w:rsidRPr="00662D3F">
        <w:rPr>
          <w:rFonts w:ascii="Times New Roman" w:eastAsia="Times New Roman" w:hAnsi="Times New Roman" w:cs="Times New Roman"/>
          <w:i/>
          <w:iCs/>
          <w:sz w:val="24"/>
          <w:szCs w:val="24"/>
        </w:rPr>
        <w:t>African Journal of Mathematics and Computer Science Research, 2</w:t>
      </w:r>
      <w:r w:rsidRPr="00662D3F">
        <w:rPr>
          <w:rFonts w:ascii="Times New Roman" w:eastAsia="Times New Roman" w:hAnsi="Times New Roman" w:cs="Times New Roman"/>
          <w:sz w:val="24"/>
          <w:szCs w:val="24"/>
        </w:rPr>
        <w:t xml:space="preserve">(6), 98–103. https://doi.org/10.5897/AJMCSR.9000120 </w:t>
      </w:r>
    </w:p>
    <w:p w14:paraId="4572E793"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Osu, B. O. (2010). A stochastic model of the variation of the capital market price. </w:t>
      </w:r>
      <w:r w:rsidRPr="00662D3F">
        <w:rPr>
          <w:rFonts w:ascii="Times New Roman" w:eastAsia="Times New Roman" w:hAnsi="Times New Roman" w:cs="Times New Roman"/>
          <w:i/>
          <w:iCs/>
          <w:sz w:val="24"/>
          <w:szCs w:val="24"/>
        </w:rPr>
        <w:t>International Journal of Trade, Economics and Finance, 1</w:t>
      </w:r>
      <w:r w:rsidRPr="00662D3F">
        <w:rPr>
          <w:rFonts w:ascii="Times New Roman" w:eastAsia="Times New Roman" w:hAnsi="Times New Roman" w:cs="Times New Roman"/>
          <w:sz w:val="24"/>
          <w:szCs w:val="24"/>
        </w:rPr>
        <w:t xml:space="preserve">(3), 297–302. https://doi.org/10.7763/IJTEF.2010.V1.53 </w:t>
      </w:r>
    </w:p>
    <w:p w14:paraId="642ADD79"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rPr>
        <w:t xml:space="preserve">Sengupta, J. (2025). Volatility and risk analysis of sectoral NIFTY index: An empirical analysis of geometric Brownian motion and Monte Carlo simulation. </w:t>
      </w:r>
      <w:r w:rsidRPr="00662D3F">
        <w:rPr>
          <w:rFonts w:ascii="Times New Roman" w:eastAsia="Times New Roman" w:hAnsi="Times New Roman" w:cs="Times New Roman"/>
          <w:i/>
          <w:iCs/>
          <w:sz w:val="24"/>
          <w:szCs w:val="24"/>
        </w:rPr>
        <w:t>Asian Journal of Probability and Statistics, 27</w:t>
      </w:r>
      <w:r w:rsidRPr="00662D3F">
        <w:rPr>
          <w:rFonts w:ascii="Times New Roman" w:eastAsia="Times New Roman" w:hAnsi="Times New Roman" w:cs="Times New Roman"/>
          <w:sz w:val="24"/>
          <w:szCs w:val="24"/>
        </w:rPr>
        <w:t xml:space="preserve">(10), 134–153. </w:t>
      </w:r>
      <w:hyperlink r:id="rId153" w:tgtFrame="_blank" w:history="1">
        <w:r w:rsidRPr="00662D3F">
          <w:rPr>
            <w:rFonts w:ascii="Times New Roman" w:eastAsia="Times New Roman" w:hAnsi="Times New Roman" w:cs="Times New Roman"/>
            <w:color w:val="0000FF"/>
            <w:sz w:val="24"/>
            <w:szCs w:val="24"/>
            <w:u w:val="single"/>
          </w:rPr>
          <w:t>https://doi.org/10.9734/ajpas/2025/v27i10819</w:t>
        </w:r>
      </w:hyperlink>
      <w:r w:rsidRPr="00662D3F">
        <w:rPr>
          <w:rFonts w:ascii="Times New Roman" w:eastAsia="Times New Roman" w:hAnsi="Times New Roman" w:cs="Times New Roman"/>
          <w:sz w:val="24"/>
          <w:szCs w:val="24"/>
        </w:rPr>
        <w:t xml:space="preserve"> </w:t>
      </w:r>
    </w:p>
    <w:p w14:paraId="5B7F5A73"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lang w:val="nl-BE"/>
        </w:rPr>
        <w:t xml:space="preserve">Ugbebor, O. O., Onah, E. S., &amp; Ojowu, O. (2001). </w:t>
      </w:r>
      <w:r w:rsidRPr="00662D3F">
        <w:rPr>
          <w:rFonts w:ascii="Times New Roman" w:eastAsia="Times New Roman" w:hAnsi="Times New Roman" w:cs="Times New Roman"/>
          <w:sz w:val="24"/>
          <w:szCs w:val="24"/>
        </w:rPr>
        <w:t xml:space="preserve">An empirical stochastic model of stock price changes. </w:t>
      </w:r>
      <w:r w:rsidRPr="00662D3F">
        <w:rPr>
          <w:rFonts w:ascii="Times New Roman" w:eastAsia="Times New Roman" w:hAnsi="Times New Roman" w:cs="Times New Roman"/>
          <w:i/>
          <w:iCs/>
          <w:sz w:val="24"/>
          <w:szCs w:val="24"/>
        </w:rPr>
        <w:t>Journal of the Nigerian Mathematical Society, 20</w:t>
      </w:r>
      <w:r w:rsidRPr="00662D3F">
        <w:rPr>
          <w:rFonts w:ascii="Times New Roman" w:eastAsia="Times New Roman" w:hAnsi="Times New Roman" w:cs="Times New Roman"/>
          <w:sz w:val="24"/>
          <w:szCs w:val="24"/>
        </w:rPr>
        <w:t xml:space="preserve">, 95–101. </w:t>
      </w:r>
      <w:hyperlink r:id="rId154" w:tgtFrame="_blank" w:history="1">
        <w:r w:rsidRPr="00662D3F">
          <w:rPr>
            <w:rFonts w:ascii="Times New Roman" w:eastAsia="Times New Roman" w:hAnsi="Times New Roman" w:cs="Times New Roman"/>
            <w:color w:val="0000FF"/>
            <w:sz w:val="24"/>
            <w:szCs w:val="24"/>
            <w:u w:val="single"/>
          </w:rPr>
          <w:t>https://sci.ui.edu.ng/OOUgbebor_publications</w:t>
        </w:r>
      </w:hyperlink>
      <w:r w:rsidRPr="00662D3F">
        <w:rPr>
          <w:rFonts w:ascii="Times New Roman" w:eastAsia="Times New Roman" w:hAnsi="Times New Roman" w:cs="Times New Roman"/>
          <w:sz w:val="24"/>
          <w:szCs w:val="24"/>
        </w:rPr>
        <w:t xml:space="preserve"> </w:t>
      </w:r>
    </w:p>
    <w:p w14:paraId="3FBDD268"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662D3F">
        <w:rPr>
          <w:rFonts w:ascii="Times New Roman" w:eastAsia="Times New Roman" w:hAnsi="Times New Roman" w:cs="Times New Roman"/>
          <w:sz w:val="24"/>
          <w:szCs w:val="24"/>
        </w:rPr>
        <w:t>Wokoma</w:t>
      </w:r>
      <w:proofErr w:type="spellEnd"/>
      <w:r w:rsidRPr="00662D3F">
        <w:rPr>
          <w:rFonts w:ascii="Times New Roman" w:eastAsia="Times New Roman" w:hAnsi="Times New Roman" w:cs="Times New Roman"/>
          <w:sz w:val="24"/>
          <w:szCs w:val="24"/>
        </w:rPr>
        <w:t xml:space="preserve">, D. S. A. (Bishop), Amadi, I. U., &amp; </w:t>
      </w:r>
      <w:proofErr w:type="spellStart"/>
      <w:r w:rsidRPr="00662D3F">
        <w:rPr>
          <w:rFonts w:ascii="Times New Roman" w:eastAsia="Times New Roman" w:hAnsi="Times New Roman" w:cs="Times New Roman"/>
          <w:sz w:val="24"/>
          <w:szCs w:val="24"/>
        </w:rPr>
        <w:t>Aboko</w:t>
      </w:r>
      <w:proofErr w:type="spellEnd"/>
      <w:r w:rsidRPr="00662D3F">
        <w:rPr>
          <w:rFonts w:ascii="Times New Roman" w:eastAsia="Times New Roman" w:hAnsi="Times New Roman" w:cs="Times New Roman"/>
          <w:sz w:val="24"/>
          <w:szCs w:val="24"/>
        </w:rPr>
        <w:t xml:space="preserve">, I. S. (2022). A stochastic model for stock market price variation. </w:t>
      </w:r>
      <w:r w:rsidRPr="00662D3F">
        <w:rPr>
          <w:rFonts w:ascii="Times New Roman" w:eastAsia="Times New Roman" w:hAnsi="Times New Roman" w:cs="Times New Roman"/>
          <w:i/>
          <w:iCs/>
          <w:sz w:val="24"/>
          <w:szCs w:val="24"/>
        </w:rPr>
        <w:t>Asian Research Journal of Mathematics, 18</w:t>
      </w:r>
      <w:r w:rsidRPr="00662D3F">
        <w:rPr>
          <w:rFonts w:ascii="Times New Roman" w:eastAsia="Times New Roman" w:hAnsi="Times New Roman" w:cs="Times New Roman"/>
          <w:sz w:val="24"/>
          <w:szCs w:val="24"/>
        </w:rPr>
        <w:t xml:space="preserve">(4), 41–49. https://doi.org/10.9734/arjom/2022/v18i430372 </w:t>
      </w:r>
    </w:p>
    <w:p w14:paraId="703DB772" w14:textId="77777777" w:rsidR="00662D3F" w:rsidRPr="00662D3F" w:rsidRDefault="00662D3F" w:rsidP="00662D3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662D3F">
        <w:rPr>
          <w:rFonts w:ascii="Times New Roman" w:eastAsia="Times New Roman" w:hAnsi="Times New Roman" w:cs="Times New Roman"/>
          <w:sz w:val="24"/>
          <w:szCs w:val="24"/>
          <w:lang w:val="nl-BE"/>
        </w:rPr>
        <w:t xml:space="preserve">Zhao, H., Rong, X., &amp; Zhao, Y. (2013). </w:t>
      </w:r>
      <w:r w:rsidRPr="00662D3F">
        <w:rPr>
          <w:rFonts w:ascii="Times New Roman" w:eastAsia="Times New Roman" w:hAnsi="Times New Roman" w:cs="Times New Roman"/>
          <w:sz w:val="24"/>
          <w:szCs w:val="24"/>
        </w:rPr>
        <w:t xml:space="preserve">Optimal excess-of-loss reinsurance and investment problem for an insurer with jump-diffusion risk process under the Heston model. </w:t>
      </w:r>
      <w:r w:rsidRPr="00662D3F">
        <w:rPr>
          <w:rFonts w:ascii="Times New Roman" w:eastAsia="Times New Roman" w:hAnsi="Times New Roman" w:cs="Times New Roman"/>
          <w:i/>
          <w:iCs/>
          <w:sz w:val="24"/>
          <w:szCs w:val="24"/>
        </w:rPr>
        <w:t>Insurance: Mathematics and Economics, 53</w:t>
      </w:r>
      <w:r w:rsidRPr="00662D3F">
        <w:rPr>
          <w:rFonts w:ascii="Times New Roman" w:eastAsia="Times New Roman" w:hAnsi="Times New Roman" w:cs="Times New Roman"/>
          <w:sz w:val="24"/>
          <w:szCs w:val="24"/>
        </w:rPr>
        <w:t>(3), 504–514. https://doi.org/10.1016/j.insmatheco.2013.08.004</w:t>
      </w:r>
    </w:p>
    <w:p w14:paraId="6D3218CE" w14:textId="77777777" w:rsidR="006D5F46" w:rsidRPr="00966F9E" w:rsidRDefault="006D5F46" w:rsidP="00FE6880">
      <w:pPr>
        <w:jc w:val="center"/>
        <w:rPr>
          <w:rFonts w:ascii="Times New Roman" w:hAnsi="Times New Roman" w:cs="Times New Roman"/>
          <w:sz w:val="24"/>
          <w:szCs w:val="24"/>
        </w:rPr>
      </w:pPr>
    </w:p>
    <w:sectPr w:rsidR="006D5F46" w:rsidRPr="00966F9E">
      <w:headerReference w:type="even" r:id="rId155"/>
      <w:headerReference w:type="default" r:id="rId156"/>
      <w:footerReference w:type="even" r:id="rId157"/>
      <w:footerReference w:type="default" r:id="rId158"/>
      <w:headerReference w:type="first" r:id="rId159"/>
      <w:footerReference w:type="first" r:id="rId1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2FAAA" w14:textId="77777777" w:rsidR="001036C5" w:rsidRDefault="001036C5" w:rsidP="006127D3">
      <w:pPr>
        <w:spacing w:after="0" w:line="240" w:lineRule="auto"/>
      </w:pPr>
      <w:r>
        <w:separator/>
      </w:r>
    </w:p>
  </w:endnote>
  <w:endnote w:type="continuationSeparator" w:id="0">
    <w:p w14:paraId="442FC47C" w14:textId="77777777" w:rsidR="001036C5" w:rsidRDefault="001036C5" w:rsidP="0061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8BBC1" w14:textId="77777777" w:rsidR="006127D3" w:rsidRDefault="006127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D6EC" w14:textId="77777777" w:rsidR="006127D3" w:rsidRDefault="006127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2C4C3" w14:textId="77777777" w:rsidR="006127D3" w:rsidRDefault="00612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ABA28" w14:textId="77777777" w:rsidR="001036C5" w:rsidRDefault="001036C5" w:rsidP="006127D3">
      <w:pPr>
        <w:spacing w:after="0" w:line="240" w:lineRule="auto"/>
      </w:pPr>
      <w:r>
        <w:separator/>
      </w:r>
    </w:p>
  </w:footnote>
  <w:footnote w:type="continuationSeparator" w:id="0">
    <w:p w14:paraId="700C1B28" w14:textId="77777777" w:rsidR="001036C5" w:rsidRDefault="001036C5" w:rsidP="00612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45E2" w14:textId="77777777" w:rsidR="006127D3" w:rsidRDefault="00000000">
    <w:pPr>
      <w:pStyle w:val="Header"/>
    </w:pPr>
    <w:r>
      <w:rPr>
        <w:noProof/>
      </w:rPr>
      <w:pict w14:anchorId="378602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156831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8FCE5" w14:textId="77777777" w:rsidR="006127D3" w:rsidRDefault="00000000">
    <w:pPr>
      <w:pStyle w:val="Header"/>
    </w:pPr>
    <w:r>
      <w:rPr>
        <w:noProof/>
      </w:rPr>
      <w:pict w14:anchorId="1D7E38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156831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AC7F" w14:textId="77777777" w:rsidR="006127D3" w:rsidRDefault="00000000">
    <w:pPr>
      <w:pStyle w:val="Header"/>
    </w:pPr>
    <w:r>
      <w:rPr>
        <w:noProof/>
      </w:rPr>
      <w:pict w14:anchorId="6421F0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156831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720"/>
    <w:multiLevelType w:val="hybridMultilevel"/>
    <w:tmpl w:val="08BA0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F72A05"/>
    <w:multiLevelType w:val="hybridMultilevel"/>
    <w:tmpl w:val="2CE0E7D4"/>
    <w:lvl w:ilvl="0" w:tplc="B65A0B7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0864288"/>
    <w:multiLevelType w:val="multilevel"/>
    <w:tmpl w:val="441C734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D95EC7"/>
    <w:multiLevelType w:val="multilevel"/>
    <w:tmpl w:val="A6BE68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8A1425"/>
    <w:multiLevelType w:val="multilevel"/>
    <w:tmpl w:val="0588955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C412E4"/>
    <w:multiLevelType w:val="multilevel"/>
    <w:tmpl w:val="E842CB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F86328"/>
    <w:multiLevelType w:val="multilevel"/>
    <w:tmpl w:val="727A3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38209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0552856">
    <w:abstractNumId w:val="6"/>
  </w:num>
  <w:num w:numId="3" w16cid:durableId="184635051">
    <w:abstractNumId w:val="5"/>
  </w:num>
  <w:num w:numId="4" w16cid:durableId="824586494">
    <w:abstractNumId w:val="3"/>
  </w:num>
  <w:num w:numId="5" w16cid:durableId="1893806307">
    <w:abstractNumId w:val="4"/>
  </w:num>
  <w:num w:numId="6" w16cid:durableId="1235050639">
    <w:abstractNumId w:val="2"/>
  </w:num>
  <w:num w:numId="7" w16cid:durableId="683939934">
    <w:abstractNumId w:val="1"/>
  </w:num>
  <w:num w:numId="8" w16cid:durableId="2073578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wsbAwMDAxMDU1MDRX0lEKTi0uzszPAykwrAUAycQQgywAAAA="/>
  </w:docVars>
  <w:rsids>
    <w:rsidRoot w:val="00FE6880"/>
    <w:rsid w:val="00031E81"/>
    <w:rsid w:val="00032A6A"/>
    <w:rsid w:val="000D1532"/>
    <w:rsid w:val="000F25F5"/>
    <w:rsid w:val="00101809"/>
    <w:rsid w:val="001036C5"/>
    <w:rsid w:val="001137E9"/>
    <w:rsid w:val="00115AD9"/>
    <w:rsid w:val="00186E09"/>
    <w:rsid w:val="001B610C"/>
    <w:rsid w:val="00220DF6"/>
    <w:rsid w:val="002420DA"/>
    <w:rsid w:val="00261C76"/>
    <w:rsid w:val="00265979"/>
    <w:rsid w:val="00280B7F"/>
    <w:rsid w:val="0028150D"/>
    <w:rsid w:val="002B5A0F"/>
    <w:rsid w:val="004276DC"/>
    <w:rsid w:val="00427E5D"/>
    <w:rsid w:val="0043474A"/>
    <w:rsid w:val="00441052"/>
    <w:rsid w:val="004B774F"/>
    <w:rsid w:val="004D64B0"/>
    <w:rsid w:val="0050596A"/>
    <w:rsid w:val="00520ABF"/>
    <w:rsid w:val="00520D96"/>
    <w:rsid w:val="005227F2"/>
    <w:rsid w:val="00572BAA"/>
    <w:rsid w:val="00581590"/>
    <w:rsid w:val="0058748F"/>
    <w:rsid w:val="005C0875"/>
    <w:rsid w:val="005D0BE0"/>
    <w:rsid w:val="005F1171"/>
    <w:rsid w:val="006127D3"/>
    <w:rsid w:val="00662D3F"/>
    <w:rsid w:val="00695FD8"/>
    <w:rsid w:val="006D444E"/>
    <w:rsid w:val="006D5F46"/>
    <w:rsid w:val="0072392B"/>
    <w:rsid w:val="00756AA9"/>
    <w:rsid w:val="00756FED"/>
    <w:rsid w:val="00776C38"/>
    <w:rsid w:val="00797B79"/>
    <w:rsid w:val="007A3D5F"/>
    <w:rsid w:val="007B2A45"/>
    <w:rsid w:val="007B562C"/>
    <w:rsid w:val="007E6186"/>
    <w:rsid w:val="00804FE4"/>
    <w:rsid w:val="00876C5C"/>
    <w:rsid w:val="008A6D45"/>
    <w:rsid w:val="00907190"/>
    <w:rsid w:val="00942CDF"/>
    <w:rsid w:val="00966F9E"/>
    <w:rsid w:val="0098213D"/>
    <w:rsid w:val="0099068F"/>
    <w:rsid w:val="009A2319"/>
    <w:rsid w:val="009C0AAB"/>
    <w:rsid w:val="009C6BA0"/>
    <w:rsid w:val="009D32B7"/>
    <w:rsid w:val="009E3662"/>
    <w:rsid w:val="00A024AC"/>
    <w:rsid w:val="00A56959"/>
    <w:rsid w:val="00A73316"/>
    <w:rsid w:val="00A76AE1"/>
    <w:rsid w:val="00A903D5"/>
    <w:rsid w:val="00B12595"/>
    <w:rsid w:val="00B13A33"/>
    <w:rsid w:val="00B3047E"/>
    <w:rsid w:val="00B471B0"/>
    <w:rsid w:val="00B54E10"/>
    <w:rsid w:val="00B66923"/>
    <w:rsid w:val="00BD2B0E"/>
    <w:rsid w:val="00C126EC"/>
    <w:rsid w:val="00C7626F"/>
    <w:rsid w:val="00CA0860"/>
    <w:rsid w:val="00D237D8"/>
    <w:rsid w:val="00D74DA7"/>
    <w:rsid w:val="00D859D5"/>
    <w:rsid w:val="00D92972"/>
    <w:rsid w:val="00D94179"/>
    <w:rsid w:val="00D9738B"/>
    <w:rsid w:val="00DB037C"/>
    <w:rsid w:val="00E26890"/>
    <w:rsid w:val="00E52850"/>
    <w:rsid w:val="00E6114E"/>
    <w:rsid w:val="00E7185C"/>
    <w:rsid w:val="00F860DE"/>
    <w:rsid w:val="00FB03A8"/>
    <w:rsid w:val="00FE6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D635F"/>
  <w15:docId w15:val="{0661C608-C861-495C-9082-52F186F1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B66923"/>
    <w:pPr>
      <w:keepNext/>
      <w:keepLines/>
      <w:spacing w:after="210" w:line="257" w:lineRule="auto"/>
      <w:ind w:left="24" w:hanging="10"/>
      <w:outlineLvl w:val="0"/>
    </w:pPr>
    <w:rPr>
      <w:rFonts w:ascii="Cambria" w:eastAsia="Cambria" w:hAnsi="Cambria" w:cs="Cambria"/>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923"/>
    <w:rPr>
      <w:rFonts w:ascii="Cambria" w:eastAsia="Cambria" w:hAnsi="Cambria" w:cs="Cambria"/>
      <w:b/>
      <w:color w:val="000000"/>
      <w:sz w:val="29"/>
    </w:rPr>
  </w:style>
  <w:style w:type="character" w:customStyle="1" w:styleId="MTDisplayEquationChar">
    <w:name w:val="MTDisplayEquation Char"/>
    <w:link w:val="MTDisplayEquation"/>
    <w:uiPriority w:val="99"/>
    <w:locked/>
    <w:rsid w:val="00B66923"/>
  </w:style>
  <w:style w:type="paragraph" w:customStyle="1" w:styleId="MTDisplayEquation">
    <w:name w:val="MTDisplayEquation"/>
    <w:basedOn w:val="Normal"/>
    <w:next w:val="Normal"/>
    <w:link w:val="MTDisplayEquationChar"/>
    <w:uiPriority w:val="99"/>
    <w:rsid w:val="00B66923"/>
    <w:pPr>
      <w:tabs>
        <w:tab w:val="center" w:pos="4680"/>
        <w:tab w:val="right" w:pos="9360"/>
      </w:tabs>
    </w:pPr>
  </w:style>
  <w:style w:type="paragraph" w:styleId="ListParagraph">
    <w:name w:val="List Paragraph"/>
    <w:basedOn w:val="Normal"/>
    <w:uiPriority w:val="34"/>
    <w:qFormat/>
    <w:rsid w:val="00101809"/>
    <w:pPr>
      <w:ind w:left="720"/>
      <w:contextualSpacing/>
    </w:pPr>
    <w:rPr>
      <w:rFonts w:eastAsiaTheme="minorEastAsia"/>
    </w:rPr>
  </w:style>
  <w:style w:type="paragraph" w:styleId="BalloonText">
    <w:name w:val="Balloon Text"/>
    <w:basedOn w:val="Normal"/>
    <w:link w:val="BalloonTextChar"/>
    <w:uiPriority w:val="99"/>
    <w:semiHidden/>
    <w:unhideWhenUsed/>
    <w:rsid w:val="001018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809"/>
    <w:rPr>
      <w:rFonts w:ascii="Tahoma" w:hAnsi="Tahoma" w:cs="Tahoma"/>
      <w:sz w:val="16"/>
      <w:szCs w:val="16"/>
    </w:rPr>
  </w:style>
  <w:style w:type="character" w:styleId="Hyperlink">
    <w:name w:val="Hyperlink"/>
    <w:basedOn w:val="DefaultParagraphFont"/>
    <w:uiPriority w:val="99"/>
    <w:unhideWhenUsed/>
    <w:rsid w:val="004D64B0"/>
    <w:rPr>
      <w:color w:val="0000FF" w:themeColor="hyperlink"/>
      <w:u w:val="single"/>
    </w:rPr>
  </w:style>
  <w:style w:type="character" w:styleId="UnresolvedMention">
    <w:name w:val="Unresolved Mention"/>
    <w:basedOn w:val="DefaultParagraphFont"/>
    <w:uiPriority w:val="99"/>
    <w:semiHidden/>
    <w:unhideWhenUsed/>
    <w:rsid w:val="004D64B0"/>
    <w:rPr>
      <w:color w:val="605E5C"/>
      <w:shd w:val="clear" w:color="auto" w:fill="E1DFDD"/>
    </w:rPr>
  </w:style>
  <w:style w:type="paragraph" w:styleId="Header">
    <w:name w:val="header"/>
    <w:basedOn w:val="Normal"/>
    <w:link w:val="HeaderChar"/>
    <w:uiPriority w:val="99"/>
    <w:unhideWhenUsed/>
    <w:rsid w:val="00612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7D3"/>
  </w:style>
  <w:style w:type="paragraph" w:styleId="Footer">
    <w:name w:val="footer"/>
    <w:basedOn w:val="Normal"/>
    <w:link w:val="FooterChar"/>
    <w:uiPriority w:val="99"/>
    <w:unhideWhenUsed/>
    <w:rsid w:val="0061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7D3"/>
  </w:style>
  <w:style w:type="paragraph" w:customStyle="1" w:styleId="pdq2pgselectionanchorcontainer">
    <w:name w:val="pdq2pg_selectionanchorcontainer"/>
    <w:basedOn w:val="Normal"/>
    <w:rsid w:val="00E718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80954">
      <w:bodyDiv w:val="1"/>
      <w:marLeft w:val="0"/>
      <w:marRight w:val="0"/>
      <w:marTop w:val="0"/>
      <w:marBottom w:val="0"/>
      <w:divBdr>
        <w:top w:val="none" w:sz="0" w:space="0" w:color="auto"/>
        <w:left w:val="none" w:sz="0" w:space="0" w:color="auto"/>
        <w:bottom w:val="none" w:sz="0" w:space="0" w:color="auto"/>
        <w:right w:val="none" w:sz="0" w:space="0" w:color="auto"/>
      </w:divBdr>
    </w:div>
    <w:div w:id="1910849367">
      <w:bodyDiv w:val="1"/>
      <w:marLeft w:val="0"/>
      <w:marRight w:val="0"/>
      <w:marTop w:val="0"/>
      <w:marBottom w:val="0"/>
      <w:divBdr>
        <w:top w:val="none" w:sz="0" w:space="0" w:color="auto"/>
        <w:left w:val="none" w:sz="0" w:space="0" w:color="auto"/>
        <w:bottom w:val="none" w:sz="0" w:space="0" w:color="auto"/>
        <w:right w:val="none" w:sz="0" w:space="0" w:color="auto"/>
      </w:divBdr>
    </w:div>
    <w:div w:id="204840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image" Target="media/image8.wmf"/><Relationship Id="rId42" Type="http://schemas.openxmlformats.org/officeDocument/2006/relationships/image" Target="media/image18.wmf"/><Relationship Id="rId63" Type="http://schemas.openxmlformats.org/officeDocument/2006/relationships/oleObject" Target="embeddings/oleObject29.bin"/><Relationship Id="rId84" Type="http://schemas.openxmlformats.org/officeDocument/2006/relationships/image" Target="media/image39.wmf"/><Relationship Id="rId138" Type="http://schemas.openxmlformats.org/officeDocument/2006/relationships/image" Target="media/image64.jpeg"/><Relationship Id="rId159" Type="http://schemas.openxmlformats.org/officeDocument/2006/relationships/header" Target="header3.xml"/><Relationship Id="rId107" Type="http://schemas.openxmlformats.org/officeDocument/2006/relationships/oleObject" Target="embeddings/oleObject53.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image" Target="media/image34.wmf"/><Relationship Id="rId128" Type="http://schemas.openxmlformats.org/officeDocument/2006/relationships/oleObject" Target="embeddings/oleObject64.bin"/><Relationship Id="rId149" Type="http://schemas.openxmlformats.org/officeDocument/2006/relationships/hyperlink" Target="https://doi.org/10.1093/rfs/3.4.573?utm_source=chatgpt.com" TargetMode="External"/><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footer" Target="footer3.xml"/><Relationship Id="rId22" Type="http://schemas.openxmlformats.org/officeDocument/2006/relationships/oleObject" Target="embeddings/oleObject8.bin"/><Relationship Id="rId43" Type="http://schemas.openxmlformats.org/officeDocument/2006/relationships/oleObject" Target="embeddings/oleObject19.bin"/><Relationship Id="rId64" Type="http://schemas.openxmlformats.org/officeDocument/2006/relationships/image" Target="media/image29.wmf"/><Relationship Id="rId118" Type="http://schemas.openxmlformats.org/officeDocument/2006/relationships/image" Target="media/image52.wmf"/><Relationship Id="rId139" Type="http://schemas.openxmlformats.org/officeDocument/2006/relationships/image" Target="media/image65.jpeg"/><Relationship Id="rId85" Type="http://schemas.openxmlformats.org/officeDocument/2006/relationships/oleObject" Target="embeddings/oleObject40.bin"/><Relationship Id="rId150" Type="http://schemas.openxmlformats.org/officeDocument/2006/relationships/hyperlink" Target="https://doi.org/10.4236/oalib.1102033?utm_source=chatgpt.com" TargetMode="External"/><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4.bin"/><Relationship Id="rId38" Type="http://schemas.openxmlformats.org/officeDocument/2006/relationships/image" Target="media/image16.wmf"/><Relationship Id="rId59" Type="http://schemas.openxmlformats.org/officeDocument/2006/relationships/oleObject" Target="embeddings/oleObject27.bin"/><Relationship Id="rId103" Type="http://schemas.openxmlformats.org/officeDocument/2006/relationships/oleObject" Target="embeddings/oleObject49.bin"/><Relationship Id="rId108" Type="http://schemas.openxmlformats.org/officeDocument/2006/relationships/oleObject" Target="embeddings/oleObject54.bin"/><Relationship Id="rId124" Type="http://schemas.openxmlformats.org/officeDocument/2006/relationships/image" Target="media/image55.jpeg"/><Relationship Id="rId129" Type="http://schemas.openxmlformats.org/officeDocument/2006/relationships/image" Target="media/image59.wmf"/><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5.bin"/><Relationship Id="rId91" Type="http://schemas.openxmlformats.org/officeDocument/2006/relationships/oleObject" Target="embeddings/oleObject43.bin"/><Relationship Id="rId96" Type="http://schemas.openxmlformats.org/officeDocument/2006/relationships/image" Target="media/image45.wmf"/><Relationship Id="rId140" Type="http://schemas.openxmlformats.org/officeDocument/2006/relationships/image" Target="media/image66.wmf"/><Relationship Id="rId145" Type="http://schemas.openxmlformats.org/officeDocument/2006/relationships/hyperlink" Target="https://wseas.org/wseas/cms.action?id=10188&amp;utm_source=chatgpt.com" TargetMode="Externa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image" Target="media/image50.wmf"/><Relationship Id="rId119" Type="http://schemas.openxmlformats.org/officeDocument/2006/relationships/oleObject" Target="embeddings/oleObject61.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40.wmf"/><Relationship Id="rId130" Type="http://schemas.openxmlformats.org/officeDocument/2006/relationships/oleObject" Target="embeddings/oleObject65.bin"/><Relationship Id="rId135" Type="http://schemas.openxmlformats.org/officeDocument/2006/relationships/image" Target="media/image62.wmf"/><Relationship Id="rId151" Type="http://schemas.openxmlformats.org/officeDocument/2006/relationships/hyperlink" Target="https://doi.org/10.1080/10920277.2011.10597628?utm_source=chatgpt.com" TargetMode="External"/><Relationship Id="rId156" Type="http://schemas.openxmlformats.org/officeDocument/2006/relationships/header" Target="header2.xml"/><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7.bin"/><Relationship Id="rId109" Type="http://schemas.openxmlformats.org/officeDocument/2006/relationships/oleObject" Target="embeddings/oleObject55.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5.bin"/><Relationship Id="rId76" Type="http://schemas.openxmlformats.org/officeDocument/2006/relationships/image" Target="media/image35.wmf"/><Relationship Id="rId97" Type="http://schemas.openxmlformats.org/officeDocument/2006/relationships/oleObject" Target="embeddings/oleObject46.bin"/><Relationship Id="rId104" Type="http://schemas.openxmlformats.org/officeDocument/2006/relationships/oleObject" Target="embeddings/oleObject50.bin"/><Relationship Id="rId120" Type="http://schemas.openxmlformats.org/officeDocument/2006/relationships/image" Target="media/image53.wmf"/><Relationship Id="rId125" Type="http://schemas.openxmlformats.org/officeDocument/2006/relationships/image" Target="media/image56.jpeg"/><Relationship Id="rId141" Type="http://schemas.openxmlformats.org/officeDocument/2006/relationships/oleObject" Target="embeddings/oleObject69.bin"/><Relationship Id="rId146" Type="http://schemas.openxmlformats.org/officeDocument/2006/relationships/hyperlink" Target="https://doi.org/10.1287/moor.20.4.937?utm_source=chatgpt.com" TargetMode="External"/><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image" Target="media/image43.wmf"/><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image" Target="media/image17.wmf"/><Relationship Id="rId45" Type="http://schemas.openxmlformats.org/officeDocument/2006/relationships/oleObject" Target="embeddings/oleObject20.bin"/><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oleObject" Target="embeddings/oleObject56.bin"/><Relationship Id="rId115" Type="http://schemas.openxmlformats.org/officeDocument/2006/relationships/oleObject" Target="embeddings/oleObject59.bin"/><Relationship Id="rId131" Type="http://schemas.openxmlformats.org/officeDocument/2006/relationships/image" Target="media/image60.wmf"/><Relationship Id="rId136" Type="http://schemas.openxmlformats.org/officeDocument/2006/relationships/oleObject" Target="embeddings/oleObject68.bin"/><Relationship Id="rId157" Type="http://schemas.openxmlformats.org/officeDocument/2006/relationships/footer" Target="footer1.xml"/><Relationship Id="rId61" Type="http://schemas.openxmlformats.org/officeDocument/2006/relationships/oleObject" Target="embeddings/oleObject28.bin"/><Relationship Id="rId82" Type="http://schemas.openxmlformats.org/officeDocument/2006/relationships/image" Target="media/image38.wmf"/><Relationship Id="rId152" Type="http://schemas.openxmlformats.org/officeDocument/2006/relationships/hyperlink" Target="https://doi.org/10.1186/s40854-023-00575-2?utm_source=chatgpt.com" TargetMode="External"/><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oleObject" Target="embeddings/oleObject15.bin"/><Relationship Id="rId56" Type="http://schemas.openxmlformats.org/officeDocument/2006/relationships/image" Target="media/image25.wmf"/><Relationship Id="rId77" Type="http://schemas.openxmlformats.org/officeDocument/2006/relationships/oleObject" Target="embeddings/oleObject36.bin"/><Relationship Id="rId100" Type="http://schemas.openxmlformats.org/officeDocument/2006/relationships/image" Target="media/image47.wmf"/><Relationship Id="rId105" Type="http://schemas.openxmlformats.org/officeDocument/2006/relationships/oleObject" Target="embeddings/oleObject51.bin"/><Relationship Id="rId126" Type="http://schemas.openxmlformats.org/officeDocument/2006/relationships/image" Target="media/image57.jpeg"/><Relationship Id="rId147" Type="http://schemas.openxmlformats.org/officeDocument/2006/relationships/hyperlink" Target="https://www.iaras.org/iaras/filedownloads/ijmcm/2019/001-0012%282019%29.pdf?utm_source=chatgpt.com" TargetMode="External"/><Relationship Id="rId8" Type="http://schemas.openxmlformats.org/officeDocument/2006/relationships/oleObject" Target="embeddings/oleObject1.bin"/><Relationship Id="rId51" Type="http://schemas.openxmlformats.org/officeDocument/2006/relationships/oleObject" Target="embeddings/oleObject23.bin"/><Relationship Id="rId72" Type="http://schemas.openxmlformats.org/officeDocument/2006/relationships/image" Target="media/image33.wmf"/><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62.bin"/><Relationship Id="rId142" Type="http://schemas.openxmlformats.org/officeDocument/2006/relationships/image" Target="media/image67.wmf"/><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oleObject" Target="embeddings/oleObject31.bin"/><Relationship Id="rId116" Type="http://schemas.openxmlformats.org/officeDocument/2006/relationships/image" Target="media/image51.wmf"/><Relationship Id="rId137" Type="http://schemas.openxmlformats.org/officeDocument/2006/relationships/image" Target="media/image63.jpeg"/><Relationship Id="rId158" Type="http://schemas.openxmlformats.org/officeDocument/2006/relationships/footer" Target="footer2.xml"/><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image" Target="media/image28.wmf"/><Relationship Id="rId83" Type="http://schemas.openxmlformats.org/officeDocument/2006/relationships/oleObject" Target="embeddings/oleObject39.bin"/><Relationship Id="rId88" Type="http://schemas.openxmlformats.org/officeDocument/2006/relationships/image" Target="media/image41.wmf"/><Relationship Id="rId111" Type="http://schemas.openxmlformats.org/officeDocument/2006/relationships/oleObject" Target="embeddings/oleObject57.bin"/><Relationship Id="rId132" Type="http://schemas.openxmlformats.org/officeDocument/2006/relationships/oleObject" Target="embeddings/oleObject66.bin"/><Relationship Id="rId153" Type="http://schemas.openxmlformats.org/officeDocument/2006/relationships/hyperlink" Target="https://doi.org/10.9734/ajpas/2025/v27i10819?utm_source=chatgpt.com" TargetMode="External"/><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6.bin"/><Relationship Id="rId106" Type="http://schemas.openxmlformats.org/officeDocument/2006/relationships/oleObject" Target="embeddings/oleObject52.bin"/><Relationship Id="rId127" Type="http://schemas.openxmlformats.org/officeDocument/2006/relationships/image" Target="media/image58.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oleObject" Target="embeddings/oleObject34.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4.wmf"/><Relationship Id="rId143" Type="http://schemas.openxmlformats.org/officeDocument/2006/relationships/oleObject" Target="embeddings/oleObject70.bin"/><Relationship Id="rId148" Type="http://schemas.openxmlformats.org/officeDocument/2006/relationships/hyperlink" Target="https://tsp.imath.kiev.ua/published/volume20_1/abs3/index.html?utm_source=chatgpt.com" TargetMode="External"/><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oleObject" Target="embeddings/oleObject21.bin"/><Relationship Id="rId68" Type="http://schemas.openxmlformats.org/officeDocument/2006/relationships/image" Target="media/image31.wmf"/><Relationship Id="rId89" Type="http://schemas.openxmlformats.org/officeDocument/2006/relationships/oleObject" Target="embeddings/oleObject42.bin"/><Relationship Id="rId112" Type="http://schemas.openxmlformats.org/officeDocument/2006/relationships/image" Target="media/image49.wmf"/><Relationship Id="rId133" Type="http://schemas.openxmlformats.org/officeDocument/2006/relationships/image" Target="media/image61.wmf"/><Relationship Id="rId154" Type="http://schemas.openxmlformats.org/officeDocument/2006/relationships/hyperlink" Target="https://sci.ui.edu.ng/OOUgbebor_publications?utm_source=chatgpt.com" TargetMode="External"/><Relationship Id="rId16" Type="http://schemas.openxmlformats.org/officeDocument/2006/relationships/oleObject" Target="embeddings/oleObject5.bin"/><Relationship Id="rId37" Type="http://schemas.openxmlformats.org/officeDocument/2006/relationships/oleObject" Target="embeddings/oleObject16.bin"/><Relationship Id="rId58" Type="http://schemas.openxmlformats.org/officeDocument/2006/relationships/image" Target="media/image26.wmf"/><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63.bin"/><Relationship Id="rId144" Type="http://schemas.openxmlformats.org/officeDocument/2006/relationships/oleObject" Target="embeddings/oleObject71.bin"/><Relationship Id="rId90" Type="http://schemas.openxmlformats.org/officeDocument/2006/relationships/image" Target="media/image42.wmf"/><Relationship Id="rId27" Type="http://schemas.openxmlformats.org/officeDocument/2006/relationships/image" Target="media/image11.wmf"/><Relationship Id="rId48" Type="http://schemas.openxmlformats.org/officeDocument/2006/relationships/image" Target="media/image21.wmf"/><Relationship Id="rId69" Type="http://schemas.openxmlformats.org/officeDocument/2006/relationships/oleObject" Target="embeddings/oleObject32.bin"/><Relationship Id="rId113" Type="http://schemas.openxmlformats.org/officeDocument/2006/relationships/oleObject" Target="embeddings/oleObject58.bin"/><Relationship Id="rId134" Type="http://schemas.openxmlformats.org/officeDocument/2006/relationships/oleObject" Target="embeddings/oleObject67.bin"/><Relationship Id="rId80" Type="http://schemas.openxmlformats.org/officeDocument/2006/relationships/image" Target="media/image37.wmf"/><Relationship Id="rId15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3930</Words>
  <Characters>22407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Editor-90</cp:lastModifiedBy>
  <cp:revision>10</cp:revision>
  <dcterms:created xsi:type="dcterms:W3CDTF">2026-09-04T17:29:00Z</dcterms:created>
  <dcterms:modified xsi:type="dcterms:W3CDTF">2026-09-15T08:48:00Z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