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5B5AC" w14:textId="77777777" w:rsidR="00E23DD9" w:rsidRDefault="006E16CE" w:rsidP="00F5415F">
      <w:pPr>
        <w:jc w:val="center"/>
        <w:rPr>
          <w:rFonts w:ascii="Times New Roman" w:hAnsi="Times New Roman" w:cs="Times New Roman"/>
          <w:b/>
          <w:sz w:val="24"/>
          <w:szCs w:val="24"/>
        </w:rPr>
      </w:pPr>
      <w:r w:rsidRPr="006E16CE">
        <w:rPr>
          <w:rFonts w:ascii="Times New Roman" w:hAnsi="Times New Roman" w:cs="Times New Roman"/>
          <w:b/>
          <w:sz w:val="24"/>
          <w:szCs w:val="24"/>
        </w:rPr>
        <w:t>Effects of Seasonal Dividend with Time-Dependent Initial Conditions: A Benchmark Approach</w:t>
      </w:r>
    </w:p>
    <w:p w14:paraId="1737605A" w14:textId="77777777" w:rsidR="00DC484E" w:rsidRDefault="00DC484E" w:rsidP="00F5415F">
      <w:pPr>
        <w:jc w:val="center"/>
        <w:rPr>
          <w:rFonts w:ascii="Times New Roman" w:hAnsi="Times New Roman" w:cs="Times New Roman"/>
          <w:b/>
          <w:sz w:val="24"/>
          <w:szCs w:val="24"/>
        </w:rPr>
      </w:pPr>
      <w:r>
        <w:rPr>
          <w:rFonts w:ascii="Times New Roman" w:hAnsi="Times New Roman" w:cs="Times New Roman"/>
          <w:b/>
          <w:sz w:val="24"/>
          <w:szCs w:val="24"/>
        </w:rPr>
        <w:t xml:space="preserve"> </w:t>
      </w:r>
    </w:p>
    <w:p w14:paraId="39A3F819" w14:textId="77777777" w:rsidR="00681500" w:rsidRDefault="00681500" w:rsidP="00523369">
      <w:pPr>
        <w:spacing w:line="240" w:lineRule="auto"/>
        <w:rPr>
          <w:b/>
          <w:szCs w:val="24"/>
        </w:rPr>
      </w:pPr>
    </w:p>
    <w:p w14:paraId="59C4D1FF" w14:textId="73846858" w:rsidR="00523369" w:rsidRDefault="00523369" w:rsidP="00523369">
      <w:pPr>
        <w:spacing w:line="240" w:lineRule="auto"/>
        <w:rPr>
          <w:b/>
          <w:szCs w:val="24"/>
        </w:rPr>
      </w:pPr>
      <w:r>
        <w:rPr>
          <w:b/>
          <w:szCs w:val="24"/>
        </w:rPr>
        <w:t>Abstract</w:t>
      </w:r>
    </w:p>
    <w:p w14:paraId="10DDA432" w14:textId="77777777" w:rsidR="00A31A9F" w:rsidRDefault="00A31A9F" w:rsidP="00A31A9F">
      <w:pPr>
        <w:pStyle w:val="NormalWeb"/>
        <w:jc w:val="both"/>
      </w:pPr>
      <w:r>
        <w:t xml:space="preserve">This study examines the effects of seasonal dividend </w:t>
      </w:r>
      <w:proofErr w:type="spellStart"/>
      <w:r>
        <w:t>behaviour</w:t>
      </w:r>
      <w:proofErr w:type="spellEnd"/>
      <w:r>
        <w:t xml:space="preserve"> and time-dependent initial conditions on bank stock-price dynamics using Geometric Brownian Motion (GBM). Two stochastic systems are considered: a seasonal model with a periodic initial condition and a benchmark model with a constant initial condition. The seasonal formulation is intended to represent recurring annual dividend, earnings, and macroeconomic cycles, whereas the benchmark formulation excludes deterministic seasonality and related regime effects. Both systems are expressed as stochastic differential equations and solved using </w:t>
      </w:r>
      <w:proofErr w:type="spellStart"/>
      <w:r>
        <w:t>Itô's</w:t>
      </w:r>
      <w:proofErr w:type="spellEnd"/>
      <w:r>
        <w:t xml:space="preserve"> formula to obtain closed-form solutions. The resulting models are illustrated through simulated paths for First Bank and Fidelity Bank under the parameter settings specified in the manuscript. The simulations indicate that the seasonal model retains a recurring cyclical structure, while Brownian shocks generate short-term dispersion around that pattern. Changes in seasonal amplitude affect the magnitude of the price oscillations without changing their timing. In the benchmark model, drift influences the central direction of the simulated price paths, whereas volatility determines the extent of short-term dispersion. Taken together, the two formulations provide a comparative framework for examining how deterministic seasonal structure and stochastic noise interact in the modelled bank share prices. The benchmark model also provides a reference against which the effects of the periodic initial condition can be assessed.</w:t>
      </w:r>
    </w:p>
    <w:p w14:paraId="48DB6EC3" w14:textId="77777777" w:rsidR="005660A8" w:rsidRDefault="005660A8" w:rsidP="00523369">
      <w:pPr>
        <w:spacing w:after="0"/>
        <w:jc w:val="both"/>
        <w:rPr>
          <w:rFonts w:ascii="Times New Roman" w:hAnsi="Times New Roman" w:cs="Times New Roman"/>
          <w:sz w:val="24"/>
          <w:szCs w:val="24"/>
        </w:rPr>
      </w:pPr>
    </w:p>
    <w:p w14:paraId="2534FFB0" w14:textId="77777777" w:rsidR="00C47046" w:rsidRDefault="003B4D08" w:rsidP="00523369">
      <w:pPr>
        <w:jc w:val="both"/>
        <w:rPr>
          <w:rFonts w:ascii="Times New Roman" w:hAnsi="Times New Roman" w:cs="Times New Roman"/>
          <w:b/>
          <w:sz w:val="24"/>
          <w:szCs w:val="24"/>
        </w:rPr>
      </w:pPr>
      <w:r>
        <w:rPr>
          <w:rFonts w:ascii="Times New Roman" w:hAnsi="Times New Roman" w:cs="Times New Roman"/>
          <w:sz w:val="24"/>
          <w:szCs w:val="24"/>
        </w:rPr>
        <w:t>K</w:t>
      </w:r>
      <w:r w:rsidR="00523369" w:rsidRPr="00D8777E">
        <w:rPr>
          <w:rFonts w:ascii="Times New Roman" w:hAnsi="Times New Roman" w:cs="Times New Roman"/>
          <w:b/>
          <w:sz w:val="24"/>
          <w:szCs w:val="24"/>
        </w:rPr>
        <w:t>ey</w:t>
      </w:r>
      <w:r>
        <w:rPr>
          <w:rFonts w:ascii="Times New Roman" w:hAnsi="Times New Roman" w:cs="Times New Roman"/>
          <w:b/>
          <w:sz w:val="24"/>
          <w:szCs w:val="24"/>
        </w:rPr>
        <w:t>words:  Seasonality, Bank,</w:t>
      </w:r>
      <w:r w:rsidR="00523369" w:rsidRPr="00D8777E">
        <w:rPr>
          <w:rFonts w:ascii="Times New Roman" w:hAnsi="Times New Roman" w:cs="Times New Roman"/>
          <w:b/>
          <w:sz w:val="24"/>
          <w:szCs w:val="24"/>
        </w:rPr>
        <w:t xml:space="preserve"> Share Prices</w:t>
      </w:r>
      <w:r>
        <w:rPr>
          <w:rFonts w:ascii="Times New Roman" w:hAnsi="Times New Roman" w:cs="Times New Roman"/>
          <w:b/>
          <w:sz w:val="24"/>
          <w:szCs w:val="24"/>
        </w:rPr>
        <w:t>,</w:t>
      </w:r>
      <w:r w:rsidRPr="003B4D08">
        <w:rPr>
          <w:rFonts w:ascii="Times New Roman" w:hAnsi="Times New Roman" w:cs="Times New Roman"/>
          <w:b/>
          <w:sz w:val="24"/>
          <w:szCs w:val="24"/>
        </w:rPr>
        <w:t xml:space="preserve"> </w:t>
      </w:r>
      <w:r w:rsidRPr="00E67483">
        <w:rPr>
          <w:rFonts w:ascii="Times New Roman" w:hAnsi="Times New Roman" w:cs="Times New Roman"/>
          <w:b/>
          <w:sz w:val="24"/>
          <w:szCs w:val="24"/>
        </w:rPr>
        <w:t>Constant</w:t>
      </w:r>
      <w:r>
        <w:rPr>
          <w:rFonts w:ascii="Times New Roman" w:hAnsi="Times New Roman" w:cs="Times New Roman"/>
          <w:b/>
          <w:sz w:val="24"/>
          <w:szCs w:val="24"/>
        </w:rPr>
        <w:t xml:space="preserve"> initial price, GBM</w:t>
      </w:r>
      <w:r>
        <w:rPr>
          <w:rFonts w:ascii="Times New Roman" w:hAnsi="Times New Roman" w:cs="Times New Roman"/>
          <w:sz w:val="24"/>
          <w:szCs w:val="24"/>
        </w:rPr>
        <w:t>,</w:t>
      </w:r>
      <w:r>
        <w:rPr>
          <w:rFonts w:ascii="Times New Roman" w:hAnsi="Times New Roman" w:cs="Times New Roman"/>
          <w:b/>
          <w:sz w:val="24"/>
          <w:szCs w:val="24"/>
        </w:rPr>
        <w:t xml:space="preserve"> Sample paths, Drift, and Volatility.</w:t>
      </w:r>
    </w:p>
    <w:p w14:paraId="7D41DC66" w14:textId="77777777" w:rsidR="00523369" w:rsidRPr="00CE4C90" w:rsidRDefault="00523369" w:rsidP="00523369">
      <w:pPr>
        <w:jc w:val="both"/>
        <w:rPr>
          <w:rFonts w:ascii="Times New Roman" w:hAnsi="Times New Roman" w:cs="Times New Roman"/>
          <w:b/>
          <w:sz w:val="24"/>
          <w:szCs w:val="24"/>
        </w:rPr>
      </w:pPr>
      <w:r>
        <w:rPr>
          <w:rFonts w:ascii="Times New Roman" w:hAnsi="Times New Roman" w:cs="Times New Roman"/>
          <w:b/>
          <w:sz w:val="24"/>
          <w:szCs w:val="24"/>
        </w:rPr>
        <w:t>1.1 Introduction</w:t>
      </w:r>
    </w:p>
    <w:p w14:paraId="62B1309C" w14:textId="77777777" w:rsidR="002F6D5C" w:rsidRDefault="002F6D5C" w:rsidP="0085769D">
      <w:pPr>
        <w:spacing w:after="0" w:line="240" w:lineRule="auto"/>
        <w:jc w:val="both"/>
        <w:rPr>
          <w:rFonts w:ascii="Times New Roman" w:hAnsi="Times New Roman" w:cs="Times New Roman"/>
          <w:sz w:val="24"/>
          <w:szCs w:val="24"/>
        </w:rPr>
      </w:pPr>
      <w:r w:rsidRPr="0006006C">
        <w:rPr>
          <w:rFonts w:ascii="Times New Roman" w:hAnsi="Times New Roman" w:cs="Times New Roman"/>
          <w:sz w:val="24"/>
          <w:szCs w:val="24"/>
        </w:rPr>
        <w:t>Dividend seasonality is a well-documented feature of bank stock behavior, particularly in markets with semi-annual payout cycles like Nigeria. Standard GBM models assume a</w:t>
      </w:r>
      <w:r w:rsidR="0006006C">
        <w:rPr>
          <w:rFonts w:ascii="Times New Roman" w:hAnsi="Times New Roman" w:cs="Times New Roman"/>
          <w:sz w:val="24"/>
          <w:szCs w:val="24"/>
        </w:rPr>
        <w:t xml:space="preserve"> fixed initial </w:t>
      </w:r>
      <w:r w:rsidR="008643A9">
        <w:rPr>
          <w:rFonts w:ascii="Times New Roman" w:hAnsi="Times New Roman" w:cs="Times New Roman"/>
          <w:sz w:val="24"/>
          <w:szCs w:val="24"/>
        </w:rPr>
        <w:t xml:space="preserve">condition </w:t>
      </w:r>
      <w:r w:rsidRPr="0006006C">
        <w:rPr>
          <w:rFonts w:ascii="Times New Roman" w:hAnsi="Times New Roman" w:cs="Times New Roman"/>
          <w:sz w:val="24"/>
          <w:szCs w:val="24"/>
        </w:rPr>
        <w:t>which ignores the jump in price and volatility around dividend declaration and ex-dates. This leads to mispricing of short-term risk and poo</w:t>
      </w:r>
      <w:r w:rsidR="00325720">
        <w:rPr>
          <w:rFonts w:ascii="Times New Roman" w:hAnsi="Times New Roman" w:cs="Times New Roman"/>
          <w:sz w:val="24"/>
          <w:szCs w:val="24"/>
        </w:rPr>
        <w:t>r fit during dividend seasons.[1</w:t>
      </w:r>
      <w:r w:rsidRPr="0006006C">
        <w:rPr>
          <w:rFonts w:ascii="Times New Roman" w:hAnsi="Times New Roman" w:cs="Times New Roman"/>
          <w:sz w:val="24"/>
          <w:szCs w:val="24"/>
        </w:rPr>
        <w:t>]</w:t>
      </w:r>
      <w:r w:rsidR="0085769D" w:rsidRPr="0085769D">
        <w:rPr>
          <w:rFonts w:ascii="Times New Roman" w:hAnsi="Times New Roman" w:cs="Times New Roman"/>
          <w:sz w:val="24"/>
          <w:szCs w:val="24"/>
        </w:rPr>
        <w:t xml:space="preserve"> </w:t>
      </w:r>
      <w:r w:rsidR="0085769D">
        <w:rPr>
          <w:rFonts w:ascii="Times New Roman" w:hAnsi="Times New Roman" w:cs="Times New Roman"/>
          <w:sz w:val="24"/>
          <w:szCs w:val="24"/>
        </w:rPr>
        <w:t xml:space="preserve">However, the stock market is one of the most vital components of a free-market economy. It is among the best options to various companies for expansion or set up a new business venture. The stock market performance and operation has been widely recognized as a significantly viable investment field in financial markets. Investments can be done in stock, bond, mutual funds etc. </w:t>
      </w:r>
    </w:p>
    <w:p w14:paraId="42A2BEBE" w14:textId="77777777" w:rsidR="0085769D" w:rsidRDefault="0085769D" w:rsidP="0085769D">
      <w:pPr>
        <w:spacing w:after="0" w:line="240" w:lineRule="auto"/>
        <w:jc w:val="both"/>
        <w:rPr>
          <w:rFonts w:ascii="Times New Roman" w:hAnsi="Times New Roman" w:cs="Times New Roman"/>
          <w:sz w:val="24"/>
          <w:szCs w:val="24"/>
        </w:rPr>
      </w:pPr>
    </w:p>
    <w:p w14:paraId="787C5257" w14:textId="77777777" w:rsidR="00523369" w:rsidRPr="00490E3C" w:rsidRDefault="00E41499" w:rsidP="00CB381E">
      <w:pPr>
        <w:spacing w:line="240" w:lineRule="auto"/>
        <w:jc w:val="both"/>
        <w:rPr>
          <w:rFonts w:ascii="Times New Roman" w:hAnsi="Times New Roman" w:cs="Times New Roman"/>
          <w:sz w:val="24"/>
          <w:szCs w:val="24"/>
        </w:rPr>
      </w:pPr>
      <w:r>
        <w:rPr>
          <w:rFonts w:ascii="Times New Roman" w:hAnsi="Times New Roman" w:cs="Times New Roman"/>
          <w:sz w:val="24"/>
          <w:szCs w:val="24"/>
        </w:rPr>
        <w:t>Nevertheless</w:t>
      </w:r>
      <w:r w:rsidR="00523369" w:rsidRPr="00490E3C">
        <w:rPr>
          <w:rFonts w:ascii="Times New Roman" w:hAnsi="Times New Roman" w:cs="Times New Roman"/>
          <w:sz w:val="24"/>
          <w:szCs w:val="24"/>
        </w:rPr>
        <w:t xml:space="preserve">, stock market prices have been </w:t>
      </w:r>
      <w:r w:rsidRPr="00490E3C">
        <w:rPr>
          <w:rFonts w:ascii="Times New Roman" w:hAnsi="Times New Roman" w:cs="Times New Roman"/>
          <w:sz w:val="24"/>
          <w:szCs w:val="24"/>
        </w:rPr>
        <w:t>considered</w:t>
      </w:r>
      <w:r w:rsidR="00523369" w:rsidRPr="00490E3C">
        <w:rPr>
          <w:rFonts w:ascii="Times New Roman" w:hAnsi="Times New Roman" w:cs="Times New Roman"/>
          <w:sz w:val="24"/>
          <w:szCs w:val="24"/>
        </w:rPr>
        <w:t xml:space="preserve"> in a </w:t>
      </w:r>
      <w:r w:rsidRPr="00490E3C">
        <w:rPr>
          <w:rFonts w:ascii="Times New Roman" w:hAnsi="Times New Roman" w:cs="Times New Roman"/>
          <w:sz w:val="24"/>
          <w:szCs w:val="24"/>
        </w:rPr>
        <w:t>varied</w:t>
      </w:r>
      <w:r w:rsidR="00523369" w:rsidRPr="00490E3C">
        <w:rPr>
          <w:rFonts w:ascii="Times New Roman" w:hAnsi="Times New Roman" w:cs="Times New Roman"/>
          <w:sz w:val="24"/>
          <w:szCs w:val="24"/>
        </w:rPr>
        <w:t xml:space="preserve"> range by </w:t>
      </w:r>
      <w:r w:rsidR="00CB381E">
        <w:rPr>
          <w:rFonts w:ascii="Times New Roman" w:hAnsi="Times New Roman" w:cs="Times New Roman"/>
          <w:sz w:val="24"/>
          <w:szCs w:val="24"/>
        </w:rPr>
        <w:t>many researchers</w:t>
      </w:r>
      <w:r>
        <w:rPr>
          <w:rFonts w:ascii="Times New Roman" w:hAnsi="Times New Roman" w:cs="Times New Roman"/>
          <w:sz w:val="24"/>
          <w:szCs w:val="24"/>
        </w:rPr>
        <w:t xml:space="preserve"> through different means</w:t>
      </w:r>
      <w:r w:rsidR="00CB381E">
        <w:rPr>
          <w:rFonts w:ascii="Times New Roman" w:hAnsi="Times New Roman" w:cs="Times New Roman"/>
          <w:sz w:val="24"/>
          <w:szCs w:val="24"/>
        </w:rPr>
        <w:t xml:space="preserve">. For </w:t>
      </w:r>
      <w:r>
        <w:rPr>
          <w:rFonts w:ascii="Times New Roman" w:hAnsi="Times New Roman" w:cs="Times New Roman"/>
          <w:sz w:val="24"/>
          <w:szCs w:val="24"/>
        </w:rPr>
        <w:t>illustration</w:t>
      </w:r>
      <w:r w:rsidR="00CB381E">
        <w:rPr>
          <w:rFonts w:ascii="Times New Roman" w:hAnsi="Times New Roman" w:cs="Times New Roman"/>
          <w:sz w:val="24"/>
          <w:szCs w:val="24"/>
        </w:rPr>
        <w:t>,[4</w:t>
      </w:r>
      <w:r>
        <w:rPr>
          <w:rFonts w:ascii="Times New Roman" w:hAnsi="Times New Roman" w:cs="Times New Roman"/>
          <w:sz w:val="24"/>
          <w:szCs w:val="24"/>
        </w:rPr>
        <w:t>] studied</w:t>
      </w:r>
      <w:r w:rsidR="00523369" w:rsidRPr="00490E3C">
        <w:rPr>
          <w:rFonts w:ascii="Times New Roman" w:hAnsi="Times New Roman" w:cs="Times New Roman"/>
          <w:sz w:val="24"/>
          <w:szCs w:val="24"/>
        </w:rPr>
        <w:t xml:space="preserve"> the stochastic analysis of the behavior of stock prices using a proposed log-normal distribu</w:t>
      </w:r>
      <w:r>
        <w:rPr>
          <w:rFonts w:ascii="Times New Roman" w:hAnsi="Times New Roman" w:cs="Times New Roman"/>
          <w:sz w:val="24"/>
          <w:szCs w:val="24"/>
        </w:rPr>
        <w:t>tion. S</w:t>
      </w:r>
      <w:r w:rsidR="00CB381E">
        <w:rPr>
          <w:rFonts w:ascii="Times New Roman" w:hAnsi="Times New Roman" w:cs="Times New Roman"/>
          <w:sz w:val="24"/>
          <w:szCs w:val="24"/>
        </w:rPr>
        <w:t>imilar</w:t>
      </w:r>
      <w:r>
        <w:rPr>
          <w:rFonts w:ascii="Times New Roman" w:hAnsi="Times New Roman" w:cs="Times New Roman"/>
          <w:sz w:val="24"/>
          <w:szCs w:val="24"/>
        </w:rPr>
        <w:t>ly</w:t>
      </w:r>
      <w:r w:rsidR="00CB381E">
        <w:rPr>
          <w:rFonts w:ascii="Times New Roman" w:hAnsi="Times New Roman" w:cs="Times New Roman"/>
          <w:sz w:val="24"/>
          <w:szCs w:val="24"/>
        </w:rPr>
        <w:t xml:space="preserve"> [5</w:t>
      </w:r>
      <w:r w:rsidR="00523369" w:rsidRPr="00490E3C">
        <w:rPr>
          <w:rFonts w:ascii="Times New Roman" w:hAnsi="Times New Roman" w:cs="Times New Roman"/>
          <w:sz w:val="24"/>
          <w:szCs w:val="24"/>
        </w:rPr>
        <w:t xml:space="preserve">] studied the stochastic analysis of stock market expected returns for </w:t>
      </w:r>
      <w:r>
        <w:rPr>
          <w:rFonts w:ascii="Times New Roman" w:hAnsi="Times New Roman" w:cs="Times New Roman"/>
          <w:sz w:val="24"/>
          <w:szCs w:val="24"/>
        </w:rPr>
        <w:t>investors, which their results were in agreement</w:t>
      </w:r>
      <w:r w:rsidR="004C6DAD">
        <w:rPr>
          <w:rFonts w:ascii="Times New Roman" w:hAnsi="Times New Roman" w:cs="Times New Roman"/>
          <w:sz w:val="24"/>
          <w:szCs w:val="24"/>
        </w:rPr>
        <w:t xml:space="preserve"> with the work of [6]. Moreover</w:t>
      </w:r>
      <w:r w:rsidR="00CB381E">
        <w:rPr>
          <w:rFonts w:ascii="Times New Roman" w:hAnsi="Times New Roman" w:cs="Times New Roman"/>
          <w:sz w:val="24"/>
          <w:szCs w:val="24"/>
        </w:rPr>
        <w:t>, [7</w:t>
      </w:r>
      <w:r w:rsidR="00523369" w:rsidRPr="00490E3C">
        <w:rPr>
          <w:rFonts w:ascii="Times New Roman" w:hAnsi="Times New Roman" w:cs="Times New Roman"/>
          <w:sz w:val="24"/>
          <w:szCs w:val="24"/>
        </w:rPr>
        <w:t xml:space="preserve">] </w:t>
      </w:r>
      <w:r w:rsidR="004C6DAD" w:rsidRPr="00490E3C">
        <w:rPr>
          <w:rFonts w:ascii="Times New Roman" w:hAnsi="Times New Roman" w:cs="Times New Roman"/>
          <w:sz w:val="24"/>
          <w:szCs w:val="24"/>
        </w:rPr>
        <w:t>explored</w:t>
      </w:r>
      <w:r w:rsidR="00523369" w:rsidRPr="00490E3C">
        <w:rPr>
          <w:rFonts w:ascii="Times New Roman" w:hAnsi="Times New Roman" w:cs="Times New Roman"/>
          <w:sz w:val="24"/>
          <w:szCs w:val="24"/>
        </w:rPr>
        <w:t xml:space="preserve"> a stochastic analysis of stock market expected </w:t>
      </w:r>
      <w:r w:rsidR="00523369" w:rsidRPr="00490E3C">
        <w:rPr>
          <w:rFonts w:ascii="Times New Roman" w:hAnsi="Times New Roman" w:cs="Times New Roman"/>
          <w:sz w:val="24"/>
          <w:szCs w:val="24"/>
        </w:rPr>
        <w:lastRenderedPageBreak/>
        <w:t>returns and growt</w:t>
      </w:r>
      <w:r w:rsidR="004C6DAD">
        <w:rPr>
          <w:rFonts w:ascii="Times New Roman" w:hAnsi="Times New Roman" w:cs="Times New Roman"/>
          <w:sz w:val="24"/>
          <w:szCs w:val="24"/>
        </w:rPr>
        <w:t>h-rates. However,</w:t>
      </w:r>
      <w:r w:rsidR="00CB381E">
        <w:rPr>
          <w:rFonts w:ascii="Times New Roman" w:hAnsi="Times New Roman" w:cs="Times New Roman"/>
          <w:sz w:val="24"/>
          <w:szCs w:val="24"/>
        </w:rPr>
        <w:t xml:space="preserve"> [8</w:t>
      </w:r>
      <w:r w:rsidR="00523369" w:rsidRPr="00490E3C">
        <w:rPr>
          <w:rFonts w:ascii="Times New Roman" w:hAnsi="Times New Roman" w:cs="Times New Roman"/>
          <w:sz w:val="24"/>
          <w:szCs w:val="24"/>
        </w:rPr>
        <w:t xml:space="preserve">] </w:t>
      </w:r>
      <w:r w:rsidR="004C6DAD" w:rsidRPr="00490E3C">
        <w:rPr>
          <w:rFonts w:ascii="Times New Roman" w:hAnsi="Times New Roman" w:cs="Times New Roman"/>
          <w:sz w:val="24"/>
          <w:szCs w:val="24"/>
        </w:rPr>
        <w:t>measured</w:t>
      </w:r>
      <w:r w:rsidR="00523369" w:rsidRPr="00490E3C">
        <w:rPr>
          <w:rFonts w:ascii="Times New Roman" w:hAnsi="Times New Roman" w:cs="Times New Roman"/>
          <w:sz w:val="24"/>
          <w:szCs w:val="24"/>
        </w:rPr>
        <w:t xml:space="preserve"> the stability analysis of stochastic model for stock m</w:t>
      </w:r>
      <w:r>
        <w:rPr>
          <w:rFonts w:ascii="Times New Roman" w:hAnsi="Times New Roman" w:cs="Times New Roman"/>
          <w:sz w:val="24"/>
          <w:szCs w:val="24"/>
        </w:rPr>
        <w:t xml:space="preserve">arket </w:t>
      </w:r>
      <w:r w:rsidR="00CB381E">
        <w:rPr>
          <w:rFonts w:ascii="Times New Roman" w:hAnsi="Times New Roman" w:cs="Times New Roman"/>
          <w:sz w:val="24"/>
          <w:szCs w:val="24"/>
        </w:rPr>
        <w:t>prices. In the work of [9</w:t>
      </w:r>
      <w:r w:rsidR="00523369" w:rsidRPr="00490E3C">
        <w:rPr>
          <w:rFonts w:ascii="Times New Roman" w:hAnsi="Times New Roman" w:cs="Times New Roman"/>
          <w:sz w:val="24"/>
          <w:szCs w:val="24"/>
        </w:rPr>
        <w:t>] some analytical solutions of stochastic differential equations with respect to Martingale processes were</w:t>
      </w:r>
      <w:r w:rsidR="00CB381E">
        <w:rPr>
          <w:rFonts w:ascii="Times New Roman" w:hAnsi="Times New Roman" w:cs="Times New Roman"/>
          <w:sz w:val="24"/>
          <w:szCs w:val="24"/>
        </w:rPr>
        <w:t xml:space="preserve"> considered. On the contrary, [10</w:t>
      </w:r>
      <w:r w:rsidR="00523369" w:rsidRPr="00490E3C">
        <w:rPr>
          <w:rFonts w:ascii="Times New Roman" w:hAnsi="Times New Roman" w:cs="Times New Roman"/>
          <w:sz w:val="24"/>
          <w:szCs w:val="24"/>
        </w:rPr>
        <w:t>] examined the numerical techniques of solving stochastic differential equ</w:t>
      </w:r>
      <w:r w:rsidR="004C6DAD">
        <w:rPr>
          <w:rFonts w:ascii="Times New Roman" w:hAnsi="Times New Roman" w:cs="Times New Roman"/>
          <w:sz w:val="24"/>
          <w:szCs w:val="24"/>
        </w:rPr>
        <w:t>ations</w:t>
      </w:r>
      <w:r w:rsidR="00CB381E">
        <w:rPr>
          <w:rFonts w:ascii="Times New Roman" w:hAnsi="Times New Roman" w:cs="Times New Roman"/>
          <w:sz w:val="24"/>
          <w:szCs w:val="24"/>
        </w:rPr>
        <w:t xml:space="preserve">. </w:t>
      </w:r>
      <w:r w:rsidR="004C6DAD">
        <w:rPr>
          <w:rFonts w:ascii="Times New Roman" w:hAnsi="Times New Roman" w:cs="Times New Roman"/>
          <w:sz w:val="24"/>
          <w:szCs w:val="24"/>
        </w:rPr>
        <w:t>Consequently</w:t>
      </w:r>
      <w:r w:rsidR="00CB381E">
        <w:rPr>
          <w:rFonts w:ascii="Times New Roman" w:hAnsi="Times New Roman" w:cs="Times New Roman"/>
          <w:sz w:val="24"/>
          <w:szCs w:val="24"/>
        </w:rPr>
        <w:t>, [11</w:t>
      </w:r>
      <w:r w:rsidR="004C6DAD">
        <w:rPr>
          <w:rFonts w:ascii="Times New Roman" w:hAnsi="Times New Roman" w:cs="Times New Roman"/>
          <w:sz w:val="24"/>
          <w:szCs w:val="24"/>
        </w:rPr>
        <w:t>] studied</w:t>
      </w:r>
      <w:r w:rsidR="00523369" w:rsidRPr="00490E3C">
        <w:rPr>
          <w:rFonts w:ascii="Times New Roman" w:hAnsi="Times New Roman" w:cs="Times New Roman"/>
          <w:sz w:val="24"/>
          <w:szCs w:val="24"/>
        </w:rPr>
        <w:t xml:space="preserve"> on the stability of both analytical and numerical solutions for non-linear stochastic </w:t>
      </w:r>
      <w:r w:rsidR="00CB381E">
        <w:rPr>
          <w:rFonts w:ascii="Times New Roman" w:hAnsi="Times New Roman" w:cs="Times New Roman"/>
          <w:sz w:val="24"/>
          <w:szCs w:val="24"/>
        </w:rPr>
        <w:t>delay differential equations.</w:t>
      </w:r>
      <w:r w:rsidR="004C6DAD">
        <w:rPr>
          <w:rFonts w:ascii="Times New Roman" w:hAnsi="Times New Roman" w:cs="Times New Roman"/>
          <w:sz w:val="24"/>
          <w:szCs w:val="24"/>
        </w:rPr>
        <w:t xml:space="preserve"> Clearly</w:t>
      </w:r>
      <w:r w:rsidR="00CB381E">
        <w:rPr>
          <w:rFonts w:ascii="Times New Roman" w:hAnsi="Times New Roman" w:cs="Times New Roman"/>
          <w:sz w:val="24"/>
          <w:szCs w:val="24"/>
        </w:rPr>
        <w:t xml:space="preserve"> [12</w:t>
      </w:r>
      <w:r w:rsidR="00523369" w:rsidRPr="00490E3C">
        <w:rPr>
          <w:rFonts w:ascii="Times New Roman" w:hAnsi="Times New Roman" w:cs="Times New Roman"/>
          <w:sz w:val="24"/>
          <w:szCs w:val="24"/>
        </w:rPr>
        <w:t xml:space="preserve">] studied the solution of differential equations and stochastic differential equations </w:t>
      </w:r>
      <w:r w:rsidR="004C6DAD">
        <w:rPr>
          <w:rFonts w:ascii="Times New Roman" w:hAnsi="Times New Roman" w:cs="Times New Roman"/>
          <w:sz w:val="24"/>
          <w:szCs w:val="24"/>
        </w:rPr>
        <w:t>of time varying investments</w:t>
      </w:r>
      <w:r w:rsidR="00CB381E">
        <w:rPr>
          <w:rFonts w:ascii="Times New Roman" w:hAnsi="Times New Roman" w:cs="Times New Roman"/>
          <w:sz w:val="24"/>
          <w:szCs w:val="24"/>
        </w:rPr>
        <w:t xml:space="preserve">. </w:t>
      </w:r>
      <w:r w:rsidR="004C6DAD">
        <w:rPr>
          <w:rFonts w:ascii="Times New Roman" w:hAnsi="Times New Roman" w:cs="Times New Roman"/>
          <w:sz w:val="24"/>
          <w:szCs w:val="24"/>
        </w:rPr>
        <w:t>Furthermore</w:t>
      </w:r>
      <w:r w:rsidR="00CB381E">
        <w:rPr>
          <w:rFonts w:ascii="Times New Roman" w:hAnsi="Times New Roman" w:cs="Times New Roman"/>
          <w:sz w:val="24"/>
          <w:szCs w:val="24"/>
        </w:rPr>
        <w:t>, [13</w:t>
      </w:r>
      <w:r w:rsidR="00523369" w:rsidRPr="00490E3C">
        <w:rPr>
          <w:rFonts w:ascii="Times New Roman" w:hAnsi="Times New Roman" w:cs="Times New Roman"/>
          <w:sz w:val="24"/>
          <w:szCs w:val="24"/>
        </w:rPr>
        <w:t>] studied stochastic model of the fluctuations of sto</w:t>
      </w:r>
      <w:r w:rsidR="004C6DAD">
        <w:rPr>
          <w:rFonts w:ascii="Times New Roman" w:hAnsi="Times New Roman" w:cs="Times New Roman"/>
          <w:sz w:val="24"/>
          <w:szCs w:val="24"/>
        </w:rPr>
        <w:t>ck market price</w:t>
      </w:r>
      <w:r w:rsidR="00CB381E">
        <w:rPr>
          <w:rFonts w:ascii="Times New Roman" w:hAnsi="Times New Roman" w:cs="Times New Roman"/>
          <w:sz w:val="24"/>
          <w:szCs w:val="24"/>
        </w:rPr>
        <w:t xml:space="preserve">. </w:t>
      </w:r>
      <w:r w:rsidR="004C6DAD">
        <w:rPr>
          <w:rFonts w:ascii="Times New Roman" w:hAnsi="Times New Roman" w:cs="Times New Roman"/>
          <w:sz w:val="24"/>
          <w:szCs w:val="24"/>
        </w:rPr>
        <w:t>Hereafter</w:t>
      </w:r>
      <w:r w:rsidR="00CB381E">
        <w:rPr>
          <w:rFonts w:ascii="Times New Roman" w:hAnsi="Times New Roman" w:cs="Times New Roman"/>
          <w:sz w:val="24"/>
          <w:szCs w:val="24"/>
        </w:rPr>
        <w:t xml:space="preserve"> [14</w:t>
      </w:r>
      <w:r w:rsidR="00D806FB">
        <w:rPr>
          <w:rFonts w:ascii="Times New Roman" w:hAnsi="Times New Roman" w:cs="Times New Roman"/>
          <w:sz w:val="24"/>
          <w:szCs w:val="24"/>
        </w:rPr>
        <w:t xml:space="preserve">] examined the stability </w:t>
      </w:r>
      <w:r w:rsidR="00523369" w:rsidRPr="00490E3C">
        <w:rPr>
          <w:rFonts w:ascii="Times New Roman" w:hAnsi="Times New Roman" w:cs="Times New Roman"/>
          <w:sz w:val="24"/>
          <w:szCs w:val="24"/>
        </w:rPr>
        <w:t>behaviors of stochastic differential equations</w:t>
      </w:r>
      <w:r w:rsidR="00D806FB">
        <w:rPr>
          <w:rFonts w:ascii="Times New Roman" w:hAnsi="Times New Roman" w:cs="Times New Roman"/>
          <w:sz w:val="24"/>
          <w:szCs w:val="24"/>
        </w:rPr>
        <w:t xml:space="preserve"> </w:t>
      </w:r>
      <w:r w:rsidR="00523369" w:rsidRPr="00490E3C">
        <w:rPr>
          <w:rFonts w:ascii="Times New Roman" w:hAnsi="Times New Roman" w:cs="Times New Roman"/>
          <w:sz w:val="24"/>
          <w:szCs w:val="24"/>
        </w:rPr>
        <w:t>(SDEs) driven by time changed Bro</w:t>
      </w:r>
      <w:r w:rsidR="00CB381E">
        <w:rPr>
          <w:rFonts w:ascii="Times New Roman" w:hAnsi="Times New Roman" w:cs="Times New Roman"/>
          <w:sz w:val="24"/>
          <w:szCs w:val="24"/>
        </w:rPr>
        <w:t>wnian motions. Nevertheless, [15</w:t>
      </w:r>
      <w:r w:rsidR="00523369" w:rsidRPr="00490E3C">
        <w:rPr>
          <w:rFonts w:ascii="Times New Roman" w:hAnsi="Times New Roman" w:cs="Times New Roman"/>
          <w:sz w:val="24"/>
          <w:szCs w:val="24"/>
        </w:rPr>
        <w:t xml:space="preserve">] studied stochastic methods in real-world </w:t>
      </w:r>
      <w:r w:rsidR="00D806FB" w:rsidRPr="00490E3C">
        <w:rPr>
          <w:rFonts w:ascii="Times New Roman" w:hAnsi="Times New Roman" w:cs="Times New Roman"/>
          <w:sz w:val="24"/>
          <w:szCs w:val="24"/>
        </w:rPr>
        <w:t>description</w:t>
      </w:r>
      <w:r w:rsidR="00523369" w:rsidRPr="00490E3C">
        <w:rPr>
          <w:rFonts w:ascii="Times New Roman" w:hAnsi="Times New Roman" w:cs="Times New Roman"/>
          <w:sz w:val="24"/>
          <w:szCs w:val="24"/>
        </w:rPr>
        <w:t xml:space="preserve"> </w:t>
      </w:r>
      <w:r w:rsidR="00D806FB">
        <w:rPr>
          <w:rFonts w:ascii="Times New Roman" w:hAnsi="Times New Roman" w:cs="Times New Roman"/>
          <w:sz w:val="24"/>
          <w:szCs w:val="24"/>
        </w:rPr>
        <w:t>of financial models</w:t>
      </w:r>
      <w:r w:rsidR="00523369" w:rsidRPr="00490E3C">
        <w:rPr>
          <w:rFonts w:ascii="Times New Roman" w:hAnsi="Times New Roman" w:cs="Times New Roman"/>
          <w:sz w:val="24"/>
          <w:szCs w:val="24"/>
        </w:rPr>
        <w:t xml:space="preserve">. </w:t>
      </w:r>
      <w:r w:rsidR="00D806FB" w:rsidRPr="00490E3C">
        <w:rPr>
          <w:rFonts w:ascii="Times New Roman" w:hAnsi="Times New Roman" w:cs="Times New Roman"/>
          <w:sz w:val="24"/>
          <w:szCs w:val="24"/>
        </w:rPr>
        <w:t>Consequently</w:t>
      </w:r>
      <w:r w:rsidR="00523369" w:rsidRPr="00490E3C">
        <w:rPr>
          <w:rFonts w:ascii="Times New Roman" w:hAnsi="Times New Roman" w:cs="Times New Roman"/>
          <w:sz w:val="24"/>
          <w:szCs w:val="24"/>
        </w:rPr>
        <w:t xml:space="preserve"> many scholars has made</w:t>
      </w:r>
      <w:r w:rsidR="00D806FB">
        <w:rPr>
          <w:rFonts w:ascii="Times New Roman" w:hAnsi="Times New Roman" w:cs="Times New Roman"/>
          <w:sz w:val="24"/>
          <w:szCs w:val="24"/>
        </w:rPr>
        <w:t xml:space="preserve"> lots of</w:t>
      </w:r>
      <w:r w:rsidR="00523369" w:rsidRPr="00490E3C">
        <w:rPr>
          <w:rFonts w:ascii="Times New Roman" w:hAnsi="Times New Roman" w:cs="Times New Roman"/>
          <w:sz w:val="24"/>
          <w:szCs w:val="24"/>
        </w:rPr>
        <w:t xml:space="preserve"> useful impacts </w:t>
      </w:r>
      <w:r w:rsidR="00CB381E">
        <w:rPr>
          <w:rFonts w:ascii="Times New Roman" w:hAnsi="Times New Roman" w:cs="Times New Roman"/>
          <w:sz w:val="24"/>
          <w:szCs w:val="24"/>
        </w:rPr>
        <w:t>in stock p</w:t>
      </w:r>
      <w:r w:rsidR="00D806FB">
        <w:rPr>
          <w:rFonts w:ascii="Times New Roman" w:hAnsi="Times New Roman" w:cs="Times New Roman"/>
          <w:sz w:val="24"/>
          <w:szCs w:val="24"/>
        </w:rPr>
        <w:t>rice dynamics</w:t>
      </w:r>
      <w:r w:rsidR="00CB381E">
        <w:rPr>
          <w:rFonts w:ascii="Times New Roman" w:hAnsi="Times New Roman" w:cs="Times New Roman"/>
          <w:sz w:val="24"/>
          <w:szCs w:val="24"/>
        </w:rPr>
        <w:t>, see [16-21].</w:t>
      </w:r>
    </w:p>
    <w:p w14:paraId="546FD335" w14:textId="77777777" w:rsidR="00B804F1" w:rsidRPr="0006006C" w:rsidRDefault="00B804F1" w:rsidP="00B804F1">
      <w:pPr>
        <w:spacing w:line="240" w:lineRule="auto"/>
        <w:jc w:val="both"/>
        <w:rPr>
          <w:rFonts w:ascii="Times New Roman" w:hAnsi="Times New Roman" w:cs="Times New Roman"/>
          <w:sz w:val="24"/>
          <w:szCs w:val="24"/>
        </w:rPr>
      </w:pPr>
      <w:r w:rsidRPr="0006006C">
        <w:rPr>
          <w:rFonts w:ascii="Times New Roman" w:hAnsi="Times New Roman" w:cs="Times New Roman"/>
          <w:sz w:val="24"/>
          <w:szCs w:val="24"/>
        </w:rPr>
        <w:t xml:space="preserve">To correct this, time-dependent initial condition models have been proposed in the </w:t>
      </w:r>
      <w:r>
        <w:rPr>
          <w:rFonts w:ascii="Times New Roman" w:hAnsi="Times New Roman" w:cs="Times New Roman"/>
          <w:sz w:val="24"/>
          <w:szCs w:val="24"/>
        </w:rPr>
        <w:t>derivatives literature. [2] showed that allowing</w:t>
      </w:r>
      <w:r w:rsidRPr="0006006C">
        <w:rPr>
          <w:rFonts w:ascii="Times New Roman" w:hAnsi="Times New Roman" w:cs="Times New Roman"/>
          <w:sz w:val="24"/>
          <w:szCs w:val="24"/>
        </w:rPr>
        <w:t xml:space="preserve"> to vary with known cashflows improves the calibration of equity model</w:t>
      </w:r>
      <w:r>
        <w:rPr>
          <w:rFonts w:ascii="Times New Roman" w:hAnsi="Times New Roman" w:cs="Times New Roman"/>
          <w:sz w:val="24"/>
          <w:szCs w:val="24"/>
        </w:rPr>
        <w:t>s. Similarly, [3]</w:t>
      </w:r>
      <w:r w:rsidRPr="0006006C">
        <w:rPr>
          <w:rFonts w:ascii="Times New Roman" w:hAnsi="Times New Roman" w:cs="Times New Roman"/>
          <w:sz w:val="24"/>
          <w:szCs w:val="24"/>
        </w:rPr>
        <w:t xml:space="preserve"> demonstrated that benchmark models with deterministic seasonality outperform constant-parameter models in capt</w:t>
      </w:r>
      <w:r>
        <w:rPr>
          <w:rFonts w:ascii="Times New Roman" w:hAnsi="Times New Roman" w:cs="Times New Roman"/>
          <w:sz w:val="24"/>
          <w:szCs w:val="24"/>
        </w:rPr>
        <w:t>uring intra-year patterns.</w:t>
      </w:r>
    </w:p>
    <w:p w14:paraId="61067EFB" w14:textId="77777777" w:rsidR="00523369" w:rsidRPr="00490E3C" w:rsidRDefault="00B804F1" w:rsidP="0085769D">
      <w:pPr>
        <w:spacing w:line="240" w:lineRule="auto"/>
        <w:jc w:val="both"/>
        <w:rPr>
          <w:rFonts w:ascii="Times New Roman" w:hAnsi="Times New Roman" w:cs="Times New Roman"/>
          <w:sz w:val="24"/>
          <w:szCs w:val="24"/>
        </w:rPr>
      </w:pPr>
      <w:r>
        <w:rPr>
          <w:rFonts w:ascii="Times New Roman" w:hAnsi="Times New Roman" w:cs="Times New Roman"/>
          <w:sz w:val="24"/>
          <w:szCs w:val="24"/>
        </w:rPr>
        <w:t>In this paper</w:t>
      </w:r>
      <w:r w:rsidRPr="0006006C">
        <w:rPr>
          <w:rFonts w:ascii="Times New Roman" w:hAnsi="Times New Roman" w:cs="Times New Roman"/>
          <w:sz w:val="24"/>
          <w:szCs w:val="24"/>
        </w:rPr>
        <w:t>, we impleme</w:t>
      </w:r>
      <w:r>
        <w:rPr>
          <w:rFonts w:ascii="Times New Roman" w:hAnsi="Times New Roman" w:cs="Times New Roman"/>
          <w:sz w:val="24"/>
          <w:szCs w:val="24"/>
        </w:rPr>
        <w:t>nt a benchmark GBM with initial stock price</w:t>
      </w:r>
      <w:r w:rsidRPr="0006006C">
        <w:rPr>
          <w:rFonts w:ascii="Times New Roman" w:hAnsi="Times New Roman" w:cs="Times New Roman"/>
          <w:sz w:val="24"/>
          <w:szCs w:val="24"/>
        </w:rPr>
        <w:t xml:space="preserve"> to capture dividend seasonality. The baseline model provides a reference for comparison, while the seasonal extension explicitly models the periodic inflow/outflow of dividends. Together, they allow us to isolate the effect of dividend timing from general market drift and volatility, which is critical for valuation and risk management of Nigerian bank stocks.</w:t>
      </w:r>
    </w:p>
    <w:p w14:paraId="51423E25" w14:textId="77777777" w:rsidR="00523369" w:rsidRPr="00490E3C" w:rsidRDefault="00523369" w:rsidP="00523369">
      <w:pPr>
        <w:spacing w:line="240" w:lineRule="auto"/>
        <w:jc w:val="both"/>
        <w:rPr>
          <w:rFonts w:ascii="Times New Roman" w:hAnsi="Times New Roman" w:cs="Times New Roman"/>
          <w:sz w:val="24"/>
          <w:szCs w:val="24"/>
        </w:rPr>
      </w:pPr>
      <w:r w:rsidRPr="00490E3C">
        <w:rPr>
          <w:rFonts w:ascii="Times New Roman" w:hAnsi="Times New Roman" w:cs="Times New Roman"/>
          <w:sz w:val="24"/>
          <w:szCs w:val="24"/>
        </w:rPr>
        <w:t>This paper is given as follows: Section 2.1 presents the mathematical preliminaries, Results and discussion are seen in Section 3.1 and paper is concluded in Section 4.1.</w:t>
      </w:r>
    </w:p>
    <w:p w14:paraId="7556FEE9" w14:textId="77777777" w:rsidR="00523369" w:rsidRPr="00D6284B" w:rsidRDefault="00523369" w:rsidP="00523369">
      <w:pPr>
        <w:spacing w:line="240" w:lineRule="auto"/>
        <w:jc w:val="both"/>
        <w:rPr>
          <w:rFonts w:ascii="Times New Roman" w:hAnsi="Times New Roman" w:cs="Times New Roman"/>
          <w:b/>
          <w:sz w:val="24"/>
          <w:szCs w:val="24"/>
        </w:rPr>
      </w:pPr>
      <w:r w:rsidRPr="00D6284B">
        <w:rPr>
          <w:rFonts w:ascii="Times New Roman" w:hAnsi="Times New Roman" w:cs="Times New Roman"/>
          <w:b/>
          <w:sz w:val="24"/>
          <w:szCs w:val="24"/>
        </w:rPr>
        <w:t>2.1: Mathematical Preliminaries</w:t>
      </w:r>
    </w:p>
    <w:p w14:paraId="257E18F2" w14:textId="77777777" w:rsidR="00523369" w:rsidRPr="00D6284B" w:rsidRDefault="0085769D" w:rsidP="00523369">
      <w:pPr>
        <w:spacing w:line="240" w:lineRule="auto"/>
        <w:jc w:val="both"/>
        <w:rPr>
          <w:rFonts w:ascii="Times New Roman" w:hAnsi="Times New Roman" w:cs="Times New Roman"/>
          <w:sz w:val="24"/>
          <w:szCs w:val="24"/>
        </w:rPr>
      </w:pPr>
      <w:r>
        <w:rPr>
          <w:rFonts w:ascii="Times New Roman" w:hAnsi="Times New Roman" w:cs="Times New Roman"/>
          <w:sz w:val="24"/>
          <w:szCs w:val="24"/>
        </w:rPr>
        <w:t>At this point,</w:t>
      </w:r>
      <w:r w:rsidR="00523369" w:rsidRPr="00D6284B">
        <w:rPr>
          <w:rFonts w:ascii="Times New Roman" w:hAnsi="Times New Roman" w:cs="Times New Roman"/>
          <w:sz w:val="24"/>
          <w:szCs w:val="24"/>
        </w:rPr>
        <w:t xml:space="preserve"> we present few basic definitions as touching this dynamic area of study, hence we have as follows:</w:t>
      </w:r>
    </w:p>
    <w:p w14:paraId="718FCFC2" w14:textId="77777777" w:rsidR="00523369" w:rsidRPr="00D6284B" w:rsidRDefault="00523369" w:rsidP="00523369">
      <w:pPr>
        <w:spacing w:line="240" w:lineRule="auto"/>
        <w:jc w:val="both"/>
        <w:rPr>
          <w:rFonts w:ascii="Times New Roman" w:hAnsi="Times New Roman" w:cs="Times New Roman"/>
          <w:sz w:val="24"/>
          <w:szCs w:val="24"/>
        </w:rPr>
      </w:pPr>
      <w:r w:rsidRPr="00D6284B">
        <w:rPr>
          <w:rFonts w:ascii="Times New Roman" w:hAnsi="Times New Roman" w:cs="Times New Roman"/>
          <w:b/>
          <w:sz w:val="24"/>
          <w:szCs w:val="24"/>
        </w:rPr>
        <w:t>Definition 1</w:t>
      </w:r>
      <w:r w:rsidRPr="00D6284B">
        <w:rPr>
          <w:rFonts w:ascii="Times New Roman" w:hAnsi="Times New Roman" w:cs="Times New Roman"/>
          <w:sz w:val="24"/>
          <w:szCs w:val="24"/>
        </w:rPr>
        <w:t>: A random variable</w:t>
      </w:r>
      <w:r w:rsidRPr="00D6284B">
        <w:rPr>
          <w:rFonts w:ascii="Times New Roman" w:hAnsi="Times New Roman" w:cs="Times New Roman"/>
          <w:position w:val="-4"/>
          <w:sz w:val="24"/>
          <w:szCs w:val="24"/>
        </w:rPr>
        <w:object w:dxaOrig="279" w:dyaOrig="259" w14:anchorId="3C9A3C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2.9pt;height:12.25pt;mso-position-horizontal-relative:page;mso-position-vertical-relative:page" o:ole="">
            <v:imagedata r:id="rId7" o:title=""/>
          </v:shape>
          <o:OLEObject Type="Embed" ProgID="Equation.DSMT4" ShapeID="Object 1" DrawAspect="Content" ObjectID="_1851508606" r:id="rId8"/>
        </w:object>
      </w:r>
      <w:r w:rsidRPr="00D6284B">
        <w:rPr>
          <w:rFonts w:ascii="Times New Roman" w:hAnsi="Times New Roman" w:cs="Times New Roman"/>
          <w:sz w:val="24"/>
          <w:szCs w:val="24"/>
        </w:rPr>
        <w:t xml:space="preserve"> is said to be a function if </w:t>
      </w:r>
      <w:r w:rsidRPr="00D6284B">
        <w:rPr>
          <w:rFonts w:ascii="Times New Roman" w:hAnsi="Times New Roman" w:cs="Times New Roman"/>
          <w:position w:val="-6"/>
          <w:sz w:val="24"/>
          <w:szCs w:val="24"/>
        </w:rPr>
        <w:object w:dxaOrig="1159" w:dyaOrig="279" w14:anchorId="0408AAB3">
          <v:shape id="Object 2" o:spid="_x0000_i1026" type="#_x0000_t75" style="width:59.1pt;height:12.9pt;mso-position-horizontal-relative:page;mso-position-vertical-relative:page" o:ole="">
            <v:imagedata r:id="rId9" o:title=""/>
          </v:shape>
          <o:OLEObject Type="Embed" ProgID="Equation.DSMT4" ShapeID="Object 2" DrawAspect="Content" ObjectID="_1851508607" r:id="rId10"/>
        </w:object>
      </w:r>
      <w:r w:rsidRPr="00D6284B">
        <w:rPr>
          <w:rFonts w:ascii="Times New Roman" w:hAnsi="Times New Roman" w:cs="Times New Roman"/>
          <w:sz w:val="24"/>
          <w:szCs w:val="24"/>
        </w:rPr>
        <w:t xml:space="preserve"> that is</w:t>
      </w:r>
      <w:r w:rsidRPr="00D6284B">
        <w:rPr>
          <w:rFonts w:ascii="Times New Roman" w:hAnsi="Times New Roman" w:cs="Times New Roman"/>
          <w:position w:val="-4"/>
          <w:sz w:val="24"/>
          <w:szCs w:val="24"/>
        </w:rPr>
        <w:object w:dxaOrig="219" w:dyaOrig="259" w14:anchorId="5B893C23">
          <v:shape id="Object 3" o:spid="_x0000_i1027" type="#_x0000_t75" style="width:10.2pt;height:12.25pt;mso-position-horizontal-relative:page;mso-position-vertical-relative:page" o:ole="">
            <v:imagedata r:id="rId11" o:title=""/>
          </v:shape>
          <o:OLEObject Type="Embed" ProgID="Equation.DSMT4" ShapeID="Object 3" DrawAspect="Content" ObjectID="_1851508608" r:id="rId12"/>
        </w:object>
      </w:r>
      <w:r w:rsidRPr="00D6284B">
        <w:rPr>
          <w:rFonts w:ascii="Times New Roman" w:hAnsi="Times New Roman" w:cs="Times New Roman"/>
          <w:sz w:val="24"/>
          <w:szCs w:val="24"/>
        </w:rPr>
        <w:t xml:space="preserve"> -measurable if for all </w:t>
      </w:r>
      <w:r w:rsidRPr="00D6284B">
        <w:rPr>
          <w:rFonts w:ascii="Times New Roman" w:hAnsi="Times New Roman" w:cs="Times New Roman"/>
          <w:position w:val="-14"/>
          <w:sz w:val="24"/>
          <w:szCs w:val="24"/>
        </w:rPr>
        <w:object w:dxaOrig="1039" w:dyaOrig="399" w14:anchorId="3AD503E0">
          <v:shape id="Object 4" o:spid="_x0000_i1028" type="#_x0000_t75" style="width:52.3pt;height:19.7pt;mso-position-horizontal-relative:page;mso-position-vertical-relative:page" o:ole="">
            <v:imagedata r:id="rId13" o:title=""/>
          </v:shape>
          <o:OLEObject Type="Embed" ProgID="Equation.DSMT4" ShapeID="Object 4" DrawAspect="Content" ObjectID="_1851508609" r:id="rId14"/>
        </w:object>
      </w:r>
      <w:r w:rsidRPr="00D6284B">
        <w:rPr>
          <w:rFonts w:ascii="Times New Roman" w:hAnsi="Times New Roman" w:cs="Times New Roman"/>
          <w:sz w:val="24"/>
          <w:szCs w:val="24"/>
        </w:rPr>
        <w:t xml:space="preserve"> ,</w:t>
      </w:r>
    </w:p>
    <w:p w14:paraId="35222922" w14:textId="77777777" w:rsidR="00523369" w:rsidRPr="00D6284B" w:rsidRDefault="00523369" w:rsidP="00523369">
      <w:pPr>
        <w:pStyle w:val="MTDisplayEquation"/>
        <w:spacing w:line="240" w:lineRule="auto"/>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14"/>
          <w:sz w:val="24"/>
          <w:szCs w:val="24"/>
        </w:rPr>
        <w:object w:dxaOrig="1219" w:dyaOrig="399" w14:anchorId="19027734">
          <v:shape id="Object 5" o:spid="_x0000_i1029" type="#_x0000_t75" style="width:61.8pt;height:19.7pt;mso-position-horizontal-relative:page;mso-position-vertical-relative:page" o:ole="">
            <v:imagedata r:id="rId15" o:title=""/>
          </v:shape>
          <o:OLEObject Type="Embed" ProgID="Equation.DSMT4" ShapeID="Object 5" DrawAspect="Content" ObjectID="_1851508610" r:id="rId16"/>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p>
    <w:p w14:paraId="7A90C74D" w14:textId="77777777" w:rsidR="00523369" w:rsidRPr="00D6284B" w:rsidRDefault="00523369" w:rsidP="00523369">
      <w:pPr>
        <w:pStyle w:val="MTDisplayEquation"/>
        <w:spacing w:after="0" w:line="240" w:lineRule="auto"/>
        <w:jc w:val="both"/>
        <w:rPr>
          <w:rFonts w:ascii="Times New Roman" w:hAnsi="Times New Roman" w:cs="Times New Roman"/>
          <w:sz w:val="24"/>
          <w:szCs w:val="24"/>
        </w:rPr>
      </w:pPr>
      <w:r w:rsidRPr="00D6284B">
        <w:rPr>
          <w:rFonts w:ascii="Times New Roman" w:hAnsi="Times New Roman" w:cs="Times New Roman"/>
          <w:sz w:val="24"/>
          <w:szCs w:val="24"/>
        </w:rPr>
        <w:tab/>
      </w:r>
    </w:p>
    <w:p w14:paraId="1F3ADFE4" w14:textId="77777777" w:rsidR="00523369" w:rsidRPr="00D6284B" w:rsidRDefault="00523369" w:rsidP="00523369">
      <w:pPr>
        <w:spacing w:line="240" w:lineRule="auto"/>
        <w:jc w:val="both"/>
        <w:rPr>
          <w:rFonts w:ascii="Times New Roman" w:hAnsi="Times New Roman" w:cs="Times New Roman"/>
          <w:sz w:val="24"/>
          <w:szCs w:val="24"/>
        </w:rPr>
      </w:pPr>
      <w:r w:rsidRPr="00D6284B">
        <w:rPr>
          <w:rFonts w:ascii="Times New Roman" w:hAnsi="Times New Roman" w:cs="Times New Roman"/>
          <w:b/>
          <w:bCs/>
          <w:sz w:val="24"/>
          <w:szCs w:val="24"/>
        </w:rPr>
        <w:t>Definition 2. Stochastic process</w:t>
      </w:r>
      <w:r w:rsidRPr="00D6284B">
        <w:rPr>
          <w:rFonts w:ascii="Times New Roman" w:hAnsi="Times New Roman" w:cs="Times New Roman"/>
          <w:sz w:val="24"/>
          <w:szCs w:val="24"/>
        </w:rPr>
        <w:t>: A stochastic process</w:t>
      </w:r>
      <w:r w:rsidRPr="00D6284B">
        <w:rPr>
          <w:rFonts w:ascii="Times New Roman" w:hAnsi="Times New Roman" w:cs="Times New Roman"/>
          <w:noProof/>
          <w:position w:val="-14"/>
          <w:sz w:val="24"/>
          <w:szCs w:val="24"/>
        </w:rPr>
        <w:drawing>
          <wp:inline distT="0" distB="0" distL="0" distR="0" wp14:anchorId="60E96D1C" wp14:editId="760BC3A7">
            <wp:extent cx="333375" cy="24765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Pr="00D6284B">
        <w:rPr>
          <w:rFonts w:ascii="Times New Roman" w:hAnsi="Times New Roman" w:cs="Times New Roman"/>
          <w:sz w:val="24"/>
          <w:szCs w:val="24"/>
        </w:rPr>
        <w:t xml:space="preserve"> is a relations of random variables</w:t>
      </w:r>
      <w:r w:rsidRPr="00D6284B">
        <w:rPr>
          <w:rFonts w:ascii="Times New Roman" w:hAnsi="Times New Roman" w:cs="Times New Roman"/>
          <w:noProof/>
          <w:position w:val="-14"/>
          <w:sz w:val="24"/>
          <w:szCs w:val="24"/>
        </w:rPr>
        <w:drawing>
          <wp:inline distT="0" distB="0" distL="0" distR="0" wp14:anchorId="3C5DE0DE" wp14:editId="78888095">
            <wp:extent cx="1238250" cy="247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8250" cy="247650"/>
                    </a:xfrm>
                    <a:prstGeom prst="rect">
                      <a:avLst/>
                    </a:prstGeom>
                    <a:noFill/>
                    <a:ln>
                      <a:noFill/>
                    </a:ln>
                  </pic:spPr>
                </pic:pic>
              </a:graphicData>
            </a:graphic>
          </wp:inline>
        </w:drawing>
      </w:r>
      <w:r w:rsidRPr="00D6284B">
        <w:rPr>
          <w:rFonts w:ascii="Times New Roman" w:hAnsi="Times New Roman" w:cs="Times New Roman"/>
          <w:sz w:val="24"/>
          <w:szCs w:val="24"/>
        </w:rPr>
        <w:t xml:space="preserve">, </w:t>
      </w:r>
      <w:proofErr w:type="spellStart"/>
      <w:r w:rsidRPr="00D6284B">
        <w:rPr>
          <w:rFonts w:ascii="Times New Roman" w:hAnsi="Times New Roman" w:cs="Times New Roman"/>
          <w:sz w:val="24"/>
          <w:szCs w:val="24"/>
        </w:rPr>
        <w:t>i.e</w:t>
      </w:r>
      <w:proofErr w:type="spellEnd"/>
      <w:r w:rsidRPr="00D6284B">
        <w:rPr>
          <w:rFonts w:ascii="Times New Roman" w:hAnsi="Times New Roman" w:cs="Times New Roman"/>
          <w:sz w:val="24"/>
          <w:szCs w:val="24"/>
        </w:rPr>
        <w:t xml:space="preserve">, for each </w:t>
      </w:r>
      <w:r w:rsidRPr="00D6284B">
        <w:rPr>
          <w:rFonts w:ascii="Times New Roman" w:hAnsi="Times New Roman" w:cs="Times New Roman"/>
          <w:noProof/>
          <w:position w:val="-6"/>
          <w:sz w:val="24"/>
          <w:szCs w:val="24"/>
        </w:rPr>
        <w:drawing>
          <wp:inline distT="0" distB="0" distL="0" distR="0" wp14:anchorId="27B9CF76" wp14:editId="1E58BAF6">
            <wp:extent cx="85725" cy="1143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5725" cy="114300"/>
                    </a:xfrm>
                    <a:prstGeom prst="rect">
                      <a:avLst/>
                    </a:prstGeom>
                    <a:noFill/>
                    <a:ln>
                      <a:noFill/>
                    </a:ln>
                  </pic:spPr>
                </pic:pic>
              </a:graphicData>
            </a:graphic>
          </wp:inline>
        </w:drawing>
      </w:r>
      <w:r w:rsidRPr="00D6284B">
        <w:rPr>
          <w:rFonts w:ascii="Times New Roman" w:hAnsi="Times New Roman" w:cs="Times New Roman"/>
          <w:sz w:val="24"/>
          <w:szCs w:val="24"/>
        </w:rPr>
        <w:t xml:space="preserve"> in the index set</w:t>
      </w:r>
      <w:r w:rsidRPr="00D6284B">
        <w:rPr>
          <w:rFonts w:ascii="Times New Roman" w:hAnsi="Times New Roman" w:cs="Times New Roman"/>
          <w:noProof/>
          <w:position w:val="-14"/>
          <w:sz w:val="24"/>
          <w:szCs w:val="24"/>
        </w:rPr>
        <w:drawing>
          <wp:inline distT="0" distB="0" distL="0" distR="0" wp14:anchorId="4D0921B8" wp14:editId="725F6C14">
            <wp:extent cx="495300" cy="247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r w:rsidRPr="00D6284B">
        <w:rPr>
          <w:rFonts w:ascii="Times New Roman" w:hAnsi="Times New Roman" w:cs="Times New Roman"/>
          <w:sz w:val="24"/>
          <w:szCs w:val="24"/>
        </w:rPr>
        <w:t xml:space="preserve"> is a random variable. Now we understand </w:t>
      </w:r>
      <w:r w:rsidRPr="00D6284B">
        <w:rPr>
          <w:rFonts w:ascii="Times New Roman" w:hAnsi="Times New Roman" w:cs="Times New Roman"/>
          <w:noProof/>
          <w:position w:val="-6"/>
          <w:sz w:val="24"/>
          <w:szCs w:val="24"/>
        </w:rPr>
        <w:drawing>
          <wp:inline distT="0" distB="0" distL="0" distR="0" wp14:anchorId="51C22C1B" wp14:editId="2122F6C8">
            <wp:extent cx="85725" cy="1143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5725" cy="114300"/>
                    </a:xfrm>
                    <a:prstGeom prst="rect">
                      <a:avLst/>
                    </a:prstGeom>
                    <a:noFill/>
                    <a:ln>
                      <a:noFill/>
                    </a:ln>
                  </pic:spPr>
                </pic:pic>
              </a:graphicData>
            </a:graphic>
          </wp:inline>
        </w:drawing>
      </w:r>
      <w:r w:rsidRPr="00D6284B">
        <w:rPr>
          <w:rFonts w:ascii="Times New Roman" w:hAnsi="Times New Roman" w:cs="Times New Roman"/>
          <w:sz w:val="24"/>
          <w:szCs w:val="24"/>
        </w:rPr>
        <w:t xml:space="preserve"> as time and call </w:t>
      </w:r>
      <w:r w:rsidRPr="00D6284B">
        <w:rPr>
          <w:rFonts w:ascii="Times New Roman" w:hAnsi="Times New Roman" w:cs="Times New Roman"/>
          <w:noProof/>
          <w:position w:val="-14"/>
          <w:sz w:val="24"/>
          <w:szCs w:val="24"/>
        </w:rPr>
        <w:drawing>
          <wp:inline distT="0" distB="0" distL="0" distR="0" wp14:anchorId="55620A81" wp14:editId="2D39EB61">
            <wp:extent cx="333375" cy="2476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33375" cy="247650"/>
                    </a:xfrm>
                    <a:prstGeom prst="rect">
                      <a:avLst/>
                    </a:prstGeom>
                    <a:noFill/>
                    <a:ln>
                      <a:noFill/>
                    </a:ln>
                  </pic:spPr>
                </pic:pic>
              </a:graphicData>
            </a:graphic>
          </wp:inline>
        </w:drawing>
      </w:r>
      <w:r w:rsidRPr="00D6284B">
        <w:rPr>
          <w:rFonts w:ascii="Times New Roman" w:hAnsi="Times New Roman" w:cs="Times New Roman"/>
          <w:sz w:val="24"/>
          <w:szCs w:val="24"/>
        </w:rPr>
        <w:t xml:space="preserve"> the state of the procedure at time </w:t>
      </w:r>
      <w:r w:rsidRPr="00D6284B">
        <w:rPr>
          <w:rFonts w:ascii="Times New Roman" w:hAnsi="Times New Roman" w:cs="Times New Roman"/>
          <w:noProof/>
          <w:position w:val="-6"/>
          <w:sz w:val="24"/>
          <w:szCs w:val="24"/>
        </w:rPr>
        <w:drawing>
          <wp:inline distT="0" distB="0" distL="0" distR="0" wp14:anchorId="2207AD06" wp14:editId="1B858F48">
            <wp:extent cx="85725" cy="1143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5725" cy="114300"/>
                    </a:xfrm>
                    <a:prstGeom prst="rect">
                      <a:avLst/>
                    </a:prstGeom>
                    <a:noFill/>
                    <a:ln>
                      <a:noFill/>
                    </a:ln>
                  </pic:spPr>
                </pic:pic>
              </a:graphicData>
            </a:graphic>
          </wp:inline>
        </w:drawing>
      </w:r>
      <w:r w:rsidRPr="00D6284B">
        <w:rPr>
          <w:rFonts w:ascii="Times New Roman" w:hAnsi="Times New Roman" w:cs="Times New Roman"/>
          <w:sz w:val="24"/>
          <w:szCs w:val="24"/>
        </w:rPr>
        <w:t xml:space="preserve"> . In view of the fact that a stochastic process is a relation of random variables, its requirement is similar to that for random vectors.</w:t>
      </w:r>
    </w:p>
    <w:p w14:paraId="30ABFEAD" w14:textId="77777777" w:rsidR="00523369" w:rsidRPr="00D6284B" w:rsidRDefault="0085769D" w:rsidP="00523369">
      <w:pPr>
        <w:pStyle w:val="MTDisplayEquation"/>
        <w:spacing w:line="240" w:lineRule="auto"/>
        <w:jc w:val="both"/>
        <w:rPr>
          <w:rFonts w:ascii="Times New Roman" w:hAnsi="Times New Roman" w:cs="Times New Roman"/>
          <w:sz w:val="24"/>
          <w:szCs w:val="24"/>
        </w:rPr>
      </w:pPr>
      <w:r>
        <w:rPr>
          <w:rFonts w:ascii="Times New Roman" w:hAnsi="Times New Roman" w:cs="Times New Roman"/>
          <w:b/>
          <w:sz w:val="24"/>
          <w:szCs w:val="24"/>
        </w:rPr>
        <w:t>Definition 3</w:t>
      </w:r>
      <w:r w:rsidR="00523369" w:rsidRPr="00D6284B">
        <w:rPr>
          <w:rFonts w:ascii="Times New Roman" w:hAnsi="Times New Roman" w:cs="Times New Roman"/>
          <w:b/>
          <w:sz w:val="24"/>
          <w:szCs w:val="24"/>
        </w:rPr>
        <w:t xml:space="preserve">: </w:t>
      </w:r>
      <w:r w:rsidR="00523369" w:rsidRPr="00D6284B">
        <w:rPr>
          <w:rFonts w:ascii="Times New Roman" w:hAnsi="Times New Roman" w:cs="Times New Roman"/>
          <w:sz w:val="24"/>
          <w:szCs w:val="24"/>
        </w:rPr>
        <w:t>A standard Brownian motion is simply a stochastic process</w:t>
      </w:r>
      <w:r w:rsidR="00523369" w:rsidRPr="00D6284B">
        <w:rPr>
          <w:rFonts w:ascii="Times New Roman" w:hAnsi="Times New Roman" w:cs="Times New Roman"/>
          <w:position w:val="-14"/>
          <w:sz w:val="24"/>
          <w:szCs w:val="24"/>
        </w:rPr>
        <w:object w:dxaOrig="699" w:dyaOrig="399" w14:anchorId="0EA3BCAB">
          <v:shape id="Object 21" o:spid="_x0000_i1030" type="#_x0000_t75" style="width:35.3pt;height:19.7pt;mso-position-horizontal-relative:page;mso-position-vertical-relative:page" o:ole="">
            <v:imagedata r:id="rId24" o:title=""/>
          </v:shape>
          <o:OLEObject Type="Embed" ProgID="Equation.DSMT4" ShapeID="Object 21" DrawAspect="Content" ObjectID="_1851508611" r:id="rId25"/>
        </w:object>
      </w:r>
      <w:r w:rsidR="00523369" w:rsidRPr="00D6284B">
        <w:rPr>
          <w:rFonts w:ascii="Times New Roman" w:hAnsi="Times New Roman" w:cs="Times New Roman"/>
          <w:sz w:val="24"/>
          <w:szCs w:val="24"/>
        </w:rPr>
        <w:t xml:space="preserve"> with the following properties:</w:t>
      </w:r>
    </w:p>
    <w:p w14:paraId="51560C50"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lastRenderedPageBreak/>
        <w:t>With probability 1,</w:t>
      </w:r>
      <w:r w:rsidRPr="00D6284B">
        <w:rPr>
          <w:rFonts w:ascii="Times New Roman" w:hAnsi="Times New Roman"/>
          <w:position w:val="-4"/>
          <w:sz w:val="24"/>
          <w:szCs w:val="24"/>
        </w:rPr>
        <w:object w:dxaOrig="179" w:dyaOrig="279" w14:anchorId="3A899721">
          <v:shape id="Object 22" o:spid="_x0000_i1031" type="#_x0000_t75" style="width:9.5pt;height:14.25pt;mso-position-horizontal-relative:page;mso-position-vertical-relative:page" o:ole="">
            <v:imagedata r:id="rId26" o:title=""/>
          </v:shape>
          <o:OLEObject Type="Embed" ProgID="Equation.DSMT4" ShapeID="Object 22" DrawAspect="Content" ObjectID="_1851508612" r:id="rId27"/>
        </w:object>
      </w:r>
      <w:r w:rsidRPr="00D6284B">
        <w:rPr>
          <w:rFonts w:ascii="Times New Roman" w:hAnsi="Times New Roman"/>
          <w:sz w:val="24"/>
          <w:szCs w:val="24"/>
        </w:rPr>
        <w:t xml:space="preserve"> </w:t>
      </w:r>
      <w:r w:rsidRPr="00D6284B">
        <w:rPr>
          <w:rFonts w:ascii="Times New Roman" w:hAnsi="Times New Roman"/>
          <w:position w:val="-12"/>
          <w:sz w:val="24"/>
          <w:szCs w:val="24"/>
        </w:rPr>
        <w:object w:dxaOrig="739" w:dyaOrig="359" w14:anchorId="4B77B0DE">
          <v:shape id="Object 23" o:spid="_x0000_i1032" type="#_x0000_t75" style="width:36.7pt;height:17.65pt;mso-position-horizontal-relative:page;mso-position-vertical-relative:page" o:ole="">
            <v:imagedata r:id="rId28" o:title=""/>
          </v:shape>
          <o:OLEObject Type="Embed" ProgID="Equation.DSMT4" ShapeID="Object 23" DrawAspect="Content" ObjectID="_1851508613" r:id="rId29"/>
        </w:object>
      </w:r>
      <w:r w:rsidRPr="00D6284B">
        <w:rPr>
          <w:rFonts w:ascii="Times New Roman" w:hAnsi="Times New Roman"/>
          <w:sz w:val="24"/>
          <w:szCs w:val="24"/>
        </w:rPr>
        <w:t xml:space="preserve"> </w:t>
      </w:r>
    </w:p>
    <w:p w14:paraId="6D232E41"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t xml:space="preserve">For all </w:t>
      </w:r>
      <w:r w:rsidRPr="00D6284B">
        <w:rPr>
          <w:rFonts w:ascii="Times New Roman" w:hAnsi="Times New Roman"/>
          <w:position w:val="-12"/>
          <w:sz w:val="24"/>
          <w:szCs w:val="24"/>
        </w:rPr>
        <w:object w:dxaOrig="1938" w:dyaOrig="359" w14:anchorId="49C9135C">
          <v:shape id="Object 24" o:spid="_x0000_i1033" type="#_x0000_t75" style="width:97.8pt;height:17.65pt;mso-position-horizontal-relative:page;mso-position-vertical-relative:page" o:ole="">
            <v:imagedata r:id="rId30" o:title=""/>
          </v:shape>
          <o:OLEObject Type="Embed" ProgID="Equation.DSMT4" ShapeID="Object 24" DrawAspect="Content" ObjectID="_1851508614" r:id="rId31"/>
        </w:object>
      </w:r>
      <w:r w:rsidRPr="00D6284B">
        <w:rPr>
          <w:rFonts w:ascii="Times New Roman" w:hAnsi="Times New Roman"/>
          <w:sz w:val="24"/>
          <w:szCs w:val="24"/>
        </w:rPr>
        <w:t xml:space="preserve"> the increments </w:t>
      </w:r>
      <w:r w:rsidRPr="00D6284B">
        <w:rPr>
          <w:rFonts w:ascii="Times New Roman" w:hAnsi="Times New Roman"/>
          <w:position w:val="-12"/>
          <w:sz w:val="24"/>
          <w:szCs w:val="24"/>
        </w:rPr>
        <w:object w:dxaOrig="3180" w:dyaOrig="359" w14:anchorId="41F87AAD">
          <v:shape id="Object 25" o:spid="_x0000_i1034" type="#_x0000_t75" style="width:159.6pt;height:17.65pt;mso-position-horizontal-relative:page;mso-position-vertical-relative:page" o:ole="">
            <v:imagedata r:id="rId32" o:title=""/>
          </v:shape>
          <o:OLEObject Type="Embed" ProgID="Equation.DSMT4" ShapeID="Object 25" DrawAspect="Content" ObjectID="_1851508615" r:id="rId33"/>
        </w:object>
      </w:r>
      <w:r w:rsidRPr="00D6284B">
        <w:rPr>
          <w:rFonts w:ascii="Times New Roman" w:hAnsi="Times New Roman"/>
          <w:sz w:val="24"/>
          <w:szCs w:val="24"/>
        </w:rPr>
        <w:t xml:space="preserve"> are independent.</w:t>
      </w:r>
    </w:p>
    <w:p w14:paraId="79B2619B"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t xml:space="preserve">For </w:t>
      </w:r>
      <w:r w:rsidRPr="00D6284B">
        <w:rPr>
          <w:rFonts w:ascii="Times New Roman" w:hAnsi="Times New Roman"/>
          <w:position w:val="-14"/>
          <w:sz w:val="24"/>
          <w:szCs w:val="24"/>
        </w:rPr>
        <w:object w:dxaOrig="2981" w:dyaOrig="399" w14:anchorId="748718E9">
          <v:shape id="Object 26" o:spid="_x0000_i1035" type="#_x0000_t75" style="width:148.75pt;height:19.7pt;mso-position-horizontal-relative:page;mso-position-vertical-relative:page" o:ole="">
            <v:imagedata r:id="rId34" o:title=""/>
          </v:shape>
          <o:OLEObject Type="Embed" ProgID="Equation.DSMT4" ShapeID="Object 26" DrawAspect="Content" ObjectID="_1851508616" r:id="rId35"/>
        </w:object>
      </w:r>
      <w:r w:rsidRPr="00D6284B">
        <w:rPr>
          <w:rFonts w:ascii="Times New Roman" w:hAnsi="Times New Roman"/>
          <w:sz w:val="24"/>
          <w:szCs w:val="24"/>
        </w:rPr>
        <w:t xml:space="preserve"> .</w:t>
      </w:r>
    </w:p>
    <w:p w14:paraId="4B576A06" w14:textId="77777777" w:rsidR="00523369" w:rsidRPr="00D6284B" w:rsidRDefault="00523369" w:rsidP="00523369">
      <w:pPr>
        <w:pStyle w:val="ListParagraph"/>
        <w:numPr>
          <w:ilvl w:val="0"/>
          <w:numId w:val="1"/>
        </w:numPr>
        <w:spacing w:after="200" w:line="240" w:lineRule="auto"/>
        <w:jc w:val="both"/>
        <w:rPr>
          <w:rFonts w:ascii="Times New Roman" w:hAnsi="Times New Roman"/>
          <w:sz w:val="24"/>
          <w:szCs w:val="24"/>
        </w:rPr>
      </w:pPr>
      <w:r w:rsidRPr="00D6284B">
        <w:rPr>
          <w:rFonts w:ascii="Times New Roman" w:hAnsi="Times New Roman"/>
          <w:sz w:val="24"/>
          <w:szCs w:val="24"/>
        </w:rPr>
        <w:t xml:space="preserve">With probability 1, the function </w:t>
      </w:r>
      <w:r w:rsidRPr="00D6284B">
        <w:rPr>
          <w:rFonts w:ascii="Times New Roman" w:hAnsi="Times New Roman"/>
          <w:position w:val="-12"/>
          <w:sz w:val="24"/>
          <w:szCs w:val="24"/>
        </w:rPr>
        <w:object w:dxaOrig="559" w:dyaOrig="359" w14:anchorId="7DD38938">
          <v:shape id="Object 27" o:spid="_x0000_i1036" type="#_x0000_t75" style="width:27.15pt;height:17.65pt;mso-position-horizontal-relative:page;mso-position-vertical-relative:page" o:ole="">
            <v:imagedata r:id="rId36" o:title=""/>
          </v:shape>
          <o:OLEObject Type="Embed" ProgID="Equation.DSMT4" ShapeID="Object 27" DrawAspect="Content" ObjectID="_1851508617" r:id="rId37"/>
        </w:object>
      </w:r>
      <w:r w:rsidRPr="00D6284B">
        <w:rPr>
          <w:rFonts w:ascii="Times New Roman" w:hAnsi="Times New Roman"/>
          <w:sz w:val="24"/>
          <w:szCs w:val="24"/>
        </w:rPr>
        <w:t xml:space="preserve"> is continuous.</w:t>
      </w:r>
    </w:p>
    <w:p w14:paraId="738B459D" w14:textId="77777777" w:rsidR="00523369" w:rsidRPr="00D6284B" w:rsidRDefault="00523369" w:rsidP="00523369">
      <w:pPr>
        <w:jc w:val="both"/>
        <w:rPr>
          <w:rFonts w:ascii="Times New Roman" w:hAnsi="Times New Roman" w:cs="Times New Roman"/>
          <w:sz w:val="24"/>
          <w:szCs w:val="24"/>
        </w:rPr>
      </w:pPr>
      <w:r>
        <w:rPr>
          <w:rFonts w:ascii="Times New Roman" w:hAnsi="Times New Roman" w:cs="Times New Roman"/>
          <w:b/>
          <w:sz w:val="24"/>
          <w:szCs w:val="24"/>
        </w:rPr>
        <w:t>Theorem 1.1</w:t>
      </w:r>
      <w:r w:rsidRPr="00D6284B">
        <w:rPr>
          <w:rFonts w:ascii="Times New Roman" w:hAnsi="Times New Roman" w:cs="Times New Roman"/>
          <w:sz w:val="24"/>
          <w:szCs w:val="24"/>
        </w:rPr>
        <w:t xml:space="preserve">: (Ito’s lemma) Let </w:t>
      </w:r>
      <w:r w:rsidRPr="00D6284B">
        <w:rPr>
          <w:rFonts w:ascii="Times New Roman" w:hAnsi="Times New Roman" w:cs="Times New Roman"/>
          <w:position w:val="-14"/>
          <w:sz w:val="24"/>
          <w:szCs w:val="24"/>
        </w:rPr>
        <w:object w:dxaOrig="1500" w:dyaOrig="400" w14:anchorId="37441CCF">
          <v:shape id="_x0000_i1037" type="#_x0000_t75" style="width:74.7pt;height:21.05pt" o:ole="">
            <v:imagedata r:id="rId38" o:title=""/>
          </v:shape>
          <o:OLEObject Type="Embed" ProgID="Equation.DSMT4" ShapeID="_x0000_i1037" DrawAspect="Content" ObjectID="_1851508618" r:id="rId39"/>
        </w:object>
      </w:r>
      <w:r w:rsidRPr="00D6284B">
        <w:rPr>
          <w:rFonts w:ascii="Times New Roman" w:hAnsi="Times New Roman" w:cs="Times New Roman"/>
          <w:sz w:val="24"/>
          <w:szCs w:val="24"/>
        </w:rPr>
        <w:t xml:space="preserve"> be a filtered probability space</w:t>
      </w:r>
      <w:r w:rsidRPr="00D6284B">
        <w:rPr>
          <w:rFonts w:ascii="Times New Roman" w:hAnsi="Times New Roman" w:cs="Times New Roman"/>
          <w:position w:val="-14"/>
          <w:sz w:val="24"/>
          <w:szCs w:val="24"/>
        </w:rPr>
        <w:object w:dxaOrig="1459" w:dyaOrig="399" w14:anchorId="4B120797">
          <v:shape id="Object 29" o:spid="_x0000_i1038" type="#_x0000_t75" style="width:72.7pt;height:20.4pt;mso-position-horizontal-relative:page;mso-position-vertical-relative:page" o:ole="">
            <v:imagedata r:id="rId40" o:title=""/>
          </v:shape>
          <o:OLEObject Type="Embed" ProgID="Equation.DSMT4" ShapeID="Object 29" DrawAspect="Content" ObjectID="_1851508619" r:id="rId41"/>
        </w:object>
      </w:r>
      <w:r w:rsidRPr="00D6284B">
        <w:rPr>
          <w:rFonts w:ascii="Times New Roman" w:hAnsi="Times New Roman" w:cs="Times New Roman"/>
          <w:sz w:val="24"/>
          <w:szCs w:val="24"/>
        </w:rPr>
        <w:t xml:space="preserve"> be an  adaptive stochastic process on  </w:t>
      </w:r>
      <w:r w:rsidRPr="00D6284B">
        <w:rPr>
          <w:rFonts w:ascii="Times New Roman" w:hAnsi="Times New Roman" w:cs="Times New Roman"/>
          <w:position w:val="-14"/>
          <w:sz w:val="24"/>
          <w:szCs w:val="24"/>
        </w:rPr>
        <w:object w:dxaOrig="1500" w:dyaOrig="400" w14:anchorId="0DBA1642">
          <v:shape id="_x0000_i1039" type="#_x0000_t75" style="width:74.7pt;height:21.05pt" o:ole="">
            <v:imagedata r:id="rId42" o:title=""/>
          </v:shape>
          <o:OLEObject Type="Embed" ProgID="Equation.DSMT4" ShapeID="_x0000_i1039" DrawAspect="Content" ObjectID="_1851508620" r:id="rId43"/>
        </w:object>
      </w:r>
      <w:r w:rsidRPr="00D6284B">
        <w:rPr>
          <w:rFonts w:ascii="Times New Roman" w:hAnsi="Times New Roman" w:cs="Times New Roman"/>
          <w:sz w:val="24"/>
          <w:szCs w:val="24"/>
        </w:rPr>
        <w:t xml:space="preserve"> </w:t>
      </w:r>
      <w:proofErr w:type="spellStart"/>
      <w:r w:rsidRPr="00D6284B">
        <w:rPr>
          <w:rFonts w:ascii="Times New Roman" w:hAnsi="Times New Roman" w:cs="Times New Roman"/>
          <w:sz w:val="24"/>
          <w:szCs w:val="24"/>
        </w:rPr>
        <w:t>pocessing</w:t>
      </w:r>
      <w:proofErr w:type="spellEnd"/>
      <w:r w:rsidRPr="00D6284B">
        <w:rPr>
          <w:rFonts w:ascii="Times New Roman" w:hAnsi="Times New Roman" w:cs="Times New Roman"/>
          <w:sz w:val="24"/>
          <w:szCs w:val="24"/>
        </w:rPr>
        <w:t xml:space="preserve"> a quadratic variation</w:t>
      </w:r>
      <w:r w:rsidRPr="00D6284B">
        <w:rPr>
          <w:rFonts w:ascii="Times New Roman" w:hAnsi="Times New Roman" w:cs="Times New Roman"/>
          <w:position w:val="-14"/>
          <w:sz w:val="24"/>
          <w:szCs w:val="24"/>
        </w:rPr>
        <w:object w:dxaOrig="459" w:dyaOrig="399" w14:anchorId="36F492C1">
          <v:shape id="Object 31" o:spid="_x0000_i1040" type="#_x0000_t75" style="width:23.1pt;height:20.4pt;mso-position-horizontal-relative:page;mso-position-vertical-relative:page" o:ole="">
            <v:imagedata r:id="rId44" o:title=""/>
          </v:shape>
          <o:OLEObject Type="Embed" ProgID="Equation.DSMT4" ShapeID="Object 31" DrawAspect="Content" ObjectID="_1851508621" r:id="rId45"/>
        </w:object>
      </w:r>
      <w:r w:rsidRPr="00D6284B">
        <w:rPr>
          <w:rFonts w:ascii="Times New Roman" w:hAnsi="Times New Roman" w:cs="Times New Roman"/>
          <w:sz w:val="24"/>
          <w:szCs w:val="24"/>
        </w:rPr>
        <w:t xml:space="preserve"> with SDE defined as:</w:t>
      </w:r>
    </w:p>
    <w:p w14:paraId="40FA8548"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14"/>
          <w:sz w:val="24"/>
          <w:szCs w:val="24"/>
        </w:rPr>
        <w:object w:dxaOrig="4122" w:dyaOrig="399" w14:anchorId="5FAED977">
          <v:shape id="Object 32" o:spid="_x0000_i1041" type="#_x0000_t75" style="width:204.45pt;height:20.4pt;mso-position-horizontal-relative:page;mso-position-vertical-relative:page" o:ole="">
            <v:imagedata r:id="rId46" o:title=""/>
          </v:shape>
          <o:OLEObject Type="Embed" ProgID="Equation.DSMT4" ShapeID="Object 32" DrawAspect="Content" ObjectID="_1851508622" r:id="rId47"/>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p>
    <w:p w14:paraId="65D7EEB3" w14:textId="77777777" w:rsidR="00523369" w:rsidRPr="00355E18" w:rsidRDefault="00523369" w:rsidP="00355E18">
      <w:pPr>
        <w:pStyle w:val="MTDisplayEquation"/>
        <w:jc w:val="both"/>
        <w:rPr>
          <w:rFonts w:ascii="Times New Roman" w:hAnsi="Times New Roman" w:cs="Times New Roman"/>
          <w:position w:val="-16"/>
          <w:sz w:val="24"/>
          <w:szCs w:val="24"/>
        </w:rPr>
      </w:pPr>
      <w:r w:rsidRPr="00D6284B">
        <w:rPr>
          <w:rFonts w:ascii="Times New Roman" w:hAnsi="Times New Roman" w:cs="Times New Roman"/>
          <w:position w:val="-6"/>
          <w:sz w:val="24"/>
          <w:szCs w:val="24"/>
        </w:rPr>
        <w:object w:dxaOrig="579" w:dyaOrig="279" w14:anchorId="51D9A4E3">
          <v:shape id="Object 33" o:spid="_x0000_i1042" type="#_x0000_t75" style="width:29.2pt;height:14.25pt;mso-position-horizontal-relative:page;mso-position-vertical-relative:page" o:ole="">
            <v:imagedata r:id="rId48" o:title=""/>
          </v:shape>
          <o:OLEObject Type="Embed" ProgID="Equation.DSMT4" ShapeID="Object 33" DrawAspect="Content" ObjectID="_1851508623" r:id="rId49"/>
        </w:object>
      </w:r>
      <w:r w:rsidRPr="00D6284B">
        <w:rPr>
          <w:rFonts w:ascii="Times New Roman" w:hAnsi="Times New Roman" w:cs="Times New Roman"/>
          <w:sz w:val="24"/>
          <w:szCs w:val="24"/>
        </w:rPr>
        <w:t xml:space="preserve"> and for </w:t>
      </w:r>
      <w:r w:rsidRPr="00D6284B">
        <w:rPr>
          <w:rFonts w:ascii="Times New Roman" w:hAnsi="Times New Roman" w:cs="Times New Roman"/>
          <w:position w:val="-16"/>
          <w:sz w:val="24"/>
          <w:szCs w:val="24"/>
        </w:rPr>
        <w:object w:dxaOrig="2880" w:dyaOrig="439" w14:anchorId="25977F91">
          <v:shape id="Object 34" o:spid="_x0000_i1043" type="#_x0000_t75" style="width:2in;height:21.75pt;mso-position-horizontal-relative:page;mso-position-vertical-relative:page" o:ole="">
            <v:imagedata r:id="rId50" o:title=""/>
          </v:shape>
          <o:OLEObject Type="Embed" ProgID="Equation.DSMT4" ShapeID="Object 34" DrawAspect="Content" ObjectID="_1851508624" r:id="rId51"/>
        </w:object>
      </w:r>
      <w:r w:rsidR="00355E18">
        <w:rPr>
          <w:rFonts w:ascii="Times New Roman" w:hAnsi="Times New Roman" w:cs="Times New Roman"/>
          <w:sz w:val="24"/>
          <w:szCs w:val="24"/>
        </w:rPr>
        <w:t>. D</w:t>
      </w:r>
      <w:r w:rsidRPr="00D6284B">
        <w:rPr>
          <w:rFonts w:ascii="Times New Roman" w:hAnsi="Times New Roman" w:cs="Times New Roman"/>
          <w:sz w:val="24"/>
          <w:szCs w:val="24"/>
        </w:rPr>
        <w:t>etails of</w:t>
      </w:r>
      <w:r w:rsidR="007054A4">
        <w:rPr>
          <w:rFonts w:ascii="Times New Roman" w:hAnsi="Times New Roman" w:cs="Times New Roman"/>
          <w:sz w:val="24"/>
          <w:szCs w:val="24"/>
        </w:rPr>
        <w:t xml:space="preserve"> the above can be seen in [16-20</w:t>
      </w:r>
      <w:r w:rsidRPr="00D6284B">
        <w:rPr>
          <w:rFonts w:ascii="Times New Roman" w:hAnsi="Times New Roman" w:cs="Times New Roman"/>
          <w:sz w:val="24"/>
          <w:szCs w:val="24"/>
        </w:rPr>
        <w:t>].</w:t>
      </w:r>
    </w:p>
    <w:p w14:paraId="27ED372C" w14:textId="77777777" w:rsidR="00523369" w:rsidRPr="00D6284B" w:rsidRDefault="00523369" w:rsidP="00523369">
      <w:pPr>
        <w:spacing w:line="240" w:lineRule="auto"/>
        <w:jc w:val="both"/>
        <w:rPr>
          <w:rFonts w:ascii="Times New Roman" w:hAnsi="Times New Roman" w:cs="Times New Roman"/>
          <w:b/>
          <w:sz w:val="24"/>
          <w:szCs w:val="24"/>
        </w:rPr>
      </w:pPr>
      <w:r w:rsidRPr="00D6284B">
        <w:rPr>
          <w:rFonts w:ascii="Times New Roman" w:hAnsi="Times New Roman" w:cs="Times New Roman"/>
          <w:b/>
          <w:sz w:val="24"/>
          <w:szCs w:val="24"/>
        </w:rPr>
        <w:t>2.1</w:t>
      </w:r>
      <w:r>
        <w:rPr>
          <w:rFonts w:ascii="Times New Roman" w:hAnsi="Times New Roman" w:cs="Times New Roman"/>
          <w:b/>
          <w:sz w:val="24"/>
          <w:szCs w:val="24"/>
        </w:rPr>
        <w:t>.1</w:t>
      </w:r>
      <w:r w:rsidRPr="00D6284B">
        <w:rPr>
          <w:rFonts w:ascii="Times New Roman" w:hAnsi="Times New Roman" w:cs="Times New Roman"/>
          <w:b/>
          <w:sz w:val="24"/>
          <w:szCs w:val="24"/>
        </w:rPr>
        <w:t xml:space="preserve"> Mathematical Formulation of the Problem</w:t>
      </w:r>
    </w:p>
    <w:p w14:paraId="526A6D46" w14:textId="77777777" w:rsidR="00536C53" w:rsidRDefault="00523369" w:rsidP="00934268">
      <w:pPr>
        <w:spacing w:line="240" w:lineRule="auto"/>
        <w:jc w:val="both"/>
        <w:rPr>
          <w:rFonts w:ascii="Times New Roman" w:hAnsi="Times New Roman" w:cs="Times New Roman"/>
          <w:bCs/>
          <w:sz w:val="24"/>
          <w:szCs w:val="24"/>
        </w:rPr>
      </w:pPr>
      <w:r w:rsidRPr="00D6284B">
        <w:rPr>
          <w:rFonts w:ascii="Times New Roman" w:hAnsi="Times New Roman" w:cs="Times New Roman"/>
          <w:sz w:val="24"/>
          <w:szCs w:val="24"/>
        </w:rPr>
        <w:t xml:space="preserve">Though, the price evolution of a risky assets are usually modeled as the trajectory of a risky assets that are usually of a diffusion process defined on some underlying probability space ,with the geometric Brownian motion </w:t>
      </w:r>
      <w:r w:rsidR="00934268">
        <w:rPr>
          <w:rFonts w:ascii="Times New Roman" w:hAnsi="Times New Roman" w:cs="Times New Roman"/>
          <w:sz w:val="24"/>
          <w:szCs w:val="24"/>
        </w:rPr>
        <w:t xml:space="preserve">models for </w:t>
      </w:r>
      <w:r w:rsidR="00934268">
        <w:rPr>
          <w:rFonts w:ascii="Times New Roman" w:hAnsi="Times New Roman" w:cs="Times New Roman"/>
          <w:bCs/>
          <w:sz w:val="24"/>
          <w:szCs w:val="24"/>
        </w:rPr>
        <w:t>Nigerian for bank stock prices</w:t>
      </w:r>
      <w:r w:rsidRPr="00D6284B">
        <w:rPr>
          <w:rFonts w:ascii="Times New Roman" w:hAnsi="Times New Roman" w:cs="Times New Roman"/>
          <w:sz w:val="24"/>
          <w:szCs w:val="24"/>
        </w:rPr>
        <w:t>.</w:t>
      </w:r>
      <w:r w:rsidRPr="00D6284B">
        <w:rPr>
          <w:rFonts w:ascii="Times New Roman" w:hAnsi="Times New Roman" w:cs="Times New Roman"/>
          <w:bCs/>
          <w:sz w:val="24"/>
          <w:szCs w:val="24"/>
        </w:rPr>
        <w:t xml:space="preserve"> Hence, we consider Seasonal </w:t>
      </w:r>
      <w:r w:rsidR="00934268">
        <w:rPr>
          <w:rFonts w:ascii="Times New Roman" w:hAnsi="Times New Roman" w:cs="Times New Roman"/>
          <w:bCs/>
          <w:sz w:val="24"/>
          <w:szCs w:val="24"/>
        </w:rPr>
        <w:t>and</w:t>
      </w:r>
      <w:r w:rsidR="00934268" w:rsidRPr="00934268">
        <w:rPr>
          <w:rFonts w:ascii="Times New Roman" w:hAnsi="Times New Roman" w:cs="Times New Roman"/>
          <w:bCs/>
          <w:sz w:val="24"/>
          <w:szCs w:val="24"/>
        </w:rPr>
        <w:t xml:space="preserve"> </w:t>
      </w:r>
      <w:r w:rsidR="00934268">
        <w:rPr>
          <w:rFonts w:ascii="Times New Roman" w:hAnsi="Times New Roman" w:cs="Times New Roman"/>
          <w:bCs/>
          <w:sz w:val="24"/>
          <w:szCs w:val="24"/>
        </w:rPr>
        <w:t xml:space="preserve">single Asset constant </w:t>
      </w:r>
      <w:r w:rsidRPr="00D6284B">
        <w:rPr>
          <w:rFonts w:ascii="Times New Roman" w:hAnsi="Times New Roman" w:cs="Times New Roman"/>
          <w:bCs/>
          <w:sz w:val="24"/>
          <w:szCs w:val="24"/>
        </w:rPr>
        <w:t>Geometric Brownian Motion</w:t>
      </w:r>
      <w:r w:rsidR="00934268">
        <w:rPr>
          <w:rFonts w:ascii="Times New Roman" w:hAnsi="Times New Roman" w:cs="Times New Roman"/>
          <w:bCs/>
          <w:sz w:val="24"/>
          <w:szCs w:val="24"/>
        </w:rPr>
        <w:t>s</w:t>
      </w:r>
      <w:r w:rsidRPr="00D6284B">
        <w:rPr>
          <w:rFonts w:ascii="Times New Roman" w:hAnsi="Times New Roman" w:cs="Times New Roman"/>
          <w:bCs/>
          <w:sz w:val="24"/>
          <w:szCs w:val="24"/>
        </w:rPr>
        <w:t xml:space="preserve"> (GBM) with periodic </w:t>
      </w:r>
      <w:r w:rsidR="00934268">
        <w:rPr>
          <w:rFonts w:ascii="Times New Roman" w:hAnsi="Times New Roman" w:cs="Times New Roman"/>
          <w:bCs/>
          <w:sz w:val="24"/>
          <w:szCs w:val="24"/>
        </w:rPr>
        <w:t xml:space="preserve">and constant </w:t>
      </w:r>
      <w:r w:rsidRPr="00D6284B">
        <w:rPr>
          <w:rFonts w:ascii="Times New Roman" w:hAnsi="Times New Roman" w:cs="Times New Roman"/>
          <w:bCs/>
          <w:sz w:val="24"/>
          <w:szCs w:val="24"/>
        </w:rPr>
        <w:t>Initial condition</w:t>
      </w:r>
      <w:r w:rsidR="00934268">
        <w:rPr>
          <w:rFonts w:ascii="Times New Roman" w:hAnsi="Times New Roman" w:cs="Times New Roman"/>
          <w:bCs/>
          <w:sz w:val="24"/>
          <w:szCs w:val="24"/>
        </w:rPr>
        <w:t>s</w:t>
      </w:r>
      <w:r w:rsidRPr="00D6284B">
        <w:rPr>
          <w:rFonts w:ascii="Times New Roman" w:hAnsi="Times New Roman" w:cs="Times New Roman"/>
          <w:bCs/>
          <w:sz w:val="24"/>
          <w:szCs w:val="24"/>
        </w:rPr>
        <w:t xml:space="preserve">. </w:t>
      </w:r>
      <w:r w:rsidR="00536C53">
        <w:rPr>
          <w:rFonts w:ascii="Times New Roman" w:hAnsi="Times New Roman" w:cs="Times New Roman"/>
          <w:bCs/>
          <w:sz w:val="24"/>
          <w:szCs w:val="24"/>
        </w:rPr>
        <w:t xml:space="preserve"> Therefore, we </w:t>
      </w:r>
      <w:r w:rsidR="00934268">
        <w:rPr>
          <w:rFonts w:ascii="Times New Roman" w:hAnsi="Times New Roman" w:cs="Times New Roman"/>
          <w:bCs/>
          <w:sz w:val="24"/>
          <w:szCs w:val="24"/>
        </w:rPr>
        <w:t xml:space="preserve"> have the following </w:t>
      </w:r>
      <w:r w:rsidR="00536C53">
        <w:rPr>
          <w:rFonts w:ascii="Times New Roman" w:hAnsi="Times New Roman" w:cs="Times New Roman"/>
          <w:bCs/>
          <w:sz w:val="24"/>
          <w:szCs w:val="24"/>
        </w:rPr>
        <w:t>model</w:t>
      </w:r>
      <w:r w:rsidR="00934268">
        <w:rPr>
          <w:rFonts w:ascii="Times New Roman" w:hAnsi="Times New Roman" w:cs="Times New Roman"/>
          <w:bCs/>
          <w:sz w:val="24"/>
          <w:szCs w:val="24"/>
        </w:rPr>
        <w:t>s:</w:t>
      </w:r>
    </w:p>
    <w:p w14:paraId="57EEEB8C" w14:textId="77777777" w:rsidR="00536C53" w:rsidRPr="00934268" w:rsidRDefault="00536C53" w:rsidP="00934268">
      <w:pPr>
        <w:pStyle w:val="MTDisplayEquation"/>
      </w:pPr>
      <w:r>
        <w:tab/>
      </w:r>
      <w:r>
        <w:tab/>
      </w:r>
    </w:p>
    <w:p w14:paraId="03CF40E4" w14:textId="77777777" w:rsidR="00536C53" w:rsidRPr="00934268" w:rsidRDefault="00523369" w:rsidP="00934268">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009B0708" w:rsidRPr="00D6284B">
        <w:rPr>
          <w:rFonts w:ascii="Times New Roman" w:hAnsi="Times New Roman" w:cs="Times New Roman"/>
          <w:position w:val="-12"/>
          <w:sz w:val="24"/>
          <w:szCs w:val="24"/>
        </w:rPr>
        <w:object w:dxaOrig="2100" w:dyaOrig="360" w14:anchorId="4005B51E">
          <v:shape id="_x0000_i1044" type="#_x0000_t75" style="width:104.6pt;height:17.65pt" o:ole="">
            <v:imagedata r:id="rId52" o:title=""/>
          </v:shape>
          <o:OLEObject Type="Embed" ProgID="Equation.DSMT4" ShapeID="_x0000_i1044" DrawAspect="Content" ObjectID="_1851508625" r:id="rId53"/>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t>(1.1)</w:t>
      </w:r>
    </w:p>
    <w:p w14:paraId="40F914F0" w14:textId="77777777" w:rsidR="00536C53" w:rsidRPr="00536C53" w:rsidRDefault="00536C53" w:rsidP="009B0708">
      <w:pPr>
        <w:pStyle w:val="MTDisplayEquation"/>
      </w:pPr>
      <w:r>
        <w:tab/>
      </w:r>
      <w:r w:rsidR="009B0708" w:rsidRPr="004F2EE4">
        <w:rPr>
          <w:position w:val="-12"/>
        </w:rPr>
        <w:object w:dxaOrig="2100" w:dyaOrig="360" w14:anchorId="360218C4">
          <v:shape id="_x0000_i1045" type="#_x0000_t75" style="width:103.9pt;height:17.65pt" o:ole="">
            <v:imagedata r:id="rId54" o:title=""/>
          </v:shape>
          <o:OLEObject Type="Embed" ProgID="Equation.DSMT4" ShapeID="_x0000_i1045" DrawAspect="Content" ObjectID="_1851508626" r:id="rId55"/>
        </w:object>
      </w:r>
      <w:r>
        <w:t xml:space="preserve"> </w:t>
      </w:r>
      <w:r>
        <w:tab/>
      </w:r>
      <w:r w:rsidR="009B0708">
        <w:t>(1.2</w:t>
      </w:r>
      <w:r>
        <w:t>)</w:t>
      </w:r>
    </w:p>
    <w:p w14:paraId="2EA5182D"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004F2EE4" w:rsidRPr="00D6284B">
        <w:rPr>
          <w:rFonts w:ascii="Times New Roman" w:hAnsi="Times New Roman" w:cs="Times New Roman"/>
          <w:position w:val="-30"/>
          <w:sz w:val="24"/>
          <w:szCs w:val="24"/>
        </w:rPr>
        <w:object w:dxaOrig="4140" w:dyaOrig="720" w14:anchorId="097CDB04">
          <v:shape id="_x0000_i1046" type="#_x0000_t75" style="width:207.15pt;height:36pt" o:ole="">
            <v:imagedata r:id="rId56" o:title=""/>
          </v:shape>
          <o:OLEObject Type="Embed" ProgID="Equation.DSMT4" ShapeID="_x0000_i1046" DrawAspect="Content" ObjectID="_1851508627" r:id="rId57"/>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r w:rsidR="009B0708">
        <w:rPr>
          <w:rFonts w:ascii="Times New Roman" w:hAnsi="Times New Roman" w:cs="Times New Roman"/>
          <w:sz w:val="24"/>
          <w:szCs w:val="24"/>
        </w:rPr>
        <w:t>(1.3</w:t>
      </w:r>
      <w:r w:rsidRPr="00D6284B">
        <w:rPr>
          <w:rFonts w:ascii="Times New Roman" w:hAnsi="Times New Roman" w:cs="Times New Roman"/>
          <w:sz w:val="24"/>
          <w:szCs w:val="24"/>
        </w:rPr>
        <w:t>)</w:t>
      </w:r>
    </w:p>
    <w:p w14:paraId="0E9D39C9" w14:textId="77777777" w:rsidR="00523369" w:rsidRPr="009B0708" w:rsidRDefault="00523369" w:rsidP="009B0708">
      <w:r w:rsidRPr="00D6284B">
        <w:rPr>
          <w:rFonts w:ascii="Times New Roman" w:hAnsi="Times New Roman" w:cs="Times New Roman"/>
          <w:sz w:val="24"/>
          <w:szCs w:val="24"/>
        </w:rPr>
        <w:t xml:space="preserve">where </w:t>
      </w:r>
      <w:r w:rsidRPr="00D6284B">
        <w:rPr>
          <w:rFonts w:ascii="Times New Roman" w:hAnsi="Times New Roman" w:cs="Times New Roman"/>
          <w:position w:val="-10"/>
          <w:sz w:val="24"/>
          <w:szCs w:val="24"/>
        </w:rPr>
        <w:object w:dxaOrig="240" w:dyaOrig="260" w14:anchorId="15EAEAB1">
          <v:shape id="_x0000_i1047" type="#_x0000_t75" style="width:12.25pt;height:12.25pt" o:ole="">
            <v:imagedata r:id="rId58" o:title=""/>
          </v:shape>
          <o:OLEObject Type="Embed" ProgID="Equation.DSMT4" ShapeID="_x0000_i1047" DrawAspect="Content" ObjectID="_1851508628" r:id="rId59"/>
        </w:object>
      </w:r>
      <w:r w:rsidRPr="00D6284B">
        <w:rPr>
          <w:rFonts w:ascii="Times New Roman" w:hAnsi="Times New Roman" w:cs="Times New Roman"/>
          <w:sz w:val="24"/>
          <w:szCs w:val="24"/>
        </w:rPr>
        <w:t xml:space="preserve"> represents drift coefficient,</w:t>
      </w:r>
      <w:r w:rsidRPr="00D6284B">
        <w:rPr>
          <w:rFonts w:ascii="Times New Roman" w:hAnsi="Times New Roman" w:cs="Times New Roman"/>
          <w:position w:val="-6"/>
          <w:sz w:val="24"/>
          <w:szCs w:val="24"/>
        </w:rPr>
        <w:object w:dxaOrig="240" w:dyaOrig="220" w14:anchorId="703A51A7">
          <v:shape id="_x0000_i1048" type="#_x0000_t75" style="width:12.25pt;height:10.2pt" o:ole="">
            <v:imagedata r:id="rId60" o:title=""/>
          </v:shape>
          <o:OLEObject Type="Embed" ProgID="Equation.DSMT4" ShapeID="_x0000_i1048" DrawAspect="Content" ObjectID="_1851508629" r:id="rId61"/>
        </w:object>
      </w:r>
      <w:r w:rsidRPr="00D6284B">
        <w:rPr>
          <w:rFonts w:ascii="Times New Roman" w:hAnsi="Times New Roman" w:cs="Times New Roman"/>
          <w:sz w:val="24"/>
          <w:szCs w:val="24"/>
        </w:rPr>
        <w:t xml:space="preserve"> represents volatility coefficient,</w:t>
      </w:r>
      <w:r w:rsidRPr="00D6284B">
        <w:rPr>
          <w:rFonts w:ascii="Times New Roman" w:hAnsi="Times New Roman" w:cs="Times New Roman"/>
          <w:position w:val="-12"/>
          <w:sz w:val="24"/>
          <w:szCs w:val="24"/>
        </w:rPr>
        <w:object w:dxaOrig="540" w:dyaOrig="360" w14:anchorId="085B6D35">
          <v:shape id="_x0000_i1049" type="#_x0000_t75" style="width:26.5pt;height:17.65pt" o:ole="">
            <v:imagedata r:id="rId62" o:title=""/>
          </v:shape>
          <o:OLEObject Type="Embed" ProgID="Equation.DSMT4" ShapeID="_x0000_i1049" DrawAspect="Content" ObjectID="_1851508630" r:id="rId63"/>
        </w:object>
      </w:r>
      <w:r w:rsidRPr="00D6284B">
        <w:rPr>
          <w:rFonts w:ascii="Times New Roman" w:hAnsi="Times New Roman" w:cs="Times New Roman"/>
          <w:sz w:val="24"/>
          <w:szCs w:val="24"/>
        </w:rPr>
        <w:t xml:space="preserve"> is the base price level,</w:t>
      </w:r>
      <w:r w:rsidRPr="00D6284B">
        <w:rPr>
          <w:rFonts w:ascii="Times New Roman" w:hAnsi="Times New Roman" w:cs="Times New Roman"/>
          <w:position w:val="-4"/>
          <w:sz w:val="24"/>
          <w:szCs w:val="24"/>
        </w:rPr>
        <w:object w:dxaOrig="240" w:dyaOrig="260" w14:anchorId="36792F58">
          <v:shape id="_x0000_i1050" type="#_x0000_t75" style="width:12.25pt;height:12.25pt" o:ole="">
            <v:imagedata r:id="rId64" o:title=""/>
          </v:shape>
          <o:OLEObject Type="Embed" ProgID="Equation.DSMT4" ShapeID="_x0000_i1050" DrawAspect="Content" ObjectID="_1851508631" r:id="rId65"/>
        </w:object>
      </w:r>
      <w:r w:rsidRPr="00D6284B">
        <w:rPr>
          <w:rFonts w:ascii="Times New Roman" w:hAnsi="Times New Roman" w:cs="Times New Roman"/>
          <w:sz w:val="24"/>
          <w:szCs w:val="24"/>
        </w:rPr>
        <w:t xml:space="preserve"> is seasonal amplitude,</w:t>
      </w:r>
      <w:r w:rsidRPr="00D6284B">
        <w:rPr>
          <w:rFonts w:ascii="Times New Roman" w:hAnsi="Times New Roman" w:cs="Times New Roman"/>
          <w:position w:val="-6"/>
          <w:sz w:val="24"/>
          <w:szCs w:val="24"/>
        </w:rPr>
        <w:object w:dxaOrig="260" w:dyaOrig="220" w14:anchorId="621A196F">
          <v:shape id="_x0000_i1051" type="#_x0000_t75" style="width:12.25pt;height:10.2pt" o:ole="">
            <v:imagedata r:id="rId66" o:title=""/>
          </v:shape>
          <o:OLEObject Type="Embed" ProgID="Equation.DSMT4" ShapeID="_x0000_i1051" DrawAspect="Content" ObjectID="_1851508632" r:id="rId67"/>
        </w:object>
      </w:r>
      <w:r w:rsidRPr="00D6284B">
        <w:rPr>
          <w:rFonts w:ascii="Times New Roman" w:hAnsi="Times New Roman" w:cs="Times New Roman"/>
          <w:sz w:val="24"/>
          <w:szCs w:val="24"/>
        </w:rPr>
        <w:t xml:space="preserve"> is seasonal frequency,</w:t>
      </w:r>
      <w:r w:rsidR="009B0708" w:rsidRPr="009B0708">
        <w:t xml:space="preserve"> </w:t>
      </w:r>
      <w:r w:rsidR="009B0708">
        <w:t xml:space="preserve"> </w:t>
      </w:r>
      <w:r w:rsidR="009B0708" w:rsidRPr="00510610">
        <w:rPr>
          <w:position w:val="-12"/>
        </w:rPr>
        <w:object w:dxaOrig="279" w:dyaOrig="360" w14:anchorId="1E4EA8B1">
          <v:shape id="_x0000_i1052" type="#_x0000_t75" style="width:14.25pt;height:17.65pt" o:ole="">
            <v:imagedata r:id="rId68" o:title=""/>
          </v:shape>
          <o:OLEObject Type="Embed" ProgID="Equation.DSMT4" ShapeID="_x0000_i1052" DrawAspect="Content" ObjectID="_1851508633" r:id="rId69"/>
        </w:object>
      </w:r>
      <w:r w:rsidR="009B0708">
        <w:t xml:space="preserve"> represents initial price,</w:t>
      </w:r>
      <w:r w:rsidR="009B0708" w:rsidRPr="00510610">
        <w:rPr>
          <w:position w:val="-12"/>
        </w:rPr>
        <w:object w:dxaOrig="220" w:dyaOrig="360" w14:anchorId="4AAA6152">
          <v:shape id="_x0000_i1053" type="#_x0000_t75" style="width:10.2pt;height:17.65pt" o:ole="">
            <v:imagedata r:id="rId70" o:title=""/>
          </v:shape>
          <o:OLEObject Type="Embed" ProgID="Equation.DSMT4" ShapeID="_x0000_i1053" DrawAspect="Content" ObjectID="_1851508634" r:id="rId71"/>
        </w:object>
      </w:r>
      <w:r w:rsidR="009B0708">
        <w:t xml:space="preserve"> represent constant term,</w:t>
      </w:r>
      <w:r w:rsidRPr="00D6284B">
        <w:rPr>
          <w:rFonts w:ascii="Times New Roman" w:hAnsi="Times New Roman" w:cs="Times New Roman"/>
          <w:position w:val="-12"/>
          <w:sz w:val="24"/>
          <w:szCs w:val="24"/>
        </w:rPr>
        <w:object w:dxaOrig="300" w:dyaOrig="360" w14:anchorId="05646A86">
          <v:shape id="_x0000_i1054" type="#_x0000_t75" style="width:14.95pt;height:17.65pt" o:ole="">
            <v:imagedata r:id="rId72" o:title=""/>
          </v:shape>
          <o:OLEObject Type="Embed" ProgID="Equation.DSMT4" ShapeID="_x0000_i1054" DrawAspect="Content" ObjectID="_1851508635" r:id="rId73"/>
        </w:object>
      </w:r>
      <w:r w:rsidRPr="00D6284B">
        <w:rPr>
          <w:rFonts w:ascii="Times New Roman" w:hAnsi="Times New Roman" w:cs="Times New Roman"/>
          <w:sz w:val="24"/>
          <w:szCs w:val="24"/>
        </w:rPr>
        <w:t xml:space="preserve"> represents the Brownian motion.</w:t>
      </w:r>
    </w:p>
    <w:p w14:paraId="40BE99C7" w14:textId="77777777" w:rsidR="00C47046" w:rsidRDefault="00C47046" w:rsidP="00523369">
      <w:pPr>
        <w:spacing w:before="240" w:after="0" w:line="240" w:lineRule="auto"/>
        <w:jc w:val="both"/>
        <w:rPr>
          <w:rFonts w:ascii="Times New Roman" w:hAnsi="Times New Roman" w:cs="Times New Roman"/>
          <w:b/>
          <w:bCs/>
          <w:sz w:val="24"/>
          <w:szCs w:val="24"/>
        </w:rPr>
      </w:pPr>
    </w:p>
    <w:p w14:paraId="6B1E4540" w14:textId="77777777" w:rsidR="00C47046" w:rsidRDefault="00C47046" w:rsidP="00523369">
      <w:pPr>
        <w:spacing w:before="240" w:after="0" w:line="240" w:lineRule="auto"/>
        <w:jc w:val="both"/>
        <w:rPr>
          <w:rFonts w:ascii="Times New Roman" w:hAnsi="Times New Roman" w:cs="Times New Roman"/>
          <w:b/>
          <w:bCs/>
          <w:sz w:val="24"/>
          <w:szCs w:val="24"/>
        </w:rPr>
      </w:pPr>
    </w:p>
    <w:p w14:paraId="03539FEA" w14:textId="77777777" w:rsidR="00355E18" w:rsidRDefault="00355E18" w:rsidP="00523369">
      <w:pPr>
        <w:spacing w:before="240" w:after="0" w:line="240" w:lineRule="auto"/>
        <w:jc w:val="both"/>
        <w:rPr>
          <w:rFonts w:ascii="Times New Roman" w:hAnsi="Times New Roman" w:cs="Times New Roman"/>
          <w:b/>
          <w:bCs/>
          <w:sz w:val="24"/>
          <w:szCs w:val="24"/>
        </w:rPr>
      </w:pPr>
    </w:p>
    <w:p w14:paraId="3A2A8AA2" w14:textId="77777777" w:rsidR="00C47046" w:rsidRDefault="00C47046" w:rsidP="00523369">
      <w:pPr>
        <w:spacing w:before="240" w:after="0" w:line="240" w:lineRule="auto"/>
        <w:jc w:val="both"/>
        <w:rPr>
          <w:rFonts w:ascii="Times New Roman" w:hAnsi="Times New Roman" w:cs="Times New Roman"/>
          <w:b/>
          <w:bCs/>
          <w:sz w:val="24"/>
          <w:szCs w:val="24"/>
        </w:rPr>
      </w:pPr>
    </w:p>
    <w:p w14:paraId="0D152C4B" w14:textId="77777777" w:rsidR="00523369" w:rsidRPr="00D6284B" w:rsidRDefault="00523369" w:rsidP="00523369">
      <w:pPr>
        <w:spacing w:before="240" w:after="0" w:line="240" w:lineRule="auto"/>
        <w:jc w:val="both"/>
        <w:rPr>
          <w:rFonts w:ascii="Times New Roman" w:hAnsi="Times New Roman" w:cs="Times New Roman"/>
          <w:sz w:val="24"/>
          <w:szCs w:val="24"/>
        </w:rPr>
      </w:pPr>
      <w:r w:rsidRPr="00D6284B">
        <w:rPr>
          <w:rFonts w:ascii="Times New Roman" w:hAnsi="Times New Roman" w:cs="Times New Roman"/>
          <w:b/>
          <w:bCs/>
          <w:sz w:val="24"/>
          <w:szCs w:val="24"/>
        </w:rPr>
        <w:lastRenderedPageBreak/>
        <w:t>2</w:t>
      </w:r>
      <w:r>
        <w:rPr>
          <w:rFonts w:ascii="Times New Roman" w:hAnsi="Times New Roman" w:cs="Times New Roman"/>
          <w:b/>
          <w:bCs/>
          <w:sz w:val="24"/>
          <w:szCs w:val="24"/>
        </w:rPr>
        <w:t>.1.2</w:t>
      </w:r>
      <w:r w:rsidRPr="00D6284B">
        <w:rPr>
          <w:rFonts w:ascii="Times New Roman" w:hAnsi="Times New Roman" w:cs="Times New Roman"/>
          <w:b/>
          <w:bCs/>
          <w:sz w:val="24"/>
          <w:szCs w:val="24"/>
        </w:rPr>
        <w:tab/>
        <w:t>Method of Solution</w:t>
      </w:r>
    </w:p>
    <w:p w14:paraId="0050EFA6" w14:textId="77777777" w:rsidR="00523369" w:rsidRPr="00D6284B" w:rsidRDefault="00523369" w:rsidP="00523369">
      <w:pPr>
        <w:spacing w:before="240" w:after="0" w:line="240" w:lineRule="auto"/>
        <w:jc w:val="both"/>
        <w:rPr>
          <w:rFonts w:ascii="Times New Roman" w:hAnsi="Times New Roman" w:cs="Times New Roman"/>
          <w:noProof/>
          <w:position w:val="-14"/>
          <w:sz w:val="24"/>
          <w:szCs w:val="24"/>
        </w:rPr>
      </w:pPr>
      <w:r w:rsidRPr="00D6284B">
        <w:rPr>
          <w:rFonts w:ascii="Times New Roman" w:hAnsi="Times New Roman" w:cs="Times New Roman"/>
          <w:sz w:val="24"/>
          <w:szCs w:val="24"/>
        </w:rPr>
        <w:t xml:space="preserve">The investment equation  consist of a system of variable coefficient problem whose solutions are not trivial. We apply Theorem 1.1 in solving from(1.1), let </w:t>
      </w:r>
      <w:r w:rsidRPr="00D6284B">
        <w:rPr>
          <w:rFonts w:ascii="Times New Roman" w:hAnsi="Times New Roman" w:cs="Times New Roman"/>
          <w:position w:val="-14"/>
          <w:sz w:val="24"/>
          <w:szCs w:val="24"/>
        </w:rPr>
        <w:object w:dxaOrig="1480" w:dyaOrig="400" w14:anchorId="78574116">
          <v:shape id="_x0000_i1055" type="#_x0000_t75" style="width:74.05pt;height:19.7pt" o:ole="">
            <v:imagedata r:id="rId74" o:title=""/>
          </v:shape>
          <o:OLEObject Type="Embed" ProgID="Equation.DSMT4" ShapeID="_x0000_i1055" DrawAspect="Content" ObjectID="_1851508636" r:id="rId75"/>
        </w:object>
      </w:r>
      <w:r w:rsidRPr="00D6284B">
        <w:rPr>
          <w:rFonts w:ascii="Times New Roman" w:hAnsi="Times New Roman" w:cs="Times New Roman"/>
          <w:sz w:val="24"/>
          <w:szCs w:val="24"/>
        </w:rPr>
        <w:t xml:space="preserve"> and taking the partial derivatives yields:</w:t>
      </w:r>
    </w:p>
    <w:p w14:paraId="3C0661D6"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0076163A" w:rsidRPr="00D6284B">
        <w:rPr>
          <w:rFonts w:ascii="Times New Roman" w:hAnsi="Times New Roman" w:cs="Times New Roman"/>
          <w:position w:val="-32"/>
          <w:sz w:val="24"/>
          <w:szCs w:val="24"/>
        </w:rPr>
        <w:object w:dxaOrig="2980" w:dyaOrig="760" w14:anchorId="4668E1DA">
          <v:shape id="_x0000_i1056" type="#_x0000_t75" style="width:149.45pt;height:38.05pt" o:ole="">
            <v:imagedata r:id="rId76" o:title=""/>
          </v:shape>
          <o:OLEObject Type="Embed" ProgID="Equation.DSMT4" ShapeID="_x0000_i1056" DrawAspect="Content" ObjectID="_1851508637" r:id="rId77"/>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r>
      <w:r w:rsidR="008C142C" w:rsidRPr="0076163A">
        <w:rPr>
          <w:rFonts w:ascii="Times New Roman" w:hAnsi="Times New Roman" w:cs="Times New Roman"/>
          <w:color w:val="FF0000"/>
          <w:sz w:val="24"/>
          <w:szCs w:val="24"/>
        </w:rPr>
        <w:t>(1.4</w:t>
      </w:r>
      <w:r w:rsidRPr="0076163A">
        <w:rPr>
          <w:rFonts w:ascii="Times New Roman" w:hAnsi="Times New Roman" w:cs="Times New Roman"/>
          <w:color w:val="FF0000"/>
          <w:sz w:val="24"/>
          <w:szCs w:val="24"/>
        </w:rPr>
        <w:t>)</w:t>
      </w:r>
    </w:p>
    <w:p w14:paraId="5BE420DD" w14:textId="77777777" w:rsidR="00523369" w:rsidRPr="00D6284B" w:rsidRDefault="00523369" w:rsidP="00523369">
      <w:pPr>
        <w:jc w:val="both"/>
        <w:rPr>
          <w:rFonts w:ascii="Times New Roman" w:hAnsi="Times New Roman" w:cs="Times New Roman"/>
          <w:sz w:val="24"/>
          <w:szCs w:val="24"/>
        </w:rPr>
      </w:pPr>
    </w:p>
    <w:p w14:paraId="59CDA982" w14:textId="77777777" w:rsidR="00523369" w:rsidRPr="00D6284B" w:rsidRDefault="00523369" w:rsidP="00523369">
      <w:pPr>
        <w:jc w:val="both"/>
        <w:rPr>
          <w:rFonts w:ascii="Times New Roman" w:hAnsi="Times New Roman" w:cs="Times New Roman"/>
          <w:sz w:val="24"/>
          <w:szCs w:val="24"/>
        </w:rPr>
      </w:pPr>
      <w:r w:rsidRPr="00D6284B">
        <w:rPr>
          <w:rFonts w:ascii="Times New Roman" w:hAnsi="Times New Roman" w:cs="Times New Roman"/>
          <w:sz w:val="24"/>
          <w:szCs w:val="24"/>
        </w:rPr>
        <w:t>According to Ito’s theorem gives:</w:t>
      </w:r>
    </w:p>
    <w:p w14:paraId="41ECB74B" w14:textId="77777777" w:rsidR="00523369" w:rsidRPr="00002881" w:rsidRDefault="00523369" w:rsidP="00523369">
      <w:pPr>
        <w:pStyle w:val="MTDisplayEquation"/>
        <w:jc w:val="both"/>
        <w:rPr>
          <w:rFonts w:ascii="Times New Roman" w:hAnsi="Times New Roman" w:cs="Times New Roman"/>
          <w:color w:val="FF0000"/>
          <w:sz w:val="24"/>
          <w:szCs w:val="24"/>
        </w:rPr>
      </w:pPr>
      <w:r w:rsidRPr="00D6284B">
        <w:rPr>
          <w:rFonts w:ascii="Times New Roman" w:hAnsi="Times New Roman" w:cs="Times New Roman"/>
          <w:sz w:val="24"/>
          <w:szCs w:val="24"/>
        </w:rPr>
        <w:tab/>
      </w:r>
      <w:r w:rsidR="0076163A" w:rsidRPr="00D6284B">
        <w:rPr>
          <w:rFonts w:ascii="Times New Roman" w:hAnsi="Times New Roman" w:cs="Times New Roman"/>
          <w:position w:val="-32"/>
          <w:sz w:val="24"/>
          <w:szCs w:val="24"/>
        </w:rPr>
        <w:object w:dxaOrig="5060" w:dyaOrig="760" w14:anchorId="40AD4196">
          <v:shape id="_x0000_i1057" type="#_x0000_t75" style="width:253.35pt;height:38.05pt" o:ole="">
            <v:imagedata r:id="rId78" o:title=""/>
          </v:shape>
          <o:OLEObject Type="Embed" ProgID="Equation.DSMT4" ShapeID="_x0000_i1057" DrawAspect="Content" ObjectID="_1851508638" r:id="rId79"/>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r>
      <w:r w:rsidR="008C142C" w:rsidRPr="00002881">
        <w:rPr>
          <w:rFonts w:ascii="Times New Roman" w:hAnsi="Times New Roman" w:cs="Times New Roman"/>
          <w:color w:val="FF0000"/>
          <w:sz w:val="24"/>
          <w:szCs w:val="24"/>
        </w:rPr>
        <w:t>(1.5</w:t>
      </w:r>
      <w:r w:rsidRPr="00002881">
        <w:rPr>
          <w:rFonts w:ascii="Times New Roman" w:hAnsi="Times New Roman" w:cs="Times New Roman"/>
          <w:color w:val="FF0000"/>
          <w:sz w:val="24"/>
          <w:szCs w:val="24"/>
        </w:rPr>
        <w:t>)</w:t>
      </w:r>
    </w:p>
    <w:p w14:paraId="314094A2" w14:textId="77777777" w:rsidR="00523369" w:rsidRPr="00D6284B" w:rsidRDefault="00523369" w:rsidP="00523369">
      <w:pPr>
        <w:jc w:val="both"/>
        <w:rPr>
          <w:rFonts w:ascii="Times New Roman" w:hAnsi="Times New Roman" w:cs="Times New Roman"/>
          <w:sz w:val="24"/>
          <w:szCs w:val="24"/>
        </w:rPr>
      </w:pPr>
    </w:p>
    <w:p w14:paraId="1592E345" w14:textId="77777777" w:rsidR="00523369" w:rsidRPr="00D6284B" w:rsidRDefault="00523369" w:rsidP="00523369">
      <w:pPr>
        <w:jc w:val="both"/>
        <w:rPr>
          <w:rFonts w:ascii="Times New Roman" w:hAnsi="Times New Roman" w:cs="Times New Roman"/>
          <w:sz w:val="24"/>
          <w:szCs w:val="24"/>
        </w:rPr>
      </w:pPr>
    </w:p>
    <w:p w14:paraId="3F258E6E" w14:textId="77777777" w:rsidR="00523369" w:rsidRPr="00D6284B" w:rsidRDefault="00523369" w:rsidP="00523369">
      <w:pPr>
        <w:jc w:val="both"/>
        <w:rPr>
          <w:rFonts w:ascii="Times New Roman" w:hAnsi="Times New Roman" w:cs="Times New Roman"/>
          <w:b/>
          <w:sz w:val="24"/>
          <w:szCs w:val="24"/>
        </w:rPr>
      </w:pPr>
    </w:p>
    <w:p w14:paraId="1ED5ECED" w14:textId="77777777" w:rsidR="00523369" w:rsidRPr="00D6284B" w:rsidRDefault="008C142C" w:rsidP="00523369">
      <w:pPr>
        <w:jc w:val="both"/>
        <w:rPr>
          <w:rFonts w:ascii="Times New Roman" w:hAnsi="Times New Roman" w:cs="Times New Roman"/>
          <w:sz w:val="24"/>
          <w:szCs w:val="24"/>
        </w:rPr>
      </w:pPr>
      <w:r>
        <w:rPr>
          <w:rFonts w:ascii="Times New Roman" w:hAnsi="Times New Roman" w:cs="Times New Roman"/>
          <w:sz w:val="24"/>
          <w:szCs w:val="24"/>
        </w:rPr>
        <w:t>Substituting (1.4) into (1.5</w:t>
      </w:r>
      <w:r w:rsidR="00523369" w:rsidRPr="00D6284B">
        <w:rPr>
          <w:rFonts w:ascii="Times New Roman" w:hAnsi="Times New Roman" w:cs="Times New Roman"/>
          <w:sz w:val="24"/>
          <w:szCs w:val="24"/>
        </w:rPr>
        <w:t>) gives the following:</w:t>
      </w:r>
    </w:p>
    <w:p w14:paraId="0FEF0735" w14:textId="77777777" w:rsidR="00523369" w:rsidRPr="00002881" w:rsidRDefault="00523369" w:rsidP="00523369">
      <w:pPr>
        <w:pStyle w:val="MTDisplayEquation"/>
        <w:jc w:val="both"/>
        <w:rPr>
          <w:rFonts w:ascii="Times New Roman" w:hAnsi="Times New Roman" w:cs="Times New Roman"/>
          <w:color w:val="FF0000"/>
          <w:sz w:val="24"/>
          <w:szCs w:val="24"/>
        </w:rPr>
      </w:pPr>
      <w:r w:rsidRPr="00D6284B">
        <w:rPr>
          <w:rFonts w:ascii="Times New Roman" w:hAnsi="Times New Roman" w:cs="Times New Roman"/>
          <w:sz w:val="24"/>
          <w:szCs w:val="24"/>
        </w:rPr>
        <w:tab/>
      </w:r>
      <w:r w:rsidRPr="00D6284B">
        <w:rPr>
          <w:rFonts w:ascii="Times New Roman" w:hAnsi="Times New Roman" w:cs="Times New Roman"/>
          <w:position w:val="-34"/>
          <w:sz w:val="24"/>
          <w:szCs w:val="24"/>
        </w:rPr>
        <w:object w:dxaOrig="5560" w:dyaOrig="800" w14:anchorId="51B9E5B7">
          <v:shape id="_x0000_i1058" type="#_x0000_t75" style="width:277.8pt;height:40.1pt" o:ole="">
            <v:imagedata r:id="rId80" o:title=""/>
          </v:shape>
          <o:OLEObject Type="Embed" ProgID="Equation.DSMT4" ShapeID="_x0000_i1058" DrawAspect="Content" ObjectID="_1851508639" r:id="rId81"/>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r>
      <w:r w:rsidR="008C142C" w:rsidRPr="00002881">
        <w:rPr>
          <w:rFonts w:ascii="Times New Roman" w:hAnsi="Times New Roman" w:cs="Times New Roman"/>
          <w:color w:val="FF0000"/>
          <w:sz w:val="24"/>
          <w:szCs w:val="24"/>
        </w:rPr>
        <w:t>(1.6</w:t>
      </w:r>
      <w:r w:rsidRPr="00002881">
        <w:rPr>
          <w:rFonts w:ascii="Times New Roman" w:hAnsi="Times New Roman" w:cs="Times New Roman"/>
          <w:color w:val="FF0000"/>
          <w:sz w:val="24"/>
          <w:szCs w:val="24"/>
        </w:rPr>
        <w:t>)</w:t>
      </w:r>
    </w:p>
    <w:p w14:paraId="5FF43E30" w14:textId="77777777" w:rsidR="00523369" w:rsidRPr="00D6284B" w:rsidRDefault="00523369" w:rsidP="00523369">
      <w:pPr>
        <w:spacing w:line="480" w:lineRule="auto"/>
        <w:jc w:val="both"/>
        <w:rPr>
          <w:rFonts w:ascii="Times New Roman" w:hAnsi="Times New Roman" w:cs="Times New Roman"/>
          <w:b/>
          <w:sz w:val="24"/>
          <w:szCs w:val="24"/>
        </w:rPr>
      </w:pPr>
    </w:p>
    <w:p w14:paraId="3802B1A5" w14:textId="77777777" w:rsidR="00523369" w:rsidRPr="00D6284B" w:rsidRDefault="00523369" w:rsidP="00523369">
      <w:pPr>
        <w:spacing w:line="480" w:lineRule="auto"/>
        <w:jc w:val="both"/>
        <w:rPr>
          <w:rFonts w:ascii="Times New Roman" w:hAnsi="Times New Roman" w:cs="Times New Roman"/>
          <w:sz w:val="24"/>
          <w:szCs w:val="24"/>
        </w:rPr>
      </w:pPr>
      <w:r w:rsidRPr="00D6284B">
        <w:rPr>
          <w:rFonts w:ascii="Times New Roman" w:hAnsi="Times New Roman" w:cs="Times New Roman"/>
          <w:sz w:val="24"/>
          <w:szCs w:val="24"/>
        </w:rPr>
        <w:t>simplifying gives</w:t>
      </w:r>
    </w:p>
    <w:p w14:paraId="5A65EA98" w14:textId="77777777" w:rsidR="00523369" w:rsidRPr="00002881" w:rsidRDefault="00523369" w:rsidP="00523369">
      <w:pPr>
        <w:pStyle w:val="MTDisplayEquation"/>
        <w:jc w:val="both"/>
        <w:rPr>
          <w:rFonts w:ascii="Times New Roman" w:hAnsi="Times New Roman" w:cs="Times New Roman"/>
          <w:color w:val="FF0000"/>
          <w:sz w:val="24"/>
          <w:szCs w:val="24"/>
        </w:rPr>
      </w:pPr>
      <w:r w:rsidRPr="00D6284B">
        <w:rPr>
          <w:rFonts w:ascii="Times New Roman" w:hAnsi="Times New Roman" w:cs="Times New Roman"/>
          <w:sz w:val="24"/>
          <w:szCs w:val="24"/>
        </w:rPr>
        <w:tab/>
      </w:r>
      <w:r w:rsidR="00DF2A94" w:rsidRPr="00D6284B">
        <w:rPr>
          <w:rFonts w:ascii="Times New Roman" w:hAnsi="Times New Roman" w:cs="Times New Roman"/>
          <w:position w:val="-32"/>
          <w:sz w:val="24"/>
          <w:szCs w:val="24"/>
        </w:rPr>
        <w:object w:dxaOrig="3400" w:dyaOrig="760" w14:anchorId="63AE8F98">
          <v:shape id="_x0000_i1059" type="#_x0000_t75" style="width:169.8pt;height:38.05pt" o:ole="">
            <v:imagedata r:id="rId82" o:title=""/>
          </v:shape>
          <o:OLEObject Type="Embed" ProgID="Equation.DSMT4" ShapeID="_x0000_i1059" DrawAspect="Content" ObjectID="_1851508640" r:id="rId83"/>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r>
      <w:r w:rsidR="008C142C" w:rsidRPr="00002881">
        <w:rPr>
          <w:rFonts w:ascii="Times New Roman" w:hAnsi="Times New Roman" w:cs="Times New Roman"/>
          <w:color w:val="FF0000"/>
          <w:sz w:val="24"/>
          <w:szCs w:val="24"/>
        </w:rPr>
        <w:t>(1.7</w:t>
      </w:r>
      <w:r w:rsidRPr="00002881">
        <w:rPr>
          <w:rFonts w:ascii="Times New Roman" w:hAnsi="Times New Roman" w:cs="Times New Roman"/>
          <w:color w:val="FF0000"/>
          <w:sz w:val="24"/>
          <w:szCs w:val="24"/>
        </w:rPr>
        <w:t>)</w:t>
      </w:r>
    </w:p>
    <w:p w14:paraId="12E5B964"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2560" w:dyaOrig="680" w14:anchorId="3AC7AC8F">
          <v:shape id="_x0000_i1060" type="#_x0000_t75" style="width:127.7pt;height:33.95pt" o:ole="">
            <v:imagedata r:id="rId84" o:title=""/>
          </v:shape>
          <o:OLEObject Type="Embed" ProgID="Equation.DSMT4" ShapeID="_x0000_i1060" DrawAspect="Content" ObjectID="_1851508641" r:id="rId85"/>
        </w:object>
      </w:r>
      <w:r w:rsidRPr="00D6284B">
        <w:rPr>
          <w:rFonts w:ascii="Times New Roman" w:hAnsi="Times New Roman" w:cs="Times New Roman"/>
          <w:sz w:val="24"/>
          <w:szCs w:val="24"/>
        </w:rPr>
        <w:t xml:space="preserve"> </w:t>
      </w:r>
    </w:p>
    <w:p w14:paraId="1205E196"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3220" w:dyaOrig="680" w14:anchorId="1933CAD6">
          <v:shape id="_x0000_i1061" type="#_x0000_t75" style="width:161.65pt;height:33.95pt" o:ole="">
            <v:imagedata r:id="rId86" o:title=""/>
          </v:shape>
          <o:OLEObject Type="Embed" ProgID="Equation.DSMT4" ShapeID="_x0000_i1061" DrawAspect="Content" ObjectID="_1851508642" r:id="rId87"/>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(1.8</w:t>
      </w:r>
      <w:r w:rsidRPr="00D6284B">
        <w:rPr>
          <w:rFonts w:ascii="Times New Roman" w:hAnsi="Times New Roman" w:cs="Times New Roman"/>
          <w:sz w:val="24"/>
          <w:szCs w:val="24"/>
        </w:rPr>
        <w:t>)</w:t>
      </w:r>
    </w:p>
    <w:p w14:paraId="06ABEA13" w14:textId="3DD50426" w:rsidR="00523369" w:rsidRPr="002700E7" w:rsidRDefault="00523369" w:rsidP="00523369">
      <w:pPr>
        <w:jc w:val="both"/>
        <w:rPr>
          <w:rFonts w:ascii="Times New Roman" w:hAnsi="Times New Roman" w:cs="Times New Roman"/>
          <w:color w:val="FF0000"/>
          <w:sz w:val="24"/>
          <w:szCs w:val="24"/>
        </w:rPr>
      </w:pPr>
      <w:r w:rsidRPr="00D6284B">
        <w:rPr>
          <w:rFonts w:ascii="Times New Roman" w:hAnsi="Times New Roman" w:cs="Times New Roman"/>
          <w:sz w:val="24"/>
          <w:szCs w:val="24"/>
        </w:rPr>
        <w:t>Integrati</w:t>
      </w:r>
      <w:r w:rsidR="008C142C">
        <w:rPr>
          <w:rFonts w:ascii="Times New Roman" w:hAnsi="Times New Roman" w:cs="Times New Roman"/>
          <w:sz w:val="24"/>
          <w:szCs w:val="24"/>
        </w:rPr>
        <w:t>ng (1.8</w:t>
      </w:r>
      <w:r w:rsidRPr="00D6284B">
        <w:rPr>
          <w:rFonts w:ascii="Times New Roman" w:hAnsi="Times New Roman" w:cs="Times New Roman"/>
          <w:sz w:val="24"/>
          <w:szCs w:val="24"/>
        </w:rPr>
        <w:t>)  from</w:t>
      </w:r>
      <w:r w:rsidRPr="00D6284B">
        <w:rPr>
          <w:rFonts w:ascii="Times New Roman" w:hAnsi="Times New Roman" w:cs="Times New Roman"/>
          <w:position w:val="-10"/>
          <w:sz w:val="24"/>
          <w:szCs w:val="24"/>
        </w:rPr>
        <w:object w:dxaOrig="680" w:dyaOrig="320" w14:anchorId="72F921E5">
          <v:shape id="_x0000_i1062" type="#_x0000_t75" style="width:33.95pt;height:17pt" o:ole="">
            <v:imagedata r:id="rId88" o:title=""/>
          </v:shape>
          <o:OLEObject Type="Embed" ProgID="Equation.DSMT4" ShapeID="_x0000_i1062" DrawAspect="Content" ObjectID="_1851508643" r:id="rId89"/>
        </w:object>
      </w:r>
      <w:r w:rsidRPr="00D6284B">
        <w:rPr>
          <w:rFonts w:ascii="Times New Roman" w:hAnsi="Times New Roman" w:cs="Times New Roman"/>
          <w:sz w:val="24"/>
          <w:szCs w:val="24"/>
        </w:rPr>
        <w:t xml:space="preserve"> </w:t>
      </w:r>
      <w:r w:rsidR="002700E7" w:rsidRPr="002700E7">
        <w:rPr>
          <w:rFonts w:ascii="Times New Roman" w:hAnsi="Times New Roman" w:cs="Times New Roman"/>
          <w:color w:val="FF0000"/>
          <w:sz w:val="24"/>
          <w:szCs w:val="24"/>
        </w:rPr>
        <w:t xml:space="preserve">where </w:t>
      </w:r>
      <w:r w:rsidR="002700E7" w:rsidRPr="002700E7">
        <w:rPr>
          <w:rFonts w:ascii="Times New Roman" w:hAnsi="Times New Roman" w:cs="Times New Roman"/>
          <w:color w:val="FF0000"/>
          <w:position w:val="-6"/>
          <w:sz w:val="24"/>
          <w:szCs w:val="24"/>
        </w:rPr>
        <w:object w:dxaOrig="200" w:dyaOrig="279" w14:anchorId="4D292B86">
          <v:shape id="_x0000_i1063" type="#_x0000_t75" style="width:9.5pt;height:14.25pt" o:ole="">
            <v:imagedata r:id="rId90" o:title=""/>
          </v:shape>
          <o:OLEObject Type="Embed" ProgID="Equation.DSMT4" ShapeID="_x0000_i1063" DrawAspect="Content" ObjectID="_1851508644" r:id="rId91"/>
        </w:object>
      </w:r>
      <w:r w:rsidR="002700E7" w:rsidRPr="002700E7">
        <w:rPr>
          <w:rFonts w:ascii="Times New Roman" w:hAnsi="Times New Roman" w:cs="Times New Roman"/>
          <w:color w:val="FF0000"/>
          <w:sz w:val="24"/>
          <w:szCs w:val="24"/>
        </w:rPr>
        <w:t xml:space="preserve">is lower limit and </w:t>
      </w:r>
      <w:r w:rsidR="002700E7" w:rsidRPr="002700E7">
        <w:rPr>
          <w:rFonts w:ascii="Times New Roman" w:hAnsi="Times New Roman" w:cs="Times New Roman"/>
          <w:color w:val="FF0000"/>
          <w:position w:val="-10"/>
          <w:sz w:val="24"/>
          <w:szCs w:val="24"/>
        </w:rPr>
        <w:object w:dxaOrig="200" w:dyaOrig="279" w14:anchorId="3624D4F0">
          <v:shape id="_x0000_i1064" type="#_x0000_t75" style="width:9.5pt;height:14.25pt" o:ole="">
            <v:imagedata r:id="rId92" o:title=""/>
          </v:shape>
          <o:OLEObject Type="Embed" ProgID="Equation.DSMT4" ShapeID="_x0000_i1064" DrawAspect="Content" ObjectID="_1851508645" r:id="rId93"/>
        </w:object>
      </w:r>
      <w:r w:rsidR="002700E7" w:rsidRPr="002700E7">
        <w:rPr>
          <w:rFonts w:ascii="Times New Roman" w:hAnsi="Times New Roman" w:cs="Times New Roman"/>
          <w:color w:val="FF0000"/>
          <w:sz w:val="24"/>
          <w:szCs w:val="24"/>
        </w:rPr>
        <w:t>is upper limit gives</w:t>
      </w:r>
      <w:r w:rsidR="00645BA6">
        <w:rPr>
          <w:rFonts w:ascii="Times New Roman" w:hAnsi="Times New Roman" w:cs="Times New Roman"/>
          <w:color w:val="FF0000"/>
          <w:sz w:val="24"/>
          <w:szCs w:val="24"/>
        </w:rPr>
        <w:t>:</w:t>
      </w:r>
    </w:p>
    <w:p w14:paraId="0C3F7F52" w14:textId="77777777" w:rsidR="00523369" w:rsidRPr="001C4FFF" w:rsidRDefault="00523369" w:rsidP="00523369">
      <w:pPr>
        <w:pStyle w:val="MTDisplayEquation"/>
        <w:jc w:val="both"/>
        <w:rPr>
          <w:rFonts w:ascii="Times New Roman" w:hAnsi="Times New Roman" w:cs="Times New Roman"/>
          <w:color w:val="FF0000"/>
          <w:sz w:val="24"/>
          <w:szCs w:val="24"/>
        </w:rPr>
      </w:pPr>
      <w:r w:rsidRPr="00D6284B">
        <w:rPr>
          <w:rFonts w:ascii="Times New Roman" w:hAnsi="Times New Roman" w:cs="Times New Roman"/>
          <w:sz w:val="24"/>
          <w:szCs w:val="24"/>
        </w:rPr>
        <w:lastRenderedPageBreak/>
        <w:tab/>
      </w:r>
      <w:r w:rsidR="001C4FFF" w:rsidRPr="00D6284B">
        <w:rPr>
          <w:rFonts w:ascii="Times New Roman" w:hAnsi="Times New Roman" w:cs="Times New Roman"/>
          <w:position w:val="-28"/>
          <w:sz w:val="24"/>
          <w:szCs w:val="24"/>
        </w:rPr>
        <w:object w:dxaOrig="5140" w:dyaOrig="680" w14:anchorId="5A964A32">
          <v:shape id="_x0000_i1065" type="#_x0000_t75" style="width:256.75pt;height:33.95pt" o:ole="">
            <v:imagedata r:id="rId94" o:title=""/>
          </v:shape>
          <o:OLEObject Type="Embed" ProgID="Equation.DSMT4" ShapeID="_x0000_i1065" DrawAspect="Content" ObjectID="_1851508646" r:id="rId95"/>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r>
      <w:r w:rsidR="008C142C" w:rsidRPr="001C4FFF">
        <w:rPr>
          <w:rFonts w:ascii="Times New Roman" w:hAnsi="Times New Roman" w:cs="Times New Roman"/>
          <w:color w:val="FF0000"/>
          <w:sz w:val="24"/>
          <w:szCs w:val="24"/>
        </w:rPr>
        <w:t>(1.9</w:t>
      </w:r>
      <w:r w:rsidRPr="001C4FFF">
        <w:rPr>
          <w:rFonts w:ascii="Times New Roman" w:hAnsi="Times New Roman" w:cs="Times New Roman"/>
          <w:color w:val="FF0000"/>
          <w:sz w:val="24"/>
          <w:szCs w:val="24"/>
        </w:rPr>
        <w:t>)</w:t>
      </w:r>
    </w:p>
    <w:p w14:paraId="7B042AE7"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30"/>
          <w:sz w:val="24"/>
          <w:szCs w:val="24"/>
        </w:rPr>
        <w:object w:dxaOrig="5600" w:dyaOrig="760" w14:anchorId="52A951AE">
          <v:shape id="_x0000_i1066" type="#_x0000_t75" style="width:280.55pt;height:38.05pt" o:ole="">
            <v:imagedata r:id="rId96" o:title=""/>
          </v:shape>
          <o:OLEObject Type="Embed" ProgID="Equation.DSMT4" ShapeID="_x0000_i1066" DrawAspect="Content" ObjectID="_1851508647" r:id="rId97"/>
        </w:object>
      </w:r>
      <w:r w:rsidRPr="00D6284B">
        <w:rPr>
          <w:rFonts w:ascii="Times New Roman" w:hAnsi="Times New Roman" w:cs="Times New Roman"/>
          <w:sz w:val="24"/>
          <w:szCs w:val="24"/>
        </w:rPr>
        <w:t xml:space="preserve"> </w:t>
      </w:r>
    </w:p>
    <w:p w14:paraId="69EED002" w14:textId="77777777" w:rsidR="00523369" w:rsidRPr="00D6284B"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34"/>
          <w:sz w:val="24"/>
          <w:szCs w:val="24"/>
        </w:rPr>
        <w:object w:dxaOrig="4480" w:dyaOrig="800" w14:anchorId="44AF612B">
          <v:shape id="_x0000_i1067" type="#_x0000_t75" style="width:223.45pt;height:40.1pt" o:ole="">
            <v:imagedata r:id="rId98" o:title=""/>
          </v:shape>
          <o:OLEObject Type="Embed" ProgID="Equation.DSMT4" ShapeID="_x0000_i1067" DrawAspect="Content" ObjectID="_1851508648" r:id="rId99"/>
        </w:object>
      </w:r>
      <w:r w:rsidRPr="00D6284B">
        <w:rPr>
          <w:rFonts w:ascii="Times New Roman" w:hAnsi="Times New Roman" w:cs="Times New Roman"/>
          <w:sz w:val="24"/>
          <w:szCs w:val="24"/>
        </w:rPr>
        <w:t xml:space="preserve"> </w:t>
      </w:r>
    </w:p>
    <w:p w14:paraId="09AED2BE" w14:textId="77777777" w:rsidR="00523369" w:rsidRPr="00D6284B" w:rsidRDefault="00523369" w:rsidP="00523369">
      <w:pPr>
        <w:jc w:val="both"/>
        <w:rPr>
          <w:rFonts w:ascii="Times New Roman" w:hAnsi="Times New Roman" w:cs="Times New Roman"/>
          <w:sz w:val="24"/>
          <w:szCs w:val="24"/>
        </w:rPr>
      </w:pPr>
      <w:r w:rsidRPr="00D6284B">
        <w:rPr>
          <w:rFonts w:ascii="Times New Roman" w:hAnsi="Times New Roman" w:cs="Times New Roman"/>
          <w:sz w:val="24"/>
          <w:szCs w:val="24"/>
        </w:rPr>
        <w:t>Taking the ln of the both sides gives</w:t>
      </w:r>
    </w:p>
    <w:p w14:paraId="12D779B9" w14:textId="77777777" w:rsidR="00523369" w:rsidRDefault="00523369" w:rsidP="00523369">
      <w:pPr>
        <w:pStyle w:val="MTDisplayEquation"/>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4599" w:dyaOrig="680" w14:anchorId="172F8A1D">
          <v:shape id="_x0000_i1068" type="#_x0000_t75" style="width:230.25pt;height:33.95pt" o:ole="">
            <v:imagedata r:id="rId100" o:title=""/>
          </v:shape>
          <o:OLEObject Type="Embed" ProgID="Equation.DSMT4" ShapeID="_x0000_i1068" DrawAspect="Content" ObjectID="_1851508649" r:id="rId101"/>
        </w:object>
      </w:r>
      <w:r w:rsidR="008C142C">
        <w:rPr>
          <w:rFonts w:ascii="Times New Roman" w:hAnsi="Times New Roman" w:cs="Times New Roman"/>
          <w:sz w:val="24"/>
          <w:szCs w:val="24"/>
        </w:rPr>
        <w:t xml:space="preserve"> </w:t>
      </w:r>
      <w:r w:rsidR="008C142C">
        <w:rPr>
          <w:rFonts w:ascii="Times New Roman" w:hAnsi="Times New Roman" w:cs="Times New Roman"/>
          <w:sz w:val="24"/>
          <w:szCs w:val="24"/>
        </w:rPr>
        <w:tab/>
        <w:t>(1.10</w:t>
      </w:r>
      <w:r w:rsidRPr="00D6284B">
        <w:rPr>
          <w:rFonts w:ascii="Times New Roman" w:hAnsi="Times New Roman" w:cs="Times New Roman"/>
          <w:sz w:val="24"/>
          <w:szCs w:val="24"/>
        </w:rPr>
        <w:t>)</w:t>
      </w:r>
    </w:p>
    <w:p w14:paraId="6F65789C" w14:textId="77777777" w:rsidR="00BE76C9" w:rsidRDefault="009B2697" w:rsidP="00BE76C9">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From (1.2)</w:t>
      </w:r>
      <w:r w:rsidR="00BE76C9">
        <w:rPr>
          <w:rFonts w:ascii="Times New Roman" w:hAnsi="Times New Roman" w:cs="Times New Roman"/>
          <w:sz w:val="24"/>
          <w:szCs w:val="24"/>
        </w:rPr>
        <w:t xml:space="preserve"> let </w:t>
      </w:r>
      <w:r w:rsidR="009E1E7F">
        <w:rPr>
          <w:rFonts w:ascii="Times New Roman" w:hAnsi="Times New Roman" w:cs="Times New Roman"/>
          <w:position w:val="-14"/>
          <w:sz w:val="24"/>
          <w:szCs w:val="24"/>
        </w:rPr>
        <w:object w:dxaOrig="1480" w:dyaOrig="400" w14:anchorId="15D225B2">
          <v:shape id="_x0000_i1069" type="#_x0000_t75" style="width:74.05pt;height:20.4pt" o:ole="">
            <v:imagedata r:id="rId102" o:title=""/>
          </v:shape>
          <o:OLEObject Type="Embed" ProgID="Equation.DSMT4" ShapeID="_x0000_i1069" DrawAspect="Content" ObjectID="_1851508650" r:id="rId103"/>
        </w:object>
      </w:r>
      <w:r w:rsidR="00BE76C9">
        <w:rPr>
          <w:rFonts w:ascii="Times New Roman" w:hAnsi="Times New Roman" w:cs="Times New Roman"/>
          <w:sz w:val="24"/>
          <w:szCs w:val="24"/>
        </w:rPr>
        <w:t xml:space="preserve"> and taking the partial derivatives yields:</w:t>
      </w:r>
    </w:p>
    <w:p w14:paraId="22D0E0AD" w14:textId="77777777" w:rsidR="00BE76C9" w:rsidRDefault="00BE76C9" w:rsidP="00BE76C9">
      <w:pPr>
        <w:pStyle w:val="MTDisplayEquation"/>
      </w:pPr>
      <w:r>
        <w:tab/>
      </w:r>
      <w:r w:rsidR="000D5B59">
        <w:rPr>
          <w:position w:val="-32"/>
        </w:rPr>
        <w:object w:dxaOrig="3080" w:dyaOrig="760" w14:anchorId="39FCE91E">
          <v:shape id="_x0000_i1070" type="#_x0000_t75" style="width:154.2pt;height:38.05pt" o:ole="">
            <v:imagedata r:id="rId104" o:title=""/>
          </v:shape>
          <o:OLEObject Type="Embed" ProgID="Equation.DSMT4" ShapeID="_x0000_i1070" DrawAspect="Content" ObjectID="_1851508651" r:id="rId105"/>
        </w:object>
      </w:r>
      <w:r w:rsidR="00482B06">
        <w:t xml:space="preserve"> </w:t>
      </w:r>
      <w:r w:rsidR="00482B06">
        <w:tab/>
      </w:r>
      <w:r w:rsidR="009B2697">
        <w:t>(1.11)</w:t>
      </w:r>
    </w:p>
    <w:p w14:paraId="424804D2" w14:textId="77777777" w:rsidR="00BE76C9" w:rsidRDefault="00BE76C9" w:rsidP="00BE76C9"/>
    <w:p w14:paraId="5FEDBA10" w14:textId="77777777" w:rsidR="00BE76C9" w:rsidRDefault="00BE76C9" w:rsidP="00BE76C9">
      <w:r>
        <w:t>According to Ito’s theorem gives:</w:t>
      </w:r>
    </w:p>
    <w:p w14:paraId="3E07E67B" w14:textId="77777777" w:rsidR="00BE76C9" w:rsidRDefault="00BE76C9" w:rsidP="00BE76C9">
      <w:pPr>
        <w:pStyle w:val="MTDisplayEquation"/>
      </w:pPr>
      <w:r>
        <w:tab/>
      </w:r>
      <w:r w:rsidR="00356D6D">
        <w:rPr>
          <w:position w:val="-32"/>
        </w:rPr>
        <w:object w:dxaOrig="5600" w:dyaOrig="760" w14:anchorId="3687FA5E">
          <v:shape id="_x0000_i1071" type="#_x0000_t75" style="width:280.55pt;height:38.05pt" o:ole="">
            <v:imagedata r:id="rId106" o:title=""/>
          </v:shape>
          <o:OLEObject Type="Embed" ProgID="Equation.DSMT4" ShapeID="_x0000_i1071" DrawAspect="Content" ObjectID="_1851508652" r:id="rId107"/>
        </w:object>
      </w:r>
      <w:r w:rsidR="00482B06">
        <w:t xml:space="preserve"> </w:t>
      </w:r>
      <w:r w:rsidR="00482B06">
        <w:tab/>
      </w:r>
      <w:r w:rsidR="009B2697">
        <w:t>(1.12)</w:t>
      </w:r>
    </w:p>
    <w:p w14:paraId="5021E163" w14:textId="77777777" w:rsidR="00BE76C9" w:rsidRDefault="00BE76C9" w:rsidP="00BE76C9">
      <w:pPr>
        <w:rPr>
          <w:rFonts w:ascii="Times New Roman" w:hAnsi="Times New Roman" w:cs="Times New Roman"/>
          <w:b/>
          <w:sz w:val="24"/>
          <w:szCs w:val="24"/>
        </w:rPr>
      </w:pPr>
    </w:p>
    <w:p w14:paraId="3ED0719A" w14:textId="77777777" w:rsidR="00BE76C9" w:rsidRDefault="00482B06" w:rsidP="00BE76C9">
      <w:r>
        <w:t>Substituting (1.11) into (1.12</w:t>
      </w:r>
      <w:r w:rsidR="00BE76C9">
        <w:t>) gives the following:</w:t>
      </w:r>
    </w:p>
    <w:p w14:paraId="5DA2E43B" w14:textId="77777777" w:rsidR="00BE76C9" w:rsidRPr="006D75F2" w:rsidRDefault="00BE76C9" w:rsidP="00BE76C9">
      <w:pPr>
        <w:pStyle w:val="MTDisplayEquation"/>
        <w:rPr>
          <w:color w:val="FF0000"/>
        </w:rPr>
      </w:pPr>
      <w:r>
        <w:tab/>
      </w:r>
      <w:r w:rsidR="00D6741D">
        <w:rPr>
          <w:position w:val="-34"/>
        </w:rPr>
        <w:object w:dxaOrig="5539" w:dyaOrig="800" w14:anchorId="199CB328">
          <v:shape id="_x0000_i1072" type="#_x0000_t75" style="width:277.8pt;height:40.1pt" o:ole="">
            <v:imagedata r:id="rId108" o:title=""/>
          </v:shape>
          <o:OLEObject Type="Embed" ProgID="Equation.DSMT4" ShapeID="_x0000_i1072" DrawAspect="Content" ObjectID="_1851508653" r:id="rId109"/>
        </w:object>
      </w:r>
      <w:r w:rsidR="00E0713E">
        <w:t xml:space="preserve"> </w:t>
      </w:r>
      <w:r w:rsidR="00E0713E">
        <w:tab/>
      </w:r>
      <w:r w:rsidR="00E0713E" w:rsidRPr="006D75F2">
        <w:rPr>
          <w:color w:val="FF0000"/>
        </w:rPr>
        <w:t>(1.13</w:t>
      </w:r>
      <w:r w:rsidRPr="006D75F2">
        <w:rPr>
          <w:color w:val="FF0000"/>
        </w:rPr>
        <w:t>)</w:t>
      </w:r>
    </w:p>
    <w:p w14:paraId="4D1A899E" w14:textId="77777777" w:rsidR="00BE76C9" w:rsidRDefault="00BE76C9" w:rsidP="00BE76C9">
      <w:pPr>
        <w:spacing w:line="480" w:lineRule="auto"/>
        <w:jc w:val="both"/>
        <w:rPr>
          <w:rFonts w:ascii="Times New Roman" w:hAnsi="Times New Roman" w:cs="Times New Roman"/>
          <w:b/>
          <w:sz w:val="24"/>
          <w:szCs w:val="24"/>
        </w:rPr>
      </w:pPr>
    </w:p>
    <w:p w14:paraId="0E1E589B" w14:textId="77777777" w:rsidR="00BE76C9" w:rsidRDefault="00BE76C9" w:rsidP="00BE76C9">
      <w:pPr>
        <w:spacing w:line="480" w:lineRule="auto"/>
        <w:jc w:val="both"/>
        <w:rPr>
          <w:rFonts w:ascii="Times New Roman" w:hAnsi="Times New Roman" w:cs="Times New Roman"/>
          <w:sz w:val="24"/>
          <w:szCs w:val="24"/>
        </w:rPr>
      </w:pPr>
      <w:r>
        <w:rPr>
          <w:rFonts w:ascii="Times New Roman" w:hAnsi="Times New Roman" w:cs="Times New Roman"/>
          <w:sz w:val="24"/>
          <w:szCs w:val="24"/>
        </w:rPr>
        <w:t>simplifying gives</w:t>
      </w:r>
    </w:p>
    <w:p w14:paraId="3D39DC7E" w14:textId="77777777" w:rsidR="00BE76C9" w:rsidRDefault="00BE76C9" w:rsidP="00BE76C9">
      <w:pPr>
        <w:pStyle w:val="MTDisplayEquation"/>
      </w:pPr>
      <w:r>
        <w:tab/>
      </w:r>
      <w:r w:rsidR="00DF2A94">
        <w:rPr>
          <w:position w:val="-32"/>
        </w:rPr>
        <w:object w:dxaOrig="3440" w:dyaOrig="760" w14:anchorId="2B91B231">
          <v:shape id="_x0000_i1073" type="#_x0000_t75" style="width:173.2pt;height:38.05pt" o:ole="">
            <v:imagedata r:id="rId110" o:title=""/>
          </v:shape>
          <o:OLEObject Type="Embed" ProgID="Equation.DSMT4" ShapeID="_x0000_i1073" DrawAspect="Content" ObjectID="_1851508654" r:id="rId111"/>
        </w:object>
      </w:r>
      <w:r w:rsidR="00E0713E">
        <w:t xml:space="preserve"> </w:t>
      </w:r>
      <w:r w:rsidR="00E0713E">
        <w:tab/>
      </w:r>
      <w:r w:rsidR="00E0713E" w:rsidRPr="00FF2D6F">
        <w:rPr>
          <w:color w:val="FF0000"/>
        </w:rPr>
        <w:t>(1.14</w:t>
      </w:r>
      <w:r w:rsidRPr="00FF2D6F">
        <w:rPr>
          <w:color w:val="FF0000"/>
        </w:rPr>
        <w:t>)</w:t>
      </w:r>
    </w:p>
    <w:p w14:paraId="6FCCB1BA" w14:textId="77777777" w:rsidR="00BE76C9" w:rsidRDefault="00BE76C9" w:rsidP="00BE76C9">
      <w:pPr>
        <w:pStyle w:val="MTDisplayEquation"/>
      </w:pPr>
      <w:r>
        <w:lastRenderedPageBreak/>
        <w:tab/>
      </w:r>
      <w:r w:rsidR="00873042">
        <w:rPr>
          <w:position w:val="-28"/>
        </w:rPr>
        <w:object w:dxaOrig="2500" w:dyaOrig="680" w14:anchorId="0F6DBF2C">
          <v:shape id="_x0000_i1074" type="#_x0000_t75" style="width:125pt;height:33.95pt" o:ole="">
            <v:imagedata r:id="rId112" o:title=""/>
          </v:shape>
          <o:OLEObject Type="Embed" ProgID="Equation.DSMT4" ShapeID="_x0000_i1074" DrawAspect="Content" ObjectID="_1851508655" r:id="rId113"/>
        </w:object>
      </w:r>
      <w:r>
        <w:t xml:space="preserve"> </w:t>
      </w:r>
    </w:p>
    <w:p w14:paraId="1ACB1240" w14:textId="77777777" w:rsidR="00BE76C9" w:rsidRDefault="00BE76C9" w:rsidP="00BE76C9">
      <w:pPr>
        <w:pStyle w:val="MTDisplayEquation"/>
      </w:pPr>
      <w:r>
        <w:tab/>
      </w:r>
      <w:r w:rsidR="006562AF">
        <w:rPr>
          <w:position w:val="-28"/>
        </w:rPr>
        <w:object w:dxaOrig="3159" w:dyaOrig="680" w14:anchorId="004BA566">
          <v:shape id="_x0000_i1075" type="#_x0000_t75" style="width:156.9pt;height:33.95pt" o:ole="">
            <v:imagedata r:id="rId114" o:title=""/>
          </v:shape>
          <o:OLEObject Type="Embed" ProgID="Equation.DSMT4" ShapeID="_x0000_i1075" DrawAspect="Content" ObjectID="_1851508656" r:id="rId115"/>
        </w:object>
      </w:r>
      <w:r w:rsidR="00E0713E">
        <w:t xml:space="preserve"> </w:t>
      </w:r>
      <w:r w:rsidR="00E0713E">
        <w:tab/>
        <w:t>(1.15</w:t>
      </w:r>
      <w:r>
        <w:t>)</w:t>
      </w:r>
    </w:p>
    <w:p w14:paraId="7B87E774" w14:textId="77777777" w:rsidR="00BE76C9" w:rsidRDefault="00E0713E" w:rsidP="00BE76C9">
      <w:r>
        <w:t>Integrating (1.15</w:t>
      </w:r>
      <w:r w:rsidR="00BE76C9">
        <w:t>)  from</w:t>
      </w:r>
      <w:r w:rsidR="00BE76C9">
        <w:rPr>
          <w:position w:val="-10"/>
        </w:rPr>
        <w:object w:dxaOrig="675" w:dyaOrig="330" w14:anchorId="7114E62F">
          <v:shape id="_x0000_i1076" type="#_x0000_t75" style="width:33.95pt;height:17pt" o:ole="">
            <v:imagedata r:id="rId88" o:title=""/>
          </v:shape>
          <o:OLEObject Type="Embed" ProgID="Equation.DSMT4" ShapeID="_x0000_i1076" DrawAspect="Content" ObjectID="_1851508657" r:id="rId116"/>
        </w:object>
      </w:r>
      <w:r w:rsidR="00BE76C9">
        <w:t xml:space="preserve"> gives</w:t>
      </w:r>
    </w:p>
    <w:p w14:paraId="27C754EA" w14:textId="77777777" w:rsidR="00BE76C9" w:rsidRDefault="00BE76C9" w:rsidP="00BE76C9">
      <w:pPr>
        <w:pStyle w:val="MTDisplayEquation"/>
      </w:pPr>
      <w:r>
        <w:tab/>
      </w:r>
      <w:r w:rsidR="009049CF">
        <w:rPr>
          <w:position w:val="-28"/>
        </w:rPr>
        <w:object w:dxaOrig="5280" w:dyaOrig="680" w14:anchorId="49CF98C1">
          <v:shape id="_x0000_i1077" type="#_x0000_t75" style="width:262.85pt;height:33.95pt" o:ole="">
            <v:imagedata r:id="rId117" o:title=""/>
          </v:shape>
          <o:OLEObject Type="Embed" ProgID="Equation.DSMT4" ShapeID="_x0000_i1077" DrawAspect="Content" ObjectID="_1851508658" r:id="rId118"/>
        </w:object>
      </w:r>
      <w:r w:rsidR="00E0713E">
        <w:t xml:space="preserve"> </w:t>
      </w:r>
      <w:r w:rsidR="00E0713E">
        <w:tab/>
        <w:t>(1.16</w:t>
      </w:r>
      <w:r>
        <w:t>)</w:t>
      </w:r>
    </w:p>
    <w:p w14:paraId="25114D95" w14:textId="77777777" w:rsidR="00BE76C9" w:rsidRDefault="00BE76C9" w:rsidP="00BE76C9">
      <w:pPr>
        <w:pStyle w:val="MTDisplayEquation"/>
      </w:pPr>
      <w:r>
        <w:tab/>
      </w:r>
      <w:r w:rsidR="00E466DC">
        <w:rPr>
          <w:position w:val="-30"/>
        </w:rPr>
        <w:object w:dxaOrig="3900" w:dyaOrig="760" w14:anchorId="3C23F9C2">
          <v:shape id="_x0000_i1078" type="#_x0000_t75" style="width:194.95pt;height:38.05pt" o:ole="">
            <v:imagedata r:id="rId119" o:title=""/>
          </v:shape>
          <o:OLEObject Type="Embed" ProgID="Equation.DSMT4" ShapeID="_x0000_i1078" DrawAspect="Content" ObjectID="_1851508659" r:id="rId120"/>
        </w:object>
      </w:r>
      <w:r>
        <w:t xml:space="preserve"> </w:t>
      </w:r>
    </w:p>
    <w:p w14:paraId="23DA05ED" w14:textId="77777777" w:rsidR="00BE76C9" w:rsidRDefault="00BE76C9" w:rsidP="00BE76C9">
      <w:pPr>
        <w:pStyle w:val="MTDisplayEquation"/>
      </w:pPr>
      <w:r>
        <w:tab/>
      </w:r>
      <w:r w:rsidR="00E466DC" w:rsidRPr="008E182E">
        <w:rPr>
          <w:position w:val="-32"/>
        </w:rPr>
        <w:object w:dxaOrig="2940" w:dyaOrig="760" w14:anchorId="4B31528E">
          <v:shape id="_x0000_i1079" type="#_x0000_t75" style="width:147.4pt;height:38.05pt" o:ole="">
            <v:imagedata r:id="rId121" o:title=""/>
          </v:shape>
          <o:OLEObject Type="Embed" ProgID="Equation.DSMT4" ShapeID="_x0000_i1079" DrawAspect="Content" ObjectID="_1851508660" r:id="rId122"/>
        </w:object>
      </w:r>
      <w:r>
        <w:t xml:space="preserve"> </w:t>
      </w:r>
    </w:p>
    <w:p w14:paraId="7E2222CB" w14:textId="77777777" w:rsidR="00BE76C9" w:rsidRDefault="00BE76C9" w:rsidP="00BE76C9">
      <w:r>
        <w:t>Taking the ln of the both sides gives</w:t>
      </w:r>
    </w:p>
    <w:p w14:paraId="7E9DD3CE" w14:textId="77777777" w:rsidR="00BE76C9" w:rsidRDefault="00BE76C9" w:rsidP="00BE76C9">
      <w:pPr>
        <w:pStyle w:val="MTDisplayEquation"/>
      </w:pPr>
      <w:r>
        <w:tab/>
      </w:r>
      <w:r w:rsidR="00C667D1">
        <w:rPr>
          <w:position w:val="-28"/>
        </w:rPr>
        <w:object w:dxaOrig="3040" w:dyaOrig="680" w14:anchorId="3E38EB93">
          <v:shape id="_x0000_i1080" type="#_x0000_t75" style="width:151.45pt;height:33.95pt" o:ole="">
            <v:imagedata r:id="rId123" o:title=""/>
          </v:shape>
          <o:OLEObject Type="Embed" ProgID="Equation.DSMT4" ShapeID="_x0000_i1080" DrawAspect="Content" ObjectID="_1851508661" r:id="rId124"/>
        </w:object>
      </w:r>
      <w:r w:rsidR="00E0713E">
        <w:t xml:space="preserve"> </w:t>
      </w:r>
      <w:r w:rsidR="00E0713E">
        <w:tab/>
        <w:t>(1.17</w:t>
      </w:r>
      <w:r>
        <w:t>)</w:t>
      </w:r>
    </w:p>
    <w:p w14:paraId="07D39507" w14:textId="77777777" w:rsidR="00BE76C9" w:rsidRDefault="00BE76C9" w:rsidP="00BE76C9">
      <w:r>
        <w:t>This gives the general solution of the SDE. To find the particular solution</w:t>
      </w:r>
    </w:p>
    <w:p w14:paraId="5B08E583" w14:textId="77777777" w:rsidR="00BE76C9" w:rsidRPr="00C42EE8" w:rsidRDefault="00C667D1" w:rsidP="00BE76C9">
      <w:r w:rsidRPr="00C42EE8">
        <w:rPr>
          <w:position w:val="-14"/>
        </w:rPr>
        <w:object w:dxaOrig="999" w:dyaOrig="400" w14:anchorId="28B24603">
          <v:shape id="_x0000_i1081" type="#_x0000_t75" style="width:49.6pt;height:19.7pt" o:ole="">
            <v:imagedata r:id="rId125" o:title=""/>
          </v:shape>
          <o:OLEObject Type="Embed" ProgID="Equation.DSMT4" ShapeID="_x0000_i1081" DrawAspect="Content" ObjectID="_1851508662" r:id="rId126"/>
        </w:object>
      </w:r>
      <w:r w:rsidR="00BE76C9">
        <w:t xml:space="preserve"> ,</w:t>
      </w:r>
      <w:r w:rsidRPr="00C42EE8">
        <w:rPr>
          <w:position w:val="-28"/>
        </w:rPr>
        <w:object w:dxaOrig="3300" w:dyaOrig="680" w14:anchorId="5A34B23C">
          <v:shape id="_x0000_i1082" type="#_x0000_t75" style="width:165.05pt;height:33.95pt" o:ole="">
            <v:imagedata r:id="rId127" o:title=""/>
          </v:shape>
          <o:OLEObject Type="Embed" ProgID="Equation.DSMT4" ShapeID="_x0000_i1082" DrawAspect="Content" ObjectID="_1851508663" r:id="rId128"/>
        </w:object>
      </w:r>
      <w:r w:rsidR="00BE76C9">
        <w:t xml:space="preserve"> </w:t>
      </w:r>
    </w:p>
    <w:p w14:paraId="7F59C6BA" w14:textId="77777777" w:rsidR="00BE76C9" w:rsidRDefault="00BE76C9" w:rsidP="00BE76C9">
      <w:pPr>
        <w:pStyle w:val="MTDisplayEquation"/>
      </w:pPr>
      <w:r>
        <w:tab/>
      </w:r>
      <w:r w:rsidR="00BA4BA3" w:rsidRPr="00C42EE8">
        <w:rPr>
          <w:position w:val="-12"/>
        </w:rPr>
        <w:object w:dxaOrig="700" w:dyaOrig="360" w14:anchorId="32A69D23">
          <v:shape id="_x0000_i1083" type="#_x0000_t75" style="width:35.3pt;height:17.65pt" o:ole="">
            <v:imagedata r:id="rId129" o:title=""/>
          </v:shape>
          <o:OLEObject Type="Embed" ProgID="Equation.DSMT4" ShapeID="_x0000_i1083" DrawAspect="Content" ObjectID="_1851508664" r:id="rId130"/>
        </w:object>
      </w:r>
      <w:r>
        <w:t xml:space="preserve"> </w:t>
      </w:r>
    </w:p>
    <w:p w14:paraId="3229BC3E" w14:textId="77777777" w:rsidR="00CA2CA7" w:rsidRPr="008643A9" w:rsidRDefault="00BE76C9" w:rsidP="008643A9">
      <w:pPr>
        <w:pStyle w:val="MTDisplayEquation"/>
      </w:pPr>
      <w:r>
        <w:tab/>
      </w:r>
      <w:r w:rsidR="00BA4BA3" w:rsidRPr="00C42EE8">
        <w:rPr>
          <w:position w:val="-30"/>
        </w:rPr>
        <w:object w:dxaOrig="3260" w:dyaOrig="720" w14:anchorId="3CE70C6D">
          <v:shape id="_x0000_i1084" type="#_x0000_t75" style="width:162.35pt;height:36pt" o:ole="">
            <v:imagedata r:id="rId131" o:title=""/>
          </v:shape>
          <o:OLEObject Type="Embed" ProgID="Equation.DSMT4" ShapeID="_x0000_i1084" DrawAspect="Content" ObjectID="_1851508665" r:id="rId132"/>
        </w:object>
      </w:r>
      <w:r>
        <w:t xml:space="preserve"> </w:t>
      </w:r>
      <w:r>
        <w:tab/>
      </w:r>
      <w:r w:rsidR="00E0713E">
        <w:t>(1.18</w:t>
      </w:r>
      <w:r>
        <w:t>)</w:t>
      </w:r>
    </w:p>
    <w:p w14:paraId="062754F1" w14:textId="77777777" w:rsidR="00CA2CA7" w:rsidRPr="00D6284B" w:rsidRDefault="00CA2CA7" w:rsidP="00523369">
      <w:pPr>
        <w:jc w:val="both"/>
        <w:rPr>
          <w:rFonts w:ascii="Times New Roman" w:hAnsi="Times New Roman" w:cs="Times New Roman"/>
          <w:sz w:val="24"/>
          <w:szCs w:val="24"/>
        </w:rPr>
      </w:pPr>
    </w:p>
    <w:p w14:paraId="2DF260CB" w14:textId="77777777" w:rsidR="00523369" w:rsidRPr="00B9118B" w:rsidRDefault="00523369" w:rsidP="00523369">
      <w:pPr>
        <w:jc w:val="both"/>
        <w:rPr>
          <w:rFonts w:ascii="Times New Roman" w:hAnsi="Times New Roman" w:cs="Times New Roman"/>
          <w:b/>
          <w:sz w:val="24"/>
          <w:szCs w:val="24"/>
        </w:rPr>
      </w:pPr>
      <w:r w:rsidRPr="00B9118B">
        <w:rPr>
          <w:rFonts w:ascii="Times New Roman" w:hAnsi="Times New Roman" w:cs="Times New Roman"/>
          <w:b/>
          <w:sz w:val="24"/>
          <w:szCs w:val="24"/>
        </w:rPr>
        <w:t>3.1 Results and Discussion</w:t>
      </w:r>
    </w:p>
    <w:p w14:paraId="46780AE9" w14:textId="77777777" w:rsidR="00CA2CA7" w:rsidRDefault="00523369" w:rsidP="00523369">
      <w:pPr>
        <w:jc w:val="both"/>
        <w:rPr>
          <w:rFonts w:ascii="Times New Roman" w:hAnsi="Times New Roman" w:cs="Times New Roman"/>
          <w:sz w:val="24"/>
          <w:szCs w:val="24"/>
        </w:rPr>
      </w:pPr>
      <w:r>
        <w:rPr>
          <w:rFonts w:ascii="Times New Roman" w:hAnsi="Times New Roman" w:cs="Times New Roman"/>
          <w:sz w:val="24"/>
          <w:szCs w:val="24"/>
        </w:rPr>
        <w:t>Analysis of Model</w:t>
      </w:r>
      <w:r w:rsidR="00CA2CA7">
        <w:rPr>
          <w:rFonts w:ascii="Times New Roman" w:hAnsi="Times New Roman" w:cs="Times New Roman"/>
          <w:sz w:val="24"/>
          <w:szCs w:val="24"/>
        </w:rPr>
        <w:t>s</w:t>
      </w:r>
      <w:r w:rsidRPr="00B9118B">
        <w:rPr>
          <w:rFonts w:ascii="Times New Roman" w:hAnsi="Times New Roman" w:cs="Times New Roman"/>
          <w:sz w:val="24"/>
          <w:szCs w:val="24"/>
        </w:rPr>
        <w:t xml:space="preserve">: </w:t>
      </w:r>
      <w:r w:rsidRPr="00CA2CA7">
        <w:rPr>
          <w:rFonts w:ascii="Times New Roman" w:hAnsi="Times New Roman" w:cs="Times New Roman"/>
          <w:b/>
          <w:sz w:val="24"/>
          <w:szCs w:val="24"/>
        </w:rPr>
        <w:t>Seasonal Initial-Condition Model</w:t>
      </w:r>
      <w:r>
        <w:rPr>
          <w:rFonts w:ascii="Times New Roman" w:hAnsi="Times New Roman" w:cs="Times New Roman"/>
          <w:sz w:val="24"/>
          <w:szCs w:val="24"/>
        </w:rPr>
        <w:t xml:space="preserve">. </w:t>
      </w:r>
    </w:p>
    <w:p w14:paraId="06476B35" w14:textId="77777777" w:rsidR="00523369" w:rsidRPr="00D6284B" w:rsidRDefault="00523369" w:rsidP="00523369">
      <w:pPr>
        <w:jc w:val="both"/>
        <w:rPr>
          <w:rFonts w:ascii="Times New Roman" w:hAnsi="Times New Roman" w:cs="Times New Roman"/>
          <w:sz w:val="24"/>
          <w:szCs w:val="24"/>
        </w:rPr>
      </w:pPr>
      <w:r w:rsidRPr="00B9118B">
        <w:rPr>
          <w:rFonts w:ascii="Times New Roman" w:hAnsi="Times New Roman" w:cs="Times New Roman"/>
          <w:sz w:val="24"/>
          <w:szCs w:val="24"/>
        </w:rPr>
        <w:t>The seasonal model is represented as</w:t>
      </w:r>
    </w:p>
    <w:p w14:paraId="7CE88C91" w14:textId="77777777" w:rsidR="00523369" w:rsidRPr="00B9118B" w:rsidRDefault="00523369" w:rsidP="00523369">
      <w:pPr>
        <w:ind w:left="5" w:right="55"/>
        <w:jc w:val="both"/>
        <w:rPr>
          <w:rFonts w:ascii="Times New Roman" w:hAnsi="Times New Roman" w:cs="Times New Roman"/>
          <w:sz w:val="24"/>
          <w:szCs w:val="24"/>
        </w:rPr>
      </w:pPr>
      <w:r w:rsidRPr="00D6284B">
        <w:rPr>
          <w:rFonts w:ascii="Times New Roman" w:hAnsi="Times New Roman" w:cs="Times New Roman"/>
          <w:sz w:val="24"/>
          <w:szCs w:val="24"/>
        </w:rPr>
        <w:tab/>
      </w:r>
      <w:r w:rsidRPr="00D6284B">
        <w:rPr>
          <w:rFonts w:ascii="Times New Roman" w:hAnsi="Times New Roman" w:cs="Times New Roman"/>
          <w:position w:val="-28"/>
          <w:sz w:val="24"/>
          <w:szCs w:val="24"/>
        </w:rPr>
        <w:object w:dxaOrig="4599" w:dyaOrig="680" w14:anchorId="06D47ABB">
          <v:shape id="_x0000_i1085" type="#_x0000_t75" style="width:230.25pt;height:33.95pt" o:ole="">
            <v:imagedata r:id="rId100" o:title=""/>
          </v:shape>
          <o:OLEObject Type="Embed" ProgID="Equation.DSMT4" ShapeID="_x0000_i1085" DrawAspect="Content" ObjectID="_1851508666" r:id="rId133"/>
        </w:object>
      </w:r>
      <w:r w:rsidRPr="00D6284B">
        <w:rPr>
          <w:rFonts w:ascii="Times New Roman" w:hAnsi="Times New Roman" w:cs="Times New Roman"/>
          <w:sz w:val="24"/>
          <w:szCs w:val="24"/>
        </w:rPr>
        <w:t xml:space="preserve"> </w:t>
      </w:r>
      <w:r w:rsidRPr="00D6284B">
        <w:rPr>
          <w:rFonts w:ascii="Times New Roman" w:hAnsi="Times New Roman" w:cs="Times New Roman"/>
          <w:sz w:val="24"/>
          <w:szCs w:val="24"/>
        </w:rPr>
        <w:tab/>
      </w:r>
      <w:r w:rsidRPr="00B9118B">
        <w:rPr>
          <w:rFonts w:ascii="Times New Roman" w:hAnsi="Times New Roman" w:cs="Times New Roman"/>
          <w:i/>
          <w:sz w:val="24"/>
          <w:szCs w:val="24"/>
        </w:rPr>
        <w:tab/>
      </w:r>
    </w:p>
    <w:p w14:paraId="00659F59" w14:textId="77777777" w:rsidR="00523369" w:rsidRPr="00B9118B" w:rsidRDefault="00523369" w:rsidP="00523369">
      <w:pPr>
        <w:spacing w:after="27"/>
        <w:ind w:left="5" w:right="55"/>
        <w:jc w:val="both"/>
        <w:rPr>
          <w:rFonts w:ascii="Times New Roman" w:hAnsi="Times New Roman" w:cs="Times New Roman"/>
          <w:sz w:val="24"/>
          <w:szCs w:val="24"/>
        </w:rPr>
      </w:pPr>
      <w:r w:rsidRPr="00B9118B">
        <w:rPr>
          <w:rFonts w:ascii="Times New Roman" w:hAnsi="Times New Roman" w:cs="Times New Roman"/>
          <w:sz w:val="24"/>
          <w:szCs w:val="24"/>
        </w:rPr>
        <w:lastRenderedPageBreak/>
        <w:t>with</w:t>
      </w:r>
    </w:p>
    <w:p w14:paraId="559ED8CC" w14:textId="77777777" w:rsidR="00523369" w:rsidRPr="00B9118B" w:rsidRDefault="00523369" w:rsidP="00523369">
      <w:pPr>
        <w:tabs>
          <w:tab w:val="center" w:pos="1840"/>
          <w:tab w:val="center" w:pos="3297"/>
          <w:tab w:val="center" w:pos="4538"/>
          <w:tab w:val="center" w:pos="5911"/>
          <w:tab w:val="center" w:pos="7356"/>
        </w:tabs>
        <w:spacing w:after="143" w:line="252" w:lineRule="auto"/>
        <w:jc w:val="both"/>
        <w:rPr>
          <w:rFonts w:ascii="Times New Roman" w:hAnsi="Times New Roman" w:cs="Times New Roman"/>
          <w:sz w:val="24"/>
          <w:szCs w:val="24"/>
        </w:rPr>
      </w:pPr>
      <w:r w:rsidRPr="00B9118B">
        <w:rPr>
          <w:rFonts w:ascii="Times New Roman" w:eastAsia="Calibri" w:hAnsi="Times New Roman" w:cs="Times New Roman"/>
          <w:sz w:val="24"/>
          <w:szCs w:val="24"/>
        </w:rPr>
        <w:tab/>
      </w:r>
      <w:r w:rsidRPr="00B9118B">
        <w:rPr>
          <w:rFonts w:ascii="Times New Roman" w:hAnsi="Times New Roman" w:cs="Times New Roman"/>
          <w:i/>
          <w:sz w:val="24"/>
          <w:szCs w:val="24"/>
        </w:rPr>
        <w:t>S</w:t>
      </w:r>
      <w:r w:rsidRPr="00B9118B">
        <w:rPr>
          <w:rFonts w:ascii="Times New Roman" w:hAnsi="Times New Roman" w:cs="Times New Roman"/>
          <w:sz w:val="24"/>
          <w:szCs w:val="24"/>
          <w:vertAlign w:val="subscript"/>
        </w:rPr>
        <w:t xml:space="preserve">BASE </w:t>
      </w:r>
      <w:r w:rsidRPr="00B9118B">
        <w:rPr>
          <w:rFonts w:ascii="Times New Roman" w:hAnsi="Times New Roman" w:cs="Times New Roman"/>
          <w:sz w:val="24"/>
          <w:szCs w:val="24"/>
        </w:rPr>
        <w:t>= 22</w:t>
      </w:r>
      <w:r w:rsidRPr="00B9118B">
        <w:rPr>
          <w:rFonts w:ascii="Times New Roman" w:hAnsi="Times New Roman" w:cs="Times New Roman"/>
          <w:i/>
          <w:sz w:val="24"/>
          <w:szCs w:val="24"/>
        </w:rPr>
        <w:t>,</w:t>
      </w:r>
      <w:r w:rsidRPr="00B9118B">
        <w:rPr>
          <w:rFonts w:ascii="Times New Roman" w:hAnsi="Times New Roman" w:cs="Times New Roman"/>
          <w:i/>
          <w:sz w:val="24"/>
          <w:szCs w:val="24"/>
        </w:rPr>
        <w:tab/>
        <w:t xml:space="preserve">A </w:t>
      </w:r>
      <w:r w:rsidRPr="00B9118B">
        <w:rPr>
          <w:rFonts w:ascii="Times New Roman" w:hAnsi="Times New Roman" w:cs="Times New Roman"/>
          <w:sz w:val="24"/>
          <w:szCs w:val="24"/>
        </w:rPr>
        <w:t>= 4</w:t>
      </w:r>
      <w:r w:rsidRPr="00B9118B">
        <w:rPr>
          <w:rFonts w:ascii="Times New Roman" w:hAnsi="Times New Roman" w:cs="Times New Roman"/>
          <w:i/>
          <w:sz w:val="24"/>
          <w:szCs w:val="24"/>
        </w:rPr>
        <w:t>,</w:t>
      </w:r>
      <w:r w:rsidRPr="00B9118B">
        <w:rPr>
          <w:rFonts w:ascii="Times New Roman" w:hAnsi="Times New Roman" w:cs="Times New Roman"/>
          <w:i/>
          <w:sz w:val="24"/>
          <w:szCs w:val="24"/>
        </w:rPr>
        <w:tab/>
        <w:t xml:space="preserve">ω </w:t>
      </w:r>
      <w:r w:rsidRPr="00B9118B">
        <w:rPr>
          <w:rFonts w:ascii="Times New Roman" w:hAnsi="Times New Roman" w:cs="Times New Roman"/>
          <w:sz w:val="24"/>
          <w:szCs w:val="24"/>
        </w:rPr>
        <w:t>= 2</w:t>
      </w:r>
      <w:r w:rsidRPr="00B9118B">
        <w:rPr>
          <w:rFonts w:ascii="Times New Roman" w:hAnsi="Times New Roman" w:cs="Times New Roman"/>
          <w:i/>
          <w:sz w:val="24"/>
          <w:szCs w:val="24"/>
        </w:rPr>
        <w:t>π,</w:t>
      </w:r>
      <w:r w:rsidRPr="00B9118B">
        <w:rPr>
          <w:rFonts w:ascii="Times New Roman" w:hAnsi="Times New Roman" w:cs="Times New Roman"/>
          <w:i/>
          <w:sz w:val="24"/>
          <w:szCs w:val="24"/>
        </w:rPr>
        <w:tab/>
        <w:t xml:space="preserve">µ </w:t>
      </w:r>
      <w:r w:rsidRPr="00B9118B">
        <w:rPr>
          <w:rFonts w:ascii="Times New Roman" w:hAnsi="Times New Roman" w:cs="Times New Roman"/>
          <w:sz w:val="24"/>
          <w:szCs w:val="24"/>
        </w:rPr>
        <w:t>= 0</w:t>
      </w:r>
      <w:r w:rsidRPr="00B9118B">
        <w:rPr>
          <w:rFonts w:ascii="Times New Roman" w:hAnsi="Times New Roman" w:cs="Times New Roman"/>
          <w:i/>
          <w:sz w:val="24"/>
          <w:szCs w:val="24"/>
        </w:rPr>
        <w:t>.</w:t>
      </w:r>
      <w:r w:rsidRPr="00B9118B">
        <w:rPr>
          <w:rFonts w:ascii="Times New Roman" w:hAnsi="Times New Roman" w:cs="Times New Roman"/>
          <w:sz w:val="24"/>
          <w:szCs w:val="24"/>
        </w:rPr>
        <w:t>12</w:t>
      </w:r>
      <w:r w:rsidRPr="00B9118B">
        <w:rPr>
          <w:rFonts w:ascii="Times New Roman" w:hAnsi="Times New Roman" w:cs="Times New Roman"/>
          <w:i/>
          <w:sz w:val="24"/>
          <w:szCs w:val="24"/>
        </w:rPr>
        <w:t>,</w:t>
      </w:r>
      <w:r w:rsidRPr="00B9118B">
        <w:rPr>
          <w:rFonts w:ascii="Times New Roman" w:hAnsi="Times New Roman" w:cs="Times New Roman"/>
          <w:i/>
          <w:sz w:val="24"/>
          <w:szCs w:val="24"/>
        </w:rPr>
        <w:tab/>
        <w:t xml:space="preserve">σ </w:t>
      </w:r>
      <w:r w:rsidRPr="00B9118B">
        <w:rPr>
          <w:rFonts w:ascii="Times New Roman" w:hAnsi="Times New Roman" w:cs="Times New Roman"/>
          <w:sz w:val="24"/>
          <w:szCs w:val="24"/>
        </w:rPr>
        <w:t>= 0</w:t>
      </w:r>
      <w:r w:rsidRPr="00B9118B">
        <w:rPr>
          <w:rFonts w:ascii="Times New Roman" w:hAnsi="Times New Roman" w:cs="Times New Roman"/>
          <w:i/>
          <w:sz w:val="24"/>
          <w:szCs w:val="24"/>
        </w:rPr>
        <w:t>.</w:t>
      </w:r>
      <w:r w:rsidRPr="00B9118B">
        <w:rPr>
          <w:rFonts w:ascii="Times New Roman" w:hAnsi="Times New Roman" w:cs="Times New Roman"/>
          <w:sz w:val="24"/>
          <w:szCs w:val="24"/>
        </w:rPr>
        <w:t>25</w:t>
      </w:r>
      <w:r w:rsidRPr="00B9118B">
        <w:rPr>
          <w:rFonts w:ascii="Times New Roman" w:hAnsi="Times New Roman" w:cs="Times New Roman"/>
          <w:i/>
          <w:sz w:val="24"/>
          <w:szCs w:val="24"/>
        </w:rPr>
        <w:t>.</w:t>
      </w:r>
    </w:p>
    <w:p w14:paraId="49EFDE2E" w14:textId="77777777" w:rsidR="00CA2CA7" w:rsidRPr="00EB42F0" w:rsidRDefault="00CA2CA7" w:rsidP="00CA2CA7">
      <w:pPr>
        <w:rPr>
          <w:rFonts w:ascii="Times New Roman" w:hAnsi="Times New Roman" w:cs="Times New Roman"/>
          <w:b/>
          <w:position w:val="-12"/>
          <w:sz w:val="24"/>
          <w:szCs w:val="24"/>
        </w:rPr>
      </w:pPr>
      <w:r w:rsidRPr="00EB42F0">
        <w:rPr>
          <w:rFonts w:ascii="Times New Roman" w:hAnsi="Times New Roman" w:cs="Times New Roman"/>
          <w:b/>
          <w:sz w:val="24"/>
          <w:szCs w:val="24"/>
        </w:rPr>
        <w:t>Th</w:t>
      </w:r>
      <w:r>
        <w:rPr>
          <w:rFonts w:ascii="Times New Roman" w:hAnsi="Times New Roman" w:cs="Times New Roman"/>
          <w:b/>
          <w:sz w:val="24"/>
          <w:szCs w:val="24"/>
        </w:rPr>
        <w:t>e single-asset baseline model:</w:t>
      </w:r>
    </w:p>
    <w:p w14:paraId="122B6B4C" w14:textId="77777777" w:rsidR="00CA2CA7" w:rsidRPr="00CA2CA7" w:rsidRDefault="00CA2CA7" w:rsidP="00CA2CA7">
      <w:pPr>
        <w:tabs>
          <w:tab w:val="center" w:pos="4289"/>
          <w:tab w:val="right" w:pos="9110"/>
        </w:tabs>
        <w:spacing w:after="151" w:line="265" w:lineRule="auto"/>
      </w:pPr>
      <w:r>
        <w:rPr>
          <w:rFonts w:ascii="Calibri" w:eastAsia="Calibri" w:hAnsi="Calibri" w:cs="Calibri"/>
        </w:rPr>
        <w:tab/>
      </w:r>
      <w:r w:rsidRPr="00C42EE8">
        <w:rPr>
          <w:position w:val="-30"/>
        </w:rPr>
        <w:object w:dxaOrig="3260" w:dyaOrig="720" w14:anchorId="20751634">
          <v:shape id="_x0000_i1086" type="#_x0000_t75" style="width:162.35pt;height:36pt" o:ole="">
            <v:imagedata r:id="rId134" o:title=""/>
          </v:shape>
          <o:OLEObject Type="Embed" ProgID="Equation.DSMT4" ShapeID="_x0000_i1086" DrawAspect="Content" ObjectID="_1851508667" r:id="rId135"/>
        </w:object>
      </w:r>
      <w:r>
        <w:rPr>
          <w:i/>
        </w:rPr>
        <w:t>.</w:t>
      </w:r>
    </w:p>
    <w:p w14:paraId="26BFFB42" w14:textId="77777777" w:rsidR="00523369" w:rsidRPr="00D94B9A" w:rsidRDefault="00CA2CA7" w:rsidP="00523369">
      <w:pPr>
        <w:rPr>
          <w:rFonts w:ascii="Times New Roman" w:hAnsi="Times New Roman" w:cs="Times New Roman"/>
          <w:sz w:val="24"/>
          <w:szCs w:val="24"/>
        </w:rPr>
      </w:pPr>
      <w:r>
        <w:rPr>
          <w:rFonts w:ascii="Times New Roman" w:hAnsi="Times New Roman" w:cs="Times New Roman"/>
          <w:sz w:val="24"/>
          <w:szCs w:val="24"/>
        </w:rPr>
        <w:t>The following parameter values were explicitly used</w:t>
      </w:r>
      <w:r>
        <w:rPr>
          <w:rFonts w:ascii="Times New Roman" w:hAnsi="Times New Roman" w:cs="Times New Roman"/>
          <w:position w:val="-12"/>
          <w:sz w:val="24"/>
          <w:szCs w:val="24"/>
        </w:rPr>
        <w:t xml:space="preserve"> </w:t>
      </w:r>
      <w:r w:rsidRPr="001A27EC">
        <w:rPr>
          <w:position w:val="-12"/>
        </w:rPr>
        <w:object w:dxaOrig="2560" w:dyaOrig="360" w14:anchorId="46E17A31">
          <v:shape id="_x0000_i1087" type="#_x0000_t75" style="width:128.4pt;height:17.65pt" o:ole="">
            <v:imagedata r:id="rId136" o:title=""/>
          </v:shape>
          <o:OLEObject Type="Embed" ProgID="Equation.DSMT4" ShapeID="_x0000_i1087" DrawAspect="Content" ObjectID="_1851508668" r:id="rId137"/>
        </w:object>
      </w:r>
      <w:r>
        <w:rPr>
          <w:rFonts w:ascii="Times New Roman" w:hAnsi="Times New Roman" w:cs="Times New Roman"/>
          <w:sz w:val="24"/>
          <w:szCs w:val="24"/>
        </w:rPr>
        <w:t>.</w:t>
      </w:r>
    </w:p>
    <w:p w14:paraId="2E16D2BE" w14:textId="77777777" w:rsidR="00523369" w:rsidRDefault="00523369" w:rsidP="00523369">
      <w:pPr>
        <w:rPr>
          <w:rFonts w:ascii="Times New Roman" w:hAnsi="Times New Roman" w:cs="Times New Roman"/>
          <w:b/>
          <w:sz w:val="24"/>
          <w:szCs w:val="24"/>
        </w:rPr>
      </w:pPr>
    </w:p>
    <w:p w14:paraId="3C9F8C9B" w14:textId="77777777" w:rsidR="00523369" w:rsidRDefault="00523369" w:rsidP="00523369">
      <w:pPr>
        <w:spacing w:after="238" w:line="259" w:lineRule="auto"/>
        <w:ind w:left="555"/>
        <w:jc w:val="center"/>
      </w:pPr>
      <w:r>
        <w:rPr>
          <w:noProof/>
        </w:rPr>
        <w:drawing>
          <wp:inline distT="0" distB="0" distL="0" distR="0" wp14:anchorId="58CAAE82" wp14:editId="7295987A">
            <wp:extent cx="3838755" cy="1690777"/>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3842029" cy="1692219"/>
                    </a:xfrm>
                    <a:prstGeom prst="rect">
                      <a:avLst/>
                    </a:prstGeom>
                    <a:noFill/>
                    <a:ln>
                      <a:noFill/>
                    </a:ln>
                  </pic:spPr>
                </pic:pic>
              </a:graphicData>
            </a:graphic>
          </wp:inline>
        </w:drawing>
      </w:r>
    </w:p>
    <w:p w14:paraId="4FE1D805" w14:textId="77777777" w:rsidR="00523369" w:rsidRPr="00B57047" w:rsidRDefault="00B57047" w:rsidP="00523369">
      <w:pPr>
        <w:spacing w:after="333" w:line="265" w:lineRule="auto"/>
        <w:ind w:left="10" w:right="56" w:hanging="10"/>
        <w:jc w:val="center"/>
        <w:rPr>
          <w:rFonts w:ascii="Times New Roman" w:hAnsi="Times New Roman" w:cs="Times New Roman"/>
          <w:b/>
          <w:sz w:val="24"/>
          <w:szCs w:val="24"/>
        </w:rPr>
      </w:pPr>
      <w:r>
        <w:rPr>
          <w:rFonts w:ascii="Times New Roman" w:hAnsi="Times New Roman" w:cs="Times New Roman"/>
          <w:b/>
          <w:sz w:val="24"/>
          <w:szCs w:val="24"/>
        </w:rPr>
        <w:t>Figure 1: Three S</w:t>
      </w:r>
      <w:r w:rsidR="00523369" w:rsidRPr="00B57047">
        <w:rPr>
          <w:rFonts w:ascii="Times New Roman" w:hAnsi="Times New Roman" w:cs="Times New Roman"/>
          <w:b/>
          <w:sz w:val="24"/>
          <w:szCs w:val="24"/>
        </w:rPr>
        <w:t xml:space="preserve">ample </w:t>
      </w:r>
      <w:r>
        <w:rPr>
          <w:rFonts w:ascii="Times New Roman" w:hAnsi="Times New Roman" w:cs="Times New Roman"/>
          <w:b/>
          <w:sz w:val="24"/>
          <w:szCs w:val="24"/>
        </w:rPr>
        <w:t>Brownian-M</w:t>
      </w:r>
      <w:r w:rsidRPr="00B57047">
        <w:rPr>
          <w:rFonts w:ascii="Times New Roman" w:hAnsi="Times New Roman" w:cs="Times New Roman"/>
          <w:b/>
          <w:sz w:val="24"/>
          <w:szCs w:val="24"/>
        </w:rPr>
        <w:t>otion P</w:t>
      </w:r>
      <w:r w:rsidR="00523369" w:rsidRPr="00B57047">
        <w:rPr>
          <w:rFonts w:ascii="Times New Roman" w:hAnsi="Times New Roman" w:cs="Times New Roman"/>
          <w:b/>
          <w:sz w:val="24"/>
          <w:szCs w:val="24"/>
        </w:rPr>
        <w:t xml:space="preserve">aths used in </w:t>
      </w:r>
      <w:r w:rsidRPr="00B57047">
        <w:rPr>
          <w:rFonts w:ascii="Times New Roman" w:hAnsi="Times New Roman" w:cs="Times New Roman"/>
          <w:b/>
          <w:sz w:val="24"/>
          <w:szCs w:val="24"/>
        </w:rPr>
        <w:t xml:space="preserve">the Seasonal </w:t>
      </w:r>
      <w:r w:rsidR="00523369" w:rsidRPr="00B57047">
        <w:rPr>
          <w:rFonts w:ascii="Times New Roman" w:hAnsi="Times New Roman" w:cs="Times New Roman"/>
          <w:b/>
          <w:sz w:val="24"/>
          <w:szCs w:val="24"/>
        </w:rPr>
        <w:t>Model</w:t>
      </w:r>
    </w:p>
    <w:p w14:paraId="26291D1F" w14:textId="77777777" w:rsidR="00523369" w:rsidRPr="003B6A3C" w:rsidRDefault="00067360" w:rsidP="00D94B9A">
      <w:pPr>
        <w:spacing w:after="289"/>
        <w:ind w:left="5" w:right="55"/>
        <w:jc w:val="both"/>
        <w:rPr>
          <w:rFonts w:ascii="Times New Roman" w:hAnsi="Times New Roman" w:cs="Times New Roman"/>
          <w:sz w:val="24"/>
          <w:szCs w:val="24"/>
        </w:rPr>
      </w:pPr>
      <w:r>
        <w:rPr>
          <w:rFonts w:ascii="Times New Roman" w:hAnsi="Times New Roman" w:cs="Times New Roman"/>
          <w:sz w:val="24"/>
          <w:szCs w:val="24"/>
        </w:rPr>
        <w:t xml:space="preserve">As can be seen in Figure 1, </w:t>
      </w:r>
      <w:r>
        <w:rPr>
          <w:rFonts w:ascii="Times New Roman" w:hAnsi="Times New Roman"/>
          <w:sz w:val="24"/>
          <w:szCs w:val="24"/>
        </w:rPr>
        <w:t>t</w:t>
      </w:r>
      <w:r w:rsidR="00523369" w:rsidRPr="00792476">
        <w:rPr>
          <w:rFonts w:ascii="Times New Roman" w:hAnsi="Times New Roman"/>
          <w:sz w:val="24"/>
          <w:szCs w:val="24"/>
        </w:rPr>
        <w:t xml:space="preserve">he three simulated Brownian paths capture the expected irregular fluctuations of First Bank’s future share price around a seasonal mean of zero. Paths 1 and 2 align initially and drift horizontally upward, </w:t>
      </w:r>
      <w:r w:rsidRPr="00792476">
        <w:rPr>
          <w:rFonts w:ascii="Times New Roman" w:hAnsi="Times New Roman"/>
          <w:sz w:val="24"/>
          <w:szCs w:val="24"/>
        </w:rPr>
        <w:t>suggestive of</w:t>
      </w:r>
      <w:r w:rsidR="00523369" w:rsidRPr="00792476">
        <w:rPr>
          <w:rFonts w:ascii="Times New Roman" w:hAnsi="Times New Roman"/>
          <w:sz w:val="24"/>
          <w:szCs w:val="24"/>
        </w:rPr>
        <w:t xml:space="preserve"> positive short-term stochastic shocks</w:t>
      </w:r>
      <w:r>
        <w:rPr>
          <w:rFonts w:ascii="Times New Roman" w:hAnsi="Times New Roman"/>
          <w:sz w:val="24"/>
          <w:szCs w:val="24"/>
        </w:rPr>
        <w:t>. Path 3 diverges and fluctuate</w:t>
      </w:r>
      <w:r w:rsidR="00523369" w:rsidRPr="00792476">
        <w:rPr>
          <w:rFonts w:ascii="Times New Roman" w:hAnsi="Times New Roman"/>
          <w:sz w:val="24"/>
          <w:szCs w:val="24"/>
        </w:rPr>
        <w:t xml:space="preserve"> horizontally downward, </w:t>
      </w:r>
      <w:r w:rsidRPr="00792476">
        <w:rPr>
          <w:rFonts w:ascii="Times New Roman" w:hAnsi="Times New Roman"/>
          <w:sz w:val="24"/>
          <w:szCs w:val="24"/>
        </w:rPr>
        <w:t>replicating</w:t>
      </w:r>
      <w:r w:rsidR="00523369" w:rsidRPr="00792476">
        <w:rPr>
          <w:rFonts w:ascii="Times New Roman" w:hAnsi="Times New Roman"/>
          <w:sz w:val="24"/>
          <w:szCs w:val="24"/>
        </w:rPr>
        <w:t xml:space="preserve"> ne</w:t>
      </w:r>
      <w:r>
        <w:rPr>
          <w:rFonts w:ascii="Times New Roman" w:hAnsi="Times New Roman"/>
          <w:sz w:val="24"/>
          <w:szCs w:val="24"/>
        </w:rPr>
        <w:t xml:space="preserve">gative idiosyncratic noise. In </w:t>
      </w:r>
      <w:r w:rsidR="00523369" w:rsidRPr="00792476">
        <w:rPr>
          <w:rFonts w:ascii="Times New Roman" w:hAnsi="Times New Roman"/>
          <w:sz w:val="24"/>
          <w:szCs w:val="24"/>
        </w:rPr>
        <w:t>all, the figure shows that while seasonal trends provide a base, random shocks cause short-term dispersion in First Bank’s price.</w:t>
      </w:r>
    </w:p>
    <w:p w14:paraId="124EF7EB" w14:textId="77777777" w:rsidR="00523369" w:rsidRDefault="00523369" w:rsidP="00523369">
      <w:pPr>
        <w:spacing w:after="238" w:line="259" w:lineRule="auto"/>
        <w:ind w:left="555"/>
        <w:jc w:val="center"/>
      </w:pPr>
    </w:p>
    <w:p w14:paraId="7A89BB0C" w14:textId="77777777" w:rsidR="00523369" w:rsidRDefault="00523369" w:rsidP="00523369">
      <w:pPr>
        <w:spacing w:after="333" w:line="265" w:lineRule="auto"/>
        <w:ind w:left="10" w:right="56" w:hanging="10"/>
        <w:jc w:val="center"/>
      </w:pPr>
    </w:p>
    <w:p w14:paraId="10D9C2E8" w14:textId="77777777" w:rsidR="00523369" w:rsidRDefault="00523369" w:rsidP="00523369">
      <w:pPr>
        <w:spacing w:after="238" w:line="259" w:lineRule="auto"/>
        <w:ind w:left="555"/>
        <w:jc w:val="center"/>
      </w:pPr>
      <w:r>
        <w:rPr>
          <w:noProof/>
        </w:rPr>
        <w:lastRenderedPageBreak/>
        <w:drawing>
          <wp:inline distT="0" distB="0" distL="0" distR="0" wp14:anchorId="729BD84F" wp14:editId="5FC642FC">
            <wp:extent cx="3933645" cy="2009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935807" cy="2011060"/>
                    </a:xfrm>
                    <a:prstGeom prst="rect">
                      <a:avLst/>
                    </a:prstGeom>
                    <a:noFill/>
                    <a:ln>
                      <a:noFill/>
                    </a:ln>
                  </pic:spPr>
                </pic:pic>
              </a:graphicData>
            </a:graphic>
          </wp:inline>
        </w:drawing>
      </w:r>
    </w:p>
    <w:p w14:paraId="0D170864" w14:textId="77777777" w:rsidR="00523369" w:rsidRPr="00C24A2C" w:rsidRDefault="00990769" w:rsidP="00523369">
      <w:pPr>
        <w:spacing w:after="531" w:line="265" w:lineRule="auto"/>
        <w:ind w:left="10" w:right="56" w:hanging="10"/>
        <w:jc w:val="center"/>
        <w:rPr>
          <w:rFonts w:ascii="Times New Roman" w:hAnsi="Times New Roman" w:cs="Times New Roman"/>
          <w:b/>
          <w:sz w:val="24"/>
          <w:szCs w:val="24"/>
        </w:rPr>
      </w:pPr>
      <w:r>
        <w:rPr>
          <w:rFonts w:ascii="Times New Roman" w:hAnsi="Times New Roman" w:cs="Times New Roman"/>
          <w:b/>
          <w:sz w:val="24"/>
          <w:szCs w:val="24"/>
        </w:rPr>
        <w:t>Figure 2: Sample Analytical Solution Paths for the Seasonal I</w:t>
      </w:r>
      <w:r w:rsidR="00523369" w:rsidRPr="00C24A2C">
        <w:rPr>
          <w:rFonts w:ascii="Times New Roman" w:hAnsi="Times New Roman" w:cs="Times New Roman"/>
          <w:b/>
          <w:sz w:val="24"/>
          <w:szCs w:val="24"/>
        </w:rPr>
        <w:t>niti</w:t>
      </w:r>
      <w:r>
        <w:rPr>
          <w:rFonts w:ascii="Times New Roman" w:hAnsi="Times New Roman" w:cs="Times New Roman"/>
          <w:b/>
          <w:sz w:val="24"/>
          <w:szCs w:val="24"/>
        </w:rPr>
        <w:t>al-Condition M</w:t>
      </w:r>
      <w:r w:rsidR="00523369" w:rsidRPr="00C24A2C">
        <w:rPr>
          <w:rFonts w:ascii="Times New Roman" w:hAnsi="Times New Roman" w:cs="Times New Roman"/>
          <w:b/>
          <w:sz w:val="24"/>
          <w:szCs w:val="24"/>
        </w:rPr>
        <w:t>odel.</w:t>
      </w:r>
    </w:p>
    <w:p w14:paraId="47A98A18" w14:textId="77777777" w:rsidR="00523369" w:rsidRPr="00BB28E9" w:rsidRDefault="00523369" w:rsidP="00BB28E9">
      <w:pPr>
        <w:spacing w:line="240" w:lineRule="auto"/>
        <w:jc w:val="both"/>
        <w:rPr>
          <w:rFonts w:ascii="Times New Roman" w:hAnsi="Times New Roman"/>
          <w:sz w:val="24"/>
          <w:szCs w:val="24"/>
        </w:rPr>
      </w:pPr>
      <w:r w:rsidRPr="00BB28E9">
        <w:rPr>
          <w:rFonts w:ascii="Times New Roman" w:hAnsi="Times New Roman"/>
          <w:sz w:val="24"/>
          <w:szCs w:val="24"/>
        </w:rPr>
        <w:t xml:space="preserve">In Figure 2, the three analytical paths exhibit a deterministic seasonal frequency, indicating that First Bank’s share price follows a recurring cyclical pattern over time. </w:t>
      </w:r>
      <w:r w:rsidR="00BB28E9" w:rsidRPr="00BB28E9">
        <w:rPr>
          <w:rFonts w:ascii="Times New Roman" w:hAnsi="Times New Roman"/>
          <w:sz w:val="24"/>
          <w:szCs w:val="24"/>
        </w:rPr>
        <w:t>Though</w:t>
      </w:r>
      <w:r w:rsidRPr="00BB28E9">
        <w:rPr>
          <w:rFonts w:ascii="Times New Roman" w:hAnsi="Times New Roman"/>
          <w:sz w:val="24"/>
          <w:szCs w:val="24"/>
        </w:rPr>
        <w:t xml:space="preserve">, the paths </w:t>
      </w:r>
      <w:r w:rsidR="00BB28E9" w:rsidRPr="00BB28E9">
        <w:rPr>
          <w:rFonts w:ascii="Times New Roman" w:hAnsi="Times New Roman"/>
          <w:sz w:val="24"/>
          <w:szCs w:val="24"/>
        </w:rPr>
        <w:t>vary</w:t>
      </w:r>
      <w:r w:rsidRPr="00BB28E9">
        <w:rPr>
          <w:rFonts w:ascii="Times New Roman" w:hAnsi="Times New Roman"/>
          <w:sz w:val="24"/>
          <w:szCs w:val="24"/>
        </w:rPr>
        <w:t xml:space="preserve"> in levels and amplitudes, showing that initial conditions and seasonal magnitude can vary across scenarios. This suggests that while the timing of peaks and troughs is predictable, the strength of each seasonal cycle is not. Thus, First Bank’s future price retains seasonality but with scenario-dependent intensity.</w:t>
      </w:r>
    </w:p>
    <w:p w14:paraId="4E23832D" w14:textId="77777777" w:rsidR="00523369" w:rsidRDefault="00523369" w:rsidP="00523369">
      <w:pPr>
        <w:ind w:left="5" w:right="55"/>
        <w:jc w:val="both"/>
        <w:rPr>
          <w:rFonts w:ascii="Times New Roman" w:hAnsi="Times New Roman" w:cs="Times New Roman"/>
          <w:sz w:val="24"/>
          <w:szCs w:val="24"/>
        </w:rPr>
      </w:pPr>
    </w:p>
    <w:p w14:paraId="436C21A0" w14:textId="77777777" w:rsidR="00523369" w:rsidRPr="002318ED" w:rsidRDefault="00523369" w:rsidP="00523369">
      <w:pPr>
        <w:ind w:left="5" w:right="55"/>
        <w:jc w:val="both"/>
        <w:rPr>
          <w:rFonts w:ascii="Times New Roman" w:hAnsi="Times New Roman" w:cs="Times New Roman"/>
          <w:sz w:val="24"/>
          <w:szCs w:val="24"/>
        </w:rPr>
      </w:pPr>
    </w:p>
    <w:p w14:paraId="2652CD85" w14:textId="77777777" w:rsidR="00523369" w:rsidRDefault="00523369" w:rsidP="00523369">
      <w:pPr>
        <w:spacing w:after="238" w:line="259" w:lineRule="auto"/>
        <w:ind w:left="555"/>
        <w:jc w:val="center"/>
      </w:pPr>
      <w:r>
        <w:rPr>
          <w:noProof/>
        </w:rPr>
        <w:drawing>
          <wp:inline distT="0" distB="0" distL="0" distR="0" wp14:anchorId="466C1452" wp14:editId="3B546887">
            <wp:extent cx="4285458" cy="1785668"/>
            <wp:effectExtent l="0" t="0" r="127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287815" cy="1786650"/>
                    </a:xfrm>
                    <a:prstGeom prst="rect">
                      <a:avLst/>
                    </a:prstGeom>
                    <a:noFill/>
                    <a:ln>
                      <a:noFill/>
                    </a:ln>
                  </pic:spPr>
                </pic:pic>
              </a:graphicData>
            </a:graphic>
          </wp:inline>
        </w:drawing>
      </w:r>
    </w:p>
    <w:p w14:paraId="51A32B5A" w14:textId="77777777" w:rsidR="00523369" w:rsidRPr="007B2C49" w:rsidRDefault="00523369" w:rsidP="00523369">
      <w:pPr>
        <w:spacing w:after="531" w:line="265" w:lineRule="auto"/>
        <w:ind w:left="10" w:right="56" w:hanging="10"/>
        <w:jc w:val="center"/>
        <w:rPr>
          <w:rFonts w:ascii="Times New Roman" w:hAnsi="Times New Roman" w:cs="Times New Roman"/>
          <w:b/>
          <w:sz w:val="24"/>
          <w:szCs w:val="24"/>
        </w:rPr>
      </w:pPr>
      <w:r w:rsidRPr="007B2C49">
        <w:rPr>
          <w:rFonts w:ascii="Times New Roman" w:hAnsi="Times New Roman" w:cs="Times New Roman"/>
          <w:b/>
          <w:sz w:val="24"/>
          <w:szCs w:val="24"/>
        </w:rPr>
        <w:t xml:space="preserve">Figure 3: </w:t>
      </w:r>
      <w:r w:rsidR="00990769">
        <w:rPr>
          <w:rFonts w:ascii="Times New Roman" w:hAnsi="Times New Roman" w:cs="Times New Roman"/>
          <w:b/>
          <w:sz w:val="24"/>
          <w:szCs w:val="24"/>
        </w:rPr>
        <w:t xml:space="preserve">The Profiles of </w:t>
      </w:r>
      <w:r w:rsidRPr="007B2C49">
        <w:rPr>
          <w:rFonts w:ascii="Times New Roman" w:hAnsi="Times New Roman" w:cs="Times New Roman"/>
          <w:b/>
          <w:sz w:val="24"/>
          <w:szCs w:val="24"/>
        </w:rPr>
        <w:t>Sensitivity of Model  to Drift, Volatility and Seasonal Amplitude.</w:t>
      </w:r>
    </w:p>
    <w:p w14:paraId="7BC2F2D5" w14:textId="77777777" w:rsidR="00523369" w:rsidRDefault="00F61817" w:rsidP="00523369">
      <w:pPr>
        <w:jc w:val="both"/>
        <w:rPr>
          <w:rFonts w:ascii="Times New Roman" w:hAnsi="Times New Roman"/>
          <w:sz w:val="24"/>
          <w:szCs w:val="24"/>
        </w:rPr>
      </w:pPr>
      <w:r>
        <w:rPr>
          <w:rFonts w:ascii="Times New Roman" w:hAnsi="Times New Roman"/>
          <w:sz w:val="24"/>
          <w:szCs w:val="24"/>
        </w:rPr>
        <w:t>Figure 3, tells about t</w:t>
      </w:r>
      <w:r w:rsidR="00523369" w:rsidRPr="007B2C49">
        <w:rPr>
          <w:rFonts w:ascii="Times New Roman" w:hAnsi="Times New Roman"/>
          <w:sz w:val="24"/>
          <w:szCs w:val="24"/>
        </w:rPr>
        <w:t>he sensitivity plot</w:t>
      </w:r>
      <w:r>
        <w:rPr>
          <w:rFonts w:ascii="Times New Roman" w:hAnsi="Times New Roman"/>
          <w:sz w:val="24"/>
          <w:szCs w:val="24"/>
        </w:rPr>
        <w:t xml:space="preserve"> which </w:t>
      </w:r>
      <w:r w:rsidRPr="007B2C49">
        <w:rPr>
          <w:rFonts w:ascii="Times New Roman" w:hAnsi="Times New Roman"/>
          <w:sz w:val="24"/>
          <w:szCs w:val="24"/>
        </w:rPr>
        <w:t>shows</w:t>
      </w:r>
      <w:r w:rsidR="00523369" w:rsidRPr="007B2C49">
        <w:rPr>
          <w:rFonts w:ascii="Times New Roman" w:hAnsi="Times New Roman"/>
          <w:sz w:val="24"/>
          <w:szCs w:val="24"/>
        </w:rPr>
        <w:t xml:space="preserve"> that the parameter A controls the amplitude of First </w:t>
      </w:r>
      <w:r>
        <w:rPr>
          <w:rFonts w:ascii="Times New Roman" w:hAnsi="Times New Roman"/>
          <w:sz w:val="24"/>
          <w:szCs w:val="24"/>
        </w:rPr>
        <w:t>Bank’s seasonal oscillations.  A little</w:t>
      </w:r>
      <w:r w:rsidR="00523369" w:rsidRPr="007B2C49">
        <w:rPr>
          <w:rFonts w:ascii="Times New Roman" w:hAnsi="Times New Roman"/>
          <w:sz w:val="24"/>
          <w:szCs w:val="24"/>
        </w:rPr>
        <w:t xml:space="preserve"> increase in </w:t>
      </w:r>
      <w:r>
        <w:rPr>
          <w:rFonts w:ascii="Times New Roman" w:hAnsi="Times New Roman"/>
          <w:sz w:val="24"/>
          <w:szCs w:val="24"/>
        </w:rPr>
        <w:t>parameter ‘</w:t>
      </w:r>
      <w:r w:rsidR="00523369" w:rsidRPr="007B2C49">
        <w:rPr>
          <w:rFonts w:ascii="Times New Roman" w:hAnsi="Times New Roman"/>
          <w:sz w:val="24"/>
          <w:szCs w:val="24"/>
        </w:rPr>
        <w:t>A</w:t>
      </w:r>
      <w:r>
        <w:rPr>
          <w:rFonts w:ascii="Times New Roman" w:hAnsi="Times New Roman"/>
          <w:sz w:val="24"/>
          <w:szCs w:val="24"/>
        </w:rPr>
        <w:t>’</w:t>
      </w:r>
      <w:r w:rsidR="00523369" w:rsidRPr="007B2C49">
        <w:rPr>
          <w:rFonts w:ascii="Times New Roman" w:hAnsi="Times New Roman"/>
          <w:sz w:val="24"/>
          <w:szCs w:val="24"/>
        </w:rPr>
        <w:t xml:space="preserve"> widens the vertical distance between seasonal peaks and troughs, making price swings more pronounced. </w:t>
      </w:r>
      <w:r w:rsidRPr="007B2C49">
        <w:rPr>
          <w:rFonts w:ascii="Times New Roman" w:hAnsi="Times New Roman"/>
          <w:sz w:val="24"/>
          <w:szCs w:val="24"/>
        </w:rPr>
        <w:t>Significantly</w:t>
      </w:r>
      <w:r w:rsidR="00523369" w:rsidRPr="007B2C49">
        <w:rPr>
          <w:rFonts w:ascii="Times New Roman" w:hAnsi="Times New Roman"/>
          <w:sz w:val="24"/>
          <w:szCs w:val="24"/>
        </w:rPr>
        <w:t xml:space="preserve">, the frequency of the oscillations remains </w:t>
      </w:r>
      <w:r w:rsidRPr="007B2C49">
        <w:rPr>
          <w:rFonts w:ascii="Times New Roman" w:hAnsi="Times New Roman"/>
          <w:sz w:val="24"/>
          <w:szCs w:val="24"/>
        </w:rPr>
        <w:t>unaffected</w:t>
      </w:r>
      <w:r w:rsidR="00523369" w:rsidRPr="007B2C49">
        <w:rPr>
          <w:rFonts w:ascii="Times New Roman" w:hAnsi="Times New Roman"/>
          <w:sz w:val="24"/>
          <w:szCs w:val="24"/>
        </w:rPr>
        <w:t xml:space="preserve">, meaning seasonality timing is stable. This </w:t>
      </w:r>
      <w:r w:rsidRPr="007B2C49">
        <w:rPr>
          <w:rFonts w:ascii="Times New Roman" w:hAnsi="Times New Roman"/>
          <w:sz w:val="24"/>
          <w:szCs w:val="24"/>
        </w:rPr>
        <w:t>suggests</w:t>
      </w:r>
      <w:r w:rsidR="00523369" w:rsidRPr="007B2C49">
        <w:rPr>
          <w:rFonts w:ascii="Times New Roman" w:hAnsi="Times New Roman"/>
          <w:sz w:val="24"/>
          <w:szCs w:val="24"/>
        </w:rPr>
        <w:t xml:space="preserve"> that external factors affecting A, such as dividend cycles or quarterly results, will amplify volatility but not alter the seasonal timing of First Bank’s share price.</w:t>
      </w:r>
    </w:p>
    <w:p w14:paraId="00EADF1A" w14:textId="77777777" w:rsidR="00D94B9A" w:rsidRDefault="00D94B9A" w:rsidP="00D94B9A">
      <w:pPr>
        <w:spacing w:after="238" w:line="259" w:lineRule="auto"/>
        <w:ind w:left="555"/>
        <w:jc w:val="center"/>
      </w:pPr>
      <w:r>
        <w:rPr>
          <w:noProof/>
        </w:rPr>
        <w:lastRenderedPageBreak/>
        <w:drawing>
          <wp:inline distT="0" distB="0" distL="0" distR="0" wp14:anchorId="11059EBD" wp14:editId="1FA77A26">
            <wp:extent cx="3990635" cy="166489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994039" cy="1666318"/>
                    </a:xfrm>
                    <a:prstGeom prst="rect">
                      <a:avLst/>
                    </a:prstGeom>
                    <a:noFill/>
                    <a:ln>
                      <a:noFill/>
                    </a:ln>
                  </pic:spPr>
                </pic:pic>
              </a:graphicData>
            </a:graphic>
          </wp:inline>
        </w:drawing>
      </w:r>
    </w:p>
    <w:p w14:paraId="4D7D9687" w14:textId="77777777" w:rsidR="00D94B9A" w:rsidRPr="00422CBA" w:rsidRDefault="00097044" w:rsidP="00422CBA">
      <w:pPr>
        <w:rPr>
          <w:rFonts w:ascii="Times New Roman" w:hAnsi="Times New Roman" w:cs="Times New Roman"/>
          <w:b/>
          <w:position w:val="-12"/>
          <w:sz w:val="24"/>
          <w:szCs w:val="24"/>
        </w:rPr>
      </w:pPr>
      <w:r>
        <w:rPr>
          <w:rFonts w:ascii="Times New Roman" w:hAnsi="Times New Roman" w:cs="Times New Roman"/>
          <w:b/>
          <w:sz w:val="24"/>
          <w:szCs w:val="24"/>
        </w:rPr>
        <w:t xml:space="preserve">                  </w:t>
      </w:r>
      <w:r w:rsidR="00D94B9A">
        <w:rPr>
          <w:rFonts w:ascii="Times New Roman" w:hAnsi="Times New Roman" w:cs="Times New Roman"/>
          <w:b/>
          <w:sz w:val="24"/>
          <w:szCs w:val="24"/>
        </w:rPr>
        <w:t>Figure 4</w:t>
      </w:r>
      <w:r>
        <w:rPr>
          <w:rFonts w:ascii="Times New Roman" w:hAnsi="Times New Roman" w:cs="Times New Roman"/>
          <w:b/>
          <w:sz w:val="24"/>
          <w:szCs w:val="24"/>
        </w:rPr>
        <w:t>: Three Brownian-Motion Paths for Single-Asset baseline model</w:t>
      </w:r>
    </w:p>
    <w:p w14:paraId="660487B8" w14:textId="77777777" w:rsidR="00D94B9A" w:rsidRPr="008F3B03" w:rsidRDefault="00422CBA" w:rsidP="00D94B9A">
      <w:pPr>
        <w:spacing w:after="531" w:line="240" w:lineRule="auto"/>
        <w:ind w:left="10" w:right="56" w:hanging="10"/>
        <w:jc w:val="both"/>
        <w:rPr>
          <w:rFonts w:ascii="Times New Roman" w:hAnsi="Times New Roman" w:cs="Times New Roman"/>
          <w:sz w:val="24"/>
          <w:szCs w:val="24"/>
        </w:rPr>
      </w:pPr>
      <w:r>
        <w:rPr>
          <w:rFonts w:ascii="Times New Roman" w:hAnsi="Times New Roman" w:cs="Times New Roman"/>
          <w:sz w:val="24"/>
          <w:szCs w:val="24"/>
        </w:rPr>
        <w:t>Figure 4, show</w:t>
      </w:r>
      <w:r w:rsidR="00D94B9A" w:rsidRPr="00BC6015">
        <w:rPr>
          <w:rFonts w:ascii="Times New Roman" w:hAnsi="Times New Roman" w:cs="Times New Roman"/>
          <w:sz w:val="24"/>
          <w:szCs w:val="24"/>
        </w:rPr>
        <w:t xml:space="preserve"> three Brownian paths and corresponding exact GBM traject</w:t>
      </w:r>
      <w:r w:rsidR="00D94B9A">
        <w:rPr>
          <w:rFonts w:ascii="Times New Roman" w:hAnsi="Times New Roman" w:cs="Times New Roman"/>
          <w:sz w:val="24"/>
          <w:szCs w:val="24"/>
        </w:rPr>
        <w:t>o</w:t>
      </w:r>
      <w:r>
        <w:rPr>
          <w:rFonts w:ascii="Times New Roman" w:hAnsi="Times New Roman" w:cs="Times New Roman"/>
          <w:sz w:val="24"/>
          <w:szCs w:val="24"/>
        </w:rPr>
        <w:t>ries are displayed</w:t>
      </w:r>
      <w:r w:rsidR="00D94B9A" w:rsidRPr="00BC6015">
        <w:rPr>
          <w:rFonts w:ascii="Times New Roman" w:hAnsi="Times New Roman" w:cs="Times New Roman"/>
          <w:sz w:val="24"/>
          <w:szCs w:val="24"/>
        </w:rPr>
        <w:t xml:space="preserve">. Because the price is obtained through an exponential transformation, sufficiently positive Brownian realizations can generate rapid increases, while sufficiently negative realizations can generate substantial declines. </w:t>
      </w:r>
      <w:r w:rsidRPr="00BC6015">
        <w:rPr>
          <w:rFonts w:ascii="Times New Roman" w:hAnsi="Times New Roman" w:cs="Times New Roman"/>
          <w:sz w:val="24"/>
          <w:szCs w:val="24"/>
        </w:rPr>
        <w:t>Yet</w:t>
      </w:r>
      <w:r w:rsidR="00D94B9A" w:rsidRPr="00BC6015">
        <w:rPr>
          <w:rFonts w:ascii="Times New Roman" w:hAnsi="Times New Roman" w:cs="Times New Roman"/>
          <w:sz w:val="24"/>
          <w:szCs w:val="24"/>
        </w:rPr>
        <w:t xml:space="preserve">, the price remains positive for all finite </w:t>
      </w:r>
      <w:r w:rsidR="00D94B9A" w:rsidRPr="00BC6015">
        <w:rPr>
          <w:rFonts w:ascii="Times New Roman" w:hAnsi="Times New Roman" w:cs="Times New Roman"/>
          <w:i/>
          <w:sz w:val="24"/>
          <w:szCs w:val="24"/>
        </w:rPr>
        <w:t>t</w:t>
      </w:r>
      <w:r w:rsidR="00D94B9A">
        <w:rPr>
          <w:rFonts w:ascii="Times New Roman" w:hAnsi="Times New Roman" w:cs="Times New Roman"/>
          <w:i/>
          <w:sz w:val="24"/>
          <w:szCs w:val="24"/>
        </w:rPr>
        <w:t xml:space="preserve"> </w:t>
      </w:r>
      <w:r w:rsidR="00D94B9A">
        <w:rPr>
          <w:rFonts w:ascii="Times New Roman" w:hAnsi="Times New Roman" w:cs="Times New Roman"/>
          <w:sz w:val="24"/>
          <w:szCs w:val="24"/>
        </w:rPr>
        <w:t xml:space="preserve">. More so, the three simulated paths for Fidelity share price originate from the same initial value, indicating a common starting valuation. Initially, the paths remain closely aligned, reflecting minimal impact of stochastic shocks. Subsequently, path 1 trends upward while path 2 and 3 trend downward due to the Brownian component. However, in the later period all paths realign upward, which </w:t>
      </w:r>
      <w:r>
        <w:rPr>
          <w:rFonts w:ascii="Times New Roman" w:hAnsi="Times New Roman" w:cs="Times New Roman"/>
          <w:sz w:val="24"/>
          <w:szCs w:val="24"/>
        </w:rPr>
        <w:t>submits</w:t>
      </w:r>
      <w:r w:rsidR="00D94B9A">
        <w:rPr>
          <w:rFonts w:ascii="Times New Roman" w:hAnsi="Times New Roman" w:cs="Times New Roman"/>
          <w:sz w:val="24"/>
          <w:szCs w:val="24"/>
        </w:rPr>
        <w:t xml:space="preserve"> that the positive drift ultimately dominates and restores the long-term tendency of Fidelity despite short-term divergence.</w:t>
      </w:r>
    </w:p>
    <w:p w14:paraId="56D77882" w14:textId="77777777" w:rsidR="00D94B9A" w:rsidRPr="008F3B03" w:rsidRDefault="00D94B9A" w:rsidP="00D94B9A">
      <w:pPr>
        <w:spacing w:after="531" w:line="240" w:lineRule="auto"/>
        <w:ind w:left="10" w:right="56" w:hanging="10"/>
        <w:jc w:val="both"/>
        <w:rPr>
          <w:rFonts w:ascii="Times New Roman" w:hAnsi="Times New Roman" w:cs="Times New Roman"/>
          <w:sz w:val="24"/>
          <w:szCs w:val="24"/>
        </w:rPr>
      </w:pPr>
    </w:p>
    <w:p w14:paraId="2336E4D3" w14:textId="77777777" w:rsidR="00D94B9A" w:rsidRDefault="00D94B9A" w:rsidP="00D94B9A">
      <w:pPr>
        <w:spacing w:after="238" w:line="259" w:lineRule="auto"/>
        <w:ind w:left="555"/>
        <w:jc w:val="center"/>
      </w:pPr>
      <w:r>
        <w:rPr>
          <w:noProof/>
        </w:rPr>
        <w:drawing>
          <wp:inline distT="0" distB="0" distL="0" distR="0" wp14:anchorId="7705D433" wp14:editId="35AAA4E9">
            <wp:extent cx="3828257" cy="1621766"/>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830363" cy="1622658"/>
                    </a:xfrm>
                    <a:prstGeom prst="rect">
                      <a:avLst/>
                    </a:prstGeom>
                    <a:noFill/>
                    <a:ln>
                      <a:noFill/>
                    </a:ln>
                  </pic:spPr>
                </pic:pic>
              </a:graphicData>
            </a:graphic>
          </wp:inline>
        </w:drawing>
      </w:r>
    </w:p>
    <w:p w14:paraId="0BF54514" w14:textId="77777777" w:rsidR="00D94B9A" w:rsidRPr="00A806D0" w:rsidRDefault="00230A36" w:rsidP="00A806D0">
      <w:pPr>
        <w:rPr>
          <w:rFonts w:ascii="Times New Roman" w:hAnsi="Times New Roman" w:cs="Times New Roman"/>
          <w:b/>
          <w:position w:val="-12"/>
          <w:sz w:val="24"/>
          <w:szCs w:val="24"/>
        </w:rPr>
      </w:pPr>
      <w:r>
        <w:rPr>
          <w:b/>
        </w:rPr>
        <w:t xml:space="preserve">                              </w:t>
      </w:r>
      <w:r w:rsidR="00D94B9A">
        <w:rPr>
          <w:b/>
        </w:rPr>
        <w:t>Figure 5</w:t>
      </w:r>
      <w:r>
        <w:rPr>
          <w:b/>
        </w:rPr>
        <w:t>: Three Analytical GBM P</w:t>
      </w:r>
      <w:r w:rsidR="00D94B9A" w:rsidRPr="00F66406">
        <w:rPr>
          <w:b/>
        </w:rPr>
        <w:t>aths for</w:t>
      </w:r>
      <w:r>
        <w:rPr>
          <w:rFonts w:ascii="Times New Roman" w:hAnsi="Times New Roman" w:cs="Times New Roman"/>
          <w:b/>
          <w:sz w:val="24"/>
          <w:szCs w:val="24"/>
        </w:rPr>
        <w:t xml:space="preserve"> Single-Asset Baseline Model</w:t>
      </w:r>
      <w:r>
        <w:rPr>
          <w:b/>
        </w:rPr>
        <w:t xml:space="preserve"> </w:t>
      </w:r>
    </w:p>
    <w:p w14:paraId="5B67BC3F" w14:textId="77777777" w:rsidR="00D94B9A" w:rsidRPr="008F3B03" w:rsidRDefault="00A806D0" w:rsidP="00D94B9A">
      <w:pPr>
        <w:spacing w:after="505" w:line="240" w:lineRule="auto"/>
        <w:ind w:left="10" w:right="56" w:hanging="10"/>
        <w:jc w:val="both"/>
        <w:rPr>
          <w:rFonts w:ascii="Times New Roman" w:hAnsi="Times New Roman" w:cs="Times New Roman"/>
          <w:sz w:val="24"/>
          <w:szCs w:val="24"/>
        </w:rPr>
      </w:pPr>
      <w:r>
        <w:rPr>
          <w:rFonts w:ascii="Times New Roman" w:hAnsi="Times New Roman" w:cs="Times New Roman"/>
          <w:sz w:val="24"/>
          <w:szCs w:val="24"/>
        </w:rPr>
        <w:t>Clearly, Figure 5 show t</w:t>
      </w:r>
      <w:r w:rsidR="00D94B9A">
        <w:rPr>
          <w:rFonts w:ascii="Times New Roman" w:hAnsi="Times New Roman" w:cs="Times New Roman"/>
          <w:sz w:val="24"/>
          <w:szCs w:val="24"/>
        </w:rPr>
        <w:t xml:space="preserve">he three paths for Fidelity Bank begin at a common point but immediately diverge, </w:t>
      </w:r>
      <w:r>
        <w:rPr>
          <w:rFonts w:ascii="Times New Roman" w:hAnsi="Times New Roman" w:cs="Times New Roman"/>
          <w:sz w:val="24"/>
          <w:szCs w:val="24"/>
        </w:rPr>
        <w:t>demonstrating</w:t>
      </w:r>
      <w:r w:rsidR="00D94B9A">
        <w:rPr>
          <w:rFonts w:ascii="Times New Roman" w:hAnsi="Times New Roman" w:cs="Times New Roman"/>
          <w:sz w:val="24"/>
          <w:szCs w:val="24"/>
        </w:rPr>
        <w:t xml:space="preserve"> the early influence of randomness in price </w:t>
      </w:r>
      <w:r>
        <w:rPr>
          <w:rFonts w:ascii="Times New Roman" w:hAnsi="Times New Roman" w:cs="Times New Roman"/>
          <w:sz w:val="24"/>
          <w:szCs w:val="24"/>
        </w:rPr>
        <w:t>realization</w:t>
      </w:r>
      <w:r w:rsidR="00D94B9A">
        <w:rPr>
          <w:rFonts w:ascii="Times New Roman" w:hAnsi="Times New Roman" w:cs="Times New Roman"/>
          <w:sz w:val="24"/>
          <w:szCs w:val="24"/>
        </w:rPr>
        <w:t xml:space="preserve">. After a period of separation, the paths converge toward a central level, indicating the </w:t>
      </w:r>
      <w:r>
        <w:rPr>
          <w:rFonts w:ascii="Times New Roman" w:hAnsi="Times New Roman" w:cs="Times New Roman"/>
          <w:sz w:val="24"/>
          <w:szCs w:val="24"/>
        </w:rPr>
        <w:t>steadying</w:t>
      </w:r>
      <w:r w:rsidR="00D94B9A">
        <w:rPr>
          <w:rFonts w:ascii="Times New Roman" w:hAnsi="Times New Roman" w:cs="Times New Roman"/>
          <w:sz w:val="24"/>
          <w:szCs w:val="24"/>
        </w:rPr>
        <w:t xml:space="preserve"> effect of drift term in the GBM. Thereafter, path 3 moves upward while path1 and 2 move downward, demonstrating how idiosyncratic shocks produce different outcomes. Overall, the Figure 2 shows that Fidelity’s share price is governed by both a drift-driven central tendency and volatility-driven short-term fluctuations.</w:t>
      </w:r>
    </w:p>
    <w:p w14:paraId="35ADAEA1" w14:textId="77777777" w:rsidR="00D94B9A" w:rsidRDefault="00D94B9A" w:rsidP="00D94B9A">
      <w:pPr>
        <w:spacing w:after="27" w:line="470" w:lineRule="auto"/>
        <w:ind w:left="3730" w:right="3286"/>
      </w:pPr>
    </w:p>
    <w:p w14:paraId="631125FC" w14:textId="77777777" w:rsidR="00D94B9A" w:rsidRDefault="00D94B9A" w:rsidP="00D94B9A">
      <w:pPr>
        <w:spacing w:after="237" w:line="259" w:lineRule="auto"/>
        <w:ind w:left="555"/>
        <w:jc w:val="center"/>
      </w:pPr>
    </w:p>
    <w:p w14:paraId="23EB2A09" w14:textId="77777777" w:rsidR="00D94B9A" w:rsidRDefault="00D94B9A" w:rsidP="00D94B9A">
      <w:pPr>
        <w:spacing w:after="531" w:line="265" w:lineRule="auto"/>
        <w:ind w:left="10" w:right="56" w:hanging="10"/>
        <w:jc w:val="center"/>
      </w:pPr>
    </w:p>
    <w:p w14:paraId="3C5E3946" w14:textId="77777777" w:rsidR="00681500" w:rsidRDefault="00681500" w:rsidP="00D94B9A">
      <w:pPr>
        <w:spacing w:after="531" w:line="265" w:lineRule="auto"/>
        <w:ind w:left="10" w:right="56" w:hanging="10"/>
        <w:jc w:val="center"/>
      </w:pPr>
    </w:p>
    <w:p w14:paraId="638367A8" w14:textId="77777777" w:rsidR="00681500" w:rsidRDefault="00681500" w:rsidP="00D94B9A">
      <w:pPr>
        <w:spacing w:after="531" w:line="265" w:lineRule="auto"/>
        <w:ind w:left="10" w:right="56" w:hanging="10"/>
        <w:jc w:val="center"/>
      </w:pPr>
    </w:p>
    <w:p w14:paraId="0FB86DEB" w14:textId="77777777" w:rsidR="00D94B9A" w:rsidRDefault="00D94B9A" w:rsidP="00D94B9A">
      <w:pPr>
        <w:spacing w:after="238" w:line="259" w:lineRule="auto"/>
        <w:ind w:left="555"/>
        <w:jc w:val="center"/>
      </w:pPr>
      <w:r>
        <w:rPr>
          <w:noProof/>
        </w:rPr>
        <w:drawing>
          <wp:inline distT="0" distB="0" distL="0" distR="0" wp14:anchorId="6441A4E9" wp14:editId="4560648C">
            <wp:extent cx="3554083" cy="1475117"/>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2"/>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3556036" cy="1475928"/>
                    </a:xfrm>
                    <a:prstGeom prst="rect">
                      <a:avLst/>
                    </a:prstGeom>
                    <a:noFill/>
                    <a:ln>
                      <a:noFill/>
                    </a:ln>
                  </pic:spPr>
                </pic:pic>
              </a:graphicData>
            </a:graphic>
          </wp:inline>
        </w:drawing>
      </w:r>
    </w:p>
    <w:p w14:paraId="315D9143" w14:textId="77777777" w:rsidR="00D94B9A" w:rsidRPr="000210E4" w:rsidRDefault="00D94B9A" w:rsidP="000210E4">
      <w:pPr>
        <w:rPr>
          <w:rFonts w:ascii="Times New Roman" w:hAnsi="Times New Roman" w:cs="Times New Roman"/>
          <w:b/>
          <w:position w:val="-12"/>
          <w:sz w:val="24"/>
          <w:szCs w:val="24"/>
        </w:rPr>
      </w:pPr>
      <w:r>
        <w:rPr>
          <w:rFonts w:ascii="Times New Roman" w:hAnsi="Times New Roman" w:cs="Times New Roman"/>
          <w:b/>
          <w:sz w:val="24"/>
          <w:szCs w:val="24"/>
        </w:rPr>
        <w:t>Figure 6</w:t>
      </w:r>
      <w:r w:rsidR="00230A36">
        <w:rPr>
          <w:rFonts w:ascii="Times New Roman" w:hAnsi="Times New Roman" w:cs="Times New Roman"/>
          <w:b/>
          <w:sz w:val="24"/>
          <w:szCs w:val="24"/>
        </w:rPr>
        <w:t>: Sensitivity of the Constant GBM to Drift and V</w:t>
      </w:r>
      <w:r w:rsidRPr="00204A2F">
        <w:rPr>
          <w:rFonts w:ascii="Times New Roman" w:hAnsi="Times New Roman" w:cs="Times New Roman"/>
          <w:b/>
          <w:sz w:val="24"/>
          <w:szCs w:val="24"/>
        </w:rPr>
        <w:t>olatility</w:t>
      </w:r>
      <w:r w:rsidR="00230A36" w:rsidRPr="00230A36">
        <w:rPr>
          <w:rFonts w:ascii="Times New Roman" w:hAnsi="Times New Roman" w:cs="Times New Roman"/>
          <w:b/>
          <w:sz w:val="24"/>
          <w:szCs w:val="24"/>
        </w:rPr>
        <w:t xml:space="preserve"> </w:t>
      </w:r>
      <w:r w:rsidR="00230A36">
        <w:rPr>
          <w:rFonts w:ascii="Times New Roman" w:hAnsi="Times New Roman" w:cs="Times New Roman"/>
          <w:b/>
          <w:sz w:val="24"/>
          <w:szCs w:val="24"/>
        </w:rPr>
        <w:t>for Single-Asset Baseline model</w:t>
      </w:r>
      <w:r>
        <w:t>.</w:t>
      </w:r>
    </w:p>
    <w:p w14:paraId="6D9A765A" w14:textId="77777777" w:rsidR="00D94B9A" w:rsidRPr="00F56594" w:rsidRDefault="00D94B9A" w:rsidP="00F56594">
      <w:pPr>
        <w:spacing w:after="275" w:line="240" w:lineRule="auto"/>
        <w:ind w:left="5" w:right="55"/>
        <w:jc w:val="both"/>
        <w:rPr>
          <w:rFonts w:ascii="Times New Roman" w:hAnsi="Times New Roman" w:cs="Times New Roman"/>
          <w:sz w:val="24"/>
          <w:szCs w:val="24"/>
        </w:rPr>
      </w:pPr>
      <w:r w:rsidRPr="005267B7">
        <w:rPr>
          <w:rFonts w:ascii="Times New Roman" w:hAnsi="Times New Roman" w:cs="Times New Roman"/>
          <w:sz w:val="24"/>
          <w:szCs w:val="24"/>
        </w:rPr>
        <w:t>T</w:t>
      </w:r>
      <w:r w:rsidR="00F56594">
        <w:rPr>
          <w:rFonts w:ascii="Times New Roman" w:hAnsi="Times New Roman" w:cs="Times New Roman"/>
          <w:sz w:val="24"/>
          <w:szCs w:val="24"/>
        </w:rPr>
        <w:t xml:space="preserve">he </w:t>
      </w:r>
      <w:r>
        <w:rPr>
          <w:rFonts w:ascii="Times New Roman" w:hAnsi="Times New Roman" w:cs="Times New Roman"/>
          <w:sz w:val="24"/>
          <w:szCs w:val="24"/>
        </w:rPr>
        <w:t>sensitivity plot il</w:t>
      </w:r>
      <w:r w:rsidR="000210E4">
        <w:rPr>
          <w:rFonts w:ascii="Times New Roman" w:hAnsi="Times New Roman" w:cs="Times New Roman"/>
          <w:sz w:val="24"/>
          <w:szCs w:val="24"/>
        </w:rPr>
        <w:t>lustrates the effect of varying</w:t>
      </w:r>
      <w:r>
        <w:rPr>
          <w:rFonts w:ascii="Times New Roman" w:hAnsi="Times New Roman" w:cs="Times New Roman"/>
          <w:sz w:val="24"/>
          <w:szCs w:val="24"/>
        </w:rPr>
        <w:t xml:space="preserve"> drift and volatility on Fidelity’s share price dynamics. An increase in drift shifts the central tendency upward, thereby raising the expected growth rate of the share price. In contrast, an increase in volatility widens the dispersion of sample paths around the central tendency, reflecting greater uncertainty. The result implies that drift determines Fidelity’s long-term direction while volatility governs s</w:t>
      </w:r>
      <w:r w:rsidR="00F56594">
        <w:rPr>
          <w:rFonts w:ascii="Times New Roman" w:hAnsi="Times New Roman" w:cs="Times New Roman"/>
          <w:sz w:val="24"/>
          <w:szCs w:val="24"/>
        </w:rPr>
        <w:t>hort-term risk and variability, see Figure 6.</w:t>
      </w:r>
    </w:p>
    <w:p w14:paraId="59BB51AE" w14:textId="77777777" w:rsidR="00523369" w:rsidRPr="00877E83" w:rsidRDefault="00523369" w:rsidP="00523369">
      <w:pPr>
        <w:jc w:val="both"/>
        <w:rPr>
          <w:rFonts w:ascii="Times New Roman" w:hAnsi="Times New Roman" w:cs="Times New Roman"/>
          <w:b/>
          <w:sz w:val="24"/>
          <w:szCs w:val="24"/>
        </w:rPr>
      </w:pPr>
      <w:r w:rsidRPr="00877E83">
        <w:rPr>
          <w:rFonts w:ascii="Times New Roman" w:hAnsi="Times New Roman" w:cs="Times New Roman"/>
          <w:b/>
          <w:sz w:val="24"/>
          <w:szCs w:val="24"/>
        </w:rPr>
        <w:t>4.1 Conclusion</w:t>
      </w:r>
      <w:r w:rsidRPr="00877E83">
        <w:rPr>
          <w:rFonts w:ascii="Times New Roman" w:hAnsi="Times New Roman" w:cs="Times New Roman"/>
          <w:sz w:val="24"/>
          <w:szCs w:val="24"/>
        </w:rPr>
        <w:t xml:space="preserve"> </w:t>
      </w:r>
    </w:p>
    <w:p w14:paraId="02396B23" w14:textId="77777777" w:rsidR="00D94B9A" w:rsidRPr="00CE066D" w:rsidRDefault="00523369" w:rsidP="00D94B9A">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Pr="00877E83">
        <w:rPr>
          <w:rFonts w:ascii="Times New Roman" w:hAnsi="Times New Roman" w:cs="Times New Roman"/>
          <w:sz w:val="24"/>
          <w:szCs w:val="24"/>
        </w:rPr>
        <w:t>Seasonality is a significant driver of short-term price movement.</w:t>
      </w:r>
      <w:r w:rsidRPr="00877E83">
        <w:rPr>
          <w:rFonts w:ascii="Times New Roman" w:hAnsi="Times New Roman" w:cs="Times New Roman"/>
          <w:b/>
          <w:sz w:val="24"/>
          <w:szCs w:val="24"/>
        </w:rPr>
        <w:t xml:space="preserve"> </w:t>
      </w:r>
      <w:r w:rsidRPr="00877E83">
        <w:rPr>
          <w:rFonts w:ascii="Times New Roman" w:hAnsi="Times New Roman" w:cs="Times New Roman"/>
          <w:sz w:val="24"/>
          <w:szCs w:val="24"/>
        </w:rPr>
        <w:t xml:space="preserve">Empirically, the deterministic cycle persists across all sample paths while the Brownian component governs deviation amplitude. This validates seasonal Dollar-Cost-Averaging and dividend-timing strategies. The model demonstrates that omitting seasonality in leads to mispricing of risk. Hence, for assets with strong annual cycles, GBM with periodic initial conditions provides superior forecasting and risk management relative to the constant-GBM benchmark. </w:t>
      </w:r>
      <w:r w:rsidRPr="00472F3D">
        <w:rPr>
          <w:rFonts w:ascii="Times New Roman" w:hAnsi="Times New Roman"/>
          <w:sz w:val="24"/>
          <w:szCs w:val="24"/>
        </w:rPr>
        <w:t xml:space="preserve">First Bank’s future share price exhibits stable seasonal frequency but scenario-dependent amplitude and level.  Brownian noise causes short-term divergence around the seasonal mean, while parameter A governs the magnitude of price swings.  </w:t>
      </w:r>
      <w:r w:rsidR="00CE066D">
        <w:rPr>
          <w:rFonts w:ascii="Times New Roman" w:hAnsi="Times New Roman"/>
          <w:sz w:val="24"/>
          <w:szCs w:val="24"/>
        </w:rPr>
        <w:t>However,</w:t>
      </w:r>
      <w:r w:rsidR="00CE066D" w:rsidRPr="00CE066D">
        <w:rPr>
          <w:rFonts w:ascii="Times New Roman" w:hAnsi="Times New Roman" w:cs="Times New Roman"/>
          <w:sz w:val="24"/>
          <w:szCs w:val="24"/>
        </w:rPr>
        <w:t xml:space="preserve"> </w:t>
      </w:r>
      <w:r w:rsidR="00CE066D">
        <w:rPr>
          <w:rFonts w:ascii="Times New Roman" w:hAnsi="Times New Roman" w:cs="Times New Roman"/>
          <w:sz w:val="24"/>
          <w:szCs w:val="24"/>
        </w:rPr>
        <w:t>t</w:t>
      </w:r>
      <w:r w:rsidR="00CE066D" w:rsidRPr="00852793">
        <w:rPr>
          <w:rFonts w:ascii="Times New Roman" w:hAnsi="Times New Roman" w:cs="Times New Roman"/>
          <w:sz w:val="24"/>
          <w:szCs w:val="24"/>
        </w:rPr>
        <w:t xml:space="preserve">he </w:t>
      </w:r>
      <w:r w:rsidR="00CE066D">
        <w:rPr>
          <w:rFonts w:ascii="Times New Roman" w:hAnsi="Times New Roman" w:cs="Times New Roman"/>
          <w:sz w:val="24"/>
          <w:szCs w:val="24"/>
        </w:rPr>
        <w:t xml:space="preserve">single asset </w:t>
      </w:r>
      <w:r w:rsidR="00CE066D" w:rsidRPr="00852793">
        <w:rPr>
          <w:rFonts w:ascii="Times New Roman" w:hAnsi="Times New Roman" w:cs="Times New Roman"/>
          <w:sz w:val="24"/>
          <w:szCs w:val="24"/>
        </w:rPr>
        <w:t xml:space="preserve">model exhibits wide path dispersion and market efficiency. All risk is idiosyncratic, making technical signals unreliable. The conclusion supports passive investment and stop-loss risk control. This paper confirms that any extension to non-constant </w:t>
      </w:r>
      <w:r w:rsidR="00CE066D" w:rsidRPr="00852793">
        <w:rPr>
          <w:rFonts w:ascii="Times New Roman" w:hAnsi="Times New Roman" w:cs="Times New Roman"/>
          <w:position w:val="-14"/>
          <w:sz w:val="24"/>
          <w:szCs w:val="24"/>
        </w:rPr>
        <w:object w:dxaOrig="580" w:dyaOrig="400" w14:anchorId="53199792">
          <v:shape id="_x0000_i1088" type="#_x0000_t75" style="width:29.2pt;height:19.7pt" o:ole="">
            <v:imagedata r:id="rId144" o:title=""/>
          </v:shape>
          <o:OLEObject Type="Embed" ProgID="Equation.DSMT4" ShapeID="_x0000_i1088" DrawAspect="Content" ObjectID="_1851508669" r:id="rId145"/>
        </w:object>
      </w:r>
      <w:r w:rsidR="00CE066D" w:rsidRPr="00852793">
        <w:rPr>
          <w:rFonts w:ascii="Times New Roman" w:hAnsi="Times New Roman" w:cs="Times New Roman"/>
          <w:sz w:val="24"/>
          <w:szCs w:val="24"/>
        </w:rPr>
        <w:t xml:space="preserve"> must be statistically justified, providing the baseline for testing </w:t>
      </w:r>
      <w:r w:rsidR="00CE066D">
        <w:rPr>
          <w:rFonts w:ascii="Times New Roman" w:hAnsi="Times New Roman" w:cs="Times New Roman"/>
          <w:sz w:val="24"/>
          <w:szCs w:val="24"/>
        </w:rPr>
        <w:t>seasonality</w:t>
      </w:r>
      <w:r w:rsidR="00CE066D" w:rsidRPr="00852793">
        <w:rPr>
          <w:rFonts w:ascii="Times New Roman" w:hAnsi="Times New Roman" w:cs="Times New Roman"/>
          <w:sz w:val="24"/>
          <w:szCs w:val="24"/>
        </w:rPr>
        <w:t xml:space="preserve">, </w:t>
      </w:r>
      <w:r w:rsidR="00CE066D" w:rsidRPr="00852793">
        <w:rPr>
          <w:rFonts w:ascii="Times New Roman" w:hAnsi="Times New Roman" w:cs="Times New Roman"/>
          <w:sz w:val="24"/>
          <w:szCs w:val="24"/>
        </w:rPr>
        <w:lastRenderedPageBreak/>
        <w:t>growth, and regime effects</w:t>
      </w:r>
      <w:r w:rsidR="00CE066D" w:rsidRPr="00852793">
        <w:rPr>
          <w:rFonts w:ascii="Times New Roman" w:hAnsi="Times New Roman" w:cs="Times New Roman"/>
          <w:b/>
          <w:sz w:val="24"/>
          <w:szCs w:val="24"/>
        </w:rPr>
        <w:t>.</w:t>
      </w:r>
      <w:r w:rsidR="00CE066D">
        <w:rPr>
          <w:rFonts w:ascii="Times New Roman" w:hAnsi="Times New Roman" w:cs="Times New Roman"/>
          <w:b/>
          <w:sz w:val="24"/>
          <w:szCs w:val="24"/>
        </w:rPr>
        <w:t xml:space="preserve"> </w:t>
      </w:r>
      <w:r w:rsidR="007054A4">
        <w:rPr>
          <w:rFonts w:ascii="Times New Roman" w:hAnsi="Times New Roman" w:cs="Times New Roman"/>
          <w:sz w:val="24"/>
          <w:szCs w:val="24"/>
        </w:rPr>
        <w:t xml:space="preserve">More so, incorporating time-dependent delay parameters to </w:t>
      </w:r>
      <w:r w:rsidR="00D94B9A" w:rsidRPr="00852793">
        <w:rPr>
          <w:rFonts w:ascii="Times New Roman" w:hAnsi="Times New Roman" w:cs="Times New Roman"/>
          <w:sz w:val="24"/>
          <w:szCs w:val="24"/>
        </w:rPr>
        <w:t>the proposed model</w:t>
      </w:r>
      <w:r w:rsidR="007054A4">
        <w:rPr>
          <w:rFonts w:ascii="Times New Roman" w:hAnsi="Times New Roman" w:cs="Times New Roman"/>
          <w:sz w:val="24"/>
          <w:szCs w:val="24"/>
        </w:rPr>
        <w:t>s</w:t>
      </w:r>
      <w:r w:rsidR="00D94B9A" w:rsidRPr="00852793">
        <w:rPr>
          <w:rFonts w:ascii="Times New Roman" w:hAnsi="Times New Roman" w:cs="Times New Roman"/>
          <w:sz w:val="24"/>
          <w:szCs w:val="24"/>
        </w:rPr>
        <w:t xml:space="preserve"> will be an interesting </w:t>
      </w:r>
      <w:r w:rsidR="007054A4">
        <w:rPr>
          <w:rFonts w:ascii="Times New Roman" w:hAnsi="Times New Roman" w:cs="Times New Roman"/>
          <w:sz w:val="24"/>
          <w:szCs w:val="24"/>
        </w:rPr>
        <w:t>area of study</w:t>
      </w:r>
      <w:r w:rsidR="00D94B9A" w:rsidRPr="00852793">
        <w:rPr>
          <w:rFonts w:ascii="Times New Roman" w:hAnsi="Times New Roman" w:cs="Times New Roman"/>
          <w:sz w:val="24"/>
          <w:szCs w:val="24"/>
        </w:rPr>
        <w:t>.</w:t>
      </w:r>
    </w:p>
    <w:p w14:paraId="6FCFD8E8" w14:textId="2DBD5399" w:rsidR="00D94B9A" w:rsidRPr="002C0D73" w:rsidRDefault="002C0D73" w:rsidP="002C0D73">
      <w:pPr>
        <w:jc w:val="both"/>
        <w:rPr>
          <w:rFonts w:ascii="Times New Roman" w:hAnsi="Times New Roman"/>
          <w:b/>
          <w:bCs/>
          <w:sz w:val="24"/>
          <w:szCs w:val="24"/>
        </w:rPr>
      </w:pPr>
      <w:r w:rsidRPr="002C0D73">
        <w:rPr>
          <w:rFonts w:ascii="Times New Roman" w:hAnsi="Times New Roman"/>
          <w:b/>
          <w:bCs/>
          <w:sz w:val="24"/>
          <w:szCs w:val="24"/>
        </w:rPr>
        <w:t>Limitations</w:t>
      </w:r>
    </w:p>
    <w:p w14:paraId="13C12928" w14:textId="6ED4E9E6" w:rsidR="0003754F" w:rsidRDefault="002C0D73" w:rsidP="009610AD">
      <w:pPr>
        <w:pStyle w:val="NormalWeb"/>
        <w:jc w:val="both"/>
      </w:pPr>
      <w:r>
        <w:t xml:space="preserve">The analysis is confined to the seasonal and constant-initial-condition GBM specifications and the parameter settings applied to First Bank and Fidelity Bank in the manuscript. Consequently, the simulated </w:t>
      </w:r>
      <w:proofErr w:type="spellStart"/>
      <w:r>
        <w:t>behaviours</w:t>
      </w:r>
      <w:proofErr w:type="spellEnd"/>
      <w:r>
        <w:t xml:space="preserve"> should not be </w:t>
      </w:r>
      <w:proofErr w:type="spellStart"/>
      <w:r>
        <w:t>generalised</w:t>
      </w:r>
      <w:proofErr w:type="spellEnd"/>
      <w:r>
        <w:t xml:space="preserve"> to other assets, seasonal frequencies, or market regimes without recalibration. The study focuses on drift, volatility, Brownian shocks, and seasonal amplitude; additional time-dependent effects fall outside the present model specification.</w:t>
      </w:r>
    </w:p>
    <w:p w14:paraId="7454AB16" w14:textId="77777777" w:rsidR="0003754F" w:rsidRPr="002D08AC" w:rsidRDefault="0003754F" w:rsidP="0003754F">
      <w:pPr>
        <w:spacing w:after="0" w:line="240" w:lineRule="auto"/>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6F3456BD" w14:textId="77777777" w:rsidR="0003754F" w:rsidRPr="002D08AC" w:rsidRDefault="0003754F" w:rsidP="0003754F">
      <w:pPr>
        <w:spacing w:after="0" w:line="240" w:lineRule="auto"/>
        <w:rPr>
          <w:rFonts w:ascii="Arial" w:hAnsi="Arial" w:cs="Arial"/>
          <w:sz w:val="20"/>
          <w:szCs w:val="20"/>
        </w:rPr>
      </w:pPr>
      <w:bookmarkStart w:id="2" w:name="_Hlk239068730"/>
    </w:p>
    <w:p w14:paraId="45F0724B" w14:textId="77777777" w:rsidR="0003754F" w:rsidRPr="002D08AC" w:rsidRDefault="0003754F" w:rsidP="0003754F">
      <w:pPr>
        <w:spacing w:after="0" w:line="240" w:lineRule="auto"/>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345D74CC" w14:textId="77777777" w:rsidR="0003754F" w:rsidRPr="00980539" w:rsidRDefault="0003754F" w:rsidP="00523369">
      <w:pPr>
        <w:ind w:left="90"/>
        <w:jc w:val="both"/>
        <w:rPr>
          <w:rFonts w:ascii="Times New Roman" w:hAnsi="Times New Roman"/>
          <w:sz w:val="24"/>
          <w:szCs w:val="24"/>
        </w:rPr>
      </w:pPr>
    </w:p>
    <w:p w14:paraId="00568FE1" w14:textId="77777777" w:rsidR="00523369" w:rsidRDefault="00523369" w:rsidP="00523369">
      <w:pPr>
        <w:jc w:val="both"/>
        <w:rPr>
          <w:rFonts w:ascii="Times New Roman" w:hAnsi="Times New Roman" w:cs="Times New Roman"/>
          <w:b/>
          <w:sz w:val="24"/>
          <w:szCs w:val="24"/>
        </w:rPr>
      </w:pPr>
      <w:r w:rsidRPr="00980539">
        <w:rPr>
          <w:rFonts w:ascii="Times New Roman" w:hAnsi="Times New Roman" w:cs="Times New Roman"/>
          <w:b/>
          <w:sz w:val="24"/>
          <w:szCs w:val="24"/>
        </w:rPr>
        <w:t>Reference</w:t>
      </w:r>
    </w:p>
    <w:p w14:paraId="13DA4F15" w14:textId="77777777" w:rsidR="002F6D5C" w:rsidRPr="00E22AD7" w:rsidRDefault="002F6D5C" w:rsidP="002F6D5C">
      <w:pPr>
        <w:spacing w:after="0"/>
        <w:jc w:val="both"/>
        <w:rPr>
          <w:b/>
          <w:bCs/>
          <w:sz w:val="28"/>
          <w:szCs w:val="28"/>
        </w:rPr>
      </w:pPr>
    </w:p>
    <w:p w14:paraId="1EC6BF56" w14:textId="77859C85"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 Björk, T. (2009). </w:t>
      </w:r>
      <w:r w:rsidRPr="007301D6">
        <w:rPr>
          <w:rFonts w:ascii="Times New Roman" w:eastAsia="Times New Roman" w:hAnsi="Times New Roman" w:cs="Times New Roman"/>
          <w:i/>
          <w:iCs/>
          <w:sz w:val="24"/>
          <w:szCs w:val="24"/>
        </w:rPr>
        <w:t>Arbitrage theory in continuous time</w:t>
      </w:r>
      <w:r w:rsidRPr="007301D6">
        <w:rPr>
          <w:rFonts w:ascii="Times New Roman" w:eastAsia="Times New Roman" w:hAnsi="Times New Roman" w:cs="Times New Roman"/>
          <w:sz w:val="24"/>
          <w:szCs w:val="24"/>
        </w:rPr>
        <w:t xml:space="preserve"> (3rd ed.). Oxford University Press. </w:t>
      </w:r>
    </w:p>
    <w:p w14:paraId="49A70EC6" w14:textId="15FBEA65"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[2] </w:t>
      </w:r>
      <w:proofErr w:type="spellStart"/>
      <w:r w:rsidRPr="007301D6">
        <w:rPr>
          <w:rFonts w:ascii="Times New Roman" w:eastAsia="Times New Roman" w:hAnsi="Times New Roman" w:cs="Times New Roman"/>
          <w:sz w:val="24"/>
          <w:szCs w:val="24"/>
        </w:rPr>
        <w:t>Glasserman</w:t>
      </w:r>
      <w:proofErr w:type="spellEnd"/>
      <w:r w:rsidRPr="007301D6">
        <w:rPr>
          <w:rFonts w:ascii="Times New Roman" w:eastAsia="Times New Roman" w:hAnsi="Times New Roman" w:cs="Times New Roman"/>
          <w:sz w:val="24"/>
          <w:szCs w:val="24"/>
        </w:rPr>
        <w:t xml:space="preserve">, P. (2003). </w:t>
      </w:r>
      <w:r w:rsidRPr="007301D6">
        <w:rPr>
          <w:rFonts w:ascii="Times New Roman" w:eastAsia="Times New Roman" w:hAnsi="Times New Roman" w:cs="Times New Roman"/>
          <w:i/>
          <w:iCs/>
          <w:sz w:val="24"/>
          <w:szCs w:val="24"/>
        </w:rPr>
        <w:t>Monte Carlo methods in financial engineering</w:t>
      </w:r>
      <w:r w:rsidRPr="007301D6">
        <w:rPr>
          <w:rFonts w:ascii="Times New Roman" w:eastAsia="Times New Roman" w:hAnsi="Times New Roman" w:cs="Times New Roman"/>
          <w:sz w:val="24"/>
          <w:szCs w:val="24"/>
        </w:rPr>
        <w:t xml:space="preserve">. Springer. </w:t>
      </w:r>
      <w:hyperlink r:id="rId146" w:history="1">
        <w:r w:rsidRPr="007301D6">
          <w:rPr>
            <w:rFonts w:ascii="Times New Roman" w:eastAsia="Times New Roman" w:hAnsi="Times New Roman" w:cs="Times New Roman"/>
            <w:color w:val="0000FF"/>
            <w:sz w:val="24"/>
            <w:szCs w:val="24"/>
            <w:u w:val="single"/>
          </w:rPr>
          <w:t>https://doi.org/10.1007/978-0-387-21617-1</w:t>
        </w:r>
      </w:hyperlink>
    </w:p>
    <w:p w14:paraId="28EE952D" w14:textId="76C682AF"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[3] Baskin, J. (1989). Dividend policy and the volatility of common stocks. </w:t>
      </w:r>
      <w:r w:rsidRPr="007301D6">
        <w:rPr>
          <w:rFonts w:ascii="Times New Roman" w:eastAsia="Times New Roman" w:hAnsi="Times New Roman" w:cs="Times New Roman"/>
          <w:i/>
          <w:iCs/>
          <w:sz w:val="24"/>
          <w:szCs w:val="24"/>
        </w:rPr>
        <w:t>The Journal of Portfolio Management, 15</w:t>
      </w:r>
      <w:r w:rsidRPr="007301D6">
        <w:rPr>
          <w:rFonts w:ascii="Times New Roman" w:eastAsia="Times New Roman" w:hAnsi="Times New Roman" w:cs="Times New Roman"/>
          <w:sz w:val="24"/>
          <w:szCs w:val="24"/>
        </w:rPr>
        <w:t xml:space="preserve">(3), 19–25. </w:t>
      </w:r>
      <w:hyperlink r:id="rId147" w:history="1">
        <w:r w:rsidRPr="007301D6">
          <w:rPr>
            <w:rFonts w:ascii="Times New Roman" w:eastAsia="Times New Roman" w:hAnsi="Times New Roman" w:cs="Times New Roman"/>
            <w:color w:val="0000FF"/>
            <w:sz w:val="24"/>
            <w:szCs w:val="24"/>
            <w:u w:val="single"/>
          </w:rPr>
          <w:t>https://doi.org/10.3905/jpm.1989.409203</w:t>
        </w:r>
      </w:hyperlink>
    </w:p>
    <w:p w14:paraId="63DDB19E" w14:textId="251EE014"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lang w:val="nl-BE"/>
        </w:rPr>
        <w:t xml:space="preserve">[4] Adeosun, M. E., Edeki, S. O., &amp; Ugbebor, O. O. (2015). </w:t>
      </w:r>
      <w:r w:rsidRPr="007301D6">
        <w:rPr>
          <w:rFonts w:ascii="Times New Roman" w:eastAsia="Times New Roman" w:hAnsi="Times New Roman" w:cs="Times New Roman"/>
          <w:sz w:val="24"/>
          <w:szCs w:val="24"/>
        </w:rPr>
        <w:t xml:space="preserve">Stochastic analysis of stock market price models: A case study of the Nigerian Stock Exchange (NSE). </w:t>
      </w:r>
      <w:r w:rsidRPr="007301D6">
        <w:rPr>
          <w:rFonts w:ascii="Times New Roman" w:eastAsia="Times New Roman" w:hAnsi="Times New Roman" w:cs="Times New Roman"/>
          <w:i/>
          <w:iCs/>
          <w:sz w:val="24"/>
          <w:szCs w:val="24"/>
        </w:rPr>
        <w:t>WSEAS Transactions on Mathematics, 14</w:t>
      </w:r>
      <w:r w:rsidRPr="007301D6">
        <w:rPr>
          <w:rFonts w:ascii="Times New Roman" w:eastAsia="Times New Roman" w:hAnsi="Times New Roman" w:cs="Times New Roman"/>
          <w:sz w:val="24"/>
          <w:szCs w:val="24"/>
        </w:rPr>
        <w:t xml:space="preserve">, 353–363. </w:t>
      </w:r>
    </w:p>
    <w:p w14:paraId="4AF3E52C"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[5] Osu, B. O., &amp; Amadi, I. U. (2022). A stochastic analysis of stock market price fluctuations for capital market. </w:t>
      </w:r>
      <w:r w:rsidRPr="007301D6">
        <w:rPr>
          <w:rFonts w:ascii="Times New Roman" w:eastAsia="Times New Roman" w:hAnsi="Times New Roman" w:cs="Times New Roman"/>
          <w:i/>
          <w:iCs/>
          <w:sz w:val="24"/>
          <w:szCs w:val="24"/>
        </w:rPr>
        <w:t>Journal of Applied Mathematics and Computation, 6</w:t>
      </w:r>
      <w:r w:rsidRPr="007301D6">
        <w:rPr>
          <w:rFonts w:ascii="Times New Roman" w:eastAsia="Times New Roman" w:hAnsi="Times New Roman" w:cs="Times New Roman"/>
          <w:sz w:val="24"/>
          <w:szCs w:val="24"/>
        </w:rPr>
        <w:t xml:space="preserve">(1), 85–95. </w:t>
      </w:r>
      <w:hyperlink r:id="rId148" w:history="1">
        <w:r w:rsidRPr="007301D6">
          <w:rPr>
            <w:rFonts w:ascii="Times New Roman" w:eastAsia="Times New Roman" w:hAnsi="Times New Roman" w:cs="Times New Roman"/>
            <w:color w:val="0000FF"/>
            <w:sz w:val="24"/>
            <w:szCs w:val="24"/>
            <w:u w:val="single"/>
          </w:rPr>
          <w:t>https://doi.org/10.26855/jamc.2022.03.011</w:t>
        </w:r>
      </w:hyperlink>
    </w:p>
    <w:p w14:paraId="09AB9C9C"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[6] </w:t>
      </w:r>
      <w:proofErr w:type="spellStart"/>
      <w:r w:rsidRPr="007301D6">
        <w:rPr>
          <w:rFonts w:ascii="Times New Roman" w:eastAsia="Times New Roman" w:hAnsi="Times New Roman" w:cs="Times New Roman"/>
          <w:sz w:val="24"/>
          <w:szCs w:val="24"/>
        </w:rPr>
        <w:t>Ofomata</w:t>
      </w:r>
      <w:proofErr w:type="spellEnd"/>
      <w:r w:rsidRPr="007301D6">
        <w:rPr>
          <w:rFonts w:ascii="Times New Roman" w:eastAsia="Times New Roman" w:hAnsi="Times New Roman" w:cs="Times New Roman"/>
          <w:sz w:val="24"/>
          <w:szCs w:val="24"/>
        </w:rPr>
        <w:t xml:space="preserve">, A. I. O., </w:t>
      </w:r>
      <w:proofErr w:type="spellStart"/>
      <w:r w:rsidRPr="007301D6">
        <w:rPr>
          <w:rFonts w:ascii="Times New Roman" w:eastAsia="Times New Roman" w:hAnsi="Times New Roman" w:cs="Times New Roman"/>
          <w:sz w:val="24"/>
          <w:szCs w:val="24"/>
        </w:rPr>
        <w:t>Inyama</w:t>
      </w:r>
      <w:proofErr w:type="spellEnd"/>
      <w:r w:rsidRPr="007301D6">
        <w:rPr>
          <w:rFonts w:ascii="Times New Roman" w:eastAsia="Times New Roman" w:hAnsi="Times New Roman" w:cs="Times New Roman"/>
          <w:sz w:val="24"/>
          <w:szCs w:val="24"/>
        </w:rPr>
        <w:t xml:space="preserve">, S. C., Umana, R. A., &amp; </w:t>
      </w:r>
      <w:proofErr w:type="spellStart"/>
      <w:r w:rsidRPr="007301D6">
        <w:rPr>
          <w:rFonts w:ascii="Times New Roman" w:eastAsia="Times New Roman" w:hAnsi="Times New Roman" w:cs="Times New Roman"/>
          <w:sz w:val="24"/>
          <w:szCs w:val="24"/>
        </w:rPr>
        <w:t>Omame</w:t>
      </w:r>
      <w:proofErr w:type="spellEnd"/>
      <w:r w:rsidRPr="007301D6">
        <w:rPr>
          <w:rFonts w:ascii="Times New Roman" w:eastAsia="Times New Roman" w:hAnsi="Times New Roman" w:cs="Times New Roman"/>
          <w:sz w:val="24"/>
          <w:szCs w:val="24"/>
        </w:rPr>
        <w:t xml:space="preserve">, A. (2017). A stochastic model of the dynamics of stock price for forecasting. </w:t>
      </w:r>
      <w:r w:rsidRPr="007301D6">
        <w:rPr>
          <w:rFonts w:ascii="Times New Roman" w:eastAsia="Times New Roman" w:hAnsi="Times New Roman" w:cs="Times New Roman"/>
          <w:i/>
          <w:iCs/>
          <w:sz w:val="24"/>
          <w:szCs w:val="24"/>
        </w:rPr>
        <w:t>Journal of Advances in Mathematics and Computer Science, 25</w:t>
      </w:r>
      <w:r w:rsidRPr="007301D6">
        <w:rPr>
          <w:rFonts w:ascii="Times New Roman" w:eastAsia="Times New Roman" w:hAnsi="Times New Roman" w:cs="Times New Roman"/>
          <w:sz w:val="24"/>
          <w:szCs w:val="24"/>
        </w:rPr>
        <w:t xml:space="preserve">(6), 1–24. </w:t>
      </w:r>
      <w:hyperlink r:id="rId149" w:history="1">
        <w:r w:rsidRPr="007301D6">
          <w:rPr>
            <w:rFonts w:ascii="Times New Roman" w:eastAsia="Times New Roman" w:hAnsi="Times New Roman" w:cs="Times New Roman"/>
            <w:color w:val="0000FF"/>
            <w:sz w:val="24"/>
            <w:szCs w:val="24"/>
            <w:u w:val="single"/>
          </w:rPr>
          <w:t>https://doi.org/10.9734/JAMCS/2017/38014</w:t>
        </w:r>
      </w:hyperlink>
    </w:p>
    <w:p w14:paraId="17A3B510" w14:textId="65E04EAA"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[7] Amadi, I. U., </w:t>
      </w:r>
      <w:proofErr w:type="spellStart"/>
      <w:r w:rsidRPr="007301D6">
        <w:rPr>
          <w:rFonts w:ascii="Times New Roman" w:eastAsia="Times New Roman" w:hAnsi="Times New Roman" w:cs="Times New Roman"/>
          <w:sz w:val="24"/>
          <w:szCs w:val="24"/>
        </w:rPr>
        <w:t>Igbudu</w:t>
      </w:r>
      <w:proofErr w:type="spellEnd"/>
      <w:r w:rsidRPr="007301D6">
        <w:rPr>
          <w:rFonts w:ascii="Times New Roman" w:eastAsia="Times New Roman" w:hAnsi="Times New Roman" w:cs="Times New Roman"/>
          <w:sz w:val="24"/>
          <w:szCs w:val="24"/>
        </w:rPr>
        <w:t xml:space="preserve">, R., &amp; Azor, P. A. (2021). Stochastic analysis of the impact of growth-rates on stock market prices in Nigeria. </w:t>
      </w:r>
      <w:r w:rsidRPr="007301D6">
        <w:rPr>
          <w:rFonts w:ascii="Times New Roman" w:eastAsia="Times New Roman" w:hAnsi="Times New Roman" w:cs="Times New Roman"/>
          <w:i/>
          <w:iCs/>
          <w:sz w:val="24"/>
          <w:szCs w:val="24"/>
        </w:rPr>
        <w:t xml:space="preserve">Asian Journal of Economics, Business and </w:t>
      </w:r>
      <w:r w:rsidRPr="007301D6">
        <w:rPr>
          <w:rFonts w:ascii="Times New Roman" w:eastAsia="Times New Roman" w:hAnsi="Times New Roman" w:cs="Times New Roman"/>
          <w:i/>
          <w:iCs/>
          <w:sz w:val="24"/>
          <w:szCs w:val="24"/>
        </w:rPr>
        <w:lastRenderedPageBreak/>
        <w:t>Accounting, 21</w:t>
      </w:r>
      <w:r w:rsidRPr="007301D6">
        <w:rPr>
          <w:rFonts w:ascii="Times New Roman" w:eastAsia="Times New Roman" w:hAnsi="Times New Roman" w:cs="Times New Roman"/>
          <w:sz w:val="24"/>
          <w:szCs w:val="24"/>
        </w:rPr>
        <w:t xml:space="preserve">(24), 9–21. </w:t>
      </w:r>
      <w:hyperlink r:id="rId150" w:history="1">
        <w:r w:rsidRPr="007301D6">
          <w:rPr>
            <w:rFonts w:ascii="Times New Roman" w:eastAsia="Times New Roman" w:hAnsi="Times New Roman" w:cs="Times New Roman"/>
            <w:color w:val="0000FF"/>
            <w:sz w:val="24"/>
            <w:szCs w:val="24"/>
            <w:u w:val="single"/>
          </w:rPr>
          <w:t>https://doi.org/10.9734/ajeba/2021/v21i2430534</w:t>
        </w:r>
      </w:hyperlink>
      <w:r w:rsidRPr="007301D6">
        <w:rPr>
          <w:rFonts w:ascii="Times New Roman" w:eastAsia="Times New Roman" w:hAnsi="Times New Roman" w:cs="Times New Roman"/>
          <w:sz w:val="24"/>
          <w:szCs w:val="24"/>
        </w:rPr>
        <w:br/>
      </w:r>
    </w:p>
    <w:p w14:paraId="7E65D69D" w14:textId="5B97B3F9"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[8] Davies, I., Amadi, I. U., &amp; </w:t>
      </w:r>
      <w:proofErr w:type="spellStart"/>
      <w:r w:rsidRPr="007301D6">
        <w:rPr>
          <w:rFonts w:ascii="Times New Roman" w:eastAsia="Times New Roman" w:hAnsi="Times New Roman" w:cs="Times New Roman"/>
          <w:sz w:val="24"/>
          <w:szCs w:val="24"/>
        </w:rPr>
        <w:t>Ndu</w:t>
      </w:r>
      <w:proofErr w:type="spellEnd"/>
      <w:r w:rsidRPr="007301D6">
        <w:rPr>
          <w:rFonts w:ascii="Times New Roman" w:eastAsia="Times New Roman" w:hAnsi="Times New Roman" w:cs="Times New Roman"/>
          <w:sz w:val="24"/>
          <w:szCs w:val="24"/>
        </w:rPr>
        <w:t xml:space="preserve">, R. I. (2019). Stability analysis of stochastic model for stock market prices. </w:t>
      </w:r>
      <w:r w:rsidRPr="007301D6">
        <w:rPr>
          <w:rFonts w:ascii="Times New Roman" w:eastAsia="Times New Roman" w:hAnsi="Times New Roman" w:cs="Times New Roman"/>
          <w:i/>
          <w:iCs/>
          <w:sz w:val="24"/>
          <w:szCs w:val="24"/>
        </w:rPr>
        <w:t>International Journal of Mathematical and Computational Methods, 4</w:t>
      </w:r>
      <w:r w:rsidRPr="007301D6">
        <w:rPr>
          <w:rFonts w:ascii="Times New Roman" w:eastAsia="Times New Roman" w:hAnsi="Times New Roman" w:cs="Times New Roman"/>
          <w:sz w:val="24"/>
          <w:szCs w:val="24"/>
        </w:rPr>
        <w:t xml:space="preserve">, 79–86. </w:t>
      </w:r>
    </w:p>
    <w:p w14:paraId="23E740E5"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[9] </w:t>
      </w:r>
      <w:proofErr w:type="spellStart"/>
      <w:r w:rsidRPr="007301D6">
        <w:rPr>
          <w:rFonts w:ascii="Times New Roman" w:eastAsia="Times New Roman" w:hAnsi="Times New Roman" w:cs="Times New Roman"/>
          <w:sz w:val="24"/>
          <w:szCs w:val="24"/>
        </w:rPr>
        <w:t>Farnoosh</w:t>
      </w:r>
      <w:proofErr w:type="spellEnd"/>
      <w:r w:rsidRPr="007301D6">
        <w:rPr>
          <w:rFonts w:ascii="Times New Roman" w:eastAsia="Times New Roman" w:hAnsi="Times New Roman" w:cs="Times New Roman"/>
          <w:sz w:val="24"/>
          <w:szCs w:val="24"/>
        </w:rPr>
        <w:t xml:space="preserve">, R., Rezazadeh, H., Sobhani, A., &amp; </w:t>
      </w:r>
      <w:proofErr w:type="spellStart"/>
      <w:r w:rsidRPr="007301D6">
        <w:rPr>
          <w:rFonts w:ascii="Times New Roman" w:eastAsia="Times New Roman" w:hAnsi="Times New Roman" w:cs="Times New Roman"/>
          <w:sz w:val="24"/>
          <w:szCs w:val="24"/>
        </w:rPr>
        <w:t>Behboudi</w:t>
      </w:r>
      <w:proofErr w:type="spellEnd"/>
      <w:r w:rsidRPr="007301D6">
        <w:rPr>
          <w:rFonts w:ascii="Times New Roman" w:eastAsia="Times New Roman" w:hAnsi="Times New Roman" w:cs="Times New Roman"/>
          <w:sz w:val="24"/>
          <w:szCs w:val="24"/>
        </w:rPr>
        <w:t xml:space="preserve">, M. (2015). Analytical solutions for stochastic differential equations via Martingale processes. </w:t>
      </w:r>
      <w:r w:rsidRPr="007301D6">
        <w:rPr>
          <w:rFonts w:ascii="Times New Roman" w:eastAsia="Times New Roman" w:hAnsi="Times New Roman" w:cs="Times New Roman"/>
          <w:i/>
          <w:iCs/>
          <w:sz w:val="24"/>
          <w:szCs w:val="24"/>
        </w:rPr>
        <w:t>Mathematical Sciences, 9</w:t>
      </w:r>
      <w:r w:rsidRPr="007301D6">
        <w:rPr>
          <w:rFonts w:ascii="Times New Roman" w:eastAsia="Times New Roman" w:hAnsi="Times New Roman" w:cs="Times New Roman"/>
          <w:sz w:val="24"/>
          <w:szCs w:val="24"/>
        </w:rPr>
        <w:t xml:space="preserve">(2), 87–92. </w:t>
      </w:r>
      <w:hyperlink r:id="rId151" w:history="1">
        <w:r w:rsidRPr="007301D6">
          <w:rPr>
            <w:rFonts w:ascii="Times New Roman" w:eastAsia="Times New Roman" w:hAnsi="Times New Roman" w:cs="Times New Roman"/>
            <w:color w:val="0000FF"/>
            <w:sz w:val="24"/>
            <w:szCs w:val="24"/>
            <w:u w:val="single"/>
          </w:rPr>
          <w:t>https://doi.org/10.1007/s40096-015-0153-x</w:t>
        </w:r>
      </w:hyperlink>
    </w:p>
    <w:p w14:paraId="79B14E68"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[10] Bayram, M., </w:t>
      </w:r>
      <w:proofErr w:type="spellStart"/>
      <w:r w:rsidRPr="007301D6">
        <w:rPr>
          <w:rFonts w:ascii="Times New Roman" w:eastAsia="Times New Roman" w:hAnsi="Times New Roman" w:cs="Times New Roman"/>
          <w:sz w:val="24"/>
          <w:szCs w:val="24"/>
        </w:rPr>
        <w:t>Partal</w:t>
      </w:r>
      <w:proofErr w:type="spellEnd"/>
      <w:r w:rsidRPr="007301D6">
        <w:rPr>
          <w:rFonts w:ascii="Times New Roman" w:eastAsia="Times New Roman" w:hAnsi="Times New Roman" w:cs="Times New Roman"/>
          <w:sz w:val="24"/>
          <w:szCs w:val="24"/>
        </w:rPr>
        <w:t xml:space="preserve">, T., &amp; Orucova </w:t>
      </w:r>
      <w:proofErr w:type="spellStart"/>
      <w:r w:rsidRPr="007301D6">
        <w:rPr>
          <w:rFonts w:ascii="Times New Roman" w:eastAsia="Times New Roman" w:hAnsi="Times New Roman" w:cs="Times New Roman"/>
          <w:sz w:val="24"/>
          <w:szCs w:val="24"/>
        </w:rPr>
        <w:t>Buyukoz</w:t>
      </w:r>
      <w:proofErr w:type="spellEnd"/>
      <w:r w:rsidRPr="007301D6">
        <w:rPr>
          <w:rFonts w:ascii="Times New Roman" w:eastAsia="Times New Roman" w:hAnsi="Times New Roman" w:cs="Times New Roman"/>
          <w:sz w:val="24"/>
          <w:szCs w:val="24"/>
        </w:rPr>
        <w:t xml:space="preserve">, G. (2018). Numerical methods for simulation of stochastic differential equations. </w:t>
      </w:r>
      <w:r w:rsidRPr="007301D6">
        <w:rPr>
          <w:rFonts w:ascii="Times New Roman" w:eastAsia="Times New Roman" w:hAnsi="Times New Roman" w:cs="Times New Roman"/>
          <w:i/>
          <w:iCs/>
          <w:sz w:val="24"/>
          <w:szCs w:val="24"/>
        </w:rPr>
        <w:t>Advances in Difference Equations, 2018</w:t>
      </w:r>
      <w:r w:rsidRPr="007301D6">
        <w:rPr>
          <w:rFonts w:ascii="Times New Roman" w:eastAsia="Times New Roman" w:hAnsi="Times New Roman" w:cs="Times New Roman"/>
          <w:sz w:val="24"/>
          <w:szCs w:val="24"/>
        </w:rPr>
        <w:t xml:space="preserve">, Article 17. </w:t>
      </w:r>
      <w:hyperlink r:id="rId152" w:history="1">
        <w:r w:rsidRPr="007301D6">
          <w:rPr>
            <w:rFonts w:ascii="Times New Roman" w:eastAsia="Times New Roman" w:hAnsi="Times New Roman" w:cs="Times New Roman"/>
            <w:color w:val="0000FF"/>
            <w:sz w:val="24"/>
            <w:szCs w:val="24"/>
            <w:u w:val="single"/>
          </w:rPr>
          <w:t>https://doi.org/10.1186/s13662-018-1466-5</w:t>
        </w:r>
      </w:hyperlink>
    </w:p>
    <w:p w14:paraId="2219D4FC"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[11] Li, Q., &amp; Gan, S. (2012). Stability of analytical and numerical solutions for nonlinear stochastic delay differential equations with jumps. </w:t>
      </w:r>
      <w:r w:rsidRPr="007301D6">
        <w:rPr>
          <w:rFonts w:ascii="Times New Roman" w:eastAsia="Times New Roman" w:hAnsi="Times New Roman" w:cs="Times New Roman"/>
          <w:i/>
          <w:iCs/>
          <w:sz w:val="24"/>
          <w:szCs w:val="24"/>
        </w:rPr>
        <w:t>Abstract and Applied Analysis, 2012</w:t>
      </w:r>
      <w:r w:rsidRPr="007301D6">
        <w:rPr>
          <w:rFonts w:ascii="Times New Roman" w:eastAsia="Times New Roman" w:hAnsi="Times New Roman" w:cs="Times New Roman"/>
          <w:sz w:val="24"/>
          <w:szCs w:val="24"/>
        </w:rPr>
        <w:t xml:space="preserve">, Article 831082. </w:t>
      </w:r>
      <w:hyperlink r:id="rId153" w:history="1">
        <w:r w:rsidRPr="007301D6">
          <w:rPr>
            <w:rFonts w:ascii="Times New Roman" w:eastAsia="Times New Roman" w:hAnsi="Times New Roman" w:cs="Times New Roman"/>
            <w:color w:val="0000FF"/>
            <w:sz w:val="24"/>
            <w:szCs w:val="24"/>
            <w:u w:val="single"/>
          </w:rPr>
          <w:t>https://doi.org/10.1155/2012/831082</w:t>
        </w:r>
      </w:hyperlink>
    </w:p>
    <w:p w14:paraId="540C7BEC"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[12] Amadi, I. U., &amp; Charles, A. (2022). Stochastic analysis of asset price returns for capital market domain. </w:t>
      </w:r>
      <w:r w:rsidRPr="007301D6">
        <w:rPr>
          <w:rFonts w:ascii="Times New Roman" w:eastAsia="Times New Roman" w:hAnsi="Times New Roman" w:cs="Times New Roman"/>
          <w:i/>
          <w:iCs/>
          <w:sz w:val="24"/>
          <w:szCs w:val="24"/>
        </w:rPr>
        <w:t>International Journal of Mathematics and Statistics Studies, 10</w:t>
      </w:r>
      <w:r w:rsidRPr="007301D6">
        <w:rPr>
          <w:rFonts w:ascii="Times New Roman" w:eastAsia="Times New Roman" w:hAnsi="Times New Roman" w:cs="Times New Roman"/>
          <w:sz w:val="24"/>
          <w:szCs w:val="24"/>
        </w:rPr>
        <w:t xml:space="preserve">(3), 28–38. </w:t>
      </w:r>
      <w:hyperlink r:id="rId154" w:history="1">
        <w:r w:rsidRPr="007301D6">
          <w:rPr>
            <w:rFonts w:ascii="Times New Roman" w:eastAsia="Times New Roman" w:hAnsi="Times New Roman" w:cs="Times New Roman"/>
            <w:color w:val="0000FF"/>
            <w:sz w:val="24"/>
            <w:szCs w:val="24"/>
            <w:u w:val="single"/>
          </w:rPr>
          <w:t>https://doi.org/10.37745/ijmss.13/vol10n3pp2838</w:t>
        </w:r>
      </w:hyperlink>
    </w:p>
    <w:p w14:paraId="7DFAE54C"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[13] Osu, B. O. (2010). A stochastic model of the variation of the capital market price. </w:t>
      </w:r>
      <w:r w:rsidRPr="007301D6">
        <w:rPr>
          <w:rFonts w:ascii="Times New Roman" w:eastAsia="Times New Roman" w:hAnsi="Times New Roman" w:cs="Times New Roman"/>
          <w:i/>
          <w:iCs/>
          <w:sz w:val="24"/>
          <w:szCs w:val="24"/>
        </w:rPr>
        <w:t>International Journal of Trade, Economics and Finance, 1</w:t>
      </w:r>
      <w:r w:rsidRPr="007301D6">
        <w:rPr>
          <w:rFonts w:ascii="Times New Roman" w:eastAsia="Times New Roman" w:hAnsi="Times New Roman" w:cs="Times New Roman"/>
          <w:sz w:val="24"/>
          <w:szCs w:val="24"/>
        </w:rPr>
        <w:t xml:space="preserve">(3), 297–302. </w:t>
      </w:r>
      <w:hyperlink r:id="rId155" w:history="1">
        <w:r w:rsidRPr="007301D6">
          <w:rPr>
            <w:rFonts w:ascii="Times New Roman" w:eastAsia="Times New Roman" w:hAnsi="Times New Roman" w:cs="Times New Roman"/>
            <w:color w:val="0000FF"/>
            <w:sz w:val="24"/>
            <w:szCs w:val="24"/>
            <w:u w:val="single"/>
          </w:rPr>
          <w:t>https://doi.org/10.7763/IJTEF.2010.V1.53</w:t>
        </w:r>
      </w:hyperlink>
    </w:p>
    <w:p w14:paraId="1D3B8946"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[14] Wu, Q. (2016). </w:t>
      </w:r>
      <w:r w:rsidRPr="007301D6">
        <w:rPr>
          <w:rFonts w:ascii="Times New Roman" w:eastAsia="Times New Roman" w:hAnsi="Times New Roman" w:cs="Times New Roman"/>
          <w:i/>
          <w:iCs/>
          <w:sz w:val="24"/>
          <w:szCs w:val="24"/>
        </w:rPr>
        <w:t>Stability of stochastic differential equations with respect to time-changed Brownian motions</w:t>
      </w:r>
      <w:r w:rsidRPr="007301D6">
        <w:rPr>
          <w:rFonts w:ascii="Times New Roman" w:eastAsia="Times New Roman" w:hAnsi="Times New Roman" w:cs="Times New Roman"/>
          <w:sz w:val="24"/>
          <w:szCs w:val="24"/>
        </w:rPr>
        <w:t xml:space="preserve"> [Preprint]. </w:t>
      </w:r>
      <w:proofErr w:type="spellStart"/>
      <w:r w:rsidRPr="007301D6">
        <w:rPr>
          <w:rFonts w:ascii="Times New Roman" w:eastAsia="Times New Roman" w:hAnsi="Times New Roman" w:cs="Times New Roman"/>
          <w:sz w:val="24"/>
          <w:szCs w:val="24"/>
        </w:rPr>
        <w:t>arXiv</w:t>
      </w:r>
      <w:proofErr w:type="spellEnd"/>
      <w:r w:rsidRPr="007301D6">
        <w:rPr>
          <w:rFonts w:ascii="Times New Roman" w:eastAsia="Times New Roman" w:hAnsi="Times New Roman" w:cs="Times New Roman"/>
          <w:sz w:val="24"/>
          <w:szCs w:val="24"/>
        </w:rPr>
        <w:t xml:space="preserve">. </w:t>
      </w:r>
      <w:hyperlink r:id="rId156" w:history="1">
        <w:r w:rsidRPr="007301D6">
          <w:rPr>
            <w:rFonts w:ascii="Times New Roman" w:eastAsia="Times New Roman" w:hAnsi="Times New Roman" w:cs="Times New Roman"/>
            <w:color w:val="0000FF"/>
            <w:sz w:val="24"/>
            <w:szCs w:val="24"/>
            <w:u w:val="single"/>
          </w:rPr>
          <w:t>https://doi.org/10.48550/arXiv.1602.08160</w:t>
        </w:r>
      </w:hyperlink>
    </w:p>
    <w:p w14:paraId="100E153B" w14:textId="3228A03B"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[15] Adewole, Y. O. (2016). A stochastic formulation for asset stock delineation and interpretation viz Euler–Maruyama method. </w:t>
      </w:r>
      <w:r w:rsidRPr="007301D6">
        <w:rPr>
          <w:rFonts w:ascii="Times New Roman" w:eastAsia="Times New Roman" w:hAnsi="Times New Roman" w:cs="Times New Roman"/>
          <w:i/>
          <w:iCs/>
          <w:sz w:val="24"/>
          <w:szCs w:val="24"/>
        </w:rPr>
        <w:t>Journal of Multidisciplinary Engineering Science and Technology, 3</w:t>
      </w:r>
      <w:r w:rsidRPr="007301D6">
        <w:rPr>
          <w:rFonts w:ascii="Times New Roman" w:eastAsia="Times New Roman" w:hAnsi="Times New Roman" w:cs="Times New Roman"/>
          <w:sz w:val="24"/>
          <w:szCs w:val="24"/>
        </w:rPr>
        <w:t xml:space="preserve">(7), 5238–5240. </w:t>
      </w:r>
    </w:p>
    <w:p w14:paraId="075120E6" w14:textId="2589CA75"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lang w:val="nl-BE"/>
        </w:rPr>
        <w:t xml:space="preserve">[16] Nwobi, F. N., &amp; Azor, P. A. (2022). </w:t>
      </w:r>
      <w:r w:rsidRPr="007301D6">
        <w:rPr>
          <w:rFonts w:ascii="Times New Roman" w:eastAsia="Times New Roman" w:hAnsi="Times New Roman" w:cs="Times New Roman"/>
          <w:sz w:val="24"/>
          <w:szCs w:val="24"/>
        </w:rPr>
        <w:t xml:space="preserve">An empirical approach for the variation in capital market price changes. </w:t>
      </w:r>
      <w:r w:rsidRPr="007301D6">
        <w:rPr>
          <w:rFonts w:ascii="Times New Roman" w:eastAsia="Times New Roman" w:hAnsi="Times New Roman" w:cs="Times New Roman"/>
          <w:i/>
          <w:iCs/>
          <w:sz w:val="24"/>
          <w:szCs w:val="24"/>
        </w:rPr>
        <w:t>International Journal of Statistics and Mathematics, 8</w:t>
      </w:r>
      <w:r w:rsidRPr="007301D6">
        <w:rPr>
          <w:rFonts w:ascii="Times New Roman" w:eastAsia="Times New Roman" w:hAnsi="Times New Roman" w:cs="Times New Roman"/>
          <w:sz w:val="24"/>
          <w:szCs w:val="24"/>
        </w:rPr>
        <w:t xml:space="preserve">(1), 164–172. </w:t>
      </w:r>
    </w:p>
    <w:p w14:paraId="4E67CE54" w14:textId="5E0CA103"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[17] Amadi, I. U., &amp; </w:t>
      </w:r>
      <w:proofErr w:type="spellStart"/>
      <w:r w:rsidRPr="007301D6">
        <w:rPr>
          <w:rFonts w:ascii="Times New Roman" w:eastAsia="Times New Roman" w:hAnsi="Times New Roman" w:cs="Times New Roman"/>
          <w:sz w:val="24"/>
          <w:szCs w:val="24"/>
        </w:rPr>
        <w:t>Okpoye</w:t>
      </w:r>
      <w:proofErr w:type="spellEnd"/>
      <w:r w:rsidRPr="007301D6">
        <w:rPr>
          <w:rFonts w:ascii="Times New Roman" w:eastAsia="Times New Roman" w:hAnsi="Times New Roman" w:cs="Times New Roman"/>
          <w:sz w:val="24"/>
          <w:szCs w:val="24"/>
        </w:rPr>
        <w:t xml:space="preserve">, O. T. (2022). Application of stochastic model in estimation of stock return rates in capital market investments. </w:t>
      </w:r>
      <w:r w:rsidRPr="007301D6">
        <w:rPr>
          <w:rFonts w:ascii="Times New Roman" w:eastAsia="Times New Roman" w:hAnsi="Times New Roman" w:cs="Times New Roman"/>
          <w:i/>
          <w:iCs/>
          <w:sz w:val="24"/>
          <w:szCs w:val="24"/>
        </w:rPr>
        <w:t>International Journal of Mathematical Analysis and Modelling, 5</w:t>
      </w:r>
      <w:r w:rsidRPr="007301D6">
        <w:rPr>
          <w:rFonts w:ascii="Times New Roman" w:eastAsia="Times New Roman" w:hAnsi="Times New Roman" w:cs="Times New Roman"/>
          <w:sz w:val="24"/>
          <w:szCs w:val="24"/>
        </w:rPr>
        <w:t xml:space="preserve">(2), 1–14. </w:t>
      </w:r>
    </w:p>
    <w:p w14:paraId="7F633DE2" w14:textId="77777777"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[18] Higham, D. J. (2004). </w:t>
      </w:r>
      <w:r w:rsidRPr="007301D6">
        <w:rPr>
          <w:rFonts w:ascii="Times New Roman" w:eastAsia="Times New Roman" w:hAnsi="Times New Roman" w:cs="Times New Roman"/>
          <w:i/>
          <w:iCs/>
          <w:sz w:val="24"/>
          <w:szCs w:val="24"/>
        </w:rPr>
        <w:t>An introduction to financial option valuation: Mathematics, stochastics and computation</w:t>
      </w:r>
      <w:r w:rsidRPr="007301D6">
        <w:rPr>
          <w:rFonts w:ascii="Times New Roman" w:eastAsia="Times New Roman" w:hAnsi="Times New Roman" w:cs="Times New Roman"/>
          <w:sz w:val="24"/>
          <w:szCs w:val="24"/>
        </w:rPr>
        <w:t xml:space="preserve">. Cambridge University Press. </w:t>
      </w:r>
      <w:hyperlink r:id="rId157" w:history="1">
        <w:r w:rsidRPr="007301D6">
          <w:rPr>
            <w:rFonts w:ascii="Times New Roman" w:eastAsia="Times New Roman" w:hAnsi="Times New Roman" w:cs="Times New Roman"/>
            <w:color w:val="0000FF"/>
            <w:sz w:val="24"/>
            <w:szCs w:val="24"/>
            <w:u w:val="single"/>
          </w:rPr>
          <w:t>https://doi.org/10.1017/CBO9780511800948</w:t>
        </w:r>
      </w:hyperlink>
    </w:p>
    <w:p w14:paraId="1D4A1159" w14:textId="7E4B6B7E"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lastRenderedPageBreak/>
        <w:t xml:space="preserve">[19] Wilmott, P., Howison, S., &amp; </w:t>
      </w:r>
      <w:proofErr w:type="spellStart"/>
      <w:r w:rsidRPr="007301D6">
        <w:rPr>
          <w:rFonts w:ascii="Times New Roman" w:eastAsia="Times New Roman" w:hAnsi="Times New Roman" w:cs="Times New Roman"/>
          <w:sz w:val="24"/>
          <w:szCs w:val="24"/>
        </w:rPr>
        <w:t>Dewynne</w:t>
      </w:r>
      <w:proofErr w:type="spellEnd"/>
      <w:r w:rsidRPr="007301D6">
        <w:rPr>
          <w:rFonts w:ascii="Times New Roman" w:eastAsia="Times New Roman" w:hAnsi="Times New Roman" w:cs="Times New Roman"/>
          <w:sz w:val="24"/>
          <w:szCs w:val="24"/>
        </w:rPr>
        <w:t xml:space="preserve">, J. (1995). </w:t>
      </w:r>
      <w:r w:rsidRPr="007301D6">
        <w:rPr>
          <w:rFonts w:ascii="Times New Roman" w:eastAsia="Times New Roman" w:hAnsi="Times New Roman" w:cs="Times New Roman"/>
          <w:i/>
          <w:iCs/>
          <w:sz w:val="24"/>
          <w:szCs w:val="24"/>
        </w:rPr>
        <w:t>The mathematics of financial derivatives: A student introduction</w:t>
      </w:r>
      <w:r w:rsidRPr="007301D6">
        <w:rPr>
          <w:rFonts w:ascii="Times New Roman" w:eastAsia="Times New Roman" w:hAnsi="Times New Roman" w:cs="Times New Roman"/>
          <w:sz w:val="24"/>
          <w:szCs w:val="24"/>
        </w:rPr>
        <w:t xml:space="preserve">. Cambridge University Press. </w:t>
      </w:r>
      <w:hyperlink r:id="rId158" w:history="1">
        <w:r w:rsidRPr="007301D6">
          <w:rPr>
            <w:rFonts w:ascii="Times New Roman" w:eastAsia="Times New Roman" w:hAnsi="Times New Roman" w:cs="Times New Roman"/>
            <w:color w:val="0000FF"/>
            <w:sz w:val="24"/>
            <w:szCs w:val="24"/>
            <w:u w:val="single"/>
          </w:rPr>
          <w:t>https://doi.org/10.1017/CBO9780511812545</w:t>
        </w:r>
      </w:hyperlink>
      <w:r w:rsidRPr="007301D6">
        <w:rPr>
          <w:rFonts w:ascii="Times New Roman" w:eastAsia="Times New Roman" w:hAnsi="Times New Roman" w:cs="Times New Roman"/>
          <w:sz w:val="24"/>
          <w:szCs w:val="24"/>
        </w:rPr>
        <w:br/>
      </w:r>
    </w:p>
    <w:p w14:paraId="3D883BC1" w14:textId="2E67C566" w:rsidR="007301D6" w:rsidRPr="007301D6" w:rsidRDefault="007301D6" w:rsidP="007301D6">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7301D6">
        <w:rPr>
          <w:rFonts w:ascii="Times New Roman" w:eastAsia="Times New Roman" w:hAnsi="Times New Roman" w:cs="Times New Roman"/>
          <w:sz w:val="24"/>
          <w:szCs w:val="24"/>
        </w:rPr>
        <w:t xml:space="preserve">[20] Hull, J. C. (2012). </w:t>
      </w:r>
      <w:r w:rsidRPr="007301D6">
        <w:rPr>
          <w:rFonts w:ascii="Times New Roman" w:eastAsia="Times New Roman" w:hAnsi="Times New Roman" w:cs="Times New Roman"/>
          <w:i/>
          <w:iCs/>
          <w:sz w:val="24"/>
          <w:szCs w:val="24"/>
        </w:rPr>
        <w:t>Options, futures, and other derivatives</w:t>
      </w:r>
      <w:r w:rsidRPr="007301D6">
        <w:rPr>
          <w:rFonts w:ascii="Times New Roman" w:eastAsia="Times New Roman" w:hAnsi="Times New Roman" w:cs="Times New Roman"/>
          <w:sz w:val="24"/>
          <w:szCs w:val="24"/>
        </w:rPr>
        <w:t xml:space="preserve"> (8th ed.). Prentice Hall. </w:t>
      </w:r>
    </w:p>
    <w:p w14:paraId="6D3C47C5" w14:textId="77777777" w:rsidR="00E23DD9" w:rsidRPr="006E16CE" w:rsidRDefault="00E23DD9" w:rsidP="006E16CE">
      <w:pPr>
        <w:jc w:val="center"/>
        <w:rPr>
          <w:rFonts w:ascii="Times New Roman" w:hAnsi="Times New Roman" w:cs="Times New Roman"/>
          <w:b/>
          <w:sz w:val="24"/>
          <w:szCs w:val="24"/>
        </w:rPr>
      </w:pPr>
    </w:p>
    <w:sectPr w:rsidR="00E23DD9" w:rsidRPr="006E16CE">
      <w:headerReference w:type="even" r:id="rId159"/>
      <w:headerReference w:type="default" r:id="rId160"/>
      <w:footerReference w:type="even" r:id="rId161"/>
      <w:footerReference w:type="default" r:id="rId162"/>
      <w:headerReference w:type="first" r:id="rId163"/>
      <w:footerReference w:type="first" r:id="rId1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ACC76" w14:textId="77777777" w:rsidR="00546956" w:rsidRDefault="00546956" w:rsidP="00681500">
      <w:pPr>
        <w:spacing w:after="0" w:line="240" w:lineRule="auto"/>
      </w:pPr>
      <w:r>
        <w:separator/>
      </w:r>
    </w:p>
  </w:endnote>
  <w:endnote w:type="continuationSeparator" w:id="0">
    <w:p w14:paraId="2737D85E" w14:textId="77777777" w:rsidR="00546956" w:rsidRDefault="00546956" w:rsidP="00681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4D607" w14:textId="77777777" w:rsidR="00681500" w:rsidRDefault="006815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B8F8" w14:textId="77777777" w:rsidR="00681500" w:rsidRDefault="006815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EF98D" w14:textId="77777777" w:rsidR="00681500" w:rsidRDefault="00681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29FAD" w14:textId="77777777" w:rsidR="00546956" w:rsidRDefault="00546956" w:rsidP="00681500">
      <w:pPr>
        <w:spacing w:after="0" w:line="240" w:lineRule="auto"/>
      </w:pPr>
      <w:r>
        <w:separator/>
      </w:r>
    </w:p>
  </w:footnote>
  <w:footnote w:type="continuationSeparator" w:id="0">
    <w:p w14:paraId="179BCC23" w14:textId="77777777" w:rsidR="00546956" w:rsidRDefault="00546956" w:rsidP="00681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D6B0" w14:textId="05CD64D6" w:rsidR="00681500" w:rsidRDefault="00000000">
    <w:pPr>
      <w:pStyle w:val="Header"/>
    </w:pPr>
    <w:r>
      <w:rPr>
        <w:noProof/>
      </w:rPr>
      <w:pict w14:anchorId="17F0A3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245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AAA8C" w14:textId="3F8BD3C1" w:rsidR="00681500" w:rsidRDefault="00000000">
    <w:pPr>
      <w:pStyle w:val="Header"/>
    </w:pPr>
    <w:r>
      <w:rPr>
        <w:noProof/>
      </w:rPr>
      <w:pict w14:anchorId="06427B9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245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B898D" w14:textId="561B3193" w:rsidR="00681500" w:rsidRDefault="00000000">
    <w:pPr>
      <w:pStyle w:val="Header"/>
    </w:pPr>
    <w:r>
      <w:rPr>
        <w:noProof/>
      </w:rPr>
      <w:pict w14:anchorId="32CF4F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5205245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72A05"/>
    <w:multiLevelType w:val="multilevel"/>
    <w:tmpl w:val="29F72A05"/>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81285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xsTQ3NDM2MjQ3MzNS0lEKTi0uzszPAykwrAUA5YvSMSwAAAA="/>
  </w:docVars>
  <w:rsids>
    <w:rsidRoot w:val="006E16CE"/>
    <w:rsid w:val="00002881"/>
    <w:rsid w:val="00020CA0"/>
    <w:rsid w:val="000210E4"/>
    <w:rsid w:val="0003754F"/>
    <w:rsid w:val="0006006C"/>
    <w:rsid w:val="00067360"/>
    <w:rsid w:val="00097044"/>
    <w:rsid w:val="000D5B59"/>
    <w:rsid w:val="001C4FFF"/>
    <w:rsid w:val="00204083"/>
    <w:rsid w:val="00230A36"/>
    <w:rsid w:val="00235E2A"/>
    <w:rsid w:val="0026484B"/>
    <w:rsid w:val="002700E7"/>
    <w:rsid w:val="002C0D73"/>
    <w:rsid w:val="002F6D5C"/>
    <w:rsid w:val="00325720"/>
    <w:rsid w:val="00351093"/>
    <w:rsid w:val="00355E18"/>
    <w:rsid w:val="00356D6D"/>
    <w:rsid w:val="003B4D08"/>
    <w:rsid w:val="003D7719"/>
    <w:rsid w:val="00404CC7"/>
    <w:rsid w:val="00422CBA"/>
    <w:rsid w:val="00482B06"/>
    <w:rsid w:val="004C6DAD"/>
    <w:rsid w:val="004F2EE4"/>
    <w:rsid w:val="00501B7A"/>
    <w:rsid w:val="00523369"/>
    <w:rsid w:val="00536C53"/>
    <w:rsid w:val="00546956"/>
    <w:rsid w:val="005660A8"/>
    <w:rsid w:val="005D0BE0"/>
    <w:rsid w:val="005D6A17"/>
    <w:rsid w:val="005E6117"/>
    <w:rsid w:val="00645BA6"/>
    <w:rsid w:val="006562AF"/>
    <w:rsid w:val="00681500"/>
    <w:rsid w:val="006D75F2"/>
    <w:rsid w:val="006E16CE"/>
    <w:rsid w:val="007054A4"/>
    <w:rsid w:val="007134AF"/>
    <w:rsid w:val="007301D6"/>
    <w:rsid w:val="0076163A"/>
    <w:rsid w:val="00782EC5"/>
    <w:rsid w:val="007A3B85"/>
    <w:rsid w:val="007D5AE2"/>
    <w:rsid w:val="0085769D"/>
    <w:rsid w:val="008643A9"/>
    <w:rsid w:val="00873042"/>
    <w:rsid w:val="008B7527"/>
    <w:rsid w:val="008C142C"/>
    <w:rsid w:val="008C5A58"/>
    <w:rsid w:val="009049CF"/>
    <w:rsid w:val="00934268"/>
    <w:rsid w:val="0095675A"/>
    <w:rsid w:val="009610AD"/>
    <w:rsid w:val="00990769"/>
    <w:rsid w:val="009B0708"/>
    <w:rsid w:val="009B2697"/>
    <w:rsid w:val="009C5A46"/>
    <w:rsid w:val="009E1E7F"/>
    <w:rsid w:val="00A31A9F"/>
    <w:rsid w:val="00A73316"/>
    <w:rsid w:val="00A806D0"/>
    <w:rsid w:val="00AC12BE"/>
    <w:rsid w:val="00AD2CDD"/>
    <w:rsid w:val="00B12595"/>
    <w:rsid w:val="00B35078"/>
    <w:rsid w:val="00B54E10"/>
    <w:rsid w:val="00B57047"/>
    <w:rsid w:val="00B804F1"/>
    <w:rsid w:val="00BA4BA3"/>
    <w:rsid w:val="00BB28E9"/>
    <w:rsid w:val="00BE76C9"/>
    <w:rsid w:val="00C47046"/>
    <w:rsid w:val="00C667D1"/>
    <w:rsid w:val="00CA2CA7"/>
    <w:rsid w:val="00CB381E"/>
    <w:rsid w:val="00CC1BB9"/>
    <w:rsid w:val="00CE066D"/>
    <w:rsid w:val="00CF5481"/>
    <w:rsid w:val="00D6741D"/>
    <w:rsid w:val="00D806FB"/>
    <w:rsid w:val="00D94B9A"/>
    <w:rsid w:val="00DC484E"/>
    <w:rsid w:val="00DF2A94"/>
    <w:rsid w:val="00DF3B7F"/>
    <w:rsid w:val="00E0713E"/>
    <w:rsid w:val="00E22621"/>
    <w:rsid w:val="00E23DD9"/>
    <w:rsid w:val="00E41499"/>
    <w:rsid w:val="00E466DC"/>
    <w:rsid w:val="00E6114E"/>
    <w:rsid w:val="00E632D5"/>
    <w:rsid w:val="00EC1C6A"/>
    <w:rsid w:val="00F5415F"/>
    <w:rsid w:val="00F56594"/>
    <w:rsid w:val="00F61817"/>
    <w:rsid w:val="00F75A4F"/>
    <w:rsid w:val="00FF2D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6B721"/>
  <w15:docId w15:val="{A3335412-38BA-4A3F-B15F-A83E05A01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TDisplayEquationChar">
    <w:name w:val="MTDisplayEquation Char"/>
    <w:link w:val="MTDisplayEquation"/>
    <w:uiPriority w:val="99"/>
    <w:locked/>
    <w:rsid w:val="00523369"/>
  </w:style>
  <w:style w:type="paragraph" w:customStyle="1" w:styleId="MTDisplayEquation">
    <w:name w:val="MTDisplayEquation"/>
    <w:basedOn w:val="Normal"/>
    <w:next w:val="Normal"/>
    <w:link w:val="MTDisplayEquationChar"/>
    <w:uiPriority w:val="99"/>
    <w:rsid w:val="00523369"/>
    <w:pPr>
      <w:tabs>
        <w:tab w:val="center" w:pos="4680"/>
        <w:tab w:val="right" w:pos="9360"/>
      </w:tabs>
    </w:pPr>
  </w:style>
  <w:style w:type="paragraph" w:styleId="NoSpacing">
    <w:name w:val="No Spacing"/>
    <w:uiPriority w:val="99"/>
    <w:qFormat/>
    <w:rsid w:val="00523369"/>
    <w:pPr>
      <w:spacing w:after="0" w:line="240" w:lineRule="auto"/>
    </w:pPr>
    <w:rPr>
      <w:rFonts w:ascii="Calibri" w:eastAsia="Calibri" w:hAnsi="Calibri" w:cs="Calibri"/>
    </w:rPr>
  </w:style>
  <w:style w:type="paragraph" w:styleId="ListParagraph">
    <w:name w:val="List Paragraph"/>
    <w:basedOn w:val="Normal"/>
    <w:uiPriority w:val="34"/>
    <w:qFormat/>
    <w:rsid w:val="00523369"/>
    <w:pPr>
      <w:spacing w:after="160" w:line="259" w:lineRule="auto"/>
      <w:ind w:left="720"/>
      <w:contextualSpacing/>
    </w:pPr>
    <w:rPr>
      <w:rFonts w:ascii="Calibri" w:eastAsia="Calibri" w:hAnsi="Calibri" w:cs="Times New Roman"/>
      <w:lang w:val="en-GB"/>
    </w:rPr>
  </w:style>
  <w:style w:type="paragraph" w:styleId="BalloonText">
    <w:name w:val="Balloon Text"/>
    <w:basedOn w:val="Normal"/>
    <w:link w:val="BalloonTextChar"/>
    <w:uiPriority w:val="99"/>
    <w:semiHidden/>
    <w:unhideWhenUsed/>
    <w:rsid w:val="005233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369"/>
    <w:rPr>
      <w:rFonts w:ascii="Tahoma" w:hAnsi="Tahoma" w:cs="Tahoma"/>
      <w:sz w:val="16"/>
      <w:szCs w:val="16"/>
    </w:rPr>
  </w:style>
  <w:style w:type="character" w:styleId="Hyperlink">
    <w:name w:val="Hyperlink"/>
    <w:basedOn w:val="DefaultParagraphFont"/>
    <w:uiPriority w:val="99"/>
    <w:unhideWhenUsed/>
    <w:rsid w:val="00DC484E"/>
    <w:rPr>
      <w:color w:val="0000FF" w:themeColor="hyperlink"/>
      <w:u w:val="single"/>
    </w:rPr>
  </w:style>
  <w:style w:type="character" w:customStyle="1" w:styleId="UnresolvedMention1">
    <w:name w:val="Unresolved Mention1"/>
    <w:basedOn w:val="DefaultParagraphFont"/>
    <w:uiPriority w:val="99"/>
    <w:semiHidden/>
    <w:unhideWhenUsed/>
    <w:rsid w:val="00DC484E"/>
    <w:rPr>
      <w:color w:val="605E5C"/>
      <w:shd w:val="clear" w:color="auto" w:fill="E1DFDD"/>
    </w:rPr>
  </w:style>
  <w:style w:type="paragraph" w:styleId="Header">
    <w:name w:val="header"/>
    <w:basedOn w:val="Normal"/>
    <w:link w:val="HeaderChar"/>
    <w:uiPriority w:val="99"/>
    <w:unhideWhenUsed/>
    <w:rsid w:val="00681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1500"/>
  </w:style>
  <w:style w:type="paragraph" w:styleId="Footer">
    <w:name w:val="footer"/>
    <w:basedOn w:val="Normal"/>
    <w:link w:val="FooterChar"/>
    <w:uiPriority w:val="99"/>
    <w:unhideWhenUsed/>
    <w:rsid w:val="00681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1500"/>
  </w:style>
  <w:style w:type="paragraph" w:styleId="NormalWeb">
    <w:name w:val="Normal (Web)"/>
    <w:basedOn w:val="Normal"/>
    <w:uiPriority w:val="99"/>
    <w:unhideWhenUsed/>
    <w:rsid w:val="00A31A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935831">
      <w:bodyDiv w:val="1"/>
      <w:marLeft w:val="0"/>
      <w:marRight w:val="0"/>
      <w:marTop w:val="0"/>
      <w:marBottom w:val="0"/>
      <w:divBdr>
        <w:top w:val="none" w:sz="0" w:space="0" w:color="auto"/>
        <w:left w:val="none" w:sz="0" w:space="0" w:color="auto"/>
        <w:bottom w:val="none" w:sz="0" w:space="0" w:color="auto"/>
        <w:right w:val="none" w:sz="0" w:space="0" w:color="auto"/>
      </w:divBdr>
    </w:div>
    <w:div w:id="191562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9.wmf"/><Relationship Id="rId21" Type="http://schemas.openxmlformats.org/officeDocument/2006/relationships/image" Target="media/image10.wmf"/><Relationship Id="rId42" Type="http://schemas.openxmlformats.org/officeDocument/2006/relationships/image" Target="media/image22.wmf"/><Relationship Id="rId63" Type="http://schemas.openxmlformats.org/officeDocument/2006/relationships/oleObject" Target="embeddings/oleObject25.bin"/><Relationship Id="rId84" Type="http://schemas.openxmlformats.org/officeDocument/2006/relationships/image" Target="media/image43.wmf"/><Relationship Id="rId138" Type="http://schemas.openxmlformats.org/officeDocument/2006/relationships/image" Target="media/image69.jpeg"/><Relationship Id="rId159" Type="http://schemas.openxmlformats.org/officeDocument/2006/relationships/header" Target="header1.xml"/><Relationship Id="rId107" Type="http://schemas.openxmlformats.org/officeDocument/2006/relationships/oleObject" Target="embeddings/oleObject47.bin"/><Relationship Id="rId11" Type="http://schemas.openxmlformats.org/officeDocument/2006/relationships/image" Target="media/image3.wmf"/><Relationship Id="rId32" Type="http://schemas.openxmlformats.org/officeDocument/2006/relationships/image" Target="media/image17.wmf"/><Relationship Id="rId53" Type="http://schemas.openxmlformats.org/officeDocument/2006/relationships/oleObject" Target="embeddings/oleObject20.bin"/><Relationship Id="rId74" Type="http://schemas.openxmlformats.org/officeDocument/2006/relationships/image" Target="media/image38.wmf"/><Relationship Id="rId128" Type="http://schemas.openxmlformats.org/officeDocument/2006/relationships/oleObject" Target="embeddings/oleObject58.bin"/><Relationship Id="rId149" Type="http://schemas.openxmlformats.org/officeDocument/2006/relationships/hyperlink" Target="https://doi.org/10.9734/JAMCS/2017/38014?utm_source=chatgpt.com" TargetMode="External"/><Relationship Id="rId5" Type="http://schemas.openxmlformats.org/officeDocument/2006/relationships/footnotes" Target="footnotes.xml"/><Relationship Id="rId95" Type="http://schemas.openxmlformats.org/officeDocument/2006/relationships/oleObject" Target="embeddings/oleObject41.bin"/><Relationship Id="rId160" Type="http://schemas.openxmlformats.org/officeDocument/2006/relationships/header" Target="header2.xml"/><Relationship Id="rId22" Type="http://schemas.openxmlformats.org/officeDocument/2006/relationships/image" Target="media/image11.wmf"/><Relationship Id="rId43" Type="http://schemas.openxmlformats.org/officeDocument/2006/relationships/oleObject" Target="embeddings/oleObject15.bin"/><Relationship Id="rId64" Type="http://schemas.openxmlformats.org/officeDocument/2006/relationships/image" Target="media/image33.wmf"/><Relationship Id="rId118" Type="http://schemas.openxmlformats.org/officeDocument/2006/relationships/oleObject" Target="embeddings/oleObject53.bin"/><Relationship Id="rId139" Type="http://schemas.openxmlformats.org/officeDocument/2006/relationships/image" Target="media/image70.jpeg"/><Relationship Id="rId85" Type="http://schemas.openxmlformats.org/officeDocument/2006/relationships/oleObject" Target="embeddings/oleObject36.bin"/><Relationship Id="rId150" Type="http://schemas.openxmlformats.org/officeDocument/2006/relationships/hyperlink" Target="https://doi.org/10.9734/ajeba/2021/v21i2430534?utm_source=chatgpt.com" TargetMode="External"/><Relationship Id="rId12" Type="http://schemas.openxmlformats.org/officeDocument/2006/relationships/oleObject" Target="embeddings/oleObject3.bin"/><Relationship Id="rId17" Type="http://schemas.openxmlformats.org/officeDocument/2006/relationships/image" Target="media/image6.wmf"/><Relationship Id="rId33" Type="http://schemas.openxmlformats.org/officeDocument/2006/relationships/oleObject" Target="embeddings/oleObject10.bin"/><Relationship Id="rId38" Type="http://schemas.openxmlformats.org/officeDocument/2006/relationships/image" Target="media/image20.wmf"/><Relationship Id="rId59" Type="http://schemas.openxmlformats.org/officeDocument/2006/relationships/oleObject" Target="embeddings/oleObject23.bin"/><Relationship Id="rId103" Type="http://schemas.openxmlformats.org/officeDocument/2006/relationships/oleObject" Target="embeddings/oleObject45.bin"/><Relationship Id="rId108" Type="http://schemas.openxmlformats.org/officeDocument/2006/relationships/image" Target="media/image55.wmf"/><Relationship Id="rId124" Type="http://schemas.openxmlformats.org/officeDocument/2006/relationships/oleObject" Target="embeddings/oleObject56.bin"/><Relationship Id="rId129" Type="http://schemas.openxmlformats.org/officeDocument/2006/relationships/image" Target="media/image65.wmf"/><Relationship Id="rId54" Type="http://schemas.openxmlformats.org/officeDocument/2006/relationships/image" Target="media/image28.wmf"/><Relationship Id="rId70" Type="http://schemas.openxmlformats.org/officeDocument/2006/relationships/image" Target="media/image36.wmf"/><Relationship Id="rId75" Type="http://schemas.openxmlformats.org/officeDocument/2006/relationships/oleObject" Target="embeddings/oleObject31.bin"/><Relationship Id="rId91" Type="http://schemas.openxmlformats.org/officeDocument/2006/relationships/oleObject" Target="embeddings/oleObject39.bin"/><Relationship Id="rId96" Type="http://schemas.openxmlformats.org/officeDocument/2006/relationships/image" Target="media/image49.wmf"/><Relationship Id="rId140" Type="http://schemas.openxmlformats.org/officeDocument/2006/relationships/image" Target="media/image71.jpeg"/><Relationship Id="rId145" Type="http://schemas.openxmlformats.org/officeDocument/2006/relationships/oleObject" Target="embeddings/oleObject64.bin"/><Relationship Id="rId161" Type="http://schemas.openxmlformats.org/officeDocument/2006/relationships/footer" Target="footer1.xm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2.wmf"/><Relationship Id="rId28" Type="http://schemas.openxmlformats.org/officeDocument/2006/relationships/image" Target="media/image15.wmf"/><Relationship Id="rId49" Type="http://schemas.openxmlformats.org/officeDocument/2006/relationships/oleObject" Target="embeddings/oleObject18.bin"/><Relationship Id="rId114" Type="http://schemas.openxmlformats.org/officeDocument/2006/relationships/image" Target="media/image58.wmf"/><Relationship Id="rId119" Type="http://schemas.openxmlformats.org/officeDocument/2006/relationships/image" Target="media/image60.wmf"/><Relationship Id="rId44" Type="http://schemas.openxmlformats.org/officeDocument/2006/relationships/image" Target="media/image23.wmf"/><Relationship Id="rId60" Type="http://schemas.openxmlformats.org/officeDocument/2006/relationships/image" Target="media/image31.wmf"/><Relationship Id="rId65" Type="http://schemas.openxmlformats.org/officeDocument/2006/relationships/oleObject" Target="embeddings/oleObject26.bin"/><Relationship Id="rId81" Type="http://schemas.openxmlformats.org/officeDocument/2006/relationships/oleObject" Target="embeddings/oleObject34.bin"/><Relationship Id="rId86" Type="http://schemas.openxmlformats.org/officeDocument/2006/relationships/image" Target="media/image44.wmf"/><Relationship Id="rId130" Type="http://schemas.openxmlformats.org/officeDocument/2006/relationships/oleObject" Target="embeddings/oleObject59.bin"/><Relationship Id="rId135" Type="http://schemas.openxmlformats.org/officeDocument/2006/relationships/oleObject" Target="embeddings/oleObject62.bin"/><Relationship Id="rId151" Type="http://schemas.openxmlformats.org/officeDocument/2006/relationships/hyperlink" Target="https://doi.org/10.1007/s40096-015-0153-x?utm_source=chatgpt.com" TargetMode="External"/><Relationship Id="rId156" Type="http://schemas.openxmlformats.org/officeDocument/2006/relationships/hyperlink" Target="https://doi.org/10.48550/arXiv.1602.08160?utm_source=chatgpt.com" TargetMode="External"/><Relationship Id="rId13" Type="http://schemas.openxmlformats.org/officeDocument/2006/relationships/image" Target="media/image4.wmf"/><Relationship Id="rId18" Type="http://schemas.openxmlformats.org/officeDocument/2006/relationships/image" Target="media/image7.wmf"/><Relationship Id="rId39" Type="http://schemas.openxmlformats.org/officeDocument/2006/relationships/oleObject" Target="embeddings/oleObject13.bin"/><Relationship Id="rId109" Type="http://schemas.openxmlformats.org/officeDocument/2006/relationships/oleObject" Target="embeddings/oleObject48.bin"/><Relationship Id="rId34" Type="http://schemas.openxmlformats.org/officeDocument/2006/relationships/image" Target="media/image18.wmf"/><Relationship Id="rId50" Type="http://schemas.openxmlformats.org/officeDocument/2006/relationships/image" Target="media/image26.wmf"/><Relationship Id="rId55" Type="http://schemas.openxmlformats.org/officeDocument/2006/relationships/oleObject" Target="embeddings/oleObject21.bin"/><Relationship Id="rId76" Type="http://schemas.openxmlformats.org/officeDocument/2006/relationships/image" Target="media/image39.wmf"/><Relationship Id="rId97" Type="http://schemas.openxmlformats.org/officeDocument/2006/relationships/oleObject" Target="embeddings/oleObject42.bin"/><Relationship Id="rId104" Type="http://schemas.openxmlformats.org/officeDocument/2006/relationships/image" Target="media/image53.wmf"/><Relationship Id="rId120" Type="http://schemas.openxmlformats.org/officeDocument/2006/relationships/oleObject" Target="embeddings/oleObject54.bin"/><Relationship Id="rId125" Type="http://schemas.openxmlformats.org/officeDocument/2006/relationships/image" Target="media/image63.wmf"/><Relationship Id="rId141" Type="http://schemas.openxmlformats.org/officeDocument/2006/relationships/image" Target="media/image72.jpeg"/><Relationship Id="rId146" Type="http://schemas.openxmlformats.org/officeDocument/2006/relationships/hyperlink" Target="https://doi.org/10.1007/978-0-387-21617-1?utm_source=chatgpt.com" TargetMode="External"/><Relationship Id="rId7" Type="http://schemas.openxmlformats.org/officeDocument/2006/relationships/image" Target="media/image1.wmf"/><Relationship Id="rId71" Type="http://schemas.openxmlformats.org/officeDocument/2006/relationships/oleObject" Target="embeddings/oleObject29.bin"/><Relationship Id="rId92" Type="http://schemas.openxmlformats.org/officeDocument/2006/relationships/image" Target="media/image47.wmf"/><Relationship Id="rId162" Type="http://schemas.openxmlformats.org/officeDocument/2006/relationships/footer" Target="footer2.xml"/><Relationship Id="rId2" Type="http://schemas.openxmlformats.org/officeDocument/2006/relationships/styles" Target="styles.xml"/><Relationship Id="rId29" Type="http://schemas.openxmlformats.org/officeDocument/2006/relationships/oleObject" Target="embeddings/oleObject8.bin"/><Relationship Id="rId24" Type="http://schemas.openxmlformats.org/officeDocument/2006/relationships/image" Target="media/image13.wmf"/><Relationship Id="rId40" Type="http://schemas.openxmlformats.org/officeDocument/2006/relationships/image" Target="media/image21.wmf"/><Relationship Id="rId45" Type="http://schemas.openxmlformats.org/officeDocument/2006/relationships/oleObject" Target="embeddings/oleObject16.bin"/><Relationship Id="rId66" Type="http://schemas.openxmlformats.org/officeDocument/2006/relationships/image" Target="media/image34.wmf"/><Relationship Id="rId87" Type="http://schemas.openxmlformats.org/officeDocument/2006/relationships/oleObject" Target="embeddings/oleObject37.bin"/><Relationship Id="rId110" Type="http://schemas.openxmlformats.org/officeDocument/2006/relationships/image" Target="media/image56.wmf"/><Relationship Id="rId115" Type="http://schemas.openxmlformats.org/officeDocument/2006/relationships/oleObject" Target="embeddings/oleObject51.bin"/><Relationship Id="rId131" Type="http://schemas.openxmlformats.org/officeDocument/2006/relationships/image" Target="media/image66.wmf"/><Relationship Id="rId136" Type="http://schemas.openxmlformats.org/officeDocument/2006/relationships/image" Target="media/image68.wmf"/><Relationship Id="rId157" Type="http://schemas.openxmlformats.org/officeDocument/2006/relationships/hyperlink" Target="https://doi.org/10.1017/CBO9780511800948?utm_source=chatgpt.com" TargetMode="External"/><Relationship Id="rId61" Type="http://schemas.openxmlformats.org/officeDocument/2006/relationships/oleObject" Target="embeddings/oleObject24.bin"/><Relationship Id="rId82" Type="http://schemas.openxmlformats.org/officeDocument/2006/relationships/image" Target="media/image42.wmf"/><Relationship Id="rId152" Type="http://schemas.openxmlformats.org/officeDocument/2006/relationships/hyperlink" Target="https://doi.org/10.1186/s13662-018-1466-5?utm_source=chatgpt.com" TargetMode="External"/><Relationship Id="rId19" Type="http://schemas.openxmlformats.org/officeDocument/2006/relationships/image" Target="media/image8.wmf"/><Relationship Id="rId14" Type="http://schemas.openxmlformats.org/officeDocument/2006/relationships/oleObject" Target="embeddings/oleObject4.bin"/><Relationship Id="rId30" Type="http://schemas.openxmlformats.org/officeDocument/2006/relationships/image" Target="media/image16.wmf"/><Relationship Id="rId35" Type="http://schemas.openxmlformats.org/officeDocument/2006/relationships/oleObject" Target="embeddings/oleObject11.bin"/><Relationship Id="rId56" Type="http://schemas.openxmlformats.org/officeDocument/2006/relationships/image" Target="media/image29.wmf"/><Relationship Id="rId77" Type="http://schemas.openxmlformats.org/officeDocument/2006/relationships/oleObject" Target="embeddings/oleObject32.bin"/><Relationship Id="rId100" Type="http://schemas.openxmlformats.org/officeDocument/2006/relationships/image" Target="media/image51.wmf"/><Relationship Id="rId105" Type="http://schemas.openxmlformats.org/officeDocument/2006/relationships/oleObject" Target="embeddings/oleObject46.bin"/><Relationship Id="rId126" Type="http://schemas.openxmlformats.org/officeDocument/2006/relationships/oleObject" Target="embeddings/oleObject57.bin"/><Relationship Id="rId147" Type="http://schemas.openxmlformats.org/officeDocument/2006/relationships/hyperlink" Target="https://doi.org/10.3905/jpm.1989.409203" TargetMode="External"/><Relationship Id="rId8" Type="http://schemas.openxmlformats.org/officeDocument/2006/relationships/oleObject" Target="embeddings/oleObject1.bin"/><Relationship Id="rId51" Type="http://schemas.openxmlformats.org/officeDocument/2006/relationships/oleObject" Target="embeddings/oleObject19.bin"/><Relationship Id="rId72" Type="http://schemas.openxmlformats.org/officeDocument/2006/relationships/image" Target="media/image37.wmf"/><Relationship Id="rId93" Type="http://schemas.openxmlformats.org/officeDocument/2006/relationships/oleObject" Target="embeddings/oleObject40.bin"/><Relationship Id="rId98" Type="http://schemas.openxmlformats.org/officeDocument/2006/relationships/image" Target="media/image50.wmf"/><Relationship Id="rId121" Type="http://schemas.openxmlformats.org/officeDocument/2006/relationships/image" Target="media/image61.wmf"/><Relationship Id="rId142" Type="http://schemas.openxmlformats.org/officeDocument/2006/relationships/image" Target="media/image73.jpeg"/><Relationship Id="rId163" Type="http://schemas.openxmlformats.org/officeDocument/2006/relationships/header" Target="header3.xml"/><Relationship Id="rId3" Type="http://schemas.openxmlformats.org/officeDocument/2006/relationships/settings" Target="settings.xml"/><Relationship Id="rId25" Type="http://schemas.openxmlformats.org/officeDocument/2006/relationships/oleObject" Target="embeddings/oleObject6.bin"/><Relationship Id="rId46" Type="http://schemas.openxmlformats.org/officeDocument/2006/relationships/image" Target="media/image24.wmf"/><Relationship Id="rId67" Type="http://schemas.openxmlformats.org/officeDocument/2006/relationships/oleObject" Target="embeddings/oleObject27.bin"/><Relationship Id="rId116" Type="http://schemas.openxmlformats.org/officeDocument/2006/relationships/oleObject" Target="embeddings/oleObject52.bin"/><Relationship Id="rId137" Type="http://schemas.openxmlformats.org/officeDocument/2006/relationships/oleObject" Target="embeddings/oleObject63.bin"/><Relationship Id="rId158" Type="http://schemas.openxmlformats.org/officeDocument/2006/relationships/hyperlink" Target="https://doi.org/10.1017/CBO9780511812545?utm_source=chatgpt.com" TargetMode="External"/><Relationship Id="rId20" Type="http://schemas.openxmlformats.org/officeDocument/2006/relationships/image" Target="media/image9.wmf"/><Relationship Id="rId41" Type="http://schemas.openxmlformats.org/officeDocument/2006/relationships/oleObject" Target="embeddings/oleObject14.bin"/><Relationship Id="rId62" Type="http://schemas.openxmlformats.org/officeDocument/2006/relationships/image" Target="media/image32.wmf"/><Relationship Id="rId83" Type="http://schemas.openxmlformats.org/officeDocument/2006/relationships/oleObject" Target="embeddings/oleObject35.bin"/><Relationship Id="rId88" Type="http://schemas.openxmlformats.org/officeDocument/2006/relationships/image" Target="media/image45.wmf"/><Relationship Id="rId111" Type="http://schemas.openxmlformats.org/officeDocument/2006/relationships/oleObject" Target="embeddings/oleObject49.bin"/><Relationship Id="rId132" Type="http://schemas.openxmlformats.org/officeDocument/2006/relationships/oleObject" Target="embeddings/oleObject60.bin"/><Relationship Id="rId153" Type="http://schemas.openxmlformats.org/officeDocument/2006/relationships/hyperlink" Target="https://doi.org/10.1155/2012/831082?utm_source=chatgpt.com" TargetMode="External"/><Relationship Id="rId15" Type="http://schemas.openxmlformats.org/officeDocument/2006/relationships/image" Target="media/image5.wmf"/><Relationship Id="rId36" Type="http://schemas.openxmlformats.org/officeDocument/2006/relationships/image" Target="media/image19.wmf"/><Relationship Id="rId57" Type="http://schemas.openxmlformats.org/officeDocument/2006/relationships/oleObject" Target="embeddings/oleObject22.bin"/><Relationship Id="rId106" Type="http://schemas.openxmlformats.org/officeDocument/2006/relationships/image" Target="media/image54.wmf"/><Relationship Id="rId127" Type="http://schemas.openxmlformats.org/officeDocument/2006/relationships/image" Target="media/image64.wmf"/><Relationship Id="rId10" Type="http://schemas.openxmlformats.org/officeDocument/2006/relationships/oleObject" Target="embeddings/oleObject2.bin"/><Relationship Id="rId31" Type="http://schemas.openxmlformats.org/officeDocument/2006/relationships/oleObject" Target="embeddings/oleObject9.bin"/><Relationship Id="rId52" Type="http://schemas.openxmlformats.org/officeDocument/2006/relationships/image" Target="media/image27.wmf"/><Relationship Id="rId73" Type="http://schemas.openxmlformats.org/officeDocument/2006/relationships/oleObject" Target="embeddings/oleObject30.bin"/><Relationship Id="rId78" Type="http://schemas.openxmlformats.org/officeDocument/2006/relationships/image" Target="media/image40.wmf"/><Relationship Id="rId94" Type="http://schemas.openxmlformats.org/officeDocument/2006/relationships/image" Target="media/image48.wmf"/><Relationship Id="rId99" Type="http://schemas.openxmlformats.org/officeDocument/2006/relationships/oleObject" Target="embeddings/oleObject43.bin"/><Relationship Id="rId101" Type="http://schemas.openxmlformats.org/officeDocument/2006/relationships/oleObject" Target="embeddings/oleObject44.bin"/><Relationship Id="rId122" Type="http://schemas.openxmlformats.org/officeDocument/2006/relationships/oleObject" Target="embeddings/oleObject55.bin"/><Relationship Id="rId143" Type="http://schemas.openxmlformats.org/officeDocument/2006/relationships/image" Target="media/image74.jpeg"/><Relationship Id="rId148" Type="http://schemas.openxmlformats.org/officeDocument/2006/relationships/hyperlink" Target="https://doi.org/10.26855/jamc.2022.03.011?utm_source=chatgpt.com" TargetMode="External"/><Relationship Id="rId16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wmf"/><Relationship Id="rId26" Type="http://schemas.openxmlformats.org/officeDocument/2006/relationships/image" Target="media/image14.wmf"/><Relationship Id="rId47" Type="http://schemas.openxmlformats.org/officeDocument/2006/relationships/oleObject" Target="embeddings/oleObject17.bin"/><Relationship Id="rId68" Type="http://schemas.openxmlformats.org/officeDocument/2006/relationships/image" Target="media/image35.wmf"/><Relationship Id="rId89" Type="http://schemas.openxmlformats.org/officeDocument/2006/relationships/oleObject" Target="embeddings/oleObject38.bin"/><Relationship Id="rId112" Type="http://schemas.openxmlformats.org/officeDocument/2006/relationships/image" Target="media/image57.wmf"/><Relationship Id="rId133" Type="http://schemas.openxmlformats.org/officeDocument/2006/relationships/oleObject" Target="embeddings/oleObject61.bin"/><Relationship Id="rId154" Type="http://schemas.openxmlformats.org/officeDocument/2006/relationships/hyperlink" Target="https://doi.org/10.37745/ijmss.13/vol10n3pp2838?utm_source=chatgpt.com" TargetMode="External"/><Relationship Id="rId16" Type="http://schemas.openxmlformats.org/officeDocument/2006/relationships/oleObject" Target="embeddings/oleObject5.bin"/><Relationship Id="rId37" Type="http://schemas.openxmlformats.org/officeDocument/2006/relationships/oleObject" Target="embeddings/oleObject12.bin"/><Relationship Id="rId58" Type="http://schemas.openxmlformats.org/officeDocument/2006/relationships/image" Target="media/image30.wmf"/><Relationship Id="rId79" Type="http://schemas.openxmlformats.org/officeDocument/2006/relationships/oleObject" Target="embeddings/oleObject33.bin"/><Relationship Id="rId102" Type="http://schemas.openxmlformats.org/officeDocument/2006/relationships/image" Target="media/image52.wmf"/><Relationship Id="rId123" Type="http://schemas.openxmlformats.org/officeDocument/2006/relationships/image" Target="media/image62.wmf"/><Relationship Id="rId144" Type="http://schemas.openxmlformats.org/officeDocument/2006/relationships/image" Target="media/image75.wmf"/><Relationship Id="rId90" Type="http://schemas.openxmlformats.org/officeDocument/2006/relationships/image" Target="media/image46.wmf"/><Relationship Id="rId165" Type="http://schemas.openxmlformats.org/officeDocument/2006/relationships/fontTable" Target="fontTable.xml"/><Relationship Id="rId27" Type="http://schemas.openxmlformats.org/officeDocument/2006/relationships/oleObject" Target="embeddings/oleObject7.bin"/><Relationship Id="rId48" Type="http://schemas.openxmlformats.org/officeDocument/2006/relationships/image" Target="media/image25.wmf"/><Relationship Id="rId69" Type="http://schemas.openxmlformats.org/officeDocument/2006/relationships/oleObject" Target="embeddings/oleObject28.bin"/><Relationship Id="rId113" Type="http://schemas.openxmlformats.org/officeDocument/2006/relationships/oleObject" Target="embeddings/oleObject50.bin"/><Relationship Id="rId134" Type="http://schemas.openxmlformats.org/officeDocument/2006/relationships/image" Target="media/image67.wmf"/><Relationship Id="rId80" Type="http://schemas.openxmlformats.org/officeDocument/2006/relationships/image" Target="media/image41.wmf"/><Relationship Id="rId155" Type="http://schemas.openxmlformats.org/officeDocument/2006/relationships/hyperlink" Target="https://doi.org/10.7763/IJTEF.2010.V1.53?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13</Pages>
  <Words>3120</Words>
  <Characters>17789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Editor-90</cp:lastModifiedBy>
  <cp:revision>22</cp:revision>
  <dcterms:created xsi:type="dcterms:W3CDTF">2026-09-04T17:28:00Z</dcterms:created>
  <dcterms:modified xsi:type="dcterms:W3CDTF">2026-09-21T09:31:00Z</dcterms:modified>
</cp:coreProperties>
</file>