
<file path=[Content_Types].xml><?xml version="1.0" encoding="utf-8"?>
<Types xmlns="http://schemas.openxmlformats.org/package/2006/content-types">
  <Default Extension="jpg" ContentType="application/octet-stream"/>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10DEB" w14:textId="77777777" w:rsidR="00FE3703" w:rsidRDefault="00326151" w:rsidP="009C16F4">
      <w:pPr>
        <w:spacing w:after="220" w:line="480" w:lineRule="auto"/>
        <w:jc w:val="both"/>
        <w:rPr>
          <w:rFonts w:ascii="Times New Roman" w:hAnsi="Times New Roman" w:cs="Times New Roman"/>
          <w:b/>
          <w:sz w:val="24"/>
          <w:szCs w:val="24"/>
        </w:rPr>
      </w:pPr>
      <w:bookmarkStart w:id="0" w:name="a_mathematical_model_of_vaccinati_29bbf2"/>
      <w:r w:rsidRPr="005405D4">
        <w:rPr>
          <w:rFonts w:ascii="Times New Roman" w:hAnsi="Times New Roman" w:cs="Times New Roman"/>
          <w:b/>
          <w:sz w:val="24"/>
          <w:szCs w:val="24"/>
        </w:rPr>
        <w:t>A Mathematica</w:t>
      </w:r>
      <w:r w:rsidR="00721728" w:rsidRPr="005405D4">
        <w:rPr>
          <w:rFonts w:ascii="Times New Roman" w:hAnsi="Times New Roman" w:cs="Times New Roman"/>
          <w:b/>
          <w:sz w:val="24"/>
          <w:szCs w:val="24"/>
        </w:rPr>
        <w:t>l</w:t>
      </w:r>
      <w:r w:rsidRPr="005405D4">
        <w:rPr>
          <w:rFonts w:ascii="Times New Roman" w:hAnsi="Times New Roman" w:cs="Times New Roman"/>
          <w:b/>
          <w:sz w:val="24"/>
          <w:szCs w:val="24"/>
        </w:rPr>
        <w:t xml:space="preserve"> Model of Vaccination Control for Diphtheria in Nigeria</w:t>
      </w:r>
      <w:bookmarkEnd w:id="0"/>
    </w:p>
    <w:p w14:paraId="59D32AEA" w14:textId="77777777" w:rsidR="00FE3703" w:rsidRPr="005405D4" w:rsidRDefault="00326151" w:rsidP="009C16F4">
      <w:pPr>
        <w:spacing w:before="240" w:after="271" w:line="480" w:lineRule="auto"/>
        <w:jc w:val="both"/>
        <w:rPr>
          <w:rFonts w:ascii="Times New Roman" w:hAnsi="Times New Roman" w:cs="Times New Roman"/>
          <w:sz w:val="24"/>
          <w:szCs w:val="24"/>
        </w:rPr>
      </w:pPr>
      <w:r w:rsidRPr="005405D4">
        <w:rPr>
          <w:rFonts w:ascii="Times New Roman" w:hAnsi="Times New Roman" w:cs="Times New Roman"/>
          <w:b/>
          <w:sz w:val="24"/>
          <w:szCs w:val="24"/>
        </w:rPr>
        <w:t>Abstract</w:t>
      </w:r>
    </w:p>
    <w:p w14:paraId="097FF4AD" w14:textId="77777777" w:rsidR="009C16F4" w:rsidRDefault="009C16F4" w:rsidP="009C16F4">
      <w:pPr>
        <w:spacing w:after="220" w:line="480" w:lineRule="auto"/>
        <w:jc w:val="both"/>
        <w:rPr>
          <w:rFonts w:ascii="Times New Roman" w:hAnsi="Times New Roman" w:cs="Times New Roman"/>
          <w:sz w:val="24"/>
          <w:szCs w:val="24"/>
        </w:rPr>
      </w:pPr>
      <w:r w:rsidRPr="009C16F4">
        <w:rPr>
          <w:highlight w:val="yellow"/>
        </w:rPr>
        <w:t xml:space="preserve">Diphtheria remains a public health concern in Nigeria, where interruptions in routine </w:t>
      </w:r>
      <w:proofErr w:type="spellStart"/>
      <w:r w:rsidRPr="009C16F4">
        <w:rPr>
          <w:highlight w:val="yellow"/>
        </w:rPr>
        <w:t>immunisation</w:t>
      </w:r>
      <w:proofErr w:type="spellEnd"/>
      <w:r w:rsidRPr="009C16F4">
        <w:rPr>
          <w:highlight w:val="yellow"/>
        </w:rPr>
        <w:t>, uneven access to health services, waning immunity, and surveillance limitations may leave sizeable groups susceptible to infection. This study develops a deterministic susceptible</w:t>
      </w:r>
      <w:r w:rsidRPr="009C16F4">
        <w:rPr>
          <w:highlight w:val="yellow"/>
        </w:rPr>
        <w:t>–</w:t>
      </w:r>
      <w:r w:rsidRPr="009C16F4">
        <w:rPr>
          <w:highlight w:val="yellow"/>
        </w:rPr>
        <w:t>infectious</w:t>
      </w:r>
      <w:r w:rsidRPr="009C16F4">
        <w:rPr>
          <w:highlight w:val="yellow"/>
        </w:rPr>
        <w:t>–</w:t>
      </w:r>
      <w:r w:rsidRPr="009C16F4">
        <w:rPr>
          <w:highlight w:val="yellow"/>
        </w:rPr>
        <w:t>recovered</w:t>
      </w:r>
      <w:r w:rsidRPr="009C16F4">
        <w:rPr>
          <w:highlight w:val="yellow"/>
        </w:rPr>
        <w:t>–</w:t>
      </w:r>
      <w:r w:rsidRPr="009C16F4">
        <w:rPr>
          <w:highlight w:val="yellow"/>
        </w:rPr>
        <w:t xml:space="preserve">vaccinated (SIRV) model to examine the influence of vaccination on diphtheria transmission. The model incorporates demographic turnover, disease-induced mortality, recovery, vaccination, and waning infection-acquired and vaccine-induced immunity. The basic reproduction number, </w:t>
      </w:r>
      <m:oMath>
        <m:sSub>
          <m:sSubPr>
            <m:ctrlPr>
              <w:rPr>
                <w:rFonts w:ascii="Cambria Math" w:hAnsi="Cambria Math"/>
                <w:highlight w:val="yellow"/>
              </w:rPr>
            </m:ctrlPr>
          </m:sSubPr>
          <m:e>
            <m:r>
              <w:rPr>
                <w:rFonts w:ascii="Cambria Math" w:hAnsi="Cambria Math"/>
                <w:highlight w:val="yellow"/>
              </w:rPr>
              <m:t>R</m:t>
            </m:r>
          </m:e>
          <m:sub>
            <m:r>
              <w:rPr>
                <w:rFonts w:ascii="Cambria Math" w:hAnsi="Cambria Math"/>
                <w:highlight w:val="yellow"/>
              </w:rPr>
              <m:t>0</m:t>
            </m:r>
          </m:sub>
        </m:sSub>
      </m:oMath>
      <w:r w:rsidRPr="009C16F4">
        <w:rPr>
          <w:highlight w:val="yellow"/>
        </w:rPr>
        <w:t xml:space="preserve">, is derived using the next-generation method, and the disease-free and endemic equilibria are characterised. Local stability analysis shows that the disease-free equilibrium is locally asymptotically stable when </w:t>
      </w:r>
      <m:oMath>
        <m:sSub>
          <m:sSubPr>
            <m:ctrlPr>
              <w:rPr>
                <w:rFonts w:ascii="Cambria Math" w:hAnsi="Cambria Math"/>
                <w:highlight w:val="yellow"/>
              </w:rPr>
            </m:ctrlPr>
          </m:sSubPr>
          <m:e>
            <m:r>
              <w:rPr>
                <w:rFonts w:ascii="Cambria Math" w:hAnsi="Cambria Math"/>
                <w:highlight w:val="yellow"/>
              </w:rPr>
              <m:t>R</m:t>
            </m:r>
          </m:e>
          <m:sub>
            <m:r>
              <w:rPr>
                <w:rFonts w:ascii="Cambria Math" w:hAnsi="Cambria Math"/>
                <w:highlight w:val="yellow"/>
              </w:rPr>
              <m:t>0</m:t>
            </m:r>
          </m:sub>
        </m:sSub>
        <m:r>
          <w:rPr>
            <w:rFonts w:ascii="Cambria Math" w:hAnsi="Cambria Math"/>
            <w:highlight w:val="yellow"/>
          </w:rPr>
          <m:t>&lt;1</m:t>
        </m:r>
      </m:oMath>
      <w:r w:rsidRPr="009C16F4">
        <w:rPr>
          <w:highlight w:val="yellow"/>
        </w:rPr>
        <w:t xml:space="preserve">and unstable when </w:t>
      </w:r>
      <m:oMath>
        <m:sSub>
          <m:sSubPr>
            <m:ctrlPr>
              <w:rPr>
                <w:rFonts w:ascii="Cambria Math" w:hAnsi="Cambria Math"/>
                <w:highlight w:val="yellow"/>
              </w:rPr>
            </m:ctrlPr>
          </m:sSubPr>
          <m:e>
            <m:r>
              <w:rPr>
                <w:rFonts w:ascii="Cambria Math" w:hAnsi="Cambria Math"/>
                <w:highlight w:val="yellow"/>
              </w:rPr>
              <m:t>R</m:t>
            </m:r>
          </m:e>
          <m:sub>
            <m:r>
              <w:rPr>
                <w:rFonts w:ascii="Cambria Math" w:hAnsi="Cambria Math"/>
                <w:highlight w:val="yellow"/>
              </w:rPr>
              <m:t>0</m:t>
            </m:r>
          </m:sub>
        </m:sSub>
        <m:r>
          <w:rPr>
            <w:rFonts w:ascii="Cambria Math" w:hAnsi="Cambria Math"/>
            <w:highlight w:val="yellow"/>
          </w:rPr>
          <m:t>&gt;1</m:t>
        </m:r>
      </m:oMath>
      <w:r w:rsidRPr="009C16F4">
        <w:rPr>
          <w:highlight w:val="yellow"/>
        </w:rPr>
        <w:t xml:space="preserve">, while a biologically meaningful endemic equilibrium exists above the invasion threshold. Sensitivity analysis indicates that transmission increases </w:t>
      </w:r>
      <m:oMath>
        <m:sSub>
          <m:sSubPr>
            <m:ctrlPr>
              <w:rPr>
                <w:rFonts w:ascii="Cambria Math" w:hAnsi="Cambria Math"/>
                <w:highlight w:val="yellow"/>
              </w:rPr>
            </m:ctrlPr>
          </m:sSubPr>
          <m:e>
            <m:r>
              <w:rPr>
                <w:rFonts w:ascii="Cambria Math" w:hAnsi="Cambria Math"/>
                <w:highlight w:val="yellow"/>
              </w:rPr>
              <m:t>R</m:t>
            </m:r>
          </m:e>
          <m:sub>
            <m:r>
              <w:rPr>
                <w:rFonts w:ascii="Cambria Math" w:hAnsi="Cambria Math"/>
                <w:highlight w:val="yellow"/>
              </w:rPr>
              <m:t>0</m:t>
            </m:r>
          </m:sub>
        </m:sSub>
      </m:oMath>
      <w:r w:rsidRPr="009C16F4">
        <w:rPr>
          <w:highlight w:val="yellow"/>
        </w:rPr>
        <w:t xml:space="preserve">, whereas vaccination and recovery reduce it; faster loss of vaccine-induced immunity increases transmission potential. Numerical illustrations show a monotonic decline in </w:t>
      </w:r>
      <m:oMath>
        <m:sSub>
          <m:sSubPr>
            <m:ctrlPr>
              <w:rPr>
                <w:rFonts w:ascii="Cambria Math" w:hAnsi="Cambria Math"/>
                <w:highlight w:val="yellow"/>
              </w:rPr>
            </m:ctrlPr>
          </m:sSubPr>
          <m:e>
            <m:r>
              <w:rPr>
                <w:rFonts w:ascii="Cambria Math" w:hAnsi="Cambria Math"/>
                <w:highlight w:val="yellow"/>
              </w:rPr>
              <m:t>R</m:t>
            </m:r>
          </m:e>
          <m:sub>
            <m:r>
              <w:rPr>
                <w:rFonts w:ascii="Cambria Math" w:hAnsi="Cambria Math"/>
                <w:highlight w:val="yellow"/>
              </w:rPr>
              <m:t>0</m:t>
            </m:r>
          </m:sub>
        </m:sSub>
      </m:oMath>
      <w:r w:rsidRPr="009C16F4">
        <w:rPr>
          <w:highlight w:val="yellow"/>
        </w:rPr>
        <w:t>as the vaccination rate increases and demonstrate how waning protection can replenish the susceptible population. The model therefore highlights the importance of sustained routine immunisation, appropriate booster delivery, surveillance, and rapid outbreak response. Because the numerical parameter values are illustrative rather than fitted to a unified Nigerian dataset, the framework requires calibration and validation with current Nigerian surveillance, demographic, and immunisation data before use for forecasting or resource allocation.</w:t>
      </w:r>
      <w:r w:rsidRPr="005405D4">
        <w:rPr>
          <w:rFonts w:ascii="Times New Roman" w:hAnsi="Times New Roman" w:cs="Times New Roman"/>
          <w:sz w:val="24"/>
          <w:szCs w:val="24"/>
        </w:rPr>
        <w:t xml:space="preserve"> </w:t>
      </w:r>
    </w:p>
    <w:p w14:paraId="5F0D653D" w14:textId="37B3D85B" w:rsidR="00FE3703" w:rsidRPr="005405D4" w:rsidRDefault="00326151" w:rsidP="009C16F4">
      <w:pPr>
        <w:spacing w:after="220" w:line="480" w:lineRule="auto"/>
        <w:jc w:val="both"/>
        <w:rPr>
          <w:rFonts w:ascii="Times New Roman" w:hAnsi="Times New Roman" w:cs="Times New Roman"/>
          <w:sz w:val="24"/>
          <w:szCs w:val="24"/>
        </w:rPr>
      </w:pPr>
      <w:r w:rsidRPr="009C16F4">
        <w:rPr>
          <w:rFonts w:ascii="Times New Roman" w:hAnsi="Times New Roman" w:cs="Times New Roman"/>
          <w:b/>
          <w:bCs/>
          <w:sz w:val="24"/>
          <w:szCs w:val="24"/>
        </w:rPr>
        <w:t>Keywords</w:t>
      </w:r>
      <w:r w:rsidRPr="005405D4">
        <w:rPr>
          <w:rFonts w:ascii="Times New Roman" w:hAnsi="Times New Roman" w:cs="Times New Roman"/>
          <w:sz w:val="24"/>
          <w:szCs w:val="24"/>
        </w:rPr>
        <w:t>: diphtheria; vaccination; SIRV model; basic reproduction number; stability; waning immunity; Nigeria.</w:t>
      </w:r>
    </w:p>
    <w:p w14:paraId="1FF1BDFD" w14:textId="77777777" w:rsidR="00FE3703" w:rsidRPr="005405D4" w:rsidRDefault="00326151" w:rsidP="009C16F4">
      <w:pPr>
        <w:spacing w:before="330" w:line="480" w:lineRule="auto"/>
        <w:jc w:val="both"/>
        <w:rPr>
          <w:rFonts w:ascii="Times New Roman" w:hAnsi="Times New Roman" w:cs="Times New Roman"/>
          <w:sz w:val="24"/>
          <w:szCs w:val="24"/>
        </w:rPr>
      </w:pPr>
      <w:bookmarkStart w:id="1" w:name="bm_1_introduction"/>
      <w:r w:rsidRPr="005405D4">
        <w:rPr>
          <w:rFonts w:ascii="Times New Roman" w:hAnsi="Times New Roman" w:cs="Times New Roman"/>
          <w:b/>
          <w:sz w:val="24"/>
          <w:szCs w:val="24"/>
        </w:rPr>
        <w:t>1 Introduction</w:t>
      </w:r>
      <w:bookmarkEnd w:id="1"/>
    </w:p>
    <w:p w14:paraId="18124ACF" w14:textId="77777777" w:rsidR="00FE3703" w:rsidRPr="005405D4" w:rsidRDefault="00326151" w:rsidP="009C16F4">
      <w:pPr>
        <w:spacing w:after="22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Diphtheria is a vaccine-preventable bacterial infection caused principally by toxigenic strains of </w:t>
      </w:r>
      <w:r>
        <w:rPr>
          <w:rFonts w:ascii="Times New Roman" w:hAnsi="Times New Roman" w:cs="Times New Roman"/>
          <w:i/>
          <w:iCs/>
          <w:sz w:val="24"/>
          <w:szCs w:val="24"/>
          <w:highlight w:val="yellow"/>
        </w:rPr>
        <w:t>Corynebacterium diphtheriae</w:t>
      </w:r>
      <w:r>
        <w:rPr>
          <w:rFonts w:ascii="Times New Roman" w:hAnsi="Times New Roman" w:cs="Times New Roman"/>
          <w:sz w:val="24"/>
          <w:szCs w:val="24"/>
        </w:rPr>
        <w:t xml:space="preserve">. Respiratory transmission occurs through droplets and close contact. Although early symptoms may resemble those of other upper-respiratory infections, toxin production can lead to a characteristic pharyngeal </w:t>
      </w:r>
      <w:proofErr w:type="spellStart"/>
      <w:r w:rsidRPr="005405D4">
        <w:rPr>
          <w:rFonts w:ascii="Times New Roman" w:hAnsi="Times New Roman" w:cs="Times New Roman"/>
          <w:sz w:val="24"/>
          <w:szCs w:val="24"/>
        </w:rPr>
        <w:t>pseudomembrane</w:t>
      </w:r>
      <w:proofErr w:type="spellEnd"/>
      <w:r>
        <w:rPr>
          <w:rFonts w:ascii="Times New Roman" w:hAnsi="Times New Roman" w:cs="Times New Roman"/>
          <w:sz w:val="24"/>
          <w:szCs w:val="24"/>
        </w:rPr>
        <w:t xml:space="preserve">, airway obstruction, myocarditis, neurological complications, and death. Effective toxoid vaccines have greatly reduced the global burden of the disease, but transmission can return when immunity gaps accumulate </w:t>
      </w:r>
      <w:r>
        <w:rPr>
          <w:rFonts w:ascii="Times New Roman" w:hAnsi="Times New Roman" w:cs="Times New Roman"/>
          <w:sz w:val="24"/>
          <w:szCs w:val="24"/>
          <w:highlight w:val="yellow"/>
        </w:rPr>
        <w:t>(Anderson &amp; May, 1991; World Health Organization, 2026)</w:t>
      </w:r>
      <w:r>
        <w:rPr>
          <w:rFonts w:ascii="Times New Roman" w:hAnsi="Times New Roman" w:cs="Times New Roman"/>
          <w:sz w:val="24"/>
          <w:szCs w:val="24"/>
        </w:rPr>
        <w:t>.</w:t>
      </w:r>
    </w:p>
    <w:p w14:paraId="10CCAE02" w14:textId="77777777" w:rsidR="00FE3703" w:rsidRPr="009C16F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Nigeria has experienced recurrent outbreaks in settings where routine </w:t>
      </w:r>
      <w:proofErr w:type="spellStart"/>
      <w:r w:rsidRPr="005405D4">
        <w:rPr>
          <w:rFonts w:ascii="Times New Roman" w:hAnsi="Times New Roman" w:cs="Times New Roman"/>
          <w:sz w:val="24"/>
          <w:szCs w:val="24"/>
        </w:rPr>
        <w:t>immunisation</w:t>
      </w:r>
      <w:proofErr w:type="spellEnd"/>
      <w:r>
        <w:rPr>
          <w:rFonts w:ascii="Times New Roman" w:hAnsi="Times New Roman" w:cs="Times New Roman"/>
          <w:sz w:val="24"/>
          <w:szCs w:val="24"/>
        </w:rPr>
        <w:t xml:space="preserve"> is incomplete and access to timely diagnosis and treatment is uneven </w:t>
      </w:r>
      <w:r>
        <w:rPr>
          <w:rFonts w:ascii="Times New Roman" w:hAnsi="Times New Roman" w:cs="Times New Roman"/>
          <w:sz w:val="24"/>
          <w:szCs w:val="24"/>
          <w:highlight w:val="yellow"/>
        </w:rPr>
        <w:t>(Nigeria Centre for Disease Control and Prevention, 2023; UNICEF, 2023)</w:t>
      </w:r>
      <w:r>
        <w:rPr>
          <w:rFonts w:ascii="Times New Roman" w:hAnsi="Times New Roman" w:cs="Times New Roman"/>
          <w:sz w:val="24"/>
          <w:szCs w:val="24"/>
        </w:rPr>
        <w:t xml:space="preserve">. The reasons are not purely biomedical. Distance from health facilities, insecurity, population displacement, supply-chain interruptions, misinformation, and vaccine hesitancy can all affect vaccine uptake. Consequently, </w:t>
      </w:r>
      <w:r w:rsidRPr="009C16F4">
        <w:rPr>
          <w:rFonts w:ascii="Times New Roman" w:hAnsi="Times New Roman" w:cs="Times New Roman"/>
          <w:sz w:val="24"/>
          <w:szCs w:val="24"/>
        </w:rPr>
        <w:t>national averages may conceal local clusters of susceptible people capable of sustaining transmission.</w:t>
      </w:r>
      <w:r w:rsidRPr="009C16F4">
        <w:rPr>
          <w:rFonts w:ascii="Times New Roman" w:eastAsia="Times New Roman" w:hAnsi="Times New Roman"/>
          <w:sz w:val="24"/>
          <w:highlight w:val="yellow"/>
        </w:rPr>
        <w:t xml:space="preserve"> Recent Nigerian evidence similarly links diphtheria persistence and resurgence to incomplete immunisation and emphasises the importance of vaccination, surveillance, and coordinated outbreak response (Gaiya et al., 2024; Jega et al., 2024; Nwokeji et al., 2023).</w:t>
      </w:r>
    </w:p>
    <w:p w14:paraId="173C4F28" w14:textId="77777777" w:rsidR="00FE3703" w:rsidRPr="009C16F4" w:rsidRDefault="00326151" w:rsidP="009C16F4">
      <w:pPr>
        <w:spacing w:after="220" w:line="480" w:lineRule="auto"/>
        <w:jc w:val="both"/>
        <w:rPr>
          <w:rFonts w:ascii="Times New Roman" w:hAnsi="Times New Roman" w:cs="Times New Roman"/>
          <w:sz w:val="24"/>
          <w:szCs w:val="24"/>
        </w:rPr>
      </w:pPr>
      <w:r w:rsidRPr="009C16F4">
        <w:rPr>
          <w:rFonts w:ascii="Times New Roman" w:hAnsi="Times New Roman" w:cs="Times New Roman"/>
          <w:sz w:val="24"/>
          <w:szCs w:val="24"/>
        </w:rPr>
        <w:t xml:space="preserve">Mathematical models provide a structured way to connect these processes. By dividing the population into epidemiological states and representing movement between them with differential equations, a model can identify threshold conditions for invasion, clarify the influence of uncertain parameters, and compare intervention scenarios </w:t>
      </w:r>
      <w:r w:rsidRPr="009C16F4">
        <w:rPr>
          <w:rFonts w:ascii="Times New Roman" w:hAnsi="Times New Roman" w:cs="Times New Roman"/>
          <w:sz w:val="24"/>
          <w:szCs w:val="24"/>
          <w:highlight w:val="yellow"/>
        </w:rPr>
        <w:t>(Diekmann et al., 1990; Hethcote, 2000)</w:t>
      </w:r>
      <w:r w:rsidRPr="009C16F4">
        <w:rPr>
          <w:rFonts w:ascii="Times New Roman" w:hAnsi="Times New Roman" w:cs="Times New Roman"/>
          <w:sz w:val="24"/>
          <w:szCs w:val="24"/>
        </w:rPr>
        <w:t>. It cannot replace surveillance or clinical evidence, but it can make assumptions explicit and help decision-makers understand their consequences.</w:t>
      </w:r>
      <w:r w:rsidRPr="009C16F4">
        <w:rPr>
          <w:rFonts w:ascii="Times New Roman" w:eastAsia="Times New Roman" w:hAnsi="Times New Roman"/>
          <w:sz w:val="24"/>
          <w:highlight w:val="yellow"/>
        </w:rPr>
        <w:t xml:space="preserve"> Recent diphtheria modelling studies have also used vaccination-focused compartmental and optimal-control frameworks to examine transmission thresholds and booster vaccination strategies (Fauzi et al., 2024; Madubueze et al., 2023).</w:t>
      </w:r>
    </w:p>
    <w:p w14:paraId="7FB56F7E" w14:textId="77777777" w:rsidR="0063214A" w:rsidRPr="009C16F4" w:rsidRDefault="00000000" w:rsidP="009C16F4">
      <w:pPr>
        <w:spacing w:after="220" w:line="480" w:lineRule="auto"/>
        <w:jc w:val="both"/>
        <w:rPr>
          <w:rFonts w:ascii="Times New Roman" w:hAnsi="Times New Roman" w:cs="Times New Roman"/>
          <w:bCs/>
          <w:sz w:val="24"/>
          <w:szCs w:val="24"/>
        </w:rPr>
      </w:pPr>
      <w:r w:rsidRPr="009C16F4">
        <w:rPr>
          <w:rFonts w:ascii="Times New Roman" w:eastAsia="Times New Roman" w:hAnsi="Times New Roman"/>
          <w:bCs/>
          <w:sz w:val="24"/>
          <w:highlight w:val="yellow"/>
        </w:rPr>
        <w:lastRenderedPageBreak/>
        <w:t>Within the scope of this study, there is a need for a compact baseline formulation that simultaneously represents transmission, vaccination, recovery, mortality, and loss of infection-acquired and vaccine-induced immunity while remaining sufficiently tractable for equilibrium, threshold, stability, and sensitivity analysis. The present study addresses this modelling need in the Nigerian context.</w:t>
      </w:r>
    </w:p>
    <w:p w14:paraId="6E833D4A"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This study formulates an SIRV model for diphtheria vaccination control in Nigeria. Specifically, it aims to:</w:t>
      </w:r>
    </w:p>
    <w:p w14:paraId="3BD33E4A" w14:textId="77777777" w:rsidR="00FE3703" w:rsidRPr="005405D4" w:rsidRDefault="00326151" w:rsidP="009C16F4">
      <w:pPr>
        <w:numPr>
          <w:ilvl w:val="0"/>
          <w:numId w:val="2"/>
        </w:num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represent transmission, vaccination, recovery, mortality, and waning immunity in a single framework;</w:t>
      </w:r>
    </w:p>
    <w:p w14:paraId="320960D8" w14:textId="77777777" w:rsidR="00FE3703" w:rsidRPr="005405D4" w:rsidRDefault="00326151" w:rsidP="009C16F4">
      <w:pPr>
        <w:numPr>
          <w:ilvl w:val="0"/>
          <w:numId w:val="2"/>
        </w:num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derive the disease-free and endemic equilibria and the basic reproduction number,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w:t>
      </w:r>
    </w:p>
    <w:p w14:paraId="2CD50EA5" w14:textId="77777777" w:rsidR="00FE3703" w:rsidRPr="005405D4" w:rsidRDefault="00326151" w:rsidP="009C16F4">
      <w:pPr>
        <w:numPr>
          <w:ilvl w:val="0"/>
          <w:numId w:val="2"/>
        </w:num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establish the local stability condition for the disease-free equilibrium;</w:t>
      </w:r>
    </w:p>
    <w:p w14:paraId="049F910F" w14:textId="77777777" w:rsidR="00FE3703" w:rsidRPr="005405D4" w:rsidRDefault="00326151" w:rsidP="009C16F4">
      <w:pPr>
        <w:numPr>
          <w:ilvl w:val="0"/>
          <w:numId w:val="2"/>
        </w:num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quantify the sensitivity of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to key parameters; and</w:t>
      </w:r>
    </w:p>
    <w:p w14:paraId="788C9A01" w14:textId="77777777" w:rsidR="00FE3703" w:rsidRPr="005405D4" w:rsidRDefault="00326151" w:rsidP="009C16F4">
      <w:pPr>
        <w:numPr>
          <w:ilvl w:val="0"/>
          <w:numId w:val="2"/>
        </w:num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illustrate how alternative vaccination rates affect epidemic trajectories and the transmission threshold.</w:t>
      </w:r>
    </w:p>
    <w:p w14:paraId="44FD02FC" w14:textId="77777777" w:rsidR="00FE3703" w:rsidRPr="005405D4" w:rsidRDefault="00326151" w:rsidP="009C16F4">
      <w:pPr>
        <w:spacing w:before="330" w:line="480" w:lineRule="auto"/>
        <w:jc w:val="both"/>
        <w:rPr>
          <w:rFonts w:ascii="Times New Roman" w:hAnsi="Times New Roman" w:cs="Times New Roman"/>
          <w:sz w:val="24"/>
          <w:szCs w:val="24"/>
        </w:rPr>
      </w:pPr>
      <w:bookmarkStart w:id="2" w:name="bm_2_related_literature_and_niger_3af569"/>
      <w:r w:rsidRPr="005405D4">
        <w:rPr>
          <w:rFonts w:ascii="Times New Roman" w:hAnsi="Times New Roman" w:cs="Times New Roman"/>
          <w:b/>
          <w:sz w:val="24"/>
          <w:szCs w:val="24"/>
        </w:rPr>
        <w:t>2 Related literature and Nigerian context</w:t>
      </w:r>
      <w:bookmarkEnd w:id="2"/>
    </w:p>
    <w:p w14:paraId="396869AB" w14:textId="77777777" w:rsidR="00FE3703" w:rsidRPr="005405D4" w:rsidRDefault="00326151" w:rsidP="009C16F4">
      <w:pPr>
        <w:spacing w:after="220" w:line="480" w:lineRule="auto"/>
        <w:jc w:val="both"/>
        <w:rPr>
          <w:rFonts w:ascii="Times New Roman" w:hAnsi="Times New Roman" w:cs="Times New Roman"/>
          <w:sz w:val="24"/>
          <w:szCs w:val="24"/>
        </w:rPr>
      </w:pPr>
      <w:r>
        <w:rPr>
          <w:rFonts w:ascii="Times New Roman" w:hAnsi="Times New Roman" w:cs="Times New Roman"/>
          <w:sz w:val="24"/>
          <w:szCs w:val="24"/>
        </w:rPr>
        <w:t xml:space="preserve">The classical SIR framework separates a host population into susceptible, infectious, and recovered classes. Vaccination models commonly add a protected class, while more detailed formulations may also include age, latency, asymptomatic carriage, imperfect vaccine protection, seasonality, or spatial movement </w:t>
      </w:r>
      <w:r>
        <w:rPr>
          <w:rFonts w:ascii="Times New Roman" w:hAnsi="Times New Roman" w:cs="Times New Roman"/>
          <w:sz w:val="24"/>
          <w:szCs w:val="24"/>
          <w:highlight w:val="yellow"/>
        </w:rPr>
        <w:t>(Hethcote, 2000; Kanchanarat et al., 2022)</w:t>
      </w:r>
      <w:r>
        <w:rPr>
          <w:rFonts w:ascii="Times New Roman" w:hAnsi="Times New Roman" w:cs="Times New Roman"/>
          <w:sz w:val="24"/>
          <w:szCs w:val="24"/>
        </w:rPr>
        <w:t>. The appropriate level of detail depends on the research question and the data available. For the present threshold analysis, an SIRV system offers a useful balance between interpretability and epidemiological relevance.</w:t>
      </w:r>
    </w:p>
    <w:p w14:paraId="75AAA314"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lastRenderedPageBreak/>
        <w:t>Vaccination affects transmission by reducing the pool of susceptible hosts. Its population-level benefit therefore depends not only on the number of doses delivered, but also on the timing and distribution of those doses and the duration of protection. When vaccine-induced or infection-acquired immunity wanes, previously protected people may again become susceptible. Booster vaccination can counter this replenishment, especially when routine coverage has been inconsistent.</w:t>
      </w:r>
    </w:p>
    <w:p w14:paraId="2E3F2DED"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In Nigeria, </w:t>
      </w:r>
      <w:proofErr w:type="spellStart"/>
      <w:r w:rsidRPr="005405D4">
        <w:rPr>
          <w:rFonts w:ascii="Times New Roman" w:hAnsi="Times New Roman" w:cs="Times New Roman"/>
          <w:sz w:val="24"/>
          <w:szCs w:val="24"/>
        </w:rPr>
        <w:t>immunisation</w:t>
      </w:r>
      <w:proofErr w:type="spellEnd"/>
      <w:r>
        <w:rPr>
          <w:rFonts w:ascii="Times New Roman" w:hAnsi="Times New Roman" w:cs="Times New Roman"/>
          <w:sz w:val="24"/>
          <w:szCs w:val="24"/>
        </w:rPr>
        <w:t xml:space="preserve"> performance differs across regions and socioeconomic groups </w:t>
      </w:r>
      <w:r>
        <w:rPr>
          <w:rFonts w:ascii="Times New Roman" w:hAnsi="Times New Roman" w:cs="Times New Roman"/>
          <w:sz w:val="24"/>
          <w:szCs w:val="24"/>
          <w:highlight w:val="yellow"/>
        </w:rPr>
        <w:t>(National Bureau of Statistics &amp; UNICEF, 2022; UNICEF, 2023)</w:t>
      </w:r>
      <w:r>
        <w:rPr>
          <w:rFonts w:ascii="Times New Roman" w:hAnsi="Times New Roman" w:cs="Times New Roman"/>
          <w:sz w:val="24"/>
          <w:szCs w:val="24"/>
        </w:rPr>
        <w:t xml:space="preserve">. Rural access, conflict, cold-chain reliability, workforce constraints, and confidence in vaccination may influence </w:t>
      </w:r>
      <w:r w:rsidRPr="005405D4">
        <w:rPr>
          <w:rFonts w:ascii="Times New Roman" w:hAnsi="Times New Roman" w:cs="Times New Roman"/>
          <w:sz w:val="24"/>
          <w:szCs w:val="24"/>
        </w:rPr>
        <w:t>both primary-series and booster coverage. A national control strategy must therefore combine routine delivery with surveillance-led responses in locations where susceptibility is concentrated. The present model does not resolve this heterogeneity; rather, it supplies a baseline against which age-structured, spatial, and data-driven extensions can be compared.</w:t>
      </w:r>
    </w:p>
    <w:p w14:paraId="48D1BA15" w14:textId="77777777" w:rsidR="00FE3703" w:rsidRPr="005405D4" w:rsidRDefault="00326151" w:rsidP="009C16F4">
      <w:pPr>
        <w:spacing w:before="240" w:line="480" w:lineRule="auto"/>
        <w:jc w:val="both"/>
        <w:rPr>
          <w:rFonts w:ascii="Times New Roman" w:hAnsi="Times New Roman" w:cs="Times New Roman"/>
          <w:sz w:val="24"/>
          <w:szCs w:val="24"/>
        </w:rPr>
      </w:pPr>
      <w:bookmarkStart w:id="3" w:name="bm_2_1_classical_sir_model"/>
      <w:r w:rsidRPr="005405D4">
        <w:rPr>
          <w:rFonts w:ascii="Times New Roman" w:hAnsi="Times New Roman" w:cs="Times New Roman"/>
          <w:b/>
          <w:sz w:val="24"/>
          <w:szCs w:val="24"/>
        </w:rPr>
        <w:t>2.1 Classical SIR model</w:t>
      </w:r>
      <w:bookmarkEnd w:id="3"/>
    </w:p>
    <w:p w14:paraId="30DCA16E" w14:textId="77777777" w:rsidR="00FE3703" w:rsidRPr="005405D4" w:rsidRDefault="00326151" w:rsidP="009C16F4">
      <w:pPr>
        <w:spacing w:after="220" w:line="480" w:lineRule="auto"/>
        <w:jc w:val="both"/>
        <w:rPr>
          <w:rFonts w:ascii="Times New Roman" w:hAnsi="Times New Roman" w:cs="Times New Roman"/>
          <w:sz w:val="24"/>
          <w:szCs w:val="24"/>
        </w:rPr>
      </w:pPr>
      <w:r>
        <w:rPr>
          <w:rFonts w:ascii="Times New Roman" w:hAnsi="Times New Roman" w:cs="Times New Roman"/>
          <w:sz w:val="24"/>
          <w:szCs w:val="24"/>
        </w:rPr>
        <w:t xml:space="preserve">The simplest relevant formulation is the susceptible-infectious-recovered (SIR) model. With recruitment and natural mortality, it may be written as </w:t>
      </w:r>
      <w:r>
        <w:rPr>
          <w:rFonts w:ascii="Times New Roman" w:hAnsi="Times New Roman" w:cs="Times New Roman"/>
          <w:sz w:val="24"/>
          <w:szCs w:val="24"/>
          <w:highlight w:val="yellow"/>
        </w:rPr>
        <w:t>(Anderson &amp; May, 1991; Hethcote, 2000)</w:t>
      </w:r>
    </w:p>
    <w:p w14:paraId="1B29BEB9"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S</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=Λ-</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μS</m:t>
              </m:r>
              <m:r>
                <m:rPr>
                  <m:sty m:val="p"/>
                </m:rPr>
                <w:rPr>
                  <w:rFonts w:ascii="Cambria Math" w:hAnsi="Cambria Math" w:cs="Times New Roman"/>
                  <w:sz w:val="24"/>
                  <w:szCs w:val="24"/>
                </w:rPr>
                <m:t>,</m:t>
              </m:r>
              <m:r>
                <w:rPr>
                  <w:rFonts w:ascii="Cambria Math" w:hAnsi="Cambria Math" w:cs="Times New Roman"/>
                  <w:sz w:val="24"/>
                  <w:szCs w:val="24"/>
                </w:rPr>
                <m:t>#(1)</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I</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#(2)</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R</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γI</m:t>
              </m:r>
              <m:r>
                <m:rPr>
                  <m:sty m:val="p"/>
                </m:rPr>
                <w:rPr>
                  <w:rFonts w:ascii="Cambria Math" w:hAnsi="Cambria Math" w:cs="Times New Roman"/>
                  <w:sz w:val="24"/>
                  <w:szCs w:val="24"/>
                </w:rPr>
                <m:t>-</m:t>
              </m:r>
              <m:r>
                <w:rPr>
                  <w:rFonts w:ascii="Cambria Math" w:hAnsi="Cambria Math" w:cs="Times New Roman"/>
                  <w:sz w:val="24"/>
                  <w:szCs w:val="24"/>
                </w:rPr>
                <m:t>μR</m:t>
              </m:r>
              <m:r>
                <m:rPr>
                  <m:sty m:val="p"/>
                </m:rPr>
                <w:rPr>
                  <w:rFonts w:ascii="Cambria Math" w:hAnsi="Cambria Math" w:cs="Times New Roman"/>
                  <w:sz w:val="24"/>
                  <w:szCs w:val="24"/>
                </w:rPr>
                <m:t>.</m:t>
              </m:r>
              <m:r>
                <w:rPr>
                  <w:rFonts w:ascii="Cambria Math" w:hAnsi="Cambria Math" w:cs="Times New Roman"/>
                  <w:sz w:val="24"/>
                  <w:szCs w:val="24"/>
                </w:rPr>
                <m:t>#(3)</m:t>
              </m:r>
            </m:e>
          </m:eqArr>
        </m:oMath>
      </m:oMathPara>
    </w:p>
    <w:p w14:paraId="2B8676CE"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Here, susceptible individuals become infected at rate </w:t>
      </w:r>
      <m:oMath>
        <m:r>
          <w:rPr>
            <w:rFonts w:ascii="Cambria Math" w:hAnsi="Cambria Math" w:cs="Times New Roman"/>
            <w:sz w:val="24"/>
            <w:szCs w:val="24"/>
          </w:rPr>
          <m:t>βSI</m:t>
        </m:r>
        <m:r>
          <m:rPr>
            <m:sty m:val="p"/>
          </m:rPr>
          <w:rPr>
            <w:rFonts w:ascii="Cambria Math" w:hAnsi="Cambria Math" w:cs="Times New Roman"/>
            <w:sz w:val="24"/>
            <w:szCs w:val="24"/>
          </w:rPr>
          <m:t>/</m:t>
        </m:r>
        <m:r>
          <w:rPr>
            <w:rFonts w:ascii="Cambria Math" w:hAnsi="Cambria Math" w:cs="Times New Roman"/>
            <w:sz w:val="24"/>
            <w:szCs w:val="24"/>
          </w:rPr>
          <m:t>N</m:t>
        </m:r>
      </m:oMath>
      <w:r w:rsidRPr="005405D4">
        <w:rPr>
          <w:rFonts w:ascii="Times New Roman" w:hAnsi="Times New Roman" w:cs="Times New Roman"/>
          <w:sz w:val="24"/>
          <w:szCs w:val="24"/>
        </w:rPr>
        <w:t xml:space="preserve">, while infectious individuals recover at rate </w:t>
      </w:r>
      <m:oMath>
        <m:r>
          <w:rPr>
            <w:rFonts w:ascii="Cambria Math" w:hAnsi="Cambria Math" w:cs="Times New Roman"/>
            <w:sz w:val="24"/>
            <w:szCs w:val="24"/>
          </w:rPr>
          <m:t>γI</m:t>
        </m:r>
      </m:oMath>
      <w:r w:rsidRPr="005405D4">
        <w:rPr>
          <w:rFonts w:ascii="Times New Roman" w:hAnsi="Times New Roman" w:cs="Times New Roman"/>
          <w:sz w:val="24"/>
          <w:szCs w:val="24"/>
        </w:rPr>
        <w:t>. For this basic system, the re</w:t>
      </w:r>
      <w:r w:rsidR="00721728" w:rsidRPr="005405D4">
        <w:rPr>
          <w:rFonts w:ascii="Times New Roman" w:hAnsi="Times New Roman" w:cs="Times New Roman"/>
          <w:sz w:val="24"/>
          <w:szCs w:val="24"/>
        </w:rPr>
        <w:t>p</w:t>
      </w:r>
      <w:r w:rsidRPr="005405D4">
        <w:rPr>
          <w:rFonts w:ascii="Times New Roman" w:hAnsi="Times New Roman" w:cs="Times New Roman"/>
          <w:sz w:val="24"/>
          <w:szCs w:val="24"/>
        </w:rPr>
        <w:t>roduction number is</w:t>
      </w:r>
    </w:p>
    <w:p w14:paraId="60888E22"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Sup>
                <m:sSubSupPr>
                  <m:ctrlPr>
                    <w:rPr>
                      <w:rFonts w:ascii="Cambria Math" w:hAnsi="Cambria Math" w:cs="Times New Roman"/>
                      <w:sz w:val="24"/>
                      <w:szCs w:val="24"/>
                    </w:rPr>
                  </m:ctrlPr>
                </m:sSubSup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up>
                  <m:r>
                    <m:rPr>
                      <m:sty m:val="p"/>
                    </m:rPr>
                    <w:rPr>
                      <w:rFonts w:ascii="Cambria Math" w:hAnsi="Cambria Math" w:cs="Times New Roman"/>
                      <w:sz w:val="24"/>
                      <w:szCs w:val="24"/>
                    </w:rPr>
                    <m:t>SIR</m:t>
                  </m:r>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m:t>
                  </m:r>
                </m:num>
                <m:den>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μ</m:t>
                  </m:r>
                </m:den>
              </m:f>
              <m:r>
                <m:rPr>
                  <m:sty m:val="p"/>
                </m:rPr>
                <w:rPr>
                  <w:rFonts w:ascii="Cambria Math" w:hAnsi="Cambria Math" w:cs="Times New Roman"/>
                  <w:sz w:val="24"/>
                  <w:szCs w:val="24"/>
                </w:rPr>
                <m:t>.</m:t>
              </m:r>
              <m:r>
                <w:rPr>
                  <w:rFonts w:ascii="Cambria Math" w:hAnsi="Cambria Math" w:cs="Times New Roman"/>
                  <w:sz w:val="24"/>
                  <w:szCs w:val="24"/>
                </w:rPr>
                <m:t>#(4)</m:t>
              </m:r>
            </m:e>
          </m:eqArr>
        </m:oMath>
      </m:oMathPara>
    </w:p>
    <w:p w14:paraId="71C18B43"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Although the SIR model captures the principal transmission process, it assumes that recovered individuals remain immune and does not explicitly represent vaccination.</w:t>
      </w:r>
    </w:p>
    <w:p w14:paraId="29086C2C" w14:textId="77777777" w:rsidR="00FE3703" w:rsidRPr="005405D4" w:rsidRDefault="00326151" w:rsidP="009C16F4">
      <w:pPr>
        <w:spacing w:before="240" w:line="480" w:lineRule="auto"/>
        <w:jc w:val="both"/>
        <w:rPr>
          <w:rFonts w:ascii="Times New Roman" w:hAnsi="Times New Roman" w:cs="Times New Roman"/>
          <w:sz w:val="24"/>
          <w:szCs w:val="24"/>
        </w:rPr>
      </w:pPr>
      <w:bookmarkStart w:id="4" w:name="bm_2_2_seir_model_with_a_latent_period"/>
      <w:r w:rsidRPr="005405D4">
        <w:rPr>
          <w:rFonts w:ascii="Times New Roman" w:hAnsi="Times New Roman" w:cs="Times New Roman"/>
          <w:b/>
          <w:sz w:val="24"/>
          <w:szCs w:val="24"/>
        </w:rPr>
        <w:t>2.2 SEIR model with a latent period</w:t>
      </w:r>
      <w:bookmarkEnd w:id="4"/>
    </w:p>
    <w:p w14:paraId="432A9DF0"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An exposed class can be introduced when the delay between infection and infectiousness is epidemiologically important. A representative susceptible-exposed-infectious-recovered (SEIR) model is</w:t>
      </w:r>
    </w:p>
    <w:p w14:paraId="54F9E4BE"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S</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w:rPr>
                  <w:rFonts w:ascii="Cambria Math" w:hAnsi="Cambria Math" w:cs="Times New Roman"/>
                  <w:sz w:val="24"/>
                  <w:szCs w:val="24"/>
                </w:rPr>
                <m:t xml:space="preserve"> </m:t>
              </m:r>
              <m:r>
                <m:rPr>
                  <m:sty m:val="p"/>
                </m:rPr>
                <w:rPr>
                  <w:rFonts w:ascii="Cambria Math" w:hAnsi="Cambria Math" w:cs="Times New Roman"/>
                  <w:sz w:val="24"/>
                  <w:szCs w:val="24"/>
                </w:rPr>
                <m:t>=Λ-</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μS</m:t>
              </m:r>
              <m:r>
                <m:rPr>
                  <m:sty m:val="p"/>
                </m:rPr>
                <w:rPr>
                  <w:rFonts w:ascii="Cambria Math" w:hAnsi="Cambria Math" w:cs="Times New Roman"/>
                  <w:sz w:val="24"/>
                  <w:szCs w:val="24"/>
                </w:rPr>
                <m:t>,</m:t>
              </m:r>
              <m:r>
                <w:rPr>
                  <w:rFonts w:ascii="Cambria Math" w:hAnsi="Cambria Math" w:cs="Times New Roman"/>
                  <w:sz w:val="24"/>
                  <w:szCs w:val="24"/>
                </w:rPr>
                <m:t>#(5)</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E</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w:rPr>
                  <w:rFonts w:ascii="Cambria Math" w:hAnsi="Cambria Math" w:cs="Times New Roman"/>
                  <w:sz w:val="24"/>
                  <w:szCs w:val="24"/>
                </w:rPr>
                <m:t xml:space="preserve"> </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σ</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E</m:t>
              </m:r>
              <m:r>
                <m:rPr>
                  <m:sty m:val="p"/>
                </m:rPr>
                <w:rPr>
                  <w:rFonts w:ascii="Cambria Math" w:hAnsi="Cambria Math" w:cs="Times New Roman"/>
                  <w:sz w:val="24"/>
                  <w:szCs w:val="24"/>
                </w:rPr>
                <m:t>,</m:t>
              </m:r>
              <m:r>
                <w:rPr>
                  <w:rFonts w:ascii="Cambria Math" w:hAnsi="Cambria Math" w:cs="Times New Roman"/>
                  <w:sz w:val="24"/>
                  <w:szCs w:val="24"/>
                </w:rPr>
                <m:t>#(6)</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I</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w:rPr>
                  <w:rFonts w:ascii="Cambria Math" w:hAnsi="Cambria Math" w:cs="Times New Roman"/>
                  <w:sz w:val="24"/>
                  <w:szCs w:val="24"/>
                </w:rPr>
                <m:t xml:space="preserve"> </m:t>
              </m:r>
              <m:r>
                <m:rPr>
                  <m:sty m:val="p"/>
                </m:rPr>
                <w:rPr>
                  <w:rFonts w:ascii="Cambria Math" w:hAnsi="Cambria Math" w:cs="Times New Roman"/>
                  <w:sz w:val="24"/>
                  <w:szCs w:val="24"/>
                </w:rPr>
                <m:t>=</m:t>
              </m:r>
              <m:r>
                <w:rPr>
                  <w:rFonts w:ascii="Cambria Math" w:hAnsi="Cambria Math" w:cs="Times New Roman"/>
                  <w:sz w:val="24"/>
                  <w:szCs w:val="24"/>
                </w:rPr>
                <m:t>σE</m:t>
              </m:r>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#(7)</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R</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w:rPr>
                  <w:rFonts w:ascii="Cambria Math" w:hAnsi="Cambria Math" w:cs="Times New Roman"/>
                  <w:sz w:val="24"/>
                  <w:szCs w:val="24"/>
                </w:rPr>
                <m:t xml:space="preserve"> </m:t>
              </m:r>
              <m:r>
                <m:rPr>
                  <m:sty m:val="p"/>
                </m:rPr>
                <w:rPr>
                  <w:rFonts w:ascii="Cambria Math" w:hAnsi="Cambria Math" w:cs="Times New Roman"/>
                  <w:sz w:val="24"/>
                  <w:szCs w:val="24"/>
                </w:rPr>
                <m:t>=</m:t>
              </m:r>
              <m:r>
                <w:rPr>
                  <w:rFonts w:ascii="Cambria Math" w:hAnsi="Cambria Math" w:cs="Times New Roman"/>
                  <w:sz w:val="24"/>
                  <w:szCs w:val="24"/>
                </w:rPr>
                <m:t>γI</m:t>
              </m:r>
              <m:r>
                <m:rPr>
                  <m:sty m:val="p"/>
                </m:rPr>
                <w:rPr>
                  <w:rFonts w:ascii="Cambria Math" w:hAnsi="Cambria Math" w:cs="Times New Roman"/>
                  <w:sz w:val="24"/>
                  <w:szCs w:val="24"/>
                </w:rPr>
                <m:t>-</m:t>
              </m:r>
              <m:r>
                <w:rPr>
                  <w:rFonts w:ascii="Cambria Math" w:hAnsi="Cambria Math" w:cs="Times New Roman"/>
                  <w:sz w:val="24"/>
                  <w:szCs w:val="24"/>
                </w:rPr>
                <m:t>μR</m:t>
              </m:r>
              <m:r>
                <m:rPr>
                  <m:sty m:val="p"/>
                </m:rPr>
                <w:rPr>
                  <w:rFonts w:ascii="Cambria Math" w:hAnsi="Cambria Math" w:cs="Times New Roman"/>
                  <w:sz w:val="24"/>
                  <w:szCs w:val="24"/>
                </w:rPr>
                <m:t>,</m:t>
              </m:r>
              <m:r>
                <w:rPr>
                  <w:rFonts w:ascii="Cambria Math" w:hAnsi="Cambria Math" w:cs="Times New Roman"/>
                  <w:sz w:val="24"/>
                  <w:szCs w:val="24"/>
                </w:rPr>
                <m:t>#(8)</m:t>
              </m:r>
            </m:e>
          </m:eqArr>
        </m:oMath>
      </m:oMathPara>
    </w:p>
    <w:p w14:paraId="11C91DB9"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where </w:t>
      </w:r>
      <m:oMath>
        <m:r>
          <w:rPr>
            <w:rFonts w:ascii="Cambria Math" w:hAnsi="Cambria Math" w:cs="Times New Roman"/>
            <w:sz w:val="24"/>
            <w:szCs w:val="24"/>
          </w:rPr>
          <m:t>E</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denotes infected individuals who are not yet infectious and </w:t>
      </w:r>
      <m:oMath>
        <m:r>
          <m:rPr>
            <m:sty m:val="p"/>
          </m:rPr>
          <w:rPr>
            <w:rFonts w:ascii="Cambria Math" w:hAnsi="Cambria Math" w:cs="Times New Roman"/>
            <w:sz w:val="24"/>
            <w:szCs w:val="24"/>
          </w:rPr>
          <m:t>1/</m:t>
        </m:r>
        <m:r>
          <w:rPr>
            <w:rFonts w:ascii="Cambria Math" w:hAnsi="Cambria Math" w:cs="Times New Roman"/>
            <w:sz w:val="24"/>
            <w:szCs w:val="24"/>
          </w:rPr>
          <m:t>σ</m:t>
        </m:r>
      </m:oMath>
      <w:r w:rsidRPr="005405D4">
        <w:rPr>
          <w:rFonts w:ascii="Times New Roman" w:hAnsi="Times New Roman" w:cs="Times New Roman"/>
          <w:sz w:val="24"/>
          <w:szCs w:val="24"/>
        </w:rPr>
        <w:t xml:space="preserve"> is the average latent period. Its basic reproduction number is</w:t>
      </w:r>
    </w:p>
    <w:p w14:paraId="6B860DBB"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Sup>
                <m:sSubSupPr>
                  <m:ctrlPr>
                    <w:rPr>
                      <w:rFonts w:ascii="Cambria Math" w:hAnsi="Cambria Math" w:cs="Times New Roman"/>
                      <w:sz w:val="24"/>
                      <w:szCs w:val="24"/>
                    </w:rPr>
                  </m:ctrlPr>
                </m:sSubSup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up>
                  <m:r>
                    <m:rPr>
                      <m:sty m:val="p"/>
                    </m:rPr>
                    <w:rPr>
                      <w:rFonts w:ascii="Cambria Math" w:hAnsi="Cambria Math" w:cs="Times New Roman"/>
                      <w:sz w:val="24"/>
                      <w:szCs w:val="24"/>
                    </w:rPr>
                    <m:t>SEIR</m:t>
                  </m:r>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βσ</m:t>
                  </m:r>
                </m:num>
                <m:den>
                  <m:r>
                    <m:rPr>
                      <m:sty m:val="p"/>
                    </m:rPr>
                    <w:rPr>
                      <w:rFonts w:ascii="Cambria Math" w:hAnsi="Cambria Math" w:cs="Times New Roman"/>
                      <w:sz w:val="24"/>
                      <w:szCs w:val="24"/>
                    </w:rPr>
                    <m:t>(</m:t>
                  </m:r>
                  <m:r>
                    <w:rPr>
                      <w:rFonts w:ascii="Cambria Math" w:hAnsi="Cambria Math" w:cs="Times New Roman"/>
                      <w:sz w:val="24"/>
                      <w:szCs w:val="24"/>
                    </w:rPr>
                    <m:t>σ</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den>
              </m:f>
              <m:r>
                <m:rPr>
                  <m:sty m:val="p"/>
                </m:rPr>
                <w:rPr>
                  <w:rFonts w:ascii="Cambria Math" w:hAnsi="Cambria Math" w:cs="Times New Roman"/>
                  <w:sz w:val="24"/>
                  <w:szCs w:val="24"/>
                </w:rPr>
                <m:t>.</m:t>
              </m:r>
              <m:r>
                <w:rPr>
                  <w:rFonts w:ascii="Cambria Math" w:hAnsi="Cambria Math" w:cs="Times New Roman"/>
                  <w:sz w:val="24"/>
                  <w:szCs w:val="24"/>
                </w:rPr>
                <m:t>#(9)</m:t>
              </m:r>
            </m:e>
          </m:eqArr>
        </m:oMath>
      </m:oMathPara>
    </w:p>
    <w:p w14:paraId="10C9C2BC"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 factor </w:t>
      </w:r>
      <m:oMath>
        <m:r>
          <w:rPr>
            <w:rFonts w:ascii="Cambria Math" w:hAnsi="Cambria Math" w:cs="Times New Roman"/>
            <w:sz w:val="24"/>
            <w:szCs w:val="24"/>
          </w:rPr>
          <m:t>σ</m:t>
        </m:r>
        <m:r>
          <m:rPr>
            <m:sty m:val="p"/>
          </m:rPr>
          <w:rPr>
            <w:rFonts w:ascii="Cambria Math" w:hAnsi="Cambria Math" w:cs="Times New Roman"/>
            <w:sz w:val="24"/>
            <w:szCs w:val="24"/>
          </w:rPr>
          <m:t>/(</m:t>
        </m:r>
        <m:r>
          <w:rPr>
            <w:rFonts w:ascii="Cambria Math" w:hAnsi="Cambria Math" w:cs="Times New Roman"/>
            <w:sz w:val="24"/>
            <w:szCs w:val="24"/>
          </w:rPr>
          <m:t>σ</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represents the probability that an exposed individual survives the latent stage and progresses to infectiousness.</w:t>
      </w:r>
    </w:p>
    <w:p w14:paraId="27406D41" w14:textId="77777777" w:rsidR="00FE3703" w:rsidRPr="005405D4" w:rsidRDefault="00326151" w:rsidP="009C16F4">
      <w:pPr>
        <w:spacing w:before="240" w:line="480" w:lineRule="auto"/>
        <w:jc w:val="both"/>
        <w:rPr>
          <w:rFonts w:ascii="Times New Roman" w:hAnsi="Times New Roman" w:cs="Times New Roman"/>
          <w:sz w:val="24"/>
          <w:szCs w:val="24"/>
        </w:rPr>
      </w:pPr>
      <w:bookmarkStart w:id="5" w:name="bm_2_3_vaccination_and_waning_imm_cb064f"/>
      <w:r w:rsidRPr="005405D4">
        <w:rPr>
          <w:rFonts w:ascii="Times New Roman" w:hAnsi="Times New Roman" w:cs="Times New Roman"/>
          <w:b/>
          <w:sz w:val="24"/>
          <w:szCs w:val="24"/>
        </w:rPr>
        <w:t>2.3 Vaccination and waning-immunity extensions</w:t>
      </w:r>
      <w:bookmarkEnd w:id="5"/>
    </w:p>
    <w:p w14:paraId="6DAC30F9"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Vaccination models add a protected class </w:t>
      </w:r>
      <m:oMath>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If susceptible individuals are vaccinated at rate </w:t>
      </w:r>
      <m:oMath>
        <m:r>
          <w:rPr>
            <w:rFonts w:ascii="Cambria Math" w:hAnsi="Cambria Math" w:cs="Times New Roman"/>
            <w:sz w:val="24"/>
            <w:szCs w:val="24"/>
          </w:rPr>
          <m:t>ν</m:t>
        </m:r>
      </m:oMath>
      <w:r w:rsidRPr="005405D4">
        <w:rPr>
          <w:rFonts w:ascii="Times New Roman" w:hAnsi="Times New Roman" w:cs="Times New Roman"/>
          <w:sz w:val="24"/>
          <w:szCs w:val="24"/>
        </w:rPr>
        <w:t xml:space="preserve"> and vaccine-induced immunity wanes at rate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oMath>
      <w:r w:rsidRPr="005405D4">
        <w:rPr>
          <w:rFonts w:ascii="Times New Roman" w:hAnsi="Times New Roman" w:cs="Times New Roman"/>
          <w:sz w:val="24"/>
          <w:szCs w:val="24"/>
        </w:rPr>
        <w:t>, the vaccination-related flows are</w:t>
      </w:r>
    </w:p>
    <w:p w14:paraId="01DFC2E9"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S</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νS</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#(10)</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V</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νS</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#(11)</m:t>
              </m:r>
            </m:e>
          </m:eqArr>
        </m:oMath>
      </m:oMathPara>
    </w:p>
    <w:p w14:paraId="00452144"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Similarly, temporary infection-acquired immunity is represented by returning recovered individuals to susceptibility at rate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w:rPr>
            <w:rFonts w:ascii="Cambria Math" w:hAnsi="Cambria Math" w:cs="Times New Roman"/>
            <w:sz w:val="24"/>
            <w:szCs w:val="24"/>
          </w:rPr>
          <m:t>R</m:t>
        </m:r>
      </m:oMath>
      <w:r>
        <w:rPr>
          <w:rFonts w:ascii="Times New Roman" w:hAnsi="Times New Roman" w:cs="Times New Roman"/>
          <w:sz w:val="24"/>
          <w:szCs w:val="24"/>
          <w:highlight w:val="yellow"/>
        </w:rPr>
        <w:t>:</w:t>
      </w:r>
    </w:p>
    <w:p w14:paraId="7719DF28"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R</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γI</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e>
              </m:d>
              <m:r>
                <w:rPr>
                  <w:rFonts w:ascii="Cambria Math" w:hAnsi="Cambria Math" w:cs="Times New Roman"/>
                  <w:sz w:val="24"/>
                  <w:szCs w:val="24"/>
                </w:rPr>
                <m:t>R</m:t>
              </m:r>
              <m:r>
                <m:rPr>
                  <m:sty m:val="p"/>
                </m:rPr>
                <w:rPr>
                  <w:rFonts w:ascii="Cambria Math" w:hAnsi="Cambria Math" w:cs="Times New Roman"/>
                  <w:sz w:val="24"/>
                  <w:szCs w:val="24"/>
                </w:rPr>
                <m:t xml:space="preserve">, </m:t>
              </m:r>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S</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#(12)</m:t>
              </m:r>
            </m:e>
          </m:eqArr>
        </m:oMath>
      </m:oMathPara>
    </w:p>
    <w:p w14:paraId="3692EDDF"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These extensions are particularly relevant to diphtheria because vaccination and the maintenance of immunity are central to disease control. The SIRV framework adopted in this study combines these mechanisms while retaining a sufficiently compact structure for equilibrium, threshold, stability, and sensitivity analysis.</w:t>
      </w:r>
    </w:p>
    <w:p w14:paraId="3DBC66B1" w14:textId="77777777" w:rsidR="00FE3703" w:rsidRPr="005405D4" w:rsidRDefault="00326151" w:rsidP="009C16F4">
      <w:pPr>
        <w:spacing w:before="330" w:line="480" w:lineRule="auto"/>
        <w:jc w:val="both"/>
        <w:rPr>
          <w:rFonts w:ascii="Times New Roman" w:hAnsi="Times New Roman" w:cs="Times New Roman"/>
          <w:sz w:val="24"/>
          <w:szCs w:val="24"/>
        </w:rPr>
      </w:pPr>
      <w:bookmarkStart w:id="6" w:name="bm_3_model_formulation"/>
      <w:r w:rsidRPr="005405D4">
        <w:rPr>
          <w:rFonts w:ascii="Times New Roman" w:hAnsi="Times New Roman" w:cs="Times New Roman"/>
          <w:b/>
          <w:sz w:val="24"/>
          <w:szCs w:val="24"/>
        </w:rPr>
        <w:t>3 Model formulation</w:t>
      </w:r>
      <w:bookmarkEnd w:id="6"/>
    </w:p>
    <w:p w14:paraId="7FBC769A" w14:textId="77777777" w:rsidR="00FE3703" w:rsidRPr="005405D4" w:rsidRDefault="00326151" w:rsidP="009C16F4">
      <w:pPr>
        <w:spacing w:before="240" w:line="480" w:lineRule="auto"/>
        <w:jc w:val="both"/>
        <w:rPr>
          <w:rFonts w:ascii="Times New Roman" w:hAnsi="Times New Roman" w:cs="Times New Roman"/>
          <w:sz w:val="24"/>
          <w:szCs w:val="24"/>
        </w:rPr>
      </w:pPr>
      <w:bookmarkStart w:id="7" w:name="bm_3_1_state_variables_and_assumptions"/>
      <w:r w:rsidRPr="005405D4">
        <w:rPr>
          <w:rFonts w:ascii="Times New Roman" w:hAnsi="Times New Roman" w:cs="Times New Roman"/>
          <w:b/>
          <w:sz w:val="24"/>
          <w:szCs w:val="24"/>
        </w:rPr>
        <w:t>3.1 State variables and assumptions</w:t>
      </w:r>
      <w:bookmarkEnd w:id="7"/>
    </w:p>
    <w:p w14:paraId="7C1EFE22"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At time </w:t>
      </w:r>
      <m:oMath>
        <m:r>
          <w:rPr>
            <w:rFonts w:ascii="Cambria Math" w:hAnsi="Cambria Math" w:cs="Times New Roman"/>
            <w:sz w:val="24"/>
            <w:szCs w:val="24"/>
          </w:rPr>
          <m:t>t</m:t>
        </m:r>
      </m:oMath>
      <w:r w:rsidRPr="005405D4">
        <w:rPr>
          <w:rFonts w:ascii="Times New Roman" w:hAnsi="Times New Roman" w:cs="Times New Roman"/>
          <w:sz w:val="24"/>
          <w:szCs w:val="24"/>
        </w:rPr>
        <w:t xml:space="preserve">, the population is partitioned into susceptible </w:t>
      </w:r>
      <m:oMath>
        <m:r>
          <w:rPr>
            <w:rFonts w:ascii="Cambria Math" w:hAnsi="Cambria Math" w:cs="Times New Roman"/>
            <w:sz w:val="24"/>
            <w:szCs w:val="24"/>
          </w:rPr>
          <m:t>S</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infectious </w:t>
      </w:r>
      <m:oMath>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recovered </w:t>
      </w:r>
      <m:oMath>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and vaccinated </w:t>
      </w:r>
      <m:oMath>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individuals. Thus,</w:t>
      </w:r>
    </w:p>
    <w:p w14:paraId="4C0858DC"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N</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S</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r>
                <w:rPr>
                  <w:rFonts w:ascii="Cambria Math" w:hAnsi="Cambria Math" w:cs="Times New Roman"/>
                  <w:sz w:val="24"/>
                  <w:szCs w:val="24"/>
                </w:rPr>
                <m:t>#(13)</m:t>
              </m:r>
            </m:e>
          </m:eqArr>
        </m:oMath>
      </m:oMathPara>
    </w:p>
    <w:p w14:paraId="7745C929"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New individuals enter the susceptible class at rate </w:t>
      </w:r>
      <m:oMath>
        <m:r>
          <m:rPr>
            <m:sty m:val="p"/>
          </m:rPr>
          <w:rPr>
            <w:rFonts w:ascii="Cambria Math" w:hAnsi="Cambria Math" w:cs="Times New Roman"/>
            <w:sz w:val="24"/>
            <w:szCs w:val="24"/>
          </w:rPr>
          <m:t>Λ</m:t>
        </m:r>
      </m:oMath>
      <w:r w:rsidRPr="005405D4">
        <w:rPr>
          <w:rFonts w:ascii="Times New Roman" w:hAnsi="Times New Roman" w:cs="Times New Roman"/>
          <w:sz w:val="24"/>
          <w:szCs w:val="24"/>
        </w:rPr>
        <w:t xml:space="preserve">. Susceptible individuals acquire infection through homogeneous contact with infectious individuals or enter the vaccinated class at per-capita rate </w:t>
      </w:r>
      <m:oMath>
        <m:r>
          <w:rPr>
            <w:rFonts w:ascii="Cambria Math" w:hAnsi="Cambria Math" w:cs="Times New Roman"/>
            <w:sz w:val="24"/>
            <w:szCs w:val="24"/>
          </w:rPr>
          <m:t>ν</m:t>
        </m:r>
      </m:oMath>
      <w:r w:rsidRPr="005405D4">
        <w:rPr>
          <w:rFonts w:ascii="Times New Roman" w:hAnsi="Times New Roman" w:cs="Times New Roman"/>
          <w:sz w:val="24"/>
          <w:szCs w:val="24"/>
        </w:rPr>
        <w:t xml:space="preserve">. Infectious individuals recover at rate </w:t>
      </w:r>
      <m:oMath>
        <m:r>
          <w:rPr>
            <w:rFonts w:ascii="Cambria Math" w:hAnsi="Cambria Math" w:cs="Times New Roman"/>
            <w:sz w:val="24"/>
            <w:szCs w:val="24"/>
          </w:rPr>
          <m:t>γ</m:t>
        </m:r>
      </m:oMath>
      <w:r w:rsidRPr="005405D4">
        <w:rPr>
          <w:rFonts w:ascii="Times New Roman" w:hAnsi="Times New Roman" w:cs="Times New Roman"/>
          <w:sz w:val="24"/>
          <w:szCs w:val="24"/>
        </w:rPr>
        <w:t xml:space="preserve"> and experience disease-induced mortality at rate </w:t>
      </w:r>
      <m:oMath>
        <m:r>
          <w:rPr>
            <w:rFonts w:ascii="Cambria Math" w:hAnsi="Cambria Math" w:cs="Times New Roman"/>
            <w:sz w:val="24"/>
            <w:szCs w:val="24"/>
          </w:rPr>
          <m:t>δ</m:t>
        </m:r>
      </m:oMath>
      <w:r w:rsidRPr="005405D4">
        <w:rPr>
          <w:rFonts w:ascii="Times New Roman" w:hAnsi="Times New Roman" w:cs="Times New Roman"/>
          <w:sz w:val="24"/>
          <w:szCs w:val="24"/>
        </w:rPr>
        <w:t xml:space="preserve">. Natural mortality occurs in every class at rate </w:t>
      </w:r>
      <m:oMath>
        <m:r>
          <w:rPr>
            <w:rFonts w:ascii="Cambria Math" w:hAnsi="Cambria Math" w:cs="Times New Roman"/>
            <w:sz w:val="24"/>
            <w:szCs w:val="24"/>
          </w:rPr>
          <m:t>μ</m:t>
        </m:r>
      </m:oMath>
      <w:r w:rsidRPr="005405D4">
        <w:rPr>
          <w:rFonts w:ascii="Times New Roman" w:hAnsi="Times New Roman" w:cs="Times New Roman"/>
          <w:sz w:val="24"/>
          <w:szCs w:val="24"/>
        </w:rPr>
        <w:t xml:space="preserve">. Infection-acquired and vaccine-induced protection wane at rates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oMath>
      <w:r w:rsidRPr="005405D4">
        <w:rPr>
          <w:rFonts w:ascii="Times New Roman" w:hAnsi="Times New Roman" w:cs="Times New Roman"/>
          <w:sz w:val="24"/>
          <w:szCs w:val="24"/>
        </w:rPr>
        <w:t xml:space="preserve"> and </w:t>
      </w: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oMath>
      <w:r w:rsidRPr="005405D4">
        <w:rPr>
          <w:rFonts w:ascii="Times New Roman" w:hAnsi="Times New Roman" w:cs="Times New Roman"/>
          <w:sz w:val="24"/>
          <w:szCs w:val="24"/>
        </w:rPr>
        <w:t xml:space="preserve">, respectively. Vaccinated individuals are treated as fully protected while they remain in </w:t>
      </w:r>
      <m:oMath>
        <m:r>
          <w:rPr>
            <w:rFonts w:ascii="Cambria Math" w:hAnsi="Cambria Math" w:cs="Times New Roman"/>
            <w:sz w:val="24"/>
            <w:szCs w:val="24"/>
          </w:rPr>
          <m:t>V</m:t>
        </m:r>
      </m:oMath>
      <w:r w:rsidRPr="005405D4">
        <w:rPr>
          <w:rFonts w:ascii="Times New Roman" w:hAnsi="Times New Roman" w:cs="Times New Roman"/>
          <w:sz w:val="24"/>
          <w:szCs w:val="24"/>
        </w:rPr>
        <w:t>; this simplifying assumption is revisited in Section 7.</w:t>
      </w:r>
    </w:p>
    <w:p w14:paraId="4B43108C"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The force of infection is</w:t>
      </w:r>
    </w:p>
    <w:p w14:paraId="66DE9F00"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λ</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βI</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num>
                <m:den>
                  <m:r>
                    <w:rPr>
                      <w:rFonts w:ascii="Cambria Math" w:hAnsi="Cambria Math" w:cs="Times New Roman"/>
                      <w:sz w:val="24"/>
                      <w:szCs w:val="24"/>
                    </w:rPr>
                    <m:t>N</m:t>
                  </m:r>
                  <m:r>
                    <m:rPr>
                      <m:sty m:val="p"/>
                    </m:rPr>
                    <w:rPr>
                      <w:rFonts w:ascii="Cambria Math" w:hAnsi="Cambria Math" w:cs="Times New Roman"/>
                      <w:sz w:val="24"/>
                      <w:szCs w:val="24"/>
                    </w:rPr>
                    <m:t>(</m:t>
                  </m:r>
                  <m:r>
                    <w:rPr>
                      <w:rFonts w:ascii="Cambria Math" w:hAnsi="Cambria Math" w:cs="Times New Roman"/>
                      <w:sz w:val="24"/>
                      <w:szCs w:val="24"/>
                    </w:rPr>
                    <m:t>t</m:t>
                  </m:r>
                  <m:r>
                    <m:rPr>
                      <m:sty m:val="p"/>
                    </m:rPr>
                    <w:rPr>
                      <w:rFonts w:ascii="Cambria Math" w:hAnsi="Cambria Math" w:cs="Times New Roman"/>
                      <w:sz w:val="24"/>
                      <w:szCs w:val="24"/>
                    </w:rPr>
                    <m:t>)</m:t>
                  </m:r>
                </m:den>
              </m:f>
              <m:r>
                <m:rPr>
                  <m:sty m:val="p"/>
                </m:rPr>
                <w:rPr>
                  <w:rFonts w:ascii="Cambria Math" w:hAnsi="Cambria Math" w:cs="Times New Roman"/>
                  <w:sz w:val="24"/>
                  <w:szCs w:val="24"/>
                </w:rPr>
                <m:t>,</m:t>
              </m:r>
              <m:r>
                <w:rPr>
                  <w:rFonts w:ascii="Cambria Math" w:hAnsi="Cambria Math" w:cs="Times New Roman"/>
                  <w:sz w:val="24"/>
                  <w:szCs w:val="24"/>
                </w:rPr>
                <m:t>#(14)</m:t>
              </m:r>
            </m:e>
          </m:eqArr>
        </m:oMath>
      </m:oMathPara>
    </w:p>
    <w:p w14:paraId="0586C288"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where </w:t>
      </w:r>
      <m:oMath>
        <m:r>
          <w:rPr>
            <w:rFonts w:ascii="Cambria Math" w:hAnsi="Cambria Math" w:cs="Times New Roman"/>
            <w:sz w:val="24"/>
            <w:szCs w:val="24"/>
          </w:rPr>
          <m:t>β</m:t>
        </m:r>
      </m:oMath>
      <w:r w:rsidRPr="005405D4">
        <w:rPr>
          <w:rFonts w:ascii="Times New Roman" w:hAnsi="Times New Roman" w:cs="Times New Roman"/>
          <w:sz w:val="24"/>
          <w:szCs w:val="24"/>
        </w:rPr>
        <w:t xml:space="preserve"> is the effective transmission rate. The corresponding incidence is </w:t>
      </w:r>
      <m:oMath>
        <m:r>
          <w:rPr>
            <w:rFonts w:ascii="Cambria Math" w:hAnsi="Cambria Math" w:cs="Times New Roman"/>
            <w:sz w:val="24"/>
            <w:szCs w:val="24"/>
          </w:rPr>
          <m:t>λS</m:t>
        </m:r>
        <m:r>
          <m:rPr>
            <m:sty m:val="p"/>
          </m:rPr>
          <w:rPr>
            <w:rFonts w:ascii="Cambria Math" w:hAnsi="Cambria Math" w:cs="Times New Roman"/>
            <w:sz w:val="24"/>
            <w:szCs w:val="24"/>
          </w:rPr>
          <m:t>=</m:t>
        </m:r>
        <m:r>
          <w:rPr>
            <w:rFonts w:ascii="Cambria Math" w:hAnsi="Cambria Math" w:cs="Times New Roman"/>
            <w:sz w:val="24"/>
            <w:szCs w:val="24"/>
          </w:rPr>
          <m:t>βSI</m:t>
        </m:r>
        <m:r>
          <m:rPr>
            <m:sty m:val="p"/>
          </m:rPr>
          <w:rPr>
            <w:rFonts w:ascii="Cambria Math" w:hAnsi="Cambria Math" w:cs="Times New Roman"/>
            <w:sz w:val="24"/>
            <w:szCs w:val="24"/>
          </w:rPr>
          <m:t>/</m:t>
        </m:r>
        <m:r>
          <w:rPr>
            <w:rFonts w:ascii="Cambria Math" w:hAnsi="Cambria Math" w:cs="Times New Roman"/>
            <w:sz w:val="24"/>
            <w:szCs w:val="24"/>
          </w:rPr>
          <m:t>N</m:t>
        </m:r>
      </m:oMath>
      <w:r w:rsidRPr="005405D4">
        <w:rPr>
          <w:rFonts w:ascii="Times New Roman" w:hAnsi="Times New Roman" w:cs="Times New Roman"/>
          <w:sz w:val="24"/>
          <w:szCs w:val="24"/>
        </w:rPr>
        <w:t>.</w:t>
      </w:r>
    </w:p>
    <w:p w14:paraId="1DE194BB" w14:textId="77777777" w:rsidR="00FE3703" w:rsidRPr="005405D4" w:rsidRDefault="00326151" w:rsidP="009C16F4">
      <w:pPr>
        <w:spacing w:before="240" w:line="480" w:lineRule="auto"/>
        <w:jc w:val="both"/>
        <w:rPr>
          <w:rFonts w:ascii="Times New Roman" w:hAnsi="Times New Roman" w:cs="Times New Roman"/>
          <w:sz w:val="24"/>
          <w:szCs w:val="24"/>
        </w:rPr>
      </w:pPr>
      <w:bookmarkStart w:id="8" w:name="bm_3_2_compartmental_diagram"/>
      <w:r w:rsidRPr="005405D4">
        <w:rPr>
          <w:rFonts w:ascii="Times New Roman" w:hAnsi="Times New Roman" w:cs="Times New Roman"/>
          <w:b/>
          <w:sz w:val="24"/>
          <w:szCs w:val="24"/>
        </w:rPr>
        <w:t>3.2 Compartmental diagram</w:t>
      </w:r>
      <w:bookmarkEnd w:id="8"/>
    </w:p>
    <w:p w14:paraId="72137BAF"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Figure 1 </w:t>
      </w:r>
      <w:proofErr w:type="spellStart"/>
      <w:r w:rsidRPr="005405D4">
        <w:rPr>
          <w:rFonts w:ascii="Times New Roman" w:hAnsi="Times New Roman" w:cs="Times New Roman"/>
          <w:sz w:val="24"/>
          <w:szCs w:val="24"/>
        </w:rPr>
        <w:t>summarises</w:t>
      </w:r>
      <w:proofErr w:type="spellEnd"/>
      <w:r w:rsidRPr="005405D4">
        <w:rPr>
          <w:rFonts w:ascii="Times New Roman" w:hAnsi="Times New Roman" w:cs="Times New Roman"/>
          <w:sz w:val="24"/>
          <w:szCs w:val="24"/>
        </w:rPr>
        <w:t xml:space="preserve"> the population flows. Recruitment enters </w:t>
      </w:r>
      <m:oMath>
        <m:r>
          <w:rPr>
            <w:rFonts w:ascii="Cambria Math" w:hAnsi="Cambria Math" w:cs="Times New Roman"/>
            <w:sz w:val="24"/>
            <w:szCs w:val="24"/>
          </w:rPr>
          <m:t>S</m:t>
        </m:r>
      </m:oMath>
      <w:r w:rsidRPr="005405D4">
        <w:rPr>
          <w:rFonts w:ascii="Times New Roman" w:hAnsi="Times New Roman" w:cs="Times New Roman"/>
          <w:sz w:val="24"/>
          <w:szCs w:val="24"/>
        </w:rPr>
        <w:t xml:space="preserve">; infection moves individuals from </w:t>
      </w:r>
      <m:oMath>
        <m:r>
          <w:rPr>
            <w:rFonts w:ascii="Cambria Math" w:hAnsi="Cambria Math" w:cs="Times New Roman"/>
            <w:sz w:val="24"/>
            <w:szCs w:val="24"/>
          </w:rPr>
          <m:t>S</m:t>
        </m:r>
      </m:oMath>
      <w:r w:rsidRPr="005405D4">
        <w:rPr>
          <w:rFonts w:ascii="Times New Roman" w:hAnsi="Times New Roman" w:cs="Times New Roman"/>
          <w:sz w:val="24"/>
          <w:szCs w:val="24"/>
        </w:rPr>
        <w:t xml:space="preserve"> to </w:t>
      </w:r>
      <m:oMath>
        <m:r>
          <w:rPr>
            <w:rFonts w:ascii="Cambria Math" w:hAnsi="Cambria Math" w:cs="Times New Roman"/>
            <w:sz w:val="24"/>
            <w:szCs w:val="24"/>
          </w:rPr>
          <m:t>I</m:t>
        </m:r>
      </m:oMath>
      <w:r w:rsidRPr="005405D4">
        <w:rPr>
          <w:rFonts w:ascii="Times New Roman" w:hAnsi="Times New Roman" w:cs="Times New Roman"/>
          <w:sz w:val="24"/>
          <w:szCs w:val="24"/>
        </w:rPr>
        <w:t xml:space="preserve">; recovery moves them from </w:t>
      </w:r>
      <m:oMath>
        <m:r>
          <w:rPr>
            <w:rFonts w:ascii="Cambria Math" w:hAnsi="Cambria Math" w:cs="Times New Roman"/>
            <w:sz w:val="24"/>
            <w:szCs w:val="24"/>
          </w:rPr>
          <m:t>I</m:t>
        </m:r>
      </m:oMath>
      <w:r w:rsidRPr="005405D4">
        <w:rPr>
          <w:rFonts w:ascii="Times New Roman" w:hAnsi="Times New Roman" w:cs="Times New Roman"/>
          <w:sz w:val="24"/>
          <w:szCs w:val="24"/>
        </w:rPr>
        <w:t xml:space="preserve"> to </w:t>
      </w:r>
      <m:oMath>
        <m:r>
          <w:rPr>
            <w:rFonts w:ascii="Cambria Math" w:hAnsi="Cambria Math" w:cs="Times New Roman"/>
            <w:sz w:val="24"/>
            <w:szCs w:val="24"/>
          </w:rPr>
          <m:t>R</m:t>
        </m:r>
      </m:oMath>
      <w:r w:rsidRPr="005405D4">
        <w:rPr>
          <w:rFonts w:ascii="Times New Roman" w:hAnsi="Times New Roman" w:cs="Times New Roman"/>
          <w:sz w:val="24"/>
          <w:szCs w:val="24"/>
        </w:rPr>
        <w:t xml:space="preserve">; vaccination moves them from </w:t>
      </w:r>
      <m:oMath>
        <m:r>
          <w:rPr>
            <w:rFonts w:ascii="Cambria Math" w:hAnsi="Cambria Math" w:cs="Times New Roman"/>
            <w:sz w:val="24"/>
            <w:szCs w:val="24"/>
          </w:rPr>
          <m:t>S</m:t>
        </m:r>
      </m:oMath>
      <w:r w:rsidRPr="005405D4">
        <w:rPr>
          <w:rFonts w:ascii="Times New Roman" w:hAnsi="Times New Roman" w:cs="Times New Roman"/>
          <w:sz w:val="24"/>
          <w:szCs w:val="24"/>
        </w:rPr>
        <w:t xml:space="preserve"> to </w:t>
      </w:r>
      <m:oMath>
        <m:r>
          <w:rPr>
            <w:rFonts w:ascii="Cambria Math" w:hAnsi="Cambria Math" w:cs="Times New Roman"/>
            <w:sz w:val="24"/>
            <w:szCs w:val="24"/>
          </w:rPr>
          <m:t>V</m:t>
        </m:r>
      </m:oMath>
      <w:r w:rsidRPr="005405D4">
        <w:rPr>
          <w:rFonts w:ascii="Times New Roman" w:hAnsi="Times New Roman" w:cs="Times New Roman"/>
          <w:sz w:val="24"/>
          <w:szCs w:val="24"/>
        </w:rPr>
        <w:t xml:space="preserve">; and waning immunity returns individuals from </w:t>
      </w:r>
      <m:oMath>
        <m:r>
          <w:rPr>
            <w:rFonts w:ascii="Cambria Math" w:hAnsi="Cambria Math" w:cs="Times New Roman"/>
            <w:sz w:val="24"/>
            <w:szCs w:val="24"/>
          </w:rPr>
          <m:t>R</m:t>
        </m:r>
      </m:oMath>
      <w:r w:rsidRPr="005405D4">
        <w:rPr>
          <w:rFonts w:ascii="Times New Roman" w:hAnsi="Times New Roman" w:cs="Times New Roman"/>
          <w:sz w:val="24"/>
          <w:szCs w:val="24"/>
        </w:rPr>
        <w:t xml:space="preserve"> or </w:t>
      </w:r>
      <m:oMath>
        <m:r>
          <w:rPr>
            <w:rFonts w:ascii="Cambria Math" w:hAnsi="Cambria Math" w:cs="Times New Roman"/>
            <w:sz w:val="24"/>
            <w:szCs w:val="24"/>
          </w:rPr>
          <m:t>V</m:t>
        </m:r>
      </m:oMath>
      <w:r w:rsidRPr="005405D4">
        <w:rPr>
          <w:rFonts w:ascii="Times New Roman" w:hAnsi="Times New Roman" w:cs="Times New Roman"/>
          <w:sz w:val="24"/>
          <w:szCs w:val="24"/>
        </w:rPr>
        <w:t xml:space="preserve"> to </w:t>
      </w:r>
      <m:oMath>
        <m:r>
          <w:rPr>
            <w:rFonts w:ascii="Cambria Math" w:hAnsi="Cambria Math" w:cs="Times New Roman"/>
            <w:sz w:val="24"/>
            <w:szCs w:val="24"/>
          </w:rPr>
          <m:t>S</m:t>
        </m:r>
      </m:oMath>
      <w:r w:rsidRPr="005405D4">
        <w:rPr>
          <w:rFonts w:ascii="Times New Roman" w:hAnsi="Times New Roman" w:cs="Times New Roman"/>
          <w:sz w:val="24"/>
          <w:szCs w:val="24"/>
        </w:rPr>
        <w:t>.</w:t>
      </w:r>
    </w:p>
    <w:p w14:paraId="707CD9CA"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noProof/>
          <w:sz w:val="24"/>
          <w:szCs w:val="24"/>
        </w:rPr>
        <w:drawing>
          <wp:inline distT="0" distB="0" distL="0" distR="0" wp14:anchorId="49BDF822" wp14:editId="17E4FDD5">
            <wp:extent cx="5486400" cy="2676391"/>
            <wp:effectExtent l="0" t="0" r="0" b="0"/>
            <wp:docPr id="1" name="image-cf80df90f03240248b26ff28559f8207034ce0f1.jpg"/>
            <wp:cNvGraphicFramePr/>
            <a:graphic xmlns:a="http://schemas.openxmlformats.org/drawingml/2006/main">
              <a:graphicData uri="http://schemas.openxmlformats.org/drawingml/2006/picture">
                <pic:pic xmlns:pic="http://schemas.openxmlformats.org/drawingml/2006/picture">
                  <pic:nvPicPr>
                    <pic:cNvPr id="1" name="image-cf80df90f03240248b26ff28559f8207034ce0f1.jpg"/>
                    <pic:cNvPicPr/>
                  </pic:nvPicPr>
                  <pic:blipFill>
                    <a:blip r:embed="rId7" cstate="print"/>
                    <a:srcRect/>
                    <a:stretch>
                      <a:fillRect/>
                    </a:stretch>
                  </pic:blipFill>
                  <pic:spPr>
                    <a:xfrm>
                      <a:off x="0" y="0"/>
                      <a:ext cx="5486400" cy="2676391"/>
                    </a:xfrm>
                    <a:prstGeom prst="rect">
                      <a:avLst/>
                    </a:prstGeom>
                  </pic:spPr>
                </pic:pic>
              </a:graphicData>
            </a:graphic>
          </wp:inline>
        </w:drawing>
      </w:r>
    </w:p>
    <w:p w14:paraId="00BC05E9"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Figure 1: Compartmental structure of the SIRV model for diphtheria transmission and vaccination control.</w:t>
      </w:r>
    </w:p>
    <w:p w14:paraId="483B61EF" w14:textId="77777777" w:rsidR="00FE3703" w:rsidRPr="005405D4" w:rsidRDefault="00326151" w:rsidP="009C16F4">
      <w:pPr>
        <w:spacing w:before="240" w:line="480" w:lineRule="auto"/>
        <w:jc w:val="both"/>
        <w:rPr>
          <w:rFonts w:ascii="Times New Roman" w:hAnsi="Times New Roman" w:cs="Times New Roman"/>
          <w:sz w:val="24"/>
          <w:szCs w:val="24"/>
        </w:rPr>
      </w:pPr>
      <w:bookmarkStart w:id="9" w:name="bm_3_3_governing_equations"/>
      <w:r w:rsidRPr="005405D4">
        <w:rPr>
          <w:rFonts w:ascii="Times New Roman" w:hAnsi="Times New Roman" w:cs="Times New Roman"/>
          <w:b/>
          <w:sz w:val="24"/>
          <w:szCs w:val="24"/>
        </w:rPr>
        <w:t>3.3 Governing equations</w:t>
      </w:r>
      <w:bookmarkEnd w:id="9"/>
    </w:p>
    <w:p w14:paraId="2928E0B3"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The model is governed by</w:t>
      </w:r>
    </w:p>
    <w:p w14:paraId="2040EDEC"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S</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=Λ-</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νS</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w:rPr>
                  <w:rFonts w:ascii="Cambria Math" w:hAnsi="Cambria Math" w:cs="Times New Roman"/>
                  <w:sz w:val="24"/>
                  <w:szCs w:val="24"/>
                </w:rPr>
                <m:t>R</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μS</m:t>
              </m:r>
              <m:r>
                <m:rPr>
                  <m:sty m:val="p"/>
                </m:rPr>
                <w:rPr>
                  <w:rFonts w:ascii="Cambria Math" w:hAnsi="Cambria Math" w:cs="Times New Roman"/>
                  <w:sz w:val="24"/>
                  <w:szCs w:val="24"/>
                </w:rPr>
                <m:t>,</m:t>
              </m:r>
              <m:r>
                <w:rPr>
                  <w:rFonts w:ascii="Cambria Math" w:hAnsi="Cambria Math" w:cs="Times New Roman"/>
                  <w:sz w:val="24"/>
                  <w:szCs w:val="24"/>
                </w:rPr>
                <m:t>#(15)</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I</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#(16)</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R</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γI</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e>
              </m:d>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#(17)</m:t>
              </m:r>
            </m:e>
            <m:e>
              <m:f>
                <m:fPr>
                  <m:ctrlPr>
                    <w:rPr>
                      <w:rFonts w:ascii="Cambria Math" w:hAnsi="Cambria Math" w:cs="Times New Roman"/>
                      <w:sz w:val="24"/>
                      <w:szCs w:val="24"/>
                    </w:rPr>
                  </m:ctrlPr>
                </m:fPr>
                <m:num>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V</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m:t>
              </m:r>
              <m:r>
                <w:rPr>
                  <w:rFonts w:ascii="Cambria Math" w:hAnsi="Cambria Math" w:cs="Times New Roman"/>
                  <w:sz w:val="24"/>
                  <w:szCs w:val="24"/>
                </w:rPr>
                <m:t>νS</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#(18)</m:t>
              </m:r>
            </m:e>
          </m:eqArr>
        </m:oMath>
      </m:oMathPara>
    </w:p>
    <w:p w14:paraId="75F447BB"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Summing Equations (15)-(18) gives</w:t>
      </w:r>
    </w:p>
    <w:p w14:paraId="3770B856"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r>
                    <w:rPr>
                      <w:rFonts w:ascii="Cambria Math" w:hAnsi="Cambria Math" w:cs="Times New Roman"/>
                      <w:sz w:val="24"/>
                      <w:szCs w:val="24"/>
                    </w:rPr>
                    <m:t>N</m:t>
                  </m:r>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t</m:t>
                  </m:r>
                </m:den>
              </m:f>
              <m:r>
                <m:rPr>
                  <m:sty m:val="p"/>
                </m:rPr>
                <w:rPr>
                  <w:rFonts w:ascii="Cambria Math" w:hAnsi="Cambria Math" w:cs="Times New Roman"/>
                  <w:sz w:val="24"/>
                  <w:szCs w:val="24"/>
                </w:rPr>
                <m:t>=Λ-</m:t>
              </m:r>
              <m:r>
                <w:rPr>
                  <w:rFonts w:ascii="Cambria Math" w:hAnsi="Cambria Math" w:cs="Times New Roman"/>
                  <w:sz w:val="24"/>
                  <w:szCs w:val="24"/>
                </w:rPr>
                <m:t>μN</m:t>
              </m:r>
              <m:r>
                <m:rPr>
                  <m:sty m:val="p"/>
                </m:rPr>
                <w:rPr>
                  <w:rFonts w:ascii="Cambria Math" w:hAnsi="Cambria Math" w:cs="Times New Roman"/>
                  <w:sz w:val="24"/>
                  <w:szCs w:val="24"/>
                </w:rPr>
                <m:t>-</m:t>
              </m:r>
              <m:r>
                <w:rPr>
                  <w:rFonts w:ascii="Cambria Math" w:hAnsi="Cambria Math" w:cs="Times New Roman"/>
                  <w:sz w:val="24"/>
                  <w:szCs w:val="24"/>
                </w:rPr>
                <m:t>δI</m:t>
              </m:r>
              <m:r>
                <m:rPr>
                  <m:sty m:val="p"/>
                </m:rPr>
                <w:rPr>
                  <w:rFonts w:ascii="Cambria Math" w:hAnsi="Cambria Math" w:cs="Times New Roman"/>
                  <w:sz w:val="24"/>
                  <w:szCs w:val="24"/>
                </w:rPr>
                <m:t>.</m:t>
              </m:r>
              <m:r>
                <w:rPr>
                  <w:rFonts w:ascii="Cambria Math" w:hAnsi="Cambria Math" w:cs="Times New Roman"/>
                  <w:sz w:val="24"/>
                  <w:szCs w:val="24"/>
                </w:rPr>
                <m:t>#(19)</m:t>
              </m:r>
            </m:e>
          </m:eqArr>
        </m:oMath>
      </m:oMathPara>
    </w:p>
    <w:p w14:paraId="7A5C8831"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Hence, for non-negative initial conditions, solutions remain non-negative and eventually enter the feasible region</w:t>
      </w:r>
    </w:p>
    <w:p w14:paraId="4AE1AE8B"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m:rPr>
                  <m:sty m:val="p"/>
                </m:rPr>
                <w:rPr>
                  <w:rFonts w:ascii="Cambria Math" w:hAnsi="Cambria Math" w:cs="Times New Roman"/>
                  <w:sz w:val="24"/>
                  <w:szCs w:val="24"/>
                </w:rPr>
                <m:t>Ω=</m:t>
              </m:r>
              <m:d>
                <m:dPr>
                  <m:begChr m:val="{"/>
                  <m:endChr m:val="}"/>
                  <m:ctrlPr>
                    <w:rPr>
                      <w:rFonts w:ascii="Cambria Math" w:hAnsi="Cambria Math" w:cs="Times New Roman"/>
                      <w:sz w:val="24"/>
                      <w:szCs w:val="24"/>
                    </w:rPr>
                  </m:ctrlPr>
                </m:dPr>
                <m:e>
                  <m:r>
                    <m:rPr>
                      <m:sty m:val="p"/>
                    </m:rPr>
                    <w:rPr>
                      <w:rFonts w:ascii="Cambria Math" w:hAnsi="Cambria Math" w:cs="Times New Roman"/>
                      <w:sz w:val="24"/>
                      <w:szCs w:val="24"/>
                    </w:rPr>
                    <m:t>(</m:t>
                  </m:r>
                  <m:r>
                    <w:rPr>
                      <w:rFonts w:ascii="Cambria Math" w:hAnsi="Cambria Math" w:cs="Times New Roman"/>
                      <w:sz w:val="24"/>
                      <w:szCs w:val="24"/>
                    </w:rPr>
                    <m:t>S</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m:t>
                  </m:r>
                  <m:sSubSup>
                    <m:sSubSupPr>
                      <m:ctrlPr>
                        <w:rPr>
                          <w:rFonts w:ascii="Cambria Math" w:hAnsi="Cambria Math" w:cs="Times New Roman"/>
                          <w:sz w:val="24"/>
                          <w:szCs w:val="24"/>
                        </w:rPr>
                      </m:ctrlPr>
                    </m:sSubSupPr>
                    <m:e>
                      <m:r>
                        <m:rPr>
                          <m:scr m:val="double-struck"/>
                        </m:rPr>
                        <w:rPr>
                          <w:rFonts w:ascii="Cambria Math" w:hAnsi="Cambria Math" w:cs="Times New Roman"/>
                          <w:sz w:val="24"/>
                          <w:szCs w:val="24"/>
                        </w:rPr>
                        <m:t>R</m:t>
                      </m:r>
                    </m:e>
                    <m:sub>
                      <m:r>
                        <m:rPr>
                          <m:sty m:val="p"/>
                        </m:rPr>
                        <w:rPr>
                          <w:rFonts w:ascii="Cambria Math" w:hAnsi="Cambria Math" w:cs="Times New Roman"/>
                          <w:sz w:val="24"/>
                          <w:szCs w:val="24"/>
                        </w:rPr>
                        <m:t>+</m:t>
                      </m:r>
                    </m:sub>
                    <m:sup>
                      <m:r>
                        <m:rPr>
                          <m:sty m:val="p"/>
                        </m:rPr>
                        <w:rPr>
                          <w:rFonts w:ascii="Cambria Math" w:hAnsi="Cambria Math" w:cs="Times New Roman"/>
                          <w:sz w:val="24"/>
                          <w:szCs w:val="24"/>
                        </w:rPr>
                        <m:t>4</m:t>
                      </m:r>
                    </m:sup>
                  </m:sSubSup>
                  <m:r>
                    <m:rPr>
                      <m:sty m:val="p"/>
                    </m:rPr>
                    <w:rPr>
                      <w:rFonts w:ascii="Cambria Math" w:hAnsi="Cambria Math" w:cs="Times New Roman"/>
                      <w:sz w:val="24"/>
                      <w:szCs w:val="24"/>
                    </w:rPr>
                    <m:t>:</m:t>
                  </m:r>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Λ</m:t>
                      </m:r>
                    </m:num>
                    <m:den>
                      <m:r>
                        <w:rPr>
                          <w:rFonts w:ascii="Cambria Math" w:hAnsi="Cambria Math" w:cs="Times New Roman"/>
                          <w:sz w:val="24"/>
                          <w:szCs w:val="24"/>
                        </w:rPr>
                        <m:t>μ</m:t>
                      </m:r>
                    </m:den>
                  </m:f>
                </m:e>
              </m:d>
              <m:r>
                <m:rPr>
                  <m:sty m:val="p"/>
                </m:rPr>
                <w:rPr>
                  <w:rFonts w:ascii="Cambria Math" w:hAnsi="Cambria Math" w:cs="Times New Roman"/>
                  <w:sz w:val="24"/>
                  <w:szCs w:val="24"/>
                </w:rPr>
                <m:t>.</m:t>
              </m:r>
              <m:r>
                <w:rPr>
                  <w:rFonts w:ascii="Cambria Math" w:hAnsi="Cambria Math" w:cs="Times New Roman"/>
                  <w:sz w:val="24"/>
                  <w:szCs w:val="24"/>
                </w:rPr>
                <m:t>#(20)</m:t>
              </m:r>
            </m:e>
          </m:eqArr>
        </m:oMath>
      </m:oMathPara>
    </w:p>
    <w:p w14:paraId="4EF1F651"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This boundedness follows from </w:t>
      </w:r>
      <m:oMath>
        <m:r>
          <m:rPr>
            <m:sty m:val="p"/>
          </m:rPr>
          <w:rPr>
            <w:rFonts w:ascii="Cambria Math" w:hAnsi="Cambria Math" w:cs="Times New Roman"/>
            <w:sz w:val="24"/>
            <w:szCs w:val="24"/>
          </w:rPr>
          <m:t>d</m:t>
        </m:r>
        <m:r>
          <w:rPr>
            <w:rFonts w:ascii="Cambria Math" w:hAnsi="Cambria Math" w:cs="Times New Roman"/>
            <w:sz w:val="24"/>
            <w:szCs w:val="24"/>
          </w:rPr>
          <m:t>N</m:t>
        </m:r>
        <m:r>
          <m:rPr>
            <m:sty m:val="p"/>
          </m:rPr>
          <w:rPr>
            <w:rFonts w:ascii="Cambria Math" w:hAnsi="Cambria Math" w:cs="Times New Roman"/>
            <w:sz w:val="24"/>
            <w:szCs w:val="24"/>
          </w:rPr>
          <m:t>/d</m:t>
        </m:r>
        <m:r>
          <w:rPr>
            <w:rFonts w:ascii="Cambria Math" w:hAnsi="Cambria Math" w:cs="Times New Roman"/>
            <w:sz w:val="24"/>
            <w:szCs w:val="24"/>
          </w:rPr>
          <m:t>t</m:t>
        </m:r>
        <m:r>
          <m:rPr>
            <m:sty m:val="p"/>
          </m:rPr>
          <w:rPr>
            <w:rFonts w:ascii="Cambria Math" w:hAnsi="Cambria Math" w:cs="Times New Roman"/>
            <w:sz w:val="24"/>
            <w:szCs w:val="24"/>
          </w:rPr>
          <m:t>≤Λ-</m:t>
        </m:r>
        <m:r>
          <w:rPr>
            <w:rFonts w:ascii="Cambria Math" w:hAnsi="Cambria Math" w:cs="Times New Roman"/>
            <w:sz w:val="24"/>
            <w:szCs w:val="24"/>
          </w:rPr>
          <m:t>μN</m:t>
        </m:r>
      </m:oMath>
      <w:r w:rsidRPr="005405D4">
        <w:rPr>
          <w:rFonts w:ascii="Times New Roman" w:hAnsi="Times New Roman" w:cs="Times New Roman"/>
          <w:sz w:val="24"/>
          <w:szCs w:val="24"/>
        </w:rPr>
        <w:t>.</w:t>
      </w:r>
    </w:p>
    <w:p w14:paraId="338369E0" w14:textId="77777777" w:rsidR="00FE3703" w:rsidRPr="005405D4" w:rsidRDefault="00326151" w:rsidP="009C16F4">
      <w:pPr>
        <w:spacing w:before="240" w:line="480" w:lineRule="auto"/>
        <w:jc w:val="both"/>
        <w:rPr>
          <w:rFonts w:ascii="Times New Roman" w:hAnsi="Times New Roman" w:cs="Times New Roman"/>
          <w:sz w:val="24"/>
          <w:szCs w:val="24"/>
        </w:rPr>
      </w:pPr>
      <w:bookmarkStart w:id="10" w:name="bm_3_4_parameters"/>
      <w:r w:rsidRPr="005405D4">
        <w:rPr>
          <w:rFonts w:ascii="Times New Roman" w:hAnsi="Times New Roman" w:cs="Times New Roman"/>
          <w:b/>
          <w:sz w:val="24"/>
          <w:szCs w:val="24"/>
        </w:rPr>
        <w:t>3.4 Parameters</w:t>
      </w:r>
      <w:bookmarkEnd w:id="10"/>
    </w:p>
    <w:p w14:paraId="53819828"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Table 1 retains the exploratory parameter ranges used in the original study. These values are illustrative rather than fitted estimates; a publishable forecasting application would require estimation from Nigerian case, mortality, demographic, and </w:t>
      </w:r>
      <w:proofErr w:type="spellStart"/>
      <w:r w:rsidRPr="005405D4">
        <w:rPr>
          <w:rFonts w:ascii="Times New Roman" w:hAnsi="Times New Roman" w:cs="Times New Roman"/>
          <w:sz w:val="24"/>
          <w:szCs w:val="24"/>
        </w:rPr>
        <w:t>immunisation</w:t>
      </w:r>
      <w:proofErr w:type="spellEnd"/>
      <w:r w:rsidRPr="005405D4">
        <w:rPr>
          <w:rFonts w:ascii="Times New Roman" w:hAnsi="Times New Roman" w:cs="Times New Roman"/>
          <w:sz w:val="24"/>
          <w:szCs w:val="24"/>
        </w:rPr>
        <w:t xml:space="preserve"> data.</w:t>
      </w:r>
    </w:p>
    <w:p w14:paraId="2DB711F2"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Table 1: Parameters of the SIRV diphtheria model.</w:t>
      </w:r>
    </w:p>
    <w:tbl>
      <w:tblPr>
        <w:tblStyle w:val="NormalGrid"/>
        <w:tblW w:w="0" w:type="auto"/>
        <w:jc w:val="center"/>
        <w:tblCellSpacing w:w="0" w:type="dxa"/>
        <w:tblLook w:val="04A0" w:firstRow="1" w:lastRow="0" w:firstColumn="1" w:lastColumn="0" w:noHBand="0" w:noVBand="1"/>
      </w:tblPr>
      <w:tblGrid>
        <w:gridCol w:w="1333"/>
        <w:gridCol w:w="4886"/>
        <w:gridCol w:w="2919"/>
      </w:tblGrid>
      <w:tr w:rsidR="00FE3703" w:rsidRPr="005405D4" w14:paraId="48F09014" w14:textId="77777777">
        <w:trPr>
          <w:cantSplit/>
          <w:tblCellSpacing w:w="0" w:type="dxa"/>
          <w:jc w:val="center"/>
        </w:trPr>
        <w:tc>
          <w:tcPr>
            <w:tcW w:w="0" w:type="auto"/>
            <w:tcBorders>
              <w:top w:val="single" w:sz="8" w:space="0" w:color="000000"/>
              <w:left w:val="single" w:sz="8" w:space="0" w:color="000000"/>
              <w:bottom w:val="single" w:sz="8" w:space="0" w:color="000000"/>
              <w:right w:val="single" w:sz="8" w:space="0" w:color="000000"/>
            </w:tcBorders>
          </w:tcPr>
          <w:p w14:paraId="63383B77"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Parameter</w:t>
            </w:r>
          </w:p>
        </w:tc>
        <w:tc>
          <w:tcPr>
            <w:tcW w:w="0" w:type="auto"/>
            <w:tcBorders>
              <w:top w:val="single" w:sz="8" w:space="0" w:color="000000"/>
              <w:bottom w:val="single" w:sz="8" w:space="0" w:color="000000"/>
              <w:right w:val="single" w:sz="8" w:space="0" w:color="000000"/>
            </w:tcBorders>
          </w:tcPr>
          <w:p w14:paraId="7F4E3A2A"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Description</w:t>
            </w:r>
          </w:p>
        </w:tc>
        <w:tc>
          <w:tcPr>
            <w:tcW w:w="0" w:type="auto"/>
            <w:tcBorders>
              <w:top w:val="single" w:sz="8" w:space="0" w:color="000000"/>
              <w:bottom w:val="single" w:sz="8" w:space="0" w:color="000000"/>
              <w:right w:val="single" w:sz="8" w:space="0" w:color="000000"/>
            </w:tcBorders>
          </w:tcPr>
          <w:p w14:paraId="771A59B6"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Exploratory value or range</w:t>
            </w:r>
          </w:p>
        </w:tc>
      </w:tr>
      <w:tr w:rsidR="00FE3703" w:rsidRPr="005405D4" w14:paraId="5F8F397F"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4FD43DEF"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Λ</m:t>
                </m:r>
              </m:oMath>
            </m:oMathPara>
          </w:p>
        </w:tc>
        <w:tc>
          <w:tcPr>
            <w:tcW w:w="0" w:type="auto"/>
            <w:tcBorders>
              <w:bottom w:val="single" w:sz="8" w:space="0" w:color="000000"/>
              <w:right w:val="single" w:sz="8" w:space="0" w:color="000000"/>
            </w:tcBorders>
          </w:tcPr>
          <w:p w14:paraId="1C58DE88"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Recruitment into the susceptible population</w:t>
            </w:r>
          </w:p>
        </w:tc>
        <w:tc>
          <w:tcPr>
            <w:tcW w:w="0" w:type="auto"/>
            <w:tcBorders>
              <w:bottom w:val="single" w:sz="8" w:space="0" w:color="000000"/>
              <w:right w:val="single" w:sz="8" w:space="0" w:color="000000"/>
            </w:tcBorders>
          </w:tcPr>
          <w:p w14:paraId="185DBFAE"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To be estimated</w:t>
            </w:r>
          </w:p>
        </w:tc>
      </w:tr>
      <w:tr w:rsidR="00FE3703" w:rsidRPr="005405D4" w14:paraId="428CAA52"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149D9B53"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w:lastRenderedPageBreak/>
                  <m:t>β</m:t>
                </m:r>
              </m:oMath>
            </m:oMathPara>
          </w:p>
        </w:tc>
        <w:tc>
          <w:tcPr>
            <w:tcW w:w="0" w:type="auto"/>
            <w:tcBorders>
              <w:bottom w:val="single" w:sz="8" w:space="0" w:color="000000"/>
              <w:right w:val="single" w:sz="8" w:space="0" w:color="000000"/>
            </w:tcBorders>
          </w:tcPr>
          <w:p w14:paraId="7D5C7EFD"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Effective transmission rate</w:t>
            </w:r>
          </w:p>
        </w:tc>
        <w:tc>
          <w:tcPr>
            <w:tcW w:w="0" w:type="auto"/>
            <w:tcBorders>
              <w:bottom w:val="single" w:sz="8" w:space="0" w:color="000000"/>
              <w:right w:val="single" w:sz="8" w:space="0" w:color="000000"/>
            </w:tcBorders>
          </w:tcPr>
          <w:p w14:paraId="6080A6D2"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0.4-0.6</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r w:rsidR="00FE3703" w:rsidRPr="005405D4" w14:paraId="3BA2BAD3"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296ED213"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ν</m:t>
                </m:r>
              </m:oMath>
            </m:oMathPara>
          </w:p>
        </w:tc>
        <w:tc>
          <w:tcPr>
            <w:tcW w:w="0" w:type="auto"/>
            <w:tcBorders>
              <w:bottom w:val="single" w:sz="8" w:space="0" w:color="000000"/>
              <w:right w:val="single" w:sz="8" w:space="0" w:color="000000"/>
            </w:tcBorders>
          </w:tcPr>
          <w:p w14:paraId="1B7DE4EB"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Vaccination rate among susceptible individuals</w:t>
            </w:r>
          </w:p>
        </w:tc>
        <w:tc>
          <w:tcPr>
            <w:tcW w:w="0" w:type="auto"/>
            <w:tcBorders>
              <w:bottom w:val="single" w:sz="8" w:space="0" w:color="000000"/>
              <w:right w:val="single" w:sz="8" w:space="0" w:color="000000"/>
            </w:tcBorders>
          </w:tcPr>
          <w:p w14:paraId="47C3BFD2"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0.002-0.01</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r w:rsidR="00FE3703" w:rsidRPr="005405D4" w14:paraId="0B6D458F"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6CE5FAD4"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γ</m:t>
                </m:r>
              </m:oMath>
            </m:oMathPara>
          </w:p>
        </w:tc>
        <w:tc>
          <w:tcPr>
            <w:tcW w:w="0" w:type="auto"/>
            <w:tcBorders>
              <w:bottom w:val="single" w:sz="8" w:space="0" w:color="000000"/>
              <w:right w:val="single" w:sz="8" w:space="0" w:color="000000"/>
            </w:tcBorders>
          </w:tcPr>
          <w:p w14:paraId="4DD49079"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Recovery rate</w:t>
            </w:r>
          </w:p>
        </w:tc>
        <w:tc>
          <w:tcPr>
            <w:tcW w:w="0" w:type="auto"/>
            <w:tcBorders>
              <w:bottom w:val="single" w:sz="8" w:space="0" w:color="000000"/>
              <w:right w:val="single" w:sz="8" w:space="0" w:color="000000"/>
            </w:tcBorders>
          </w:tcPr>
          <w:p w14:paraId="6EB75CBA" w14:textId="77777777" w:rsidR="00FE3703" w:rsidRPr="005405D4" w:rsidRDefault="00326151" w:rsidP="009C16F4">
            <w:pPr>
              <w:spacing w:line="480" w:lineRule="auto"/>
              <w:jc w:val="both"/>
              <w:rPr>
                <w:rFonts w:ascii="Times New Roman" w:hAnsi="Times New Roman" w:cs="Times New Roman"/>
                <w:sz w:val="24"/>
                <w:szCs w:val="24"/>
              </w:rPr>
            </w:pPr>
            <m:oMath>
              <m:r>
                <m:rPr>
                  <m:sty m:val="p"/>
                </m:rPr>
                <w:rPr>
                  <w:rFonts w:ascii="Cambria Math" w:hAnsi="Cambria Math" w:cs="Times New Roman"/>
                  <w:sz w:val="24"/>
                  <w:szCs w:val="24"/>
                </w:rPr>
                <m:t>0.1-0.2</m:t>
              </m:r>
            </m:oMath>
            <w:r w:rsidRPr="005405D4">
              <w:rPr>
                <w:rFonts w:ascii="Times New Roman" w:hAnsi="Times New Roman" w:cs="Times New Roman"/>
                <w:sz w:val="24"/>
                <w:szCs w:val="24"/>
              </w:rPr>
              <w:t xml:space="preserve"> day </w:t>
            </w:r>
            <m:oMath>
              <m:sSup>
                <m:sSupPr>
                  <m:ctrlPr>
                    <w:rPr>
                      <w:rFonts w:ascii="Cambria Math" w:hAnsi="Cambria Math" w:cs="Times New Roman"/>
                      <w:sz w:val="24"/>
                      <w:szCs w:val="24"/>
                    </w:rPr>
                  </m:ctrlPr>
                </m:sSupPr>
                <m:e>
                  <m:r>
                    <w:rPr>
                      <w:rFonts w:ascii="Cambria Math" w:hAnsi="Cambria Math" w:cs="Times New Roman"/>
                      <w:sz w:val="24"/>
                      <w:szCs w:val="24"/>
                    </w:rPr>
                    <m:t xml:space="preserve"> </m:t>
                  </m:r>
                </m:e>
                <m:sup>
                  <m:r>
                    <m:rPr>
                      <m:sty m:val="p"/>
                    </m:rPr>
                    <w:rPr>
                      <w:rFonts w:ascii="Cambria Math" w:hAnsi="Cambria Math" w:cs="Times New Roman"/>
                      <w:sz w:val="24"/>
                      <w:szCs w:val="24"/>
                    </w:rPr>
                    <m:t>-1</m:t>
                  </m:r>
                </m:sup>
              </m:sSup>
            </m:oMath>
          </w:p>
        </w:tc>
      </w:tr>
      <w:tr w:rsidR="00FE3703" w:rsidRPr="005405D4" w14:paraId="33ABC176"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7A122755"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δ</m:t>
                </m:r>
              </m:oMath>
            </m:oMathPara>
          </w:p>
        </w:tc>
        <w:tc>
          <w:tcPr>
            <w:tcW w:w="0" w:type="auto"/>
            <w:tcBorders>
              <w:bottom w:val="single" w:sz="8" w:space="0" w:color="000000"/>
              <w:right w:val="single" w:sz="8" w:space="0" w:color="000000"/>
            </w:tcBorders>
          </w:tcPr>
          <w:p w14:paraId="257BE469"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Disease-induced mortality rate</w:t>
            </w:r>
          </w:p>
        </w:tc>
        <w:tc>
          <w:tcPr>
            <w:tcW w:w="0" w:type="auto"/>
            <w:tcBorders>
              <w:bottom w:val="single" w:sz="8" w:space="0" w:color="000000"/>
              <w:right w:val="single" w:sz="8" w:space="0" w:color="000000"/>
            </w:tcBorders>
          </w:tcPr>
          <w:p w14:paraId="1CF665CA"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0.01-0.05</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r w:rsidR="00FE3703" w:rsidRPr="005405D4" w14:paraId="523A808A"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5F29A5DB" w14:textId="77777777" w:rsidR="00FE3703" w:rsidRPr="005405D4" w:rsidRDefault="00000000" w:rsidP="009C16F4">
            <w:pPr>
              <w:spacing w:line="48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oMath>
            </m:oMathPara>
          </w:p>
        </w:tc>
        <w:tc>
          <w:tcPr>
            <w:tcW w:w="0" w:type="auto"/>
            <w:tcBorders>
              <w:bottom w:val="single" w:sz="8" w:space="0" w:color="000000"/>
              <w:right w:val="single" w:sz="8" w:space="0" w:color="000000"/>
            </w:tcBorders>
          </w:tcPr>
          <w:p w14:paraId="5BCCA22A"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Loss of infection-acquired immunity</w:t>
            </w:r>
          </w:p>
        </w:tc>
        <w:tc>
          <w:tcPr>
            <w:tcW w:w="0" w:type="auto"/>
            <w:tcBorders>
              <w:bottom w:val="single" w:sz="8" w:space="0" w:color="000000"/>
              <w:right w:val="single" w:sz="8" w:space="0" w:color="000000"/>
            </w:tcBorders>
          </w:tcPr>
          <w:p w14:paraId="54761CC4"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0.001-0.005</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r w:rsidR="00FE3703" w:rsidRPr="005405D4" w14:paraId="701CFA19"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29621935" w14:textId="77777777" w:rsidR="00FE3703" w:rsidRPr="005405D4" w:rsidRDefault="00000000" w:rsidP="009C16F4">
            <w:pPr>
              <w:spacing w:line="48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oMath>
            </m:oMathPara>
          </w:p>
        </w:tc>
        <w:tc>
          <w:tcPr>
            <w:tcW w:w="0" w:type="auto"/>
            <w:tcBorders>
              <w:bottom w:val="single" w:sz="8" w:space="0" w:color="000000"/>
              <w:right w:val="single" w:sz="8" w:space="0" w:color="000000"/>
            </w:tcBorders>
          </w:tcPr>
          <w:p w14:paraId="336DCF63"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Loss of vaccine-induced immunity</w:t>
            </w:r>
          </w:p>
        </w:tc>
        <w:tc>
          <w:tcPr>
            <w:tcW w:w="0" w:type="auto"/>
            <w:tcBorders>
              <w:bottom w:val="single" w:sz="8" w:space="0" w:color="000000"/>
              <w:right w:val="single" w:sz="8" w:space="0" w:color="000000"/>
            </w:tcBorders>
          </w:tcPr>
          <w:p w14:paraId="16B9C73C"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0.0005-0.002</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r w:rsidR="00FE3703" w:rsidRPr="005405D4" w14:paraId="3B4C7209" w14:textId="77777777">
        <w:trPr>
          <w:cantSplit/>
          <w:tblCellSpacing w:w="0" w:type="dxa"/>
          <w:jc w:val="center"/>
        </w:trPr>
        <w:tc>
          <w:tcPr>
            <w:tcW w:w="0" w:type="auto"/>
            <w:tcBorders>
              <w:left w:val="single" w:sz="8" w:space="0" w:color="000000"/>
              <w:bottom w:val="single" w:sz="8" w:space="0" w:color="000000"/>
              <w:right w:val="single" w:sz="8" w:space="0" w:color="000000"/>
            </w:tcBorders>
          </w:tcPr>
          <w:p w14:paraId="22B37EDB"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μ</m:t>
                </m:r>
              </m:oMath>
            </m:oMathPara>
          </w:p>
        </w:tc>
        <w:tc>
          <w:tcPr>
            <w:tcW w:w="0" w:type="auto"/>
            <w:tcBorders>
              <w:bottom w:val="single" w:sz="8" w:space="0" w:color="000000"/>
              <w:right w:val="single" w:sz="8" w:space="0" w:color="000000"/>
            </w:tcBorders>
          </w:tcPr>
          <w:p w14:paraId="5B164F14"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Natural mortality rate</w:t>
            </w:r>
          </w:p>
        </w:tc>
        <w:tc>
          <w:tcPr>
            <w:tcW w:w="0" w:type="auto"/>
            <w:tcBorders>
              <w:bottom w:val="single" w:sz="8" w:space="0" w:color="000000"/>
              <w:right w:val="single" w:sz="8" w:space="0" w:color="000000"/>
            </w:tcBorders>
          </w:tcPr>
          <w:p w14:paraId="01E4A2F6" w14:textId="77777777" w:rsidR="00FE3703" w:rsidRPr="005405D4" w:rsidRDefault="00326151" w:rsidP="009C16F4">
            <w:pPr>
              <w:spacing w:line="480" w:lineRule="auto"/>
              <w:jc w:val="both"/>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0.0001-0.0002</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oMath>
            </m:oMathPara>
          </w:p>
        </w:tc>
      </w:tr>
    </w:tbl>
    <w:p w14:paraId="7EBFA5B9" w14:textId="77777777" w:rsidR="00FE3703" w:rsidRPr="005405D4" w:rsidRDefault="00FE3703" w:rsidP="009C16F4">
      <w:pPr>
        <w:spacing w:line="480" w:lineRule="auto"/>
        <w:jc w:val="both"/>
        <w:rPr>
          <w:rFonts w:ascii="Times New Roman" w:hAnsi="Times New Roman" w:cs="Times New Roman"/>
          <w:sz w:val="24"/>
          <w:szCs w:val="24"/>
        </w:rPr>
      </w:pPr>
    </w:p>
    <w:p w14:paraId="1945B4FA" w14:textId="77777777" w:rsidR="00FE3703" w:rsidRPr="005405D4" w:rsidRDefault="00326151" w:rsidP="009C16F4">
      <w:pPr>
        <w:spacing w:before="330" w:line="480" w:lineRule="auto"/>
        <w:jc w:val="both"/>
        <w:rPr>
          <w:rFonts w:ascii="Times New Roman" w:hAnsi="Times New Roman" w:cs="Times New Roman"/>
          <w:sz w:val="24"/>
          <w:szCs w:val="24"/>
        </w:rPr>
      </w:pPr>
      <w:bookmarkStart w:id="11" w:name="bm_4_model_analysis"/>
      <w:r w:rsidRPr="005405D4">
        <w:rPr>
          <w:rFonts w:ascii="Times New Roman" w:hAnsi="Times New Roman" w:cs="Times New Roman"/>
          <w:b/>
          <w:sz w:val="24"/>
          <w:szCs w:val="24"/>
        </w:rPr>
        <w:t>4 Model analysis</w:t>
      </w:r>
      <w:bookmarkEnd w:id="11"/>
    </w:p>
    <w:p w14:paraId="223C9D95" w14:textId="77777777" w:rsidR="00FE3703" w:rsidRPr="005405D4" w:rsidRDefault="00326151" w:rsidP="009C16F4">
      <w:pPr>
        <w:spacing w:before="240" w:line="480" w:lineRule="auto"/>
        <w:jc w:val="both"/>
        <w:rPr>
          <w:rFonts w:ascii="Times New Roman" w:hAnsi="Times New Roman" w:cs="Times New Roman"/>
          <w:sz w:val="24"/>
          <w:szCs w:val="24"/>
        </w:rPr>
      </w:pPr>
      <w:bookmarkStart w:id="12" w:name="bm_4_1_disease_free_equilibrium"/>
      <w:r w:rsidRPr="005405D4">
        <w:rPr>
          <w:rFonts w:ascii="Times New Roman" w:hAnsi="Times New Roman" w:cs="Times New Roman"/>
          <w:b/>
          <w:sz w:val="24"/>
          <w:szCs w:val="24"/>
        </w:rPr>
        <w:t>4.1 Disease-free equilibrium</w:t>
      </w:r>
      <w:bookmarkEnd w:id="12"/>
    </w:p>
    <w:p w14:paraId="0A7630E7"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At the disease-free equilibrium (DFE), </w:t>
      </w:r>
      <m:oMath>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R</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=0</m:t>
        </m:r>
      </m:oMath>
      <w:r w:rsidRPr="005405D4">
        <w:rPr>
          <w:rFonts w:ascii="Times New Roman" w:hAnsi="Times New Roman" w:cs="Times New Roman"/>
          <w:sz w:val="24"/>
          <w:szCs w:val="24"/>
        </w:rPr>
        <w:t>. Setting the remaining derivatives to zero gives</w:t>
      </w:r>
    </w:p>
    <w:p w14:paraId="733EC43D"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Λ</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num>
                <m:den>
                  <m:r>
                    <w:rPr>
                      <w:rFonts w:ascii="Cambria Math" w:hAnsi="Cambria Math" w:cs="Times New Roman"/>
                      <w:sz w:val="24"/>
                      <w:szCs w:val="24"/>
                    </w:rPr>
                    <m:t>μ</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den>
              </m:f>
              <m:r>
                <m:rPr>
                  <m:sty m:val="p"/>
                </m:rPr>
                <w:rPr>
                  <w:rFonts w:ascii="Cambria Math" w:hAnsi="Cambria Math" w:cs="Times New Roman"/>
                  <w:sz w:val="24"/>
                  <w:szCs w:val="24"/>
                </w:rPr>
                <m:t xml:space="preserve">, </m:t>
              </m:r>
              <m:sSup>
                <m:sSupPr>
                  <m:ctrlPr>
                    <w:rPr>
                      <w:rFonts w:ascii="Cambria Math" w:hAnsi="Cambria Math" w:cs="Times New Roman"/>
                      <w:sz w:val="24"/>
                      <w:szCs w:val="24"/>
                    </w:rPr>
                  </m:ctrlPr>
                </m:sSupPr>
                <m:e>
                  <m:r>
                    <w:rPr>
                      <w:rFonts w:ascii="Cambria Math" w:hAnsi="Cambria Math" w:cs="Times New Roman"/>
                      <w:sz w:val="24"/>
                      <w:szCs w:val="24"/>
                    </w:rPr>
                    <m:t>V</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ν</m:t>
                  </m:r>
                  <m:r>
                    <m:rPr>
                      <m:sty m:val="p"/>
                    </m:rPr>
                    <w:rPr>
                      <w:rFonts w:ascii="Cambria Math" w:hAnsi="Cambria Math" w:cs="Times New Roman"/>
                      <w:sz w:val="24"/>
                      <w:szCs w:val="24"/>
                    </w:rPr>
                    <m:t>Λ</m:t>
                  </m:r>
                </m:num>
                <m:den>
                  <m:r>
                    <w:rPr>
                      <w:rFonts w:ascii="Cambria Math" w:hAnsi="Cambria Math" w:cs="Times New Roman"/>
                      <w:sz w:val="24"/>
                      <w:szCs w:val="24"/>
                    </w:rPr>
                    <m:t>μ</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den>
              </m:f>
              <m:r>
                <m:rPr>
                  <m:sty m:val="p"/>
                </m:rPr>
                <w:rPr>
                  <w:rFonts w:ascii="Cambria Math" w:hAnsi="Cambria Math" w:cs="Times New Roman"/>
                  <w:sz w:val="24"/>
                  <w:szCs w:val="24"/>
                </w:rPr>
                <m:t>.</m:t>
              </m:r>
              <m:r>
                <w:rPr>
                  <w:rFonts w:ascii="Cambria Math" w:hAnsi="Cambria Math" w:cs="Times New Roman"/>
                  <w:sz w:val="24"/>
                  <w:szCs w:val="24"/>
                </w:rPr>
                <m:t>#(21)</m:t>
              </m:r>
            </m:e>
          </m:eqArr>
        </m:oMath>
      </m:oMathPara>
    </w:p>
    <w:p w14:paraId="49FB4C73"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Therefore,</w:t>
      </w:r>
    </w:p>
    <w:p w14:paraId="48B0AE05"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E</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Λ</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num>
                    <m:den>
                      <m:r>
                        <w:rPr>
                          <w:rFonts w:ascii="Cambria Math" w:hAnsi="Cambria Math" w:cs="Times New Roman"/>
                          <w:sz w:val="24"/>
                          <w:szCs w:val="24"/>
                        </w:rPr>
                        <m:t>μ</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den>
                  </m:f>
                  <m:r>
                    <m:rPr>
                      <m:sty m:val="p"/>
                    </m:rPr>
                    <w:rPr>
                      <w:rFonts w:ascii="Cambria Math" w:hAnsi="Cambria Math" w:cs="Times New Roman"/>
                      <w:sz w:val="24"/>
                      <w:szCs w:val="24"/>
                    </w:rPr>
                    <m:t>,0,0,</m:t>
                  </m:r>
                  <m:f>
                    <m:fPr>
                      <m:ctrlPr>
                        <w:rPr>
                          <w:rFonts w:ascii="Cambria Math" w:hAnsi="Cambria Math" w:cs="Times New Roman"/>
                          <w:sz w:val="24"/>
                          <w:szCs w:val="24"/>
                        </w:rPr>
                      </m:ctrlPr>
                    </m:fPr>
                    <m:num>
                      <m:r>
                        <w:rPr>
                          <w:rFonts w:ascii="Cambria Math" w:hAnsi="Cambria Math" w:cs="Times New Roman"/>
                          <w:sz w:val="24"/>
                          <w:szCs w:val="24"/>
                        </w:rPr>
                        <m:t>ν</m:t>
                      </m:r>
                      <m:r>
                        <m:rPr>
                          <m:sty m:val="p"/>
                        </m:rPr>
                        <w:rPr>
                          <w:rFonts w:ascii="Cambria Math" w:hAnsi="Cambria Math" w:cs="Times New Roman"/>
                          <w:sz w:val="24"/>
                          <w:szCs w:val="24"/>
                        </w:rPr>
                        <m:t>Λ</m:t>
                      </m:r>
                    </m:num>
                    <m:den>
                      <m:r>
                        <w:rPr>
                          <w:rFonts w:ascii="Cambria Math" w:hAnsi="Cambria Math" w:cs="Times New Roman"/>
                          <w:sz w:val="24"/>
                          <w:szCs w:val="24"/>
                        </w:rPr>
                        <m:t>μ</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den>
                  </m:f>
                </m:e>
              </m:d>
              <m:r>
                <m:rPr>
                  <m:sty m:val="p"/>
                </m:rPr>
                <w:rPr>
                  <w:rFonts w:ascii="Cambria Math" w:hAnsi="Cambria Math" w:cs="Times New Roman"/>
                  <w:sz w:val="24"/>
                  <w:szCs w:val="24"/>
                </w:rPr>
                <m:t>,</m:t>
              </m:r>
              <m:r>
                <w:rPr>
                  <w:rFonts w:ascii="Cambria Math" w:hAnsi="Cambria Math" w:cs="Times New Roman"/>
                  <w:sz w:val="24"/>
                  <w:szCs w:val="24"/>
                </w:rPr>
                <m:t>#(22)</m:t>
              </m:r>
            </m:e>
          </m:eqArr>
        </m:oMath>
      </m:oMathPara>
    </w:p>
    <w:p w14:paraId="3D10D247"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with </w:t>
      </w:r>
      <m:oMath>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=Λ/</m:t>
        </m:r>
        <m:r>
          <w:rPr>
            <w:rFonts w:ascii="Cambria Math" w:hAnsi="Cambria Math" w:cs="Times New Roman"/>
            <w:sz w:val="24"/>
            <w:szCs w:val="24"/>
          </w:rPr>
          <m:t>μ</m:t>
        </m:r>
      </m:oMath>
      <w:r w:rsidRPr="005405D4">
        <w:rPr>
          <w:rFonts w:ascii="Times New Roman" w:hAnsi="Times New Roman" w:cs="Times New Roman"/>
          <w:sz w:val="24"/>
          <w:szCs w:val="24"/>
        </w:rPr>
        <w:t>.</w:t>
      </w:r>
    </w:p>
    <w:p w14:paraId="495FCD2D" w14:textId="77777777" w:rsidR="00FE3703" w:rsidRPr="005405D4" w:rsidRDefault="00326151" w:rsidP="009C16F4">
      <w:pPr>
        <w:spacing w:before="240" w:line="480" w:lineRule="auto"/>
        <w:jc w:val="both"/>
        <w:rPr>
          <w:rFonts w:ascii="Times New Roman" w:hAnsi="Times New Roman" w:cs="Times New Roman"/>
          <w:sz w:val="24"/>
          <w:szCs w:val="24"/>
        </w:rPr>
      </w:pPr>
      <w:bookmarkStart w:id="13" w:name="bm_4_2_basic_reproduction_number"/>
      <w:r w:rsidRPr="005405D4">
        <w:rPr>
          <w:rFonts w:ascii="Times New Roman" w:hAnsi="Times New Roman" w:cs="Times New Roman"/>
          <w:b/>
          <w:sz w:val="24"/>
          <w:szCs w:val="24"/>
        </w:rPr>
        <w:t>4.2 Basic reproduction number</w:t>
      </w:r>
      <w:bookmarkEnd w:id="13"/>
    </w:p>
    <w:p w14:paraId="7B4F19F3"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lastRenderedPageBreak/>
        <w:t>For the single infectious compartment, the new-infection and transition terms are</w:t>
      </w:r>
    </w:p>
    <w:p w14:paraId="24A380FB"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m:rPr>
                  <m:scr m:val="script"/>
                </m:rPr>
                <w:rPr>
                  <w:rFonts w:ascii="Cambria Math" w:hAnsi="Cambria Math" w:cs="Times New Roman"/>
                  <w:sz w:val="24"/>
                  <w:szCs w:val="24"/>
                </w:rPr>
                <m:t>F</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βSI</m:t>
                  </m:r>
                </m:num>
                <m:den>
                  <m:r>
                    <w:rPr>
                      <w:rFonts w:ascii="Cambria Math" w:hAnsi="Cambria Math" w:cs="Times New Roman"/>
                      <w:sz w:val="24"/>
                      <w:szCs w:val="24"/>
                    </w:rPr>
                    <m:t>N</m:t>
                  </m:r>
                </m:den>
              </m:f>
              <m:r>
                <m:rPr>
                  <m:sty m:val="p"/>
                </m:rPr>
                <w:rPr>
                  <w:rFonts w:ascii="Cambria Math" w:hAnsi="Cambria Math" w:cs="Times New Roman"/>
                  <w:sz w:val="24"/>
                  <w:szCs w:val="24"/>
                </w:rPr>
                <m:t xml:space="preserve">, </m:t>
              </m:r>
              <m:r>
                <m:rPr>
                  <m:scr m:val="script"/>
                </m:rPr>
                <w:rPr>
                  <w:rFonts w:ascii="Cambria Math" w:hAnsi="Cambria Math" w:cs="Times New Roman"/>
                  <w:sz w:val="24"/>
                  <w:szCs w:val="24"/>
                </w:rPr>
                <m:t>V</m:t>
              </m:r>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I#(23)</m:t>
              </m:r>
            </m:e>
          </m:eqArr>
        </m:oMath>
      </m:oMathPara>
    </w:p>
    <w:p w14:paraId="2F97E0D8" w14:textId="77777777" w:rsidR="00FE3703" w:rsidRPr="005405D4" w:rsidRDefault="00326151" w:rsidP="009C16F4">
      <w:pPr>
        <w:spacing w:after="220" w:line="480" w:lineRule="auto"/>
        <w:jc w:val="both"/>
        <w:rPr>
          <w:rFonts w:ascii="Times New Roman" w:hAnsi="Times New Roman" w:cs="Times New Roman"/>
          <w:sz w:val="24"/>
          <w:szCs w:val="24"/>
        </w:rPr>
      </w:pPr>
      <w:r>
        <w:rPr>
          <w:rFonts w:ascii="Times New Roman" w:hAnsi="Times New Roman" w:cs="Times New Roman"/>
          <w:sz w:val="24"/>
          <w:szCs w:val="24"/>
        </w:rPr>
        <w:t xml:space="preserve">The next-generation method </w:t>
      </w:r>
      <w:r>
        <w:rPr>
          <w:rFonts w:ascii="Times New Roman" w:hAnsi="Times New Roman" w:cs="Times New Roman"/>
          <w:sz w:val="24"/>
          <w:szCs w:val="24"/>
          <w:highlight w:val="yellow"/>
        </w:rPr>
        <w:t>(Diekmann et al., 1990)</w:t>
      </w:r>
      <w:r>
        <w:rPr>
          <w:rFonts w:ascii="Times New Roman" w:hAnsi="Times New Roman" w:cs="Times New Roman"/>
          <w:sz w:val="24"/>
          <w:szCs w:val="24"/>
        </w:rPr>
        <w:t xml:space="preserve"> yields</w:t>
      </w:r>
    </w:p>
    <w:p w14:paraId="70999921" w14:textId="77777777" w:rsidR="00FE3703" w:rsidRPr="005405D4" w:rsidRDefault="00000000" w:rsidP="009C16F4">
      <w:pPr>
        <w:spacing w:after="220" w:line="480" w:lineRule="auto"/>
        <w:jc w:val="both"/>
        <w:rPr>
          <w:rFonts w:ascii="Times New Roman" w:hAnsi="Times New Roman" w:cs="Times New Roman"/>
          <w:sz w:val="24"/>
          <w:szCs w:val="24"/>
        </w:rPr>
      </w:pPr>
      <m:oMathPara>
        <m:oMath>
          <m:m>
            <m:mPr>
              <m:plcHide m:val="1"/>
              <m:cGpRule m:val="4"/>
              <m:mcs>
                <m:mc>
                  <m:mcPr>
                    <m:count m:val="1"/>
                    <m:mcJc m:val="right"/>
                  </m:mcPr>
                </m:mc>
                <m:mc>
                  <m:mcPr>
                    <m:count m:val="2"/>
                    <m:mcJc m:val="left"/>
                  </m:mcPr>
                </m:mc>
              </m:mcs>
              <m:ctrlPr>
                <w:rPr>
                  <w:rFonts w:ascii="Cambria Math" w:hAnsi="Cambria Math" w:cs="Times New Roman"/>
                  <w:i/>
                  <w:sz w:val="24"/>
                  <w:szCs w:val="24"/>
                </w:rPr>
              </m:ctrlPr>
            </m:mPr>
            <m:mr>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e>
              <m:e/>
              <m:e>
                <m:r>
                  <w:rPr>
                    <w:rFonts w:ascii="Cambria Math" w:hAnsi="Cambria Math" w:cs="Times New Roman"/>
                    <w:sz w:val="24"/>
                    <w:szCs w:val="24"/>
                  </w:rPr>
                  <m:t xml:space="preserve"> </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0</m:t>
                        </m:r>
                      </m:sup>
                    </m:sSup>
                  </m:num>
                  <m:den>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den>
                </m:f>
              </m:e>
            </m:mr>
            <m:mr>
              <m:e/>
              <m:e>
                <m:r>
                  <w:rPr>
                    <w:rFonts w:ascii="Cambria Math" w:hAnsi="Cambria Math" w:cs="Times New Roman"/>
                    <w:sz w:val="24"/>
                    <w:szCs w:val="24"/>
                  </w:rPr>
                  <m:t xml:space="preserve"> </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num>
                  <m:den>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den>
                </m:f>
                <m:r>
                  <m:rPr>
                    <m:sty m:val="p"/>
                  </m:rPr>
                  <w:rPr>
                    <w:rFonts w:ascii="Cambria Math" w:hAnsi="Cambria Math" w:cs="Times New Roman"/>
                    <w:sz w:val="24"/>
                    <w:szCs w:val="24"/>
                  </w:rPr>
                  <m:t>.</m:t>
                </m:r>
              </m:e>
              <m:e>
                <m:r>
                  <m:rPr>
                    <m:nor/>
                  </m:rPr>
                  <w:rPr>
                    <w:rFonts w:ascii="Times New Roman" w:hAnsi="Times New Roman" w:cs="Times New Roman"/>
                    <w:sz w:val="24"/>
                    <w:szCs w:val="24"/>
                  </w:rPr>
                  <m:t>(24)</m:t>
                </m:r>
              </m:e>
            </m:mr>
          </m:m>
        </m:oMath>
      </m:oMathPara>
    </w:p>
    <w:p w14:paraId="4F947EF3"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This expression separates three mechanisms: transmission through </w:t>
      </w:r>
      <m:oMath>
        <m:r>
          <w:rPr>
            <w:rFonts w:ascii="Cambria Math" w:hAnsi="Cambria Math" w:cs="Times New Roman"/>
            <w:sz w:val="24"/>
            <w:szCs w:val="24"/>
          </w:rPr>
          <m:t>β</m:t>
        </m:r>
      </m:oMath>
      <w:r w:rsidRPr="005405D4">
        <w:rPr>
          <w:rFonts w:ascii="Times New Roman" w:hAnsi="Times New Roman" w:cs="Times New Roman"/>
          <w:sz w:val="24"/>
          <w:szCs w:val="24"/>
        </w:rPr>
        <w:t xml:space="preserve">, the average infectious period </w:t>
      </w:r>
      <m:oMath>
        <m:r>
          <m:rPr>
            <m:sty m:val="p"/>
          </m:rPr>
          <w:rPr>
            <w:rFonts w:ascii="Cambria Math" w:hAnsi="Cambria Math" w:cs="Times New Roman"/>
            <w:sz w:val="24"/>
            <w:szCs w:val="24"/>
          </w:rPr>
          <m:t>1/(</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oMath>
      <w:r w:rsidRPr="005405D4">
        <w:rPr>
          <w:rFonts w:ascii="Times New Roman" w:hAnsi="Times New Roman" w:cs="Times New Roman"/>
          <w:sz w:val="24"/>
          <w:szCs w:val="24"/>
        </w:rPr>
        <w:t xml:space="preserve">, and the susceptible fraction at the DFE, </w:t>
      </w:r>
      <m:oMath>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e>
        </m:d>
      </m:oMath>
      <w:r w:rsidRPr="005405D4">
        <w:rPr>
          <w:rFonts w:ascii="Times New Roman" w:hAnsi="Times New Roman" w:cs="Times New Roman"/>
          <w:sz w:val="24"/>
          <w:szCs w:val="24"/>
        </w:rPr>
        <w:t>.</w:t>
      </w:r>
    </w:p>
    <w:p w14:paraId="0ED702C7"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Solving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&lt;1</m:t>
        </m:r>
      </m:oMath>
      <w:r w:rsidRPr="005405D4">
        <w:rPr>
          <w:rFonts w:ascii="Times New Roman" w:hAnsi="Times New Roman" w:cs="Times New Roman"/>
          <w:sz w:val="24"/>
          <w:szCs w:val="24"/>
        </w:rPr>
        <w:t xml:space="preserve"> for </w:t>
      </w:r>
      <m:oMath>
        <m:r>
          <w:rPr>
            <w:rFonts w:ascii="Cambria Math" w:hAnsi="Cambria Math" w:cs="Times New Roman"/>
            <w:sz w:val="24"/>
            <w:szCs w:val="24"/>
          </w:rPr>
          <m:t>ν</m:t>
        </m:r>
      </m:oMath>
      <w:r w:rsidRPr="005405D4">
        <w:rPr>
          <w:rFonts w:ascii="Times New Roman" w:hAnsi="Times New Roman" w:cs="Times New Roman"/>
          <w:sz w:val="24"/>
          <w:szCs w:val="24"/>
        </w:rPr>
        <w:t xml:space="preserve"> gives the critical vaccination rate</w:t>
      </w:r>
    </w:p>
    <w:p w14:paraId="69923F3E"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d>
                <m:dPr>
                  <m:ctrlPr>
                    <w:rPr>
                      <w:rFonts w:ascii="Cambria Math" w:hAnsi="Cambria Math" w:cs="Times New Roman"/>
                      <w:sz w:val="24"/>
                      <w:szCs w:val="24"/>
                    </w:rPr>
                  </m:ctrlPr>
                </m:dPr>
                <m:e>
                  <m:f>
                    <m:fPr>
                      <m:ctrlPr>
                        <w:rPr>
                          <w:rFonts w:ascii="Cambria Math" w:hAnsi="Cambria Math" w:cs="Times New Roman"/>
                          <w:sz w:val="24"/>
                          <w:szCs w:val="24"/>
                        </w:rPr>
                      </m:ctrlPr>
                    </m:fPr>
                    <m:num>
                      <m:r>
                        <w:rPr>
                          <w:rFonts w:ascii="Cambria Math" w:hAnsi="Cambria Math" w:cs="Times New Roman"/>
                          <w:sz w:val="24"/>
                          <w:szCs w:val="24"/>
                        </w:rPr>
                        <m:t>β</m:t>
                      </m:r>
                    </m:num>
                    <m:den>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den>
                  </m:f>
                  <m:r>
                    <m:rPr>
                      <m:sty m:val="p"/>
                    </m:rPr>
                    <w:rPr>
                      <w:rFonts w:ascii="Cambria Math" w:hAnsi="Cambria Math" w:cs="Times New Roman"/>
                      <w:sz w:val="24"/>
                      <w:szCs w:val="24"/>
                    </w:rPr>
                    <m:t>-1</m:t>
                  </m:r>
                </m:e>
              </m:d>
              <m:r>
                <m:rPr>
                  <m:sty m:val="p"/>
                </m:rPr>
                <w:rPr>
                  <w:rFonts w:ascii="Cambria Math" w:hAnsi="Cambria Math" w:cs="Times New Roman"/>
                  <w:sz w:val="24"/>
                  <w:szCs w:val="24"/>
                </w:rPr>
                <m:t>,</m:t>
              </m:r>
              <m:r>
                <w:rPr>
                  <w:rFonts w:ascii="Cambria Math" w:hAnsi="Cambria Math" w:cs="Times New Roman"/>
                  <w:sz w:val="24"/>
                  <w:szCs w:val="24"/>
                </w:rPr>
                <m:t>#(25)</m:t>
              </m:r>
            </m:e>
          </m:eqArr>
        </m:oMath>
      </m:oMathPara>
    </w:p>
    <w:p w14:paraId="2A911B25"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whenever the quantity in parentheses is positive. Thus, </w:t>
      </w:r>
      <m:oMath>
        <m:r>
          <w:rPr>
            <w:rFonts w:ascii="Cambria Math" w:hAnsi="Cambria Math" w:cs="Times New Roman"/>
            <w:sz w:val="24"/>
            <w:szCs w:val="24"/>
          </w:rPr>
          <m:t>ν</m:t>
        </m:r>
        <m:r>
          <m:rPr>
            <m:sty m:val="p"/>
          </m:rPr>
          <w:rPr>
            <w:rFonts w:ascii="Cambria Math" w:hAnsi="Cambria Math" w:cs="Times New Roman"/>
            <w:sz w:val="24"/>
            <w:szCs w:val="24"/>
          </w:rPr>
          <m:t>&gt;</m:t>
        </m:r>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oMath>
      <w:r w:rsidRPr="005405D4">
        <w:rPr>
          <w:rFonts w:ascii="Times New Roman" w:hAnsi="Times New Roman" w:cs="Times New Roman"/>
          <w:sz w:val="24"/>
          <w:szCs w:val="24"/>
        </w:rPr>
        <w:t xml:space="preserve"> is sufficient to reduce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below unity under the assumptions of this model.</w:t>
      </w:r>
    </w:p>
    <w:p w14:paraId="1BCB2A51" w14:textId="77777777" w:rsidR="00FE3703" w:rsidRPr="005405D4" w:rsidRDefault="00326151" w:rsidP="009C16F4">
      <w:pPr>
        <w:spacing w:before="240" w:line="480" w:lineRule="auto"/>
        <w:jc w:val="both"/>
        <w:rPr>
          <w:rFonts w:ascii="Times New Roman" w:hAnsi="Times New Roman" w:cs="Times New Roman"/>
          <w:sz w:val="24"/>
          <w:szCs w:val="24"/>
        </w:rPr>
      </w:pPr>
      <w:bookmarkStart w:id="14" w:name="bm_4_3_local_stability_of_the_dis_6d2e34"/>
      <w:r w:rsidRPr="005405D4">
        <w:rPr>
          <w:rFonts w:ascii="Times New Roman" w:hAnsi="Times New Roman" w:cs="Times New Roman"/>
          <w:b/>
          <w:sz w:val="24"/>
          <w:szCs w:val="24"/>
        </w:rPr>
        <w:t>4.3 Local stability of the disease-free equilibrium</w:t>
      </w:r>
      <w:bookmarkEnd w:id="14"/>
    </w:p>
    <w:p w14:paraId="5C233107"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Let </w:t>
      </w:r>
      <m:oMath>
        <m:r>
          <w:rPr>
            <w:rFonts w:ascii="Cambria Math" w:hAnsi="Cambria Math" w:cs="Times New Roman"/>
            <w:sz w:val="24"/>
            <w:szCs w:val="24"/>
          </w:rPr>
          <m:t>k</m:t>
        </m:r>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oMath>
      <w:r w:rsidRPr="005405D4">
        <w:rPr>
          <w:rFonts w:ascii="Times New Roman" w:hAnsi="Times New Roman" w:cs="Times New Roman"/>
          <w:sz w:val="24"/>
          <w:szCs w:val="24"/>
        </w:rPr>
        <w:t xml:space="preserve">. Evaluated at </w:t>
      </w:r>
      <m:oMath>
        <m:sSub>
          <m:sSubPr>
            <m:ctrlPr>
              <w:rPr>
                <w:rFonts w:ascii="Cambria Math" w:hAnsi="Cambria Math" w:cs="Times New Roman"/>
                <w:sz w:val="24"/>
                <w:szCs w:val="24"/>
              </w:rPr>
            </m:ctrlPr>
          </m:sSubPr>
          <m:e>
            <m:r>
              <w:rPr>
                <w:rFonts w:ascii="Cambria Math" w:hAnsi="Cambria Math" w:cs="Times New Roman"/>
                <w:sz w:val="24"/>
                <w:szCs w:val="24"/>
              </w:rPr>
              <m:t>E</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the Jacobian is</w:t>
      </w:r>
    </w:p>
    <w:p w14:paraId="4D1CBDF2"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J</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E</m:t>
                      </m:r>
                    </m:e>
                    <m:sub>
                      <m:r>
                        <m:rPr>
                          <m:sty m:val="p"/>
                        </m:rPr>
                        <w:rPr>
                          <w:rFonts w:ascii="Cambria Math" w:hAnsi="Cambria Math" w:cs="Times New Roman"/>
                          <w:sz w:val="24"/>
                          <w:szCs w:val="24"/>
                        </w:rPr>
                        <m:t>0</m:t>
                      </m:r>
                    </m:sub>
                  </m:sSub>
                </m:e>
              </m:d>
              <m:r>
                <m:rPr>
                  <m:sty m:val="p"/>
                </m:rPr>
                <w:rPr>
                  <w:rFonts w:ascii="Cambria Math" w:hAnsi="Cambria Math" w:cs="Times New Roman"/>
                  <w:sz w:val="24"/>
                  <w:szCs w:val="24"/>
                </w:rPr>
                <m:t>=</m:t>
              </m:r>
              <m:d>
                <m:dPr>
                  <m:ctrlPr>
                    <w:rPr>
                      <w:rFonts w:ascii="Cambria Math" w:hAnsi="Cambria Math" w:cs="Times New Roman"/>
                      <w:sz w:val="24"/>
                      <w:szCs w:val="24"/>
                    </w:rPr>
                  </m:ctrlPr>
                </m:dPr>
                <m:e>
                  <m:m>
                    <m:mPr>
                      <m:plcHide m:val="1"/>
                      <m:mcs>
                        <m:mc>
                          <m:mcPr>
                            <m:count m:val="4"/>
                            <m:mcJc m:val="center"/>
                          </m:mcPr>
                        </m:mc>
                      </m:mcs>
                      <m:ctrlPr>
                        <w:rPr>
                          <w:rFonts w:ascii="Cambria Math" w:hAnsi="Cambria Math" w:cs="Times New Roman"/>
                          <w:i/>
                          <w:sz w:val="24"/>
                          <w:szCs w:val="24"/>
                        </w:rPr>
                      </m:ctrlPr>
                    </m:mPr>
                    <m:mr>
                      <m:e>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e>
                      <m:e>
                        <m:r>
                          <m:rPr>
                            <m:sty m:val="p"/>
                          </m:rPr>
                          <w:rPr>
                            <w:rFonts w:ascii="Cambria Math" w:hAnsi="Cambria Math" w:cs="Times New Roman"/>
                            <w:sz w:val="24"/>
                            <w:szCs w:val="24"/>
                          </w:rPr>
                          <m:t>-</m:t>
                        </m:r>
                        <m:r>
                          <w:rPr>
                            <w:rFonts w:ascii="Cambria Math" w:hAnsi="Cambria Math" w:cs="Times New Roman"/>
                            <w:sz w:val="24"/>
                            <w:szCs w:val="24"/>
                          </w:rPr>
                          <m:t>β</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0</m:t>
                            </m:r>
                          </m:sup>
                        </m:sSup>
                      </m:e>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e>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e>
                    </m:mr>
                    <m:mr>
                      <m:e>
                        <m:r>
                          <m:rPr>
                            <m:sty m:val="p"/>
                          </m:rPr>
                          <w:rPr>
                            <w:rFonts w:ascii="Cambria Math" w:hAnsi="Cambria Math" w:cs="Times New Roman"/>
                            <w:sz w:val="24"/>
                            <w:szCs w:val="24"/>
                          </w:rPr>
                          <m:t>0</m:t>
                        </m:r>
                      </m:e>
                      <m:e>
                        <m:r>
                          <w:rPr>
                            <w:rFonts w:ascii="Cambria Math" w:hAnsi="Cambria Math" w:cs="Times New Roman"/>
                            <w:sz w:val="24"/>
                            <w:szCs w:val="24"/>
                          </w:rPr>
                          <m:t>β</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0</m:t>
                            </m:r>
                          </m:sup>
                        </m:sSup>
                        <m:r>
                          <m:rPr>
                            <m:sty m:val="p"/>
                          </m:rPr>
                          <w:rPr>
                            <w:rFonts w:ascii="Cambria Math" w:hAnsi="Cambria Math" w:cs="Times New Roman"/>
                            <w:sz w:val="24"/>
                            <w:szCs w:val="24"/>
                          </w:rPr>
                          <m:t>-</m:t>
                        </m:r>
                        <m:r>
                          <w:rPr>
                            <w:rFonts w:ascii="Cambria Math" w:hAnsi="Cambria Math" w:cs="Times New Roman"/>
                            <w:sz w:val="24"/>
                            <w:szCs w:val="24"/>
                          </w:rPr>
                          <m:t>k</m:t>
                        </m:r>
                      </m:e>
                      <m:e>
                        <m:r>
                          <m:rPr>
                            <m:sty m:val="p"/>
                          </m:rPr>
                          <w:rPr>
                            <w:rFonts w:ascii="Cambria Math" w:hAnsi="Cambria Math" w:cs="Times New Roman"/>
                            <w:sz w:val="24"/>
                            <w:szCs w:val="24"/>
                          </w:rPr>
                          <m:t>0</m:t>
                        </m:r>
                      </m:e>
                      <m:e>
                        <m:r>
                          <m:rPr>
                            <m:sty m:val="p"/>
                          </m:rPr>
                          <w:rPr>
                            <w:rFonts w:ascii="Cambria Math" w:hAnsi="Cambria Math" w:cs="Times New Roman"/>
                            <w:sz w:val="24"/>
                            <w:szCs w:val="24"/>
                          </w:rPr>
                          <m:t>0</m:t>
                        </m:r>
                      </m:e>
                    </m:mr>
                    <m:mr>
                      <m:e>
                        <m:r>
                          <m:rPr>
                            <m:sty m:val="p"/>
                          </m:rPr>
                          <w:rPr>
                            <w:rFonts w:ascii="Cambria Math" w:hAnsi="Cambria Math" w:cs="Times New Roman"/>
                            <w:sz w:val="24"/>
                            <w:szCs w:val="24"/>
                          </w:rPr>
                          <m:t>0</m:t>
                        </m:r>
                      </m:e>
                      <m:e>
                        <m:r>
                          <w:rPr>
                            <w:rFonts w:ascii="Cambria Math" w:hAnsi="Cambria Math" w:cs="Times New Roman"/>
                            <w:sz w:val="24"/>
                            <w:szCs w:val="24"/>
                          </w:rPr>
                          <m:t>γ</m:t>
                        </m:r>
                      </m:e>
                      <m:e>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e>
                        </m:d>
                      </m:e>
                      <m:e>
                        <m:r>
                          <m:rPr>
                            <m:sty m:val="p"/>
                          </m:rPr>
                          <w:rPr>
                            <w:rFonts w:ascii="Cambria Math" w:hAnsi="Cambria Math" w:cs="Times New Roman"/>
                            <w:sz w:val="24"/>
                            <w:szCs w:val="24"/>
                          </w:rPr>
                          <m:t>0</m:t>
                        </m:r>
                      </m:e>
                    </m:mr>
                    <m:mr>
                      <m:e>
                        <m:r>
                          <w:rPr>
                            <w:rFonts w:ascii="Cambria Math" w:hAnsi="Cambria Math" w:cs="Times New Roman"/>
                            <w:sz w:val="24"/>
                            <w:szCs w:val="24"/>
                          </w:rPr>
                          <m:t>ν</m:t>
                        </m:r>
                      </m:e>
                      <m:e>
                        <m:r>
                          <m:rPr>
                            <m:sty m:val="p"/>
                          </m:rPr>
                          <w:rPr>
                            <w:rFonts w:ascii="Cambria Math" w:hAnsi="Cambria Math" w:cs="Times New Roman"/>
                            <w:sz w:val="24"/>
                            <w:szCs w:val="24"/>
                          </w:rPr>
                          <m:t>0</m:t>
                        </m:r>
                      </m:e>
                      <m:e>
                        <m:r>
                          <m:rPr>
                            <m:sty m:val="p"/>
                          </m:rPr>
                          <w:rPr>
                            <w:rFonts w:ascii="Cambria Math" w:hAnsi="Cambria Math" w:cs="Times New Roman"/>
                            <w:sz w:val="24"/>
                            <w:szCs w:val="24"/>
                          </w:rPr>
                          <m:t>0</m:t>
                        </m:r>
                      </m:e>
                      <m:e>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e>
                    </m:mr>
                  </m:m>
                </m:e>
              </m:d>
              <m:r>
                <m:rPr>
                  <m:sty m:val="p"/>
                </m:rPr>
                <w:rPr>
                  <w:rFonts w:ascii="Cambria Math" w:hAnsi="Cambria Math" w:cs="Times New Roman"/>
                  <w:sz w:val="24"/>
                  <w:szCs w:val="24"/>
                </w:rPr>
                <m:t>.</m:t>
              </m:r>
              <m:r>
                <w:rPr>
                  <w:rFonts w:ascii="Cambria Math" w:hAnsi="Cambria Math" w:cs="Times New Roman"/>
                  <w:sz w:val="24"/>
                  <w:szCs w:val="24"/>
                </w:rPr>
                <m:t>#(26)</m:t>
              </m:r>
            </m:e>
          </m:eqArr>
        </m:oMath>
      </m:oMathPara>
    </w:p>
    <w:p w14:paraId="62AFD609"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The infection-associated eigenvalue is</w:t>
      </w:r>
    </w:p>
    <w:p w14:paraId="0EB31168"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w:rPr>
                      <w:rFonts w:ascii="Cambria Math" w:hAnsi="Cambria Math" w:cs="Times New Roman"/>
                      <w:sz w:val="24"/>
                      <w:szCs w:val="24"/>
                    </w:rPr>
                    <m:t>λ</m:t>
                  </m:r>
                </m:e>
                <m:sub>
                  <m:r>
                    <w:rPr>
                      <w:rFonts w:ascii="Cambria Math" w:hAnsi="Cambria Math" w:cs="Times New Roman"/>
                      <w:sz w:val="24"/>
                      <w:szCs w:val="24"/>
                    </w:rPr>
                    <m:t>I</m:t>
                  </m:r>
                </m:sub>
              </m:sSub>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0</m:t>
                      </m:r>
                    </m:sup>
                  </m:sSup>
                </m:num>
                <m:den>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0</m:t>
                      </m:r>
                    </m:sup>
                  </m:sSup>
                </m:den>
              </m:f>
              <m:r>
                <m:rPr>
                  <m:sty m:val="p"/>
                </m:rPr>
                <w:rPr>
                  <w:rFonts w:ascii="Cambria Math" w:hAnsi="Cambria Math" w:cs="Times New Roman"/>
                  <w:sz w:val="24"/>
                  <w:szCs w:val="24"/>
                </w:rPr>
                <m:t>-</m:t>
              </m:r>
              <m:r>
                <w:rPr>
                  <w:rFonts w:ascii="Cambria Math" w:hAnsi="Cambria Math" w:cs="Times New Roman"/>
                  <w:sz w:val="24"/>
                  <w:szCs w:val="24"/>
                </w:rPr>
                <m:t>k</m:t>
              </m:r>
              <m:r>
                <m:rPr>
                  <m:sty m:val="p"/>
                </m:rPr>
                <w:rPr>
                  <w:rFonts w:ascii="Cambria Math" w:hAnsi="Cambria Math" w:cs="Times New Roman"/>
                  <w:sz w:val="24"/>
                  <w:szCs w:val="24"/>
                </w:rPr>
                <m:t>=</m:t>
              </m:r>
              <m:r>
                <w:rPr>
                  <w:rFonts w:ascii="Cambria Math" w:hAnsi="Cambria Math" w:cs="Times New Roman"/>
                  <w:sz w:val="24"/>
                  <w:szCs w:val="24"/>
                </w:rPr>
                <m:t>k</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-1</m:t>
                  </m:r>
                </m:e>
              </m:d>
              <m:r>
                <m:rPr>
                  <m:sty m:val="p"/>
                </m:rPr>
                <w:rPr>
                  <w:rFonts w:ascii="Cambria Math" w:hAnsi="Cambria Math" w:cs="Times New Roman"/>
                  <w:sz w:val="24"/>
                  <w:szCs w:val="24"/>
                </w:rPr>
                <m:t>.</m:t>
              </m:r>
              <m:r>
                <w:rPr>
                  <w:rFonts w:ascii="Cambria Math" w:hAnsi="Cambria Math" w:cs="Times New Roman"/>
                  <w:sz w:val="24"/>
                  <w:szCs w:val="24"/>
                </w:rPr>
                <m:t>#(27)</m:t>
              </m:r>
            </m:e>
          </m:eqArr>
        </m:oMath>
      </m:oMathPara>
    </w:p>
    <w:p w14:paraId="06AF791C"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 remaining eigenvalues have negative real parts: one is </w:t>
      </w:r>
      <m:oMath>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e>
        </m:d>
      </m:oMath>
      <w:r w:rsidRPr="005405D4">
        <w:rPr>
          <w:rFonts w:ascii="Times New Roman" w:eastAsia="Georgia" w:hAnsi="Times New Roman" w:cs="Times New Roman"/>
          <w:sz w:val="24"/>
          <w:szCs w:val="24"/>
        </w:rPr>
        <w:t xml:space="preserve">, while the final two arise from a 2 × 2 block with negative trace and positive determinant </w:t>
      </w:r>
      <m:oMath>
        <m:r>
          <w:rPr>
            <w:rFonts w:ascii="Cambria Math" w:hAnsi="Cambria Math" w:cs="Times New Roman"/>
            <w:sz w:val="24"/>
            <w:szCs w:val="24"/>
          </w:rPr>
          <m:t>μ</m:t>
        </m:r>
        <m:d>
          <m:dPr>
            <m:ctrlPr>
              <w:rPr>
                <w:rFonts w:ascii="Cambria Math" w:hAnsi="Cambria Math" w:cs="Times New Roman"/>
                <w:sz w:val="24"/>
                <w:szCs w:val="24"/>
              </w:rPr>
            </m:ctrlPr>
          </m:dPr>
          <m:e>
            <m:r>
              <w:rPr>
                <w:rFonts w:ascii="Cambria Math" w:hAnsi="Cambria Math" w:cs="Times New Roman"/>
                <w:sz w:val="24"/>
                <w:szCs w:val="24"/>
              </w:rPr>
              <m:t>ν</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e>
        </m:d>
      </m:oMath>
      <w:r w:rsidRPr="005405D4">
        <w:rPr>
          <w:rFonts w:ascii="Times New Roman" w:hAnsi="Times New Roman" w:cs="Times New Roman"/>
          <w:sz w:val="24"/>
          <w:szCs w:val="24"/>
        </w:rPr>
        <w:t xml:space="preserve">. It follows that </w:t>
      </w:r>
      <m:oMath>
        <m:sSub>
          <m:sSubPr>
            <m:ctrlPr>
              <w:rPr>
                <w:rFonts w:ascii="Cambria Math" w:hAnsi="Cambria Math" w:cs="Times New Roman"/>
                <w:sz w:val="24"/>
                <w:szCs w:val="24"/>
              </w:rPr>
            </m:ctrlPr>
          </m:sSubPr>
          <m:e>
            <m:r>
              <w:rPr>
                <w:rFonts w:ascii="Cambria Math" w:hAnsi="Cambria Math" w:cs="Times New Roman"/>
                <w:sz w:val="24"/>
                <w:szCs w:val="24"/>
              </w:rPr>
              <m:t>E</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is locally asymptotically stable if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&lt;1</m:t>
        </m:r>
      </m:oMath>
      <w:r w:rsidRPr="005405D4">
        <w:rPr>
          <w:rFonts w:ascii="Times New Roman" w:hAnsi="Times New Roman" w:cs="Times New Roman"/>
          <w:sz w:val="24"/>
          <w:szCs w:val="24"/>
        </w:rPr>
        <w:t xml:space="preserve"> and unstable if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&gt;1</m:t>
        </m:r>
      </m:oMath>
      <w:r w:rsidRPr="005405D4">
        <w:rPr>
          <w:rFonts w:ascii="Times New Roman" w:hAnsi="Times New Roman" w:cs="Times New Roman"/>
          <w:sz w:val="24"/>
          <w:szCs w:val="24"/>
        </w:rPr>
        <w:t>.</w:t>
      </w:r>
    </w:p>
    <w:p w14:paraId="14C5CEBD" w14:textId="77777777" w:rsidR="00FE3703" w:rsidRPr="005405D4" w:rsidRDefault="00326151" w:rsidP="009C16F4">
      <w:pPr>
        <w:spacing w:before="240" w:line="480" w:lineRule="auto"/>
        <w:jc w:val="both"/>
        <w:rPr>
          <w:rFonts w:ascii="Times New Roman" w:hAnsi="Times New Roman" w:cs="Times New Roman"/>
          <w:sz w:val="24"/>
          <w:szCs w:val="24"/>
        </w:rPr>
      </w:pPr>
      <w:bookmarkStart w:id="15" w:name="bm_4_4_endemic_equilibrium"/>
      <w:r w:rsidRPr="005405D4">
        <w:rPr>
          <w:rFonts w:ascii="Times New Roman" w:hAnsi="Times New Roman" w:cs="Times New Roman"/>
          <w:b/>
          <w:sz w:val="24"/>
          <w:szCs w:val="24"/>
        </w:rPr>
        <w:t>4.4 Endemic equilibrium</w:t>
      </w:r>
      <w:bookmarkEnd w:id="15"/>
    </w:p>
    <w:p w14:paraId="0398D88B"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Let </w:t>
      </w:r>
      <m:oMath>
        <m:sSup>
          <m:sSupPr>
            <m:ctrlPr>
              <w:rPr>
                <w:rFonts w:ascii="Cambria Math" w:hAnsi="Cambria Math" w:cs="Times New Roman"/>
                <w:sz w:val="24"/>
                <w:szCs w:val="24"/>
              </w:rPr>
            </m:ctrlPr>
          </m:sSupPr>
          <m:e>
            <m:r>
              <w:rPr>
                <w:rFonts w:ascii="Cambria Math" w:hAnsi="Cambria Math" w:cs="Times New Roman"/>
                <w:sz w:val="24"/>
                <w:szCs w:val="24"/>
              </w:rPr>
              <m:t>E</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d>
          <m:dPr>
            <m:ctrlPr>
              <w:rPr>
                <w:rFonts w:ascii="Cambria Math" w:hAnsi="Cambria Math" w:cs="Times New Roman"/>
                <w:sz w:val="24"/>
                <w:szCs w:val="24"/>
              </w:rPr>
            </m:ctrlPr>
          </m:dPr>
          <m:e>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R</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V</m:t>
                </m:r>
              </m:e>
              <m:sup>
                <m:r>
                  <m:rPr>
                    <m:sty m:val="p"/>
                  </m:rPr>
                  <w:rPr>
                    <w:rFonts w:ascii="Cambria Math" w:hAnsi="Cambria Math" w:cs="Times New Roman"/>
                    <w:sz w:val="24"/>
                    <w:szCs w:val="24"/>
                  </w:rPr>
                  <m:t>*</m:t>
                </m:r>
              </m:sup>
            </m:sSup>
          </m:e>
        </m:d>
      </m:oMath>
      <w:r w:rsidRPr="005405D4">
        <w:rPr>
          <w:rFonts w:ascii="Times New Roman" w:hAnsi="Times New Roman" w:cs="Times New Roman"/>
          <w:sz w:val="24"/>
          <w:szCs w:val="24"/>
        </w:rPr>
        <w:t xml:space="preserve"> denote an equilibrium with </w:t>
      </w:r>
      <m:oMath>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&gt;0</m:t>
        </m:r>
      </m:oMath>
      <w:r w:rsidRPr="005405D4">
        <w:rPr>
          <w:rFonts w:ascii="Times New Roman" w:hAnsi="Times New Roman" w:cs="Times New Roman"/>
          <w:sz w:val="24"/>
          <w:szCs w:val="24"/>
        </w:rPr>
        <w:t>. Equation (16) implies</w:t>
      </w:r>
    </w:p>
    <w:p w14:paraId="19B80299"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k</m:t>
                  </m:r>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m:t>
                      </m:r>
                    </m:sup>
                  </m:sSup>
                </m:num>
                <m:den>
                  <m:r>
                    <w:rPr>
                      <w:rFonts w:ascii="Cambria Math" w:hAnsi="Cambria Math" w:cs="Times New Roman"/>
                      <w:sz w:val="24"/>
                      <w:szCs w:val="24"/>
                    </w:rPr>
                    <m:t>β</m:t>
                  </m:r>
                </m:den>
              </m:f>
              <m:r>
                <m:rPr>
                  <m:sty m:val="p"/>
                </m:rPr>
                <w:rPr>
                  <w:rFonts w:ascii="Cambria Math" w:hAnsi="Cambria Math" w:cs="Times New Roman"/>
                  <w:sz w:val="24"/>
                  <w:szCs w:val="24"/>
                </w:rPr>
                <m:t xml:space="preserve">, </m:t>
              </m:r>
              <m:sSup>
                <m:sSupPr>
                  <m:ctrlPr>
                    <w:rPr>
                      <w:rFonts w:ascii="Cambria Math" w:hAnsi="Cambria Math" w:cs="Times New Roman"/>
                      <w:sz w:val="24"/>
                      <w:szCs w:val="24"/>
                    </w:rPr>
                  </m:ctrlPr>
                </m:sSupPr>
                <m:e>
                  <m:r>
                    <w:rPr>
                      <w:rFonts w:ascii="Cambria Math" w:hAnsi="Cambria Math" w:cs="Times New Roman"/>
                      <w:sz w:val="24"/>
                      <w:szCs w:val="24"/>
                    </w:rPr>
                    <m:t>R</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γ</m:t>
                  </m:r>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num>
                <m:den>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den>
              </m:f>
              <m:r>
                <m:rPr>
                  <m:sty m:val="p"/>
                </m:rPr>
                <w:rPr>
                  <w:rFonts w:ascii="Cambria Math" w:hAnsi="Cambria Math" w:cs="Times New Roman"/>
                  <w:sz w:val="24"/>
                  <w:szCs w:val="24"/>
                </w:rPr>
                <m:t xml:space="preserve">, </m:t>
              </m:r>
              <m:sSup>
                <m:sSupPr>
                  <m:ctrlPr>
                    <w:rPr>
                      <w:rFonts w:ascii="Cambria Math" w:hAnsi="Cambria Math" w:cs="Times New Roman"/>
                      <w:sz w:val="24"/>
                      <w:szCs w:val="24"/>
                    </w:rPr>
                  </m:ctrlPr>
                </m:sSupPr>
                <m:e>
                  <m:r>
                    <w:rPr>
                      <w:rFonts w:ascii="Cambria Math" w:hAnsi="Cambria Math" w:cs="Times New Roman"/>
                      <w:sz w:val="24"/>
                      <w:szCs w:val="24"/>
                    </w:rPr>
                    <m:t>V</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ν</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m:t>
                      </m:r>
                    </m:sup>
                  </m:sSup>
                </m:num>
                <m:den>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den>
              </m:f>
              <m:r>
                <m:rPr>
                  <m:sty m:val="p"/>
                </m:rPr>
                <w:rPr>
                  <w:rFonts w:ascii="Cambria Math" w:hAnsi="Cambria Math" w:cs="Times New Roman"/>
                  <w:sz w:val="24"/>
                  <w:szCs w:val="24"/>
                </w:rPr>
                <m:t>.</m:t>
              </m:r>
              <m:r>
                <w:rPr>
                  <w:rFonts w:ascii="Cambria Math" w:hAnsi="Cambria Math" w:cs="Times New Roman"/>
                  <w:sz w:val="24"/>
                  <w:szCs w:val="24"/>
                </w:rPr>
                <m:t>#(28)</m:t>
              </m:r>
            </m:e>
          </m:eqArr>
        </m:oMath>
      </m:oMathPara>
    </w:p>
    <w:p w14:paraId="4348609A"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Define</w:t>
      </w:r>
    </w:p>
    <w:p w14:paraId="4AAED68D"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q</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sSubSup>
                    <m:sSubSupPr>
                      <m:ctrlPr>
                        <w:rPr>
                          <w:rFonts w:ascii="Cambria Math" w:hAnsi="Cambria Math" w:cs="Times New Roman"/>
                          <w:sz w:val="24"/>
                          <w:szCs w:val="24"/>
                        </w:rPr>
                      </m:ctrlPr>
                    </m:sSubSup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up>
                      <m:r>
                        <m:rPr>
                          <m:sty m:val="p"/>
                        </m:rPr>
                        <w:rPr>
                          <w:rFonts w:ascii="Cambria Math" w:hAnsi="Cambria Math" w:cs="Times New Roman"/>
                          <w:sz w:val="24"/>
                          <w:szCs w:val="24"/>
                        </w:rPr>
                        <m:t>-1</m:t>
                      </m:r>
                    </m:sup>
                  </m:sSubSup>
                </m:num>
                <m:den>
                  <m:r>
                    <m:rPr>
                      <m:sty m:val="p"/>
                    </m:rPr>
                    <w:rPr>
                      <w:rFonts w:ascii="Cambria Math" w:hAnsi="Cambria Math" w:cs="Times New Roman"/>
                      <w:sz w:val="24"/>
                      <w:szCs w:val="24"/>
                    </w:rPr>
                    <m:t>1+</m:t>
                  </m:r>
                  <m:r>
                    <w:rPr>
                      <w:rFonts w:ascii="Cambria Math" w:hAnsi="Cambria Math" w:cs="Times New Roman"/>
                      <w:sz w:val="24"/>
                      <w:szCs w:val="24"/>
                    </w:rPr>
                    <m:t>γ</m:t>
                  </m:r>
                  <m:r>
                    <m:rPr>
                      <m:sty m:val="p"/>
                    </m:rPr>
                    <w:rPr>
                      <w:rFonts w:ascii="Cambria Math" w:hAnsi="Cambria Math" w:cs="Times New Roman"/>
                      <w:sz w:val="24"/>
                      <w:szCs w:val="24"/>
                    </w:rPr>
                    <m:t>/</m:t>
                  </m:r>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m:t>
                      </m:r>
                      <m:r>
                        <w:rPr>
                          <w:rFonts w:ascii="Cambria Math" w:hAnsi="Cambria Math" w:cs="Times New Roman"/>
                          <w:sz w:val="24"/>
                          <w:szCs w:val="24"/>
                        </w:rPr>
                        <m:t>μ</m:t>
                      </m:r>
                    </m:e>
                  </m:d>
                </m:den>
              </m:f>
              <m:r>
                <m:rPr>
                  <m:sty m:val="p"/>
                </m:rPr>
                <w:rPr>
                  <w:rFonts w:ascii="Cambria Math" w:hAnsi="Cambria Math" w:cs="Times New Roman"/>
                  <w:sz w:val="24"/>
                  <w:szCs w:val="24"/>
                </w:rPr>
                <m:t>.</m:t>
              </m:r>
              <m:r>
                <w:rPr>
                  <w:rFonts w:ascii="Cambria Math" w:hAnsi="Cambria Math" w:cs="Times New Roman"/>
                  <w:sz w:val="24"/>
                  <w:szCs w:val="24"/>
                </w:rPr>
                <m:t>#(29)</m:t>
              </m:r>
            </m:e>
          </m:eqArr>
        </m:oMath>
      </m:oMathPara>
    </w:p>
    <w:p w14:paraId="3069BA90"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Using </w:t>
      </w:r>
      <m:oMath>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S</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R</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sSup>
          <m:sSupPr>
            <m:ctrlPr>
              <w:rPr>
                <w:rFonts w:ascii="Cambria Math" w:hAnsi="Cambria Math" w:cs="Times New Roman"/>
                <w:sz w:val="24"/>
                <w:szCs w:val="24"/>
              </w:rPr>
            </m:ctrlPr>
          </m:sSupPr>
          <m:e>
            <m:r>
              <w:rPr>
                <w:rFonts w:ascii="Cambria Math" w:hAnsi="Cambria Math" w:cs="Times New Roman"/>
                <w:sz w:val="24"/>
                <w:szCs w:val="24"/>
              </w:rPr>
              <m:t>V</m:t>
            </m:r>
          </m:e>
          <m:sup>
            <m:r>
              <m:rPr>
                <m:sty m:val="p"/>
              </m:rPr>
              <w:rPr>
                <w:rFonts w:ascii="Cambria Math" w:hAnsi="Cambria Math" w:cs="Times New Roman"/>
                <w:sz w:val="24"/>
                <w:szCs w:val="24"/>
              </w:rPr>
              <m:t>*</m:t>
            </m:r>
          </m:sup>
        </m:sSup>
      </m:oMath>
      <w:r w:rsidRPr="005405D4">
        <w:rPr>
          <w:rFonts w:ascii="Times New Roman" w:hAnsi="Times New Roman" w:cs="Times New Roman"/>
          <w:sz w:val="24"/>
          <w:szCs w:val="24"/>
        </w:rPr>
        <w:t xml:space="preserve"> gives </w:t>
      </w:r>
      <m:oMath>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r>
          <w:rPr>
            <w:rFonts w:ascii="Cambria Math" w:hAnsi="Cambria Math" w:cs="Times New Roman"/>
            <w:sz w:val="24"/>
            <w:szCs w:val="24"/>
          </w:rPr>
          <m:t>q</m:t>
        </m:r>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m:t>
            </m:r>
          </m:sup>
        </m:sSup>
      </m:oMath>
      <w:r w:rsidRPr="005405D4">
        <w:rPr>
          <w:rFonts w:ascii="Times New Roman" w:hAnsi="Times New Roman" w:cs="Times New Roman"/>
          <w:sz w:val="24"/>
          <w:szCs w:val="24"/>
        </w:rPr>
        <w:t>. Equation (19) then yields</w:t>
      </w:r>
    </w:p>
    <w:p w14:paraId="6326E9E5"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p>
                <m:sSupPr>
                  <m:ctrlPr>
                    <w:rPr>
                      <w:rFonts w:ascii="Cambria Math" w:hAnsi="Cambria Math" w:cs="Times New Roman"/>
                      <w:sz w:val="24"/>
                      <w:szCs w:val="24"/>
                    </w:rPr>
                  </m:ctrlPr>
                </m:sSupPr>
                <m:e>
                  <m:r>
                    <w:rPr>
                      <w:rFonts w:ascii="Cambria Math" w:hAnsi="Cambria Math" w:cs="Times New Roman"/>
                      <w:sz w:val="24"/>
                      <w:szCs w:val="24"/>
                    </w:rPr>
                    <m:t>N</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Λ</m:t>
                  </m:r>
                </m:num>
                <m:den>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δq</m:t>
                  </m:r>
                </m:den>
              </m:f>
              <m:r>
                <m:rPr>
                  <m:sty m:val="p"/>
                </m:rPr>
                <w:rPr>
                  <w:rFonts w:ascii="Cambria Math" w:hAnsi="Cambria Math" w:cs="Times New Roman"/>
                  <w:sz w:val="24"/>
                  <w:szCs w:val="24"/>
                </w:rPr>
                <m:t xml:space="preserve">, </m:t>
              </m:r>
              <m:sSup>
                <m:sSupPr>
                  <m:ctrlPr>
                    <w:rPr>
                      <w:rFonts w:ascii="Cambria Math" w:hAnsi="Cambria Math" w:cs="Times New Roman"/>
                      <w:sz w:val="24"/>
                      <w:szCs w:val="24"/>
                    </w:rPr>
                  </m:ctrlPr>
                </m:sSupPr>
                <m:e>
                  <m:r>
                    <w:rPr>
                      <w:rFonts w:ascii="Cambria Math" w:hAnsi="Cambria Math" w:cs="Times New Roman"/>
                      <w:sz w:val="24"/>
                      <w:szCs w:val="24"/>
                    </w:rPr>
                    <m:t>I</m:t>
                  </m:r>
                </m:e>
                <m:sup>
                  <m:r>
                    <m:rPr>
                      <m:sty m:val="p"/>
                    </m:rPr>
                    <w:rPr>
                      <w:rFonts w:ascii="Cambria Math" w:hAnsi="Cambria Math" w:cs="Times New Roman"/>
                      <w:sz w:val="24"/>
                      <w:szCs w:val="24"/>
                    </w:rPr>
                    <m:t>*</m:t>
                  </m:r>
                </m:sup>
              </m:s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q</m:t>
                  </m:r>
                  <m:r>
                    <m:rPr>
                      <m:sty m:val="p"/>
                    </m:rPr>
                    <w:rPr>
                      <w:rFonts w:ascii="Cambria Math" w:hAnsi="Cambria Math" w:cs="Times New Roman"/>
                      <w:sz w:val="24"/>
                      <w:szCs w:val="24"/>
                    </w:rPr>
                    <m:t>Λ</m:t>
                  </m:r>
                </m:num>
                <m:den>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δq</m:t>
                  </m:r>
                </m:den>
              </m:f>
              <m:r>
                <m:rPr>
                  <m:sty m:val="p"/>
                </m:rPr>
                <w:rPr>
                  <w:rFonts w:ascii="Cambria Math" w:hAnsi="Cambria Math" w:cs="Times New Roman"/>
                  <w:sz w:val="24"/>
                  <w:szCs w:val="24"/>
                </w:rPr>
                <m:t>.</m:t>
              </m:r>
              <m:r>
                <w:rPr>
                  <w:rFonts w:ascii="Cambria Math" w:hAnsi="Cambria Math" w:cs="Times New Roman"/>
                  <w:sz w:val="24"/>
                  <w:szCs w:val="24"/>
                </w:rPr>
                <m:t>#(30)</m:t>
              </m:r>
            </m:e>
          </m:eqArr>
        </m:oMath>
      </m:oMathPara>
    </w:p>
    <w:p w14:paraId="66E7F03F"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Because </w:t>
      </w:r>
      <m:oMath>
        <m:r>
          <w:rPr>
            <w:rFonts w:ascii="Cambria Math" w:hAnsi="Cambria Math" w:cs="Times New Roman"/>
            <w:sz w:val="24"/>
            <w:szCs w:val="24"/>
          </w:rPr>
          <m:t>q</m:t>
        </m:r>
        <m:r>
          <m:rPr>
            <m:sty m:val="p"/>
          </m:rPr>
          <w:rPr>
            <w:rFonts w:ascii="Cambria Math" w:hAnsi="Cambria Math" w:cs="Times New Roman"/>
            <w:sz w:val="24"/>
            <w:szCs w:val="24"/>
          </w:rPr>
          <m:t>&gt;0</m:t>
        </m:r>
      </m:oMath>
      <w:r w:rsidRPr="005405D4">
        <w:rPr>
          <w:rFonts w:ascii="Times New Roman" w:hAnsi="Times New Roman" w:cs="Times New Roman"/>
          <w:sz w:val="24"/>
          <w:szCs w:val="24"/>
        </w:rPr>
        <w:t xml:space="preserve"> precisely when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&gt;1</m:t>
        </m:r>
      </m:oMath>
      <w:r w:rsidRPr="005405D4">
        <w:rPr>
          <w:rFonts w:ascii="Times New Roman" w:hAnsi="Times New Roman" w:cs="Times New Roman"/>
          <w:sz w:val="24"/>
          <w:szCs w:val="24"/>
        </w:rPr>
        <w:t>, a biologically meaningful endemic equilibrium exists above the invasion threshold.</w:t>
      </w:r>
    </w:p>
    <w:p w14:paraId="6AF89CF7" w14:textId="77777777" w:rsidR="00FE3703" w:rsidRPr="005405D4" w:rsidRDefault="00326151" w:rsidP="009C16F4">
      <w:pPr>
        <w:spacing w:before="240" w:line="480" w:lineRule="auto"/>
        <w:jc w:val="both"/>
        <w:rPr>
          <w:rFonts w:ascii="Times New Roman" w:hAnsi="Times New Roman" w:cs="Times New Roman"/>
          <w:sz w:val="24"/>
          <w:szCs w:val="24"/>
        </w:rPr>
      </w:pPr>
      <w:bookmarkStart w:id="16" w:name="bm_4_5_sensitivity_analysis"/>
      <w:r w:rsidRPr="005405D4">
        <w:rPr>
          <w:rFonts w:ascii="Times New Roman" w:hAnsi="Times New Roman" w:cs="Times New Roman"/>
          <w:b/>
          <w:sz w:val="24"/>
          <w:szCs w:val="24"/>
        </w:rPr>
        <w:t>4.5 Sensitivity analysis</w:t>
      </w:r>
      <w:bookmarkEnd w:id="16"/>
    </w:p>
    <w:p w14:paraId="5EAAA824"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 </w:t>
      </w:r>
      <w:proofErr w:type="spellStart"/>
      <w:r w:rsidRPr="005405D4">
        <w:rPr>
          <w:rFonts w:ascii="Times New Roman" w:hAnsi="Times New Roman" w:cs="Times New Roman"/>
          <w:sz w:val="24"/>
          <w:szCs w:val="24"/>
        </w:rPr>
        <w:t>normalised</w:t>
      </w:r>
      <w:proofErr w:type="spellEnd"/>
      <w:r w:rsidRPr="005405D4">
        <w:rPr>
          <w:rFonts w:ascii="Times New Roman" w:hAnsi="Times New Roman" w:cs="Times New Roman"/>
          <w:sz w:val="24"/>
          <w:szCs w:val="24"/>
        </w:rPr>
        <w:t xml:space="preserve"> forward sensitivity index of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with respect to a parameter </w:t>
      </w:r>
      <m:oMath>
        <m:r>
          <w:rPr>
            <w:rFonts w:ascii="Cambria Math" w:hAnsi="Cambria Math" w:cs="Times New Roman"/>
            <w:sz w:val="24"/>
            <w:szCs w:val="24"/>
          </w:rPr>
          <m:t>p</m:t>
        </m:r>
      </m:oMath>
      <w:r w:rsidRPr="005405D4">
        <w:rPr>
          <w:rFonts w:ascii="Times New Roman" w:hAnsi="Times New Roman" w:cs="Times New Roman"/>
          <w:sz w:val="24"/>
          <w:szCs w:val="24"/>
        </w:rPr>
        <w:t xml:space="preserve"> is</w:t>
      </w:r>
    </w:p>
    <w:p w14:paraId="54014305"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r>
                    <w:rPr>
                      <w:rFonts w:ascii="Cambria Math" w:hAnsi="Cambria Math" w:cs="Times New Roman"/>
                      <w:sz w:val="24"/>
                      <w:szCs w:val="24"/>
                    </w:rPr>
                    <m:t>p</m:t>
                  </m:r>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m:t>
                  </m:r>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num>
                <m:den>
                  <m:r>
                    <w:rPr>
                      <w:rFonts w:ascii="Cambria Math" w:hAnsi="Cambria Math" w:cs="Times New Roman"/>
                      <w:sz w:val="24"/>
                      <w:szCs w:val="24"/>
                    </w:rPr>
                    <m:t>∂p</m:t>
                  </m:r>
                </m:den>
              </m:f>
              <m:f>
                <m:fPr>
                  <m:ctrlPr>
                    <w:rPr>
                      <w:rFonts w:ascii="Cambria Math" w:hAnsi="Cambria Math" w:cs="Times New Roman"/>
                      <w:sz w:val="24"/>
                      <w:szCs w:val="24"/>
                    </w:rPr>
                  </m:ctrlPr>
                </m:fPr>
                <m:num>
                  <m:r>
                    <w:rPr>
                      <w:rFonts w:ascii="Cambria Math" w:hAnsi="Cambria Math" w:cs="Times New Roman"/>
                      <w:sz w:val="24"/>
                      <w:szCs w:val="24"/>
                    </w:rPr>
                    <m:t>p</m:t>
                  </m:r>
                </m:num>
                <m:den>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den>
              </m:f>
              <m:r>
                <m:rPr>
                  <m:sty m:val="p"/>
                </m:rPr>
                <w:rPr>
                  <w:rFonts w:ascii="Cambria Math" w:hAnsi="Cambria Math" w:cs="Times New Roman"/>
                  <w:sz w:val="24"/>
                  <w:szCs w:val="24"/>
                </w:rPr>
                <m:t>.</m:t>
              </m:r>
              <m:r>
                <w:rPr>
                  <w:rFonts w:ascii="Cambria Math" w:hAnsi="Cambria Math" w:cs="Times New Roman"/>
                  <w:sz w:val="24"/>
                  <w:szCs w:val="24"/>
                </w:rPr>
                <m:t>#(31)</m:t>
              </m:r>
            </m:e>
          </m:eqArr>
        </m:oMath>
      </m:oMathPara>
    </w:p>
    <w:p w14:paraId="4F74FDC4"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lastRenderedPageBreak/>
        <w:t>From Equation (24),</w:t>
      </w:r>
    </w:p>
    <w:p w14:paraId="56383812"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r>
                    <w:rPr>
                      <w:rFonts w:ascii="Cambria Math" w:hAnsi="Cambria Math" w:cs="Times New Roman"/>
                      <w:sz w:val="24"/>
                      <w:szCs w:val="24"/>
                    </w:rPr>
                    <m:t>β</m:t>
                  </m:r>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=1</m:t>
              </m:r>
              <m:r>
                <w:rPr>
                  <w:rFonts w:ascii="Cambria Math" w:hAnsi="Cambria Math" w:cs="Times New Roman"/>
                  <w:sz w:val="24"/>
                  <w:szCs w:val="24"/>
                </w:rPr>
                <m:t>#(32)</m:t>
              </m:r>
            </m:e>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r>
                    <w:rPr>
                      <w:rFonts w:ascii="Cambria Math" w:hAnsi="Cambria Math" w:cs="Times New Roman"/>
                      <w:sz w:val="24"/>
                      <w:szCs w:val="24"/>
                    </w:rPr>
                    <m:t>ν</m:t>
                  </m:r>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ν</m:t>
                  </m:r>
                </m:num>
                <m:den>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den>
              </m:f>
              <m:r>
                <w:rPr>
                  <w:rFonts w:ascii="Cambria Math" w:hAnsi="Cambria Math" w:cs="Times New Roman"/>
                  <w:sz w:val="24"/>
                  <w:szCs w:val="24"/>
                </w:rPr>
                <m:t>#(33)</m:t>
              </m:r>
            </m:e>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r>
                    <w:rPr>
                      <w:rFonts w:ascii="Cambria Math" w:hAnsi="Cambria Math" w:cs="Times New Roman"/>
                      <w:sz w:val="24"/>
                      <w:szCs w:val="24"/>
                    </w:rPr>
                    <m:t>γ</m:t>
                  </m:r>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γ</m:t>
                  </m:r>
                </m:num>
                <m:den>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den>
              </m:f>
              <m:r>
                <w:rPr>
                  <w:rFonts w:ascii="Cambria Math" w:hAnsi="Cambria Math" w:cs="Times New Roman"/>
                  <w:sz w:val="24"/>
                  <w:szCs w:val="24"/>
                </w:rPr>
                <m:t>#(34)</m:t>
              </m:r>
            </m:e>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r>
                    <w:rPr>
                      <w:rFonts w:ascii="Cambria Math" w:hAnsi="Cambria Math" w:cs="Times New Roman"/>
                      <w:sz w:val="24"/>
                      <w:szCs w:val="24"/>
                    </w:rPr>
                    <m:t>δ</m:t>
                  </m:r>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δ</m:t>
                  </m:r>
                </m:num>
                <m:den>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den>
              </m:f>
              <m:r>
                <w:rPr>
                  <w:rFonts w:ascii="Cambria Math" w:hAnsi="Cambria Math" w:cs="Times New Roman"/>
                  <w:sz w:val="24"/>
                  <w:szCs w:val="24"/>
                </w:rPr>
                <m:t>#(35)</m:t>
              </m:r>
            </m:e>
            <m:e>
              <m:sSubSup>
                <m:sSubSupPr>
                  <m:ctrlPr>
                    <w:rPr>
                      <w:rFonts w:ascii="Cambria Math" w:hAnsi="Cambria Math" w:cs="Times New Roman"/>
                      <w:sz w:val="24"/>
                      <w:szCs w:val="24"/>
                    </w:rPr>
                  </m:ctrlPr>
                </m:sSubSupPr>
                <m:e>
                  <m:r>
                    <m:rPr>
                      <m:sty m:val="p"/>
                    </m:rPr>
                    <w:rPr>
                      <w:rFonts w:ascii="Cambria Math" w:hAnsi="Cambria Math" w:cs="Times New Roman"/>
                      <w:sz w:val="24"/>
                      <w:szCs w:val="24"/>
                    </w:rPr>
                    <m:t>Υ</m:t>
                  </m:r>
                </m:e>
                <m:sub>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sub>
                <m:sup>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sup>
              </m:sSubSup>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1</m:t>
                      </m:r>
                    </m:num>
                    <m:den>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1</m:t>
                      </m:r>
                    </m:num>
                    <m:den>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m:t>
                      </m:r>
                      <m:r>
                        <w:rPr>
                          <w:rFonts w:ascii="Cambria Math" w:hAnsi="Cambria Math" w:cs="Times New Roman"/>
                          <w:sz w:val="24"/>
                          <w:szCs w:val="24"/>
                        </w:rPr>
                        <m:t>ν</m:t>
                      </m:r>
                    </m:den>
                  </m:f>
                </m:e>
              </m:d>
              <m:r>
                <w:rPr>
                  <w:rFonts w:ascii="Cambria Math" w:hAnsi="Cambria Math" w:cs="Times New Roman"/>
                  <w:sz w:val="24"/>
                  <w:szCs w:val="24"/>
                </w:rPr>
                <m:t>#(36)</m:t>
              </m:r>
            </m:e>
          </m:eqArr>
        </m:oMath>
      </m:oMathPara>
    </w:p>
    <w:p w14:paraId="45CBEBA5"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 unit elasticity with respect to </w:t>
      </w:r>
      <m:oMath>
        <m:r>
          <w:rPr>
            <w:rFonts w:ascii="Cambria Math" w:hAnsi="Cambria Math" w:cs="Times New Roman"/>
            <w:sz w:val="24"/>
            <w:szCs w:val="24"/>
          </w:rPr>
          <m:t>β</m:t>
        </m:r>
      </m:oMath>
      <w:r w:rsidRPr="005405D4">
        <w:rPr>
          <w:rFonts w:ascii="Times New Roman" w:hAnsi="Times New Roman" w:cs="Times New Roman"/>
          <w:sz w:val="24"/>
          <w:szCs w:val="24"/>
        </w:rPr>
        <w:t xml:space="preserve"> means that a given percentage change in transmission produces the same percentage change in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Vaccination and recovery have negative indices, whereas faster waning of vaccine protection increases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w:t>
      </w:r>
    </w:p>
    <w:p w14:paraId="3B1C025E" w14:textId="77777777" w:rsidR="00FE3703" w:rsidRPr="005405D4" w:rsidRDefault="00326151" w:rsidP="009C16F4">
      <w:pPr>
        <w:spacing w:before="330" w:line="480" w:lineRule="auto"/>
        <w:jc w:val="both"/>
        <w:rPr>
          <w:rFonts w:ascii="Times New Roman" w:hAnsi="Times New Roman" w:cs="Times New Roman"/>
          <w:sz w:val="24"/>
          <w:szCs w:val="24"/>
        </w:rPr>
      </w:pPr>
      <w:bookmarkStart w:id="17" w:name="bm_5_numerical_illustration"/>
      <w:r w:rsidRPr="005405D4">
        <w:rPr>
          <w:rFonts w:ascii="Times New Roman" w:hAnsi="Times New Roman" w:cs="Times New Roman"/>
          <w:b/>
          <w:sz w:val="24"/>
          <w:szCs w:val="24"/>
        </w:rPr>
        <w:t xml:space="preserve">5 Numerical </w:t>
      </w:r>
      <w:proofErr w:type="gramStart"/>
      <w:r w:rsidRPr="005405D4">
        <w:rPr>
          <w:rFonts w:ascii="Times New Roman" w:hAnsi="Times New Roman" w:cs="Times New Roman"/>
          <w:b/>
          <w:sz w:val="24"/>
          <w:szCs w:val="24"/>
        </w:rPr>
        <w:t>illustration</w:t>
      </w:r>
      <w:bookmarkEnd w:id="17"/>
      <w:proofErr w:type="gramEnd"/>
    </w:p>
    <w:p w14:paraId="3C93996E"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 numerical results in this section illustrate model </w:t>
      </w:r>
      <w:proofErr w:type="spellStart"/>
      <w:r w:rsidRPr="005405D4">
        <w:rPr>
          <w:rFonts w:ascii="Times New Roman" w:hAnsi="Times New Roman" w:cs="Times New Roman"/>
          <w:sz w:val="24"/>
          <w:szCs w:val="24"/>
        </w:rPr>
        <w:t>behaviour</w:t>
      </w:r>
      <w:proofErr w:type="spellEnd"/>
      <w:r w:rsidRPr="005405D4">
        <w:rPr>
          <w:rFonts w:ascii="Times New Roman" w:hAnsi="Times New Roman" w:cs="Times New Roman"/>
          <w:sz w:val="24"/>
          <w:szCs w:val="24"/>
        </w:rPr>
        <w:t xml:space="preserve">; they are not forecasts. We use </w:t>
      </w:r>
      <m:oMath>
        <m:r>
          <w:rPr>
            <w:rFonts w:ascii="Cambria Math" w:hAnsi="Cambria Math" w:cs="Times New Roman"/>
            <w:sz w:val="24"/>
            <w:szCs w:val="24"/>
          </w:rPr>
          <m:t>β</m:t>
        </m:r>
        <m:r>
          <m:rPr>
            <m:sty m:val="p"/>
          </m:rPr>
          <w:rPr>
            <w:rFonts w:ascii="Cambria Math" w:hAnsi="Cambria Math" w:cs="Times New Roman"/>
            <w:sz w:val="24"/>
            <w:szCs w:val="24"/>
          </w:rPr>
          <m:t>=0.5,</m:t>
        </m:r>
        <m:r>
          <w:rPr>
            <w:rFonts w:ascii="Cambria Math" w:hAnsi="Cambria Math" w:cs="Times New Roman"/>
            <w:sz w:val="24"/>
            <w:szCs w:val="24"/>
          </w:rPr>
          <m:t>γ</m:t>
        </m:r>
        <m:r>
          <m:rPr>
            <m:sty m:val="p"/>
          </m:rPr>
          <w:rPr>
            <w:rFonts w:ascii="Cambria Math" w:hAnsi="Cambria Math" w:cs="Times New Roman"/>
            <w:sz w:val="24"/>
            <w:szCs w:val="24"/>
          </w:rPr>
          <m:t>=0.15,</m:t>
        </m:r>
        <m:r>
          <w:rPr>
            <w:rFonts w:ascii="Cambria Math" w:hAnsi="Cambria Math" w:cs="Times New Roman"/>
            <w:sz w:val="24"/>
            <w:szCs w:val="24"/>
          </w:rPr>
          <m:t>δ</m:t>
        </m:r>
        <m:r>
          <m:rPr>
            <m:sty m:val="p"/>
          </m:rPr>
          <w:rPr>
            <w:rFonts w:ascii="Cambria Math" w:hAnsi="Cambria Math" w:cs="Times New Roman"/>
            <w:sz w:val="24"/>
            <w:szCs w:val="24"/>
          </w:rPr>
          <m:t>=0.02,</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R</m:t>
            </m:r>
          </m:sub>
        </m:sSub>
        <m:r>
          <m:rPr>
            <m:sty m:val="p"/>
          </m:rPr>
          <w:rPr>
            <w:rFonts w:ascii="Cambria Math" w:hAnsi="Cambria Math" w:cs="Times New Roman"/>
            <w:sz w:val="24"/>
            <w:szCs w:val="24"/>
          </w:rPr>
          <m:t>=0.003,</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=0.001</m:t>
        </m:r>
      </m:oMath>
      <w:r w:rsidRPr="005405D4">
        <w:rPr>
          <w:rFonts w:ascii="Times New Roman" w:hAnsi="Times New Roman" w:cs="Times New Roman"/>
          <w:sz w:val="24"/>
          <w:szCs w:val="24"/>
        </w:rPr>
        <w:t xml:space="preserve">, and </w:t>
      </w:r>
      <m:oMath>
        <m:r>
          <w:rPr>
            <w:rFonts w:ascii="Cambria Math" w:hAnsi="Cambria Math" w:cs="Times New Roman"/>
            <w:sz w:val="24"/>
            <w:szCs w:val="24"/>
          </w:rPr>
          <m:t>μ</m:t>
        </m:r>
        <m:r>
          <m:rPr>
            <m:sty m:val="p"/>
          </m:rPr>
          <w:rPr>
            <w:rFonts w:ascii="Cambria Math" w:hAnsi="Cambria Math" w:cs="Times New Roman"/>
            <w:sz w:val="24"/>
            <w:szCs w:val="24"/>
          </w:rPr>
          <m:t>=0.00015</m:t>
        </m:r>
      </m:oMath>
      <w:r w:rsidRPr="005405D4">
        <w:rPr>
          <w:rFonts w:ascii="Times New Roman" w:hAnsi="Times New Roman" w:cs="Times New Roman"/>
          <w:sz w:val="24"/>
          <w:szCs w:val="24"/>
        </w:rPr>
        <w:t xml:space="preserve"> per day, with </w:t>
      </w:r>
      <m:oMath>
        <m:r>
          <m:rPr>
            <m:sty m:val="p"/>
          </m:rPr>
          <w:rPr>
            <w:rFonts w:ascii="Cambria Math" w:hAnsi="Cambria Math" w:cs="Times New Roman"/>
            <w:sz w:val="24"/>
            <w:szCs w:val="24"/>
          </w:rPr>
          <m:t>Λ=100</m:t>
        </m:r>
      </m:oMath>
      <w:r w:rsidRPr="005405D4">
        <w:rPr>
          <w:rFonts w:ascii="Times New Roman" w:hAnsi="Times New Roman" w:cs="Times New Roman"/>
          <w:sz w:val="24"/>
          <w:szCs w:val="24"/>
        </w:rPr>
        <w:t xml:space="preserve"> persons per day and initial state </w:t>
      </w:r>
      <m:oMath>
        <m:r>
          <m:rPr>
            <m:sty m:val="p"/>
          </m:rPr>
          <w:rPr>
            <w:rFonts w:ascii="Cambria Math" w:hAnsi="Cambria Math" w:cs="Times New Roman"/>
            <w:sz w:val="24"/>
            <w:szCs w:val="24"/>
          </w:rPr>
          <m:t>(</m:t>
        </m:r>
        <m:r>
          <w:rPr>
            <w:rFonts w:ascii="Cambria Math" w:hAnsi="Cambria Math" w:cs="Times New Roman"/>
            <w:sz w:val="24"/>
            <w:szCs w:val="24"/>
          </w:rPr>
          <m:t>S</m:t>
        </m:r>
        <m:r>
          <m:rPr>
            <m:sty m:val="p"/>
          </m:rPr>
          <w:rPr>
            <w:rFonts w:ascii="Cambria Math" w:hAnsi="Cambria Math" w:cs="Times New Roman"/>
            <w:sz w:val="24"/>
            <w:szCs w:val="24"/>
          </w:rPr>
          <m:t>,</m:t>
        </m:r>
        <m:r>
          <w:rPr>
            <w:rFonts w:ascii="Cambria Math" w:hAnsi="Cambria Math" w:cs="Times New Roman"/>
            <w:sz w:val="24"/>
            <w:szCs w:val="24"/>
          </w:rPr>
          <m:t>I</m:t>
        </m:r>
        <m:r>
          <m:rPr>
            <m:sty m:val="p"/>
          </m:rPr>
          <w:rPr>
            <w:rFonts w:ascii="Cambria Math" w:hAnsi="Cambria Math" w:cs="Times New Roman"/>
            <w:sz w:val="24"/>
            <w:szCs w:val="24"/>
          </w:rPr>
          <m:t>,</m:t>
        </m:r>
        <m:r>
          <w:rPr>
            <w:rFonts w:ascii="Cambria Math" w:hAnsi="Cambria Math" w:cs="Times New Roman"/>
            <w:sz w:val="24"/>
            <w:szCs w:val="24"/>
          </w:rPr>
          <m:t>R</m:t>
        </m:r>
        <m:r>
          <m:rPr>
            <m:sty m:val="p"/>
          </m:rPr>
          <w:rPr>
            <w:rFonts w:ascii="Cambria Math" w:hAnsi="Cambria Math" w:cs="Times New Roman"/>
            <w:sz w:val="24"/>
            <w:szCs w:val="24"/>
          </w:rPr>
          <m:t>,</m:t>
        </m:r>
        <m:r>
          <w:rPr>
            <w:rFonts w:ascii="Cambria Math" w:hAnsi="Cambria Math" w:cs="Times New Roman"/>
            <w:sz w:val="24"/>
            <w:szCs w:val="24"/>
          </w:rPr>
          <m:t>V</m:t>
        </m:r>
        <m:r>
          <m:rPr>
            <m:sty m:val="p"/>
          </m:rPr>
          <w:rPr>
            <w:rFonts w:ascii="Cambria Math" w:hAnsi="Cambria Math" w:cs="Times New Roman"/>
            <w:sz w:val="24"/>
            <w:szCs w:val="24"/>
          </w:rPr>
          <m:t>)=(90000,1000,0,9000)</m:t>
        </m:r>
      </m:oMath>
      <w:r w:rsidRPr="005405D4">
        <w:rPr>
          <w:rFonts w:ascii="Times New Roman" w:hAnsi="Times New Roman" w:cs="Times New Roman"/>
          <w:sz w:val="24"/>
          <w:szCs w:val="24"/>
        </w:rPr>
        <w:t xml:space="preserve">. Three vaccination rates are considered: low </w:t>
      </w:r>
      <m:oMath>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=0.005)</m:t>
        </m:r>
      </m:oMath>
      <w:r w:rsidRPr="005405D4">
        <w:rPr>
          <w:rFonts w:ascii="Times New Roman" w:hAnsi="Times New Roman" w:cs="Times New Roman"/>
          <w:sz w:val="24"/>
          <w:szCs w:val="24"/>
        </w:rPr>
        <w:t xml:space="preserve">, moderate </w:t>
      </w:r>
      <m:oMath>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=0.01)</m:t>
        </m:r>
      </m:oMath>
      <w:r w:rsidRPr="005405D4">
        <w:rPr>
          <w:rFonts w:ascii="Times New Roman" w:hAnsi="Times New Roman" w:cs="Times New Roman"/>
          <w:sz w:val="24"/>
          <w:szCs w:val="24"/>
        </w:rPr>
        <w:t xml:space="preserve">, and high </w:t>
      </w:r>
      <m:oMath>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=0.02)</m:t>
        </m:r>
      </m:oMath>
      <w:r w:rsidRPr="005405D4">
        <w:rPr>
          <w:rFonts w:ascii="Times New Roman" w:hAnsi="Times New Roman" w:cs="Times New Roman"/>
          <w:sz w:val="24"/>
          <w:szCs w:val="24"/>
        </w:rPr>
        <w:t xml:space="preserve"> per day.</w:t>
      </w:r>
    </w:p>
    <w:p w14:paraId="0571DD2B"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For these illustrative values, Equation (24) gives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≈0.549,0.303</m:t>
        </m:r>
      </m:oMath>
      <w:r w:rsidRPr="005405D4">
        <w:rPr>
          <w:rFonts w:ascii="Times New Roman" w:hAnsi="Times New Roman" w:cs="Times New Roman"/>
          <w:sz w:val="24"/>
          <w:szCs w:val="24"/>
        </w:rPr>
        <w:t xml:space="preserve">, and 0.160, respectively. The threshold from Equation (25) is </w:t>
      </w:r>
      <m:oMath>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r>
          <m:rPr>
            <m:sty m:val="p"/>
          </m:rPr>
          <w:rPr>
            <w:rFonts w:ascii="Cambria Math" w:hAnsi="Cambria Math" w:cs="Times New Roman"/>
            <w:sz w:val="24"/>
            <w:szCs w:val="24"/>
          </w:rPr>
          <m:t>≈0.00223</m:t>
        </m:r>
      </m:oMath>
      <w:r w:rsidRPr="005405D4">
        <w:rPr>
          <w:rFonts w:ascii="Times New Roman" w:hAnsi="Times New Roman" w:cs="Times New Roman"/>
          <w:sz w:val="24"/>
          <w:szCs w:val="24"/>
        </w:rPr>
        <w:t xml:space="preserve"> per day. Figure 2 shows the monotone decline in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as vaccination increases.</w:t>
      </w:r>
    </w:p>
    <w:p w14:paraId="7C3E63AE"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noProof/>
          <w:sz w:val="24"/>
          <w:szCs w:val="24"/>
        </w:rPr>
        <w:lastRenderedPageBreak/>
        <w:drawing>
          <wp:inline distT="0" distB="0" distL="0" distR="0" wp14:anchorId="46EA80D0" wp14:editId="2D5C7A63">
            <wp:extent cx="5486400" cy="2777172"/>
            <wp:effectExtent l="0" t="0" r="0" b="0"/>
            <wp:docPr id="2" name="image-afcad8e35deebaa50854cf78a3c952ca4fa70614.jpg"/>
            <wp:cNvGraphicFramePr/>
            <a:graphic xmlns:a="http://schemas.openxmlformats.org/drawingml/2006/main">
              <a:graphicData uri="http://schemas.openxmlformats.org/drawingml/2006/picture">
                <pic:pic xmlns:pic="http://schemas.openxmlformats.org/drawingml/2006/picture">
                  <pic:nvPicPr>
                    <pic:cNvPr id="2" name="image-afcad8e35deebaa50854cf78a3c952ca4fa70614.jpg"/>
                    <pic:cNvPicPr/>
                  </pic:nvPicPr>
                  <pic:blipFill>
                    <a:blip r:embed="rId8" cstate="print"/>
                    <a:srcRect/>
                    <a:stretch>
                      <a:fillRect/>
                    </a:stretch>
                  </pic:blipFill>
                  <pic:spPr>
                    <a:xfrm>
                      <a:off x="0" y="0"/>
                      <a:ext cx="5486400" cy="2777172"/>
                    </a:xfrm>
                    <a:prstGeom prst="rect">
                      <a:avLst/>
                    </a:prstGeom>
                  </pic:spPr>
                </pic:pic>
              </a:graphicData>
            </a:graphic>
          </wp:inline>
        </w:drawing>
      </w:r>
    </w:p>
    <w:p w14:paraId="0082F8BC" w14:textId="77777777" w:rsidR="00FE3703" w:rsidRPr="005405D4" w:rsidRDefault="00326151" w:rsidP="009C16F4">
      <w:p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Figure 2: Relationship between vaccination rate and the basic reproduction number for the illustrative parameter set. The marked point is the threshold </w:t>
      </w:r>
      <m:oMath>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oMath>
      <w:r w:rsidRPr="005405D4">
        <w:rPr>
          <w:rFonts w:ascii="Times New Roman" w:hAnsi="Times New Roman" w:cs="Times New Roman"/>
          <w:sz w:val="24"/>
          <w:szCs w:val="24"/>
        </w:rPr>
        <w:t>.</w:t>
      </w:r>
    </w:p>
    <w:p w14:paraId="3B8CF4C7" w14:textId="77777777" w:rsidR="00FE3703" w:rsidRPr="005405D4" w:rsidRDefault="00326151" w:rsidP="009C16F4">
      <w:pPr>
        <w:spacing w:before="240" w:line="480" w:lineRule="auto"/>
        <w:jc w:val="both"/>
        <w:rPr>
          <w:rFonts w:ascii="Times New Roman" w:hAnsi="Times New Roman" w:cs="Times New Roman"/>
          <w:sz w:val="24"/>
          <w:szCs w:val="24"/>
        </w:rPr>
      </w:pPr>
      <w:bookmarkStart w:id="18" w:name="bm_5_1_calculations_underlying_figure_2"/>
      <w:r w:rsidRPr="005405D4">
        <w:rPr>
          <w:rFonts w:ascii="Times New Roman" w:hAnsi="Times New Roman" w:cs="Times New Roman"/>
          <w:b/>
          <w:sz w:val="24"/>
          <w:szCs w:val="24"/>
        </w:rPr>
        <w:t>5.1 Calculations underlying Figure 2</w:t>
      </w:r>
      <w:bookmarkEnd w:id="18"/>
    </w:p>
    <w:p w14:paraId="29973DC7"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Figure 2 is obtained by substituting the illustrative parameter values into Equation (24). First, define</w:t>
      </w:r>
    </w:p>
    <w:p w14:paraId="2A29C52D"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a</m:t>
              </m:r>
              <m:r>
                <m:rPr>
                  <m:sty m:val="p"/>
                </m:rP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ω</m:t>
                  </m:r>
                </m:e>
                <m:sub>
                  <m:r>
                    <w:rPr>
                      <w:rFonts w:ascii="Cambria Math" w:hAnsi="Cambria Math" w:cs="Times New Roman"/>
                      <w:sz w:val="24"/>
                      <w:szCs w:val="24"/>
                    </w:rPr>
                    <m:t>V</m:t>
                  </m:r>
                </m:sub>
              </m:sSub>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=0.001+0.00015=0.00115</m:t>
              </m:r>
              <m:r>
                <w:rPr>
                  <w:rFonts w:ascii="Cambria Math" w:hAnsi="Cambria Math" w:cs="Times New Roman"/>
                  <w:sz w:val="24"/>
                  <w:szCs w:val="24"/>
                </w:rPr>
                <m:t>#(37)</m:t>
              </m:r>
            </m:e>
          </m:eqArr>
        </m:oMath>
      </m:oMathPara>
    </w:p>
    <w:p w14:paraId="1F7E0692"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and</w:t>
      </w:r>
    </w:p>
    <w:p w14:paraId="40CEE3DC"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w:rPr>
                  <w:rFonts w:ascii="Cambria Math" w:hAnsi="Cambria Math" w:cs="Times New Roman"/>
                  <w:sz w:val="24"/>
                  <w:szCs w:val="24"/>
                </w:rPr>
                <m:t>k</m:t>
              </m:r>
              <m:r>
                <m:rPr>
                  <m:sty m:val="p"/>
                </m:rPr>
                <w:rPr>
                  <w:rFonts w:ascii="Cambria Math" w:hAnsi="Cambria Math" w:cs="Times New Roman"/>
                  <w:sz w:val="24"/>
                  <w:szCs w:val="24"/>
                </w:rPr>
                <m:t>=</m:t>
              </m:r>
              <m:r>
                <w:rPr>
                  <w:rFonts w:ascii="Cambria Math" w:hAnsi="Cambria Math" w:cs="Times New Roman"/>
                  <w:sz w:val="24"/>
                  <w:szCs w:val="24"/>
                </w:rPr>
                <m:t>γ</m:t>
              </m:r>
              <m:r>
                <m:rPr>
                  <m:sty m:val="p"/>
                </m:rPr>
                <w:rPr>
                  <w:rFonts w:ascii="Cambria Math" w:hAnsi="Cambria Math" w:cs="Times New Roman"/>
                  <w:sz w:val="24"/>
                  <w:szCs w:val="24"/>
                </w:rPr>
                <m:t>+</m:t>
              </m:r>
              <m:r>
                <w:rPr>
                  <w:rFonts w:ascii="Cambria Math" w:hAnsi="Cambria Math" w:cs="Times New Roman"/>
                  <w:sz w:val="24"/>
                  <w:szCs w:val="24"/>
                </w:rPr>
                <m:t>δ</m:t>
              </m:r>
              <m:r>
                <m:rPr>
                  <m:sty m:val="p"/>
                </m:rPr>
                <w:rPr>
                  <w:rFonts w:ascii="Cambria Math" w:hAnsi="Cambria Math" w:cs="Times New Roman"/>
                  <w:sz w:val="24"/>
                  <w:szCs w:val="24"/>
                </w:rPr>
                <m:t>+</m:t>
              </m:r>
              <m:r>
                <w:rPr>
                  <w:rFonts w:ascii="Cambria Math" w:hAnsi="Cambria Math" w:cs="Times New Roman"/>
                  <w:sz w:val="24"/>
                  <w:szCs w:val="24"/>
                </w:rPr>
                <m:t>μ</m:t>
              </m:r>
              <m:r>
                <m:rPr>
                  <m:sty m:val="p"/>
                </m:rPr>
                <w:rPr>
                  <w:rFonts w:ascii="Cambria Math" w:hAnsi="Cambria Math" w:cs="Times New Roman"/>
                  <w:sz w:val="24"/>
                  <w:szCs w:val="24"/>
                </w:rPr>
                <m:t>=0.15+0.02+0.00015=0.17015.</m:t>
              </m:r>
              <m:r>
                <w:rPr>
                  <w:rFonts w:ascii="Cambria Math" w:hAnsi="Cambria Math" w:cs="Times New Roman"/>
                  <w:sz w:val="24"/>
                  <w:szCs w:val="24"/>
                </w:rPr>
                <m:t>#(38)</m:t>
              </m:r>
            </m:e>
          </m:eqArr>
        </m:oMath>
      </m:oMathPara>
    </w:p>
    <w:p w14:paraId="5C083A13"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The reproduction number can then be written as a function of the vaccination rate:</w:t>
      </w:r>
    </w:p>
    <w:p w14:paraId="42A8CBDC"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βa</m:t>
                  </m:r>
                </m:num>
                <m:den>
                  <m:r>
                    <m:rPr>
                      <m:sty m:val="p"/>
                    </m:rPr>
                    <w:rPr>
                      <w:rFonts w:ascii="Cambria Math" w:hAnsi="Cambria Math" w:cs="Times New Roman"/>
                      <w:sz w:val="24"/>
                      <w:szCs w:val="24"/>
                    </w:rPr>
                    <m:t>(</m:t>
                  </m:r>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m:t>
                  </m:r>
                  <m:r>
                    <w:rPr>
                      <w:rFonts w:ascii="Cambria Math" w:hAnsi="Cambria Math" w:cs="Times New Roman"/>
                      <w:sz w:val="24"/>
                      <w:szCs w:val="24"/>
                    </w:rPr>
                    <m:t>k</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r>
                    <m:rPr>
                      <m:sty m:val="p"/>
                    </m:rPr>
                    <w:rPr>
                      <w:rFonts w:ascii="Cambria Math" w:hAnsi="Cambria Math" w:cs="Times New Roman"/>
                      <w:sz w:val="24"/>
                      <w:szCs w:val="24"/>
                    </w:rPr>
                    <m:t>(0.00115+</m:t>
                  </m:r>
                  <m:r>
                    <w:rPr>
                      <w:rFonts w:ascii="Cambria Math" w:hAnsi="Cambria Math" w:cs="Times New Roman"/>
                      <w:sz w:val="24"/>
                      <w:szCs w:val="24"/>
                    </w:rPr>
                    <m:t>ν</m:t>
                  </m:r>
                  <m:r>
                    <m:rPr>
                      <m:sty m:val="p"/>
                    </m:rPr>
                    <w:rPr>
                      <w:rFonts w:ascii="Cambria Math" w:hAnsi="Cambria Math" w:cs="Times New Roman"/>
                      <w:sz w:val="24"/>
                      <w:szCs w:val="24"/>
                    </w:rPr>
                    <m:t>)(0.17015)</m:t>
                  </m:r>
                </m:den>
              </m:f>
              <m:r>
                <m:rPr>
                  <m:sty m:val="p"/>
                </m:rPr>
                <w:rPr>
                  <w:rFonts w:ascii="Cambria Math" w:hAnsi="Cambria Math" w:cs="Times New Roman"/>
                  <w:sz w:val="24"/>
                  <w:szCs w:val="24"/>
                </w:rPr>
                <m:t>.</m:t>
              </m:r>
              <m:r>
                <w:rPr>
                  <w:rFonts w:ascii="Cambria Math" w:hAnsi="Cambria Math" w:cs="Times New Roman"/>
                  <w:sz w:val="24"/>
                  <w:szCs w:val="24"/>
                </w:rPr>
                <m:t>#(39)</m:t>
              </m:r>
            </m:e>
          </m:eqArr>
        </m:oMath>
      </m:oMathPara>
    </w:p>
    <w:p w14:paraId="60A19268"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For example, in the absence of vaccination,</w:t>
      </w:r>
    </w:p>
    <w:p w14:paraId="317A97AB"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r>
                    <m:rPr>
                      <m:sty m:val="p"/>
                    </m:rPr>
                    <w:rPr>
                      <w:rFonts w:ascii="Cambria Math" w:hAnsi="Cambria Math" w:cs="Times New Roman"/>
                      <w:sz w:val="24"/>
                      <w:szCs w:val="24"/>
                    </w:rPr>
                    <m:t>(0.00115)(0.17015)</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0.5</m:t>
                  </m:r>
                </m:num>
                <m:den>
                  <m:r>
                    <m:rPr>
                      <m:sty m:val="p"/>
                    </m:rPr>
                    <w:rPr>
                      <w:rFonts w:ascii="Cambria Math" w:hAnsi="Cambria Math" w:cs="Times New Roman"/>
                      <w:sz w:val="24"/>
                      <w:szCs w:val="24"/>
                    </w:rPr>
                    <m:t>0.17015</m:t>
                  </m:r>
                </m:den>
              </m:f>
              <m:r>
                <m:rPr>
                  <m:sty m:val="p"/>
                </m:rPr>
                <w:rPr>
                  <w:rFonts w:ascii="Cambria Math" w:hAnsi="Cambria Math" w:cs="Times New Roman"/>
                  <w:sz w:val="24"/>
                  <w:szCs w:val="24"/>
                </w:rPr>
                <m:t>≈2.938.</m:t>
              </m:r>
              <m:r>
                <w:rPr>
                  <w:rFonts w:ascii="Cambria Math" w:hAnsi="Cambria Math" w:cs="Times New Roman"/>
                  <w:sz w:val="24"/>
                  <w:szCs w:val="24"/>
                </w:rPr>
                <m:t>#(40)</m:t>
              </m:r>
            </m:e>
          </m:eqArr>
        </m:oMath>
      </m:oMathPara>
    </w:p>
    <w:p w14:paraId="47194693"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Thus, without vaccination, one typical infectious individual would generate approximately 2.94 secondary infections under the model assumptions.</w:t>
      </w:r>
    </w:p>
    <w:p w14:paraId="2FB54BDF"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At the three vaccination rates considered in the numerical illustration,</w:t>
      </w:r>
    </w:p>
    <w:p w14:paraId="592C7504"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(0.005)=</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r>
                    <m:rPr>
                      <m:sty m:val="p"/>
                    </m:rPr>
                    <w:rPr>
                      <w:rFonts w:ascii="Cambria Math" w:hAnsi="Cambria Math" w:cs="Times New Roman"/>
                      <w:sz w:val="24"/>
                      <w:szCs w:val="24"/>
                    </w:rPr>
                    <m:t>(0.00615)(0.17015)</m:t>
                  </m:r>
                </m:den>
              </m:f>
              <m:r>
                <m:rPr>
                  <m:sty m:val="p"/>
                </m:rPr>
                <w:rPr>
                  <w:rFonts w:ascii="Cambria Math" w:hAnsi="Cambria Math" w:cs="Times New Roman"/>
                  <w:sz w:val="24"/>
                  <w:szCs w:val="24"/>
                </w:rPr>
                <m:t>≈0.549,</m:t>
              </m:r>
              <m:r>
                <w:rPr>
                  <w:rFonts w:ascii="Cambria Math" w:hAnsi="Cambria Math" w:cs="Times New Roman"/>
                  <w:sz w:val="24"/>
                  <w:szCs w:val="24"/>
                </w:rPr>
                <m:t>#(41)</m:t>
              </m:r>
            </m:e>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(0.010)=</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r>
                    <m:rPr>
                      <m:sty m:val="p"/>
                    </m:rPr>
                    <w:rPr>
                      <w:rFonts w:ascii="Cambria Math" w:hAnsi="Cambria Math" w:cs="Times New Roman"/>
                      <w:sz w:val="24"/>
                      <w:szCs w:val="24"/>
                    </w:rPr>
                    <m:t>(0.01115)(0.17015)</m:t>
                  </m:r>
                </m:den>
              </m:f>
              <m:r>
                <m:rPr>
                  <m:sty m:val="p"/>
                </m:rPr>
                <w:rPr>
                  <w:rFonts w:ascii="Cambria Math" w:hAnsi="Cambria Math" w:cs="Times New Roman"/>
                  <w:sz w:val="24"/>
                  <w:szCs w:val="24"/>
                </w:rPr>
                <m:t>≈0.303,</m:t>
              </m:r>
              <m:r>
                <w:rPr>
                  <w:rFonts w:ascii="Cambria Math" w:hAnsi="Cambria Math" w:cs="Times New Roman"/>
                  <w:sz w:val="24"/>
                  <w:szCs w:val="24"/>
                </w:rPr>
                <m:t>#(42)</m:t>
              </m:r>
            </m:e>
            <m:e>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(0.020)=</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r>
                    <m:rPr>
                      <m:sty m:val="p"/>
                    </m:rPr>
                    <w:rPr>
                      <w:rFonts w:ascii="Cambria Math" w:hAnsi="Cambria Math" w:cs="Times New Roman"/>
                      <w:sz w:val="24"/>
                      <w:szCs w:val="24"/>
                    </w:rPr>
                    <m:t>(0.02115)(0.17015)</m:t>
                  </m:r>
                </m:den>
              </m:f>
              <m:r>
                <m:rPr>
                  <m:sty m:val="p"/>
                </m:rPr>
                <w:rPr>
                  <w:rFonts w:ascii="Cambria Math" w:hAnsi="Cambria Math" w:cs="Times New Roman"/>
                  <w:sz w:val="24"/>
                  <w:szCs w:val="24"/>
                </w:rPr>
                <m:t>≈0.160.</m:t>
              </m:r>
              <m:r>
                <w:rPr>
                  <w:rFonts w:ascii="Cambria Math" w:hAnsi="Cambria Math" w:cs="Times New Roman"/>
                  <w:sz w:val="24"/>
                  <w:szCs w:val="24"/>
                </w:rPr>
                <m:t>#(43)</m:t>
              </m:r>
            </m:e>
          </m:eqArr>
        </m:oMath>
      </m:oMathPara>
    </w:p>
    <w:p w14:paraId="1991ED7A"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These values correspond to reductions of approximately 81.3%, 89.7%, and 94.6%, respectively, relative to the no-vaccination value. In general, the proportional reduction is</w:t>
      </w:r>
    </w:p>
    <w:p w14:paraId="0E501EB1"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m:rPr>
                  <m:sty m:val="p"/>
                </m:rPr>
                <w:rPr>
                  <w:rFonts w:ascii="Cambria Math" w:hAnsi="Cambria Math" w:cs="Times New Roman"/>
                  <w:sz w:val="24"/>
                  <w:szCs w:val="24"/>
                </w:rPr>
                <m:t>1-</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m:t>
                  </m:r>
                  <m:r>
                    <w:rPr>
                      <w:rFonts w:ascii="Cambria Math" w:hAnsi="Cambria Math" w:cs="Times New Roman"/>
                      <w:sz w:val="24"/>
                      <w:szCs w:val="24"/>
                    </w:rPr>
                    <m:t>ν</m:t>
                  </m:r>
                  <m:r>
                    <m:rPr>
                      <m:sty m:val="p"/>
                    </m:rPr>
                    <w:rPr>
                      <w:rFonts w:ascii="Cambria Math" w:hAnsi="Cambria Math" w:cs="Times New Roman"/>
                      <w:sz w:val="24"/>
                      <w:szCs w:val="24"/>
                    </w:rPr>
                    <m:t>)</m:t>
                  </m:r>
                </m:num>
                <m:den>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(0)</m:t>
                  </m:r>
                </m:den>
              </m:f>
              <m:r>
                <m:rPr>
                  <m:sty m:val="p"/>
                </m:rPr>
                <w:rPr>
                  <w:rFonts w:ascii="Cambria Math" w:hAnsi="Cambria Math" w:cs="Times New Roman"/>
                  <w:sz w:val="24"/>
                  <w:szCs w:val="24"/>
                </w:rPr>
                <m:t>=1-</m:t>
              </m:r>
              <m:f>
                <m:fPr>
                  <m:ctrlPr>
                    <w:rPr>
                      <w:rFonts w:ascii="Cambria Math" w:hAnsi="Cambria Math" w:cs="Times New Roman"/>
                      <w:sz w:val="24"/>
                      <w:szCs w:val="24"/>
                    </w:rPr>
                  </m:ctrlPr>
                </m:fPr>
                <m:num>
                  <m:r>
                    <w:rPr>
                      <w:rFonts w:ascii="Cambria Math" w:hAnsi="Cambria Math" w:cs="Times New Roman"/>
                      <w:sz w:val="24"/>
                      <w:szCs w:val="24"/>
                    </w:rPr>
                    <m:t>a</m:t>
                  </m:r>
                </m:num>
                <m:den>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ν</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ν</m:t>
                  </m:r>
                </m:num>
                <m:den>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ν</m:t>
                  </m:r>
                </m:den>
              </m:f>
              <m:r>
                <m:rPr>
                  <m:sty m:val="p"/>
                </m:rPr>
                <w:rPr>
                  <w:rFonts w:ascii="Cambria Math" w:hAnsi="Cambria Math" w:cs="Times New Roman"/>
                  <w:sz w:val="24"/>
                  <w:szCs w:val="24"/>
                </w:rPr>
                <m:t>.</m:t>
              </m:r>
              <m:r>
                <w:rPr>
                  <w:rFonts w:ascii="Cambria Math" w:hAnsi="Cambria Math" w:cs="Times New Roman"/>
                  <w:sz w:val="24"/>
                  <w:szCs w:val="24"/>
                </w:rPr>
                <m:t>#(44)</m:t>
              </m:r>
            </m:e>
          </m:eqArr>
        </m:oMath>
      </m:oMathPara>
    </w:p>
    <w:p w14:paraId="32B616B6"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 black point in Figure 2 is found by setting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d>
          <m:dPr>
            <m:ctrlPr>
              <w:rPr>
                <w:rFonts w:ascii="Cambria Math" w:hAnsi="Cambria Math" w:cs="Times New Roman"/>
                <w:sz w:val="24"/>
                <w:szCs w:val="24"/>
              </w:rPr>
            </m:ctrlPr>
          </m:dPr>
          <m:e>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e>
        </m:d>
        <m:r>
          <m:rPr>
            <m:sty m:val="p"/>
          </m:rPr>
          <w:rPr>
            <w:rFonts w:ascii="Cambria Math" w:hAnsi="Cambria Math" w:cs="Times New Roman"/>
            <w:sz w:val="24"/>
            <w:szCs w:val="24"/>
          </w:rPr>
          <m:t>=1</m:t>
        </m:r>
      </m:oMath>
      <w:r>
        <w:rPr>
          <w:rFonts w:ascii="Times New Roman" w:hAnsi="Times New Roman" w:cs="Times New Roman"/>
          <w:sz w:val="24"/>
          <w:szCs w:val="24"/>
          <w:highlight w:val="yellow"/>
        </w:rPr>
        <w:t>:</w:t>
      </w:r>
    </w:p>
    <w:p w14:paraId="0E92169E"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r>
                <m:rPr>
                  <m:sty m:val="p"/>
                </m:rPr>
                <w:rPr>
                  <w:rFonts w:ascii="Cambria Math" w:hAnsi="Cambria Math" w:cs="Times New Roman"/>
                  <w:sz w:val="24"/>
                  <w:szCs w:val="24"/>
                </w:rPr>
                <m:t>1</m:t>
              </m:r>
              <m:r>
                <w:rPr>
                  <w:rFonts w:ascii="Cambria Math" w:hAnsi="Cambria Math" w:cs="Times New Roman"/>
                  <w:sz w:val="24"/>
                  <w:szCs w:val="24"/>
                </w:rPr>
                <m:t xml:space="preserve"> </m:t>
              </m:r>
              <m:r>
                <m:rPr>
                  <m:sty m:val="p"/>
                </m:rPr>
                <w:rPr>
                  <w:rFonts w:ascii="Cambria Math" w:hAnsi="Cambria Math" w:cs="Times New Roman"/>
                  <w:sz w:val="24"/>
                  <w:szCs w:val="24"/>
                </w:rPr>
                <m:t>=</m:t>
              </m:r>
              <m:f>
                <m:fPr>
                  <m:ctrlPr>
                    <w:rPr>
                      <w:rFonts w:ascii="Cambria Math" w:hAnsi="Cambria Math" w:cs="Times New Roman"/>
                      <w:sz w:val="24"/>
                      <w:szCs w:val="24"/>
                    </w:rPr>
                  </m:ctrlPr>
                </m:fPr>
                <m:num>
                  <m:r>
                    <m:rPr>
                      <m:sty m:val="p"/>
                    </m:rPr>
                    <w:rPr>
                      <w:rFonts w:ascii="Cambria Math" w:hAnsi="Cambria Math" w:cs="Times New Roman"/>
                      <w:sz w:val="24"/>
                      <w:szCs w:val="24"/>
                    </w:rPr>
                    <m:t>0.5(0.00115)</m:t>
                  </m:r>
                </m:num>
                <m:den>
                  <m:d>
                    <m:dPr>
                      <m:ctrlPr>
                        <w:rPr>
                          <w:rFonts w:ascii="Cambria Math" w:hAnsi="Cambria Math" w:cs="Times New Roman"/>
                          <w:sz w:val="24"/>
                          <w:szCs w:val="24"/>
                        </w:rPr>
                      </m:ctrlPr>
                    </m:dPr>
                    <m:e>
                      <m:r>
                        <m:rPr>
                          <m:sty m:val="p"/>
                        </m:rPr>
                        <w:rPr>
                          <w:rFonts w:ascii="Cambria Math" w:hAnsi="Cambria Math" w:cs="Times New Roman"/>
                          <w:sz w:val="24"/>
                          <w:szCs w:val="24"/>
                        </w:rPr>
                        <m:t>0.00115+</m:t>
                      </m:r>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e>
                  </m:d>
                  <m:r>
                    <m:rPr>
                      <m:sty m:val="p"/>
                    </m:rPr>
                    <w:rPr>
                      <w:rFonts w:ascii="Cambria Math" w:hAnsi="Cambria Math" w:cs="Times New Roman"/>
                      <w:sz w:val="24"/>
                      <w:szCs w:val="24"/>
                    </w:rPr>
                    <m:t>(0.17015)</m:t>
                  </m:r>
                </m:den>
              </m:f>
              <m:r>
                <w:rPr>
                  <w:rFonts w:ascii="Cambria Math" w:hAnsi="Cambria Math" w:cs="Times New Roman"/>
                  <w:sz w:val="24"/>
                  <w:szCs w:val="24"/>
                </w:rPr>
                <m:t>#(45)</m:t>
              </m:r>
            </m:e>
            <m:e>
              <m:sSub>
                <m:sSubPr>
                  <m:ctrlPr>
                    <w:rPr>
                      <w:rFonts w:ascii="Cambria Math" w:hAnsi="Cambria Math" w:cs="Times New Roman"/>
                      <w:sz w:val="24"/>
                      <w:szCs w:val="24"/>
                    </w:rPr>
                  </m:ctrlPr>
                </m:sSubPr>
                <m:e>
                  <m:r>
                    <w:rPr>
                      <w:rFonts w:ascii="Cambria Math" w:hAnsi="Cambria Math" w:cs="Times New Roman"/>
                      <w:sz w:val="24"/>
                      <w:szCs w:val="24"/>
                    </w:rPr>
                    <m:t>ν</m:t>
                  </m:r>
                </m:e>
                <m:sub>
                  <m:r>
                    <w:rPr>
                      <w:rFonts w:ascii="Cambria Math" w:hAnsi="Cambria Math" w:cs="Times New Roman"/>
                      <w:sz w:val="24"/>
                      <w:szCs w:val="24"/>
                    </w:rPr>
                    <m:t>c</m:t>
                  </m:r>
                </m:sub>
              </m:sSub>
              <m:r>
                <w:rPr>
                  <w:rFonts w:ascii="Cambria Math" w:hAnsi="Cambria Math" w:cs="Times New Roman"/>
                  <w:sz w:val="24"/>
                  <w:szCs w:val="24"/>
                </w:rPr>
                <m:t xml:space="preserve"> </m:t>
              </m:r>
              <m:r>
                <m:rPr>
                  <m:sty m:val="p"/>
                </m:rPr>
                <w:rPr>
                  <w:rFonts w:ascii="Cambria Math" w:hAnsi="Cambria Math" w:cs="Times New Roman"/>
                  <w:sz w:val="24"/>
                  <w:szCs w:val="24"/>
                </w:rPr>
                <m:t>=0.00115</m:t>
              </m:r>
              <m:d>
                <m:dPr>
                  <m:ctrlPr>
                    <w:rPr>
                      <w:rFonts w:ascii="Cambria Math" w:hAnsi="Cambria Math" w:cs="Times New Roman"/>
                      <w:sz w:val="24"/>
                      <w:szCs w:val="24"/>
                    </w:rPr>
                  </m:ctrlPr>
                </m:dPr>
                <m:e>
                  <m:f>
                    <m:fPr>
                      <m:ctrlPr>
                        <w:rPr>
                          <w:rFonts w:ascii="Cambria Math" w:hAnsi="Cambria Math" w:cs="Times New Roman"/>
                          <w:sz w:val="24"/>
                          <w:szCs w:val="24"/>
                        </w:rPr>
                      </m:ctrlPr>
                    </m:fPr>
                    <m:num>
                      <m:r>
                        <m:rPr>
                          <m:sty m:val="p"/>
                        </m:rPr>
                        <w:rPr>
                          <w:rFonts w:ascii="Cambria Math" w:hAnsi="Cambria Math" w:cs="Times New Roman"/>
                          <w:sz w:val="24"/>
                          <w:szCs w:val="24"/>
                        </w:rPr>
                        <m:t>0.5</m:t>
                      </m:r>
                    </m:num>
                    <m:den>
                      <m:r>
                        <m:rPr>
                          <m:sty m:val="p"/>
                        </m:rPr>
                        <w:rPr>
                          <w:rFonts w:ascii="Cambria Math" w:hAnsi="Cambria Math" w:cs="Times New Roman"/>
                          <w:sz w:val="24"/>
                          <w:szCs w:val="24"/>
                        </w:rPr>
                        <m:t>0.17015</m:t>
                      </m:r>
                    </m:den>
                  </m:f>
                  <m:r>
                    <m:rPr>
                      <m:sty m:val="p"/>
                    </m:rPr>
                    <w:rPr>
                      <w:rFonts w:ascii="Cambria Math" w:hAnsi="Cambria Math" w:cs="Times New Roman"/>
                      <w:sz w:val="24"/>
                      <w:szCs w:val="24"/>
                    </w:rPr>
                    <m:t>-1</m:t>
                  </m:r>
                </m:e>
              </m:d>
              <m:r>
                <m:rPr>
                  <m:sty m:val="p"/>
                </m:rPr>
                <w:rPr>
                  <w:rFonts w:ascii="Cambria Math" w:hAnsi="Cambria Math" w:cs="Times New Roman"/>
                  <w:sz w:val="24"/>
                  <w:szCs w:val="24"/>
                </w:rPr>
                <m:t>≈0.00223</m:t>
              </m:r>
              <m:sSup>
                <m:sSupPr>
                  <m:ctrlPr>
                    <w:rPr>
                      <w:rFonts w:ascii="Cambria Math" w:hAnsi="Cambria Math" w:cs="Times New Roman"/>
                      <w:sz w:val="24"/>
                      <w:szCs w:val="24"/>
                    </w:rPr>
                  </m:ctrlPr>
                </m:sSupPr>
                <m:e>
                  <m:r>
                    <m:rPr>
                      <m:sty m:val="p"/>
                    </m:rPr>
                    <w:rPr>
                      <w:rFonts w:ascii="Cambria Math" w:hAnsi="Cambria Math" w:cs="Times New Roman"/>
                      <w:sz w:val="24"/>
                      <w:szCs w:val="24"/>
                    </w:rPr>
                    <m:t>day</m:t>
                  </m:r>
                </m:e>
                <m:sup>
                  <m:r>
                    <m:rPr>
                      <m:sty m:val="p"/>
                    </m:rPr>
                    <w:rPr>
                      <w:rFonts w:ascii="Cambria Math" w:hAnsi="Cambria Math" w:cs="Times New Roman"/>
                      <w:sz w:val="24"/>
                      <w:szCs w:val="24"/>
                    </w:rPr>
                    <m:t>-1</m:t>
                  </m:r>
                </m:sup>
              </m:sSup>
              <m:r>
                <w:rPr>
                  <w:rFonts w:ascii="Cambria Math" w:hAnsi="Cambria Math" w:cs="Times New Roman"/>
                  <w:sz w:val="24"/>
                  <w:szCs w:val="24"/>
                </w:rPr>
                <m:t>#(46)</m:t>
              </m:r>
            </m:e>
          </m:eqArr>
        </m:oMath>
      </m:oMathPara>
    </w:p>
    <w:p w14:paraId="157A5E5A"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Therefore, the model predicts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&lt;1</m:t>
        </m:r>
      </m:oMath>
      <w:r w:rsidRPr="005405D4">
        <w:rPr>
          <w:rFonts w:ascii="Times New Roman" w:hAnsi="Times New Roman" w:cs="Times New Roman"/>
          <w:sz w:val="24"/>
          <w:szCs w:val="24"/>
        </w:rPr>
        <w:t xml:space="preserve"> when </w:t>
      </w:r>
      <m:oMath>
        <m:r>
          <w:rPr>
            <w:rFonts w:ascii="Cambria Math" w:hAnsi="Cambria Math" w:cs="Times New Roman"/>
            <w:sz w:val="24"/>
            <w:szCs w:val="24"/>
          </w:rPr>
          <m:t>ν</m:t>
        </m:r>
        <m:r>
          <m:rPr>
            <m:sty m:val="p"/>
          </m:rPr>
          <w:rPr>
            <w:rFonts w:ascii="Cambria Math" w:hAnsi="Cambria Math" w:cs="Times New Roman"/>
            <w:sz w:val="24"/>
            <w:szCs w:val="24"/>
          </w:rPr>
          <m:t>&gt;0.00223</m:t>
        </m:r>
      </m:oMath>
      <w:r w:rsidRPr="005405D4">
        <w:rPr>
          <w:rFonts w:ascii="Times New Roman" w:hAnsi="Times New Roman" w:cs="Times New Roman"/>
          <w:sz w:val="24"/>
          <w:szCs w:val="24"/>
        </w:rPr>
        <w:t xml:space="preserve"> day </w:t>
      </w:r>
      <m:oMath>
        <m:sSup>
          <m:sSupPr>
            <m:ctrlPr>
              <w:rPr>
                <w:rFonts w:ascii="Cambria Math" w:hAnsi="Cambria Math" w:cs="Times New Roman"/>
                <w:sz w:val="24"/>
                <w:szCs w:val="24"/>
              </w:rPr>
            </m:ctrlPr>
          </m:sSupPr>
          <m:e>
            <m:r>
              <w:rPr>
                <w:rFonts w:ascii="Cambria Math" w:hAnsi="Cambria Math" w:cs="Times New Roman"/>
                <w:sz w:val="24"/>
                <w:szCs w:val="24"/>
              </w:rPr>
              <m:t xml:space="preserve"> </m:t>
            </m:r>
          </m:e>
          <m:sup>
            <m:r>
              <m:rPr>
                <m:sty m:val="p"/>
              </m:rPr>
              <w:rPr>
                <w:rFonts w:ascii="Cambria Math" w:hAnsi="Cambria Math" w:cs="Times New Roman"/>
                <w:sz w:val="24"/>
                <w:szCs w:val="24"/>
              </w:rPr>
              <m:t>-1</m:t>
            </m:r>
          </m:sup>
        </m:sSup>
      </m:oMath>
      <w:r w:rsidRPr="005405D4">
        <w:rPr>
          <w:rFonts w:ascii="Times New Roman" w:hAnsi="Times New Roman" w:cs="Times New Roman"/>
          <w:sz w:val="24"/>
          <w:szCs w:val="24"/>
        </w:rPr>
        <w:t>, provided all other parameters remain fixed.</w:t>
      </w:r>
    </w:p>
    <w:p w14:paraId="128269F5"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Finally, differentiating Equation (39) gives</w:t>
      </w:r>
    </w:p>
    <w:p w14:paraId="30278584" w14:textId="77777777" w:rsidR="00FE3703" w:rsidRPr="005405D4" w:rsidRDefault="00000000" w:rsidP="009C16F4">
      <w:pPr>
        <w:spacing w:after="220" w:line="480" w:lineRule="auto"/>
        <w:jc w:val="both"/>
        <w:rPr>
          <w:rFonts w:ascii="Times New Roman" w:hAnsi="Times New Roman" w:cs="Times New Roman"/>
          <w:sz w:val="24"/>
          <w:szCs w:val="24"/>
        </w:rPr>
      </w:pPr>
      <m:oMathPara>
        <m:oMath>
          <m:eqArr>
            <m:eqArrPr>
              <m:maxDist m:val="1"/>
              <m:ctrlPr>
                <w:rPr>
                  <w:rFonts w:ascii="Cambria Math" w:hAnsi="Cambria Math" w:cs="Times New Roman"/>
                  <w:sz w:val="24"/>
                  <w:szCs w:val="24"/>
                </w:rPr>
              </m:ctrlPr>
            </m:eqArrPr>
            <m:e>
              <m:f>
                <m:fPr>
                  <m:ctrlPr>
                    <w:rPr>
                      <w:rFonts w:ascii="Cambria Math" w:hAnsi="Cambria Math" w:cs="Times New Roman"/>
                      <w:sz w:val="24"/>
                      <w:szCs w:val="24"/>
                    </w:rPr>
                  </m:ctrlPr>
                </m:fPr>
                <m:num>
                  <m:r>
                    <m:rPr>
                      <m:sty m:val="p"/>
                    </m:rPr>
                    <w:rPr>
                      <w:rFonts w:ascii="Cambria Math" w:hAnsi="Cambria Math" w:cs="Times New Roman"/>
                      <w:sz w:val="24"/>
                      <w:szCs w:val="24"/>
                    </w:rPr>
                    <m:t>d</m:t>
                  </m:r>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num>
                <m:den>
                  <m:r>
                    <m:rPr>
                      <m:nor/>
                    </m:rPr>
                    <w:rPr>
                      <w:rFonts w:ascii="Times New Roman" w:hAnsi="Times New Roman" w:cs="Times New Roman"/>
                      <w:sz w:val="24"/>
                      <w:szCs w:val="24"/>
                    </w:rPr>
                    <m:t xml:space="preserve"> </m:t>
                  </m:r>
                  <m:r>
                    <m:rPr>
                      <m:sty m:val="p"/>
                    </m:rPr>
                    <w:rPr>
                      <w:rFonts w:ascii="Cambria Math" w:hAnsi="Cambria Math" w:cs="Times New Roman"/>
                      <w:sz w:val="24"/>
                      <w:szCs w:val="24"/>
                    </w:rPr>
                    <m:t>d</m:t>
                  </m:r>
                  <m:r>
                    <w:rPr>
                      <w:rFonts w:ascii="Cambria Math" w:hAnsi="Cambria Math" w:cs="Times New Roman"/>
                      <w:sz w:val="24"/>
                      <w:szCs w:val="24"/>
                    </w:rPr>
                    <m:t>ν</m:t>
                  </m:r>
                </m:den>
              </m:f>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βa</m:t>
                  </m:r>
                </m:num>
                <m:den>
                  <m:r>
                    <w:rPr>
                      <w:rFonts w:ascii="Cambria Math" w:hAnsi="Cambria Math" w:cs="Times New Roman"/>
                      <w:sz w:val="24"/>
                      <w:szCs w:val="24"/>
                    </w:rPr>
                    <m:t>k</m:t>
                  </m:r>
                  <m:r>
                    <m:rPr>
                      <m:sty m:val="p"/>
                    </m:rPr>
                    <w:rPr>
                      <w:rFonts w:ascii="Cambria Math" w:hAnsi="Cambria Math" w:cs="Times New Roman"/>
                      <w:sz w:val="24"/>
                      <w:szCs w:val="24"/>
                    </w:rPr>
                    <m:t>(</m:t>
                  </m:r>
                  <m:r>
                    <w:rPr>
                      <w:rFonts w:ascii="Cambria Math" w:hAnsi="Cambria Math" w:cs="Times New Roman"/>
                      <w:sz w:val="24"/>
                      <w:szCs w:val="24"/>
                    </w:rPr>
                    <m:t>a</m:t>
                  </m:r>
                  <m:r>
                    <m:rPr>
                      <m:sty m:val="p"/>
                    </m:rPr>
                    <w:rPr>
                      <w:rFonts w:ascii="Cambria Math" w:hAnsi="Cambria Math" w:cs="Times New Roman"/>
                      <w:sz w:val="24"/>
                      <w:szCs w:val="24"/>
                    </w:rPr>
                    <m:t>+</m:t>
                  </m:r>
                  <m:r>
                    <w:rPr>
                      <w:rFonts w:ascii="Cambria Math" w:hAnsi="Cambria Math" w:cs="Times New Roman"/>
                      <w:sz w:val="24"/>
                      <w:szCs w:val="24"/>
                    </w:rPr>
                    <m:t>ν</m:t>
                  </m:r>
                  <m:sSup>
                    <m:sSupPr>
                      <m:ctrlPr>
                        <w:rPr>
                          <w:rFonts w:ascii="Cambria Math" w:hAnsi="Cambria Math" w:cs="Times New Roman"/>
                          <w:sz w:val="24"/>
                          <w:szCs w:val="24"/>
                        </w:rPr>
                      </m:ctrlPr>
                    </m:sSupPr>
                    <m:e>
                      <m:r>
                        <m:rPr>
                          <m:sty m:val="p"/>
                        </m:rPr>
                        <w:rPr>
                          <w:rFonts w:ascii="Cambria Math" w:hAnsi="Cambria Math" w:cs="Times New Roman"/>
                          <w:sz w:val="24"/>
                          <w:szCs w:val="24"/>
                        </w:rPr>
                        <m:t>)</m:t>
                      </m:r>
                    </m:e>
                    <m:sup>
                      <m:r>
                        <m:rPr>
                          <m:sty m:val="p"/>
                        </m:rPr>
                        <w:rPr>
                          <w:rFonts w:ascii="Cambria Math" w:hAnsi="Cambria Math" w:cs="Times New Roman"/>
                          <w:sz w:val="24"/>
                          <w:szCs w:val="24"/>
                        </w:rPr>
                        <m:t>2</m:t>
                      </m:r>
                    </m:sup>
                  </m:sSup>
                </m:den>
              </m:f>
              <m:r>
                <m:rPr>
                  <m:sty m:val="p"/>
                </m:rPr>
                <w:rPr>
                  <w:rFonts w:ascii="Cambria Math" w:hAnsi="Cambria Math" w:cs="Times New Roman"/>
                  <w:sz w:val="24"/>
                  <w:szCs w:val="24"/>
                </w:rPr>
                <m:t>&lt;0.</m:t>
              </m:r>
              <m:r>
                <w:rPr>
                  <w:rFonts w:ascii="Cambria Math" w:hAnsi="Cambria Math" w:cs="Times New Roman"/>
                  <w:sz w:val="24"/>
                  <w:szCs w:val="24"/>
                </w:rPr>
                <m:t>#(47)</m:t>
              </m:r>
            </m:e>
          </m:eqArr>
        </m:oMath>
      </m:oMathPara>
    </w:p>
    <w:p w14:paraId="7739E48D"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 negative derivative explains the downward-sloping curve. Its magnitude decreases as </w:t>
      </w:r>
      <m:oMath>
        <m:r>
          <w:rPr>
            <w:rFonts w:ascii="Cambria Math" w:hAnsi="Cambria Math" w:cs="Times New Roman"/>
            <w:sz w:val="24"/>
            <w:szCs w:val="24"/>
          </w:rPr>
          <m:t>ν</m:t>
        </m:r>
      </m:oMath>
      <w:r w:rsidRPr="005405D4">
        <w:rPr>
          <w:rFonts w:ascii="Times New Roman" w:hAnsi="Times New Roman" w:cs="Times New Roman"/>
          <w:sz w:val="24"/>
          <w:szCs w:val="24"/>
        </w:rPr>
        <w:t xml:space="preserve"> increases, which accounts for the curve becoming progressively flatter at higher vaccination rates.</w:t>
      </w:r>
    </w:p>
    <w:p w14:paraId="0301FFFE"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 result has a direct interpretation. Raising </w:t>
      </w:r>
      <m:oMath>
        <m:r>
          <w:rPr>
            <w:rFonts w:ascii="Cambria Math" w:hAnsi="Cambria Math" w:cs="Times New Roman"/>
            <w:sz w:val="24"/>
            <w:szCs w:val="24"/>
          </w:rPr>
          <m:t>ν</m:t>
        </m:r>
      </m:oMath>
      <w:r w:rsidRPr="005405D4">
        <w:rPr>
          <w:rFonts w:ascii="Times New Roman" w:hAnsi="Times New Roman" w:cs="Times New Roman"/>
          <w:sz w:val="24"/>
          <w:szCs w:val="24"/>
        </w:rPr>
        <w:t xml:space="preserve"> moves susceptible individuals into the vaccinated class more quickly, so fewer remain available for infection. The marginal gain is largest when vaccination begins from a low rate; at higher values,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xml:space="preserve"> continues to fall but with diminishing absolute change. This pattern does not imply that every community has crossed the threshold, because the homogeneous model averages over local differences in coverage and contact.</w:t>
      </w:r>
    </w:p>
    <w:p w14:paraId="7EC67608" w14:textId="77777777" w:rsidR="00FE3703" w:rsidRPr="005405D4" w:rsidRDefault="00326151" w:rsidP="009C16F4">
      <w:pPr>
        <w:spacing w:before="330" w:line="480" w:lineRule="auto"/>
        <w:jc w:val="both"/>
        <w:rPr>
          <w:rFonts w:ascii="Times New Roman" w:hAnsi="Times New Roman" w:cs="Times New Roman"/>
          <w:sz w:val="24"/>
          <w:szCs w:val="24"/>
        </w:rPr>
      </w:pPr>
      <w:bookmarkStart w:id="19" w:name="bm_6_discussion"/>
      <w:r w:rsidRPr="005405D4">
        <w:rPr>
          <w:rFonts w:ascii="Times New Roman" w:hAnsi="Times New Roman" w:cs="Times New Roman"/>
          <w:b/>
          <w:sz w:val="24"/>
          <w:szCs w:val="24"/>
        </w:rPr>
        <w:t>6 Discussion</w:t>
      </w:r>
      <w:bookmarkEnd w:id="19"/>
    </w:p>
    <w:p w14:paraId="1EAB0B0B"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 model identifies vaccination as a central determinant of diphtheria transmission. At the DFE, the susceptible share is controlled by the competition between vaccination, waning vaccine protection, and demographic turnover. Increasing </w:t>
      </w:r>
      <m:oMath>
        <m:r>
          <w:rPr>
            <w:rFonts w:ascii="Cambria Math" w:hAnsi="Cambria Math" w:cs="Times New Roman"/>
            <w:sz w:val="24"/>
            <w:szCs w:val="24"/>
          </w:rPr>
          <m:t>ν</m:t>
        </m:r>
      </m:oMath>
      <w:r w:rsidRPr="005405D4">
        <w:rPr>
          <w:rFonts w:ascii="Times New Roman" w:hAnsi="Times New Roman" w:cs="Times New Roman"/>
          <w:sz w:val="24"/>
          <w:szCs w:val="24"/>
        </w:rPr>
        <w:t xml:space="preserve"> lowers that share and therefore lowers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oMath>
      <w:r w:rsidRPr="005405D4">
        <w:rPr>
          <w:rFonts w:ascii="Times New Roman" w:hAnsi="Times New Roman" w:cs="Times New Roman"/>
          <w:sz w:val="24"/>
          <w:szCs w:val="24"/>
        </w:rPr>
        <w:t>. Conversely, faster loss of vaccine-induced immunity returns people to susceptibility and raises the transmission potential.</w:t>
      </w:r>
    </w:p>
    <w:p w14:paraId="22D37266"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 threshold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=1</m:t>
        </m:r>
      </m:oMath>
      <w:r w:rsidRPr="005405D4">
        <w:rPr>
          <w:rFonts w:ascii="Times New Roman" w:hAnsi="Times New Roman" w:cs="Times New Roman"/>
          <w:sz w:val="24"/>
          <w:szCs w:val="24"/>
        </w:rPr>
        <w:t xml:space="preserve"> should be interpreted as a population-level condition rather than a guarantee for every location. Even if a national average suggests </w:t>
      </w:r>
      <m:oMath>
        <m:sSub>
          <m:sSubPr>
            <m:ctrlPr>
              <w:rPr>
                <w:rFonts w:ascii="Cambria Math" w:hAnsi="Cambria Math" w:cs="Times New Roman"/>
                <w:sz w:val="24"/>
                <w:szCs w:val="24"/>
              </w:rPr>
            </m:ctrlPr>
          </m:sSubPr>
          <m:e>
            <m:r>
              <m:rPr>
                <m:scr m:val="script"/>
              </m:rPr>
              <w:rPr>
                <w:rFonts w:ascii="Cambria Math" w:hAnsi="Cambria Math" w:cs="Times New Roman"/>
                <w:sz w:val="24"/>
                <w:szCs w:val="24"/>
              </w:rPr>
              <m:t>R</m:t>
            </m:r>
          </m:e>
          <m:sub>
            <m:r>
              <m:rPr>
                <m:sty m:val="p"/>
              </m:rPr>
              <w:rPr>
                <w:rFonts w:ascii="Cambria Math" w:hAnsi="Cambria Math" w:cs="Times New Roman"/>
                <w:sz w:val="24"/>
                <w:szCs w:val="24"/>
              </w:rPr>
              <m:t>0</m:t>
            </m:r>
          </m:sub>
        </m:sSub>
        <m:r>
          <m:rPr>
            <m:sty m:val="p"/>
          </m:rPr>
          <w:rPr>
            <w:rFonts w:ascii="Cambria Math" w:hAnsi="Cambria Math" w:cs="Times New Roman"/>
            <w:sz w:val="24"/>
            <w:szCs w:val="24"/>
          </w:rPr>
          <m:t>&lt;1</m:t>
        </m:r>
      </m:oMath>
      <w:r w:rsidRPr="005405D4">
        <w:rPr>
          <w:rFonts w:ascii="Times New Roman" w:hAnsi="Times New Roman" w:cs="Times New Roman"/>
          <w:sz w:val="24"/>
          <w:szCs w:val="24"/>
        </w:rPr>
        <w:t>, outbreaks may still occur in districts where coverage is low, immunity has waned, or contact patterns differ from the homogeneous-mixing assumption. This distinction is particularly relevant in settings with substantial geographical variation in service access.</w:t>
      </w:r>
    </w:p>
    <w:p w14:paraId="24D87EE2"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Recovery and mortality shorten the infectious period in the mathematical system and consequently reduce the number of secondary cases generated by an infectious person. Disease-induced mortality, however, is </w:t>
      </w:r>
      <w:r w:rsidRPr="005405D4">
        <w:rPr>
          <w:rFonts w:ascii="Times New Roman" w:hAnsi="Times New Roman" w:cs="Times New Roman"/>
          <w:sz w:val="24"/>
          <w:szCs w:val="24"/>
        </w:rPr>
        <w:lastRenderedPageBreak/>
        <w:t>not a desirable control mechanism; its negative sensitivity index reflects only its mathematical effect on infectious duration. Prevention, early diagnosis, appropriate treatment, case isolation, contact management, and vaccination remain the appropriate public-health responses.</w:t>
      </w:r>
    </w:p>
    <w:p w14:paraId="2088770D"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 xml:space="preserve">The analysis also underscores the importance of continuity. A temporary campaign may rapidly increase the vaccinated population, but waning protection and new recruitment can rebuild susceptibility. Routine </w:t>
      </w:r>
      <w:proofErr w:type="spellStart"/>
      <w:r w:rsidRPr="005405D4">
        <w:rPr>
          <w:rFonts w:ascii="Times New Roman" w:hAnsi="Times New Roman" w:cs="Times New Roman"/>
          <w:sz w:val="24"/>
          <w:szCs w:val="24"/>
        </w:rPr>
        <w:t>immunisation</w:t>
      </w:r>
      <w:proofErr w:type="spellEnd"/>
      <w:r w:rsidRPr="005405D4">
        <w:rPr>
          <w:rFonts w:ascii="Times New Roman" w:hAnsi="Times New Roman" w:cs="Times New Roman"/>
          <w:sz w:val="24"/>
          <w:szCs w:val="24"/>
        </w:rPr>
        <w:t>, appropriate booster schedules, reliable vaccine supply, and surveillance capable of identifying immunity gaps are therefore complementary rather than competing interventions.</w:t>
      </w:r>
    </w:p>
    <w:p w14:paraId="2E4BE41F" w14:textId="77777777" w:rsidR="00FE3703" w:rsidRPr="005405D4" w:rsidRDefault="00326151" w:rsidP="009C16F4">
      <w:pPr>
        <w:spacing w:before="240" w:line="480" w:lineRule="auto"/>
        <w:jc w:val="both"/>
        <w:rPr>
          <w:rFonts w:ascii="Times New Roman" w:hAnsi="Times New Roman" w:cs="Times New Roman"/>
          <w:sz w:val="24"/>
          <w:szCs w:val="24"/>
        </w:rPr>
      </w:pPr>
      <w:bookmarkStart w:id="20" w:name="bm_6_1_policy_implications_for_nigeria"/>
      <w:r w:rsidRPr="005405D4">
        <w:rPr>
          <w:rFonts w:ascii="Times New Roman" w:hAnsi="Times New Roman" w:cs="Times New Roman"/>
          <w:b/>
          <w:sz w:val="24"/>
          <w:szCs w:val="24"/>
        </w:rPr>
        <w:t>6.1 Policy implications for Nigeria</w:t>
      </w:r>
      <w:bookmarkEnd w:id="20"/>
    </w:p>
    <w:p w14:paraId="307B4E28"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t>The model supports five practical priorities:</w:t>
      </w:r>
    </w:p>
    <w:p w14:paraId="057226A8" w14:textId="77777777" w:rsidR="00FE3703" w:rsidRPr="005405D4" w:rsidRDefault="00326151" w:rsidP="009C16F4">
      <w:pPr>
        <w:numPr>
          <w:ilvl w:val="0"/>
          <w:numId w:val="4"/>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Close local coverage gaps. Resources should be directed not only </w:t>
      </w:r>
      <w:r>
        <w:rPr>
          <w:rFonts w:ascii="Times New Roman" w:hAnsi="Times New Roman" w:cs="Times New Roman"/>
          <w:sz w:val="24"/>
          <w:szCs w:val="24"/>
          <w:highlight w:val="yellow"/>
        </w:rPr>
        <w:t>towards</w:t>
      </w:r>
      <w:r>
        <w:rPr>
          <w:rFonts w:ascii="Times New Roman" w:hAnsi="Times New Roman" w:cs="Times New Roman"/>
          <w:sz w:val="24"/>
          <w:szCs w:val="24"/>
        </w:rPr>
        <w:t xml:space="preserve"> increasing national coverage but also </w:t>
      </w:r>
      <w:r>
        <w:rPr>
          <w:rFonts w:ascii="Times New Roman" w:hAnsi="Times New Roman" w:cs="Times New Roman"/>
          <w:sz w:val="24"/>
          <w:szCs w:val="24"/>
          <w:highlight w:val="yellow"/>
        </w:rPr>
        <w:t>towards</w:t>
      </w:r>
      <w:r>
        <w:rPr>
          <w:rFonts w:ascii="Times New Roman" w:hAnsi="Times New Roman" w:cs="Times New Roman"/>
          <w:sz w:val="24"/>
          <w:szCs w:val="24"/>
        </w:rPr>
        <w:t xml:space="preserve"> communities with persistently low uptake.</w:t>
      </w:r>
    </w:p>
    <w:p w14:paraId="0741B182" w14:textId="77777777" w:rsidR="00FE3703" w:rsidRPr="005405D4" w:rsidRDefault="00326151" w:rsidP="009C16F4">
      <w:pPr>
        <w:numPr>
          <w:ilvl w:val="0"/>
          <w:numId w:val="4"/>
        </w:num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Maintain protection over time. Booster policies should follow epidemiological evidence and national guidance, with systems in place to identify missed doses.</w:t>
      </w:r>
    </w:p>
    <w:p w14:paraId="7E437DB9" w14:textId="77777777" w:rsidR="00FE3703" w:rsidRPr="005405D4" w:rsidRDefault="00326151" w:rsidP="009C16F4">
      <w:pPr>
        <w:numPr>
          <w:ilvl w:val="0"/>
          <w:numId w:val="4"/>
        </w:num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Link surveillance to rapid response. Prompt detection, laboratory confirmation, case management, contact tracing, and targeted vaccination can prevent local transmission from expanding.</w:t>
      </w:r>
    </w:p>
    <w:p w14:paraId="7E3B1691" w14:textId="77777777" w:rsidR="00FE3703" w:rsidRPr="005405D4" w:rsidRDefault="00326151" w:rsidP="009C16F4">
      <w:pPr>
        <w:numPr>
          <w:ilvl w:val="0"/>
          <w:numId w:val="4"/>
        </w:num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Strengthen delivery systems. Cold-chain capacity, dependable supply, trained health workers, and access in insecure or remote areas are necessary for effective coverage.</w:t>
      </w:r>
    </w:p>
    <w:p w14:paraId="3BDDBC53" w14:textId="77777777" w:rsidR="00FE3703" w:rsidRPr="005405D4" w:rsidRDefault="00326151" w:rsidP="009C16F4">
      <w:pPr>
        <w:numPr>
          <w:ilvl w:val="0"/>
          <w:numId w:val="6"/>
        </w:numPr>
        <w:spacing w:line="480" w:lineRule="auto"/>
        <w:jc w:val="both"/>
        <w:rPr>
          <w:rFonts w:ascii="Times New Roman" w:hAnsi="Times New Roman" w:cs="Times New Roman"/>
          <w:sz w:val="24"/>
          <w:szCs w:val="24"/>
        </w:rPr>
      </w:pPr>
      <w:r w:rsidRPr="005405D4">
        <w:rPr>
          <w:rFonts w:ascii="Times New Roman" w:hAnsi="Times New Roman" w:cs="Times New Roman"/>
          <w:sz w:val="24"/>
          <w:szCs w:val="24"/>
        </w:rPr>
        <w:t>Build public confidence. Communication should be locally grounded, transparent, and responsive to concerns about vaccine safety and access.</w:t>
      </w:r>
    </w:p>
    <w:p w14:paraId="448E9B89" w14:textId="77777777" w:rsidR="00FE3703" w:rsidRPr="005405D4" w:rsidRDefault="00326151" w:rsidP="009C16F4">
      <w:pPr>
        <w:spacing w:before="330" w:line="480" w:lineRule="auto"/>
        <w:jc w:val="both"/>
        <w:rPr>
          <w:rFonts w:ascii="Times New Roman" w:hAnsi="Times New Roman" w:cs="Times New Roman"/>
          <w:sz w:val="24"/>
          <w:szCs w:val="24"/>
        </w:rPr>
      </w:pPr>
      <w:bookmarkStart w:id="21" w:name="bm_7_limitations_and_future_work"/>
      <w:r w:rsidRPr="005405D4">
        <w:rPr>
          <w:rFonts w:ascii="Times New Roman" w:hAnsi="Times New Roman" w:cs="Times New Roman"/>
          <w:b/>
          <w:sz w:val="24"/>
          <w:szCs w:val="24"/>
        </w:rPr>
        <w:t>7 Limitations and future work</w:t>
      </w:r>
      <w:bookmarkEnd w:id="21"/>
    </w:p>
    <w:p w14:paraId="2DF1B960" w14:textId="77777777" w:rsidR="00FE3703" w:rsidRPr="005405D4" w:rsidRDefault="00326151" w:rsidP="009C16F4">
      <w:pPr>
        <w:spacing w:after="220" w:line="480" w:lineRule="auto"/>
        <w:jc w:val="both"/>
        <w:rPr>
          <w:rFonts w:ascii="Times New Roman" w:hAnsi="Times New Roman" w:cs="Times New Roman"/>
          <w:sz w:val="24"/>
          <w:szCs w:val="24"/>
        </w:rPr>
      </w:pPr>
      <w:r w:rsidRPr="005405D4">
        <w:rPr>
          <w:rFonts w:ascii="Times New Roman" w:hAnsi="Times New Roman" w:cs="Times New Roman"/>
          <w:sz w:val="24"/>
          <w:szCs w:val="24"/>
        </w:rPr>
        <w:lastRenderedPageBreak/>
        <w:t>Several limitations should guide interpretation. First, homogeneous mixing overlooks age-specific contact, household clustering, and regional variation. Second, the vaccinated class is assumed to be fully protected until immunity wanes; an extended model should allow partial vaccine efficacy, breakthrough infection, and multiple doses. Third, the model does not distinguish exposed, symptomatic, asymptomatic, treated, or carrier states. Fourth, all parameters are constant, although transmission and service delivery may vary over time. Fifth, the numerical values have not been estimated from a unified Nigerian dataset and therefore should not be treated as forecasts.</w:t>
      </w:r>
    </w:p>
    <w:p w14:paraId="2D617337" w14:textId="77777777" w:rsidR="00FE3703" w:rsidRPr="005405D4" w:rsidRDefault="00326151" w:rsidP="009C16F4">
      <w:pPr>
        <w:spacing w:after="220" w:line="480" w:lineRule="auto"/>
        <w:jc w:val="both"/>
        <w:rPr>
          <w:rFonts w:ascii="Times New Roman" w:hAnsi="Times New Roman" w:cs="Times New Roman"/>
          <w:sz w:val="24"/>
          <w:szCs w:val="24"/>
        </w:rPr>
      </w:pPr>
      <w:r>
        <w:rPr>
          <w:rFonts w:ascii="Times New Roman" w:hAnsi="Times New Roman" w:cs="Times New Roman"/>
          <w:sz w:val="24"/>
          <w:szCs w:val="24"/>
        </w:rPr>
        <w:t xml:space="preserve">Future research should fit the model to Nigerian surveillance data and quantify parameter uncertainty. Useful extensions include age and dose structure, spatial coupling among states, stochastic outbreak dynamics, migration, vaccine hesitancy, time-dependent controls, and economic evaluation. An optimal-control formulation could compare the costs and effects of routine vaccination, booster delivery, case finding, and outbreak campaigns </w:t>
      </w:r>
      <w:r>
        <w:rPr>
          <w:rFonts w:ascii="Times New Roman" w:hAnsi="Times New Roman" w:cs="Times New Roman"/>
          <w:sz w:val="24"/>
          <w:szCs w:val="24"/>
          <w:highlight w:val="yellow"/>
        </w:rPr>
        <w:t>(Adewole et al., 2021; Peter et al., 2018)</w:t>
      </w:r>
      <w:r>
        <w:rPr>
          <w:rFonts w:ascii="Times New Roman" w:hAnsi="Times New Roman" w:cs="Times New Roman"/>
          <w:sz w:val="24"/>
          <w:szCs w:val="24"/>
        </w:rPr>
        <w:t>.</w:t>
      </w:r>
    </w:p>
    <w:p w14:paraId="0E8DC892" w14:textId="77777777" w:rsidR="00FE3703" w:rsidRPr="005405D4" w:rsidRDefault="00326151" w:rsidP="009C16F4">
      <w:pPr>
        <w:spacing w:before="330" w:line="480" w:lineRule="auto"/>
        <w:jc w:val="both"/>
        <w:rPr>
          <w:rFonts w:ascii="Times New Roman" w:hAnsi="Times New Roman" w:cs="Times New Roman"/>
          <w:sz w:val="24"/>
          <w:szCs w:val="24"/>
        </w:rPr>
      </w:pPr>
      <w:bookmarkStart w:id="22" w:name="bm_8_conclusion"/>
      <w:r w:rsidRPr="005405D4">
        <w:rPr>
          <w:rFonts w:ascii="Times New Roman" w:hAnsi="Times New Roman" w:cs="Times New Roman"/>
          <w:b/>
          <w:sz w:val="24"/>
          <w:szCs w:val="24"/>
        </w:rPr>
        <w:t>8 Conclusion</w:t>
      </w:r>
      <w:bookmarkEnd w:id="22"/>
    </w:p>
    <w:p w14:paraId="2093997B" w14:textId="18858957" w:rsidR="00D75BE9" w:rsidRDefault="009C16F4" w:rsidP="009C16F4">
      <w:pPr>
        <w:spacing w:after="220" w:line="480" w:lineRule="auto"/>
        <w:jc w:val="both"/>
        <w:rPr>
          <w:rFonts w:ascii="Times New Roman" w:hAnsi="Times New Roman" w:cs="Times New Roman"/>
          <w:sz w:val="24"/>
          <w:szCs w:val="24"/>
        </w:rPr>
      </w:pPr>
      <w:r>
        <w:t xml:space="preserve">This study develops a transparent SIRV framework for examining vaccination control of diphtheria in Nigeria. The analysis shows that the disease-free equilibrium is locally asymptotically stable when </w:t>
      </w:r>
      <m:oMath>
        <m:sSub>
          <m:sSubPr>
            <m:ctrlPr>
              <w:rPr>
                <w:rFonts w:ascii="Cambria Math" w:hAnsi="Cambria Math"/>
              </w:rPr>
            </m:ctrlPr>
          </m:sSubPr>
          <m:e>
            <m:r>
              <w:rPr>
                <w:rFonts w:ascii="Cambria Math" w:hAnsi="Cambria Math"/>
              </w:rPr>
              <m:t>R</m:t>
            </m:r>
          </m:e>
          <m:sub>
            <m:r>
              <w:rPr>
                <w:rFonts w:ascii="Cambria Math" w:hAnsi="Cambria Math"/>
              </w:rPr>
              <m:t>0</m:t>
            </m:r>
          </m:sub>
        </m:sSub>
        <m:r>
          <w:rPr>
            <w:rFonts w:ascii="Cambria Math" w:hAnsi="Cambria Math"/>
          </w:rPr>
          <m:t>&lt;1</m:t>
        </m:r>
      </m:oMath>
      <w:r>
        <w:t xml:space="preserve">, whereas a biologically meaningful endemic equilibrium exists above the invasion threshold. Vaccination lowers the basic reproduction number by reducing the susceptible fraction, while waning vaccine-induced protection replenishes susceptibility and increases transmission potential. The derived critical vaccination rate provides a concise theoretical threshold under the assumptions of the model. The findings emphasise that effective control depends on sustained and equitable immunity rather than isolated increases in aggregate vaccination coverage. Routine </w:t>
      </w:r>
      <w:proofErr w:type="spellStart"/>
      <w:r>
        <w:t>immunisation</w:t>
      </w:r>
      <w:proofErr w:type="spellEnd"/>
      <w:r>
        <w:t xml:space="preserve">, appropriate booster delivery, surveillance, rapid outbreak response, reliable vaccine delivery systems, and public confidence should therefore operate as complementary measures. Since the numerical parameter values are </w:t>
      </w:r>
      <w:r>
        <w:lastRenderedPageBreak/>
        <w:t xml:space="preserve">illustrative and have not been estimated from a unified Nigerian dataset, the model should be calibrated and validated with current Nigerian surveillance, demographic, and </w:t>
      </w:r>
      <w:proofErr w:type="spellStart"/>
      <w:r>
        <w:t>immunisation</w:t>
      </w:r>
      <w:proofErr w:type="spellEnd"/>
      <w:r>
        <w:t xml:space="preserve"> data before it is applied to forecasting, operational decision-making, or resource allocation.</w:t>
      </w:r>
    </w:p>
    <w:p w14:paraId="5973D98D" w14:textId="77777777" w:rsidR="00D75BE9" w:rsidRDefault="00D75BE9" w:rsidP="009C16F4">
      <w:pPr>
        <w:shd w:val="clear" w:color="auto" w:fill="FFFFFF"/>
        <w:spacing w:after="0" w:line="240" w:lineRule="auto"/>
        <w:jc w:val="both"/>
        <w:rPr>
          <w:rFonts w:ascii="Arial" w:eastAsia="Times New Roman" w:hAnsi="Arial" w:cs="Arial"/>
          <w:color w:val="222222"/>
          <w:sz w:val="24"/>
          <w:szCs w:val="24"/>
          <w:lang w:val="en-IN" w:eastAsia="en-IN"/>
        </w:rPr>
      </w:pPr>
      <w:bookmarkStart w:id="23" w:name="_Hlk232854992"/>
      <w:bookmarkStart w:id="24" w:name="_Hlk238909442"/>
      <w:bookmarkStart w:id="25" w:name="_Hlk237857116"/>
    </w:p>
    <w:p w14:paraId="4C6DD635" w14:textId="77777777" w:rsidR="00D75BE9" w:rsidRPr="002D08AC" w:rsidRDefault="00D75BE9" w:rsidP="009C16F4">
      <w:pPr>
        <w:spacing w:after="0" w:line="240" w:lineRule="auto"/>
        <w:jc w:val="both"/>
        <w:rPr>
          <w:rFonts w:ascii="Arial" w:hAnsi="Arial" w:cs="Arial"/>
          <w:b/>
          <w:sz w:val="20"/>
          <w:szCs w:val="20"/>
        </w:rPr>
      </w:pPr>
      <w:bookmarkStart w:id="26" w:name="_Hlk238550938"/>
      <w:bookmarkStart w:id="27" w:name="_Hlk237856463"/>
      <w:bookmarkEnd w:id="23"/>
      <w:r w:rsidRPr="002D08AC">
        <w:rPr>
          <w:rFonts w:ascii="Arial" w:hAnsi="Arial" w:cs="Arial"/>
          <w:b/>
          <w:sz w:val="20"/>
          <w:szCs w:val="20"/>
        </w:rPr>
        <w:t>Declaration of AI Use</w:t>
      </w:r>
    </w:p>
    <w:p w14:paraId="2CBF7CE2" w14:textId="77777777" w:rsidR="00D75BE9" w:rsidRPr="002D08AC" w:rsidRDefault="00D75BE9" w:rsidP="009C16F4">
      <w:pPr>
        <w:spacing w:after="0" w:line="240" w:lineRule="auto"/>
        <w:jc w:val="both"/>
        <w:rPr>
          <w:rFonts w:ascii="Arial" w:hAnsi="Arial" w:cs="Arial"/>
          <w:sz w:val="20"/>
          <w:szCs w:val="20"/>
        </w:rPr>
      </w:pPr>
      <w:bookmarkStart w:id="28" w:name="_Hlk239068730"/>
    </w:p>
    <w:p w14:paraId="4926A478" w14:textId="77777777" w:rsidR="00D75BE9" w:rsidRPr="002D08AC" w:rsidRDefault="00D75BE9" w:rsidP="009C16F4">
      <w:pPr>
        <w:spacing w:after="0" w:line="240" w:lineRule="auto"/>
        <w:jc w:val="both"/>
        <w:rPr>
          <w:rFonts w:ascii="Arial" w:hAnsi="Arial" w:cs="Arial"/>
          <w:sz w:val="20"/>
          <w:szCs w:val="20"/>
        </w:rPr>
      </w:pPr>
      <w:bookmarkStart w:id="29"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24"/>
      <w:bookmarkEnd w:id="26"/>
      <w:r w:rsidRPr="002D08AC">
        <w:rPr>
          <w:rFonts w:ascii="Arial" w:hAnsi="Arial" w:cs="Arial"/>
          <w:sz w:val="20"/>
          <w:szCs w:val="20"/>
        </w:rPr>
        <w:t>.</w:t>
      </w:r>
    </w:p>
    <w:bookmarkEnd w:id="25"/>
    <w:bookmarkEnd w:id="27"/>
    <w:bookmarkEnd w:id="28"/>
    <w:bookmarkEnd w:id="29"/>
    <w:p w14:paraId="6A807C8A" w14:textId="77777777" w:rsidR="00D75BE9" w:rsidRPr="005405D4" w:rsidRDefault="00D75BE9" w:rsidP="009C16F4">
      <w:pPr>
        <w:spacing w:after="220" w:line="480" w:lineRule="auto"/>
        <w:jc w:val="both"/>
        <w:rPr>
          <w:rFonts w:ascii="Times New Roman" w:hAnsi="Times New Roman" w:cs="Times New Roman"/>
          <w:sz w:val="24"/>
          <w:szCs w:val="24"/>
        </w:rPr>
      </w:pPr>
    </w:p>
    <w:p w14:paraId="5E369804" w14:textId="77777777" w:rsidR="00FE3703" w:rsidRPr="005405D4" w:rsidRDefault="00326151" w:rsidP="009C16F4">
      <w:pPr>
        <w:spacing w:before="330" w:line="480" w:lineRule="auto"/>
        <w:jc w:val="both"/>
        <w:rPr>
          <w:rFonts w:ascii="Times New Roman" w:hAnsi="Times New Roman" w:cs="Times New Roman"/>
          <w:sz w:val="24"/>
          <w:szCs w:val="24"/>
        </w:rPr>
      </w:pPr>
      <w:bookmarkStart w:id="30" w:name="references"/>
      <w:r w:rsidRPr="005405D4">
        <w:rPr>
          <w:rFonts w:ascii="Times New Roman" w:hAnsi="Times New Roman" w:cs="Times New Roman"/>
          <w:b/>
          <w:sz w:val="24"/>
          <w:szCs w:val="24"/>
        </w:rPr>
        <w:t>References</w:t>
      </w:r>
      <w:bookmarkEnd w:id="30"/>
    </w:p>
    <w:p w14:paraId="5C808197" w14:textId="65BBE4D3"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r w:rsidRPr="00D6292C">
        <w:rPr>
          <w:rFonts w:ascii="Times New Roman" w:eastAsia="Times New Roman" w:hAnsi="Times New Roman" w:cs="Times New Roman"/>
          <w:sz w:val="24"/>
          <w:szCs w:val="24"/>
        </w:rPr>
        <w:t xml:space="preserve">Adewole, M. O., Onifade, A. A., Abdullah, F. A., Kasali, F., &amp; Ismail, A. I. M. (2021). Modeling the dynamics of COVID-19 in Nigeria. </w:t>
      </w:r>
      <w:r w:rsidRPr="00D6292C">
        <w:rPr>
          <w:rFonts w:ascii="Times New Roman" w:eastAsia="Times New Roman" w:hAnsi="Times New Roman" w:cs="Times New Roman"/>
          <w:i/>
          <w:iCs/>
          <w:sz w:val="24"/>
          <w:szCs w:val="24"/>
        </w:rPr>
        <w:t>International Journal of Applied and Computational Mathematics, 7</w:t>
      </w:r>
      <w:r w:rsidRPr="00D6292C">
        <w:rPr>
          <w:rFonts w:ascii="Times New Roman" w:eastAsia="Times New Roman" w:hAnsi="Times New Roman" w:cs="Times New Roman"/>
          <w:sz w:val="24"/>
          <w:szCs w:val="24"/>
        </w:rPr>
        <w:t xml:space="preserve">(3), Article 67. </w:t>
      </w:r>
      <w:hyperlink r:id="rId9" w:history="1">
        <w:r w:rsidRPr="00D6292C">
          <w:rPr>
            <w:rFonts w:ascii="Times New Roman" w:eastAsia="Times New Roman" w:hAnsi="Times New Roman" w:cs="Times New Roman"/>
            <w:color w:val="0000FF"/>
            <w:sz w:val="24"/>
            <w:szCs w:val="24"/>
            <w:u w:val="single"/>
          </w:rPr>
          <w:t>https://doi.org/10.1007/s40819-021-01014-5</w:t>
        </w:r>
      </w:hyperlink>
    </w:p>
    <w:p w14:paraId="48F85A3E" w14:textId="3A92EDC3"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r w:rsidRPr="00D6292C">
        <w:rPr>
          <w:rFonts w:ascii="Times New Roman" w:eastAsia="Times New Roman" w:hAnsi="Times New Roman" w:cs="Times New Roman"/>
          <w:sz w:val="24"/>
          <w:szCs w:val="24"/>
        </w:rPr>
        <w:t xml:space="preserve">Anderson, R. M., &amp; May, R. M. (1991). </w:t>
      </w:r>
      <w:r w:rsidRPr="00D6292C">
        <w:rPr>
          <w:rFonts w:ascii="Times New Roman" w:eastAsia="Times New Roman" w:hAnsi="Times New Roman" w:cs="Times New Roman"/>
          <w:i/>
          <w:iCs/>
          <w:sz w:val="24"/>
          <w:szCs w:val="24"/>
        </w:rPr>
        <w:t>Infectious diseases of humans: Dynamics and control</w:t>
      </w:r>
      <w:r w:rsidRPr="00D6292C">
        <w:rPr>
          <w:rFonts w:ascii="Times New Roman" w:eastAsia="Times New Roman" w:hAnsi="Times New Roman" w:cs="Times New Roman"/>
          <w:sz w:val="24"/>
          <w:szCs w:val="24"/>
        </w:rPr>
        <w:t xml:space="preserve">. Oxford University Press. </w:t>
      </w:r>
      <w:hyperlink r:id="rId10" w:history="1">
        <w:r w:rsidRPr="00D6292C">
          <w:rPr>
            <w:rFonts w:ascii="Times New Roman" w:eastAsia="Times New Roman" w:hAnsi="Times New Roman" w:cs="Times New Roman"/>
            <w:color w:val="0000FF"/>
            <w:sz w:val="24"/>
            <w:szCs w:val="24"/>
            <w:u w:val="single"/>
          </w:rPr>
          <w:t>https://doi.org/10.1093/oso/9780198545996.001.0001</w:t>
        </w:r>
      </w:hyperlink>
    </w:p>
    <w:p w14:paraId="7AAAD4F0" w14:textId="66F9E9A9"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r w:rsidRPr="00D6292C">
        <w:rPr>
          <w:rFonts w:ascii="Times New Roman" w:eastAsia="Times New Roman" w:hAnsi="Times New Roman" w:cs="Times New Roman"/>
          <w:sz w:val="24"/>
          <w:szCs w:val="24"/>
        </w:rPr>
        <w:t xml:space="preserve">Diekmann, O., </w:t>
      </w:r>
      <w:proofErr w:type="spellStart"/>
      <w:r w:rsidRPr="00D6292C">
        <w:rPr>
          <w:rFonts w:ascii="Times New Roman" w:eastAsia="Times New Roman" w:hAnsi="Times New Roman" w:cs="Times New Roman"/>
          <w:sz w:val="24"/>
          <w:szCs w:val="24"/>
        </w:rPr>
        <w:t>Heesterbeek</w:t>
      </w:r>
      <w:proofErr w:type="spellEnd"/>
      <w:r w:rsidRPr="00D6292C">
        <w:rPr>
          <w:rFonts w:ascii="Times New Roman" w:eastAsia="Times New Roman" w:hAnsi="Times New Roman" w:cs="Times New Roman"/>
          <w:sz w:val="24"/>
          <w:szCs w:val="24"/>
        </w:rPr>
        <w:t xml:space="preserve">, J. A. P., &amp; Metz, J. A. J. (1990). On the definition and the computation of the basic reproduction ratio R0 in models for infectious diseases in heterogeneous populations. </w:t>
      </w:r>
      <w:r w:rsidRPr="00D6292C">
        <w:rPr>
          <w:rFonts w:ascii="Times New Roman" w:eastAsia="Times New Roman" w:hAnsi="Times New Roman" w:cs="Times New Roman"/>
          <w:i/>
          <w:iCs/>
          <w:sz w:val="24"/>
          <w:szCs w:val="24"/>
        </w:rPr>
        <w:t>Journal of Mathematical Biology, 28</w:t>
      </w:r>
      <w:r w:rsidRPr="00D6292C">
        <w:rPr>
          <w:rFonts w:ascii="Times New Roman" w:eastAsia="Times New Roman" w:hAnsi="Times New Roman" w:cs="Times New Roman"/>
          <w:sz w:val="24"/>
          <w:szCs w:val="24"/>
        </w:rPr>
        <w:t xml:space="preserve">(4), 365–382. </w:t>
      </w:r>
      <w:hyperlink r:id="rId11" w:history="1">
        <w:r w:rsidRPr="00D6292C">
          <w:rPr>
            <w:rFonts w:ascii="Times New Roman" w:eastAsia="Times New Roman" w:hAnsi="Times New Roman" w:cs="Times New Roman"/>
            <w:color w:val="0000FF"/>
            <w:sz w:val="24"/>
            <w:szCs w:val="24"/>
            <w:u w:val="single"/>
          </w:rPr>
          <w:t>https://doi.org/10.1007/BF00178324</w:t>
        </w:r>
      </w:hyperlink>
    </w:p>
    <w:p w14:paraId="06B7E1EB" w14:textId="19BCC151"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r w:rsidRPr="00D6292C">
        <w:rPr>
          <w:rFonts w:ascii="Times New Roman" w:eastAsia="Times New Roman" w:hAnsi="Times New Roman" w:cs="Times New Roman"/>
          <w:sz w:val="24"/>
          <w:szCs w:val="24"/>
        </w:rPr>
        <w:t xml:space="preserve">Fauzi, I. S., Nuraini, N., Sari, A. M., Wardani, I. B., </w:t>
      </w:r>
      <w:proofErr w:type="spellStart"/>
      <w:r w:rsidRPr="00D6292C">
        <w:rPr>
          <w:rFonts w:ascii="Times New Roman" w:eastAsia="Times New Roman" w:hAnsi="Times New Roman" w:cs="Times New Roman"/>
          <w:sz w:val="24"/>
          <w:szCs w:val="24"/>
        </w:rPr>
        <w:t>Taurustiati</w:t>
      </w:r>
      <w:proofErr w:type="spellEnd"/>
      <w:r w:rsidRPr="00D6292C">
        <w:rPr>
          <w:rFonts w:ascii="Times New Roman" w:eastAsia="Times New Roman" w:hAnsi="Times New Roman" w:cs="Times New Roman"/>
          <w:sz w:val="24"/>
          <w:szCs w:val="24"/>
        </w:rPr>
        <w:t xml:space="preserve">, D., </w:t>
      </w:r>
      <w:proofErr w:type="spellStart"/>
      <w:r w:rsidRPr="00D6292C">
        <w:rPr>
          <w:rFonts w:ascii="Times New Roman" w:eastAsia="Times New Roman" w:hAnsi="Times New Roman" w:cs="Times New Roman"/>
          <w:sz w:val="24"/>
          <w:szCs w:val="24"/>
        </w:rPr>
        <w:t>Simanullang</w:t>
      </w:r>
      <w:proofErr w:type="spellEnd"/>
      <w:r w:rsidRPr="00D6292C">
        <w:rPr>
          <w:rFonts w:ascii="Times New Roman" w:eastAsia="Times New Roman" w:hAnsi="Times New Roman" w:cs="Times New Roman"/>
          <w:sz w:val="24"/>
          <w:szCs w:val="24"/>
        </w:rPr>
        <w:t xml:space="preserve">, P. M., &amp; Lestari, B. W. (2024). Assessing the impact of booster vaccination on diphtheria transmission: Mathematical modeling and risk zone mapping. </w:t>
      </w:r>
      <w:r w:rsidRPr="00D6292C">
        <w:rPr>
          <w:rFonts w:ascii="Times New Roman" w:eastAsia="Times New Roman" w:hAnsi="Times New Roman" w:cs="Times New Roman"/>
          <w:i/>
          <w:iCs/>
          <w:sz w:val="24"/>
          <w:szCs w:val="24"/>
        </w:rPr>
        <w:t>Infectious Disease Modelling, 9</w:t>
      </w:r>
      <w:r w:rsidRPr="00D6292C">
        <w:rPr>
          <w:rFonts w:ascii="Times New Roman" w:eastAsia="Times New Roman" w:hAnsi="Times New Roman" w:cs="Times New Roman"/>
          <w:sz w:val="24"/>
          <w:szCs w:val="24"/>
        </w:rPr>
        <w:t xml:space="preserve">(1), 245–262. </w:t>
      </w:r>
      <w:hyperlink r:id="rId12" w:history="1">
        <w:r w:rsidRPr="00D6292C">
          <w:rPr>
            <w:rFonts w:ascii="Times New Roman" w:eastAsia="Times New Roman" w:hAnsi="Times New Roman" w:cs="Times New Roman"/>
            <w:color w:val="0000FF"/>
            <w:sz w:val="24"/>
            <w:szCs w:val="24"/>
            <w:u w:val="single"/>
          </w:rPr>
          <w:t>https://doi.org/10.1016/j.idm.2024.01.004</w:t>
        </w:r>
      </w:hyperlink>
    </w:p>
    <w:p w14:paraId="5762A90B" w14:textId="2C2D163B"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proofErr w:type="spellStart"/>
      <w:r w:rsidRPr="00D6292C">
        <w:rPr>
          <w:rFonts w:ascii="Times New Roman" w:eastAsia="Times New Roman" w:hAnsi="Times New Roman" w:cs="Times New Roman"/>
          <w:sz w:val="24"/>
          <w:szCs w:val="24"/>
        </w:rPr>
        <w:t>Gaiya</w:t>
      </w:r>
      <w:proofErr w:type="spellEnd"/>
      <w:r w:rsidRPr="00D6292C">
        <w:rPr>
          <w:rFonts w:ascii="Times New Roman" w:eastAsia="Times New Roman" w:hAnsi="Times New Roman" w:cs="Times New Roman"/>
          <w:sz w:val="24"/>
          <w:szCs w:val="24"/>
        </w:rPr>
        <w:t xml:space="preserve">, D. D., </w:t>
      </w:r>
      <w:proofErr w:type="spellStart"/>
      <w:r w:rsidRPr="00D6292C">
        <w:rPr>
          <w:rFonts w:ascii="Times New Roman" w:eastAsia="Times New Roman" w:hAnsi="Times New Roman" w:cs="Times New Roman"/>
          <w:sz w:val="24"/>
          <w:szCs w:val="24"/>
        </w:rPr>
        <w:t>Ozioko</w:t>
      </w:r>
      <w:proofErr w:type="spellEnd"/>
      <w:r w:rsidRPr="00D6292C">
        <w:rPr>
          <w:rFonts w:ascii="Times New Roman" w:eastAsia="Times New Roman" w:hAnsi="Times New Roman" w:cs="Times New Roman"/>
          <w:sz w:val="24"/>
          <w:szCs w:val="24"/>
        </w:rPr>
        <w:t xml:space="preserve">, P. C., </w:t>
      </w:r>
      <w:proofErr w:type="spellStart"/>
      <w:r w:rsidRPr="00D6292C">
        <w:rPr>
          <w:rFonts w:ascii="Times New Roman" w:eastAsia="Times New Roman" w:hAnsi="Times New Roman" w:cs="Times New Roman"/>
          <w:sz w:val="24"/>
          <w:szCs w:val="24"/>
        </w:rPr>
        <w:t>Entonu</w:t>
      </w:r>
      <w:proofErr w:type="spellEnd"/>
      <w:r w:rsidRPr="00D6292C">
        <w:rPr>
          <w:rFonts w:ascii="Times New Roman" w:eastAsia="Times New Roman" w:hAnsi="Times New Roman" w:cs="Times New Roman"/>
          <w:sz w:val="24"/>
          <w:szCs w:val="24"/>
        </w:rPr>
        <w:t xml:space="preserve">, M. E., &amp; </w:t>
      </w:r>
      <w:proofErr w:type="spellStart"/>
      <w:r w:rsidRPr="00D6292C">
        <w:rPr>
          <w:rFonts w:ascii="Times New Roman" w:eastAsia="Times New Roman" w:hAnsi="Times New Roman" w:cs="Times New Roman"/>
          <w:sz w:val="24"/>
          <w:szCs w:val="24"/>
        </w:rPr>
        <w:t>Umeasiegbu</w:t>
      </w:r>
      <w:proofErr w:type="spellEnd"/>
      <w:r w:rsidRPr="00D6292C">
        <w:rPr>
          <w:rFonts w:ascii="Times New Roman" w:eastAsia="Times New Roman" w:hAnsi="Times New Roman" w:cs="Times New Roman"/>
          <w:sz w:val="24"/>
          <w:szCs w:val="24"/>
        </w:rPr>
        <w:t xml:space="preserve">, C. U. (2024). Diphtheria outbreak in Nigeria: What we know now. </w:t>
      </w:r>
      <w:r w:rsidRPr="00D6292C">
        <w:rPr>
          <w:rFonts w:ascii="Times New Roman" w:eastAsia="Times New Roman" w:hAnsi="Times New Roman" w:cs="Times New Roman"/>
          <w:i/>
          <w:iCs/>
          <w:sz w:val="24"/>
          <w:szCs w:val="24"/>
        </w:rPr>
        <w:t>Infection Prevention in Practice, 6</w:t>
      </w:r>
      <w:r w:rsidRPr="00D6292C">
        <w:rPr>
          <w:rFonts w:ascii="Times New Roman" w:eastAsia="Times New Roman" w:hAnsi="Times New Roman" w:cs="Times New Roman"/>
          <w:sz w:val="24"/>
          <w:szCs w:val="24"/>
        </w:rPr>
        <w:t xml:space="preserve">(1), Article 100345. </w:t>
      </w:r>
      <w:hyperlink r:id="rId13" w:history="1">
        <w:r w:rsidRPr="00D6292C">
          <w:rPr>
            <w:rFonts w:ascii="Times New Roman" w:eastAsia="Times New Roman" w:hAnsi="Times New Roman" w:cs="Times New Roman"/>
            <w:color w:val="0000FF"/>
            <w:sz w:val="24"/>
            <w:szCs w:val="24"/>
            <w:u w:val="single"/>
          </w:rPr>
          <w:t>https://doi.org/10.1016/j.infpip.2024.100345</w:t>
        </w:r>
      </w:hyperlink>
    </w:p>
    <w:p w14:paraId="7EFBFF6E" w14:textId="50C98563"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r w:rsidRPr="00D6292C">
        <w:rPr>
          <w:rFonts w:ascii="Times New Roman" w:eastAsia="Times New Roman" w:hAnsi="Times New Roman" w:cs="Times New Roman"/>
          <w:sz w:val="24"/>
          <w:szCs w:val="24"/>
        </w:rPr>
        <w:t xml:space="preserve">Hethcote, H. W. (2000). The mathematics of infectious diseases. </w:t>
      </w:r>
      <w:r w:rsidRPr="00D6292C">
        <w:rPr>
          <w:rFonts w:ascii="Times New Roman" w:eastAsia="Times New Roman" w:hAnsi="Times New Roman" w:cs="Times New Roman"/>
          <w:i/>
          <w:iCs/>
          <w:sz w:val="24"/>
          <w:szCs w:val="24"/>
        </w:rPr>
        <w:t>SIAM Review, 42</w:t>
      </w:r>
      <w:r w:rsidRPr="00D6292C">
        <w:rPr>
          <w:rFonts w:ascii="Times New Roman" w:eastAsia="Times New Roman" w:hAnsi="Times New Roman" w:cs="Times New Roman"/>
          <w:sz w:val="24"/>
          <w:szCs w:val="24"/>
        </w:rPr>
        <w:t xml:space="preserve">(4), 599–653. </w:t>
      </w:r>
      <w:hyperlink r:id="rId14" w:history="1">
        <w:r w:rsidRPr="00D6292C">
          <w:rPr>
            <w:rFonts w:ascii="Times New Roman" w:eastAsia="Times New Roman" w:hAnsi="Times New Roman" w:cs="Times New Roman"/>
            <w:color w:val="0000FF"/>
            <w:sz w:val="24"/>
            <w:szCs w:val="24"/>
            <w:u w:val="single"/>
          </w:rPr>
          <w:t>https://doi.org/10.1137/S0036144500371907</w:t>
        </w:r>
      </w:hyperlink>
    </w:p>
    <w:p w14:paraId="24832981" w14:textId="3DF61E90"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r w:rsidRPr="00D6292C">
        <w:rPr>
          <w:rFonts w:ascii="Times New Roman" w:eastAsia="Times New Roman" w:hAnsi="Times New Roman" w:cs="Times New Roman"/>
          <w:sz w:val="24"/>
          <w:szCs w:val="24"/>
        </w:rPr>
        <w:t xml:space="preserve">Jega, M., Kolawole, E. T., Ahaneku, E. B., Abraham, K. E., </w:t>
      </w:r>
      <w:proofErr w:type="spellStart"/>
      <w:r w:rsidRPr="00D6292C">
        <w:rPr>
          <w:rFonts w:ascii="Times New Roman" w:eastAsia="Times New Roman" w:hAnsi="Times New Roman" w:cs="Times New Roman"/>
          <w:sz w:val="24"/>
          <w:szCs w:val="24"/>
        </w:rPr>
        <w:t>Oduah</w:t>
      </w:r>
      <w:proofErr w:type="spellEnd"/>
      <w:r w:rsidRPr="00D6292C">
        <w:rPr>
          <w:rFonts w:ascii="Times New Roman" w:eastAsia="Times New Roman" w:hAnsi="Times New Roman" w:cs="Times New Roman"/>
          <w:sz w:val="24"/>
          <w:szCs w:val="24"/>
        </w:rPr>
        <w:t xml:space="preserve">, J. U., Udoh, I., </w:t>
      </w:r>
      <w:proofErr w:type="spellStart"/>
      <w:r w:rsidRPr="00D6292C">
        <w:rPr>
          <w:rFonts w:ascii="Times New Roman" w:eastAsia="Times New Roman" w:hAnsi="Times New Roman" w:cs="Times New Roman"/>
          <w:sz w:val="24"/>
          <w:szCs w:val="24"/>
        </w:rPr>
        <w:t>Imoke</w:t>
      </w:r>
      <w:proofErr w:type="spellEnd"/>
      <w:r w:rsidRPr="00D6292C">
        <w:rPr>
          <w:rFonts w:ascii="Times New Roman" w:eastAsia="Times New Roman" w:hAnsi="Times New Roman" w:cs="Times New Roman"/>
          <w:sz w:val="24"/>
          <w:szCs w:val="24"/>
        </w:rPr>
        <w:t xml:space="preserve">, I., &amp; </w:t>
      </w:r>
      <w:proofErr w:type="spellStart"/>
      <w:r w:rsidRPr="00D6292C">
        <w:rPr>
          <w:rFonts w:ascii="Times New Roman" w:eastAsia="Times New Roman" w:hAnsi="Times New Roman" w:cs="Times New Roman"/>
          <w:sz w:val="24"/>
          <w:szCs w:val="24"/>
        </w:rPr>
        <w:t>Ndubueze</w:t>
      </w:r>
      <w:proofErr w:type="spellEnd"/>
      <w:r w:rsidRPr="00D6292C">
        <w:rPr>
          <w:rFonts w:ascii="Times New Roman" w:eastAsia="Times New Roman" w:hAnsi="Times New Roman" w:cs="Times New Roman"/>
          <w:sz w:val="24"/>
          <w:szCs w:val="24"/>
        </w:rPr>
        <w:t xml:space="preserve">, C. W. (2024). Diphtheria outbreak response and mitigation strategies in Nigeria: A case study of the Nigerian Red Cross Society (NRCS) intervention. </w:t>
      </w:r>
      <w:r w:rsidRPr="00D6292C">
        <w:rPr>
          <w:rFonts w:ascii="Times New Roman" w:eastAsia="Times New Roman" w:hAnsi="Times New Roman" w:cs="Times New Roman"/>
          <w:i/>
          <w:iCs/>
          <w:sz w:val="24"/>
          <w:szCs w:val="24"/>
        </w:rPr>
        <w:t>International Journal of Tropical Disease &amp; Health, 45</w:t>
      </w:r>
      <w:r w:rsidRPr="00D6292C">
        <w:rPr>
          <w:rFonts w:ascii="Times New Roman" w:eastAsia="Times New Roman" w:hAnsi="Times New Roman" w:cs="Times New Roman"/>
          <w:sz w:val="24"/>
          <w:szCs w:val="24"/>
        </w:rPr>
        <w:t xml:space="preserve">(12), 69–84. </w:t>
      </w:r>
      <w:hyperlink r:id="rId15" w:history="1">
        <w:r w:rsidRPr="00D6292C">
          <w:rPr>
            <w:rFonts w:ascii="Times New Roman" w:eastAsia="Times New Roman" w:hAnsi="Times New Roman" w:cs="Times New Roman"/>
            <w:color w:val="0000FF"/>
            <w:sz w:val="24"/>
            <w:szCs w:val="24"/>
            <w:u w:val="single"/>
          </w:rPr>
          <w:t>https://doi.org/10.9734/ijtdh/2024/v45i121613</w:t>
        </w:r>
      </w:hyperlink>
    </w:p>
    <w:p w14:paraId="56DC0E28" w14:textId="33F786B9"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proofErr w:type="spellStart"/>
      <w:r w:rsidRPr="00D6292C">
        <w:rPr>
          <w:rFonts w:ascii="Times New Roman" w:eastAsia="Times New Roman" w:hAnsi="Times New Roman" w:cs="Times New Roman"/>
          <w:sz w:val="24"/>
          <w:szCs w:val="24"/>
        </w:rPr>
        <w:t>Kanchanarat</w:t>
      </w:r>
      <w:proofErr w:type="spellEnd"/>
      <w:r w:rsidRPr="00D6292C">
        <w:rPr>
          <w:rFonts w:ascii="Times New Roman" w:eastAsia="Times New Roman" w:hAnsi="Times New Roman" w:cs="Times New Roman"/>
          <w:sz w:val="24"/>
          <w:szCs w:val="24"/>
        </w:rPr>
        <w:t xml:space="preserve">, S., </w:t>
      </w:r>
      <w:proofErr w:type="spellStart"/>
      <w:r w:rsidRPr="00D6292C">
        <w:rPr>
          <w:rFonts w:ascii="Times New Roman" w:eastAsia="Times New Roman" w:hAnsi="Times New Roman" w:cs="Times New Roman"/>
          <w:sz w:val="24"/>
          <w:szCs w:val="24"/>
        </w:rPr>
        <w:t>Chinviriyasit</w:t>
      </w:r>
      <w:proofErr w:type="spellEnd"/>
      <w:r w:rsidRPr="00D6292C">
        <w:rPr>
          <w:rFonts w:ascii="Times New Roman" w:eastAsia="Times New Roman" w:hAnsi="Times New Roman" w:cs="Times New Roman"/>
          <w:sz w:val="24"/>
          <w:szCs w:val="24"/>
        </w:rPr>
        <w:t xml:space="preserve">, S., &amp; </w:t>
      </w:r>
      <w:proofErr w:type="spellStart"/>
      <w:r w:rsidRPr="00D6292C">
        <w:rPr>
          <w:rFonts w:ascii="Times New Roman" w:eastAsia="Times New Roman" w:hAnsi="Times New Roman" w:cs="Times New Roman"/>
          <w:sz w:val="24"/>
          <w:szCs w:val="24"/>
        </w:rPr>
        <w:t>Chinviriyasit</w:t>
      </w:r>
      <w:proofErr w:type="spellEnd"/>
      <w:r w:rsidRPr="00D6292C">
        <w:rPr>
          <w:rFonts w:ascii="Times New Roman" w:eastAsia="Times New Roman" w:hAnsi="Times New Roman" w:cs="Times New Roman"/>
          <w:sz w:val="24"/>
          <w:szCs w:val="24"/>
        </w:rPr>
        <w:t xml:space="preserve">, W. (2022). Mathematical assessment of the impact of the imperfect vaccination on diphtheria transmission dynamics. </w:t>
      </w:r>
      <w:r w:rsidRPr="00D6292C">
        <w:rPr>
          <w:rFonts w:ascii="Times New Roman" w:eastAsia="Times New Roman" w:hAnsi="Times New Roman" w:cs="Times New Roman"/>
          <w:i/>
          <w:iCs/>
          <w:sz w:val="24"/>
          <w:szCs w:val="24"/>
        </w:rPr>
        <w:t>Symmetry, 14</w:t>
      </w:r>
      <w:r w:rsidRPr="00D6292C">
        <w:rPr>
          <w:rFonts w:ascii="Times New Roman" w:eastAsia="Times New Roman" w:hAnsi="Times New Roman" w:cs="Times New Roman"/>
          <w:sz w:val="24"/>
          <w:szCs w:val="24"/>
        </w:rPr>
        <w:t xml:space="preserve">(10), Article 2000. </w:t>
      </w:r>
      <w:hyperlink r:id="rId16" w:history="1">
        <w:r w:rsidRPr="00D6292C">
          <w:rPr>
            <w:rFonts w:ascii="Times New Roman" w:eastAsia="Times New Roman" w:hAnsi="Times New Roman" w:cs="Times New Roman"/>
            <w:color w:val="0000FF"/>
            <w:sz w:val="24"/>
            <w:szCs w:val="24"/>
            <w:u w:val="single"/>
          </w:rPr>
          <w:t>https://doi.org/10.3390/sym14102000</w:t>
        </w:r>
      </w:hyperlink>
    </w:p>
    <w:p w14:paraId="5317FBA2" w14:textId="1B35B2C1"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proofErr w:type="spellStart"/>
      <w:r w:rsidRPr="00D6292C">
        <w:rPr>
          <w:rFonts w:ascii="Times New Roman" w:eastAsia="Times New Roman" w:hAnsi="Times New Roman" w:cs="Times New Roman"/>
          <w:sz w:val="24"/>
          <w:szCs w:val="24"/>
        </w:rPr>
        <w:t>Madubueze</w:t>
      </w:r>
      <w:proofErr w:type="spellEnd"/>
      <w:r w:rsidRPr="00D6292C">
        <w:rPr>
          <w:rFonts w:ascii="Times New Roman" w:eastAsia="Times New Roman" w:hAnsi="Times New Roman" w:cs="Times New Roman"/>
          <w:sz w:val="24"/>
          <w:szCs w:val="24"/>
        </w:rPr>
        <w:t xml:space="preserve">, C. E., Tijani, K. A., &amp; </w:t>
      </w:r>
      <w:proofErr w:type="spellStart"/>
      <w:r w:rsidRPr="00D6292C">
        <w:rPr>
          <w:rFonts w:ascii="Times New Roman" w:eastAsia="Times New Roman" w:hAnsi="Times New Roman" w:cs="Times New Roman"/>
          <w:sz w:val="24"/>
          <w:szCs w:val="24"/>
        </w:rPr>
        <w:t>Fatmawati</w:t>
      </w:r>
      <w:proofErr w:type="spellEnd"/>
      <w:r w:rsidRPr="00D6292C">
        <w:rPr>
          <w:rFonts w:ascii="Times New Roman" w:eastAsia="Times New Roman" w:hAnsi="Times New Roman" w:cs="Times New Roman"/>
          <w:sz w:val="24"/>
          <w:szCs w:val="24"/>
        </w:rPr>
        <w:t xml:space="preserve">. (2023). A deterministic mathematical model for optimal control of diphtheria disease with booster vaccination. </w:t>
      </w:r>
      <w:r w:rsidRPr="00D6292C">
        <w:rPr>
          <w:rFonts w:ascii="Times New Roman" w:eastAsia="Times New Roman" w:hAnsi="Times New Roman" w:cs="Times New Roman"/>
          <w:i/>
          <w:iCs/>
          <w:sz w:val="24"/>
          <w:szCs w:val="24"/>
        </w:rPr>
        <w:t>Healthcare Analytics, 4</w:t>
      </w:r>
      <w:r w:rsidRPr="00D6292C">
        <w:rPr>
          <w:rFonts w:ascii="Times New Roman" w:eastAsia="Times New Roman" w:hAnsi="Times New Roman" w:cs="Times New Roman"/>
          <w:sz w:val="24"/>
          <w:szCs w:val="24"/>
        </w:rPr>
        <w:t xml:space="preserve">, Article 100281. </w:t>
      </w:r>
      <w:hyperlink r:id="rId17" w:history="1">
        <w:r w:rsidRPr="00D6292C">
          <w:rPr>
            <w:rFonts w:ascii="Times New Roman" w:eastAsia="Times New Roman" w:hAnsi="Times New Roman" w:cs="Times New Roman"/>
            <w:color w:val="0000FF"/>
            <w:sz w:val="24"/>
            <w:szCs w:val="24"/>
            <w:u w:val="single"/>
          </w:rPr>
          <w:t>https://doi.org/10.1016/j.health.2023.100281</w:t>
        </w:r>
      </w:hyperlink>
    </w:p>
    <w:p w14:paraId="5A1D4D4B" w14:textId="51C6A80F"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r w:rsidRPr="00D6292C">
        <w:rPr>
          <w:rFonts w:ascii="Times New Roman" w:eastAsia="Times New Roman" w:hAnsi="Times New Roman" w:cs="Times New Roman"/>
          <w:sz w:val="24"/>
          <w:szCs w:val="24"/>
        </w:rPr>
        <w:t xml:space="preserve">National Bureau of Statistics, &amp; UNICEF. (2022). </w:t>
      </w:r>
      <w:r w:rsidRPr="00D6292C">
        <w:rPr>
          <w:rFonts w:ascii="Times New Roman" w:eastAsia="Times New Roman" w:hAnsi="Times New Roman" w:cs="Times New Roman"/>
          <w:i/>
          <w:iCs/>
          <w:sz w:val="24"/>
          <w:szCs w:val="24"/>
        </w:rPr>
        <w:t>Nigeria: 2021 Multiple Indicator Cluster Survey (MICS) &amp; National Immunization Coverage Survey (NICS): Survey findings report</w:t>
      </w:r>
      <w:r w:rsidRPr="00D6292C">
        <w:rPr>
          <w:rFonts w:ascii="Times New Roman" w:eastAsia="Times New Roman" w:hAnsi="Times New Roman" w:cs="Times New Roman"/>
          <w:sz w:val="24"/>
          <w:szCs w:val="24"/>
        </w:rPr>
        <w:t xml:space="preserve">. </w:t>
      </w:r>
    </w:p>
    <w:p w14:paraId="312B0F1D" w14:textId="00097265"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r w:rsidRPr="00D6292C">
        <w:rPr>
          <w:rFonts w:ascii="Times New Roman" w:eastAsia="Times New Roman" w:hAnsi="Times New Roman" w:cs="Times New Roman"/>
          <w:sz w:val="24"/>
          <w:szCs w:val="24"/>
        </w:rPr>
        <w:lastRenderedPageBreak/>
        <w:t xml:space="preserve">Nigeria Centre for Disease Control and Prevention. (2023, September 25). </w:t>
      </w:r>
      <w:r w:rsidRPr="00D6292C">
        <w:rPr>
          <w:rFonts w:ascii="Times New Roman" w:eastAsia="Times New Roman" w:hAnsi="Times New Roman" w:cs="Times New Roman"/>
          <w:i/>
          <w:iCs/>
          <w:sz w:val="24"/>
          <w:szCs w:val="24"/>
        </w:rPr>
        <w:t>Update on the Federal Government’s response to the diphtheria outbreak</w:t>
      </w:r>
      <w:r w:rsidRPr="00D6292C">
        <w:rPr>
          <w:rFonts w:ascii="Times New Roman" w:eastAsia="Times New Roman" w:hAnsi="Times New Roman" w:cs="Times New Roman"/>
          <w:sz w:val="24"/>
          <w:szCs w:val="24"/>
        </w:rPr>
        <w:t xml:space="preserve">. </w:t>
      </w:r>
    </w:p>
    <w:p w14:paraId="5BEF8F58" w14:textId="71782EB1"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r w:rsidRPr="00D6292C">
        <w:rPr>
          <w:rFonts w:ascii="Times New Roman" w:eastAsia="Times New Roman" w:hAnsi="Times New Roman" w:cs="Times New Roman"/>
          <w:sz w:val="24"/>
          <w:szCs w:val="24"/>
          <w:lang w:val="nl-BE"/>
        </w:rPr>
        <w:t xml:space="preserve">Nwokeji, C. M., Nkem, B. I., &amp; Azudialu, B. C. (2023). </w:t>
      </w:r>
      <w:r w:rsidRPr="00D6292C">
        <w:rPr>
          <w:rFonts w:ascii="Times New Roman" w:eastAsia="Times New Roman" w:hAnsi="Times New Roman" w:cs="Times New Roman"/>
          <w:sz w:val="24"/>
          <w:szCs w:val="24"/>
        </w:rPr>
        <w:t xml:space="preserve">Endemicity of diphtheria in some regions of Nigeria: Chronology of a </w:t>
      </w:r>
      <w:proofErr w:type="gramStart"/>
      <w:r w:rsidRPr="00D6292C">
        <w:rPr>
          <w:rFonts w:ascii="Times New Roman" w:eastAsia="Times New Roman" w:hAnsi="Times New Roman" w:cs="Times New Roman"/>
          <w:sz w:val="24"/>
          <w:szCs w:val="24"/>
        </w:rPr>
        <w:t>fourteen month</w:t>
      </w:r>
      <w:proofErr w:type="gramEnd"/>
      <w:r w:rsidRPr="00D6292C">
        <w:rPr>
          <w:rFonts w:ascii="Times New Roman" w:eastAsia="Times New Roman" w:hAnsi="Times New Roman" w:cs="Times New Roman"/>
          <w:sz w:val="24"/>
          <w:szCs w:val="24"/>
        </w:rPr>
        <w:t xml:space="preserve"> sustained outbreak. </w:t>
      </w:r>
      <w:r w:rsidRPr="00D6292C">
        <w:rPr>
          <w:rFonts w:ascii="Times New Roman" w:eastAsia="Times New Roman" w:hAnsi="Times New Roman" w:cs="Times New Roman"/>
          <w:i/>
          <w:iCs/>
          <w:sz w:val="24"/>
          <w:szCs w:val="24"/>
        </w:rPr>
        <w:t>Journal of Disease and Global Health, 16</w:t>
      </w:r>
      <w:r w:rsidRPr="00D6292C">
        <w:rPr>
          <w:rFonts w:ascii="Times New Roman" w:eastAsia="Times New Roman" w:hAnsi="Times New Roman" w:cs="Times New Roman"/>
          <w:sz w:val="24"/>
          <w:szCs w:val="24"/>
        </w:rPr>
        <w:t xml:space="preserve">(3), 1–5. </w:t>
      </w:r>
      <w:hyperlink r:id="rId18" w:history="1">
        <w:r w:rsidRPr="00D6292C">
          <w:rPr>
            <w:rFonts w:ascii="Times New Roman" w:eastAsia="Times New Roman" w:hAnsi="Times New Roman" w:cs="Times New Roman"/>
            <w:color w:val="0000FF"/>
            <w:sz w:val="24"/>
            <w:szCs w:val="24"/>
            <w:u w:val="single"/>
          </w:rPr>
          <w:t>https://doi.org/10.56557/jodagh/2023/v16i38434</w:t>
        </w:r>
      </w:hyperlink>
    </w:p>
    <w:p w14:paraId="105B0B92" w14:textId="39C70C58"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r w:rsidRPr="00D6292C">
        <w:rPr>
          <w:rFonts w:ascii="Times New Roman" w:eastAsia="Times New Roman" w:hAnsi="Times New Roman" w:cs="Times New Roman"/>
          <w:sz w:val="24"/>
          <w:szCs w:val="24"/>
        </w:rPr>
        <w:t xml:space="preserve">Peter, O. J., </w:t>
      </w:r>
      <w:proofErr w:type="spellStart"/>
      <w:r w:rsidRPr="00D6292C">
        <w:rPr>
          <w:rFonts w:ascii="Times New Roman" w:eastAsia="Times New Roman" w:hAnsi="Times New Roman" w:cs="Times New Roman"/>
          <w:sz w:val="24"/>
          <w:szCs w:val="24"/>
        </w:rPr>
        <w:t>Akinduko</w:t>
      </w:r>
      <w:proofErr w:type="spellEnd"/>
      <w:r w:rsidRPr="00D6292C">
        <w:rPr>
          <w:rFonts w:ascii="Times New Roman" w:eastAsia="Times New Roman" w:hAnsi="Times New Roman" w:cs="Times New Roman"/>
          <w:sz w:val="24"/>
          <w:szCs w:val="24"/>
        </w:rPr>
        <w:t xml:space="preserve">, O. B., </w:t>
      </w:r>
      <w:proofErr w:type="spellStart"/>
      <w:r w:rsidRPr="00D6292C">
        <w:rPr>
          <w:rFonts w:ascii="Times New Roman" w:eastAsia="Times New Roman" w:hAnsi="Times New Roman" w:cs="Times New Roman"/>
          <w:sz w:val="24"/>
          <w:szCs w:val="24"/>
        </w:rPr>
        <w:t>Oguntolu</w:t>
      </w:r>
      <w:proofErr w:type="spellEnd"/>
      <w:r w:rsidRPr="00D6292C">
        <w:rPr>
          <w:rFonts w:ascii="Times New Roman" w:eastAsia="Times New Roman" w:hAnsi="Times New Roman" w:cs="Times New Roman"/>
          <w:sz w:val="24"/>
          <w:szCs w:val="24"/>
        </w:rPr>
        <w:t xml:space="preserve">, F. A., &amp; Ishola, C. Y. (2018). Mathematical model for the control of infectious disease. </w:t>
      </w:r>
      <w:r w:rsidRPr="00D6292C">
        <w:rPr>
          <w:rFonts w:ascii="Times New Roman" w:eastAsia="Times New Roman" w:hAnsi="Times New Roman" w:cs="Times New Roman"/>
          <w:i/>
          <w:iCs/>
          <w:sz w:val="24"/>
          <w:szCs w:val="24"/>
        </w:rPr>
        <w:t>Journal of Applied Sciences and Environmental Management, 22</w:t>
      </w:r>
      <w:r w:rsidRPr="00D6292C">
        <w:rPr>
          <w:rFonts w:ascii="Times New Roman" w:eastAsia="Times New Roman" w:hAnsi="Times New Roman" w:cs="Times New Roman"/>
          <w:sz w:val="24"/>
          <w:szCs w:val="24"/>
        </w:rPr>
        <w:t xml:space="preserve">(4), 447–451. </w:t>
      </w:r>
      <w:hyperlink r:id="rId19" w:history="1">
        <w:r w:rsidRPr="00D6292C">
          <w:rPr>
            <w:rFonts w:ascii="Times New Roman" w:eastAsia="Times New Roman" w:hAnsi="Times New Roman" w:cs="Times New Roman"/>
            <w:color w:val="0000FF"/>
            <w:sz w:val="24"/>
            <w:szCs w:val="24"/>
            <w:u w:val="single"/>
          </w:rPr>
          <w:t>https://doi.org/10.4314/jasem.v22i4.1</w:t>
        </w:r>
      </w:hyperlink>
    </w:p>
    <w:p w14:paraId="0FD7A966" w14:textId="4DE47AB7" w:rsidR="00D6292C" w:rsidRPr="00D6292C" w:rsidRDefault="00D6292C" w:rsidP="00D6292C">
      <w:pPr>
        <w:spacing w:after="0" w:line="240" w:lineRule="auto"/>
        <w:ind w:left="540" w:hanging="540"/>
        <w:jc w:val="both"/>
        <w:rPr>
          <w:rFonts w:ascii="Times New Roman" w:eastAsia="Times New Roman" w:hAnsi="Times New Roman" w:cs="Times New Roman"/>
          <w:sz w:val="24"/>
          <w:szCs w:val="24"/>
        </w:rPr>
      </w:pPr>
      <w:r w:rsidRPr="00D6292C">
        <w:rPr>
          <w:rFonts w:ascii="Times New Roman" w:eastAsia="Times New Roman" w:hAnsi="Times New Roman" w:cs="Times New Roman"/>
          <w:sz w:val="24"/>
          <w:szCs w:val="24"/>
        </w:rPr>
        <w:t xml:space="preserve">UNICEF. (2023, August 3). </w:t>
      </w:r>
      <w:r w:rsidRPr="00D6292C">
        <w:rPr>
          <w:rFonts w:ascii="Times New Roman" w:eastAsia="Times New Roman" w:hAnsi="Times New Roman" w:cs="Times New Roman"/>
          <w:i/>
          <w:iCs/>
          <w:sz w:val="24"/>
          <w:szCs w:val="24"/>
        </w:rPr>
        <w:t>Diphtheria outbreak in Nigeria: UNICEF intensifies response</w:t>
      </w:r>
      <w:r w:rsidRPr="00D6292C">
        <w:rPr>
          <w:rFonts w:ascii="Times New Roman" w:eastAsia="Times New Roman" w:hAnsi="Times New Roman" w:cs="Times New Roman"/>
          <w:sz w:val="24"/>
          <w:szCs w:val="24"/>
        </w:rPr>
        <w:t xml:space="preserve">. </w:t>
      </w:r>
    </w:p>
    <w:p w14:paraId="613CD45D" w14:textId="5144ADC0" w:rsidR="0063214A" w:rsidRDefault="00D6292C" w:rsidP="00D6292C">
      <w:pPr>
        <w:spacing w:after="0" w:line="480" w:lineRule="auto"/>
        <w:ind w:left="540" w:hanging="540"/>
        <w:jc w:val="both"/>
      </w:pPr>
      <w:r w:rsidRPr="00D6292C">
        <w:rPr>
          <w:rFonts w:ascii="Times New Roman" w:eastAsia="Times New Roman" w:hAnsi="Times New Roman" w:cs="Times New Roman"/>
          <w:sz w:val="24"/>
          <w:szCs w:val="24"/>
        </w:rPr>
        <w:t xml:space="preserve">World Health Organization. (2026, July 15). </w:t>
      </w:r>
      <w:r w:rsidRPr="00D6292C">
        <w:rPr>
          <w:rFonts w:ascii="Times New Roman" w:eastAsia="Times New Roman" w:hAnsi="Times New Roman" w:cs="Times New Roman"/>
          <w:i/>
          <w:iCs/>
          <w:sz w:val="24"/>
          <w:szCs w:val="24"/>
        </w:rPr>
        <w:t>Diphtheria</w:t>
      </w:r>
      <w:r w:rsidRPr="00D6292C">
        <w:rPr>
          <w:rFonts w:ascii="Times New Roman" w:eastAsia="Times New Roman" w:hAnsi="Times New Roman" w:cs="Times New Roman"/>
          <w:sz w:val="24"/>
          <w:szCs w:val="24"/>
        </w:rPr>
        <w:t xml:space="preserve">. </w:t>
      </w:r>
    </w:p>
    <w:sectPr w:rsidR="0063214A" w:rsidSect="005405D4">
      <w:headerReference w:type="even" r:id="rId20"/>
      <w:headerReference w:type="default" r:id="rId21"/>
      <w:footerReference w:type="even" r:id="rId22"/>
      <w:footerReference w:type="default" r:id="rId23"/>
      <w:headerReference w:type="first" r:id="rId24"/>
      <w:footerReference w:type="first" r:id="rId25"/>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BB527" w14:textId="77777777" w:rsidR="00FB42CF" w:rsidRDefault="00FB42CF" w:rsidP="00AF5AF3">
      <w:pPr>
        <w:spacing w:after="0" w:line="240" w:lineRule="auto"/>
      </w:pPr>
      <w:r>
        <w:separator/>
      </w:r>
    </w:p>
  </w:endnote>
  <w:endnote w:type="continuationSeparator" w:id="0">
    <w:p w14:paraId="510FAF6E" w14:textId="77777777" w:rsidR="00FB42CF" w:rsidRDefault="00FB42CF" w:rsidP="00AF5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9AA5F" w14:textId="77777777" w:rsidR="00AF5AF3" w:rsidRDefault="00AF5AF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2C10" w14:textId="77777777" w:rsidR="00AF5AF3" w:rsidRDefault="00AF5AF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7F8E8" w14:textId="77777777" w:rsidR="00AF5AF3" w:rsidRDefault="00AF5A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E263B" w14:textId="77777777" w:rsidR="00FB42CF" w:rsidRDefault="00FB42CF" w:rsidP="00AF5AF3">
      <w:pPr>
        <w:spacing w:after="0" w:line="240" w:lineRule="auto"/>
      </w:pPr>
      <w:r>
        <w:separator/>
      </w:r>
    </w:p>
  </w:footnote>
  <w:footnote w:type="continuationSeparator" w:id="0">
    <w:p w14:paraId="7F99AB2C" w14:textId="77777777" w:rsidR="00FB42CF" w:rsidRDefault="00FB42CF" w:rsidP="00AF5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D6FA5" w14:textId="77777777" w:rsidR="00AF5AF3" w:rsidRDefault="00000000">
    <w:pPr>
      <w:pStyle w:val="Header"/>
    </w:pPr>
    <w:r>
      <w:rPr>
        <w:noProof/>
      </w:rPr>
      <w:pict w14:anchorId="34E460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259219" o:spid="_x0000_s1026" type="#_x0000_t136" style="position:absolute;margin-left:0;margin-top:0;width:642.95pt;height:67.65pt;rotation:315;z-index:-251655168;mso-position-horizontal:center;mso-position-horizontal-relative:margin;mso-position-vertical:center;mso-position-vertical-relative:margin" o:allowincell="f" fillcolor="silver" stroked="f">
          <v:fill opacity=".5"/>
          <v:textpath style="font-family:&quot;Georgi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D65D6" w14:textId="77777777" w:rsidR="00AF5AF3" w:rsidRDefault="00000000">
    <w:pPr>
      <w:pStyle w:val="Header"/>
    </w:pPr>
    <w:r>
      <w:rPr>
        <w:noProof/>
      </w:rPr>
      <w:pict w14:anchorId="7EF8AB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259220" o:spid="_x0000_s1027" type="#_x0000_t136" style="position:absolute;margin-left:0;margin-top:0;width:642.95pt;height:67.65pt;rotation:315;z-index:-251653120;mso-position-horizontal:center;mso-position-horizontal-relative:margin;mso-position-vertical:center;mso-position-vertical-relative:margin" o:allowincell="f" fillcolor="silver" stroked="f">
          <v:fill opacity=".5"/>
          <v:textpath style="font-family:&quot;Georgi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9189E" w14:textId="77777777" w:rsidR="00AF5AF3" w:rsidRDefault="00000000">
    <w:pPr>
      <w:pStyle w:val="Header"/>
    </w:pPr>
    <w:r>
      <w:rPr>
        <w:noProof/>
      </w:rPr>
      <w:pict w14:anchorId="6A32A34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2259218" o:spid="_x0000_s1025" type="#_x0000_t136" style="position:absolute;margin-left:0;margin-top:0;width:642.95pt;height:67.65pt;rotation:315;z-index:-251657216;mso-position-horizontal:center;mso-position-horizontal-relative:margin;mso-position-vertical:center;mso-position-vertical-relative:margin" o:allowincell="f" fillcolor="silver" stroked="f">
          <v:fill opacity=".5"/>
          <v:textpath style="font-family:&quot;Georgi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67F9"/>
    <w:multiLevelType w:val="hybridMultilevel"/>
    <w:tmpl w:val="FA60FCBC"/>
    <w:lvl w:ilvl="0" w:tplc="5D7CE816">
      <w:start w:val="1"/>
      <w:numFmt w:val="none"/>
      <w:lvlText w:val=""/>
      <w:lvlJc w:val="left"/>
      <w:pPr>
        <w:tabs>
          <w:tab w:val="num" w:pos="720"/>
        </w:tabs>
        <w:ind w:left="360" w:firstLine="0"/>
      </w:pPr>
      <w:rPr>
        <w:rFonts w:ascii="Georgia" w:eastAsia="Georgia" w:hAnsi="Georgia" w:cs="Georgia"/>
      </w:rPr>
    </w:lvl>
    <w:lvl w:ilvl="1" w:tplc="53FC6702">
      <w:numFmt w:val="decimal"/>
      <w:lvlText w:val=""/>
      <w:lvlJc w:val="left"/>
    </w:lvl>
    <w:lvl w:ilvl="2" w:tplc="547EE7C8">
      <w:numFmt w:val="decimal"/>
      <w:lvlText w:val=""/>
      <w:lvlJc w:val="left"/>
    </w:lvl>
    <w:lvl w:ilvl="3" w:tplc="77CC27CC">
      <w:numFmt w:val="decimal"/>
      <w:lvlText w:val=""/>
      <w:lvlJc w:val="left"/>
    </w:lvl>
    <w:lvl w:ilvl="4" w:tplc="0EC4DDB2">
      <w:numFmt w:val="decimal"/>
      <w:lvlText w:val=""/>
      <w:lvlJc w:val="left"/>
    </w:lvl>
    <w:lvl w:ilvl="5" w:tplc="79EAAA32">
      <w:numFmt w:val="decimal"/>
      <w:lvlText w:val=""/>
      <w:lvlJc w:val="left"/>
    </w:lvl>
    <w:lvl w:ilvl="6" w:tplc="B9CA0466">
      <w:numFmt w:val="decimal"/>
      <w:lvlText w:val=""/>
      <w:lvlJc w:val="left"/>
    </w:lvl>
    <w:lvl w:ilvl="7" w:tplc="1F16E84C">
      <w:numFmt w:val="decimal"/>
      <w:lvlText w:val=""/>
      <w:lvlJc w:val="left"/>
    </w:lvl>
    <w:lvl w:ilvl="8" w:tplc="289E806C">
      <w:numFmt w:val="decimal"/>
      <w:lvlText w:val=""/>
      <w:lvlJc w:val="left"/>
    </w:lvl>
  </w:abstractNum>
  <w:abstractNum w:abstractNumId="1" w15:restartNumberingAfterBreak="0">
    <w:nsid w:val="067B558D"/>
    <w:multiLevelType w:val="hybridMultilevel"/>
    <w:tmpl w:val="8758D9A0"/>
    <w:lvl w:ilvl="0" w:tplc="6CEE6BEE">
      <w:numFmt w:val="decimal"/>
      <w:lvlText w:val=""/>
      <w:lvlJc w:val="left"/>
    </w:lvl>
    <w:lvl w:ilvl="1" w:tplc="2668B98E">
      <w:numFmt w:val="decimal"/>
      <w:lvlText w:val=""/>
      <w:lvlJc w:val="left"/>
    </w:lvl>
    <w:lvl w:ilvl="2" w:tplc="012A245C">
      <w:numFmt w:val="decimal"/>
      <w:lvlText w:val=""/>
      <w:lvlJc w:val="left"/>
    </w:lvl>
    <w:lvl w:ilvl="3" w:tplc="29CA6F5C">
      <w:numFmt w:val="decimal"/>
      <w:lvlText w:val=""/>
      <w:lvlJc w:val="left"/>
    </w:lvl>
    <w:lvl w:ilvl="4" w:tplc="949C9F52">
      <w:numFmt w:val="decimal"/>
      <w:lvlText w:val=""/>
      <w:lvlJc w:val="left"/>
    </w:lvl>
    <w:lvl w:ilvl="5" w:tplc="A7AC0E36">
      <w:numFmt w:val="decimal"/>
      <w:lvlText w:val=""/>
      <w:lvlJc w:val="left"/>
    </w:lvl>
    <w:lvl w:ilvl="6" w:tplc="ADB8E6E2">
      <w:numFmt w:val="decimal"/>
      <w:lvlText w:val=""/>
      <w:lvlJc w:val="left"/>
    </w:lvl>
    <w:lvl w:ilvl="7" w:tplc="FD0EBF4E">
      <w:numFmt w:val="decimal"/>
      <w:lvlText w:val=""/>
      <w:lvlJc w:val="left"/>
    </w:lvl>
    <w:lvl w:ilvl="8" w:tplc="BA84DB42">
      <w:numFmt w:val="decimal"/>
      <w:lvlText w:val=""/>
      <w:lvlJc w:val="left"/>
    </w:lvl>
  </w:abstractNum>
  <w:abstractNum w:abstractNumId="2" w15:restartNumberingAfterBreak="0">
    <w:nsid w:val="089F7DFA"/>
    <w:multiLevelType w:val="hybridMultilevel"/>
    <w:tmpl w:val="61E06C22"/>
    <w:lvl w:ilvl="0" w:tplc="F6441F74">
      <w:numFmt w:val="decimal"/>
      <w:lvlText w:val=""/>
      <w:lvlJc w:val="left"/>
    </w:lvl>
    <w:lvl w:ilvl="1" w:tplc="252430C8">
      <w:numFmt w:val="decimal"/>
      <w:lvlText w:val=""/>
      <w:lvlJc w:val="left"/>
    </w:lvl>
    <w:lvl w:ilvl="2" w:tplc="B99639B0">
      <w:numFmt w:val="decimal"/>
      <w:lvlText w:val=""/>
      <w:lvlJc w:val="left"/>
    </w:lvl>
    <w:lvl w:ilvl="3" w:tplc="A380F29C">
      <w:numFmt w:val="decimal"/>
      <w:lvlText w:val=""/>
      <w:lvlJc w:val="left"/>
    </w:lvl>
    <w:lvl w:ilvl="4" w:tplc="F0D00928">
      <w:numFmt w:val="decimal"/>
      <w:lvlText w:val=""/>
      <w:lvlJc w:val="left"/>
    </w:lvl>
    <w:lvl w:ilvl="5" w:tplc="9A5420C0">
      <w:numFmt w:val="decimal"/>
      <w:lvlText w:val=""/>
      <w:lvlJc w:val="left"/>
    </w:lvl>
    <w:lvl w:ilvl="6" w:tplc="F1607958">
      <w:numFmt w:val="decimal"/>
      <w:lvlText w:val=""/>
      <w:lvlJc w:val="left"/>
    </w:lvl>
    <w:lvl w:ilvl="7" w:tplc="A910582A">
      <w:numFmt w:val="decimal"/>
      <w:lvlText w:val=""/>
      <w:lvlJc w:val="left"/>
    </w:lvl>
    <w:lvl w:ilvl="8" w:tplc="A2B20138">
      <w:numFmt w:val="decimal"/>
      <w:lvlText w:val=""/>
      <w:lvlJc w:val="left"/>
    </w:lvl>
  </w:abstractNum>
  <w:abstractNum w:abstractNumId="3" w15:restartNumberingAfterBreak="0">
    <w:nsid w:val="0DE11518"/>
    <w:multiLevelType w:val="hybridMultilevel"/>
    <w:tmpl w:val="E5A0D482"/>
    <w:lvl w:ilvl="0" w:tplc="1B223834">
      <w:start w:val="1"/>
      <w:numFmt w:val="none"/>
      <w:lvlText w:val=""/>
      <w:lvlJc w:val="left"/>
      <w:pPr>
        <w:tabs>
          <w:tab w:val="num" w:pos="720"/>
        </w:tabs>
        <w:ind w:left="360" w:firstLine="0"/>
      </w:pPr>
      <w:rPr>
        <w:rFonts w:ascii="Georgia" w:eastAsia="Georgia" w:hAnsi="Georgia" w:cs="Georgia"/>
      </w:rPr>
    </w:lvl>
    <w:lvl w:ilvl="1" w:tplc="AAC6F7A8">
      <w:numFmt w:val="decimal"/>
      <w:lvlText w:val=""/>
      <w:lvlJc w:val="left"/>
    </w:lvl>
    <w:lvl w:ilvl="2" w:tplc="7EFE6CA8">
      <w:numFmt w:val="decimal"/>
      <w:lvlText w:val=""/>
      <w:lvlJc w:val="left"/>
    </w:lvl>
    <w:lvl w:ilvl="3" w:tplc="C9E264C0">
      <w:numFmt w:val="decimal"/>
      <w:lvlText w:val=""/>
      <w:lvlJc w:val="left"/>
    </w:lvl>
    <w:lvl w:ilvl="4" w:tplc="BAA26244">
      <w:numFmt w:val="decimal"/>
      <w:lvlText w:val=""/>
      <w:lvlJc w:val="left"/>
    </w:lvl>
    <w:lvl w:ilvl="5" w:tplc="3740E50A">
      <w:numFmt w:val="decimal"/>
      <w:lvlText w:val=""/>
      <w:lvlJc w:val="left"/>
    </w:lvl>
    <w:lvl w:ilvl="6" w:tplc="3D8204FC">
      <w:numFmt w:val="decimal"/>
      <w:lvlText w:val=""/>
      <w:lvlJc w:val="left"/>
    </w:lvl>
    <w:lvl w:ilvl="7" w:tplc="8C3202AA">
      <w:numFmt w:val="decimal"/>
      <w:lvlText w:val=""/>
      <w:lvlJc w:val="left"/>
    </w:lvl>
    <w:lvl w:ilvl="8" w:tplc="91F4D792">
      <w:numFmt w:val="decimal"/>
      <w:lvlText w:val=""/>
      <w:lvlJc w:val="left"/>
    </w:lvl>
  </w:abstractNum>
  <w:abstractNum w:abstractNumId="4" w15:restartNumberingAfterBreak="0">
    <w:nsid w:val="13C93BCA"/>
    <w:multiLevelType w:val="hybridMultilevel"/>
    <w:tmpl w:val="F43EA1FE"/>
    <w:lvl w:ilvl="0" w:tplc="35BE15FC">
      <w:start w:val="1"/>
      <w:numFmt w:val="none"/>
      <w:lvlText w:val=""/>
      <w:lvlJc w:val="left"/>
      <w:pPr>
        <w:tabs>
          <w:tab w:val="num" w:pos="720"/>
        </w:tabs>
        <w:ind w:left="360" w:firstLine="0"/>
      </w:pPr>
      <w:rPr>
        <w:rFonts w:ascii="Georgia" w:eastAsia="Georgia" w:hAnsi="Georgia" w:cs="Georgia"/>
      </w:rPr>
    </w:lvl>
    <w:lvl w:ilvl="1" w:tplc="E0E432CE">
      <w:numFmt w:val="decimal"/>
      <w:lvlText w:val=""/>
      <w:lvlJc w:val="left"/>
    </w:lvl>
    <w:lvl w:ilvl="2" w:tplc="5BE034C4">
      <w:numFmt w:val="decimal"/>
      <w:lvlText w:val=""/>
      <w:lvlJc w:val="left"/>
    </w:lvl>
    <w:lvl w:ilvl="3" w:tplc="BEBCBFBC">
      <w:numFmt w:val="decimal"/>
      <w:lvlText w:val=""/>
      <w:lvlJc w:val="left"/>
    </w:lvl>
    <w:lvl w:ilvl="4" w:tplc="1068E0D4">
      <w:numFmt w:val="decimal"/>
      <w:lvlText w:val=""/>
      <w:lvlJc w:val="left"/>
    </w:lvl>
    <w:lvl w:ilvl="5" w:tplc="E3BAED06">
      <w:numFmt w:val="decimal"/>
      <w:lvlText w:val=""/>
      <w:lvlJc w:val="left"/>
    </w:lvl>
    <w:lvl w:ilvl="6" w:tplc="A3DEE58A">
      <w:numFmt w:val="decimal"/>
      <w:lvlText w:val=""/>
      <w:lvlJc w:val="left"/>
    </w:lvl>
    <w:lvl w:ilvl="7" w:tplc="9A4851EA">
      <w:numFmt w:val="decimal"/>
      <w:lvlText w:val=""/>
      <w:lvlJc w:val="left"/>
    </w:lvl>
    <w:lvl w:ilvl="8" w:tplc="E4E0091E">
      <w:numFmt w:val="decimal"/>
      <w:lvlText w:val=""/>
      <w:lvlJc w:val="left"/>
    </w:lvl>
  </w:abstractNum>
  <w:abstractNum w:abstractNumId="5" w15:restartNumberingAfterBreak="0">
    <w:nsid w:val="14DB590E"/>
    <w:multiLevelType w:val="hybridMultilevel"/>
    <w:tmpl w:val="6CB24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640ACA"/>
    <w:multiLevelType w:val="hybridMultilevel"/>
    <w:tmpl w:val="547EF812"/>
    <w:lvl w:ilvl="0" w:tplc="6F76602E">
      <w:start w:val="1"/>
      <w:numFmt w:val="none"/>
      <w:lvlText w:val=""/>
      <w:lvlJc w:val="left"/>
      <w:pPr>
        <w:tabs>
          <w:tab w:val="num" w:pos="720"/>
        </w:tabs>
        <w:ind w:left="360" w:firstLine="0"/>
      </w:pPr>
      <w:rPr>
        <w:rFonts w:ascii="Georgia" w:eastAsia="Georgia" w:hAnsi="Georgia" w:cs="Georgia"/>
      </w:rPr>
    </w:lvl>
    <w:lvl w:ilvl="1" w:tplc="1E7CE020">
      <w:numFmt w:val="decimal"/>
      <w:lvlText w:val=""/>
      <w:lvlJc w:val="left"/>
    </w:lvl>
    <w:lvl w:ilvl="2" w:tplc="EAC4006C">
      <w:numFmt w:val="decimal"/>
      <w:lvlText w:val=""/>
      <w:lvlJc w:val="left"/>
    </w:lvl>
    <w:lvl w:ilvl="3" w:tplc="870AEDD6">
      <w:numFmt w:val="decimal"/>
      <w:lvlText w:val=""/>
      <w:lvlJc w:val="left"/>
    </w:lvl>
    <w:lvl w:ilvl="4" w:tplc="B9663146">
      <w:numFmt w:val="decimal"/>
      <w:lvlText w:val=""/>
      <w:lvlJc w:val="left"/>
    </w:lvl>
    <w:lvl w:ilvl="5" w:tplc="C4EE61FA">
      <w:numFmt w:val="decimal"/>
      <w:lvlText w:val=""/>
      <w:lvlJc w:val="left"/>
    </w:lvl>
    <w:lvl w:ilvl="6" w:tplc="42B487B2">
      <w:numFmt w:val="decimal"/>
      <w:lvlText w:val=""/>
      <w:lvlJc w:val="left"/>
    </w:lvl>
    <w:lvl w:ilvl="7" w:tplc="59C6544E">
      <w:numFmt w:val="decimal"/>
      <w:lvlText w:val=""/>
      <w:lvlJc w:val="left"/>
    </w:lvl>
    <w:lvl w:ilvl="8" w:tplc="B2DA0C22">
      <w:numFmt w:val="decimal"/>
      <w:lvlText w:val=""/>
      <w:lvlJc w:val="left"/>
    </w:lvl>
  </w:abstractNum>
  <w:abstractNum w:abstractNumId="7" w15:restartNumberingAfterBreak="0">
    <w:nsid w:val="1CBE49B1"/>
    <w:multiLevelType w:val="hybridMultilevel"/>
    <w:tmpl w:val="AC385E74"/>
    <w:lvl w:ilvl="0" w:tplc="08FCE610">
      <w:numFmt w:val="decimal"/>
      <w:lvlText w:val=""/>
      <w:lvlJc w:val="left"/>
    </w:lvl>
    <w:lvl w:ilvl="1" w:tplc="A9BE5B14">
      <w:numFmt w:val="decimal"/>
      <w:lvlText w:val=""/>
      <w:lvlJc w:val="left"/>
    </w:lvl>
    <w:lvl w:ilvl="2" w:tplc="80548808">
      <w:numFmt w:val="decimal"/>
      <w:lvlText w:val=""/>
      <w:lvlJc w:val="left"/>
    </w:lvl>
    <w:lvl w:ilvl="3" w:tplc="1512BA88">
      <w:numFmt w:val="decimal"/>
      <w:lvlText w:val=""/>
      <w:lvlJc w:val="left"/>
    </w:lvl>
    <w:lvl w:ilvl="4" w:tplc="77823F24">
      <w:numFmt w:val="decimal"/>
      <w:lvlText w:val=""/>
      <w:lvlJc w:val="left"/>
    </w:lvl>
    <w:lvl w:ilvl="5" w:tplc="A76C7A90">
      <w:numFmt w:val="decimal"/>
      <w:lvlText w:val=""/>
      <w:lvlJc w:val="left"/>
    </w:lvl>
    <w:lvl w:ilvl="6" w:tplc="480ED8D2">
      <w:numFmt w:val="decimal"/>
      <w:lvlText w:val=""/>
      <w:lvlJc w:val="left"/>
    </w:lvl>
    <w:lvl w:ilvl="7" w:tplc="A3903D86">
      <w:numFmt w:val="decimal"/>
      <w:lvlText w:val=""/>
      <w:lvlJc w:val="left"/>
    </w:lvl>
    <w:lvl w:ilvl="8" w:tplc="AC72168C">
      <w:numFmt w:val="decimal"/>
      <w:lvlText w:val=""/>
      <w:lvlJc w:val="left"/>
    </w:lvl>
  </w:abstractNum>
  <w:abstractNum w:abstractNumId="8" w15:restartNumberingAfterBreak="0">
    <w:nsid w:val="2BBC75BA"/>
    <w:multiLevelType w:val="hybridMultilevel"/>
    <w:tmpl w:val="5572660E"/>
    <w:lvl w:ilvl="0" w:tplc="C8028B0C">
      <w:start w:val="1"/>
      <w:numFmt w:val="decimal"/>
      <w:lvlText w:val="%1."/>
      <w:lvlJc w:val="left"/>
      <w:pPr>
        <w:tabs>
          <w:tab w:val="num" w:pos="1080"/>
        </w:tabs>
        <w:ind w:left="720" w:hanging="360"/>
      </w:pPr>
    </w:lvl>
    <w:lvl w:ilvl="1" w:tplc="F78C5360">
      <w:numFmt w:val="decimal"/>
      <w:lvlText w:val=""/>
      <w:lvlJc w:val="left"/>
    </w:lvl>
    <w:lvl w:ilvl="2" w:tplc="1F4640E4">
      <w:numFmt w:val="decimal"/>
      <w:lvlText w:val=""/>
      <w:lvlJc w:val="left"/>
    </w:lvl>
    <w:lvl w:ilvl="3" w:tplc="00C499CA">
      <w:numFmt w:val="decimal"/>
      <w:lvlText w:val=""/>
      <w:lvlJc w:val="left"/>
    </w:lvl>
    <w:lvl w:ilvl="4" w:tplc="81D2C264">
      <w:numFmt w:val="decimal"/>
      <w:lvlText w:val=""/>
      <w:lvlJc w:val="left"/>
    </w:lvl>
    <w:lvl w:ilvl="5" w:tplc="F2D43D1E">
      <w:numFmt w:val="decimal"/>
      <w:lvlText w:val=""/>
      <w:lvlJc w:val="left"/>
    </w:lvl>
    <w:lvl w:ilvl="6" w:tplc="2612CA3A">
      <w:numFmt w:val="decimal"/>
      <w:lvlText w:val=""/>
      <w:lvlJc w:val="left"/>
    </w:lvl>
    <w:lvl w:ilvl="7" w:tplc="8B907D20">
      <w:numFmt w:val="decimal"/>
      <w:lvlText w:val=""/>
      <w:lvlJc w:val="left"/>
    </w:lvl>
    <w:lvl w:ilvl="8" w:tplc="9FC2796C">
      <w:numFmt w:val="decimal"/>
      <w:lvlText w:val=""/>
      <w:lvlJc w:val="left"/>
    </w:lvl>
  </w:abstractNum>
  <w:abstractNum w:abstractNumId="9" w15:restartNumberingAfterBreak="0">
    <w:nsid w:val="2FDB2620"/>
    <w:multiLevelType w:val="hybridMultilevel"/>
    <w:tmpl w:val="B1801EFE"/>
    <w:lvl w:ilvl="0" w:tplc="760AE5C2">
      <w:start w:val="1"/>
      <w:numFmt w:val="none"/>
      <w:lvlText w:val=""/>
      <w:lvlJc w:val="left"/>
      <w:pPr>
        <w:tabs>
          <w:tab w:val="num" w:pos="720"/>
        </w:tabs>
        <w:ind w:left="360" w:firstLine="0"/>
      </w:pPr>
      <w:rPr>
        <w:rFonts w:ascii="Georgia" w:eastAsia="Georgia" w:hAnsi="Georgia" w:cs="Georgia"/>
      </w:rPr>
    </w:lvl>
    <w:lvl w:ilvl="1" w:tplc="EB547E66">
      <w:numFmt w:val="decimal"/>
      <w:lvlText w:val=""/>
      <w:lvlJc w:val="left"/>
    </w:lvl>
    <w:lvl w:ilvl="2" w:tplc="9C2247F2">
      <w:numFmt w:val="decimal"/>
      <w:lvlText w:val=""/>
      <w:lvlJc w:val="left"/>
    </w:lvl>
    <w:lvl w:ilvl="3" w:tplc="874612E6">
      <w:numFmt w:val="decimal"/>
      <w:lvlText w:val=""/>
      <w:lvlJc w:val="left"/>
    </w:lvl>
    <w:lvl w:ilvl="4" w:tplc="74EC0B2A">
      <w:numFmt w:val="decimal"/>
      <w:lvlText w:val=""/>
      <w:lvlJc w:val="left"/>
    </w:lvl>
    <w:lvl w:ilvl="5" w:tplc="A56A5196">
      <w:numFmt w:val="decimal"/>
      <w:lvlText w:val=""/>
      <w:lvlJc w:val="left"/>
    </w:lvl>
    <w:lvl w:ilvl="6" w:tplc="38489510">
      <w:numFmt w:val="decimal"/>
      <w:lvlText w:val=""/>
      <w:lvlJc w:val="left"/>
    </w:lvl>
    <w:lvl w:ilvl="7" w:tplc="F61048FC">
      <w:numFmt w:val="decimal"/>
      <w:lvlText w:val=""/>
      <w:lvlJc w:val="left"/>
    </w:lvl>
    <w:lvl w:ilvl="8" w:tplc="4282F434">
      <w:numFmt w:val="decimal"/>
      <w:lvlText w:val=""/>
      <w:lvlJc w:val="left"/>
    </w:lvl>
  </w:abstractNum>
  <w:abstractNum w:abstractNumId="10" w15:restartNumberingAfterBreak="0">
    <w:nsid w:val="31775D29"/>
    <w:multiLevelType w:val="hybridMultilevel"/>
    <w:tmpl w:val="5A7E0D86"/>
    <w:lvl w:ilvl="0" w:tplc="40820C6E">
      <w:start w:val="1"/>
      <w:numFmt w:val="none"/>
      <w:lvlText w:val=""/>
      <w:lvlJc w:val="left"/>
      <w:pPr>
        <w:tabs>
          <w:tab w:val="num" w:pos="720"/>
        </w:tabs>
        <w:ind w:left="360" w:firstLine="0"/>
      </w:pPr>
      <w:rPr>
        <w:rFonts w:ascii="Georgia" w:eastAsia="Georgia" w:hAnsi="Georgia" w:cs="Georgia"/>
      </w:rPr>
    </w:lvl>
    <w:lvl w:ilvl="1" w:tplc="58367CBA">
      <w:numFmt w:val="decimal"/>
      <w:lvlText w:val=""/>
      <w:lvlJc w:val="left"/>
    </w:lvl>
    <w:lvl w:ilvl="2" w:tplc="6142798E">
      <w:numFmt w:val="decimal"/>
      <w:lvlText w:val=""/>
      <w:lvlJc w:val="left"/>
    </w:lvl>
    <w:lvl w:ilvl="3" w:tplc="9FAAE882">
      <w:numFmt w:val="decimal"/>
      <w:lvlText w:val=""/>
      <w:lvlJc w:val="left"/>
    </w:lvl>
    <w:lvl w:ilvl="4" w:tplc="825A4DFE">
      <w:numFmt w:val="decimal"/>
      <w:lvlText w:val=""/>
      <w:lvlJc w:val="left"/>
    </w:lvl>
    <w:lvl w:ilvl="5" w:tplc="57EEC4A6">
      <w:numFmt w:val="decimal"/>
      <w:lvlText w:val=""/>
      <w:lvlJc w:val="left"/>
    </w:lvl>
    <w:lvl w:ilvl="6" w:tplc="870A2570">
      <w:numFmt w:val="decimal"/>
      <w:lvlText w:val=""/>
      <w:lvlJc w:val="left"/>
    </w:lvl>
    <w:lvl w:ilvl="7" w:tplc="84B8E814">
      <w:numFmt w:val="decimal"/>
      <w:lvlText w:val=""/>
      <w:lvlJc w:val="left"/>
    </w:lvl>
    <w:lvl w:ilvl="8" w:tplc="097402F0">
      <w:numFmt w:val="decimal"/>
      <w:lvlText w:val=""/>
      <w:lvlJc w:val="left"/>
    </w:lvl>
  </w:abstractNum>
  <w:abstractNum w:abstractNumId="11" w15:restartNumberingAfterBreak="0">
    <w:nsid w:val="3AE63DEB"/>
    <w:multiLevelType w:val="hybridMultilevel"/>
    <w:tmpl w:val="2F92815E"/>
    <w:lvl w:ilvl="0" w:tplc="7B9C9434">
      <w:start w:val="1"/>
      <w:numFmt w:val="none"/>
      <w:lvlText w:val=""/>
      <w:lvlJc w:val="left"/>
      <w:pPr>
        <w:tabs>
          <w:tab w:val="num" w:pos="720"/>
        </w:tabs>
        <w:ind w:left="360" w:firstLine="0"/>
      </w:pPr>
      <w:rPr>
        <w:rFonts w:ascii="Georgia" w:eastAsia="Georgia" w:hAnsi="Georgia" w:cs="Georgia"/>
      </w:rPr>
    </w:lvl>
    <w:lvl w:ilvl="1" w:tplc="141491AA">
      <w:numFmt w:val="decimal"/>
      <w:lvlText w:val=""/>
      <w:lvlJc w:val="left"/>
    </w:lvl>
    <w:lvl w:ilvl="2" w:tplc="B832E94C">
      <w:numFmt w:val="decimal"/>
      <w:lvlText w:val=""/>
      <w:lvlJc w:val="left"/>
    </w:lvl>
    <w:lvl w:ilvl="3" w:tplc="8E04ACA2">
      <w:numFmt w:val="decimal"/>
      <w:lvlText w:val=""/>
      <w:lvlJc w:val="left"/>
    </w:lvl>
    <w:lvl w:ilvl="4" w:tplc="5D7AA704">
      <w:numFmt w:val="decimal"/>
      <w:lvlText w:val=""/>
      <w:lvlJc w:val="left"/>
    </w:lvl>
    <w:lvl w:ilvl="5" w:tplc="B0B0C880">
      <w:numFmt w:val="decimal"/>
      <w:lvlText w:val=""/>
      <w:lvlJc w:val="left"/>
    </w:lvl>
    <w:lvl w:ilvl="6" w:tplc="5EC665CA">
      <w:numFmt w:val="decimal"/>
      <w:lvlText w:val=""/>
      <w:lvlJc w:val="left"/>
    </w:lvl>
    <w:lvl w:ilvl="7" w:tplc="5B461A06">
      <w:numFmt w:val="decimal"/>
      <w:lvlText w:val=""/>
      <w:lvlJc w:val="left"/>
    </w:lvl>
    <w:lvl w:ilvl="8" w:tplc="B73876E6">
      <w:numFmt w:val="decimal"/>
      <w:lvlText w:val=""/>
      <w:lvlJc w:val="left"/>
    </w:lvl>
  </w:abstractNum>
  <w:abstractNum w:abstractNumId="12" w15:restartNumberingAfterBreak="0">
    <w:nsid w:val="3B2C39DD"/>
    <w:multiLevelType w:val="hybridMultilevel"/>
    <w:tmpl w:val="609244B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3E6305"/>
    <w:multiLevelType w:val="hybridMultilevel"/>
    <w:tmpl w:val="067065D8"/>
    <w:lvl w:ilvl="0" w:tplc="7D885982">
      <w:start w:val="1"/>
      <w:numFmt w:val="none"/>
      <w:lvlText w:val=""/>
      <w:lvlJc w:val="left"/>
      <w:pPr>
        <w:tabs>
          <w:tab w:val="num" w:pos="720"/>
        </w:tabs>
        <w:ind w:left="360" w:firstLine="0"/>
      </w:pPr>
      <w:rPr>
        <w:rFonts w:ascii="Georgia" w:eastAsia="Georgia" w:hAnsi="Georgia" w:cs="Georgia"/>
      </w:rPr>
    </w:lvl>
    <w:lvl w:ilvl="1" w:tplc="417CAAC4">
      <w:numFmt w:val="decimal"/>
      <w:lvlText w:val=""/>
      <w:lvlJc w:val="left"/>
    </w:lvl>
    <w:lvl w:ilvl="2" w:tplc="ADD085D2">
      <w:numFmt w:val="decimal"/>
      <w:lvlText w:val=""/>
      <w:lvlJc w:val="left"/>
    </w:lvl>
    <w:lvl w:ilvl="3" w:tplc="4A446D84">
      <w:numFmt w:val="decimal"/>
      <w:lvlText w:val=""/>
      <w:lvlJc w:val="left"/>
    </w:lvl>
    <w:lvl w:ilvl="4" w:tplc="C4EAEE7E">
      <w:numFmt w:val="decimal"/>
      <w:lvlText w:val=""/>
      <w:lvlJc w:val="left"/>
    </w:lvl>
    <w:lvl w:ilvl="5" w:tplc="2188A330">
      <w:numFmt w:val="decimal"/>
      <w:lvlText w:val=""/>
      <w:lvlJc w:val="left"/>
    </w:lvl>
    <w:lvl w:ilvl="6" w:tplc="FC3C150C">
      <w:numFmt w:val="decimal"/>
      <w:lvlText w:val=""/>
      <w:lvlJc w:val="left"/>
    </w:lvl>
    <w:lvl w:ilvl="7" w:tplc="B39CF438">
      <w:numFmt w:val="decimal"/>
      <w:lvlText w:val=""/>
      <w:lvlJc w:val="left"/>
    </w:lvl>
    <w:lvl w:ilvl="8" w:tplc="8DE8980A">
      <w:numFmt w:val="decimal"/>
      <w:lvlText w:val=""/>
      <w:lvlJc w:val="left"/>
    </w:lvl>
  </w:abstractNum>
  <w:abstractNum w:abstractNumId="14" w15:restartNumberingAfterBreak="0">
    <w:nsid w:val="4C440B8F"/>
    <w:multiLevelType w:val="hybridMultilevel"/>
    <w:tmpl w:val="4AD41BBE"/>
    <w:lvl w:ilvl="0" w:tplc="D14E197E">
      <w:start w:val="1"/>
      <w:numFmt w:val="none"/>
      <w:lvlText w:val=""/>
      <w:lvlJc w:val="left"/>
      <w:pPr>
        <w:tabs>
          <w:tab w:val="num" w:pos="720"/>
        </w:tabs>
        <w:ind w:left="360" w:firstLine="0"/>
      </w:pPr>
      <w:rPr>
        <w:rFonts w:ascii="Georgia" w:eastAsia="Georgia" w:hAnsi="Georgia" w:cs="Georgia"/>
      </w:rPr>
    </w:lvl>
    <w:lvl w:ilvl="1" w:tplc="65A02160">
      <w:numFmt w:val="decimal"/>
      <w:lvlText w:val=""/>
      <w:lvlJc w:val="left"/>
    </w:lvl>
    <w:lvl w:ilvl="2" w:tplc="C8F8807E">
      <w:numFmt w:val="decimal"/>
      <w:lvlText w:val=""/>
      <w:lvlJc w:val="left"/>
    </w:lvl>
    <w:lvl w:ilvl="3" w:tplc="F4B69EAE">
      <w:numFmt w:val="decimal"/>
      <w:lvlText w:val=""/>
      <w:lvlJc w:val="left"/>
    </w:lvl>
    <w:lvl w:ilvl="4" w:tplc="1A00BD58">
      <w:numFmt w:val="decimal"/>
      <w:lvlText w:val=""/>
      <w:lvlJc w:val="left"/>
    </w:lvl>
    <w:lvl w:ilvl="5" w:tplc="6A9654F4">
      <w:numFmt w:val="decimal"/>
      <w:lvlText w:val=""/>
      <w:lvlJc w:val="left"/>
    </w:lvl>
    <w:lvl w:ilvl="6" w:tplc="7374CA3A">
      <w:numFmt w:val="decimal"/>
      <w:lvlText w:val=""/>
      <w:lvlJc w:val="left"/>
    </w:lvl>
    <w:lvl w:ilvl="7" w:tplc="8620EFEA">
      <w:numFmt w:val="decimal"/>
      <w:lvlText w:val=""/>
      <w:lvlJc w:val="left"/>
    </w:lvl>
    <w:lvl w:ilvl="8" w:tplc="899A7E74">
      <w:numFmt w:val="decimal"/>
      <w:lvlText w:val=""/>
      <w:lvlJc w:val="left"/>
    </w:lvl>
  </w:abstractNum>
  <w:abstractNum w:abstractNumId="15" w15:restartNumberingAfterBreak="0">
    <w:nsid w:val="57E36E6C"/>
    <w:multiLevelType w:val="hybridMultilevel"/>
    <w:tmpl w:val="D518945C"/>
    <w:lvl w:ilvl="0" w:tplc="3B0ED848">
      <w:start w:val="1"/>
      <w:numFmt w:val="none"/>
      <w:lvlText w:val=""/>
      <w:lvlJc w:val="left"/>
      <w:pPr>
        <w:tabs>
          <w:tab w:val="num" w:pos="720"/>
        </w:tabs>
        <w:ind w:left="360" w:firstLine="0"/>
      </w:pPr>
      <w:rPr>
        <w:rFonts w:ascii="Georgia" w:eastAsia="Georgia" w:hAnsi="Georgia" w:cs="Georgia"/>
      </w:rPr>
    </w:lvl>
    <w:lvl w:ilvl="1" w:tplc="D23285B0">
      <w:numFmt w:val="decimal"/>
      <w:lvlText w:val=""/>
      <w:lvlJc w:val="left"/>
    </w:lvl>
    <w:lvl w:ilvl="2" w:tplc="10004298">
      <w:numFmt w:val="decimal"/>
      <w:lvlText w:val=""/>
      <w:lvlJc w:val="left"/>
    </w:lvl>
    <w:lvl w:ilvl="3" w:tplc="42C61828">
      <w:numFmt w:val="decimal"/>
      <w:lvlText w:val=""/>
      <w:lvlJc w:val="left"/>
    </w:lvl>
    <w:lvl w:ilvl="4" w:tplc="10E20D6E">
      <w:numFmt w:val="decimal"/>
      <w:lvlText w:val=""/>
      <w:lvlJc w:val="left"/>
    </w:lvl>
    <w:lvl w:ilvl="5" w:tplc="A028A856">
      <w:numFmt w:val="decimal"/>
      <w:lvlText w:val=""/>
      <w:lvlJc w:val="left"/>
    </w:lvl>
    <w:lvl w:ilvl="6" w:tplc="8086FD3E">
      <w:numFmt w:val="decimal"/>
      <w:lvlText w:val=""/>
      <w:lvlJc w:val="left"/>
    </w:lvl>
    <w:lvl w:ilvl="7" w:tplc="F3D605C0">
      <w:numFmt w:val="decimal"/>
      <w:lvlText w:val=""/>
      <w:lvlJc w:val="left"/>
    </w:lvl>
    <w:lvl w:ilvl="8" w:tplc="DE7A9CB2">
      <w:numFmt w:val="decimal"/>
      <w:lvlText w:val=""/>
      <w:lvlJc w:val="left"/>
    </w:lvl>
  </w:abstractNum>
  <w:abstractNum w:abstractNumId="16" w15:restartNumberingAfterBreak="0">
    <w:nsid w:val="5D3B62D2"/>
    <w:multiLevelType w:val="hybridMultilevel"/>
    <w:tmpl w:val="CF462724"/>
    <w:lvl w:ilvl="0" w:tplc="D216517A">
      <w:start w:val="1"/>
      <w:numFmt w:val="none"/>
      <w:lvlText w:val=""/>
      <w:lvlJc w:val="left"/>
      <w:pPr>
        <w:tabs>
          <w:tab w:val="num" w:pos="720"/>
        </w:tabs>
        <w:ind w:left="360" w:firstLine="0"/>
      </w:pPr>
      <w:rPr>
        <w:rFonts w:ascii="Georgia" w:eastAsia="Georgia" w:hAnsi="Georgia" w:cs="Georgia"/>
      </w:rPr>
    </w:lvl>
    <w:lvl w:ilvl="1" w:tplc="20C6B190">
      <w:numFmt w:val="decimal"/>
      <w:lvlText w:val=""/>
      <w:lvlJc w:val="left"/>
    </w:lvl>
    <w:lvl w:ilvl="2" w:tplc="61F2F8A8">
      <w:numFmt w:val="decimal"/>
      <w:lvlText w:val=""/>
      <w:lvlJc w:val="left"/>
    </w:lvl>
    <w:lvl w:ilvl="3" w:tplc="D2A6D022">
      <w:numFmt w:val="decimal"/>
      <w:lvlText w:val=""/>
      <w:lvlJc w:val="left"/>
    </w:lvl>
    <w:lvl w:ilvl="4" w:tplc="3E5EE522">
      <w:numFmt w:val="decimal"/>
      <w:lvlText w:val=""/>
      <w:lvlJc w:val="left"/>
    </w:lvl>
    <w:lvl w:ilvl="5" w:tplc="CD967FDC">
      <w:numFmt w:val="decimal"/>
      <w:lvlText w:val=""/>
      <w:lvlJc w:val="left"/>
    </w:lvl>
    <w:lvl w:ilvl="6" w:tplc="807C798C">
      <w:numFmt w:val="decimal"/>
      <w:lvlText w:val=""/>
      <w:lvlJc w:val="left"/>
    </w:lvl>
    <w:lvl w:ilvl="7" w:tplc="8794BA18">
      <w:numFmt w:val="decimal"/>
      <w:lvlText w:val=""/>
      <w:lvlJc w:val="left"/>
    </w:lvl>
    <w:lvl w:ilvl="8" w:tplc="D2AA688E">
      <w:numFmt w:val="decimal"/>
      <w:lvlText w:val=""/>
      <w:lvlJc w:val="left"/>
    </w:lvl>
  </w:abstractNum>
  <w:abstractNum w:abstractNumId="17" w15:restartNumberingAfterBreak="0">
    <w:nsid w:val="63A333C3"/>
    <w:multiLevelType w:val="hybridMultilevel"/>
    <w:tmpl w:val="06D6B068"/>
    <w:lvl w:ilvl="0" w:tplc="FCA02D0A">
      <w:start w:val="1"/>
      <w:numFmt w:val="none"/>
      <w:lvlText w:val=""/>
      <w:lvlJc w:val="left"/>
      <w:pPr>
        <w:tabs>
          <w:tab w:val="num" w:pos="720"/>
        </w:tabs>
        <w:ind w:left="360" w:firstLine="0"/>
      </w:pPr>
      <w:rPr>
        <w:rFonts w:ascii="Georgia" w:eastAsia="Georgia" w:hAnsi="Georgia" w:cs="Georgia"/>
      </w:rPr>
    </w:lvl>
    <w:lvl w:ilvl="1" w:tplc="220EF0A2">
      <w:numFmt w:val="decimal"/>
      <w:lvlText w:val=""/>
      <w:lvlJc w:val="left"/>
    </w:lvl>
    <w:lvl w:ilvl="2" w:tplc="292CC3AC">
      <w:numFmt w:val="decimal"/>
      <w:lvlText w:val=""/>
      <w:lvlJc w:val="left"/>
    </w:lvl>
    <w:lvl w:ilvl="3" w:tplc="5346106A">
      <w:numFmt w:val="decimal"/>
      <w:lvlText w:val=""/>
      <w:lvlJc w:val="left"/>
    </w:lvl>
    <w:lvl w:ilvl="4" w:tplc="17462B2E">
      <w:numFmt w:val="decimal"/>
      <w:lvlText w:val=""/>
      <w:lvlJc w:val="left"/>
    </w:lvl>
    <w:lvl w:ilvl="5" w:tplc="CAF015C0">
      <w:numFmt w:val="decimal"/>
      <w:lvlText w:val=""/>
      <w:lvlJc w:val="left"/>
    </w:lvl>
    <w:lvl w:ilvl="6" w:tplc="C9729D8E">
      <w:numFmt w:val="decimal"/>
      <w:lvlText w:val=""/>
      <w:lvlJc w:val="left"/>
    </w:lvl>
    <w:lvl w:ilvl="7" w:tplc="D534B30E">
      <w:numFmt w:val="decimal"/>
      <w:lvlText w:val=""/>
      <w:lvlJc w:val="left"/>
    </w:lvl>
    <w:lvl w:ilvl="8" w:tplc="C2747220">
      <w:numFmt w:val="decimal"/>
      <w:lvlText w:val=""/>
      <w:lvlJc w:val="left"/>
    </w:lvl>
  </w:abstractNum>
  <w:abstractNum w:abstractNumId="18" w15:restartNumberingAfterBreak="0">
    <w:nsid w:val="67654948"/>
    <w:multiLevelType w:val="hybridMultilevel"/>
    <w:tmpl w:val="1A105B04"/>
    <w:lvl w:ilvl="0" w:tplc="187CB9C2">
      <w:start w:val="1"/>
      <w:numFmt w:val="none"/>
      <w:lvlText w:val=""/>
      <w:lvlJc w:val="left"/>
      <w:pPr>
        <w:tabs>
          <w:tab w:val="num" w:pos="720"/>
        </w:tabs>
        <w:ind w:left="360" w:firstLine="0"/>
      </w:pPr>
      <w:rPr>
        <w:rFonts w:ascii="Georgia" w:eastAsia="Georgia" w:hAnsi="Georgia" w:cs="Georgia"/>
      </w:rPr>
    </w:lvl>
    <w:lvl w:ilvl="1" w:tplc="CA9A0606">
      <w:numFmt w:val="decimal"/>
      <w:lvlText w:val=""/>
      <w:lvlJc w:val="left"/>
    </w:lvl>
    <w:lvl w:ilvl="2" w:tplc="7A4C3804">
      <w:numFmt w:val="decimal"/>
      <w:lvlText w:val=""/>
      <w:lvlJc w:val="left"/>
    </w:lvl>
    <w:lvl w:ilvl="3" w:tplc="3EE2DDD6">
      <w:numFmt w:val="decimal"/>
      <w:lvlText w:val=""/>
      <w:lvlJc w:val="left"/>
    </w:lvl>
    <w:lvl w:ilvl="4" w:tplc="DF0A1B7E">
      <w:numFmt w:val="decimal"/>
      <w:lvlText w:val=""/>
      <w:lvlJc w:val="left"/>
    </w:lvl>
    <w:lvl w:ilvl="5" w:tplc="05E6AD54">
      <w:numFmt w:val="decimal"/>
      <w:lvlText w:val=""/>
      <w:lvlJc w:val="left"/>
    </w:lvl>
    <w:lvl w:ilvl="6" w:tplc="FCB8D602">
      <w:numFmt w:val="decimal"/>
      <w:lvlText w:val=""/>
      <w:lvlJc w:val="left"/>
    </w:lvl>
    <w:lvl w:ilvl="7" w:tplc="87FC56B8">
      <w:numFmt w:val="decimal"/>
      <w:lvlText w:val=""/>
      <w:lvlJc w:val="left"/>
    </w:lvl>
    <w:lvl w:ilvl="8" w:tplc="25C0AD38">
      <w:numFmt w:val="decimal"/>
      <w:lvlText w:val=""/>
      <w:lvlJc w:val="left"/>
    </w:lvl>
  </w:abstractNum>
  <w:abstractNum w:abstractNumId="19" w15:restartNumberingAfterBreak="0">
    <w:nsid w:val="6B3D4E45"/>
    <w:multiLevelType w:val="hybridMultilevel"/>
    <w:tmpl w:val="08C0F59E"/>
    <w:lvl w:ilvl="0" w:tplc="6B786058">
      <w:numFmt w:val="decimal"/>
      <w:lvlText w:val=""/>
      <w:lvlJc w:val="left"/>
    </w:lvl>
    <w:lvl w:ilvl="1" w:tplc="94CCF170">
      <w:numFmt w:val="decimal"/>
      <w:lvlText w:val=""/>
      <w:lvlJc w:val="left"/>
    </w:lvl>
    <w:lvl w:ilvl="2" w:tplc="E09EC876">
      <w:numFmt w:val="decimal"/>
      <w:lvlText w:val=""/>
      <w:lvlJc w:val="left"/>
    </w:lvl>
    <w:lvl w:ilvl="3" w:tplc="E464744C">
      <w:numFmt w:val="decimal"/>
      <w:lvlText w:val=""/>
      <w:lvlJc w:val="left"/>
    </w:lvl>
    <w:lvl w:ilvl="4" w:tplc="1DE408D2">
      <w:numFmt w:val="decimal"/>
      <w:lvlText w:val=""/>
      <w:lvlJc w:val="left"/>
    </w:lvl>
    <w:lvl w:ilvl="5" w:tplc="CB4A55D0">
      <w:numFmt w:val="decimal"/>
      <w:lvlText w:val=""/>
      <w:lvlJc w:val="left"/>
    </w:lvl>
    <w:lvl w:ilvl="6" w:tplc="68144958">
      <w:numFmt w:val="decimal"/>
      <w:lvlText w:val=""/>
      <w:lvlJc w:val="left"/>
    </w:lvl>
    <w:lvl w:ilvl="7" w:tplc="40627382">
      <w:numFmt w:val="decimal"/>
      <w:lvlText w:val=""/>
      <w:lvlJc w:val="left"/>
    </w:lvl>
    <w:lvl w:ilvl="8" w:tplc="B1605A5C">
      <w:numFmt w:val="decimal"/>
      <w:lvlText w:val=""/>
      <w:lvlJc w:val="left"/>
    </w:lvl>
  </w:abstractNum>
  <w:abstractNum w:abstractNumId="20" w15:restartNumberingAfterBreak="0">
    <w:nsid w:val="6EFA2DD2"/>
    <w:multiLevelType w:val="hybridMultilevel"/>
    <w:tmpl w:val="2F0C6BD2"/>
    <w:lvl w:ilvl="0" w:tplc="CA223456">
      <w:start w:val="1"/>
      <w:numFmt w:val="none"/>
      <w:lvlText w:val=""/>
      <w:lvlJc w:val="left"/>
      <w:pPr>
        <w:tabs>
          <w:tab w:val="num" w:pos="720"/>
        </w:tabs>
        <w:ind w:left="360" w:firstLine="0"/>
      </w:pPr>
      <w:rPr>
        <w:rFonts w:ascii="Georgia" w:eastAsia="Georgia" w:hAnsi="Georgia" w:cs="Georgia"/>
      </w:rPr>
    </w:lvl>
    <w:lvl w:ilvl="1" w:tplc="395E5674">
      <w:numFmt w:val="decimal"/>
      <w:lvlText w:val=""/>
      <w:lvlJc w:val="left"/>
    </w:lvl>
    <w:lvl w:ilvl="2" w:tplc="F2F081B8">
      <w:numFmt w:val="decimal"/>
      <w:lvlText w:val=""/>
      <w:lvlJc w:val="left"/>
    </w:lvl>
    <w:lvl w:ilvl="3" w:tplc="EA0C8888">
      <w:numFmt w:val="decimal"/>
      <w:lvlText w:val=""/>
      <w:lvlJc w:val="left"/>
    </w:lvl>
    <w:lvl w:ilvl="4" w:tplc="57028308">
      <w:numFmt w:val="decimal"/>
      <w:lvlText w:val=""/>
      <w:lvlJc w:val="left"/>
    </w:lvl>
    <w:lvl w:ilvl="5" w:tplc="34D67906">
      <w:numFmt w:val="decimal"/>
      <w:lvlText w:val=""/>
      <w:lvlJc w:val="left"/>
    </w:lvl>
    <w:lvl w:ilvl="6" w:tplc="59E055CA">
      <w:numFmt w:val="decimal"/>
      <w:lvlText w:val=""/>
      <w:lvlJc w:val="left"/>
    </w:lvl>
    <w:lvl w:ilvl="7" w:tplc="794243EE">
      <w:numFmt w:val="decimal"/>
      <w:lvlText w:val=""/>
      <w:lvlJc w:val="left"/>
    </w:lvl>
    <w:lvl w:ilvl="8" w:tplc="511E72E8">
      <w:numFmt w:val="decimal"/>
      <w:lvlText w:val=""/>
      <w:lvlJc w:val="left"/>
    </w:lvl>
  </w:abstractNum>
  <w:abstractNum w:abstractNumId="21" w15:restartNumberingAfterBreak="0">
    <w:nsid w:val="707C2081"/>
    <w:multiLevelType w:val="hybridMultilevel"/>
    <w:tmpl w:val="377E68CA"/>
    <w:lvl w:ilvl="0" w:tplc="AE240FF0">
      <w:start w:val="1"/>
      <w:numFmt w:val="none"/>
      <w:lvlText w:val=""/>
      <w:lvlJc w:val="left"/>
      <w:pPr>
        <w:tabs>
          <w:tab w:val="num" w:pos="720"/>
        </w:tabs>
        <w:ind w:left="360" w:firstLine="0"/>
      </w:pPr>
      <w:rPr>
        <w:rFonts w:ascii="Georgia" w:eastAsia="Georgia" w:hAnsi="Georgia" w:cs="Georgia"/>
      </w:rPr>
    </w:lvl>
    <w:lvl w:ilvl="1" w:tplc="BFF817F2">
      <w:numFmt w:val="decimal"/>
      <w:lvlText w:val=""/>
      <w:lvlJc w:val="left"/>
    </w:lvl>
    <w:lvl w:ilvl="2" w:tplc="2534C55C">
      <w:numFmt w:val="decimal"/>
      <w:lvlText w:val=""/>
      <w:lvlJc w:val="left"/>
    </w:lvl>
    <w:lvl w:ilvl="3" w:tplc="E68E683E">
      <w:numFmt w:val="decimal"/>
      <w:lvlText w:val=""/>
      <w:lvlJc w:val="left"/>
    </w:lvl>
    <w:lvl w:ilvl="4" w:tplc="78363656">
      <w:numFmt w:val="decimal"/>
      <w:lvlText w:val=""/>
      <w:lvlJc w:val="left"/>
    </w:lvl>
    <w:lvl w:ilvl="5" w:tplc="CB6CA9DA">
      <w:numFmt w:val="decimal"/>
      <w:lvlText w:val=""/>
      <w:lvlJc w:val="left"/>
    </w:lvl>
    <w:lvl w:ilvl="6" w:tplc="96F26476">
      <w:numFmt w:val="decimal"/>
      <w:lvlText w:val=""/>
      <w:lvlJc w:val="left"/>
    </w:lvl>
    <w:lvl w:ilvl="7" w:tplc="707C9D84">
      <w:numFmt w:val="decimal"/>
      <w:lvlText w:val=""/>
      <w:lvlJc w:val="left"/>
    </w:lvl>
    <w:lvl w:ilvl="8" w:tplc="3A38073C">
      <w:numFmt w:val="decimal"/>
      <w:lvlText w:val=""/>
      <w:lvlJc w:val="left"/>
    </w:lvl>
  </w:abstractNum>
  <w:abstractNum w:abstractNumId="22" w15:restartNumberingAfterBreak="0">
    <w:nsid w:val="74315F15"/>
    <w:multiLevelType w:val="hybridMultilevel"/>
    <w:tmpl w:val="D83CF20A"/>
    <w:lvl w:ilvl="0" w:tplc="15386A36">
      <w:start w:val="1"/>
      <w:numFmt w:val="decimal"/>
      <w:lvlText w:val="%1."/>
      <w:lvlJc w:val="left"/>
      <w:pPr>
        <w:tabs>
          <w:tab w:val="num" w:pos="1080"/>
        </w:tabs>
        <w:ind w:left="720" w:hanging="360"/>
      </w:pPr>
    </w:lvl>
    <w:lvl w:ilvl="1" w:tplc="F968D01C">
      <w:numFmt w:val="decimal"/>
      <w:lvlText w:val=""/>
      <w:lvlJc w:val="left"/>
    </w:lvl>
    <w:lvl w:ilvl="2" w:tplc="4D089E2C">
      <w:numFmt w:val="decimal"/>
      <w:lvlText w:val=""/>
      <w:lvlJc w:val="left"/>
    </w:lvl>
    <w:lvl w:ilvl="3" w:tplc="8F149F58">
      <w:numFmt w:val="decimal"/>
      <w:lvlText w:val=""/>
      <w:lvlJc w:val="left"/>
    </w:lvl>
    <w:lvl w:ilvl="4" w:tplc="8A6A7CFE">
      <w:numFmt w:val="decimal"/>
      <w:lvlText w:val=""/>
      <w:lvlJc w:val="left"/>
    </w:lvl>
    <w:lvl w:ilvl="5" w:tplc="9C9E054C">
      <w:numFmt w:val="decimal"/>
      <w:lvlText w:val=""/>
      <w:lvlJc w:val="left"/>
    </w:lvl>
    <w:lvl w:ilvl="6" w:tplc="83FCBF96">
      <w:numFmt w:val="decimal"/>
      <w:lvlText w:val=""/>
      <w:lvlJc w:val="left"/>
    </w:lvl>
    <w:lvl w:ilvl="7" w:tplc="70944A08">
      <w:numFmt w:val="decimal"/>
      <w:lvlText w:val=""/>
      <w:lvlJc w:val="left"/>
    </w:lvl>
    <w:lvl w:ilvl="8" w:tplc="A8D696EC">
      <w:numFmt w:val="decimal"/>
      <w:lvlText w:val=""/>
      <w:lvlJc w:val="left"/>
    </w:lvl>
  </w:abstractNum>
  <w:abstractNum w:abstractNumId="23" w15:restartNumberingAfterBreak="0">
    <w:nsid w:val="7A3169A3"/>
    <w:multiLevelType w:val="hybridMultilevel"/>
    <w:tmpl w:val="9DB820E4"/>
    <w:lvl w:ilvl="0" w:tplc="3C8C5A18">
      <w:numFmt w:val="decimal"/>
      <w:lvlText w:val=""/>
      <w:lvlJc w:val="left"/>
    </w:lvl>
    <w:lvl w:ilvl="1" w:tplc="B6521FDA">
      <w:numFmt w:val="decimal"/>
      <w:lvlText w:val=""/>
      <w:lvlJc w:val="left"/>
    </w:lvl>
    <w:lvl w:ilvl="2" w:tplc="76A2CA74">
      <w:numFmt w:val="decimal"/>
      <w:lvlText w:val=""/>
      <w:lvlJc w:val="left"/>
    </w:lvl>
    <w:lvl w:ilvl="3" w:tplc="7436B212">
      <w:numFmt w:val="decimal"/>
      <w:lvlText w:val=""/>
      <w:lvlJc w:val="left"/>
    </w:lvl>
    <w:lvl w:ilvl="4" w:tplc="0010AF50">
      <w:numFmt w:val="decimal"/>
      <w:lvlText w:val=""/>
      <w:lvlJc w:val="left"/>
    </w:lvl>
    <w:lvl w:ilvl="5" w:tplc="1D50FFBE">
      <w:numFmt w:val="decimal"/>
      <w:lvlText w:val=""/>
      <w:lvlJc w:val="left"/>
    </w:lvl>
    <w:lvl w:ilvl="6" w:tplc="D2165254">
      <w:numFmt w:val="decimal"/>
      <w:lvlText w:val=""/>
      <w:lvlJc w:val="left"/>
    </w:lvl>
    <w:lvl w:ilvl="7" w:tplc="BE36AD84">
      <w:numFmt w:val="decimal"/>
      <w:lvlText w:val=""/>
      <w:lvlJc w:val="left"/>
    </w:lvl>
    <w:lvl w:ilvl="8" w:tplc="406CEA8E">
      <w:numFmt w:val="decimal"/>
      <w:lvlText w:val=""/>
      <w:lvlJc w:val="left"/>
    </w:lvl>
  </w:abstractNum>
  <w:abstractNum w:abstractNumId="24" w15:restartNumberingAfterBreak="0">
    <w:nsid w:val="7ED80914"/>
    <w:multiLevelType w:val="hybridMultilevel"/>
    <w:tmpl w:val="047671DC"/>
    <w:lvl w:ilvl="0" w:tplc="8FECEB16">
      <w:start w:val="5"/>
      <w:numFmt w:val="decimal"/>
      <w:lvlText w:val="%1."/>
      <w:lvlJc w:val="left"/>
      <w:pPr>
        <w:tabs>
          <w:tab w:val="num" w:pos="1080"/>
        </w:tabs>
        <w:ind w:left="720" w:hanging="360"/>
      </w:pPr>
    </w:lvl>
    <w:lvl w:ilvl="1" w:tplc="6BAC03C0">
      <w:numFmt w:val="decimal"/>
      <w:lvlText w:val=""/>
      <w:lvlJc w:val="left"/>
    </w:lvl>
    <w:lvl w:ilvl="2" w:tplc="432EA642">
      <w:numFmt w:val="decimal"/>
      <w:lvlText w:val=""/>
      <w:lvlJc w:val="left"/>
    </w:lvl>
    <w:lvl w:ilvl="3" w:tplc="DF0ED246">
      <w:numFmt w:val="decimal"/>
      <w:lvlText w:val=""/>
      <w:lvlJc w:val="left"/>
    </w:lvl>
    <w:lvl w:ilvl="4" w:tplc="4DFC516A">
      <w:numFmt w:val="decimal"/>
      <w:lvlText w:val=""/>
      <w:lvlJc w:val="left"/>
    </w:lvl>
    <w:lvl w:ilvl="5" w:tplc="E03A8A62">
      <w:numFmt w:val="decimal"/>
      <w:lvlText w:val=""/>
      <w:lvlJc w:val="left"/>
    </w:lvl>
    <w:lvl w:ilvl="6" w:tplc="56D0C3C2">
      <w:numFmt w:val="decimal"/>
      <w:lvlText w:val=""/>
      <w:lvlJc w:val="left"/>
    </w:lvl>
    <w:lvl w:ilvl="7" w:tplc="627E08E2">
      <w:numFmt w:val="decimal"/>
      <w:lvlText w:val=""/>
      <w:lvlJc w:val="left"/>
    </w:lvl>
    <w:lvl w:ilvl="8" w:tplc="362CA774">
      <w:numFmt w:val="decimal"/>
      <w:lvlText w:val=""/>
      <w:lvlJc w:val="left"/>
    </w:lvl>
  </w:abstractNum>
  <w:num w:numId="1" w16cid:durableId="1980912530">
    <w:abstractNumId w:val="7"/>
  </w:num>
  <w:num w:numId="2" w16cid:durableId="1902204975">
    <w:abstractNumId w:val="8"/>
  </w:num>
  <w:num w:numId="3" w16cid:durableId="2030375102">
    <w:abstractNumId w:val="23"/>
  </w:num>
  <w:num w:numId="4" w16cid:durableId="1070805901">
    <w:abstractNumId w:val="22"/>
  </w:num>
  <w:num w:numId="5" w16cid:durableId="470832796">
    <w:abstractNumId w:val="1"/>
  </w:num>
  <w:num w:numId="6" w16cid:durableId="1729256706">
    <w:abstractNumId w:val="24"/>
  </w:num>
  <w:num w:numId="7" w16cid:durableId="1361663776">
    <w:abstractNumId w:val="2"/>
  </w:num>
  <w:num w:numId="8" w16cid:durableId="1165972567">
    <w:abstractNumId w:val="6"/>
  </w:num>
  <w:num w:numId="9" w16cid:durableId="1853101713">
    <w:abstractNumId w:val="21"/>
  </w:num>
  <w:num w:numId="10" w16cid:durableId="538779293">
    <w:abstractNumId w:val="16"/>
  </w:num>
  <w:num w:numId="11" w16cid:durableId="281233144">
    <w:abstractNumId w:val="19"/>
  </w:num>
  <w:num w:numId="12" w16cid:durableId="1457214472">
    <w:abstractNumId w:val="17"/>
  </w:num>
  <w:num w:numId="13" w16cid:durableId="1607421732">
    <w:abstractNumId w:val="13"/>
  </w:num>
  <w:num w:numId="14" w16cid:durableId="1814178423">
    <w:abstractNumId w:val="18"/>
  </w:num>
  <w:num w:numId="15" w16cid:durableId="1153641008">
    <w:abstractNumId w:val="20"/>
  </w:num>
  <w:num w:numId="16" w16cid:durableId="218060540">
    <w:abstractNumId w:val="15"/>
  </w:num>
  <w:num w:numId="17" w16cid:durableId="40325134">
    <w:abstractNumId w:val="4"/>
  </w:num>
  <w:num w:numId="18" w16cid:durableId="410201458">
    <w:abstractNumId w:val="11"/>
  </w:num>
  <w:num w:numId="19" w16cid:durableId="504633021">
    <w:abstractNumId w:val="0"/>
  </w:num>
  <w:num w:numId="20" w16cid:durableId="1469322436">
    <w:abstractNumId w:val="10"/>
  </w:num>
  <w:num w:numId="21" w16cid:durableId="1285699414">
    <w:abstractNumId w:val="3"/>
  </w:num>
  <w:num w:numId="22" w16cid:durableId="1455980511">
    <w:abstractNumId w:val="9"/>
  </w:num>
  <w:num w:numId="23" w16cid:durableId="34043148">
    <w:abstractNumId w:val="14"/>
  </w:num>
  <w:num w:numId="24" w16cid:durableId="1791390744">
    <w:abstractNumId w:val="5"/>
  </w:num>
  <w:num w:numId="25" w16cid:durableId="7933267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sjQ2NDYyNTY0tTRR0lEKTi0uzszPAykwrAUAwJyrLywAAAA="/>
  </w:docVars>
  <w:rsids>
    <w:rsidRoot w:val="00FE3703"/>
    <w:rsid w:val="00326151"/>
    <w:rsid w:val="003A6CA3"/>
    <w:rsid w:val="005405D4"/>
    <w:rsid w:val="0063214A"/>
    <w:rsid w:val="00721728"/>
    <w:rsid w:val="00920072"/>
    <w:rsid w:val="009C16F4"/>
    <w:rsid w:val="00A81374"/>
    <w:rsid w:val="00AF5AF3"/>
    <w:rsid w:val="00BD06DC"/>
    <w:rsid w:val="00CF2625"/>
    <w:rsid w:val="00D6292C"/>
    <w:rsid w:val="00D75BE9"/>
    <w:rsid w:val="00E411CE"/>
    <w:rsid w:val="00ED4E21"/>
    <w:rsid w:val="00F204D9"/>
    <w:rsid w:val="00FB42CF"/>
    <w:rsid w:val="00FE37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96B38"/>
  <w15:docId w15:val="{7C016BE2-E77E-4F1F-AB7E-3D4E9BB6A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2"/>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 w:type="table" w:customStyle="1" w:styleId="NormalGrid">
    <w:name w:val="Normal Grid"/>
    <w:basedOn w:val="TableNormal"/>
    <w:uiPriority w:val="39"/>
    <w:pPr>
      <w:spacing w:after="0" w:line="240" w:lineRule="auto"/>
    </w:pPr>
    <w:tblPr>
      <w:tblCellMar>
        <w:top w:w="80" w:type="dxa"/>
        <w:left w:w="160" w:type="dxa"/>
        <w:bottom w:w="80" w:type="dxa"/>
        <w:right w:w="160" w:type="dxa"/>
      </w:tblCellMar>
    </w:tblPr>
  </w:style>
  <w:style w:type="character" w:styleId="Hyperlink">
    <w:name w:val="Hyperlink"/>
    <w:basedOn w:val="DefaultParagraphFont"/>
    <w:uiPriority w:val="99"/>
    <w:semiHidden/>
    <w:unhideWhenUsed/>
    <w:rsid w:val="00BD06DC"/>
    <w:rPr>
      <w:color w:val="0000FF"/>
      <w:u w:val="single"/>
    </w:rPr>
  </w:style>
  <w:style w:type="paragraph" w:styleId="Header">
    <w:name w:val="header"/>
    <w:basedOn w:val="Normal"/>
    <w:link w:val="HeaderChar"/>
    <w:uiPriority w:val="99"/>
    <w:unhideWhenUsed/>
    <w:rsid w:val="00AF5AF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5AF3"/>
  </w:style>
  <w:style w:type="paragraph" w:styleId="Footer">
    <w:name w:val="footer"/>
    <w:basedOn w:val="Normal"/>
    <w:link w:val="FooterChar"/>
    <w:uiPriority w:val="99"/>
    <w:unhideWhenUsed/>
    <w:rsid w:val="00AF5AF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5AF3"/>
  </w:style>
  <w:style w:type="paragraph" w:styleId="ListParagraph">
    <w:name w:val="List Paragraph"/>
    <w:basedOn w:val="Normal"/>
    <w:uiPriority w:val="34"/>
    <w:qFormat/>
    <w:rsid w:val="00D6292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doi.org/10.1016/j.infpip.2024.100345?utm_source=chatgpt.com" TargetMode="External"/><Relationship Id="rId18" Type="http://schemas.openxmlformats.org/officeDocument/2006/relationships/hyperlink" Target="https://doi.org/10.56557/jodagh/2023/v16i38434?utm_source=chatgpt.com"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2.xml"/><Relationship Id="rId7" Type="http://schemas.openxmlformats.org/officeDocument/2006/relationships/image" Target="media/image1.jpg"/><Relationship Id="rId12" Type="http://schemas.openxmlformats.org/officeDocument/2006/relationships/hyperlink" Target="https://doi.org/10.1016/j.idm.2024.01.004?utm_source=chatgpt.com" TargetMode="External"/><Relationship Id="rId17" Type="http://schemas.openxmlformats.org/officeDocument/2006/relationships/hyperlink" Target="https://doi.org/10.1016/j.health.2023.100281?utm_source=chatgpt.com" TargetMode="External"/><Relationship Id="rId25"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https://doi.org/10.3390/sym14102000?utm_source=chatgpt.com"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07/BF00178324?utm_source=chatgpt.com" TargetMode="External"/><Relationship Id="rId24"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https://doi.org/10.9734/ijtdh/2024/v45i121613?utm_source=chatgpt.com" TargetMode="External"/><Relationship Id="rId23" Type="http://schemas.openxmlformats.org/officeDocument/2006/relationships/footer" Target="footer2.xml"/><Relationship Id="rId10" Type="http://schemas.openxmlformats.org/officeDocument/2006/relationships/hyperlink" Target="https://doi.org/10.1093/oso/9780198545996.001.0001?utm_source=chatgpt.com" TargetMode="External"/><Relationship Id="rId19" Type="http://schemas.openxmlformats.org/officeDocument/2006/relationships/hyperlink" Target="https://doi.org/10.4314/jasem.v22i4.1?utm_source=chatgpt.com" TargetMode="External"/><Relationship Id="rId4" Type="http://schemas.openxmlformats.org/officeDocument/2006/relationships/webSettings" Target="webSettings.xml"/><Relationship Id="rId9" Type="http://schemas.openxmlformats.org/officeDocument/2006/relationships/hyperlink" Target="https://doi.org/10.1007/s40819-021-01014-5?utm_source=chatgpt.com" TargetMode="External"/><Relationship Id="rId14" Type="http://schemas.openxmlformats.org/officeDocument/2006/relationships/hyperlink" Target="https://doi.org/10.1137/S0036144500371907?utm_source=chatgpt.com" TargetMode="External"/><Relationship Id="rId22" Type="http://schemas.openxmlformats.org/officeDocument/2006/relationships/footer" Target="footer1.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19</Pages>
  <Words>4036</Words>
  <Characters>23006</Characters>
  <Application>Microsoft Office Word</Application>
  <DocSecurity>0</DocSecurity>
  <Lines>191</Lines>
  <Paragraphs>53</Paragraphs>
  <ScaleCrop>false</ScaleCrop>
  <Company/>
  <LinksUpToDate>false</LinksUpToDate>
  <CharactersWithSpaces>26989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Editor-90</cp:lastModifiedBy>
  <cp:revision>8</cp:revision>
  <dcterms:created xsi:type="dcterms:W3CDTF">2026-08-31T02:48:00Z</dcterms:created>
  <dcterms:modified xsi:type="dcterms:W3CDTF">2026-09-11T12:59:00Z</dcterms:modified>
</cp:coreProperties>
</file>