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C9376E" w14:textId="77777777" w:rsidR="004C1DFF" w:rsidRPr="004C1DFF" w:rsidRDefault="004C1DFF" w:rsidP="00A82B47">
      <w:pPr>
        <w:widowControl/>
        <w:suppressAutoHyphens w:val="0"/>
        <w:jc w:val="both"/>
        <w:rPr>
          <w:rFonts w:ascii="Cambria" w:eastAsia="Times New Roman" w:hAnsi="Cambria" w:cs="Calibri"/>
          <w:color w:val="000000"/>
          <w:sz w:val="20"/>
          <w:szCs w:val="20"/>
          <w:lang w:val="en-IN" w:eastAsia="en-IN" w:bidi="ar-SA"/>
        </w:rPr>
      </w:pPr>
      <w:r w:rsidRPr="004C1DFF">
        <w:rPr>
          <w:rFonts w:ascii="Cambria" w:eastAsia="Times New Roman" w:hAnsi="Cambria" w:cs="Calibri"/>
          <w:color w:val="000000"/>
          <w:sz w:val="20"/>
          <w:szCs w:val="20"/>
          <w:lang w:val="en-IN" w:eastAsia="en-IN" w:bidi="ar-SA"/>
        </w:rPr>
        <w:t>Short Research Article</w:t>
      </w:r>
    </w:p>
    <w:p w14:paraId="5D76DBDB" w14:textId="2BD59D2E" w:rsidR="00BB3BB3" w:rsidRDefault="00604A22" w:rsidP="00A82B47">
      <w:pPr>
        <w:pStyle w:val="Heading1"/>
        <w:jc w:val="both"/>
      </w:pPr>
      <w:r>
        <w:t>Testing the Assumptions of Geometric Brownian Motion Using Nairobi Securities Exchange Returns</w:t>
      </w:r>
    </w:p>
    <w:p w14:paraId="3CFBA7A2" w14:textId="77777777" w:rsidR="00113A4C" w:rsidRPr="00113A4C" w:rsidRDefault="00113A4C" w:rsidP="00A82B47">
      <w:pPr>
        <w:pStyle w:val="BodyText"/>
        <w:jc w:val="both"/>
      </w:pPr>
    </w:p>
    <w:p w14:paraId="2CDD4166" w14:textId="77777777" w:rsidR="005A702B" w:rsidRDefault="005A702B" w:rsidP="00A82B47">
      <w:pPr>
        <w:pStyle w:val="BodyText"/>
        <w:jc w:val="both"/>
        <w:rPr>
          <w:b/>
        </w:rPr>
      </w:pPr>
    </w:p>
    <w:p w14:paraId="5C0E2D30" w14:textId="77777777" w:rsidR="00E35808" w:rsidRDefault="00E35808" w:rsidP="00A82B47">
      <w:pPr>
        <w:pStyle w:val="BodyText"/>
        <w:jc w:val="both"/>
      </w:pPr>
    </w:p>
    <w:p w14:paraId="27CC5A2F" w14:textId="77777777" w:rsidR="00BB3BB3" w:rsidRDefault="00604A22" w:rsidP="00A82B47">
      <w:pPr>
        <w:pStyle w:val="BodyText"/>
        <w:jc w:val="both"/>
      </w:pPr>
      <w:r>
        <w:rPr>
          <w:b/>
        </w:rPr>
        <w:t>ABSTRACT</w:t>
      </w:r>
    </w:p>
    <w:p w14:paraId="65AC7C29" w14:textId="7FA71E05" w:rsidR="00BB3BB3" w:rsidRDefault="00604A22" w:rsidP="00A82B47">
      <w:pPr>
        <w:pStyle w:val="BodyText"/>
        <w:jc w:val="both"/>
      </w:pPr>
      <w:r>
        <w:rPr>
          <w:b/>
        </w:rPr>
        <w:t>Aims:</w:t>
      </w:r>
      <w:r>
        <w:t xml:space="preserve"> </w:t>
      </w:r>
      <w:r w:rsidR="00B75C7B">
        <w:t>This study examines whether stock returns from the Nairobi Securities Exchange 20-Share Index satisfy the main assumptions underlying the Geometric Brownian Motion model.</w:t>
      </w:r>
    </w:p>
    <w:p w14:paraId="25242EDA" w14:textId="77777777" w:rsidR="00BB3BB3" w:rsidRDefault="00604A22" w:rsidP="00A82B47">
      <w:pPr>
        <w:pStyle w:val="BodyText"/>
        <w:jc w:val="both"/>
      </w:pPr>
      <w:r>
        <w:rPr>
          <w:b/>
        </w:rPr>
        <w:t>Study Design:</w:t>
      </w:r>
      <w:r>
        <w:t xml:space="preserve"> Quantitative time-series analysis.</w:t>
      </w:r>
    </w:p>
    <w:p w14:paraId="69E525C8" w14:textId="639ADB49" w:rsidR="00BB3BB3" w:rsidRPr="00B75C7B" w:rsidRDefault="00B75C7B" w:rsidP="00A82B47">
      <w:pPr>
        <w:pStyle w:val="BodyText"/>
        <w:jc w:val="both"/>
        <w:rPr>
          <w:color w:val="00B0F0"/>
        </w:rPr>
      </w:pPr>
      <w:r>
        <w:rPr>
          <w:b/>
        </w:rPr>
        <w:t>Methodology</w:t>
      </w:r>
      <w:r w:rsidR="00604A22">
        <w:rPr>
          <w:b/>
        </w:rPr>
        <w:t>:</w:t>
      </w:r>
      <w:r w:rsidR="00604A22">
        <w:t xml:space="preserve"> </w:t>
      </w:r>
      <w:r>
        <w:t xml:space="preserve">The analysis focuses on weekly and monthly logarithmic returns computed from historical closing prices covering the period from January 2016 to December 2024. After data cleaning and aggregation, the study used approximately 450 weekly observations and 108 monthly observations. The assumptions assessed were stationarity, normality, and independence of returns. Stationarity was examined using visual time-series inspection and the Augmented Dickey-Fuller test. </w:t>
      </w:r>
      <w:r w:rsidR="00604A22">
        <w:t xml:space="preserve">Logarithmic returns ( </w:t>
      </w:r>
      <m:oMath>
        <m:sSub>
          <m:sSubPr>
            <m:ctrlPr>
              <w:rPr>
                <w:rFonts w:ascii="Cambria Math" w:hAnsi="Cambria Math"/>
                <w:i/>
              </w:rPr>
            </m:ctrlPr>
          </m:sSubPr>
          <m:e>
            <m:r>
              <w:rPr>
                <w:rFonts w:ascii="Cambria Math" w:hAnsi="Cambria Math"/>
              </w:rPr>
              <m:t>R</m:t>
            </m:r>
          </m:e>
          <m:sub>
            <m:r>
              <w:rPr>
                <w:rFonts w:ascii="Cambria Math" w:hAnsi="Cambria Math"/>
              </w:rPr>
              <m:t>t</m:t>
            </m:r>
          </m:sub>
        </m:sSub>
        <m:r>
          <w:rPr>
            <w:rFonts w:ascii="Cambria Math" w:hAnsi="Cambria Math"/>
          </w:rPr>
          <m:t xml:space="preserve">= </m:t>
        </m:r>
        <m:f>
          <m:fPr>
            <m:ctrlPr>
              <w:rPr>
                <w:rFonts w:ascii="Cambria Math" w:hAnsi="Cambria Math"/>
                <w:i/>
              </w:rPr>
            </m:ctrlPr>
          </m:fPr>
          <m:num>
            <m:sSub>
              <m:sSubPr>
                <m:ctrlPr>
                  <w:rPr>
                    <w:rFonts w:ascii="Cambria Math" w:hAnsi="Cambria Math"/>
                    <w:i/>
                  </w:rPr>
                </m:ctrlPr>
              </m:sSubPr>
              <m:e>
                <m:func>
                  <m:funcPr>
                    <m:ctrlPr>
                      <w:rPr>
                        <w:rFonts w:ascii="Cambria Math" w:hAnsi="Cambria Math"/>
                        <w:i/>
                      </w:rPr>
                    </m:ctrlPr>
                  </m:funcPr>
                  <m:fName>
                    <m:r>
                      <m:rPr>
                        <m:sty m:val="p"/>
                      </m:rPr>
                      <w:rPr>
                        <w:rFonts w:ascii="Cambria Math" w:hAnsi="Cambria Math"/>
                      </w:rPr>
                      <m:t>ln</m:t>
                    </m:r>
                  </m:fName>
                  <m:e>
                    <m:r>
                      <w:rPr>
                        <w:rFonts w:ascii="Cambria Math" w:hAnsi="Cambria Math"/>
                      </w:rPr>
                      <m:t>S</m:t>
                    </m:r>
                  </m:e>
                </m:func>
              </m:e>
              <m:sub>
                <m:r>
                  <w:rPr>
                    <w:rFonts w:ascii="Cambria Math" w:hAnsi="Cambria Math"/>
                  </w:rPr>
                  <m:t>t</m:t>
                </m:r>
              </m:sub>
            </m:sSub>
          </m:num>
          <m:den>
            <m:sSub>
              <m:sSubPr>
                <m:ctrlPr>
                  <w:rPr>
                    <w:rFonts w:ascii="Cambria Math" w:hAnsi="Cambria Math"/>
                    <w:i/>
                  </w:rPr>
                </m:ctrlPr>
              </m:sSubPr>
              <m:e>
                <m:func>
                  <m:funcPr>
                    <m:ctrlPr>
                      <w:rPr>
                        <w:rFonts w:ascii="Cambria Math" w:hAnsi="Cambria Math"/>
                        <w:i/>
                      </w:rPr>
                    </m:ctrlPr>
                  </m:funcPr>
                  <m:fName>
                    <m:r>
                      <m:rPr>
                        <m:sty m:val="p"/>
                      </m:rPr>
                      <w:rPr>
                        <w:rFonts w:ascii="Cambria Math" w:hAnsi="Cambria Math"/>
                      </w:rPr>
                      <m:t>ln</m:t>
                    </m:r>
                  </m:fName>
                  <m:e>
                    <m:r>
                      <w:rPr>
                        <w:rFonts w:ascii="Cambria Math" w:hAnsi="Cambria Math"/>
                      </w:rPr>
                      <m:t>S</m:t>
                    </m:r>
                  </m:e>
                </m:func>
              </m:e>
              <m:sub>
                <m:r>
                  <w:rPr>
                    <w:rFonts w:ascii="Cambria Math" w:hAnsi="Cambria Math"/>
                  </w:rPr>
                  <m:t>t-1</m:t>
                </m:r>
              </m:sub>
            </m:sSub>
          </m:den>
        </m:f>
      </m:oMath>
      <w:r w:rsidR="00604A22">
        <w:t xml:space="preserve"> ) were computed from weekly and monthly closing prices. Stationarity was tested using time-series plots and the Augmented Dickey-Fuller (ADF) test. </w:t>
      </w:r>
      <w:r>
        <w:t xml:space="preserve"> N</w:t>
      </w:r>
      <w:r w:rsidR="00604A22">
        <w:t xml:space="preserve">ormality was assessed via histograms, Q-Q plots, and the Shapiro-Wilk test. Independence was evaluated using the Ljung-Box test and Hurst exponent </w:t>
      </w:r>
      <w:proofErr w:type="gramStart"/>
      <w:r w:rsidR="00604A22">
        <w:t>analysis</w:t>
      </w:r>
      <w:r w:rsidR="00A00F3E" w:rsidRPr="00A00F3E">
        <w:t>(</w:t>
      </w:r>
      <w:proofErr w:type="gramEnd"/>
      <w:r w:rsidR="00A00F3E" w:rsidRPr="00A00F3E">
        <w:t>Suganthi &amp; Jayalalitha, 2019)</w:t>
      </w:r>
      <w:r w:rsidR="00604A22">
        <w:t>.</w:t>
      </w:r>
    </w:p>
    <w:p w14:paraId="16E75315" w14:textId="5A7EF51F" w:rsidR="00BB3BB3" w:rsidRDefault="00604A22" w:rsidP="00A82B47">
      <w:pPr>
        <w:pStyle w:val="BodyText"/>
        <w:jc w:val="both"/>
      </w:pPr>
      <w:r>
        <w:rPr>
          <w:b/>
        </w:rPr>
        <w:t>Results:</w:t>
      </w:r>
      <w:r>
        <w:t xml:space="preserve"> </w:t>
      </w:r>
      <w:r w:rsidR="00B75C7B">
        <w:t>The results indicate that both weekly and monthly return series are stationary, with Augmented Dickey-Fuller test p-values of 0.01 for both frequencies. The normality results differ by data frequency. Weekly returns do not satisfy the normality assumption, with a Shapiro-Wilk statistic of 0.95935 and a p-value of 3.471 × 10^-11, indicating significant departure from normality. Monthly returns show better agreement with normality, with a Shapiro-Wilk statistic of 0.98122 and a p-value of 0.07754. The Ljung-Box test results provide no evidence of significant serial correlation for either weekly or monthly returns, with p-values of 0.3687 and 0.9342, respectively. The Hurst exponent values, approximately 0.49 for weekly returns and 0.51 for monthly returns, further support behavior close to independence.</w:t>
      </w:r>
    </w:p>
    <w:p w14:paraId="436B15E9" w14:textId="05F30580" w:rsidR="00BB3BB3" w:rsidRDefault="00604A22" w:rsidP="00A82B47">
      <w:pPr>
        <w:pStyle w:val="BodyText"/>
        <w:jc w:val="both"/>
      </w:pPr>
      <w:r>
        <w:rPr>
          <w:b/>
        </w:rPr>
        <w:t>Conclusion:</w:t>
      </w:r>
      <w:r>
        <w:t xml:space="preserve"> </w:t>
      </w:r>
      <w:r w:rsidR="00B75C7B">
        <w:t>Overall, the findings suggest that monthly NSE returns conform more closely to the assumptions of the Geometric Brownian Motion model than weekly returns. The results emphasize the importance of testing model assumptions before applying stochastic models to emerging market data.</w:t>
      </w:r>
    </w:p>
    <w:p w14:paraId="7E3457D8" w14:textId="77777777" w:rsidR="00BB3BB3" w:rsidRDefault="00604A22" w:rsidP="00A82B47">
      <w:pPr>
        <w:pStyle w:val="BodyText"/>
        <w:jc w:val="both"/>
      </w:pPr>
      <w:r>
        <w:rPr>
          <w:b/>
        </w:rPr>
        <w:t>Keywords:</w:t>
      </w:r>
      <w:r>
        <w:t xml:space="preserve"> Geometric Brownian Motion, stock returns, stationarity, normality, independence, Nairobi Securities Exchange, emerging markets, Hurst exponent</w:t>
      </w:r>
    </w:p>
    <w:p w14:paraId="391AEF42" w14:textId="77777777" w:rsidR="00BB3BB3" w:rsidRDefault="00604A22" w:rsidP="00A82B47">
      <w:pPr>
        <w:pStyle w:val="BodyText"/>
        <w:jc w:val="both"/>
      </w:pPr>
      <w:r>
        <w:rPr>
          <w:b/>
        </w:rPr>
        <w:t>1. INTRODUCTION</w:t>
      </w:r>
    </w:p>
    <w:p w14:paraId="596F121E" w14:textId="7DEBA362" w:rsidR="00BB3BB3" w:rsidRDefault="00604A22" w:rsidP="00A82B47">
      <w:pPr>
        <w:pStyle w:val="BodyText"/>
        <w:jc w:val="both"/>
      </w:pPr>
      <w:r>
        <w:t>The Geometric Brownian Motion (GBM) model is one of the most widely used stochastic processes in financial mathematics for modeling stock price dynamics (Suganthi &amp; Jayalalitha, 2019). It is defined by the stochastic differential equation:</w:t>
      </w:r>
    </w:p>
    <w:p w14:paraId="27CA779A" w14:textId="605DCD99" w:rsidR="00AC47F3" w:rsidRDefault="00AC47F3" w:rsidP="00A82B47">
      <w:pPr>
        <w:pStyle w:val="BodyText"/>
        <w:jc w:val="both"/>
      </w:pPr>
      <m:oMathPara>
        <m:oMath>
          <m:r>
            <w:rPr>
              <w:rFonts w:ascii="Cambria Math" w:hAnsi="Cambria Math"/>
            </w:rPr>
            <w:lastRenderedPageBreak/>
            <m:t>d</m:t>
          </m:r>
          <m:sSub>
            <m:sSubPr>
              <m:ctrlPr>
                <w:rPr>
                  <w:rFonts w:ascii="Cambria Math" w:hAnsi="Cambria Math"/>
                  <w:i/>
                </w:rPr>
              </m:ctrlPr>
            </m:sSubPr>
            <m:e>
              <m:r>
                <w:rPr>
                  <w:rFonts w:ascii="Cambria Math" w:hAnsi="Cambria Math"/>
                </w:rPr>
                <m:t>S</m:t>
              </m:r>
            </m:e>
            <m:sub>
              <m:r>
                <w:rPr>
                  <w:rFonts w:ascii="Cambria Math" w:hAnsi="Cambria Math"/>
                </w:rPr>
                <m:t>t</m:t>
              </m:r>
            </m:sub>
          </m:sSub>
          <m:r>
            <w:rPr>
              <w:rFonts w:ascii="Cambria Math" w:hAnsi="Cambria Math"/>
            </w:rPr>
            <m:t>=μ</m:t>
          </m:r>
          <m:sSub>
            <m:sSubPr>
              <m:ctrlPr>
                <w:rPr>
                  <w:rFonts w:ascii="Cambria Math" w:hAnsi="Cambria Math"/>
                  <w:i/>
                </w:rPr>
              </m:ctrlPr>
            </m:sSubPr>
            <m:e>
              <m:r>
                <w:rPr>
                  <w:rFonts w:ascii="Cambria Math" w:hAnsi="Cambria Math"/>
                </w:rPr>
                <m:t>S</m:t>
              </m:r>
            </m:e>
            <m:sub>
              <m:r>
                <w:rPr>
                  <w:rFonts w:ascii="Cambria Math" w:hAnsi="Cambria Math"/>
                </w:rPr>
                <m:t>t</m:t>
              </m:r>
            </m:sub>
          </m:sSub>
          <m:r>
            <w:rPr>
              <w:rFonts w:ascii="Cambria Math" w:hAnsi="Cambria Math"/>
            </w:rPr>
            <m:t>dt+σ</m:t>
          </m:r>
          <m:sSub>
            <m:sSubPr>
              <m:ctrlPr>
                <w:rPr>
                  <w:rFonts w:ascii="Cambria Math" w:hAnsi="Cambria Math"/>
                  <w:i/>
                </w:rPr>
              </m:ctrlPr>
            </m:sSubPr>
            <m:e>
              <m:r>
                <w:rPr>
                  <w:rFonts w:ascii="Cambria Math" w:hAnsi="Cambria Math"/>
                </w:rPr>
                <m:t>S</m:t>
              </m:r>
            </m:e>
            <m:sub>
              <m:r>
                <w:rPr>
                  <w:rFonts w:ascii="Cambria Math" w:hAnsi="Cambria Math"/>
                </w:rPr>
                <m:t>t</m:t>
              </m:r>
            </m:sub>
          </m:sSub>
          <m:r>
            <w:rPr>
              <w:rFonts w:ascii="Cambria Math" w:hAnsi="Cambria Math"/>
            </w:rPr>
            <m:t>d</m:t>
          </m:r>
          <m:sSub>
            <m:sSubPr>
              <m:ctrlPr>
                <w:rPr>
                  <w:rFonts w:ascii="Cambria Math" w:hAnsi="Cambria Math"/>
                  <w:i/>
                </w:rPr>
              </m:ctrlPr>
            </m:sSubPr>
            <m:e>
              <m:r>
                <w:rPr>
                  <w:rFonts w:ascii="Cambria Math" w:hAnsi="Cambria Math"/>
                </w:rPr>
                <m:t>W</m:t>
              </m:r>
            </m:e>
            <m:sub>
              <m:r>
                <w:rPr>
                  <w:rFonts w:ascii="Cambria Math" w:hAnsi="Cambria Math"/>
                </w:rPr>
                <m:t>t</m:t>
              </m:r>
            </m:sub>
          </m:sSub>
        </m:oMath>
      </m:oMathPara>
    </w:p>
    <w:p w14:paraId="1516EFC7" w14:textId="223C15C0" w:rsidR="00BB3BB3" w:rsidRDefault="00604A22" w:rsidP="00A82B47">
      <w:pPr>
        <w:pStyle w:val="BodyText"/>
        <w:jc w:val="both"/>
      </w:pPr>
      <w:r>
        <w:t>where logarithmic returns are assumed to be stationary, independent, and normally distributed (</w:t>
      </w:r>
      <w:proofErr w:type="spellStart"/>
      <w:r>
        <w:t>Quayesam</w:t>
      </w:r>
      <w:proofErr w:type="spellEnd"/>
      <w:r>
        <w:t xml:space="preserve"> et al., 2024).</w:t>
      </w:r>
    </w:p>
    <w:p w14:paraId="332F0764" w14:textId="77777777" w:rsidR="00EB6E1F" w:rsidRDefault="00EB6E1F" w:rsidP="00A82B47">
      <w:pPr>
        <w:pStyle w:val="BodyText"/>
        <w:jc w:val="both"/>
      </w:pPr>
      <w:r>
        <w:t>However, real financial markets often exhibit volatility clustering, fat tails, and serial dependence that may violate these ideal assumptions. Such deviations are particularly common in emerging markets (Mettle et al., 2014). The Nairobi Securities Exchange (NSE), established in 1954, plays a vital role in Kenya’s economy. Nevertheless, it operates under several challenges including liquidity constraints, frequent policy changes, and vulnerability to external economic shocks (</w:t>
      </w:r>
      <w:proofErr w:type="spellStart"/>
      <w:r>
        <w:t>Dabafinance</w:t>
      </w:r>
      <w:proofErr w:type="spellEnd"/>
      <w:r>
        <w:t xml:space="preserve">, 2024; </w:t>
      </w:r>
      <w:proofErr w:type="spellStart"/>
      <w:r>
        <w:t>Philita</w:t>
      </w:r>
      <w:proofErr w:type="spellEnd"/>
      <w:r>
        <w:t>, 2018).</w:t>
      </w:r>
    </w:p>
    <w:p w14:paraId="49CF24A8" w14:textId="77777777" w:rsidR="00EB6E1F" w:rsidRDefault="00EB6E1F" w:rsidP="00A82B47">
      <w:pPr>
        <w:pStyle w:val="BodyText"/>
        <w:jc w:val="both"/>
      </w:pPr>
      <w:r>
        <w:t>Validating the underlying assumptions of stochastic models is therefore essential before their application in real market conditions. Despite the popularity of the GBM model, limited empirical studies have examined its suitability in the East African context. This study empirically tests whether stock returns from the Nairobi Securities Exchange satisfy the core GBM assumptions of stationarity, normality, and independence using both weekly and monthly data.</w:t>
      </w:r>
    </w:p>
    <w:p w14:paraId="1C68D493" w14:textId="250A5701" w:rsidR="00BB3BB3" w:rsidRDefault="00604A22" w:rsidP="00A82B47">
      <w:pPr>
        <w:pStyle w:val="BodyText"/>
        <w:jc w:val="both"/>
      </w:pPr>
      <w:r>
        <w:rPr>
          <w:b/>
        </w:rPr>
        <w:t xml:space="preserve">2. MATERIAL AND METHODS </w:t>
      </w:r>
    </w:p>
    <w:p w14:paraId="7CAFD833" w14:textId="3D00431E" w:rsidR="00BB3BB3" w:rsidRDefault="00604A22" w:rsidP="00A82B47">
      <w:pPr>
        <w:pStyle w:val="BodyText"/>
        <w:jc w:val="both"/>
        <w:rPr>
          <w:color w:val="00B0F0"/>
        </w:rPr>
      </w:pPr>
      <w:r>
        <w:rPr>
          <w:b/>
        </w:rPr>
        <w:t>2.1 Data</w:t>
      </w:r>
    </w:p>
    <w:p w14:paraId="5376EE0A" w14:textId="5168FC4C" w:rsidR="00EE0D8E" w:rsidRPr="00EE0D8E" w:rsidRDefault="00EE0D8E" w:rsidP="00A82B47">
      <w:pPr>
        <w:pStyle w:val="BodyText"/>
        <w:jc w:val="both"/>
        <w:rPr>
          <w:color w:val="00B0F0"/>
        </w:rPr>
      </w:pPr>
      <w:r w:rsidRPr="00EE0D8E">
        <w:rPr>
          <w:color w:val="00B0F0"/>
        </w:rPr>
        <w:t>The study utilized historical closing prices of the Nairobi Securities Exchange (NSE) 20-Share Index, which serves as a benchmark for the overall performance of the Kenyan stock market. Weekly and monthly closing prices were collected from January 2016 to December 2024. This timeframe was deliberately chosen to capture a comprehensive range of market conditions, including periods of economic stability, volatility induced by global events (such as the COVID-19 pandemic), and domestic policy shifts.</w:t>
      </w:r>
    </w:p>
    <w:p w14:paraId="1496CCDA" w14:textId="511A277F" w:rsidR="00EE0D8E" w:rsidRPr="00EE0D8E" w:rsidRDefault="00EE0D8E" w:rsidP="00A82B47">
      <w:pPr>
        <w:pStyle w:val="BodyText"/>
        <w:jc w:val="both"/>
        <w:rPr>
          <w:color w:val="00B0F0"/>
        </w:rPr>
      </w:pPr>
      <w:r w:rsidRPr="00EE0D8E">
        <w:rPr>
          <w:color w:val="00B0F0"/>
        </w:rPr>
        <w:t xml:space="preserve">Data were sourced primarily from the official Nairobi Securities Exchange website and supplemented with Yahoo Finance historical data for the NSE 20 Index (^NSEI) to ensure completeness and accuracy. After cleaning for missing values and non-trading days, the final dataset comprised approximately 450 weekly observations and 108 monthly observations. Logarithmic returns were computed as </w:t>
      </w:r>
      <m:oMath>
        <m:sSub>
          <m:sSubPr>
            <m:ctrlPr>
              <w:rPr>
                <w:rFonts w:ascii="Cambria Math" w:hAnsi="Cambria Math"/>
                <w:color w:val="00B0F0"/>
              </w:rPr>
            </m:ctrlPr>
          </m:sSubPr>
          <m:e>
            <m:r>
              <w:rPr>
                <w:rFonts w:ascii="Cambria Math" w:hAnsi="Cambria Math"/>
                <w:color w:val="00B0F0"/>
              </w:rPr>
              <m:t>r</m:t>
            </m:r>
          </m:e>
          <m:sub>
            <m:r>
              <w:rPr>
                <w:rFonts w:ascii="Cambria Math" w:hAnsi="Cambria Math"/>
                <w:color w:val="00B0F0"/>
              </w:rPr>
              <m:t>t</m:t>
            </m:r>
          </m:sub>
        </m:sSub>
        <m:r>
          <w:rPr>
            <w:rFonts w:ascii="Cambria Math" w:hAnsi="Cambria Math"/>
            <w:color w:val="00B0F0"/>
          </w:rPr>
          <m:t>=</m:t>
        </m:r>
        <m:r>
          <m:rPr>
            <m:sty m:val="p"/>
          </m:rPr>
          <w:rPr>
            <w:rFonts w:ascii="Cambria Math" w:hAnsi="Cambria Math"/>
            <w:color w:val="00B0F0"/>
          </w:rPr>
          <m:t>ln</m:t>
        </m:r>
        <m:r>
          <w:rPr>
            <w:rFonts w:ascii="Cambria Math" w:hAnsi="Cambria Math"/>
            <w:color w:val="00B0F0"/>
          </w:rPr>
          <m:t>⁡</m:t>
        </m:r>
        <m:d>
          <m:dPr>
            <m:ctrlPr>
              <w:rPr>
                <w:rFonts w:ascii="Cambria Math" w:hAnsi="Cambria Math"/>
                <w:color w:val="00B0F0"/>
              </w:rPr>
            </m:ctrlPr>
          </m:dPr>
          <m:e>
            <m:f>
              <m:fPr>
                <m:ctrlPr>
                  <w:rPr>
                    <w:rFonts w:ascii="Cambria Math" w:hAnsi="Cambria Math"/>
                    <w:color w:val="00B0F0"/>
                  </w:rPr>
                </m:ctrlPr>
              </m:fPr>
              <m:num>
                <m:sSub>
                  <m:sSubPr>
                    <m:ctrlPr>
                      <w:rPr>
                        <w:rFonts w:ascii="Cambria Math" w:hAnsi="Cambria Math"/>
                        <w:color w:val="00B0F0"/>
                      </w:rPr>
                    </m:ctrlPr>
                  </m:sSubPr>
                  <m:e>
                    <m:r>
                      <w:rPr>
                        <w:rFonts w:ascii="Cambria Math" w:hAnsi="Cambria Math"/>
                        <w:color w:val="00B0F0"/>
                      </w:rPr>
                      <m:t>P</m:t>
                    </m:r>
                  </m:e>
                  <m:sub>
                    <m:r>
                      <w:rPr>
                        <w:rFonts w:ascii="Cambria Math" w:hAnsi="Cambria Math"/>
                        <w:color w:val="00B0F0"/>
                      </w:rPr>
                      <m:t>t</m:t>
                    </m:r>
                  </m:sub>
                </m:sSub>
              </m:num>
              <m:den>
                <m:sSub>
                  <m:sSubPr>
                    <m:ctrlPr>
                      <w:rPr>
                        <w:rFonts w:ascii="Cambria Math" w:hAnsi="Cambria Math"/>
                        <w:color w:val="00B0F0"/>
                      </w:rPr>
                    </m:ctrlPr>
                  </m:sSubPr>
                  <m:e>
                    <m:r>
                      <w:rPr>
                        <w:rFonts w:ascii="Cambria Math" w:hAnsi="Cambria Math"/>
                        <w:color w:val="00B0F0"/>
                      </w:rPr>
                      <m:t>P</m:t>
                    </m:r>
                  </m:e>
                  <m:sub>
                    <m:r>
                      <w:rPr>
                        <w:rFonts w:ascii="Cambria Math" w:hAnsi="Cambria Math"/>
                        <w:color w:val="00B0F0"/>
                      </w:rPr>
                      <m:t>t-1</m:t>
                    </m:r>
                  </m:sub>
                </m:sSub>
              </m:den>
            </m:f>
          </m:e>
        </m:d>
      </m:oMath>
      <w:r w:rsidRPr="00EE0D8E">
        <w:rPr>
          <w:color w:val="00B0F0"/>
        </w:rPr>
        <w:t xml:space="preserve">, where </w:t>
      </w:r>
      <m:oMath>
        <m:sSub>
          <m:sSubPr>
            <m:ctrlPr>
              <w:rPr>
                <w:rFonts w:ascii="Cambria Math" w:hAnsi="Cambria Math"/>
                <w:color w:val="00B0F0"/>
              </w:rPr>
            </m:ctrlPr>
          </m:sSubPr>
          <m:e>
            <m:r>
              <w:rPr>
                <w:rFonts w:ascii="Cambria Math" w:hAnsi="Cambria Math"/>
                <w:color w:val="00B0F0"/>
              </w:rPr>
              <m:t>P</m:t>
            </m:r>
          </m:e>
          <m:sub>
            <m:r>
              <w:rPr>
                <w:rFonts w:ascii="Cambria Math" w:hAnsi="Cambria Math"/>
                <w:color w:val="00B0F0"/>
              </w:rPr>
              <m:t>t</m:t>
            </m:r>
          </m:sub>
        </m:sSub>
      </m:oMath>
      <w:r w:rsidRPr="00EE0D8E">
        <w:rPr>
          <w:color w:val="00B0F0"/>
        </w:rPr>
        <w:t xml:space="preserve">denotes the closing price at time </w:t>
      </w:r>
      <m:oMath>
        <m:r>
          <w:rPr>
            <w:rFonts w:ascii="Cambria Math" w:hAnsi="Cambria Math"/>
            <w:color w:val="00B0F0"/>
          </w:rPr>
          <m:t>t</m:t>
        </m:r>
      </m:oMath>
      <w:r w:rsidRPr="00EE0D8E">
        <w:rPr>
          <w:color w:val="00B0F0"/>
        </w:rPr>
        <w:t>. This transformation is standard in financial econometrics as it approximates continuously compounded returns and helps stabilize variance.</w:t>
      </w:r>
    </w:p>
    <w:p w14:paraId="1C83F438" w14:textId="77777777" w:rsidR="00EE0D8E" w:rsidRPr="00EE0D8E" w:rsidRDefault="00EE0D8E" w:rsidP="00A82B47">
      <w:pPr>
        <w:pStyle w:val="BodyText"/>
        <w:jc w:val="both"/>
        <w:rPr>
          <w:color w:val="00B0F0"/>
        </w:rPr>
      </w:pPr>
    </w:p>
    <w:p w14:paraId="1EF74C20" w14:textId="4F64CE74" w:rsidR="00EE0D8E" w:rsidRPr="00EE0D8E" w:rsidRDefault="00604A22" w:rsidP="00A82B47">
      <w:pPr>
        <w:pStyle w:val="BodyText"/>
        <w:jc w:val="both"/>
        <w:rPr>
          <w:rFonts w:ascii="Times New Roman" w:hAnsi="Times New Roman" w:cs="Times New Roman"/>
          <w:color w:val="34B2FB" w:themeColor="accent2" w:themeTint="99"/>
        </w:rPr>
      </w:pPr>
      <w:r>
        <w:rPr>
          <w:b/>
        </w:rPr>
        <w:t>2.2 Geometric Brownian Motion Model</w:t>
      </w:r>
      <w:r>
        <w:br/>
      </w:r>
      <w:r w:rsidR="00EE0D8E" w:rsidRPr="00EE0D8E">
        <w:rPr>
          <w:rFonts w:ascii="Times New Roman" w:hAnsi="Times New Roman" w:cs="Times New Roman"/>
          <w:color w:val="34B2FB" w:themeColor="accent2" w:themeTint="99"/>
        </w:rPr>
        <w:t xml:space="preserve">The Geometric Brownian Motion (GBM) is a continuous-time stochastic process widely employed in financial </w:t>
      </w:r>
      <w:r w:rsidR="009321E3">
        <w:rPr>
          <w:rFonts w:ascii="Times New Roman" w:hAnsi="Times New Roman" w:cs="Times New Roman"/>
          <w:color w:val="34B2FB" w:themeColor="accent2" w:themeTint="99"/>
        </w:rPr>
        <w:t>modeling</w:t>
      </w:r>
      <w:r w:rsidR="00EE0D8E" w:rsidRPr="00EE0D8E">
        <w:rPr>
          <w:rFonts w:ascii="Times New Roman" w:hAnsi="Times New Roman" w:cs="Times New Roman"/>
          <w:color w:val="34B2FB" w:themeColor="accent2" w:themeTint="99"/>
        </w:rPr>
        <w:t xml:space="preserve"> for asset price dynamics. It is governed by the stochastic differential equation (SDE):</w:t>
      </w:r>
    </w:p>
    <w:p w14:paraId="10303C72" w14:textId="42AB47D2" w:rsidR="00EE0D8E" w:rsidRPr="00EE0D8E" w:rsidRDefault="00EE0D8E" w:rsidP="00A82B47">
      <w:pPr>
        <w:pStyle w:val="BodyText"/>
        <w:jc w:val="both"/>
        <w:rPr>
          <w:rFonts w:ascii="Times New Roman" w:hAnsi="Times New Roman" w:cs="Times New Roman"/>
          <w:color w:val="34B2FB" w:themeColor="accent2" w:themeTint="99"/>
        </w:rPr>
      </w:pPr>
      <m:oMathPara>
        <m:oMath>
          <m:r>
            <w:rPr>
              <w:rFonts w:ascii="Cambria Math" w:hAnsi="Cambria Math" w:cs="Times New Roman"/>
              <w:color w:val="34B2FB" w:themeColor="accent2" w:themeTint="99"/>
            </w:rPr>
            <m:t>d</m:t>
          </m:r>
          <m:sSub>
            <m:sSubPr>
              <m:ctrlPr>
                <w:rPr>
                  <w:rFonts w:ascii="Cambria Math" w:hAnsi="Cambria Math" w:cs="Times New Roman"/>
                  <w:color w:val="34B2FB" w:themeColor="accent2" w:themeTint="99"/>
                </w:rPr>
              </m:ctrlPr>
            </m:sSubPr>
            <m:e>
              <m:r>
                <w:rPr>
                  <w:rFonts w:ascii="Cambria Math" w:hAnsi="Cambria Math" w:cs="Times New Roman"/>
                  <w:color w:val="34B2FB" w:themeColor="accent2" w:themeTint="99"/>
                </w:rPr>
                <m:t>S</m:t>
              </m:r>
            </m:e>
            <m:sub>
              <m:r>
                <w:rPr>
                  <w:rFonts w:ascii="Cambria Math" w:hAnsi="Cambria Math" w:cs="Times New Roman"/>
                  <w:color w:val="34B2FB" w:themeColor="accent2" w:themeTint="99"/>
                </w:rPr>
                <m:t>t</m:t>
              </m:r>
            </m:sub>
          </m:sSub>
          <m:r>
            <w:rPr>
              <w:rFonts w:ascii="Cambria Math" w:hAnsi="Cambria Math" w:cs="Times New Roman"/>
              <w:color w:val="34B2FB" w:themeColor="accent2" w:themeTint="99"/>
            </w:rPr>
            <m:t>=μ</m:t>
          </m:r>
          <m:sSub>
            <m:sSubPr>
              <m:ctrlPr>
                <w:rPr>
                  <w:rFonts w:ascii="Cambria Math" w:hAnsi="Cambria Math" w:cs="Times New Roman"/>
                  <w:color w:val="34B2FB" w:themeColor="accent2" w:themeTint="99"/>
                </w:rPr>
              </m:ctrlPr>
            </m:sSubPr>
            <m:e>
              <m:r>
                <w:rPr>
                  <w:rFonts w:ascii="Cambria Math" w:hAnsi="Cambria Math" w:cs="Times New Roman"/>
                  <w:color w:val="34B2FB" w:themeColor="accent2" w:themeTint="99"/>
                </w:rPr>
                <m:t>S</m:t>
              </m:r>
            </m:e>
            <m:sub>
              <m:r>
                <w:rPr>
                  <w:rFonts w:ascii="Cambria Math" w:hAnsi="Cambria Math" w:cs="Times New Roman"/>
                  <w:color w:val="34B2FB" w:themeColor="accent2" w:themeTint="99"/>
                </w:rPr>
                <m:t>t</m:t>
              </m:r>
            </m:sub>
          </m:sSub>
          <m:r>
            <w:rPr>
              <w:rFonts w:ascii="Cambria Math" w:hAnsi="Cambria Math" w:cs="Times New Roman"/>
              <w:color w:val="34B2FB" w:themeColor="accent2" w:themeTint="99"/>
            </w:rPr>
            <m:t>dt+σ</m:t>
          </m:r>
          <m:sSub>
            <m:sSubPr>
              <m:ctrlPr>
                <w:rPr>
                  <w:rFonts w:ascii="Cambria Math" w:hAnsi="Cambria Math" w:cs="Times New Roman"/>
                  <w:color w:val="34B2FB" w:themeColor="accent2" w:themeTint="99"/>
                </w:rPr>
              </m:ctrlPr>
            </m:sSubPr>
            <m:e>
              <m:r>
                <w:rPr>
                  <w:rFonts w:ascii="Cambria Math" w:hAnsi="Cambria Math" w:cs="Times New Roman"/>
                  <w:color w:val="34B2FB" w:themeColor="accent2" w:themeTint="99"/>
                </w:rPr>
                <m:t>S</m:t>
              </m:r>
            </m:e>
            <m:sub>
              <m:r>
                <w:rPr>
                  <w:rFonts w:ascii="Cambria Math" w:hAnsi="Cambria Math" w:cs="Times New Roman"/>
                  <w:color w:val="34B2FB" w:themeColor="accent2" w:themeTint="99"/>
                </w:rPr>
                <m:t>t</m:t>
              </m:r>
            </m:sub>
          </m:sSub>
          <m:r>
            <w:rPr>
              <w:rFonts w:ascii="Cambria Math" w:hAnsi="Cambria Math" w:cs="Times New Roman"/>
              <w:color w:val="34B2FB" w:themeColor="accent2" w:themeTint="99"/>
            </w:rPr>
            <m:t>d</m:t>
          </m:r>
          <m:sSub>
            <m:sSubPr>
              <m:ctrlPr>
                <w:rPr>
                  <w:rFonts w:ascii="Cambria Math" w:hAnsi="Cambria Math" w:cs="Times New Roman"/>
                  <w:color w:val="34B2FB" w:themeColor="accent2" w:themeTint="99"/>
                </w:rPr>
              </m:ctrlPr>
            </m:sSubPr>
            <m:e>
              <m:r>
                <w:rPr>
                  <w:rFonts w:ascii="Cambria Math" w:hAnsi="Cambria Math" w:cs="Times New Roman"/>
                  <w:color w:val="34B2FB" w:themeColor="accent2" w:themeTint="99"/>
                </w:rPr>
                <m:t>W</m:t>
              </m:r>
            </m:e>
            <m:sub>
              <m:r>
                <w:rPr>
                  <w:rFonts w:ascii="Cambria Math" w:hAnsi="Cambria Math" w:cs="Times New Roman"/>
                  <w:color w:val="34B2FB" w:themeColor="accent2" w:themeTint="99"/>
                </w:rPr>
                <m:t>t</m:t>
              </m:r>
            </m:sub>
          </m:sSub>
          <m:r>
            <m:rPr>
              <m:sty m:val="p"/>
            </m:rPr>
            <w:rPr>
              <w:rFonts w:ascii="Times New Roman" w:hAnsi="Times New Roman" w:cs="Times New Roman"/>
              <w:color w:val="34B2FB" w:themeColor="accent2" w:themeTint="99"/>
            </w:rPr>
            <w:br/>
          </m:r>
        </m:oMath>
      </m:oMathPara>
    </w:p>
    <w:p w14:paraId="258BAC92" w14:textId="139CCFE2" w:rsidR="00EE0D8E" w:rsidRPr="00EE0D8E" w:rsidRDefault="00EE0D8E" w:rsidP="00A82B47">
      <w:pPr>
        <w:pStyle w:val="BodyText"/>
        <w:jc w:val="both"/>
        <w:rPr>
          <w:rFonts w:ascii="Times New Roman" w:hAnsi="Times New Roman" w:cs="Times New Roman"/>
          <w:color w:val="34B2FB" w:themeColor="accent2" w:themeTint="99"/>
        </w:rPr>
      </w:pPr>
      <w:r w:rsidRPr="00EE0D8E">
        <w:rPr>
          <w:rFonts w:ascii="Times New Roman" w:hAnsi="Times New Roman" w:cs="Times New Roman"/>
          <w:color w:val="34B2FB" w:themeColor="accent2" w:themeTint="99"/>
        </w:rPr>
        <w:t xml:space="preserve">where </w:t>
      </w:r>
      <m:oMath>
        <m:sSub>
          <m:sSubPr>
            <m:ctrlPr>
              <w:rPr>
                <w:rFonts w:ascii="Cambria Math" w:hAnsi="Cambria Math" w:cs="Times New Roman"/>
                <w:color w:val="34B2FB" w:themeColor="accent2" w:themeTint="99"/>
              </w:rPr>
            </m:ctrlPr>
          </m:sSubPr>
          <m:e>
            <m:r>
              <w:rPr>
                <w:rFonts w:ascii="Cambria Math" w:hAnsi="Cambria Math" w:cs="Times New Roman"/>
                <w:color w:val="34B2FB" w:themeColor="accent2" w:themeTint="99"/>
              </w:rPr>
              <m:t>S</m:t>
            </m:r>
          </m:e>
          <m:sub>
            <m:r>
              <w:rPr>
                <w:rFonts w:ascii="Cambria Math" w:hAnsi="Cambria Math" w:cs="Times New Roman"/>
                <w:color w:val="34B2FB" w:themeColor="accent2" w:themeTint="99"/>
              </w:rPr>
              <m:t>t</m:t>
            </m:r>
          </m:sub>
        </m:sSub>
      </m:oMath>
      <w:r w:rsidRPr="00EE0D8E">
        <w:rPr>
          <w:rFonts w:ascii="Times New Roman" w:hAnsi="Times New Roman" w:cs="Times New Roman"/>
          <w:color w:val="34B2FB" w:themeColor="accent2" w:themeTint="99"/>
        </w:rPr>
        <w:t xml:space="preserve">is the stock price at time </w:t>
      </w:r>
      <m:oMath>
        <m:r>
          <w:rPr>
            <w:rFonts w:ascii="Cambria Math" w:hAnsi="Cambria Math" w:cs="Times New Roman"/>
            <w:color w:val="34B2FB" w:themeColor="accent2" w:themeTint="99"/>
          </w:rPr>
          <m:t>t</m:t>
        </m:r>
      </m:oMath>
      <w:r w:rsidRPr="00EE0D8E">
        <w:rPr>
          <w:rFonts w:ascii="Times New Roman" w:hAnsi="Times New Roman" w:cs="Times New Roman"/>
          <w:color w:val="34B2FB" w:themeColor="accent2" w:themeTint="99"/>
        </w:rPr>
        <w:t xml:space="preserve">, </w:t>
      </w:r>
      <m:oMath>
        <m:r>
          <w:rPr>
            <w:rFonts w:ascii="Cambria Math" w:hAnsi="Cambria Math" w:cs="Times New Roman"/>
            <w:color w:val="34B2FB" w:themeColor="accent2" w:themeTint="99"/>
          </w:rPr>
          <m:t>μ</m:t>
        </m:r>
      </m:oMath>
      <w:r w:rsidRPr="00EE0D8E">
        <w:rPr>
          <w:rFonts w:ascii="Times New Roman" w:hAnsi="Times New Roman" w:cs="Times New Roman"/>
          <w:color w:val="34B2FB" w:themeColor="accent2" w:themeTint="99"/>
        </w:rPr>
        <w:t xml:space="preserve">is the constant drift (expected return), </w:t>
      </w:r>
      <m:oMath>
        <m:r>
          <w:rPr>
            <w:rFonts w:ascii="Cambria Math" w:hAnsi="Cambria Math" w:cs="Times New Roman"/>
            <w:color w:val="34B2FB" w:themeColor="accent2" w:themeTint="99"/>
          </w:rPr>
          <m:t>σ</m:t>
        </m:r>
      </m:oMath>
      <w:r w:rsidRPr="00EE0D8E">
        <w:rPr>
          <w:rFonts w:ascii="Times New Roman" w:hAnsi="Times New Roman" w:cs="Times New Roman"/>
          <w:color w:val="34B2FB" w:themeColor="accent2" w:themeTint="99"/>
        </w:rPr>
        <w:t xml:space="preserve">is the constant volatility, and </w:t>
      </w:r>
      <m:oMath>
        <m:sSub>
          <m:sSubPr>
            <m:ctrlPr>
              <w:rPr>
                <w:rFonts w:ascii="Cambria Math" w:hAnsi="Cambria Math" w:cs="Times New Roman"/>
                <w:color w:val="34B2FB" w:themeColor="accent2" w:themeTint="99"/>
              </w:rPr>
            </m:ctrlPr>
          </m:sSubPr>
          <m:e>
            <m:r>
              <w:rPr>
                <w:rFonts w:ascii="Cambria Math" w:hAnsi="Cambria Math" w:cs="Times New Roman"/>
                <w:color w:val="34B2FB" w:themeColor="accent2" w:themeTint="99"/>
              </w:rPr>
              <m:t>W</m:t>
            </m:r>
          </m:e>
          <m:sub>
            <m:r>
              <w:rPr>
                <w:rFonts w:ascii="Cambria Math" w:hAnsi="Cambria Math" w:cs="Times New Roman"/>
                <w:color w:val="34B2FB" w:themeColor="accent2" w:themeTint="99"/>
              </w:rPr>
              <m:t>t</m:t>
            </m:r>
          </m:sub>
        </m:sSub>
      </m:oMath>
      <w:r w:rsidRPr="00EE0D8E">
        <w:rPr>
          <w:rFonts w:ascii="Times New Roman" w:hAnsi="Times New Roman" w:cs="Times New Roman"/>
          <w:color w:val="34B2FB" w:themeColor="accent2" w:themeTint="99"/>
        </w:rPr>
        <w:t xml:space="preserve">is a standard Wiener process (Brownian motion). Under this model, the logarithmic returns </w:t>
      </w:r>
      <m:oMath>
        <m:sSub>
          <m:sSubPr>
            <m:ctrlPr>
              <w:rPr>
                <w:rFonts w:ascii="Cambria Math" w:hAnsi="Cambria Math" w:cs="Times New Roman"/>
                <w:color w:val="34B2FB" w:themeColor="accent2" w:themeTint="99"/>
              </w:rPr>
            </m:ctrlPr>
          </m:sSubPr>
          <m:e>
            <m:r>
              <w:rPr>
                <w:rFonts w:ascii="Cambria Math" w:hAnsi="Cambria Math" w:cs="Times New Roman"/>
                <w:color w:val="34B2FB" w:themeColor="accent2" w:themeTint="99"/>
              </w:rPr>
              <m:t>r</m:t>
            </m:r>
          </m:e>
          <m:sub>
            <m:r>
              <w:rPr>
                <w:rFonts w:ascii="Cambria Math" w:hAnsi="Cambria Math" w:cs="Times New Roman"/>
                <w:color w:val="34B2FB" w:themeColor="accent2" w:themeTint="99"/>
              </w:rPr>
              <m:t>t</m:t>
            </m:r>
          </m:sub>
        </m:sSub>
      </m:oMath>
      <w:r w:rsidRPr="00EE0D8E">
        <w:rPr>
          <w:rFonts w:ascii="Times New Roman" w:hAnsi="Times New Roman" w:cs="Times New Roman"/>
          <w:color w:val="34B2FB" w:themeColor="accent2" w:themeTint="99"/>
        </w:rPr>
        <w:t xml:space="preserve">are assumed to be independent and identically distributed (i.i.d.) as normal random variables with </w:t>
      </w:r>
      <w:r w:rsidRPr="00EE0D8E">
        <w:rPr>
          <w:rFonts w:ascii="Times New Roman" w:hAnsi="Times New Roman" w:cs="Times New Roman"/>
          <w:color w:val="34B2FB" w:themeColor="accent2" w:themeTint="99"/>
        </w:rPr>
        <w:lastRenderedPageBreak/>
        <w:t xml:space="preserve">mean </w:t>
      </w:r>
      <m:oMath>
        <m:r>
          <w:rPr>
            <w:rFonts w:ascii="Cambria Math" w:hAnsi="Cambria Math" w:cs="Times New Roman"/>
            <w:color w:val="34B2FB" w:themeColor="accent2" w:themeTint="99"/>
          </w:rPr>
          <m:t>μ-</m:t>
        </m:r>
        <m:f>
          <m:fPr>
            <m:ctrlPr>
              <w:rPr>
                <w:rFonts w:ascii="Cambria Math" w:hAnsi="Cambria Math" w:cs="Times New Roman"/>
                <w:color w:val="34B2FB" w:themeColor="accent2" w:themeTint="99"/>
              </w:rPr>
            </m:ctrlPr>
          </m:fPr>
          <m:num>
            <m:sSup>
              <m:sSupPr>
                <m:ctrlPr>
                  <w:rPr>
                    <w:rFonts w:ascii="Cambria Math" w:hAnsi="Cambria Math" w:cs="Times New Roman"/>
                    <w:color w:val="34B2FB" w:themeColor="accent2" w:themeTint="99"/>
                  </w:rPr>
                </m:ctrlPr>
              </m:sSupPr>
              <m:e>
                <m:r>
                  <w:rPr>
                    <w:rFonts w:ascii="Cambria Math" w:hAnsi="Cambria Math" w:cs="Times New Roman"/>
                    <w:color w:val="34B2FB" w:themeColor="accent2" w:themeTint="99"/>
                  </w:rPr>
                  <m:t>σ</m:t>
                </m:r>
              </m:e>
              <m:sup>
                <m:r>
                  <w:rPr>
                    <w:rFonts w:ascii="Cambria Math" w:hAnsi="Cambria Math" w:cs="Times New Roman"/>
                    <w:color w:val="34B2FB" w:themeColor="accent2" w:themeTint="99"/>
                  </w:rPr>
                  <m:t>2</m:t>
                </m:r>
              </m:sup>
            </m:sSup>
          </m:num>
          <m:den>
            <m:r>
              <w:rPr>
                <w:rFonts w:ascii="Cambria Math" w:hAnsi="Cambria Math" w:cs="Times New Roman"/>
                <w:color w:val="34B2FB" w:themeColor="accent2" w:themeTint="99"/>
              </w:rPr>
              <m:t>2</m:t>
            </m:r>
          </m:den>
        </m:f>
      </m:oMath>
      <w:r w:rsidRPr="00EE0D8E">
        <w:rPr>
          <w:rFonts w:ascii="Times New Roman" w:hAnsi="Times New Roman" w:cs="Times New Roman"/>
          <w:color w:val="34B2FB" w:themeColor="accent2" w:themeTint="99"/>
        </w:rPr>
        <w:t xml:space="preserve">and variance </w:t>
      </w:r>
      <m:oMath>
        <m:sSup>
          <m:sSupPr>
            <m:ctrlPr>
              <w:rPr>
                <w:rFonts w:ascii="Cambria Math" w:hAnsi="Cambria Math" w:cs="Times New Roman"/>
                <w:color w:val="34B2FB" w:themeColor="accent2" w:themeTint="99"/>
              </w:rPr>
            </m:ctrlPr>
          </m:sSupPr>
          <m:e>
            <m:r>
              <w:rPr>
                <w:rFonts w:ascii="Cambria Math" w:hAnsi="Cambria Math" w:cs="Times New Roman"/>
                <w:color w:val="34B2FB" w:themeColor="accent2" w:themeTint="99"/>
              </w:rPr>
              <m:t>σ</m:t>
            </m:r>
          </m:e>
          <m:sup>
            <m:r>
              <w:rPr>
                <w:rFonts w:ascii="Cambria Math" w:hAnsi="Cambria Math" w:cs="Times New Roman"/>
                <w:color w:val="34B2FB" w:themeColor="accent2" w:themeTint="99"/>
              </w:rPr>
              <m:t>2</m:t>
            </m:r>
          </m:sup>
        </m:sSup>
      </m:oMath>
      <w:r w:rsidRPr="00EE0D8E">
        <w:rPr>
          <w:rFonts w:ascii="Times New Roman" w:hAnsi="Times New Roman" w:cs="Times New Roman"/>
          <w:color w:val="34B2FB" w:themeColor="accent2" w:themeTint="99"/>
        </w:rPr>
        <w:t xml:space="preserve"> (Suganthi &amp; Jayalalitha, 2019). The core assumptions tested in this study are therefore stationarity, normality, and independence of the logarithmic returns.</w:t>
      </w:r>
    </w:p>
    <w:p w14:paraId="193FBFAB" w14:textId="7A6817A1" w:rsidR="00EE0D8E" w:rsidRDefault="00EE0D8E" w:rsidP="00A82B47">
      <w:pPr>
        <w:pStyle w:val="BodyText"/>
        <w:jc w:val="both"/>
      </w:pPr>
    </w:p>
    <w:p w14:paraId="07397CE1" w14:textId="77777777" w:rsidR="00EE0D8E" w:rsidRPr="00EE0D8E" w:rsidRDefault="00604A22" w:rsidP="00A82B47">
      <w:pPr>
        <w:pStyle w:val="BodyText"/>
        <w:jc w:val="both"/>
        <w:rPr>
          <w:color w:val="34B2FB" w:themeColor="accent2" w:themeTint="99"/>
        </w:rPr>
      </w:pPr>
      <w:r>
        <w:rPr>
          <w:b/>
        </w:rPr>
        <w:t>2.3 Statistical Tests</w:t>
      </w:r>
      <w:r>
        <w:br/>
      </w:r>
      <w:r w:rsidR="00EE0D8E" w:rsidRPr="00EE0D8E">
        <w:rPr>
          <w:color w:val="34B2FB" w:themeColor="accent2" w:themeTint="99"/>
        </w:rPr>
        <w:t>Stationarity, normality, and independence were evaluated using both visual methods and formal statistical tests.</w:t>
      </w:r>
    </w:p>
    <w:p w14:paraId="77EB7543" w14:textId="77777777" w:rsidR="009321E3" w:rsidRDefault="00EE0D8E" w:rsidP="00A82B47">
      <w:pPr>
        <w:pStyle w:val="BodyText"/>
        <w:jc w:val="both"/>
        <w:rPr>
          <w:color w:val="34B2FB" w:themeColor="accent2" w:themeTint="99"/>
        </w:rPr>
      </w:pPr>
      <w:r w:rsidRPr="00EE0D8E">
        <w:rPr>
          <w:b/>
          <w:bCs/>
          <w:color w:val="34B2FB" w:themeColor="accent2" w:themeTint="99"/>
        </w:rPr>
        <w:t>2.3.1 Stationarity</w:t>
      </w:r>
      <w:r w:rsidRPr="00EE0D8E">
        <w:rPr>
          <w:color w:val="34B2FB" w:themeColor="accent2" w:themeTint="99"/>
        </w:rPr>
        <w:t xml:space="preserve"> </w:t>
      </w:r>
    </w:p>
    <w:p w14:paraId="4378799D" w14:textId="280F8EF1" w:rsidR="00EE0D8E" w:rsidRPr="00EE0D8E" w:rsidRDefault="00EE0D8E" w:rsidP="00A82B47">
      <w:pPr>
        <w:pStyle w:val="BodyText"/>
        <w:jc w:val="both"/>
        <w:rPr>
          <w:color w:val="34B2FB" w:themeColor="accent2" w:themeTint="99"/>
        </w:rPr>
      </w:pPr>
      <w:r w:rsidRPr="00EE0D8E">
        <w:rPr>
          <w:color w:val="34B2FB" w:themeColor="accent2" w:themeTint="99"/>
        </w:rPr>
        <w:t>Time-series plots of the logarithmic returns were examined visually for any obvious trends or patterns. The Augmented Dickey-Fuller (ADF) test was used to formally test the null hypothesis of a unit root (non-stationarity), with lag selection based on information criteria.</w:t>
      </w:r>
    </w:p>
    <w:p w14:paraId="22343399" w14:textId="77777777" w:rsidR="009321E3" w:rsidRDefault="00EE0D8E" w:rsidP="00A82B47">
      <w:pPr>
        <w:pStyle w:val="BodyText"/>
        <w:jc w:val="both"/>
        <w:rPr>
          <w:color w:val="34B2FB" w:themeColor="accent2" w:themeTint="99"/>
        </w:rPr>
      </w:pPr>
      <w:r w:rsidRPr="00EE0D8E">
        <w:rPr>
          <w:b/>
          <w:bCs/>
          <w:color w:val="34B2FB" w:themeColor="accent2" w:themeTint="99"/>
        </w:rPr>
        <w:t>2.3.2 Normality</w:t>
      </w:r>
      <w:r w:rsidRPr="00EE0D8E">
        <w:rPr>
          <w:color w:val="34B2FB" w:themeColor="accent2" w:themeTint="99"/>
        </w:rPr>
        <w:t xml:space="preserve"> </w:t>
      </w:r>
    </w:p>
    <w:p w14:paraId="7FDE4683" w14:textId="01D88A75" w:rsidR="00EE0D8E" w:rsidRPr="00EE0D8E" w:rsidRDefault="00EE0D8E" w:rsidP="00A82B47">
      <w:pPr>
        <w:pStyle w:val="BodyText"/>
        <w:jc w:val="both"/>
        <w:rPr>
          <w:color w:val="34B2FB" w:themeColor="accent2" w:themeTint="99"/>
        </w:rPr>
      </w:pPr>
      <w:r w:rsidRPr="00EE0D8E">
        <w:rPr>
          <w:color w:val="34B2FB" w:themeColor="accent2" w:themeTint="99"/>
        </w:rPr>
        <w:t xml:space="preserve">Histograms were used to assess the </w:t>
      </w:r>
      <w:r w:rsidR="009321E3">
        <w:rPr>
          <w:color w:val="34B2FB" w:themeColor="accent2" w:themeTint="99"/>
        </w:rPr>
        <w:t>distribution's shape</w:t>
      </w:r>
      <w:r w:rsidRPr="00EE0D8E">
        <w:rPr>
          <w:color w:val="34B2FB" w:themeColor="accent2" w:themeTint="99"/>
        </w:rPr>
        <w:t xml:space="preserve"> and kurtosis. Quantile-Quantile (Q-Q) plots were examined for deviations from normality, particularly in the tails. The Shapiro-Wilk test was applied to formally test the null hypothesis that the returns follow a normal distribution.</w:t>
      </w:r>
    </w:p>
    <w:p w14:paraId="35B71486" w14:textId="77777777" w:rsidR="009321E3" w:rsidRDefault="00EE0D8E" w:rsidP="00A82B47">
      <w:pPr>
        <w:pStyle w:val="BodyText"/>
        <w:jc w:val="both"/>
        <w:rPr>
          <w:color w:val="34B2FB" w:themeColor="accent2" w:themeTint="99"/>
        </w:rPr>
      </w:pPr>
      <w:r w:rsidRPr="00EE0D8E">
        <w:rPr>
          <w:b/>
          <w:bCs/>
          <w:color w:val="34B2FB" w:themeColor="accent2" w:themeTint="99"/>
        </w:rPr>
        <w:t>2.3.3 Independence</w:t>
      </w:r>
      <w:r w:rsidRPr="00EE0D8E">
        <w:rPr>
          <w:color w:val="34B2FB" w:themeColor="accent2" w:themeTint="99"/>
        </w:rPr>
        <w:t xml:space="preserve"> </w:t>
      </w:r>
    </w:p>
    <w:p w14:paraId="0D43FE90" w14:textId="7BCDB274" w:rsidR="00EE0D8E" w:rsidRDefault="00EE0D8E" w:rsidP="00A82B47">
      <w:pPr>
        <w:pStyle w:val="BodyText"/>
        <w:jc w:val="both"/>
        <w:rPr>
          <w:color w:val="34B2FB" w:themeColor="accent2" w:themeTint="99"/>
        </w:rPr>
      </w:pPr>
      <w:r w:rsidRPr="00EE0D8E">
        <w:rPr>
          <w:color w:val="34B2FB" w:themeColor="accent2" w:themeTint="99"/>
        </w:rPr>
        <w:t xml:space="preserve">The Ljung-Box test was used to check for serial correlation up to 20 lags. In addition, the Hurst exponent was calculated using rescaled range analysis (Suganthi &amp; Jayalalitha, 2019). A value near 0.5 indicates </w:t>
      </w:r>
      <w:r w:rsidR="009321E3">
        <w:rPr>
          <w:color w:val="34B2FB" w:themeColor="accent2" w:themeTint="99"/>
        </w:rPr>
        <w:t>behavior</w:t>
      </w:r>
      <w:r w:rsidRPr="00EE0D8E">
        <w:rPr>
          <w:color w:val="34B2FB" w:themeColor="accent2" w:themeTint="99"/>
        </w:rPr>
        <w:t xml:space="preserve"> consistent with independence and a random walk</w:t>
      </w:r>
      <w:r w:rsidR="009321E3">
        <w:rPr>
          <w:color w:val="34B2FB" w:themeColor="accent2" w:themeTint="99"/>
        </w:rPr>
        <w:t xml:space="preserve"> </w:t>
      </w:r>
      <w:r w:rsidRPr="00EE0D8E">
        <w:rPr>
          <w:color w:val="34B2FB" w:themeColor="accent2" w:themeTint="99"/>
        </w:rPr>
        <w:t>(</w:t>
      </w:r>
      <w:proofErr w:type="spellStart"/>
      <w:r w:rsidRPr="00EE0D8E">
        <w:rPr>
          <w:color w:val="34B2FB" w:themeColor="accent2" w:themeTint="99"/>
        </w:rPr>
        <w:t>Quayesam</w:t>
      </w:r>
      <w:proofErr w:type="spellEnd"/>
      <w:r w:rsidRPr="00EE0D8E">
        <w:rPr>
          <w:color w:val="34B2FB" w:themeColor="accent2" w:themeTint="99"/>
        </w:rPr>
        <w:t xml:space="preserve"> et al., 2024).</w:t>
      </w:r>
    </w:p>
    <w:p w14:paraId="08501C11" w14:textId="2156D629" w:rsidR="00EE0D8E" w:rsidRPr="00EE0D8E" w:rsidRDefault="00EE0D8E" w:rsidP="00A82B47">
      <w:pPr>
        <w:pStyle w:val="BodyText"/>
        <w:jc w:val="both"/>
        <w:rPr>
          <w:color w:val="34B2FB" w:themeColor="accent2" w:themeTint="99"/>
        </w:rPr>
      </w:pPr>
      <w:r w:rsidRPr="00EE0D8E">
        <w:rPr>
          <w:color w:val="34B2FB" w:themeColor="accent2" w:themeTint="99"/>
        </w:rPr>
        <w:t xml:space="preserve">All analyses were performed using R statistical software (version 4.3.x) with </w:t>
      </w:r>
      <w:r w:rsidR="009321E3">
        <w:rPr>
          <w:color w:val="34B2FB" w:themeColor="accent2" w:themeTint="99"/>
        </w:rPr>
        <w:t>the following packages:</w:t>
      </w:r>
      <w:r w:rsidRPr="00EE0D8E">
        <w:rPr>
          <w:color w:val="34B2FB" w:themeColor="accent2" w:themeTint="99"/>
        </w:rPr>
        <w:t xml:space="preserve"> tseries, forecast, ggplot2, and pracma. Statistical significance was evaluated at the 5% level.</w:t>
      </w:r>
    </w:p>
    <w:p w14:paraId="71106DAA" w14:textId="04898E3E" w:rsidR="00EE0D8E" w:rsidRDefault="00EE0D8E" w:rsidP="00A82B47">
      <w:pPr>
        <w:pStyle w:val="BodyText"/>
        <w:jc w:val="both"/>
      </w:pPr>
    </w:p>
    <w:p w14:paraId="4CF0A288" w14:textId="5D32F39D" w:rsidR="00BB3BB3" w:rsidRDefault="00604A22" w:rsidP="00A82B47">
      <w:pPr>
        <w:pStyle w:val="BodyText"/>
        <w:jc w:val="both"/>
      </w:pPr>
      <w:r>
        <w:rPr>
          <w:b/>
        </w:rPr>
        <w:t>3. RESULTS AND DISCUSSION</w:t>
      </w:r>
    </w:p>
    <w:p w14:paraId="46981193" w14:textId="5A1FD751" w:rsidR="00BB3BB3" w:rsidRDefault="00604A22" w:rsidP="00A82B47">
      <w:pPr>
        <w:pStyle w:val="BodyText"/>
        <w:jc w:val="both"/>
      </w:pPr>
      <w:r>
        <w:rPr>
          <w:b/>
        </w:rPr>
        <w:t>3.1 Stationarity</w:t>
      </w:r>
      <w:r>
        <w:br/>
      </w:r>
      <w:proofErr w:type="spellStart"/>
      <w:r w:rsidR="004E2470">
        <w:t>Stationarity</w:t>
      </w:r>
      <w:proofErr w:type="spellEnd"/>
      <w:r w:rsidR="004E2470">
        <w:t xml:space="preserve"> of the return series is a fundamental assumption of the Geometric Brownian Motion model, as it ensures that the statistical properties of </w:t>
      </w:r>
      <w:r w:rsidR="009169AC" w:rsidRPr="009169AC">
        <w:t xml:space="preserve">returns do not change over time. Visual inspection of the </w:t>
      </w:r>
      <w:r w:rsidR="004E2470">
        <w:t>time-series plots for both weekly and monthly logarithmic returns showed</w:t>
      </w:r>
      <w:r w:rsidR="009169AC" w:rsidRPr="009169AC">
        <w:t xml:space="preserve"> that the data points fluctuated randomly around a constant mean of zero. There were no visible long-term upward or downward trends, suggesting that the series are mean-reverting and potentially stationary.</w:t>
      </w:r>
    </w:p>
    <w:p w14:paraId="5838B866" w14:textId="3CA2A264" w:rsidR="00AC47F3" w:rsidRDefault="003613B8" w:rsidP="00A82B47">
      <w:pPr>
        <w:pStyle w:val="BodyText"/>
        <w:jc w:val="both"/>
      </w:pPr>
      <w:r>
        <w:rPr>
          <w:noProof/>
        </w:rPr>
        <w:drawing>
          <wp:anchor distT="0" distB="0" distL="114300" distR="114300" simplePos="0" relativeHeight="251658240" behindDoc="1" locked="0" layoutInCell="1" allowOverlap="1" wp14:anchorId="1A97D245" wp14:editId="334075E7">
            <wp:simplePos x="0" y="0"/>
            <wp:positionH relativeFrom="column">
              <wp:posOffset>57150</wp:posOffset>
            </wp:positionH>
            <wp:positionV relativeFrom="paragraph">
              <wp:posOffset>113665</wp:posOffset>
            </wp:positionV>
            <wp:extent cx="4850765" cy="1823720"/>
            <wp:effectExtent l="0" t="0" r="6985" b="5080"/>
            <wp:wrapTopAndBottom/>
            <wp:docPr id="3975928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592818" name="Picture 397592818"/>
                    <pic:cNvPicPr/>
                  </pic:nvPicPr>
                  <pic:blipFill>
                    <a:blip r:embed="rId7" cstate="print">
                      <a:extLst>
                        <a:ext uri="{28A0092B-C50C-407E-A947-70E740481C1C}">
                          <a14:useLocalDpi xmlns:a14="http://schemas.microsoft.com/office/drawing/2010/main" val="0"/>
                        </a:ext>
                      </a:extLst>
                    </a:blip>
                    <a:stretch>
                      <a:fillRect/>
                    </a:stretch>
                  </pic:blipFill>
                  <pic:spPr>
                    <a:xfrm>
                      <a:off x="0" y="0"/>
                      <a:ext cx="4850765" cy="1823720"/>
                    </a:xfrm>
                    <a:prstGeom prst="rect">
                      <a:avLst/>
                    </a:prstGeom>
                  </pic:spPr>
                </pic:pic>
              </a:graphicData>
            </a:graphic>
            <wp14:sizeRelH relativeFrom="margin">
              <wp14:pctWidth>0</wp14:pctWidth>
            </wp14:sizeRelH>
            <wp14:sizeRelV relativeFrom="margin">
              <wp14:pctHeight>0</wp14:pctHeight>
            </wp14:sizeRelV>
          </wp:anchor>
        </w:drawing>
      </w:r>
    </w:p>
    <w:p w14:paraId="52E709E5" w14:textId="4C023BA6" w:rsidR="00BB3BB3" w:rsidRDefault="00604A22" w:rsidP="00A82B47">
      <w:pPr>
        <w:pStyle w:val="BodyText"/>
        <w:jc w:val="both"/>
      </w:pPr>
      <w:r>
        <w:rPr>
          <w:b/>
        </w:rPr>
        <w:lastRenderedPageBreak/>
        <w:t>Figure 1.</w:t>
      </w:r>
      <w:r>
        <w:t xml:space="preserve"> Time series plots of weekly and monthly logarithmic returns for the NSE.</w:t>
      </w:r>
    </w:p>
    <w:p w14:paraId="5BFA278B" w14:textId="2353B984" w:rsidR="003613B8" w:rsidRDefault="003613B8" w:rsidP="00A82B47">
      <w:pPr>
        <w:pStyle w:val="BodyText"/>
        <w:jc w:val="both"/>
      </w:pPr>
    </w:p>
    <w:p w14:paraId="78AD83C2" w14:textId="77777777" w:rsidR="003613B8" w:rsidRDefault="003613B8" w:rsidP="00A82B47">
      <w:pPr>
        <w:pStyle w:val="BodyText"/>
        <w:jc w:val="both"/>
      </w:pPr>
    </w:p>
    <w:p w14:paraId="50C61618" w14:textId="77777777" w:rsidR="003613B8" w:rsidRDefault="003613B8" w:rsidP="00A82B47">
      <w:pPr>
        <w:pStyle w:val="BodyText"/>
        <w:jc w:val="both"/>
      </w:pPr>
    </w:p>
    <w:p w14:paraId="77FA6B05" w14:textId="77777777" w:rsidR="003613B8" w:rsidRDefault="003613B8" w:rsidP="00A82B47">
      <w:pPr>
        <w:pStyle w:val="BodyText"/>
        <w:jc w:val="both"/>
      </w:pPr>
    </w:p>
    <w:p w14:paraId="60CACFC6" w14:textId="77777777" w:rsidR="003613B8" w:rsidRDefault="003613B8" w:rsidP="00A82B47">
      <w:pPr>
        <w:pStyle w:val="BodyText"/>
        <w:jc w:val="both"/>
      </w:pPr>
    </w:p>
    <w:p w14:paraId="782D23E9" w14:textId="77777777" w:rsidR="003613B8" w:rsidRDefault="003613B8" w:rsidP="00A82B47">
      <w:pPr>
        <w:pStyle w:val="BodyText"/>
        <w:jc w:val="both"/>
      </w:pPr>
    </w:p>
    <w:p w14:paraId="1AF68049" w14:textId="77777777" w:rsidR="009169AC" w:rsidRDefault="009169AC" w:rsidP="00A82B47">
      <w:pPr>
        <w:pStyle w:val="BodyText"/>
        <w:jc w:val="both"/>
      </w:pPr>
      <w:r w:rsidRPr="009169AC">
        <w:t>To confirm this observation statistically, the Augmented Dickey-Fuller (ADF) test was conducted. The null hypothesis of the test states that the series contains a unit root and is non-stationary. The test results are presented below:</w:t>
      </w:r>
    </w:p>
    <w:p w14:paraId="5D1083E5" w14:textId="5B9C6C60" w:rsidR="00BB3BB3" w:rsidRDefault="00604A22" w:rsidP="00A82B47">
      <w:pPr>
        <w:pStyle w:val="BodyText"/>
        <w:jc w:val="both"/>
      </w:pPr>
      <w:r>
        <w:rPr>
          <w:b/>
        </w:rPr>
        <w:t>Table 1.</w:t>
      </w:r>
      <w:r>
        <w:t xml:space="preserve"> Augmented Dickey-Fuller test for NSE returns</w:t>
      </w:r>
    </w:p>
    <w:tbl>
      <w:tblPr>
        <w:tblW w:w="5000" w:type="pct"/>
        <w:tblInd w:w="-5" w:type="dxa"/>
        <w:tblLayout w:type="fixed"/>
        <w:tblCellMar>
          <w:top w:w="55" w:type="dxa"/>
          <w:left w:w="55" w:type="dxa"/>
          <w:bottom w:w="55" w:type="dxa"/>
          <w:right w:w="55" w:type="dxa"/>
        </w:tblCellMar>
        <w:tblLook w:val="04A0" w:firstRow="1" w:lastRow="0" w:firstColumn="1" w:lastColumn="0" w:noHBand="0" w:noVBand="1"/>
      </w:tblPr>
      <w:tblGrid>
        <w:gridCol w:w="2407"/>
        <w:gridCol w:w="2407"/>
        <w:gridCol w:w="2407"/>
        <w:gridCol w:w="2407"/>
      </w:tblGrid>
      <w:tr w:rsidR="00BB3BB3" w14:paraId="7FBC4CF3" w14:textId="77777777" w:rsidTr="009169AC">
        <w:trPr>
          <w:tblHeader/>
        </w:trPr>
        <w:tc>
          <w:tcPr>
            <w:tcW w:w="2407" w:type="dxa"/>
            <w:tcBorders>
              <w:top w:val="single" w:sz="4" w:space="0" w:color="000000"/>
              <w:left w:val="single" w:sz="4" w:space="0" w:color="000000"/>
              <w:bottom w:val="single" w:sz="4" w:space="0" w:color="000000"/>
            </w:tcBorders>
          </w:tcPr>
          <w:p w14:paraId="5DA0C70D" w14:textId="77777777" w:rsidR="00BB3BB3" w:rsidRDefault="00604A22" w:rsidP="00A82B47">
            <w:pPr>
              <w:pStyle w:val="TableHeading"/>
              <w:jc w:val="both"/>
            </w:pPr>
            <w:r>
              <w:t>Time Series</w:t>
            </w:r>
          </w:p>
        </w:tc>
        <w:tc>
          <w:tcPr>
            <w:tcW w:w="2407" w:type="dxa"/>
            <w:tcBorders>
              <w:top w:val="single" w:sz="4" w:space="0" w:color="000000"/>
              <w:left w:val="single" w:sz="4" w:space="0" w:color="000000"/>
              <w:bottom w:val="single" w:sz="4" w:space="0" w:color="000000"/>
            </w:tcBorders>
          </w:tcPr>
          <w:p w14:paraId="7C0115E9" w14:textId="77777777" w:rsidR="00BB3BB3" w:rsidRDefault="00604A22" w:rsidP="00A82B47">
            <w:pPr>
              <w:pStyle w:val="TableHeading"/>
              <w:jc w:val="both"/>
            </w:pPr>
            <w:r>
              <w:t>Dickey-Fuller Statistic</w:t>
            </w:r>
          </w:p>
        </w:tc>
        <w:tc>
          <w:tcPr>
            <w:tcW w:w="2407" w:type="dxa"/>
            <w:tcBorders>
              <w:top w:val="single" w:sz="4" w:space="0" w:color="000000"/>
              <w:left w:val="single" w:sz="4" w:space="0" w:color="000000"/>
              <w:bottom w:val="single" w:sz="4" w:space="0" w:color="000000"/>
            </w:tcBorders>
          </w:tcPr>
          <w:p w14:paraId="50B283D4" w14:textId="77777777" w:rsidR="00BB3BB3" w:rsidRDefault="00604A22" w:rsidP="00A82B47">
            <w:pPr>
              <w:pStyle w:val="TableHeading"/>
              <w:jc w:val="both"/>
            </w:pPr>
            <w:r>
              <w:t>Lag Order</w:t>
            </w:r>
          </w:p>
        </w:tc>
        <w:tc>
          <w:tcPr>
            <w:tcW w:w="2407" w:type="dxa"/>
            <w:tcBorders>
              <w:top w:val="single" w:sz="4" w:space="0" w:color="000000"/>
              <w:left w:val="single" w:sz="4" w:space="0" w:color="000000"/>
              <w:bottom w:val="single" w:sz="4" w:space="0" w:color="000000"/>
              <w:right w:val="single" w:sz="4" w:space="0" w:color="000000"/>
            </w:tcBorders>
          </w:tcPr>
          <w:p w14:paraId="6B784357" w14:textId="77777777" w:rsidR="00BB3BB3" w:rsidRDefault="00604A22" w:rsidP="00A82B47">
            <w:pPr>
              <w:pStyle w:val="TableHeading"/>
              <w:jc w:val="both"/>
            </w:pPr>
            <w:r>
              <w:t>p-value</w:t>
            </w:r>
          </w:p>
        </w:tc>
      </w:tr>
      <w:tr w:rsidR="00BB3BB3" w14:paraId="5E84BF6A" w14:textId="77777777" w:rsidTr="009169AC">
        <w:tc>
          <w:tcPr>
            <w:tcW w:w="2407" w:type="dxa"/>
            <w:tcBorders>
              <w:left w:val="single" w:sz="4" w:space="0" w:color="000000"/>
              <w:bottom w:val="single" w:sz="4" w:space="0" w:color="000000"/>
            </w:tcBorders>
          </w:tcPr>
          <w:p w14:paraId="75E0F94A" w14:textId="77777777" w:rsidR="00BB3BB3" w:rsidRDefault="00604A22" w:rsidP="00A82B47">
            <w:pPr>
              <w:pStyle w:val="TableContents"/>
              <w:jc w:val="both"/>
            </w:pPr>
            <w:r>
              <w:t>Weekly Log Returns</w:t>
            </w:r>
          </w:p>
        </w:tc>
        <w:tc>
          <w:tcPr>
            <w:tcW w:w="2407" w:type="dxa"/>
            <w:tcBorders>
              <w:left w:val="single" w:sz="4" w:space="0" w:color="000000"/>
              <w:bottom w:val="single" w:sz="4" w:space="0" w:color="000000"/>
            </w:tcBorders>
          </w:tcPr>
          <w:p w14:paraId="52C88531" w14:textId="77777777" w:rsidR="00BB3BB3" w:rsidRDefault="00604A22" w:rsidP="00A82B47">
            <w:pPr>
              <w:pStyle w:val="TableContents"/>
              <w:jc w:val="both"/>
            </w:pPr>
            <w:r>
              <w:t>-7.3637</w:t>
            </w:r>
          </w:p>
        </w:tc>
        <w:tc>
          <w:tcPr>
            <w:tcW w:w="2407" w:type="dxa"/>
            <w:tcBorders>
              <w:left w:val="single" w:sz="4" w:space="0" w:color="000000"/>
              <w:bottom w:val="single" w:sz="4" w:space="0" w:color="000000"/>
            </w:tcBorders>
          </w:tcPr>
          <w:p w14:paraId="71AA85A2" w14:textId="77777777" w:rsidR="00BB3BB3" w:rsidRDefault="00604A22" w:rsidP="00A82B47">
            <w:pPr>
              <w:pStyle w:val="TableContents"/>
              <w:jc w:val="both"/>
            </w:pPr>
            <w:r>
              <w:t>8</w:t>
            </w:r>
          </w:p>
        </w:tc>
        <w:tc>
          <w:tcPr>
            <w:tcW w:w="2407" w:type="dxa"/>
            <w:tcBorders>
              <w:left w:val="single" w:sz="4" w:space="0" w:color="000000"/>
              <w:bottom w:val="single" w:sz="4" w:space="0" w:color="000000"/>
              <w:right w:val="single" w:sz="4" w:space="0" w:color="000000"/>
            </w:tcBorders>
          </w:tcPr>
          <w:p w14:paraId="35D59A14" w14:textId="77777777" w:rsidR="00BB3BB3" w:rsidRDefault="00604A22" w:rsidP="00A82B47">
            <w:pPr>
              <w:pStyle w:val="TableContents"/>
              <w:jc w:val="both"/>
            </w:pPr>
            <w:r>
              <w:t>0.01</w:t>
            </w:r>
          </w:p>
        </w:tc>
      </w:tr>
      <w:tr w:rsidR="00BB3BB3" w14:paraId="2C7D0B99" w14:textId="77777777" w:rsidTr="009169AC">
        <w:tc>
          <w:tcPr>
            <w:tcW w:w="2407" w:type="dxa"/>
            <w:tcBorders>
              <w:left w:val="single" w:sz="4" w:space="0" w:color="000000"/>
              <w:bottom w:val="single" w:sz="4" w:space="0" w:color="000000"/>
            </w:tcBorders>
          </w:tcPr>
          <w:p w14:paraId="25B030A8" w14:textId="77777777" w:rsidR="00BB3BB3" w:rsidRDefault="00604A22" w:rsidP="00A82B47">
            <w:pPr>
              <w:pStyle w:val="TableContents"/>
              <w:jc w:val="both"/>
            </w:pPr>
            <w:r>
              <w:t>Monthly Log Returns</w:t>
            </w:r>
          </w:p>
        </w:tc>
        <w:tc>
          <w:tcPr>
            <w:tcW w:w="2407" w:type="dxa"/>
            <w:tcBorders>
              <w:left w:val="single" w:sz="4" w:space="0" w:color="000000"/>
              <w:bottom w:val="single" w:sz="4" w:space="0" w:color="000000"/>
            </w:tcBorders>
          </w:tcPr>
          <w:p w14:paraId="73476D20" w14:textId="77777777" w:rsidR="00BB3BB3" w:rsidRDefault="00604A22" w:rsidP="00A82B47">
            <w:pPr>
              <w:pStyle w:val="TableContents"/>
              <w:jc w:val="both"/>
            </w:pPr>
            <w:r>
              <w:t>-4.3877</w:t>
            </w:r>
          </w:p>
        </w:tc>
        <w:tc>
          <w:tcPr>
            <w:tcW w:w="2407" w:type="dxa"/>
            <w:tcBorders>
              <w:left w:val="single" w:sz="4" w:space="0" w:color="000000"/>
              <w:bottom w:val="single" w:sz="4" w:space="0" w:color="000000"/>
            </w:tcBorders>
          </w:tcPr>
          <w:p w14:paraId="16326B80" w14:textId="77777777" w:rsidR="00BB3BB3" w:rsidRDefault="00604A22" w:rsidP="00A82B47">
            <w:pPr>
              <w:pStyle w:val="TableContents"/>
              <w:jc w:val="both"/>
            </w:pPr>
            <w:r>
              <w:t>4</w:t>
            </w:r>
          </w:p>
        </w:tc>
        <w:tc>
          <w:tcPr>
            <w:tcW w:w="2407" w:type="dxa"/>
            <w:tcBorders>
              <w:left w:val="single" w:sz="4" w:space="0" w:color="000000"/>
              <w:bottom w:val="single" w:sz="4" w:space="0" w:color="000000"/>
              <w:right w:val="single" w:sz="4" w:space="0" w:color="000000"/>
            </w:tcBorders>
          </w:tcPr>
          <w:p w14:paraId="2752BF2E" w14:textId="77777777" w:rsidR="00BB3BB3" w:rsidRDefault="00604A22" w:rsidP="00A82B47">
            <w:pPr>
              <w:pStyle w:val="TableContents"/>
              <w:jc w:val="both"/>
            </w:pPr>
            <w:r>
              <w:t>0.01</w:t>
            </w:r>
          </w:p>
        </w:tc>
      </w:tr>
    </w:tbl>
    <w:p w14:paraId="3E45DA30" w14:textId="77777777" w:rsidR="009169AC" w:rsidRDefault="009169AC" w:rsidP="00A82B47">
      <w:pPr>
        <w:pStyle w:val="BodyText"/>
        <w:jc w:val="both"/>
      </w:pPr>
    </w:p>
    <w:p w14:paraId="5432B5C9" w14:textId="425B2922" w:rsidR="00BB3BB3" w:rsidRDefault="009169AC" w:rsidP="00A82B47">
      <w:pPr>
        <w:pStyle w:val="BodyText"/>
        <w:jc w:val="both"/>
      </w:pPr>
      <w:r w:rsidRPr="009169AC">
        <w:t>Both p-values were 0.01, which is well below the 5% significance level. Therefore, the null hypothesis of non-stationarity was strongly rejected for both weekly and monthly returns. This confirms that the return series are stationary, satisfying one of the key assumptions of the GBM model.</w:t>
      </w:r>
    </w:p>
    <w:p w14:paraId="31B9DCDF" w14:textId="77777777" w:rsidR="009169AC" w:rsidRDefault="009169AC" w:rsidP="00A82B47">
      <w:pPr>
        <w:pStyle w:val="BodyText"/>
        <w:jc w:val="both"/>
      </w:pPr>
    </w:p>
    <w:p w14:paraId="7A32A367" w14:textId="77777777" w:rsidR="004C658C" w:rsidRPr="004C658C" w:rsidRDefault="00604A22" w:rsidP="00A82B47">
      <w:pPr>
        <w:pStyle w:val="BodyText"/>
        <w:jc w:val="both"/>
      </w:pPr>
      <w:r>
        <w:rPr>
          <w:b/>
        </w:rPr>
        <w:t>3.2 Normality</w:t>
      </w:r>
      <w:r>
        <w:br/>
      </w:r>
      <w:r w:rsidR="004C658C" w:rsidRPr="004C658C">
        <w:t>The normality assumption is critical for the GBM model because it underpins the use of standard statistical inference and Monte Carlo simulation techniques. The histograms of the returns revealed notable differences between the two frequencies. The weekly returns displayed a sharp peak (high kurtosis) and extended heavy tails (leptokurtosis), indicating a higher likelihood of extreme positive and negative returns than would be expected under a normal distribution. In contrast, the monthly returns exhibited a more symmetrical, bell-shaped distribution that closely resembled a normal curve.</w:t>
      </w:r>
    </w:p>
    <w:p w14:paraId="3874CB9E" w14:textId="03B38ECC" w:rsidR="00BB3BB3" w:rsidRDefault="00BB3BB3" w:rsidP="00A82B47">
      <w:pPr>
        <w:pStyle w:val="BodyText"/>
        <w:jc w:val="both"/>
      </w:pPr>
    </w:p>
    <w:p w14:paraId="639BB35F" w14:textId="33AF1CEA" w:rsidR="003613B8" w:rsidRDefault="003613B8" w:rsidP="00A82B47">
      <w:pPr>
        <w:pStyle w:val="BodyText"/>
        <w:jc w:val="both"/>
      </w:pPr>
      <w:r>
        <w:rPr>
          <w:noProof/>
        </w:rPr>
        <w:drawing>
          <wp:inline distT="0" distB="0" distL="0" distR="0" wp14:anchorId="5FF5011E" wp14:editId="1E04A526">
            <wp:extent cx="5586207" cy="2100369"/>
            <wp:effectExtent l="0" t="0" r="0" b="0"/>
            <wp:docPr id="32682470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824703" name="Picture 326824703"/>
                    <pic:cNvPicPr/>
                  </pic:nvPicPr>
                  <pic:blipFill>
                    <a:blip r:embed="rId8" cstate="print">
                      <a:extLst>
                        <a:ext uri="{28A0092B-C50C-407E-A947-70E740481C1C}">
                          <a14:useLocalDpi xmlns:a14="http://schemas.microsoft.com/office/drawing/2010/main" val="0"/>
                        </a:ext>
                      </a:extLst>
                    </a:blip>
                    <a:stretch>
                      <a:fillRect/>
                    </a:stretch>
                  </pic:blipFill>
                  <pic:spPr>
                    <a:xfrm>
                      <a:off x="0" y="0"/>
                      <a:ext cx="5586207" cy="2100369"/>
                    </a:xfrm>
                    <a:prstGeom prst="rect">
                      <a:avLst/>
                    </a:prstGeom>
                  </pic:spPr>
                </pic:pic>
              </a:graphicData>
            </a:graphic>
          </wp:inline>
        </w:drawing>
      </w:r>
    </w:p>
    <w:p w14:paraId="73B43FF1" w14:textId="77777777" w:rsidR="00BB3BB3" w:rsidRDefault="00604A22" w:rsidP="00A82B47">
      <w:pPr>
        <w:pStyle w:val="BodyText"/>
        <w:jc w:val="both"/>
      </w:pPr>
      <w:r>
        <w:rPr>
          <w:b/>
        </w:rPr>
        <w:lastRenderedPageBreak/>
        <w:t>Figure 2.</w:t>
      </w:r>
      <w:r>
        <w:t xml:space="preserve"> Histograms of weekly and monthly logarithmic returns for the NSE.</w:t>
      </w:r>
    </w:p>
    <w:p w14:paraId="4D369628" w14:textId="77777777" w:rsidR="00EA5296" w:rsidRPr="00EA5296" w:rsidRDefault="00EA5296" w:rsidP="00A82B47">
      <w:pPr>
        <w:pStyle w:val="BodyText"/>
        <w:jc w:val="both"/>
      </w:pPr>
      <w:r w:rsidRPr="00EA5296">
        <w:t>The Q-Q plots reinforced these observations. Weekly returns deviated markedly from the theoretical normal line in the tails, while monthly returns aligned closely with the straight line.</w:t>
      </w:r>
    </w:p>
    <w:p w14:paraId="429A422C" w14:textId="77777777" w:rsidR="004C658C" w:rsidRDefault="004C658C" w:rsidP="00A82B47">
      <w:pPr>
        <w:pStyle w:val="BodyText"/>
        <w:jc w:val="both"/>
      </w:pPr>
      <w:r>
        <w:rPr>
          <w:noProof/>
        </w:rPr>
        <w:drawing>
          <wp:anchor distT="0" distB="0" distL="114300" distR="114300" simplePos="0" relativeHeight="251659264" behindDoc="0" locked="0" layoutInCell="1" allowOverlap="1" wp14:anchorId="609E4D6E" wp14:editId="56D449B7">
            <wp:simplePos x="0" y="0"/>
            <wp:positionH relativeFrom="column">
              <wp:posOffset>3479</wp:posOffset>
            </wp:positionH>
            <wp:positionV relativeFrom="paragraph">
              <wp:posOffset>2374</wp:posOffset>
            </wp:positionV>
            <wp:extent cx="5691503" cy="1870382"/>
            <wp:effectExtent l="0" t="0" r="5080" b="0"/>
            <wp:wrapTopAndBottom/>
            <wp:docPr id="153287779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2877795" name="Picture 1532877795"/>
                    <pic:cNvPicPr/>
                  </pic:nvPicPr>
                  <pic:blipFill>
                    <a:blip r:embed="rId9" cstate="print">
                      <a:extLst>
                        <a:ext uri="{28A0092B-C50C-407E-A947-70E740481C1C}">
                          <a14:useLocalDpi xmlns:a14="http://schemas.microsoft.com/office/drawing/2010/main" val="0"/>
                        </a:ext>
                      </a:extLst>
                    </a:blip>
                    <a:stretch>
                      <a:fillRect/>
                    </a:stretch>
                  </pic:blipFill>
                  <pic:spPr>
                    <a:xfrm>
                      <a:off x="0" y="0"/>
                      <a:ext cx="5691503" cy="1870382"/>
                    </a:xfrm>
                    <a:prstGeom prst="rect">
                      <a:avLst/>
                    </a:prstGeom>
                  </pic:spPr>
                </pic:pic>
              </a:graphicData>
            </a:graphic>
          </wp:anchor>
        </w:drawing>
      </w:r>
    </w:p>
    <w:p w14:paraId="2FA2FD1B" w14:textId="6CEFB25B" w:rsidR="00BB3BB3" w:rsidRPr="004C658C" w:rsidRDefault="00604A22" w:rsidP="00A82B47">
      <w:pPr>
        <w:pStyle w:val="BodyText"/>
        <w:jc w:val="both"/>
      </w:pPr>
      <w:r>
        <w:rPr>
          <w:b/>
        </w:rPr>
        <w:t>Figure 3.</w:t>
      </w:r>
      <w:r>
        <w:t xml:space="preserve"> Q-Q plots of weekly and monthly logarithmic returns for the NSE.</w:t>
      </w:r>
    </w:p>
    <w:p w14:paraId="31094C00" w14:textId="1B5BCBD9" w:rsidR="003613B8" w:rsidRDefault="003613B8" w:rsidP="00A82B47">
      <w:pPr>
        <w:pStyle w:val="BodyText"/>
        <w:jc w:val="both"/>
      </w:pPr>
    </w:p>
    <w:p w14:paraId="1F91D889" w14:textId="77777777" w:rsidR="00EA5296" w:rsidRPr="00EA5296" w:rsidRDefault="00EA5296" w:rsidP="00A82B47">
      <w:pPr>
        <w:pStyle w:val="BodyText"/>
        <w:jc w:val="both"/>
      </w:pPr>
      <w:r w:rsidRPr="00EA5296">
        <w:t>The Shapiro-Wilk test confirmed the visual findings:</w:t>
      </w:r>
    </w:p>
    <w:p w14:paraId="6CAA5A48" w14:textId="77777777" w:rsidR="00BB3BB3" w:rsidRDefault="00604A22" w:rsidP="00A82B47">
      <w:pPr>
        <w:pStyle w:val="BodyText"/>
        <w:jc w:val="both"/>
      </w:pPr>
      <w:r>
        <w:rPr>
          <w:b/>
        </w:rPr>
        <w:t>Table 2.</w:t>
      </w:r>
      <w:r>
        <w:t xml:space="preserve"> Shapiro-Wilk Test for NSE returns</w:t>
      </w:r>
    </w:p>
    <w:tbl>
      <w:tblPr>
        <w:tblW w:w="5000" w:type="pct"/>
        <w:tblInd w:w="-5" w:type="dxa"/>
        <w:tblLayout w:type="fixed"/>
        <w:tblCellMar>
          <w:top w:w="55" w:type="dxa"/>
          <w:left w:w="55" w:type="dxa"/>
          <w:bottom w:w="55" w:type="dxa"/>
          <w:right w:w="55" w:type="dxa"/>
        </w:tblCellMar>
        <w:tblLook w:val="04A0" w:firstRow="1" w:lastRow="0" w:firstColumn="1" w:lastColumn="0" w:noHBand="0" w:noVBand="1"/>
      </w:tblPr>
      <w:tblGrid>
        <w:gridCol w:w="3208"/>
        <w:gridCol w:w="3210"/>
        <w:gridCol w:w="3210"/>
      </w:tblGrid>
      <w:tr w:rsidR="00BB3BB3" w14:paraId="13918215" w14:textId="77777777" w:rsidTr="004C658C">
        <w:trPr>
          <w:tblHeader/>
        </w:trPr>
        <w:tc>
          <w:tcPr>
            <w:tcW w:w="3208" w:type="dxa"/>
            <w:tcBorders>
              <w:top w:val="single" w:sz="4" w:space="0" w:color="000000"/>
              <w:left w:val="single" w:sz="4" w:space="0" w:color="000000"/>
              <w:bottom w:val="single" w:sz="4" w:space="0" w:color="000000"/>
            </w:tcBorders>
          </w:tcPr>
          <w:p w14:paraId="5E5673BE" w14:textId="77777777" w:rsidR="00BB3BB3" w:rsidRDefault="00604A22" w:rsidP="00A82B47">
            <w:pPr>
              <w:pStyle w:val="TableHeading"/>
              <w:jc w:val="both"/>
            </w:pPr>
            <w:r>
              <w:t>Returns</w:t>
            </w:r>
          </w:p>
        </w:tc>
        <w:tc>
          <w:tcPr>
            <w:tcW w:w="3210" w:type="dxa"/>
            <w:tcBorders>
              <w:top w:val="single" w:sz="4" w:space="0" w:color="000000"/>
              <w:left w:val="single" w:sz="4" w:space="0" w:color="000000"/>
              <w:bottom w:val="single" w:sz="4" w:space="0" w:color="000000"/>
            </w:tcBorders>
          </w:tcPr>
          <w:p w14:paraId="35A315F8" w14:textId="77777777" w:rsidR="00BB3BB3" w:rsidRDefault="00604A22" w:rsidP="00A82B47">
            <w:pPr>
              <w:pStyle w:val="TableHeading"/>
              <w:jc w:val="both"/>
            </w:pPr>
            <w:r>
              <w:t>W Statistic</w:t>
            </w:r>
          </w:p>
        </w:tc>
        <w:tc>
          <w:tcPr>
            <w:tcW w:w="3210" w:type="dxa"/>
            <w:tcBorders>
              <w:top w:val="single" w:sz="4" w:space="0" w:color="000000"/>
              <w:left w:val="single" w:sz="4" w:space="0" w:color="000000"/>
              <w:bottom w:val="single" w:sz="4" w:space="0" w:color="000000"/>
              <w:right w:val="single" w:sz="4" w:space="0" w:color="000000"/>
            </w:tcBorders>
          </w:tcPr>
          <w:p w14:paraId="4C8E8BAE" w14:textId="77777777" w:rsidR="00BB3BB3" w:rsidRDefault="00604A22" w:rsidP="00A82B47">
            <w:pPr>
              <w:pStyle w:val="TableHeading"/>
              <w:jc w:val="both"/>
            </w:pPr>
            <w:r>
              <w:t>p-value</w:t>
            </w:r>
          </w:p>
        </w:tc>
      </w:tr>
      <w:tr w:rsidR="00BB3BB3" w14:paraId="795E16CB" w14:textId="77777777" w:rsidTr="004C658C">
        <w:tc>
          <w:tcPr>
            <w:tcW w:w="3208" w:type="dxa"/>
            <w:tcBorders>
              <w:left w:val="single" w:sz="4" w:space="0" w:color="000000"/>
              <w:bottom w:val="single" w:sz="4" w:space="0" w:color="000000"/>
            </w:tcBorders>
          </w:tcPr>
          <w:p w14:paraId="50381A5F" w14:textId="77777777" w:rsidR="00BB3BB3" w:rsidRDefault="00604A22" w:rsidP="00A82B47">
            <w:pPr>
              <w:pStyle w:val="TableContents"/>
              <w:jc w:val="both"/>
            </w:pPr>
            <w:r>
              <w:t>Weekly</w:t>
            </w:r>
          </w:p>
        </w:tc>
        <w:tc>
          <w:tcPr>
            <w:tcW w:w="3210" w:type="dxa"/>
            <w:tcBorders>
              <w:left w:val="single" w:sz="4" w:space="0" w:color="000000"/>
              <w:bottom w:val="single" w:sz="4" w:space="0" w:color="000000"/>
            </w:tcBorders>
          </w:tcPr>
          <w:p w14:paraId="135897F0" w14:textId="77777777" w:rsidR="00BB3BB3" w:rsidRDefault="00604A22" w:rsidP="00A82B47">
            <w:pPr>
              <w:pStyle w:val="TableContents"/>
              <w:jc w:val="both"/>
            </w:pPr>
            <w:r>
              <w:t>0.95935</w:t>
            </w:r>
          </w:p>
        </w:tc>
        <w:tc>
          <w:tcPr>
            <w:tcW w:w="3210" w:type="dxa"/>
            <w:tcBorders>
              <w:left w:val="single" w:sz="4" w:space="0" w:color="000000"/>
              <w:bottom w:val="single" w:sz="4" w:space="0" w:color="000000"/>
              <w:right w:val="single" w:sz="4" w:space="0" w:color="000000"/>
            </w:tcBorders>
          </w:tcPr>
          <w:p w14:paraId="48C99B78" w14:textId="77777777" w:rsidR="00BB3BB3" w:rsidRDefault="00604A22" w:rsidP="00A82B47">
            <w:pPr>
              <w:pStyle w:val="TableContents"/>
              <w:jc w:val="both"/>
            </w:pPr>
            <w:r>
              <w:t>3.471 × 10</w:t>
            </w:r>
            <w:proofErr w:type="gramStart"/>
            <w:r>
              <w:t>^{</w:t>
            </w:r>
            <w:proofErr w:type="gramEnd"/>
            <w:r>
              <w:t>-11}</w:t>
            </w:r>
          </w:p>
        </w:tc>
      </w:tr>
      <w:tr w:rsidR="00BB3BB3" w14:paraId="0DDF992A" w14:textId="77777777" w:rsidTr="004C658C">
        <w:tc>
          <w:tcPr>
            <w:tcW w:w="3208" w:type="dxa"/>
            <w:tcBorders>
              <w:left w:val="single" w:sz="4" w:space="0" w:color="000000"/>
              <w:bottom w:val="single" w:sz="4" w:space="0" w:color="000000"/>
            </w:tcBorders>
          </w:tcPr>
          <w:p w14:paraId="299D5F89" w14:textId="77777777" w:rsidR="00BB3BB3" w:rsidRDefault="00604A22" w:rsidP="00A82B47">
            <w:pPr>
              <w:pStyle w:val="TableContents"/>
              <w:jc w:val="both"/>
            </w:pPr>
            <w:r>
              <w:t>Monthly</w:t>
            </w:r>
          </w:p>
        </w:tc>
        <w:tc>
          <w:tcPr>
            <w:tcW w:w="3210" w:type="dxa"/>
            <w:tcBorders>
              <w:left w:val="single" w:sz="4" w:space="0" w:color="000000"/>
              <w:bottom w:val="single" w:sz="4" w:space="0" w:color="000000"/>
            </w:tcBorders>
          </w:tcPr>
          <w:p w14:paraId="1566D2EE" w14:textId="77777777" w:rsidR="00BB3BB3" w:rsidRDefault="00604A22" w:rsidP="00A82B47">
            <w:pPr>
              <w:pStyle w:val="TableContents"/>
              <w:jc w:val="both"/>
            </w:pPr>
            <w:r>
              <w:t>0.98122</w:t>
            </w:r>
          </w:p>
        </w:tc>
        <w:tc>
          <w:tcPr>
            <w:tcW w:w="3210" w:type="dxa"/>
            <w:tcBorders>
              <w:left w:val="single" w:sz="4" w:space="0" w:color="000000"/>
              <w:bottom w:val="single" w:sz="4" w:space="0" w:color="000000"/>
              <w:right w:val="single" w:sz="4" w:space="0" w:color="000000"/>
            </w:tcBorders>
          </w:tcPr>
          <w:p w14:paraId="24B6A4DE" w14:textId="77777777" w:rsidR="00BB3BB3" w:rsidRDefault="00604A22" w:rsidP="00A82B47">
            <w:pPr>
              <w:pStyle w:val="TableContents"/>
              <w:jc w:val="both"/>
            </w:pPr>
            <w:r>
              <w:t>0.07754</w:t>
            </w:r>
          </w:p>
        </w:tc>
      </w:tr>
    </w:tbl>
    <w:p w14:paraId="1BDC7FB5" w14:textId="77777777" w:rsidR="004C658C" w:rsidRDefault="004C658C" w:rsidP="00A82B47">
      <w:pPr>
        <w:pStyle w:val="BodyText"/>
        <w:jc w:val="both"/>
      </w:pPr>
    </w:p>
    <w:p w14:paraId="5603A2CB" w14:textId="2BBCFC86" w:rsidR="00BB3BB3" w:rsidRDefault="004C658C" w:rsidP="00A82B47">
      <w:pPr>
        <w:pStyle w:val="BodyText"/>
        <w:jc w:val="both"/>
      </w:pPr>
      <w:r w:rsidRPr="004C658C">
        <w:t>The test strongly rejected the null hypothesis of normality for weekly returns (p &lt; 0.001</w:t>
      </w:r>
      <w:r w:rsidR="004E2470" w:rsidRPr="004C658C">
        <w:t>) but</w:t>
      </w:r>
      <w:r w:rsidRPr="004C658C">
        <w:t xml:space="preserve"> failed to reject it for monthly returns (p = 0.07754 &gt; 0.05).</w:t>
      </w:r>
    </w:p>
    <w:p w14:paraId="64892AF9" w14:textId="77777777" w:rsidR="00BB3BB3" w:rsidRDefault="00604A22" w:rsidP="00A82B47">
      <w:pPr>
        <w:pStyle w:val="BodyText"/>
        <w:jc w:val="both"/>
        <w:rPr>
          <w:b/>
        </w:rPr>
      </w:pPr>
      <w:r>
        <w:rPr>
          <w:b/>
        </w:rPr>
        <w:t>3.3 Independence</w:t>
      </w:r>
    </w:p>
    <w:p w14:paraId="1BC1EEBA" w14:textId="77777777" w:rsidR="00A43A40" w:rsidRPr="0087585A" w:rsidRDefault="00A43A40" w:rsidP="00A82B47">
      <w:pPr>
        <w:pStyle w:val="BodyText"/>
        <w:jc w:val="both"/>
        <w:rPr>
          <w:rFonts w:ascii="Times New Roman" w:hAnsi="Times New Roman" w:cs="Times New Roman"/>
          <w:bCs/>
          <w:color w:val="00B0F0"/>
        </w:rPr>
      </w:pPr>
      <w:r w:rsidRPr="0087585A">
        <w:rPr>
          <w:rFonts w:ascii="Times New Roman" w:hAnsi="Times New Roman" w:cs="Times New Roman"/>
          <w:bCs/>
          <w:color w:val="00B0F0"/>
        </w:rPr>
        <w:t>The Hurst exponent was calculated as approximately 0.49 for weekly and 0.51 for monthly returns, close to 0.5, indicating random walk behavior and supporting the independence assumption.</w:t>
      </w:r>
    </w:p>
    <w:p w14:paraId="0817F7DC" w14:textId="77777777" w:rsidR="00A43A40" w:rsidRDefault="00A43A40" w:rsidP="00A82B47">
      <w:pPr>
        <w:pStyle w:val="BodyText"/>
        <w:jc w:val="both"/>
      </w:pPr>
    </w:p>
    <w:p w14:paraId="7D427B81" w14:textId="77777777" w:rsidR="00BB3BB3" w:rsidRDefault="00604A22" w:rsidP="00A82B47">
      <w:pPr>
        <w:pStyle w:val="BodyText"/>
        <w:jc w:val="both"/>
      </w:pPr>
      <w:r>
        <w:rPr>
          <w:b/>
        </w:rPr>
        <w:t>Table 3.</w:t>
      </w:r>
      <w:r>
        <w:t xml:space="preserve"> Ljung-Box Test for NSE returns</w:t>
      </w:r>
    </w:p>
    <w:tbl>
      <w:tblPr>
        <w:tblW w:w="5000" w:type="pct"/>
        <w:tblInd w:w="-5" w:type="dxa"/>
        <w:tblLayout w:type="fixed"/>
        <w:tblCellMar>
          <w:top w:w="55" w:type="dxa"/>
          <w:left w:w="55" w:type="dxa"/>
          <w:bottom w:w="55" w:type="dxa"/>
          <w:right w:w="55" w:type="dxa"/>
        </w:tblCellMar>
        <w:tblLook w:val="04A0" w:firstRow="1" w:lastRow="0" w:firstColumn="1" w:lastColumn="0" w:noHBand="0" w:noVBand="1"/>
      </w:tblPr>
      <w:tblGrid>
        <w:gridCol w:w="2407"/>
        <w:gridCol w:w="2407"/>
        <w:gridCol w:w="2407"/>
        <w:gridCol w:w="2407"/>
      </w:tblGrid>
      <w:tr w:rsidR="00BB3BB3" w14:paraId="5DB6AF56" w14:textId="77777777">
        <w:trPr>
          <w:tblHeader/>
        </w:trPr>
        <w:tc>
          <w:tcPr>
            <w:tcW w:w="2409" w:type="dxa"/>
            <w:tcBorders>
              <w:top w:val="single" w:sz="4" w:space="0" w:color="000000"/>
              <w:left w:val="single" w:sz="4" w:space="0" w:color="000000"/>
              <w:bottom w:val="single" w:sz="4" w:space="0" w:color="000000"/>
            </w:tcBorders>
          </w:tcPr>
          <w:p w14:paraId="7A88F706" w14:textId="77777777" w:rsidR="00BB3BB3" w:rsidRDefault="00604A22" w:rsidP="00A82B47">
            <w:pPr>
              <w:pStyle w:val="TableHeading"/>
              <w:jc w:val="both"/>
            </w:pPr>
            <w:r>
              <w:t>Time Series</w:t>
            </w:r>
          </w:p>
        </w:tc>
        <w:tc>
          <w:tcPr>
            <w:tcW w:w="2410" w:type="dxa"/>
            <w:tcBorders>
              <w:top w:val="single" w:sz="4" w:space="0" w:color="000000"/>
              <w:left w:val="single" w:sz="4" w:space="0" w:color="000000"/>
              <w:bottom w:val="single" w:sz="4" w:space="0" w:color="000000"/>
            </w:tcBorders>
          </w:tcPr>
          <w:p w14:paraId="7379A86C" w14:textId="77777777" w:rsidR="00BB3BB3" w:rsidRDefault="00604A22" w:rsidP="00A82B47">
            <w:pPr>
              <w:pStyle w:val="TableHeading"/>
              <w:jc w:val="both"/>
            </w:pPr>
            <w:r>
              <w:t>X-squared</w:t>
            </w:r>
          </w:p>
        </w:tc>
        <w:tc>
          <w:tcPr>
            <w:tcW w:w="2409" w:type="dxa"/>
            <w:tcBorders>
              <w:top w:val="single" w:sz="4" w:space="0" w:color="000000"/>
              <w:left w:val="single" w:sz="4" w:space="0" w:color="000000"/>
              <w:bottom w:val="single" w:sz="4" w:space="0" w:color="000000"/>
            </w:tcBorders>
          </w:tcPr>
          <w:p w14:paraId="1D3F3232" w14:textId="77777777" w:rsidR="00BB3BB3" w:rsidRDefault="00604A22" w:rsidP="00A82B47">
            <w:pPr>
              <w:pStyle w:val="TableHeading"/>
              <w:jc w:val="both"/>
            </w:pPr>
            <w:proofErr w:type="spellStart"/>
            <w:r>
              <w:t>df</w:t>
            </w:r>
            <w:proofErr w:type="spellEnd"/>
          </w:p>
        </w:tc>
        <w:tc>
          <w:tcPr>
            <w:tcW w:w="2410" w:type="dxa"/>
            <w:tcBorders>
              <w:top w:val="single" w:sz="4" w:space="0" w:color="000000"/>
              <w:left w:val="single" w:sz="4" w:space="0" w:color="000000"/>
              <w:bottom w:val="single" w:sz="4" w:space="0" w:color="000000"/>
              <w:right w:val="single" w:sz="4" w:space="0" w:color="000000"/>
            </w:tcBorders>
          </w:tcPr>
          <w:p w14:paraId="1C755E7D" w14:textId="77777777" w:rsidR="00BB3BB3" w:rsidRDefault="00604A22" w:rsidP="00A82B47">
            <w:pPr>
              <w:pStyle w:val="TableHeading"/>
              <w:jc w:val="both"/>
            </w:pPr>
            <w:r>
              <w:t>p-value</w:t>
            </w:r>
          </w:p>
        </w:tc>
      </w:tr>
      <w:tr w:rsidR="00BB3BB3" w14:paraId="5F06C121" w14:textId="77777777">
        <w:tc>
          <w:tcPr>
            <w:tcW w:w="2409" w:type="dxa"/>
            <w:tcBorders>
              <w:left w:val="single" w:sz="4" w:space="0" w:color="000000"/>
              <w:bottom w:val="single" w:sz="4" w:space="0" w:color="000000"/>
            </w:tcBorders>
          </w:tcPr>
          <w:p w14:paraId="44714C7C" w14:textId="77777777" w:rsidR="00BB3BB3" w:rsidRDefault="00604A22" w:rsidP="00A82B47">
            <w:pPr>
              <w:pStyle w:val="TableContents"/>
              <w:jc w:val="both"/>
            </w:pPr>
            <w:r>
              <w:t>Weekly</w:t>
            </w:r>
          </w:p>
        </w:tc>
        <w:tc>
          <w:tcPr>
            <w:tcW w:w="2410" w:type="dxa"/>
            <w:tcBorders>
              <w:left w:val="single" w:sz="4" w:space="0" w:color="000000"/>
              <w:bottom w:val="single" w:sz="4" w:space="0" w:color="000000"/>
            </w:tcBorders>
          </w:tcPr>
          <w:p w14:paraId="49900D82" w14:textId="77777777" w:rsidR="00BB3BB3" w:rsidRDefault="00604A22" w:rsidP="00A82B47">
            <w:pPr>
              <w:pStyle w:val="TableContents"/>
              <w:jc w:val="both"/>
            </w:pPr>
            <w:r>
              <w:t>21.491</w:t>
            </w:r>
          </w:p>
        </w:tc>
        <w:tc>
          <w:tcPr>
            <w:tcW w:w="2409" w:type="dxa"/>
            <w:tcBorders>
              <w:left w:val="single" w:sz="4" w:space="0" w:color="000000"/>
              <w:bottom w:val="single" w:sz="4" w:space="0" w:color="000000"/>
            </w:tcBorders>
          </w:tcPr>
          <w:p w14:paraId="3663139C" w14:textId="77777777" w:rsidR="00BB3BB3" w:rsidRDefault="00604A22" w:rsidP="00A82B47">
            <w:pPr>
              <w:pStyle w:val="TableContents"/>
              <w:jc w:val="both"/>
            </w:pPr>
            <w:r>
              <w:t>20</w:t>
            </w:r>
          </w:p>
        </w:tc>
        <w:tc>
          <w:tcPr>
            <w:tcW w:w="2410" w:type="dxa"/>
            <w:tcBorders>
              <w:left w:val="single" w:sz="4" w:space="0" w:color="000000"/>
              <w:bottom w:val="single" w:sz="4" w:space="0" w:color="000000"/>
              <w:right w:val="single" w:sz="4" w:space="0" w:color="000000"/>
            </w:tcBorders>
          </w:tcPr>
          <w:p w14:paraId="11F42A48" w14:textId="77777777" w:rsidR="00BB3BB3" w:rsidRDefault="00604A22" w:rsidP="00A82B47">
            <w:pPr>
              <w:pStyle w:val="TableContents"/>
              <w:jc w:val="both"/>
            </w:pPr>
            <w:r>
              <w:t>0.3687</w:t>
            </w:r>
          </w:p>
        </w:tc>
      </w:tr>
      <w:tr w:rsidR="00BB3BB3" w14:paraId="556F901C" w14:textId="77777777">
        <w:tc>
          <w:tcPr>
            <w:tcW w:w="2409" w:type="dxa"/>
            <w:tcBorders>
              <w:left w:val="single" w:sz="4" w:space="0" w:color="000000"/>
              <w:bottom w:val="single" w:sz="4" w:space="0" w:color="000000"/>
            </w:tcBorders>
          </w:tcPr>
          <w:p w14:paraId="212BF8F0" w14:textId="77777777" w:rsidR="00BB3BB3" w:rsidRDefault="00604A22" w:rsidP="00A82B47">
            <w:pPr>
              <w:pStyle w:val="TableContents"/>
              <w:jc w:val="both"/>
            </w:pPr>
            <w:r>
              <w:t>Monthly</w:t>
            </w:r>
          </w:p>
        </w:tc>
        <w:tc>
          <w:tcPr>
            <w:tcW w:w="2410" w:type="dxa"/>
            <w:tcBorders>
              <w:left w:val="single" w:sz="4" w:space="0" w:color="000000"/>
              <w:bottom w:val="single" w:sz="4" w:space="0" w:color="000000"/>
            </w:tcBorders>
          </w:tcPr>
          <w:p w14:paraId="2EF9E2E2" w14:textId="77777777" w:rsidR="00BB3BB3" w:rsidRDefault="00604A22" w:rsidP="00A82B47">
            <w:pPr>
              <w:pStyle w:val="TableContents"/>
              <w:jc w:val="both"/>
            </w:pPr>
            <w:r>
              <w:t>11.435</w:t>
            </w:r>
          </w:p>
        </w:tc>
        <w:tc>
          <w:tcPr>
            <w:tcW w:w="2409" w:type="dxa"/>
            <w:tcBorders>
              <w:left w:val="single" w:sz="4" w:space="0" w:color="000000"/>
              <w:bottom w:val="single" w:sz="4" w:space="0" w:color="000000"/>
            </w:tcBorders>
          </w:tcPr>
          <w:p w14:paraId="4381CDD2" w14:textId="77777777" w:rsidR="00BB3BB3" w:rsidRDefault="00604A22" w:rsidP="00A82B47">
            <w:pPr>
              <w:pStyle w:val="TableContents"/>
              <w:jc w:val="both"/>
            </w:pPr>
            <w:r>
              <w:t>20</w:t>
            </w:r>
          </w:p>
        </w:tc>
        <w:tc>
          <w:tcPr>
            <w:tcW w:w="2410" w:type="dxa"/>
            <w:tcBorders>
              <w:left w:val="single" w:sz="4" w:space="0" w:color="000000"/>
              <w:bottom w:val="single" w:sz="4" w:space="0" w:color="000000"/>
              <w:right w:val="single" w:sz="4" w:space="0" w:color="000000"/>
            </w:tcBorders>
          </w:tcPr>
          <w:p w14:paraId="65C1C355" w14:textId="77777777" w:rsidR="00BB3BB3" w:rsidRDefault="00604A22" w:rsidP="00A82B47">
            <w:pPr>
              <w:pStyle w:val="TableContents"/>
              <w:jc w:val="both"/>
            </w:pPr>
            <w:r>
              <w:t>0.9342</w:t>
            </w:r>
          </w:p>
        </w:tc>
      </w:tr>
    </w:tbl>
    <w:p w14:paraId="33F86228" w14:textId="77777777" w:rsidR="00BB3BB3" w:rsidRDefault="00BB3BB3" w:rsidP="00A82B47">
      <w:pPr>
        <w:pStyle w:val="BodyText"/>
        <w:jc w:val="both"/>
      </w:pPr>
    </w:p>
    <w:p w14:paraId="5FC5FFA5" w14:textId="77777777" w:rsidR="00EA5296" w:rsidRDefault="00604A22" w:rsidP="00A82B47">
      <w:pPr>
        <w:pStyle w:val="BodyText"/>
        <w:jc w:val="both"/>
      </w:pPr>
      <w:r>
        <w:rPr>
          <w:b/>
        </w:rPr>
        <w:t>Discussion:</w:t>
      </w:r>
      <w:r>
        <w:t xml:space="preserve"> </w:t>
      </w:r>
    </w:p>
    <w:p w14:paraId="369F5332" w14:textId="31806E08" w:rsidR="00A42AF4" w:rsidRPr="00A42AF4" w:rsidRDefault="00A42AF4" w:rsidP="00A82B47">
      <w:pPr>
        <w:widowControl/>
        <w:suppressAutoHyphens w:val="0"/>
        <w:spacing w:before="100" w:beforeAutospacing="1" w:after="100" w:afterAutospacing="1"/>
        <w:jc w:val="both"/>
        <w:rPr>
          <w:rFonts w:ascii="Times New Roman" w:eastAsia="Times New Roman" w:hAnsi="Times New Roman" w:cs="Times New Roman"/>
          <w:lang w:bidi="ar-SA"/>
        </w:rPr>
      </w:pPr>
      <w:r w:rsidRPr="00A42AF4">
        <w:rPr>
          <w:rFonts w:ascii="Times New Roman" w:eastAsia="Times New Roman" w:hAnsi="Times New Roman" w:cs="Times New Roman"/>
          <w:lang w:bidi="ar-SA"/>
        </w:rPr>
        <w:t xml:space="preserve">The combined visual and statistical analysis reveals important frequency-dependent </w:t>
      </w:r>
      <w:r w:rsidR="0087585A" w:rsidRPr="00A42AF4">
        <w:rPr>
          <w:rFonts w:ascii="Times New Roman" w:eastAsia="Times New Roman" w:hAnsi="Times New Roman" w:cs="Times New Roman"/>
          <w:lang w:bidi="ar-SA"/>
        </w:rPr>
        <w:t>behavior</w:t>
      </w:r>
      <w:r w:rsidRPr="00A42AF4">
        <w:rPr>
          <w:rFonts w:ascii="Times New Roman" w:eastAsia="Times New Roman" w:hAnsi="Times New Roman" w:cs="Times New Roman"/>
          <w:lang w:bidi="ar-SA"/>
        </w:rPr>
        <w:t xml:space="preserve"> in NSE returns. Monthly returns fully satisfy all three core assumptions of the Geometric Brownian Motion model. Weekly returns, however, significantly violate the normality assumption due to pronounced leptokurtosis and heavy tails. This pattern is clearly illustrated by the histograms and Q-Q plots.</w:t>
      </w:r>
    </w:p>
    <w:p w14:paraId="194770C5" w14:textId="77777777" w:rsidR="00A42AF4" w:rsidRPr="00A42AF4" w:rsidRDefault="00A42AF4" w:rsidP="00A82B47">
      <w:pPr>
        <w:widowControl/>
        <w:suppressAutoHyphens w:val="0"/>
        <w:spacing w:before="100" w:beforeAutospacing="1" w:after="100" w:afterAutospacing="1"/>
        <w:jc w:val="both"/>
        <w:rPr>
          <w:rFonts w:ascii="Times New Roman" w:eastAsia="Times New Roman" w:hAnsi="Times New Roman" w:cs="Times New Roman"/>
          <w:lang w:bidi="ar-SA"/>
        </w:rPr>
      </w:pPr>
      <w:r w:rsidRPr="00A42AF4">
        <w:rPr>
          <w:rFonts w:ascii="Times New Roman" w:eastAsia="Times New Roman" w:hAnsi="Times New Roman" w:cs="Times New Roman"/>
          <w:lang w:bidi="ar-SA"/>
        </w:rPr>
        <w:lastRenderedPageBreak/>
        <w:t>The time series plots confirm mean reversion and support the stationarity assumption. In addition, the Ljung-Box test shows no significant serial correlation, which supports the independence assumption for both weekly and monthly returns. These findings are consistent with previous studies conducted in other African emerging markets (</w:t>
      </w:r>
      <w:proofErr w:type="spellStart"/>
      <w:r w:rsidRPr="00A42AF4">
        <w:rPr>
          <w:rFonts w:ascii="Times New Roman" w:eastAsia="Times New Roman" w:hAnsi="Times New Roman" w:cs="Times New Roman"/>
          <w:lang w:bidi="ar-SA"/>
        </w:rPr>
        <w:t>Quayesam</w:t>
      </w:r>
      <w:proofErr w:type="spellEnd"/>
      <w:r w:rsidRPr="00A42AF4">
        <w:rPr>
          <w:rFonts w:ascii="Times New Roman" w:eastAsia="Times New Roman" w:hAnsi="Times New Roman" w:cs="Times New Roman"/>
          <w:lang w:bidi="ar-SA"/>
        </w:rPr>
        <w:t xml:space="preserve"> et al., 2024).</w:t>
      </w:r>
    </w:p>
    <w:p w14:paraId="64BDF39B" w14:textId="77777777" w:rsidR="00A42AF4" w:rsidRPr="00A42AF4" w:rsidRDefault="00A42AF4" w:rsidP="00A82B47">
      <w:pPr>
        <w:widowControl/>
        <w:suppressAutoHyphens w:val="0"/>
        <w:spacing w:before="100" w:beforeAutospacing="1" w:after="100" w:afterAutospacing="1"/>
        <w:jc w:val="both"/>
        <w:rPr>
          <w:rFonts w:ascii="Times New Roman" w:eastAsia="Times New Roman" w:hAnsi="Times New Roman" w:cs="Times New Roman"/>
          <w:lang w:bidi="ar-SA"/>
        </w:rPr>
      </w:pPr>
      <w:r w:rsidRPr="00A42AF4">
        <w:rPr>
          <w:rFonts w:ascii="Times New Roman" w:eastAsia="Times New Roman" w:hAnsi="Times New Roman" w:cs="Times New Roman"/>
          <w:lang w:bidi="ar-SA"/>
        </w:rPr>
        <w:t xml:space="preserve">Such studies have shown that higher-frequency data tend to deviate more from normality because of thin trading, news shocks, and market microstructure effects (Mettle et al., 2014; </w:t>
      </w:r>
      <w:proofErr w:type="spellStart"/>
      <w:r w:rsidRPr="00A42AF4">
        <w:rPr>
          <w:rFonts w:ascii="Times New Roman" w:eastAsia="Times New Roman" w:hAnsi="Times New Roman" w:cs="Times New Roman"/>
          <w:lang w:bidi="ar-SA"/>
        </w:rPr>
        <w:t>Nkemnole</w:t>
      </w:r>
      <w:proofErr w:type="spellEnd"/>
      <w:r w:rsidRPr="00A42AF4">
        <w:rPr>
          <w:rFonts w:ascii="Times New Roman" w:eastAsia="Times New Roman" w:hAnsi="Times New Roman" w:cs="Times New Roman"/>
          <w:lang w:bidi="ar-SA"/>
        </w:rPr>
        <w:t xml:space="preserve">, 2019). The relatively better performance of monthly returns also aligns with findings reported by Toby and </w:t>
      </w:r>
      <w:proofErr w:type="spellStart"/>
      <w:r w:rsidRPr="00A42AF4">
        <w:rPr>
          <w:rFonts w:ascii="Times New Roman" w:eastAsia="Times New Roman" w:hAnsi="Times New Roman" w:cs="Times New Roman"/>
          <w:lang w:bidi="ar-SA"/>
        </w:rPr>
        <w:t>Agbam</w:t>
      </w:r>
      <w:proofErr w:type="spellEnd"/>
      <w:r w:rsidRPr="00A42AF4">
        <w:rPr>
          <w:rFonts w:ascii="Times New Roman" w:eastAsia="Times New Roman" w:hAnsi="Times New Roman" w:cs="Times New Roman"/>
          <w:lang w:bidi="ar-SA"/>
        </w:rPr>
        <w:t xml:space="preserve"> (2021).</w:t>
      </w:r>
    </w:p>
    <w:p w14:paraId="66376A6E" w14:textId="77777777" w:rsidR="00A42AF4" w:rsidRPr="00A42AF4" w:rsidRDefault="00A42AF4" w:rsidP="00A82B47">
      <w:pPr>
        <w:widowControl/>
        <w:suppressAutoHyphens w:val="0"/>
        <w:spacing w:before="100" w:beforeAutospacing="1" w:after="100" w:afterAutospacing="1"/>
        <w:jc w:val="both"/>
        <w:rPr>
          <w:rFonts w:ascii="Times New Roman" w:eastAsia="Times New Roman" w:hAnsi="Times New Roman" w:cs="Times New Roman"/>
          <w:lang w:bidi="ar-SA"/>
        </w:rPr>
      </w:pPr>
      <w:r w:rsidRPr="00A42AF4">
        <w:rPr>
          <w:rFonts w:ascii="Times New Roman" w:eastAsia="Times New Roman" w:hAnsi="Times New Roman" w:cs="Times New Roman"/>
          <w:lang w:bidi="ar-SA"/>
        </w:rPr>
        <w:t>Overall, the results suggest that monthly returns from the NSE are more suitable for Geometric Brownian Motion modelling than weekly returns. The standard GBM model therefore performs better when applied to monthly data in this market. For weekly data, more advanced approaches such as regime-switching GBM or jump-diffusion models may be necessary to better account for the observed deviations from normality.</w:t>
      </w:r>
    </w:p>
    <w:p w14:paraId="6B6D3A87" w14:textId="41A8BE24" w:rsidR="00A42AF4" w:rsidRPr="00A42AF4" w:rsidRDefault="00A42AF4" w:rsidP="00A82B47">
      <w:pPr>
        <w:widowControl/>
        <w:suppressAutoHyphens w:val="0"/>
        <w:spacing w:before="100" w:beforeAutospacing="1" w:after="100" w:afterAutospacing="1"/>
        <w:jc w:val="both"/>
        <w:rPr>
          <w:rFonts w:ascii="Times New Roman" w:eastAsia="Times New Roman" w:hAnsi="Times New Roman" w:cs="Times New Roman"/>
          <w:lang w:bidi="ar-SA"/>
        </w:rPr>
      </w:pPr>
      <w:r w:rsidRPr="00A42AF4">
        <w:rPr>
          <w:rFonts w:ascii="Times New Roman" w:eastAsia="Times New Roman" w:hAnsi="Times New Roman" w:cs="Times New Roman"/>
          <w:lang w:bidi="ar-SA"/>
        </w:rPr>
        <w:t xml:space="preserve">These findings have practical implications for investors, portfolio managers, and financial analysts operating in the Kenyan capital market. They indicate that using the standard GBM model with weekly data without proper adjustments may result in underestimation of extreme risks and less reliable forecasts. The study therefore emphasizes the need for thorough validation of model assumptions before applying stochastic processes in emerging markets like the </w:t>
      </w:r>
      <w:r w:rsidR="0087585A" w:rsidRPr="00A42AF4">
        <w:rPr>
          <w:rFonts w:ascii="Times New Roman" w:eastAsia="Times New Roman" w:hAnsi="Times New Roman" w:cs="Times New Roman"/>
          <w:lang w:bidi="ar-SA"/>
        </w:rPr>
        <w:t>NSE. The</w:t>
      </w:r>
      <w:r w:rsidRPr="00A42AF4">
        <w:rPr>
          <w:rFonts w:ascii="Times New Roman" w:eastAsia="Times New Roman" w:hAnsi="Times New Roman" w:cs="Times New Roman"/>
          <w:lang w:bidi="ar-SA"/>
        </w:rPr>
        <w:t xml:space="preserve"> combined visual and statistical analysis reveals important frequency-dependent </w:t>
      </w:r>
      <w:r w:rsidR="0087585A" w:rsidRPr="00A42AF4">
        <w:rPr>
          <w:rFonts w:ascii="Times New Roman" w:eastAsia="Times New Roman" w:hAnsi="Times New Roman" w:cs="Times New Roman"/>
          <w:lang w:bidi="ar-SA"/>
        </w:rPr>
        <w:t>behavior</w:t>
      </w:r>
      <w:r w:rsidRPr="00A42AF4">
        <w:rPr>
          <w:rFonts w:ascii="Times New Roman" w:eastAsia="Times New Roman" w:hAnsi="Times New Roman" w:cs="Times New Roman"/>
          <w:lang w:bidi="ar-SA"/>
        </w:rPr>
        <w:t xml:space="preserve"> in NSE returns. Monthly returns fully satisfy all three core assumptions of the Geometric Brownian Motion model. Weekly returns, however, significantly violate the normality assumption due to pronounced leptokurtosis and heavy tails. This pattern is clearly illustrated by the histograms and Q-Q plots.</w:t>
      </w:r>
    </w:p>
    <w:p w14:paraId="586B3066" w14:textId="77777777" w:rsidR="00A42AF4" w:rsidRPr="00A42AF4" w:rsidRDefault="00A42AF4" w:rsidP="00A82B47">
      <w:pPr>
        <w:widowControl/>
        <w:suppressAutoHyphens w:val="0"/>
        <w:spacing w:before="100" w:beforeAutospacing="1" w:after="100" w:afterAutospacing="1"/>
        <w:jc w:val="both"/>
        <w:rPr>
          <w:rFonts w:ascii="Times New Roman" w:eastAsia="Times New Roman" w:hAnsi="Times New Roman" w:cs="Times New Roman"/>
          <w:lang w:bidi="ar-SA"/>
        </w:rPr>
      </w:pPr>
      <w:r w:rsidRPr="00A42AF4">
        <w:rPr>
          <w:rFonts w:ascii="Times New Roman" w:eastAsia="Times New Roman" w:hAnsi="Times New Roman" w:cs="Times New Roman"/>
          <w:lang w:bidi="ar-SA"/>
        </w:rPr>
        <w:t>The time series plots confirm mean reversion and support the stationarity assumption. In addition, the Ljung-Box test shows no significant serial correlation, which supports the independence assumption for both weekly and monthly returns. These findings are consistent with previous studies conducted in other African emerging markets (</w:t>
      </w:r>
      <w:proofErr w:type="spellStart"/>
      <w:r w:rsidRPr="00A42AF4">
        <w:rPr>
          <w:rFonts w:ascii="Times New Roman" w:eastAsia="Times New Roman" w:hAnsi="Times New Roman" w:cs="Times New Roman"/>
          <w:lang w:bidi="ar-SA"/>
        </w:rPr>
        <w:t>Quayesam</w:t>
      </w:r>
      <w:proofErr w:type="spellEnd"/>
      <w:r w:rsidRPr="00A42AF4">
        <w:rPr>
          <w:rFonts w:ascii="Times New Roman" w:eastAsia="Times New Roman" w:hAnsi="Times New Roman" w:cs="Times New Roman"/>
          <w:lang w:bidi="ar-SA"/>
        </w:rPr>
        <w:t xml:space="preserve"> et al., 2024).</w:t>
      </w:r>
    </w:p>
    <w:p w14:paraId="232C8D80" w14:textId="77777777" w:rsidR="00A42AF4" w:rsidRPr="00A42AF4" w:rsidRDefault="00A42AF4" w:rsidP="00A82B47">
      <w:pPr>
        <w:widowControl/>
        <w:suppressAutoHyphens w:val="0"/>
        <w:spacing w:before="100" w:beforeAutospacing="1" w:after="100" w:afterAutospacing="1"/>
        <w:jc w:val="both"/>
        <w:rPr>
          <w:rFonts w:ascii="Times New Roman" w:eastAsia="Times New Roman" w:hAnsi="Times New Roman" w:cs="Times New Roman"/>
          <w:lang w:bidi="ar-SA"/>
        </w:rPr>
      </w:pPr>
      <w:r w:rsidRPr="00A42AF4">
        <w:rPr>
          <w:rFonts w:ascii="Times New Roman" w:eastAsia="Times New Roman" w:hAnsi="Times New Roman" w:cs="Times New Roman"/>
          <w:lang w:bidi="ar-SA"/>
        </w:rPr>
        <w:t xml:space="preserve">Such studies have shown that higher-frequency data tend to deviate more from normality because of thin trading, news shocks, and market microstructure effects (Mettle et al., 2014; </w:t>
      </w:r>
      <w:proofErr w:type="spellStart"/>
      <w:r w:rsidRPr="00A42AF4">
        <w:rPr>
          <w:rFonts w:ascii="Times New Roman" w:eastAsia="Times New Roman" w:hAnsi="Times New Roman" w:cs="Times New Roman"/>
          <w:lang w:bidi="ar-SA"/>
        </w:rPr>
        <w:t>Nkemnole</w:t>
      </w:r>
      <w:proofErr w:type="spellEnd"/>
      <w:r w:rsidRPr="00A42AF4">
        <w:rPr>
          <w:rFonts w:ascii="Times New Roman" w:eastAsia="Times New Roman" w:hAnsi="Times New Roman" w:cs="Times New Roman"/>
          <w:lang w:bidi="ar-SA"/>
        </w:rPr>
        <w:t xml:space="preserve">, 2019). The relatively better performance of monthly returns also aligns with findings reported by Toby and </w:t>
      </w:r>
      <w:proofErr w:type="spellStart"/>
      <w:r w:rsidRPr="00A42AF4">
        <w:rPr>
          <w:rFonts w:ascii="Times New Roman" w:eastAsia="Times New Roman" w:hAnsi="Times New Roman" w:cs="Times New Roman"/>
          <w:lang w:bidi="ar-SA"/>
        </w:rPr>
        <w:t>Agbam</w:t>
      </w:r>
      <w:proofErr w:type="spellEnd"/>
      <w:r w:rsidRPr="00A42AF4">
        <w:rPr>
          <w:rFonts w:ascii="Times New Roman" w:eastAsia="Times New Roman" w:hAnsi="Times New Roman" w:cs="Times New Roman"/>
          <w:lang w:bidi="ar-SA"/>
        </w:rPr>
        <w:t xml:space="preserve"> (2021).</w:t>
      </w:r>
    </w:p>
    <w:p w14:paraId="7F3D362C" w14:textId="77777777" w:rsidR="00A42AF4" w:rsidRPr="00A42AF4" w:rsidRDefault="00A42AF4" w:rsidP="00A82B47">
      <w:pPr>
        <w:widowControl/>
        <w:suppressAutoHyphens w:val="0"/>
        <w:spacing w:before="100" w:beforeAutospacing="1" w:after="100" w:afterAutospacing="1"/>
        <w:jc w:val="both"/>
        <w:rPr>
          <w:rFonts w:ascii="Times New Roman" w:eastAsia="Times New Roman" w:hAnsi="Times New Roman" w:cs="Times New Roman"/>
          <w:lang w:bidi="ar-SA"/>
        </w:rPr>
      </w:pPr>
      <w:r w:rsidRPr="00A42AF4">
        <w:rPr>
          <w:rFonts w:ascii="Times New Roman" w:eastAsia="Times New Roman" w:hAnsi="Times New Roman" w:cs="Times New Roman"/>
          <w:lang w:bidi="ar-SA"/>
        </w:rPr>
        <w:t>Overall, the results suggest that monthly returns from the NSE are more suitable for Geometric Brownian Motion modelling than weekly returns. The standard GBM model therefore performs better when applied to monthly data in this market. For weekly data, more advanced approaches such as regime-switching GBM or jump-diffusion models may be necessary to better account for the observed deviations from normality.</w:t>
      </w:r>
    </w:p>
    <w:p w14:paraId="6A542B8B" w14:textId="77777777" w:rsidR="00A42AF4" w:rsidRDefault="00A42AF4" w:rsidP="00A82B47">
      <w:pPr>
        <w:widowControl/>
        <w:suppressAutoHyphens w:val="0"/>
        <w:spacing w:before="100" w:beforeAutospacing="1" w:after="100" w:afterAutospacing="1"/>
        <w:jc w:val="both"/>
        <w:rPr>
          <w:rFonts w:ascii="Times New Roman" w:eastAsia="Times New Roman" w:hAnsi="Times New Roman" w:cs="Times New Roman"/>
          <w:lang w:bidi="ar-SA"/>
        </w:rPr>
      </w:pPr>
      <w:r w:rsidRPr="00A42AF4">
        <w:rPr>
          <w:rFonts w:ascii="Times New Roman" w:eastAsia="Times New Roman" w:hAnsi="Times New Roman" w:cs="Times New Roman"/>
          <w:lang w:bidi="ar-SA"/>
        </w:rPr>
        <w:t>These findings have practical implications for investors, portfolio managers, and financial analysts operating in the Kenyan capital market. They indicate that using the standard GBM model with weekly data without proper adjustments may result in underestimation of extreme risks and less reliable forecasts. The study therefore emphasizes the need for thorough validation of model assumptions before applying stochastic processes in emerging markets like the NSE.</w:t>
      </w:r>
    </w:p>
    <w:p w14:paraId="42984B19" w14:textId="77777777" w:rsidR="00A43A40" w:rsidRPr="0087585A" w:rsidRDefault="00A43A40" w:rsidP="00A82B47">
      <w:pPr>
        <w:widowControl/>
        <w:suppressAutoHyphens w:val="0"/>
        <w:spacing w:before="100" w:beforeAutospacing="1" w:after="100" w:afterAutospacing="1"/>
        <w:jc w:val="both"/>
        <w:rPr>
          <w:rFonts w:ascii="Times New Roman" w:eastAsia="Times New Roman" w:hAnsi="Times New Roman" w:cs="Times New Roman"/>
          <w:b/>
          <w:bCs/>
          <w:color w:val="00B0F0"/>
          <w:lang w:bidi="ar-SA"/>
        </w:rPr>
      </w:pPr>
      <w:r w:rsidRPr="0087585A">
        <w:rPr>
          <w:rFonts w:ascii="Times New Roman" w:eastAsia="Times New Roman" w:hAnsi="Times New Roman" w:cs="Times New Roman"/>
          <w:b/>
          <w:bCs/>
          <w:color w:val="00B0F0"/>
          <w:lang w:bidi="ar-SA"/>
        </w:rPr>
        <w:t>Limitations of the Study</w:t>
      </w:r>
    </w:p>
    <w:p w14:paraId="6785E628" w14:textId="0366F22E" w:rsidR="00A43A40" w:rsidRPr="0087585A" w:rsidRDefault="00CB045B" w:rsidP="00A82B47">
      <w:pPr>
        <w:widowControl/>
        <w:suppressAutoHyphens w:val="0"/>
        <w:spacing w:before="100" w:beforeAutospacing="1" w:after="100" w:afterAutospacing="1"/>
        <w:jc w:val="both"/>
        <w:rPr>
          <w:rFonts w:ascii="Times New Roman" w:eastAsia="Times New Roman" w:hAnsi="Times New Roman" w:cs="Times New Roman"/>
          <w:color w:val="00B0F0"/>
          <w:lang w:bidi="ar-SA"/>
        </w:rPr>
      </w:pPr>
      <w:r>
        <w:t xml:space="preserve">This study has several limitations. First, the analysis is restricted to the Nairobi Securities Exchange 20-Share Index over the period from January 2016 to December 2024. Therefore, the findings may </w:t>
      </w:r>
      <w:r>
        <w:lastRenderedPageBreak/>
        <w:t xml:space="preserve">not fully represent the behavior of individual listed stocks, other Kenyan market indices, or different time periods. Second, the study uses weekly and monthly aggregated returns, and such aggregation may smooth short-term market movements. Third, the analysis focuses on basic diagnostic tests for stationarity, normality, and independence. More advanced methods for volatility dynamics, structural breaks, and tail behavior were not included. Fourth, the study assesses whether the data are consistent with selected assumptions of the Geometric Brownian Motion model, but it does not evaluate forecasting accuracy or compare model performance against alternative stochastic models. These limitations should be considered when interpreting the results and applying them to practical financial </w:t>
      </w:r>
      <w:proofErr w:type="gramStart"/>
      <w:r>
        <w:t>modelling.</w:t>
      </w:r>
      <w:r w:rsidR="00A43A40" w:rsidRPr="0087585A">
        <w:rPr>
          <w:rFonts w:ascii="Times New Roman" w:eastAsia="Times New Roman" w:hAnsi="Times New Roman" w:cs="Times New Roman"/>
          <w:color w:val="00B0F0"/>
          <w:lang w:bidi="ar-SA"/>
        </w:rPr>
        <w:t>.</w:t>
      </w:r>
      <w:proofErr w:type="gramEnd"/>
    </w:p>
    <w:p w14:paraId="3C37C549" w14:textId="77777777" w:rsidR="00A43A40" w:rsidRPr="00A42AF4" w:rsidRDefault="00A43A40" w:rsidP="00A82B47">
      <w:pPr>
        <w:widowControl/>
        <w:suppressAutoHyphens w:val="0"/>
        <w:spacing w:before="100" w:beforeAutospacing="1" w:after="100" w:afterAutospacing="1"/>
        <w:jc w:val="both"/>
        <w:rPr>
          <w:rFonts w:ascii="Times New Roman" w:eastAsia="Times New Roman" w:hAnsi="Times New Roman" w:cs="Times New Roman"/>
          <w:lang w:bidi="ar-SA"/>
        </w:rPr>
      </w:pPr>
    </w:p>
    <w:p w14:paraId="078DED44" w14:textId="77777777" w:rsidR="00BB3BB3" w:rsidRDefault="00604A22" w:rsidP="00A82B47">
      <w:pPr>
        <w:pStyle w:val="BodyText"/>
        <w:jc w:val="both"/>
      </w:pPr>
      <w:r>
        <w:rPr>
          <w:b/>
        </w:rPr>
        <w:t>4. CONCLUSION</w:t>
      </w:r>
    </w:p>
    <w:p w14:paraId="3DBC627A" w14:textId="07001355" w:rsidR="00CB045B" w:rsidRPr="00CB045B" w:rsidRDefault="00CB045B" w:rsidP="00A82B47">
      <w:pPr>
        <w:widowControl/>
        <w:suppressAutoHyphens w:val="0"/>
        <w:spacing w:before="100" w:beforeAutospacing="1" w:after="100" w:afterAutospacing="1"/>
        <w:jc w:val="both"/>
        <w:rPr>
          <w:rFonts w:ascii="Times New Roman" w:eastAsia="Times New Roman" w:hAnsi="Times New Roman" w:cs="Times New Roman"/>
          <w:lang w:eastAsia="en-US" w:bidi="ar-SA"/>
        </w:rPr>
      </w:pPr>
      <w:r w:rsidRPr="00CB045B">
        <w:rPr>
          <w:rFonts w:ascii="Times New Roman" w:eastAsia="Times New Roman" w:hAnsi="Times New Roman" w:cs="Times New Roman"/>
          <w:lang w:eastAsia="en-US" w:bidi="ar-SA"/>
        </w:rPr>
        <w:t>This study evaluated the suitability of the Geometric Brownian Motion model for Nairobi Securities Exchange 20-Share Index returns by testing three core assumptions: stationarity, normality, and independence. The analysis showed that both weekly and monthly logarithmic returns were stationary, as indicated by the Augmented Dickey-Fuller test results. The independence assumption was also supported for both data frequencies, based on the Ljung-Box test and Hurst exponent values close to 0.5.</w:t>
      </w:r>
      <w:r>
        <w:rPr>
          <w:rFonts w:ascii="Times New Roman" w:eastAsia="Times New Roman" w:hAnsi="Times New Roman" w:cs="Times New Roman"/>
          <w:lang w:eastAsia="en-US" w:bidi="ar-SA"/>
        </w:rPr>
        <w:t xml:space="preserve"> </w:t>
      </w:r>
      <w:r w:rsidRPr="00CB045B">
        <w:rPr>
          <w:rFonts w:ascii="Times New Roman" w:eastAsia="Times New Roman" w:hAnsi="Times New Roman" w:cs="Times New Roman"/>
          <w:lang w:eastAsia="en-US" w:bidi="ar-SA"/>
        </w:rPr>
        <w:t>The main difference between the two return frequencies was observed in the normality assessment. Weekly returns showed clear evidence of departure from normality, with heavy-tailed behavior and a highly significant Shapiro-Wilk test result. Monthly returns, in contrast, did not show statistically significant evidence against normality at the 5% level. These findings indicate that monthly returns are more consistent with the assumptions required for applying the standard Geometric Brownian Motion model.</w:t>
      </w:r>
      <w:r>
        <w:rPr>
          <w:rFonts w:ascii="Times New Roman" w:eastAsia="Times New Roman" w:hAnsi="Times New Roman" w:cs="Times New Roman"/>
          <w:lang w:eastAsia="en-US" w:bidi="ar-SA"/>
        </w:rPr>
        <w:t xml:space="preserve"> </w:t>
      </w:r>
      <w:r w:rsidRPr="00CB045B">
        <w:rPr>
          <w:rFonts w:ascii="Times New Roman" w:eastAsia="Times New Roman" w:hAnsi="Times New Roman" w:cs="Times New Roman"/>
          <w:lang w:eastAsia="en-US" w:bidi="ar-SA"/>
        </w:rPr>
        <w:t>The results suggest that the use of weekly NSE returns in a standard Geometric Brownian Motion framework should be approached with caution, particularly where tail behavior and extreme-return risk are important. Monthly returns provide a more suitable basis for this model within the period and dataset considered. Future work may extend the analysis by considering alternative stochastic models and broader datasets.</w:t>
      </w:r>
    </w:p>
    <w:p w14:paraId="4C1BEF77" w14:textId="77777777" w:rsidR="006C148A" w:rsidRDefault="006C148A" w:rsidP="00A82B47">
      <w:pPr>
        <w:pStyle w:val="BodyText"/>
        <w:jc w:val="both"/>
      </w:pPr>
    </w:p>
    <w:p w14:paraId="4248F38C" w14:textId="77777777" w:rsidR="006C148A" w:rsidRDefault="006C148A" w:rsidP="00A82B47">
      <w:pPr>
        <w:jc w:val="both"/>
        <w:rPr>
          <w:rFonts w:ascii="Arial" w:eastAsiaTheme="minorEastAsia" w:hAnsi="Arial" w:cs="Arial"/>
          <w:sz w:val="20"/>
          <w:szCs w:val="20"/>
        </w:rPr>
      </w:pPr>
      <w:bookmarkStart w:id="0" w:name="_Hlk223955456"/>
    </w:p>
    <w:p w14:paraId="03B42AFD" w14:textId="77777777" w:rsidR="006C148A" w:rsidRPr="00005ED1" w:rsidRDefault="006C148A" w:rsidP="00A82B47">
      <w:pPr>
        <w:pStyle w:val="NoSpacing"/>
        <w:jc w:val="both"/>
        <w:rPr>
          <w:rFonts w:ascii="Arial" w:hAnsi="Arial" w:cs="Arial"/>
          <w:highlight w:val="yellow"/>
        </w:rPr>
      </w:pPr>
      <w:bookmarkStart w:id="1" w:name="_Hlk198031404"/>
      <w:r w:rsidRPr="00005ED1">
        <w:rPr>
          <w:rFonts w:ascii="Arial" w:hAnsi="Arial" w:cs="Arial"/>
          <w:highlight w:val="yellow"/>
        </w:rPr>
        <w:t>Disclaimer (Artificial intelligence)</w:t>
      </w:r>
    </w:p>
    <w:p w14:paraId="31E1D951" w14:textId="77777777" w:rsidR="006C148A" w:rsidRPr="00005ED1" w:rsidRDefault="006C148A" w:rsidP="00A82B47">
      <w:pPr>
        <w:pStyle w:val="NoSpacing"/>
        <w:jc w:val="both"/>
        <w:rPr>
          <w:rFonts w:ascii="Arial" w:hAnsi="Arial" w:cs="Arial"/>
          <w:highlight w:val="yellow"/>
        </w:rPr>
      </w:pPr>
    </w:p>
    <w:p w14:paraId="405AD51D" w14:textId="5084419F" w:rsidR="006C148A" w:rsidRPr="00005ED1" w:rsidRDefault="009321E3" w:rsidP="00A82B47">
      <w:pPr>
        <w:pStyle w:val="NoSpacing"/>
        <w:jc w:val="both"/>
        <w:rPr>
          <w:rFonts w:ascii="Arial" w:hAnsi="Arial" w:cs="Arial"/>
          <w:highlight w:val="yellow"/>
        </w:rPr>
      </w:pPr>
      <w:r>
        <w:rPr>
          <w:rFonts w:ascii="Arial" w:hAnsi="Arial" w:cs="Arial"/>
          <w:highlight w:val="yellow"/>
        </w:rPr>
        <w:t>The author (s) hereby declare</w:t>
      </w:r>
      <w:r w:rsidR="006C148A" w:rsidRPr="00005ED1">
        <w:rPr>
          <w:rFonts w:ascii="Arial" w:hAnsi="Arial" w:cs="Arial"/>
          <w:highlight w:val="yellow"/>
        </w:rPr>
        <w:t xml:space="preserve"> that NO generative AI technologies such as Large Language Models (ChatGPT, COPILOT, etc.) and text-to-image generators have been used during the writing or editing of this manuscript. </w:t>
      </w:r>
    </w:p>
    <w:bookmarkEnd w:id="0"/>
    <w:bookmarkEnd w:id="1"/>
    <w:p w14:paraId="34126F6A" w14:textId="77777777" w:rsidR="006C148A" w:rsidRDefault="006C148A" w:rsidP="00A82B47">
      <w:pPr>
        <w:pStyle w:val="BodyText"/>
        <w:jc w:val="both"/>
      </w:pPr>
    </w:p>
    <w:p w14:paraId="296E607F" w14:textId="77777777" w:rsidR="00BB3BB3" w:rsidRDefault="00604A22" w:rsidP="00A82B47">
      <w:pPr>
        <w:pStyle w:val="Heading2"/>
        <w:jc w:val="both"/>
      </w:pPr>
      <w:r>
        <w:t>References</w:t>
      </w:r>
    </w:p>
    <w:p w14:paraId="274E7DAF" w14:textId="1029CF83" w:rsidR="00984D89" w:rsidRPr="00984D89" w:rsidRDefault="00984D89" w:rsidP="00A82B47">
      <w:pPr>
        <w:pStyle w:val="ListParagraph"/>
        <w:widowControl/>
        <w:numPr>
          <w:ilvl w:val="0"/>
          <w:numId w:val="3"/>
        </w:numPr>
        <w:suppressAutoHyphens w:val="0"/>
        <w:jc w:val="both"/>
        <w:rPr>
          <w:rFonts w:ascii="Times New Roman" w:eastAsia="Times New Roman" w:hAnsi="Times New Roman" w:cs="Times New Roman"/>
          <w:lang w:bidi="ar-SA"/>
        </w:rPr>
      </w:pPr>
      <w:proofErr w:type="spellStart"/>
      <w:r w:rsidRPr="00984D89">
        <w:rPr>
          <w:rFonts w:ascii="Times New Roman" w:eastAsia="Times New Roman" w:hAnsi="Times New Roman" w:cs="Times New Roman"/>
          <w:lang w:bidi="ar-SA"/>
        </w:rPr>
        <w:t>Brătian</w:t>
      </w:r>
      <w:proofErr w:type="spellEnd"/>
      <w:r w:rsidRPr="00984D89">
        <w:rPr>
          <w:rFonts w:ascii="Times New Roman" w:eastAsia="Times New Roman" w:hAnsi="Times New Roman" w:cs="Times New Roman"/>
          <w:lang w:bidi="ar-SA"/>
        </w:rPr>
        <w:t xml:space="preserve">, V., </w:t>
      </w:r>
      <w:proofErr w:type="spellStart"/>
      <w:r w:rsidRPr="00984D89">
        <w:rPr>
          <w:rFonts w:ascii="Times New Roman" w:eastAsia="Times New Roman" w:hAnsi="Times New Roman" w:cs="Times New Roman"/>
          <w:lang w:bidi="ar-SA"/>
        </w:rPr>
        <w:t>Acu</w:t>
      </w:r>
      <w:proofErr w:type="spellEnd"/>
      <w:r w:rsidRPr="00984D89">
        <w:rPr>
          <w:rFonts w:ascii="Times New Roman" w:eastAsia="Times New Roman" w:hAnsi="Times New Roman" w:cs="Times New Roman"/>
          <w:lang w:bidi="ar-SA"/>
        </w:rPr>
        <w:t xml:space="preserve">, A., Mihaiu, D. M., &amp; Șerban, R. A. (2021). Efficient or Fractal Market Hypothesis? A Stock Indexes Entropy Analysis. </w:t>
      </w:r>
      <w:r w:rsidRPr="00984D89">
        <w:rPr>
          <w:rFonts w:ascii="Times New Roman" w:eastAsia="Times New Roman" w:hAnsi="Times New Roman" w:cs="Times New Roman"/>
          <w:i/>
          <w:iCs/>
          <w:lang w:bidi="ar-SA"/>
        </w:rPr>
        <w:t>Mathematics</w:t>
      </w:r>
      <w:r w:rsidRPr="00984D89">
        <w:rPr>
          <w:rFonts w:ascii="Times New Roman" w:eastAsia="Times New Roman" w:hAnsi="Times New Roman" w:cs="Times New Roman"/>
          <w:lang w:bidi="ar-SA"/>
        </w:rPr>
        <w:t xml:space="preserve">, 9(22), 2973. </w:t>
      </w:r>
    </w:p>
    <w:p w14:paraId="0938668A" w14:textId="3EB2D0D9" w:rsidR="00984D89" w:rsidRPr="00984D89" w:rsidRDefault="00984D89" w:rsidP="00A82B47">
      <w:pPr>
        <w:pStyle w:val="ListParagraph"/>
        <w:widowControl/>
        <w:numPr>
          <w:ilvl w:val="0"/>
          <w:numId w:val="3"/>
        </w:numPr>
        <w:suppressAutoHyphens w:val="0"/>
        <w:jc w:val="both"/>
        <w:rPr>
          <w:rFonts w:ascii="Times New Roman" w:eastAsia="Times New Roman" w:hAnsi="Times New Roman" w:cs="Times New Roman"/>
          <w:lang w:bidi="ar-SA"/>
        </w:rPr>
      </w:pPr>
      <w:r w:rsidRPr="00984D89">
        <w:rPr>
          <w:rFonts w:ascii="Times New Roman" w:eastAsia="Times New Roman" w:hAnsi="Times New Roman" w:cs="Times New Roman"/>
          <w:lang w:bidi="ar-SA"/>
        </w:rPr>
        <w:t xml:space="preserve">Boateng Kwadwo Prempeh, E., Osei, A., &amp; Antwi, S. (2022). Determining the return volatility of the Ghana Stock Exchange using exponential GARCH model. </w:t>
      </w:r>
      <w:r w:rsidRPr="00984D89">
        <w:rPr>
          <w:rFonts w:ascii="Times New Roman" w:eastAsia="Times New Roman" w:hAnsi="Times New Roman" w:cs="Times New Roman"/>
          <w:i/>
          <w:iCs/>
          <w:lang w:bidi="ar-SA"/>
        </w:rPr>
        <w:t>Journal of Economics and Financial Analysis</w:t>
      </w:r>
      <w:r w:rsidRPr="00984D89">
        <w:rPr>
          <w:rFonts w:ascii="Times New Roman" w:eastAsia="Times New Roman" w:hAnsi="Times New Roman" w:cs="Times New Roman"/>
          <w:lang w:bidi="ar-SA"/>
        </w:rPr>
        <w:t xml:space="preserve">, 6(1), 45-68. </w:t>
      </w:r>
    </w:p>
    <w:p w14:paraId="53C265F1" w14:textId="564F31C6" w:rsidR="00984D89" w:rsidRPr="00984D89" w:rsidRDefault="00984D89" w:rsidP="00A82B47">
      <w:pPr>
        <w:pStyle w:val="ListParagraph"/>
        <w:widowControl/>
        <w:numPr>
          <w:ilvl w:val="0"/>
          <w:numId w:val="3"/>
        </w:numPr>
        <w:suppressAutoHyphens w:val="0"/>
        <w:jc w:val="both"/>
        <w:rPr>
          <w:rFonts w:ascii="Times New Roman" w:eastAsia="Times New Roman" w:hAnsi="Times New Roman" w:cs="Times New Roman"/>
          <w:lang w:bidi="ar-SA"/>
        </w:rPr>
      </w:pPr>
      <w:proofErr w:type="spellStart"/>
      <w:r w:rsidRPr="00984D89">
        <w:rPr>
          <w:rFonts w:ascii="Times New Roman" w:eastAsia="Times New Roman" w:hAnsi="Times New Roman" w:cs="Times New Roman"/>
          <w:lang w:bidi="ar-SA"/>
        </w:rPr>
        <w:t>Dabafinance</w:t>
      </w:r>
      <w:proofErr w:type="spellEnd"/>
      <w:r w:rsidRPr="00984D89">
        <w:rPr>
          <w:rFonts w:ascii="Times New Roman" w:eastAsia="Times New Roman" w:hAnsi="Times New Roman" w:cs="Times New Roman"/>
          <w:lang w:bidi="ar-SA"/>
        </w:rPr>
        <w:t xml:space="preserve">. (2024). The Largest Stock Exchanges in Africa. Retrieved from </w:t>
      </w:r>
      <w:hyperlink r:id="rId10" w:tgtFrame="_blank" w:history="1">
        <w:r w:rsidRPr="00984D89">
          <w:rPr>
            <w:rFonts w:ascii="Times New Roman" w:eastAsia="Times New Roman" w:hAnsi="Times New Roman" w:cs="Times New Roman"/>
            <w:color w:val="0000FF"/>
            <w:u w:val="single"/>
            <w:lang w:bidi="ar-SA"/>
          </w:rPr>
          <w:t>https://dabafinance.com</w:t>
        </w:r>
      </w:hyperlink>
      <w:r w:rsidRPr="00984D89">
        <w:rPr>
          <w:rFonts w:ascii="Times New Roman" w:eastAsia="Times New Roman" w:hAnsi="Times New Roman" w:cs="Times New Roman"/>
          <w:lang w:bidi="ar-SA"/>
        </w:rPr>
        <w:t xml:space="preserve"> </w:t>
      </w:r>
    </w:p>
    <w:p w14:paraId="63CDB606" w14:textId="0C31C13E" w:rsidR="00984D89" w:rsidRPr="00984D89" w:rsidRDefault="00984D89" w:rsidP="00A82B47">
      <w:pPr>
        <w:pStyle w:val="ListParagraph"/>
        <w:widowControl/>
        <w:numPr>
          <w:ilvl w:val="0"/>
          <w:numId w:val="3"/>
        </w:numPr>
        <w:suppressAutoHyphens w:val="0"/>
        <w:jc w:val="both"/>
        <w:rPr>
          <w:rFonts w:ascii="Times New Roman" w:eastAsia="Times New Roman" w:hAnsi="Times New Roman" w:cs="Times New Roman"/>
          <w:lang w:bidi="ar-SA"/>
        </w:rPr>
      </w:pPr>
      <w:r w:rsidRPr="00984D89">
        <w:rPr>
          <w:rFonts w:ascii="Times New Roman" w:eastAsia="Times New Roman" w:hAnsi="Times New Roman" w:cs="Times New Roman"/>
          <w:lang w:bidi="ar-SA"/>
        </w:rPr>
        <w:t xml:space="preserve">Karangwa, I. (2008). Comparing South African financial markets </w:t>
      </w:r>
      <w:r w:rsidR="0087585A" w:rsidRPr="00984D89">
        <w:rPr>
          <w:rFonts w:ascii="Times New Roman" w:eastAsia="Times New Roman" w:hAnsi="Times New Roman" w:cs="Times New Roman"/>
          <w:lang w:bidi="ar-SA"/>
        </w:rPr>
        <w:t>behavior</w:t>
      </w:r>
      <w:r w:rsidRPr="00984D89">
        <w:rPr>
          <w:rFonts w:ascii="Times New Roman" w:eastAsia="Times New Roman" w:hAnsi="Times New Roman" w:cs="Times New Roman"/>
          <w:lang w:bidi="ar-SA"/>
        </w:rPr>
        <w:t xml:space="preserve"> to the Geometric Brownian motion process. University of the Witwatersrand. </w:t>
      </w:r>
    </w:p>
    <w:p w14:paraId="65CCFE76" w14:textId="1C97EE1E" w:rsidR="00984D89" w:rsidRPr="00984D89" w:rsidRDefault="00984D89" w:rsidP="00A82B47">
      <w:pPr>
        <w:pStyle w:val="ListParagraph"/>
        <w:widowControl/>
        <w:numPr>
          <w:ilvl w:val="0"/>
          <w:numId w:val="3"/>
        </w:numPr>
        <w:suppressAutoHyphens w:val="0"/>
        <w:jc w:val="both"/>
        <w:rPr>
          <w:rFonts w:ascii="Times New Roman" w:eastAsia="Times New Roman" w:hAnsi="Times New Roman" w:cs="Times New Roman"/>
          <w:lang w:bidi="ar-SA"/>
        </w:rPr>
      </w:pPr>
      <w:r w:rsidRPr="00984D89">
        <w:rPr>
          <w:rFonts w:ascii="Times New Roman" w:eastAsia="Times New Roman" w:hAnsi="Times New Roman" w:cs="Times New Roman"/>
          <w:lang w:bidi="ar-SA"/>
        </w:rPr>
        <w:t xml:space="preserve">Lidén, J. (2018). Stock Price Predictions using a Geometric Brownian Motion. KTH Royal Institute of Technology. </w:t>
      </w:r>
    </w:p>
    <w:p w14:paraId="044ADF7E" w14:textId="09FDCF4F" w:rsidR="00984D89" w:rsidRPr="00984D89" w:rsidRDefault="00984D89" w:rsidP="00A82B47">
      <w:pPr>
        <w:pStyle w:val="ListParagraph"/>
        <w:widowControl/>
        <w:numPr>
          <w:ilvl w:val="0"/>
          <w:numId w:val="3"/>
        </w:numPr>
        <w:suppressAutoHyphens w:val="0"/>
        <w:jc w:val="both"/>
        <w:rPr>
          <w:rFonts w:ascii="Times New Roman" w:eastAsia="Times New Roman" w:hAnsi="Times New Roman" w:cs="Times New Roman"/>
          <w:lang w:bidi="ar-SA"/>
        </w:rPr>
      </w:pPr>
      <w:r w:rsidRPr="00984D89">
        <w:rPr>
          <w:rFonts w:ascii="Times New Roman" w:eastAsia="Times New Roman" w:hAnsi="Times New Roman" w:cs="Times New Roman"/>
          <w:lang w:bidi="ar-SA"/>
        </w:rPr>
        <w:lastRenderedPageBreak/>
        <w:t xml:space="preserve">Marathe, R. R., &amp; Ryan, S. M. (2005). On the validity of the geometric Brownian motion assumption. </w:t>
      </w:r>
      <w:r w:rsidRPr="00984D89">
        <w:rPr>
          <w:rFonts w:ascii="Times New Roman" w:eastAsia="Times New Roman" w:hAnsi="Times New Roman" w:cs="Times New Roman"/>
          <w:i/>
          <w:iCs/>
          <w:lang w:bidi="ar-SA"/>
        </w:rPr>
        <w:t>The Engineering Economist</w:t>
      </w:r>
      <w:r w:rsidRPr="00984D89">
        <w:rPr>
          <w:rFonts w:ascii="Times New Roman" w:eastAsia="Times New Roman" w:hAnsi="Times New Roman" w:cs="Times New Roman"/>
          <w:lang w:bidi="ar-SA"/>
        </w:rPr>
        <w:t xml:space="preserve">, 50(2), 159-192. </w:t>
      </w:r>
    </w:p>
    <w:p w14:paraId="476CAA75" w14:textId="446B7952" w:rsidR="00984D89" w:rsidRPr="00984D89" w:rsidRDefault="00984D89" w:rsidP="00A82B47">
      <w:pPr>
        <w:pStyle w:val="ListParagraph"/>
        <w:widowControl/>
        <w:numPr>
          <w:ilvl w:val="0"/>
          <w:numId w:val="3"/>
        </w:numPr>
        <w:suppressAutoHyphens w:val="0"/>
        <w:jc w:val="both"/>
        <w:rPr>
          <w:rFonts w:ascii="Times New Roman" w:eastAsia="Times New Roman" w:hAnsi="Times New Roman" w:cs="Times New Roman"/>
          <w:lang w:bidi="ar-SA"/>
        </w:rPr>
      </w:pPr>
      <w:r w:rsidRPr="00984D89">
        <w:rPr>
          <w:rFonts w:ascii="Times New Roman" w:eastAsia="Times New Roman" w:hAnsi="Times New Roman" w:cs="Times New Roman"/>
          <w:lang w:bidi="ar-SA"/>
        </w:rPr>
        <w:t xml:space="preserve">Mensah, E. T. (2023). Simulating stock prices using geometric Brownian motion. </w:t>
      </w:r>
      <w:r w:rsidRPr="00984D89">
        <w:rPr>
          <w:rFonts w:ascii="Times New Roman" w:eastAsia="Times New Roman" w:hAnsi="Times New Roman" w:cs="Times New Roman"/>
          <w:i/>
          <w:iCs/>
          <w:lang w:bidi="ar-SA"/>
        </w:rPr>
        <w:t>Journal of Finance and Investment Analysis</w:t>
      </w:r>
      <w:r w:rsidRPr="00984D89">
        <w:rPr>
          <w:rFonts w:ascii="Times New Roman" w:eastAsia="Times New Roman" w:hAnsi="Times New Roman" w:cs="Times New Roman"/>
          <w:lang w:bidi="ar-SA"/>
        </w:rPr>
        <w:t xml:space="preserve">. </w:t>
      </w:r>
    </w:p>
    <w:p w14:paraId="2ED4217F" w14:textId="5D8BDAF2" w:rsidR="00984D89" w:rsidRPr="00984D89" w:rsidRDefault="00984D89" w:rsidP="00A82B47">
      <w:pPr>
        <w:pStyle w:val="ListParagraph"/>
        <w:widowControl/>
        <w:numPr>
          <w:ilvl w:val="0"/>
          <w:numId w:val="3"/>
        </w:numPr>
        <w:suppressAutoHyphens w:val="0"/>
        <w:jc w:val="both"/>
        <w:rPr>
          <w:rFonts w:ascii="Times New Roman" w:eastAsia="Times New Roman" w:hAnsi="Times New Roman" w:cs="Times New Roman"/>
          <w:lang w:bidi="ar-SA"/>
        </w:rPr>
      </w:pPr>
      <w:r w:rsidRPr="00984D89">
        <w:rPr>
          <w:rFonts w:ascii="Times New Roman" w:eastAsia="Times New Roman" w:hAnsi="Times New Roman" w:cs="Times New Roman"/>
          <w:lang w:bidi="ar-SA"/>
        </w:rPr>
        <w:t xml:space="preserve">Mettle, F. O., Quaye, E. N. B., &amp; Laryea, R. A. (2014). A methodology for stochastic analysis of share prices. </w:t>
      </w:r>
      <w:proofErr w:type="spellStart"/>
      <w:r w:rsidRPr="00984D89">
        <w:rPr>
          <w:rFonts w:ascii="Times New Roman" w:eastAsia="Times New Roman" w:hAnsi="Times New Roman" w:cs="Times New Roman"/>
          <w:i/>
          <w:iCs/>
          <w:lang w:bidi="ar-SA"/>
        </w:rPr>
        <w:t>SpringerPlus</w:t>
      </w:r>
      <w:proofErr w:type="spellEnd"/>
      <w:r w:rsidRPr="00984D89">
        <w:rPr>
          <w:rFonts w:ascii="Times New Roman" w:eastAsia="Times New Roman" w:hAnsi="Times New Roman" w:cs="Times New Roman"/>
          <w:lang w:bidi="ar-SA"/>
        </w:rPr>
        <w:t xml:space="preserve">, 3(1), 1-13. </w:t>
      </w:r>
    </w:p>
    <w:p w14:paraId="1B15DA8F" w14:textId="7A749DBB" w:rsidR="00984D89" w:rsidRPr="00984D89" w:rsidRDefault="00984D89" w:rsidP="00A82B47">
      <w:pPr>
        <w:pStyle w:val="ListParagraph"/>
        <w:widowControl/>
        <w:numPr>
          <w:ilvl w:val="0"/>
          <w:numId w:val="3"/>
        </w:numPr>
        <w:suppressAutoHyphens w:val="0"/>
        <w:jc w:val="both"/>
        <w:rPr>
          <w:rFonts w:ascii="Times New Roman" w:eastAsia="Times New Roman" w:hAnsi="Times New Roman" w:cs="Times New Roman"/>
          <w:lang w:bidi="ar-SA"/>
        </w:rPr>
      </w:pPr>
      <w:proofErr w:type="spellStart"/>
      <w:r w:rsidRPr="00984D89">
        <w:rPr>
          <w:rFonts w:ascii="Times New Roman" w:eastAsia="Times New Roman" w:hAnsi="Times New Roman" w:cs="Times New Roman"/>
          <w:lang w:bidi="ar-SA"/>
        </w:rPr>
        <w:t>Nkemnole</w:t>
      </w:r>
      <w:proofErr w:type="spellEnd"/>
      <w:r w:rsidRPr="00984D89">
        <w:rPr>
          <w:rFonts w:ascii="Times New Roman" w:eastAsia="Times New Roman" w:hAnsi="Times New Roman" w:cs="Times New Roman"/>
          <w:lang w:bidi="ar-SA"/>
        </w:rPr>
        <w:t xml:space="preserve">, B. (2019). Estimation of Geometric Brownian Motion Model for Stock Prices: A Case of Nigerian Stock Exchange. </w:t>
      </w:r>
      <w:r w:rsidRPr="00984D89">
        <w:rPr>
          <w:rFonts w:ascii="Times New Roman" w:eastAsia="Times New Roman" w:hAnsi="Times New Roman" w:cs="Times New Roman"/>
          <w:i/>
          <w:iCs/>
          <w:lang w:bidi="ar-SA"/>
        </w:rPr>
        <w:t>Journal of Economics and Financial Sciences</w:t>
      </w:r>
      <w:r w:rsidRPr="00984D89">
        <w:rPr>
          <w:rFonts w:ascii="Times New Roman" w:eastAsia="Times New Roman" w:hAnsi="Times New Roman" w:cs="Times New Roman"/>
          <w:lang w:bidi="ar-SA"/>
        </w:rPr>
        <w:t xml:space="preserve">, 12(2), 45-58. </w:t>
      </w:r>
    </w:p>
    <w:p w14:paraId="306E5620" w14:textId="716F4F22" w:rsidR="00984D89" w:rsidRPr="00984D89" w:rsidRDefault="00984D89" w:rsidP="00A82B47">
      <w:pPr>
        <w:pStyle w:val="ListParagraph"/>
        <w:widowControl/>
        <w:numPr>
          <w:ilvl w:val="0"/>
          <w:numId w:val="3"/>
        </w:numPr>
        <w:suppressAutoHyphens w:val="0"/>
        <w:jc w:val="both"/>
        <w:rPr>
          <w:rFonts w:ascii="Times New Roman" w:eastAsia="Times New Roman" w:hAnsi="Times New Roman" w:cs="Times New Roman"/>
          <w:lang w:bidi="ar-SA"/>
        </w:rPr>
      </w:pPr>
      <w:r w:rsidRPr="00984D89">
        <w:rPr>
          <w:rFonts w:ascii="Times New Roman" w:eastAsia="Times New Roman" w:hAnsi="Times New Roman" w:cs="Times New Roman"/>
          <w:lang w:bidi="ar-SA"/>
        </w:rPr>
        <w:t xml:space="preserve">Philita, G. (2018). Effects of Portfolio Diversification on Financial Performance of Commercial Banks in Kenya. University of Nairobi. </w:t>
      </w:r>
    </w:p>
    <w:p w14:paraId="13EAC99E" w14:textId="6BCF16E0" w:rsidR="00984D89" w:rsidRPr="00984D89" w:rsidRDefault="00984D89" w:rsidP="00A82B47">
      <w:pPr>
        <w:pStyle w:val="ListParagraph"/>
        <w:widowControl/>
        <w:numPr>
          <w:ilvl w:val="0"/>
          <w:numId w:val="3"/>
        </w:numPr>
        <w:suppressAutoHyphens w:val="0"/>
        <w:jc w:val="both"/>
        <w:rPr>
          <w:rFonts w:ascii="Times New Roman" w:eastAsia="Times New Roman" w:hAnsi="Times New Roman" w:cs="Times New Roman"/>
          <w:lang w:bidi="ar-SA"/>
        </w:rPr>
      </w:pPr>
      <w:proofErr w:type="spellStart"/>
      <w:r w:rsidRPr="00984D89">
        <w:rPr>
          <w:rFonts w:ascii="Times New Roman" w:eastAsia="Times New Roman" w:hAnsi="Times New Roman" w:cs="Times New Roman"/>
          <w:lang w:bidi="ar-SA"/>
        </w:rPr>
        <w:t>Quayesam</w:t>
      </w:r>
      <w:proofErr w:type="spellEnd"/>
      <w:r w:rsidRPr="00984D89">
        <w:rPr>
          <w:rFonts w:ascii="Times New Roman" w:eastAsia="Times New Roman" w:hAnsi="Times New Roman" w:cs="Times New Roman"/>
          <w:lang w:bidi="ar-SA"/>
        </w:rPr>
        <w:t xml:space="preserve">, D. L., </w:t>
      </w:r>
      <w:proofErr w:type="spellStart"/>
      <w:r w:rsidRPr="00984D89">
        <w:rPr>
          <w:rFonts w:ascii="Times New Roman" w:eastAsia="Times New Roman" w:hAnsi="Times New Roman" w:cs="Times New Roman"/>
          <w:lang w:bidi="ar-SA"/>
        </w:rPr>
        <w:t>Lotsi</w:t>
      </w:r>
      <w:proofErr w:type="spellEnd"/>
      <w:r w:rsidRPr="00984D89">
        <w:rPr>
          <w:rFonts w:ascii="Times New Roman" w:eastAsia="Times New Roman" w:hAnsi="Times New Roman" w:cs="Times New Roman"/>
          <w:lang w:bidi="ar-SA"/>
        </w:rPr>
        <w:t>, A., &amp; Mettle, F. O. (2024). Modeling Stock Price Dynamics on the Ghana Stock Exchange Using Geometric Brownian Motion.</w:t>
      </w:r>
    </w:p>
    <w:p w14:paraId="31456A85" w14:textId="1570E9E9" w:rsidR="00984D89" w:rsidRPr="00984D89" w:rsidRDefault="00984D89" w:rsidP="00A82B47">
      <w:pPr>
        <w:pStyle w:val="ListParagraph"/>
        <w:widowControl/>
        <w:numPr>
          <w:ilvl w:val="0"/>
          <w:numId w:val="3"/>
        </w:numPr>
        <w:suppressAutoHyphens w:val="0"/>
        <w:jc w:val="both"/>
        <w:rPr>
          <w:rFonts w:ascii="Times New Roman" w:eastAsia="Times New Roman" w:hAnsi="Times New Roman" w:cs="Times New Roman"/>
          <w:lang w:bidi="ar-SA"/>
        </w:rPr>
      </w:pPr>
      <w:r w:rsidRPr="00984D89">
        <w:rPr>
          <w:rFonts w:ascii="Times New Roman" w:eastAsia="Times New Roman" w:hAnsi="Times New Roman" w:cs="Times New Roman"/>
          <w:lang w:bidi="ar-SA"/>
        </w:rPr>
        <w:t xml:space="preserve">Suganthi, K., &amp; Jayalalitha, G. (2019). Geometric Brownian Motion in stock prices. </w:t>
      </w:r>
      <w:r w:rsidRPr="00984D89">
        <w:rPr>
          <w:rFonts w:ascii="Times New Roman" w:eastAsia="Times New Roman" w:hAnsi="Times New Roman" w:cs="Times New Roman"/>
          <w:i/>
          <w:iCs/>
          <w:lang w:bidi="ar-SA"/>
        </w:rPr>
        <w:t>Journal of Physics: Conference Series</w:t>
      </w:r>
      <w:r w:rsidRPr="00984D89">
        <w:rPr>
          <w:rFonts w:ascii="Times New Roman" w:eastAsia="Times New Roman" w:hAnsi="Times New Roman" w:cs="Times New Roman"/>
          <w:lang w:bidi="ar-SA"/>
        </w:rPr>
        <w:t xml:space="preserve">, 1377(1), 012016. </w:t>
      </w:r>
    </w:p>
    <w:p w14:paraId="4F144C07" w14:textId="730E2017" w:rsidR="00984D89" w:rsidRPr="00984D89" w:rsidRDefault="00984D89" w:rsidP="00A82B47">
      <w:pPr>
        <w:pStyle w:val="ListParagraph"/>
        <w:widowControl/>
        <w:numPr>
          <w:ilvl w:val="0"/>
          <w:numId w:val="3"/>
        </w:numPr>
        <w:suppressAutoHyphens w:val="0"/>
        <w:jc w:val="both"/>
        <w:rPr>
          <w:rFonts w:ascii="Times New Roman" w:eastAsia="Times New Roman" w:hAnsi="Times New Roman" w:cs="Times New Roman"/>
          <w:lang w:bidi="ar-SA"/>
        </w:rPr>
      </w:pPr>
      <w:r w:rsidRPr="00984D89">
        <w:rPr>
          <w:rFonts w:ascii="Times New Roman" w:eastAsia="Times New Roman" w:hAnsi="Times New Roman" w:cs="Times New Roman"/>
          <w:lang w:bidi="ar-SA"/>
        </w:rPr>
        <w:t xml:space="preserve">Toby, A. J., &amp; </w:t>
      </w:r>
      <w:proofErr w:type="spellStart"/>
      <w:r w:rsidRPr="00984D89">
        <w:rPr>
          <w:rFonts w:ascii="Times New Roman" w:eastAsia="Times New Roman" w:hAnsi="Times New Roman" w:cs="Times New Roman"/>
          <w:lang w:bidi="ar-SA"/>
        </w:rPr>
        <w:t>Agbam</w:t>
      </w:r>
      <w:proofErr w:type="spellEnd"/>
      <w:r w:rsidRPr="00984D89">
        <w:rPr>
          <w:rFonts w:ascii="Times New Roman" w:eastAsia="Times New Roman" w:hAnsi="Times New Roman" w:cs="Times New Roman"/>
          <w:lang w:bidi="ar-SA"/>
        </w:rPr>
        <w:t xml:space="preserve">, S. A. (2021). Stochastic Forecasting of Stock Prices in Nigeria Using Geometric Brownian Motion. </w:t>
      </w:r>
      <w:r w:rsidRPr="00984D89">
        <w:rPr>
          <w:rFonts w:ascii="Times New Roman" w:eastAsia="Times New Roman" w:hAnsi="Times New Roman" w:cs="Times New Roman"/>
          <w:i/>
          <w:iCs/>
          <w:lang w:bidi="ar-SA"/>
        </w:rPr>
        <w:t>International Journal of Finance and Banking Research</w:t>
      </w:r>
      <w:r w:rsidRPr="00984D89">
        <w:rPr>
          <w:rFonts w:ascii="Times New Roman" w:eastAsia="Times New Roman" w:hAnsi="Times New Roman" w:cs="Times New Roman"/>
          <w:lang w:bidi="ar-SA"/>
        </w:rPr>
        <w:t xml:space="preserve">, 7(3), 78-92. </w:t>
      </w:r>
    </w:p>
    <w:p w14:paraId="58B58EF8" w14:textId="57F83C26" w:rsidR="00984D89" w:rsidRPr="00984D89" w:rsidRDefault="00984D89" w:rsidP="00A82B47">
      <w:pPr>
        <w:pStyle w:val="ListParagraph"/>
        <w:widowControl/>
        <w:numPr>
          <w:ilvl w:val="0"/>
          <w:numId w:val="3"/>
        </w:numPr>
        <w:suppressAutoHyphens w:val="0"/>
        <w:jc w:val="both"/>
        <w:rPr>
          <w:rFonts w:ascii="Times New Roman" w:eastAsia="Times New Roman" w:hAnsi="Times New Roman" w:cs="Times New Roman"/>
          <w:lang w:bidi="ar-SA"/>
        </w:rPr>
      </w:pPr>
      <w:r w:rsidRPr="00984D89">
        <w:rPr>
          <w:rFonts w:ascii="Times New Roman" w:eastAsia="Times New Roman" w:hAnsi="Times New Roman" w:cs="Times New Roman"/>
          <w:lang w:bidi="ar-SA"/>
        </w:rPr>
        <w:t xml:space="preserve">Remillard, B., &amp; </w:t>
      </w:r>
      <w:proofErr w:type="spellStart"/>
      <w:r w:rsidRPr="00984D89">
        <w:rPr>
          <w:rFonts w:ascii="Times New Roman" w:eastAsia="Times New Roman" w:hAnsi="Times New Roman" w:cs="Times New Roman"/>
          <w:lang w:bidi="ar-SA"/>
        </w:rPr>
        <w:t>Rubenthaler</w:t>
      </w:r>
      <w:proofErr w:type="spellEnd"/>
      <w:r w:rsidRPr="00984D89">
        <w:rPr>
          <w:rFonts w:ascii="Times New Roman" w:eastAsia="Times New Roman" w:hAnsi="Times New Roman" w:cs="Times New Roman"/>
          <w:lang w:bidi="ar-SA"/>
        </w:rPr>
        <w:t>, S. (2023). Option pricing and hedging for regime-switching geometric Brownian motion models</w:t>
      </w:r>
    </w:p>
    <w:p w14:paraId="483AA58C" w14:textId="42E12862" w:rsidR="00984D89" w:rsidRPr="00984D89" w:rsidRDefault="00984D89" w:rsidP="00A82B47">
      <w:pPr>
        <w:pStyle w:val="ListParagraph"/>
        <w:widowControl/>
        <w:numPr>
          <w:ilvl w:val="0"/>
          <w:numId w:val="3"/>
        </w:numPr>
        <w:suppressAutoHyphens w:val="0"/>
        <w:jc w:val="both"/>
        <w:rPr>
          <w:rFonts w:ascii="Times New Roman" w:eastAsia="Times New Roman" w:hAnsi="Times New Roman" w:cs="Times New Roman"/>
          <w:lang w:bidi="ar-SA"/>
        </w:rPr>
      </w:pPr>
      <w:r w:rsidRPr="00984D89">
        <w:rPr>
          <w:rFonts w:ascii="Times New Roman" w:eastAsia="Times New Roman" w:hAnsi="Times New Roman" w:cs="Times New Roman"/>
          <w:lang w:bidi="ar-SA"/>
        </w:rPr>
        <w:t xml:space="preserve">Yan, Y., et al. (2025). Bayesian Inference of Geometric Brownian Motion with Jumps. </w:t>
      </w:r>
      <w:r w:rsidRPr="00984D89">
        <w:rPr>
          <w:rFonts w:ascii="Times New Roman" w:eastAsia="Times New Roman" w:hAnsi="Times New Roman" w:cs="Times New Roman"/>
          <w:i/>
          <w:iCs/>
          <w:lang w:bidi="ar-SA"/>
        </w:rPr>
        <w:t>Model Assisted Statistics and Applications</w:t>
      </w:r>
      <w:r w:rsidRPr="00984D89">
        <w:rPr>
          <w:rFonts w:ascii="Times New Roman" w:eastAsia="Times New Roman" w:hAnsi="Times New Roman" w:cs="Times New Roman"/>
          <w:lang w:bidi="ar-SA"/>
        </w:rPr>
        <w:t xml:space="preserve">. </w:t>
      </w:r>
    </w:p>
    <w:p w14:paraId="0CEDC374" w14:textId="71D23432" w:rsidR="00984D89" w:rsidRPr="00984D89" w:rsidRDefault="00984D89" w:rsidP="00A82B47">
      <w:pPr>
        <w:pStyle w:val="ListParagraph"/>
        <w:widowControl/>
        <w:numPr>
          <w:ilvl w:val="0"/>
          <w:numId w:val="3"/>
        </w:numPr>
        <w:suppressAutoHyphens w:val="0"/>
        <w:jc w:val="both"/>
        <w:rPr>
          <w:rFonts w:ascii="Times New Roman" w:eastAsia="Times New Roman" w:hAnsi="Times New Roman" w:cs="Times New Roman"/>
          <w:lang w:bidi="ar-SA"/>
        </w:rPr>
      </w:pPr>
      <w:r w:rsidRPr="00984D89">
        <w:rPr>
          <w:rFonts w:ascii="Times New Roman" w:eastAsia="Times New Roman" w:hAnsi="Times New Roman" w:cs="Times New Roman"/>
          <w:lang w:bidi="ar-SA"/>
        </w:rPr>
        <w:t xml:space="preserve">Antwi, O., et al. (2020). Jump Diffusion Modeling of Stock Prices on the Ghana Stock Exchange. </w:t>
      </w:r>
      <w:r w:rsidRPr="00984D89">
        <w:rPr>
          <w:rFonts w:ascii="Times New Roman" w:eastAsia="Times New Roman" w:hAnsi="Times New Roman" w:cs="Times New Roman"/>
          <w:i/>
          <w:iCs/>
          <w:lang w:bidi="ar-SA"/>
        </w:rPr>
        <w:t>Journal of Mathematical Finance</w:t>
      </w:r>
      <w:r w:rsidRPr="00984D89">
        <w:rPr>
          <w:rFonts w:ascii="Times New Roman" w:eastAsia="Times New Roman" w:hAnsi="Times New Roman" w:cs="Times New Roman"/>
          <w:lang w:bidi="ar-SA"/>
        </w:rPr>
        <w:t xml:space="preserve">, 10(4), 567-589. </w:t>
      </w:r>
    </w:p>
    <w:p w14:paraId="186FF995" w14:textId="59431268" w:rsidR="00984D89" w:rsidRPr="00984D89" w:rsidRDefault="00984D89" w:rsidP="00A82B47">
      <w:pPr>
        <w:pStyle w:val="ListParagraph"/>
        <w:widowControl/>
        <w:numPr>
          <w:ilvl w:val="0"/>
          <w:numId w:val="3"/>
        </w:numPr>
        <w:suppressAutoHyphens w:val="0"/>
        <w:jc w:val="both"/>
        <w:rPr>
          <w:rFonts w:ascii="Times New Roman" w:eastAsia="Times New Roman" w:hAnsi="Times New Roman" w:cs="Times New Roman"/>
          <w:lang w:bidi="ar-SA"/>
        </w:rPr>
      </w:pPr>
      <w:proofErr w:type="spellStart"/>
      <w:r w:rsidRPr="00984D89">
        <w:rPr>
          <w:rFonts w:ascii="Times New Roman" w:eastAsia="Times New Roman" w:hAnsi="Times New Roman" w:cs="Times New Roman"/>
          <w:lang w:bidi="ar-SA"/>
        </w:rPr>
        <w:t>Agbam</w:t>
      </w:r>
      <w:proofErr w:type="spellEnd"/>
      <w:r w:rsidRPr="00984D89">
        <w:rPr>
          <w:rFonts w:ascii="Times New Roman" w:eastAsia="Times New Roman" w:hAnsi="Times New Roman" w:cs="Times New Roman"/>
          <w:lang w:bidi="ar-SA"/>
        </w:rPr>
        <w:t xml:space="preserve">, A. S. A. (2021). Stock Prices Prediction Using Geometric Brownian Motion: Evidence from the Nigerian Stock Exchange. </w:t>
      </w:r>
      <w:r w:rsidRPr="00984D89">
        <w:rPr>
          <w:rFonts w:ascii="Times New Roman" w:eastAsia="Times New Roman" w:hAnsi="Times New Roman" w:cs="Times New Roman"/>
          <w:i/>
          <w:iCs/>
          <w:lang w:bidi="ar-SA"/>
        </w:rPr>
        <w:t>African Journal of Economic Review</w:t>
      </w:r>
      <w:r w:rsidRPr="00984D89">
        <w:rPr>
          <w:rFonts w:ascii="Times New Roman" w:eastAsia="Times New Roman" w:hAnsi="Times New Roman" w:cs="Times New Roman"/>
          <w:lang w:bidi="ar-SA"/>
        </w:rPr>
        <w:t xml:space="preserve">. </w:t>
      </w:r>
    </w:p>
    <w:p w14:paraId="1AC684B3" w14:textId="54E07EF8" w:rsidR="00984D89" w:rsidRPr="00984D89" w:rsidRDefault="00984D89" w:rsidP="00A82B47">
      <w:pPr>
        <w:pStyle w:val="ListParagraph"/>
        <w:widowControl/>
        <w:numPr>
          <w:ilvl w:val="0"/>
          <w:numId w:val="3"/>
        </w:numPr>
        <w:suppressAutoHyphens w:val="0"/>
        <w:jc w:val="both"/>
        <w:rPr>
          <w:rFonts w:ascii="Times New Roman" w:eastAsia="Times New Roman" w:hAnsi="Times New Roman" w:cs="Times New Roman"/>
          <w:lang w:bidi="ar-SA"/>
        </w:rPr>
      </w:pPr>
      <w:proofErr w:type="spellStart"/>
      <w:r w:rsidRPr="00984D89">
        <w:rPr>
          <w:rFonts w:ascii="Times New Roman" w:eastAsia="Times New Roman" w:hAnsi="Times New Roman" w:cs="Times New Roman"/>
          <w:lang w:bidi="ar-SA"/>
        </w:rPr>
        <w:t>Sonkavde</w:t>
      </w:r>
      <w:proofErr w:type="spellEnd"/>
      <w:r w:rsidRPr="00984D89">
        <w:rPr>
          <w:rFonts w:ascii="Times New Roman" w:eastAsia="Times New Roman" w:hAnsi="Times New Roman" w:cs="Times New Roman"/>
          <w:lang w:bidi="ar-SA"/>
        </w:rPr>
        <w:t xml:space="preserve">, G., et al. (2023). Empirical Mode Decomposition on Ghana Stock Exchange Indices. </w:t>
      </w:r>
      <w:r w:rsidRPr="00984D89">
        <w:rPr>
          <w:rFonts w:ascii="Times New Roman" w:eastAsia="Times New Roman" w:hAnsi="Times New Roman" w:cs="Times New Roman"/>
          <w:i/>
          <w:iCs/>
          <w:lang w:bidi="ar-SA"/>
        </w:rPr>
        <w:t>Computational Economics</w:t>
      </w:r>
      <w:r w:rsidRPr="00984D89">
        <w:rPr>
          <w:rFonts w:ascii="Times New Roman" w:eastAsia="Times New Roman" w:hAnsi="Times New Roman" w:cs="Times New Roman"/>
          <w:lang w:bidi="ar-SA"/>
        </w:rPr>
        <w:t xml:space="preserve">. </w:t>
      </w:r>
    </w:p>
    <w:p w14:paraId="4CDD8A03" w14:textId="182F902E" w:rsidR="00984D89" w:rsidRPr="00984D89" w:rsidRDefault="00984D89" w:rsidP="00A82B47">
      <w:pPr>
        <w:pStyle w:val="ListParagraph"/>
        <w:widowControl/>
        <w:numPr>
          <w:ilvl w:val="0"/>
          <w:numId w:val="3"/>
        </w:numPr>
        <w:suppressAutoHyphens w:val="0"/>
        <w:jc w:val="both"/>
        <w:rPr>
          <w:rFonts w:ascii="Times New Roman" w:eastAsia="Times New Roman" w:hAnsi="Times New Roman" w:cs="Times New Roman"/>
          <w:lang w:bidi="ar-SA"/>
        </w:rPr>
      </w:pPr>
      <w:proofErr w:type="spellStart"/>
      <w:r w:rsidRPr="00984D89">
        <w:rPr>
          <w:rFonts w:ascii="Times New Roman" w:eastAsia="Times New Roman" w:hAnsi="Times New Roman" w:cs="Times New Roman"/>
          <w:lang w:bidi="ar-SA"/>
        </w:rPr>
        <w:t>Straja</w:t>
      </w:r>
      <w:proofErr w:type="spellEnd"/>
      <w:r w:rsidRPr="00984D89">
        <w:rPr>
          <w:rFonts w:ascii="Times New Roman" w:eastAsia="Times New Roman" w:hAnsi="Times New Roman" w:cs="Times New Roman"/>
          <w:lang w:bidi="ar-SA"/>
        </w:rPr>
        <w:t xml:space="preserve">, S. (1997). Limitations of Geometric Brownian Motion in Financial Modeling. </w:t>
      </w:r>
      <w:r w:rsidRPr="00984D89">
        <w:rPr>
          <w:rFonts w:ascii="Times New Roman" w:eastAsia="Times New Roman" w:hAnsi="Times New Roman" w:cs="Times New Roman"/>
          <w:i/>
          <w:iCs/>
          <w:lang w:bidi="ar-SA"/>
        </w:rPr>
        <w:t>Journal of Risk Management</w:t>
      </w:r>
      <w:r w:rsidRPr="00984D89">
        <w:rPr>
          <w:rFonts w:ascii="Times New Roman" w:eastAsia="Times New Roman" w:hAnsi="Times New Roman" w:cs="Times New Roman"/>
          <w:lang w:bidi="ar-SA"/>
        </w:rPr>
        <w:t xml:space="preserve">. </w:t>
      </w:r>
    </w:p>
    <w:p w14:paraId="7FA8AE59" w14:textId="0C519F00" w:rsidR="00BB3BB3" w:rsidRDefault="00984D89" w:rsidP="00A82B47">
      <w:pPr>
        <w:pStyle w:val="BodyText"/>
        <w:numPr>
          <w:ilvl w:val="0"/>
          <w:numId w:val="3"/>
        </w:numPr>
        <w:jc w:val="both"/>
      </w:pPr>
      <w:proofErr w:type="spellStart"/>
      <w:r w:rsidRPr="00984D89">
        <w:rPr>
          <w:rFonts w:ascii="Times New Roman" w:eastAsia="Times New Roman" w:hAnsi="Times New Roman" w:cs="Times New Roman"/>
          <w:lang w:bidi="ar-SA"/>
        </w:rPr>
        <w:t>Akurugu</w:t>
      </w:r>
      <w:proofErr w:type="spellEnd"/>
      <w:r w:rsidRPr="00984D89">
        <w:rPr>
          <w:rFonts w:ascii="Times New Roman" w:eastAsia="Times New Roman" w:hAnsi="Times New Roman" w:cs="Times New Roman"/>
          <w:lang w:bidi="ar-SA"/>
        </w:rPr>
        <w:t xml:space="preserve">, A., et al. (2022). Bayesian Switching Volatility Models for Emerging African Markets. </w:t>
      </w:r>
      <w:r w:rsidRPr="00984D89">
        <w:rPr>
          <w:rFonts w:ascii="Times New Roman" w:eastAsia="Times New Roman" w:hAnsi="Times New Roman" w:cs="Times New Roman"/>
          <w:i/>
          <w:iCs/>
          <w:lang w:bidi="ar-SA"/>
        </w:rPr>
        <w:t>Journal of Financial Econometrics</w:t>
      </w:r>
      <w:r w:rsidRPr="00984D89">
        <w:rPr>
          <w:rFonts w:ascii="Times New Roman" w:eastAsia="Times New Roman" w:hAnsi="Times New Roman" w:cs="Times New Roman"/>
          <w:lang w:bidi="ar-SA"/>
        </w:rPr>
        <w:t>.</w:t>
      </w:r>
    </w:p>
    <w:sectPr w:rsidR="00BB3BB3">
      <w:headerReference w:type="even" r:id="rId11"/>
      <w:headerReference w:type="default" r:id="rId12"/>
      <w:footerReference w:type="even" r:id="rId13"/>
      <w:footerReference w:type="default" r:id="rId14"/>
      <w:headerReference w:type="first" r:id="rId15"/>
      <w:footerReference w:type="first" r:id="rId16"/>
      <w:pgSz w:w="11906" w:h="16838"/>
      <w:pgMar w:top="1134" w:right="1134" w:bottom="1134" w:left="1134" w:header="0" w:footer="0" w:gutter="0"/>
      <w:cols w:space="720"/>
      <w:formProt w:val="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6018CE" w14:textId="77777777" w:rsidR="00AE4895" w:rsidRDefault="00AE4895" w:rsidP="003613B8">
      <w:r>
        <w:separator/>
      </w:r>
    </w:p>
  </w:endnote>
  <w:endnote w:type="continuationSeparator" w:id="0">
    <w:p w14:paraId="21C4DDA8" w14:textId="77777777" w:rsidR="00AE4895" w:rsidRDefault="00AE4895" w:rsidP="003613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1"/>
    <w:family w:val="roman"/>
    <w:pitch w:val="variable"/>
  </w:font>
  <w:font w:name="AR PL SungtiL GB">
    <w:panose1 w:val="00000000000000000000"/>
    <w:charset w:val="00"/>
    <w:family w:val="roman"/>
    <w:notTrueType/>
    <w:pitch w:val="default"/>
  </w:font>
  <w:font w:name="Noto Sans Devanagari">
    <w:charset w:val="00"/>
    <w:family w:val="swiss"/>
    <w:pitch w:val="variable"/>
    <w:sig w:usb0="80008023" w:usb1="00002046" w:usb2="00000000" w:usb3="00000000" w:csb0="00000001" w:csb1="00000000"/>
  </w:font>
  <w:font w:name="Liberation Sans">
    <w:altName w:val="Arial"/>
    <w:charset w:val="01"/>
    <w:family w:val="swiss"/>
    <w:pitch w:val="variable"/>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DejaVu San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FC644" w14:textId="77777777" w:rsidR="00E35808" w:rsidRDefault="00E3580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45479" w14:textId="77777777" w:rsidR="00E35808" w:rsidRDefault="00E3580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B8BBD2" w14:textId="77777777" w:rsidR="00E35808" w:rsidRDefault="00E358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A2E19B" w14:textId="77777777" w:rsidR="00AE4895" w:rsidRDefault="00AE4895" w:rsidP="003613B8">
      <w:r>
        <w:separator/>
      </w:r>
    </w:p>
  </w:footnote>
  <w:footnote w:type="continuationSeparator" w:id="0">
    <w:p w14:paraId="09C9A021" w14:textId="77777777" w:rsidR="00AE4895" w:rsidRDefault="00AE4895" w:rsidP="003613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B3820C" w14:textId="285E50F2" w:rsidR="00E35808" w:rsidRDefault="00000000">
    <w:pPr>
      <w:pStyle w:val="Header"/>
    </w:pPr>
    <w:r>
      <w:rPr>
        <w:noProof/>
      </w:rPr>
      <w:pict w14:anchorId="65527BA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107454" o:spid="_x0000_s1026" type="#_x0000_t136" style="position:absolute;margin-left:0;margin-top:0;width:610.5pt;height:68.85pt;rotation:315;z-index:-251655168;mso-position-horizontal:center;mso-position-horizontal-relative:margin;mso-position-vertical:center;mso-position-vertical-relative:margin" o:allowincell="f" fillcolor="silver" stroked="f">
          <v:fill opacity=".5"/>
          <v:textpath style="font-family:&quot;Liberation Serif&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EF687D" w14:textId="2FFB0271" w:rsidR="00E35808" w:rsidRDefault="00000000">
    <w:pPr>
      <w:pStyle w:val="Header"/>
    </w:pPr>
    <w:r>
      <w:rPr>
        <w:noProof/>
      </w:rPr>
      <w:pict w14:anchorId="77D1356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107455" o:spid="_x0000_s1027" type="#_x0000_t136" style="position:absolute;margin-left:0;margin-top:0;width:610.5pt;height:68.85pt;rotation:315;z-index:-251653120;mso-position-horizontal:center;mso-position-horizontal-relative:margin;mso-position-vertical:center;mso-position-vertical-relative:margin" o:allowincell="f" fillcolor="silver" stroked="f">
          <v:fill opacity=".5"/>
          <v:textpath style="font-family:&quot;Liberation Serif&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42D85" w14:textId="57B72593" w:rsidR="00E35808" w:rsidRDefault="00000000">
    <w:pPr>
      <w:pStyle w:val="Header"/>
    </w:pPr>
    <w:r>
      <w:rPr>
        <w:noProof/>
      </w:rPr>
      <w:pict w14:anchorId="3F5C6C6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107453" o:spid="_x0000_s1025" type="#_x0000_t136" style="position:absolute;margin-left:0;margin-top:0;width:610.5pt;height:68.85pt;rotation:315;z-index:-251657216;mso-position-horizontal:center;mso-position-horizontal-relative:margin;mso-position-vertical:center;mso-position-vertical-relative:margin" o:allowincell="f" fillcolor="silver" stroked="f">
          <v:fill opacity=".5"/>
          <v:textpath style="font-family:&quot;Liberation Serif&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F2D7A"/>
    <w:multiLevelType w:val="hybridMultilevel"/>
    <w:tmpl w:val="DD1654EC"/>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0ABB5528"/>
    <w:multiLevelType w:val="multilevel"/>
    <w:tmpl w:val="519666BE"/>
    <w:lvl w:ilvl="0">
      <w:start w:val="1"/>
      <w:numFmt w:val="none"/>
      <w:pStyle w:val="Heading1"/>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3BD47283"/>
    <w:multiLevelType w:val="hybridMultilevel"/>
    <w:tmpl w:val="996EB132"/>
    <w:lvl w:ilvl="0" w:tplc="20000001">
      <w:numFmt w:val="bullet"/>
      <w:lvlText w:val=""/>
      <w:lvlJc w:val="left"/>
      <w:pPr>
        <w:ind w:left="720" w:hanging="360"/>
      </w:pPr>
      <w:rPr>
        <w:rFonts w:ascii="Symbol" w:eastAsia="Times New Roman" w:hAnsi="Symbol"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4D184FB3"/>
    <w:multiLevelType w:val="multilevel"/>
    <w:tmpl w:val="7E806674"/>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num w:numId="1" w16cid:durableId="1174029055">
    <w:abstractNumId w:val="1"/>
  </w:num>
  <w:num w:numId="2" w16cid:durableId="95105158">
    <w:abstractNumId w:val="3"/>
  </w:num>
  <w:num w:numId="3" w16cid:durableId="1158115571">
    <w:abstractNumId w:val="0"/>
  </w:num>
  <w:num w:numId="4" w16cid:durableId="74156528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9"/>
  <w:autoHyphenation/>
  <w:hyphenationZone w:val="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MjU3MjCzMLAwtzQ3MbdQ0lEKTi0uzszPAykwrAUATzSiYCwAAAA="/>
  </w:docVars>
  <w:rsids>
    <w:rsidRoot w:val="00BB3BB3"/>
    <w:rsid w:val="00091D32"/>
    <w:rsid w:val="000A1D2C"/>
    <w:rsid w:val="00104763"/>
    <w:rsid w:val="00113A4C"/>
    <w:rsid w:val="00157BE2"/>
    <w:rsid w:val="001B0E6E"/>
    <w:rsid w:val="002638CD"/>
    <w:rsid w:val="002E378A"/>
    <w:rsid w:val="003613B8"/>
    <w:rsid w:val="003A5BBD"/>
    <w:rsid w:val="003F2E63"/>
    <w:rsid w:val="004C1DFF"/>
    <w:rsid w:val="004C658C"/>
    <w:rsid w:val="004E2470"/>
    <w:rsid w:val="00501EC5"/>
    <w:rsid w:val="00504BB8"/>
    <w:rsid w:val="005567E9"/>
    <w:rsid w:val="005752FC"/>
    <w:rsid w:val="005A702B"/>
    <w:rsid w:val="005E7E1C"/>
    <w:rsid w:val="00604A22"/>
    <w:rsid w:val="006721B9"/>
    <w:rsid w:val="006C148A"/>
    <w:rsid w:val="0073206F"/>
    <w:rsid w:val="0087585A"/>
    <w:rsid w:val="008934DB"/>
    <w:rsid w:val="008C3249"/>
    <w:rsid w:val="009169AC"/>
    <w:rsid w:val="009321E3"/>
    <w:rsid w:val="00984D89"/>
    <w:rsid w:val="00987EA8"/>
    <w:rsid w:val="00994773"/>
    <w:rsid w:val="009D542E"/>
    <w:rsid w:val="00A00F3E"/>
    <w:rsid w:val="00A11FE6"/>
    <w:rsid w:val="00A20071"/>
    <w:rsid w:val="00A42AF4"/>
    <w:rsid w:val="00A43A40"/>
    <w:rsid w:val="00A82B47"/>
    <w:rsid w:val="00AC47F3"/>
    <w:rsid w:val="00AE4895"/>
    <w:rsid w:val="00B00FB9"/>
    <w:rsid w:val="00B248B6"/>
    <w:rsid w:val="00B55760"/>
    <w:rsid w:val="00B640C2"/>
    <w:rsid w:val="00B75C7B"/>
    <w:rsid w:val="00BB3BB3"/>
    <w:rsid w:val="00CB045B"/>
    <w:rsid w:val="00D5402F"/>
    <w:rsid w:val="00DD3717"/>
    <w:rsid w:val="00DD6307"/>
    <w:rsid w:val="00E35808"/>
    <w:rsid w:val="00E84217"/>
    <w:rsid w:val="00EA5296"/>
    <w:rsid w:val="00EB6E1F"/>
    <w:rsid w:val="00EC23BE"/>
    <w:rsid w:val="00EC3363"/>
    <w:rsid w:val="00ED4605"/>
    <w:rsid w:val="00EE0D8E"/>
    <w:rsid w:val="00F62DBE"/>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E3220B"/>
  <w15:docId w15:val="{4178DA1F-0661-48D1-86D1-CEFF54E33A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AR PL SungtiL GB" w:hAnsi="Liberation Serif" w:cs="Noto Sans Devanagari"/>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style>
  <w:style w:type="paragraph" w:styleId="Heading1">
    <w:name w:val="heading 1"/>
    <w:basedOn w:val="Heading"/>
    <w:next w:val="BodyText"/>
    <w:uiPriority w:val="9"/>
    <w:qFormat/>
    <w:pPr>
      <w:numPr>
        <w:numId w:val="1"/>
      </w:numPr>
      <w:outlineLvl w:val="0"/>
    </w:pPr>
    <w:rPr>
      <w:b/>
      <w:bCs/>
      <w:sz w:val="36"/>
      <w:szCs w:val="36"/>
    </w:rPr>
  </w:style>
  <w:style w:type="paragraph" w:styleId="Heading2">
    <w:name w:val="heading 2"/>
    <w:basedOn w:val="Heading"/>
    <w:next w:val="BodyText"/>
    <w:uiPriority w:val="9"/>
    <w:unhideWhenUsed/>
    <w:qFormat/>
    <w:pPr>
      <w:numPr>
        <w:ilvl w:val="1"/>
        <w:numId w:val="1"/>
      </w:numPr>
      <w:spacing w:before="200"/>
      <w:outlineLvl w:val="1"/>
    </w:pPr>
    <w:rPr>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umberingSymbols">
    <w:name w:val="Numbering Symbols"/>
    <w:qFormat/>
  </w:style>
  <w:style w:type="paragraph" w:customStyle="1" w:styleId="Heading">
    <w:name w:val="Heading"/>
    <w:basedOn w:val="Normal"/>
    <w:next w:val="BodyText"/>
    <w:qFormat/>
    <w:pPr>
      <w:keepNext/>
      <w:spacing w:before="240" w:after="120"/>
    </w:pPr>
    <w:rPr>
      <w:rFonts w:ascii="Liberation Sans" w:hAnsi="Liberation Sans"/>
      <w:sz w:val="28"/>
      <w:szCs w:val="28"/>
    </w:rPr>
  </w:style>
  <w:style w:type="paragraph" w:styleId="BodyText">
    <w:name w:val="Body Text"/>
    <w:basedOn w:val="Normal"/>
    <w:link w:val="BodyTextChar"/>
    <w:pPr>
      <w:spacing w:after="140" w:line="276" w:lineRule="auto"/>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customStyle="1" w:styleId="TableContents">
    <w:name w:val="Table Contents"/>
    <w:basedOn w:val="Normal"/>
    <w:qFormat/>
    <w:pPr>
      <w:suppressLineNumbers/>
    </w:pPr>
  </w:style>
  <w:style w:type="paragraph" w:customStyle="1" w:styleId="TableHeading">
    <w:name w:val="Table Heading"/>
    <w:basedOn w:val="TableContents"/>
    <w:qFormat/>
    <w:pPr>
      <w:jc w:val="center"/>
    </w:pPr>
    <w:rPr>
      <w:b/>
      <w:bCs/>
    </w:rPr>
  </w:style>
  <w:style w:type="character" w:styleId="PlaceholderText">
    <w:name w:val="Placeholder Text"/>
    <w:basedOn w:val="DefaultParagraphFont"/>
    <w:uiPriority w:val="99"/>
    <w:semiHidden/>
    <w:rsid w:val="00AC47F3"/>
    <w:rPr>
      <w:color w:val="666666"/>
    </w:rPr>
  </w:style>
  <w:style w:type="paragraph" w:styleId="Header">
    <w:name w:val="header"/>
    <w:basedOn w:val="Normal"/>
    <w:link w:val="HeaderChar"/>
    <w:uiPriority w:val="99"/>
    <w:unhideWhenUsed/>
    <w:rsid w:val="003613B8"/>
    <w:pPr>
      <w:tabs>
        <w:tab w:val="center" w:pos="4680"/>
        <w:tab w:val="right" w:pos="9360"/>
      </w:tabs>
    </w:pPr>
    <w:rPr>
      <w:rFonts w:cs="Mangal"/>
      <w:szCs w:val="21"/>
    </w:rPr>
  </w:style>
  <w:style w:type="character" w:customStyle="1" w:styleId="HeaderChar">
    <w:name w:val="Header Char"/>
    <w:basedOn w:val="DefaultParagraphFont"/>
    <w:link w:val="Header"/>
    <w:uiPriority w:val="99"/>
    <w:rsid w:val="003613B8"/>
    <w:rPr>
      <w:rFonts w:cs="Mangal"/>
      <w:szCs w:val="21"/>
    </w:rPr>
  </w:style>
  <w:style w:type="paragraph" w:styleId="Footer">
    <w:name w:val="footer"/>
    <w:basedOn w:val="Normal"/>
    <w:link w:val="FooterChar"/>
    <w:uiPriority w:val="99"/>
    <w:unhideWhenUsed/>
    <w:rsid w:val="003613B8"/>
    <w:pPr>
      <w:tabs>
        <w:tab w:val="center" w:pos="4680"/>
        <w:tab w:val="right" w:pos="9360"/>
      </w:tabs>
    </w:pPr>
    <w:rPr>
      <w:rFonts w:cs="Mangal"/>
      <w:szCs w:val="21"/>
    </w:rPr>
  </w:style>
  <w:style w:type="character" w:customStyle="1" w:styleId="FooterChar">
    <w:name w:val="Footer Char"/>
    <w:basedOn w:val="DefaultParagraphFont"/>
    <w:link w:val="Footer"/>
    <w:uiPriority w:val="99"/>
    <w:rsid w:val="003613B8"/>
    <w:rPr>
      <w:rFonts w:cs="Mangal"/>
      <w:szCs w:val="21"/>
    </w:rPr>
  </w:style>
  <w:style w:type="paragraph" w:styleId="NormalWeb">
    <w:name w:val="Normal (Web)"/>
    <w:basedOn w:val="Normal"/>
    <w:uiPriority w:val="99"/>
    <w:semiHidden/>
    <w:unhideWhenUsed/>
    <w:rsid w:val="00A00F3E"/>
    <w:rPr>
      <w:rFonts w:ascii="Times New Roman" w:hAnsi="Times New Roman" w:cs="Mangal"/>
      <w:szCs w:val="21"/>
    </w:rPr>
  </w:style>
  <w:style w:type="character" w:styleId="Emphasis">
    <w:name w:val="Emphasis"/>
    <w:basedOn w:val="DefaultParagraphFont"/>
    <w:uiPriority w:val="20"/>
    <w:qFormat/>
    <w:rsid w:val="00984D89"/>
    <w:rPr>
      <w:i/>
      <w:iCs/>
    </w:rPr>
  </w:style>
  <w:style w:type="character" w:styleId="Hyperlink">
    <w:name w:val="Hyperlink"/>
    <w:basedOn w:val="DefaultParagraphFont"/>
    <w:uiPriority w:val="99"/>
    <w:unhideWhenUsed/>
    <w:rsid w:val="00984D89"/>
    <w:rPr>
      <w:color w:val="0000FF"/>
      <w:u w:val="single"/>
    </w:rPr>
  </w:style>
  <w:style w:type="paragraph" w:styleId="ListParagraph">
    <w:name w:val="List Paragraph"/>
    <w:basedOn w:val="Normal"/>
    <w:uiPriority w:val="34"/>
    <w:qFormat/>
    <w:rsid w:val="00984D89"/>
    <w:pPr>
      <w:ind w:left="720"/>
      <w:contextualSpacing/>
    </w:pPr>
    <w:rPr>
      <w:rFonts w:cs="Mangal"/>
      <w:szCs w:val="21"/>
    </w:rPr>
  </w:style>
  <w:style w:type="character" w:styleId="UnresolvedMention">
    <w:name w:val="Unresolved Mention"/>
    <w:basedOn w:val="DefaultParagraphFont"/>
    <w:uiPriority w:val="99"/>
    <w:semiHidden/>
    <w:unhideWhenUsed/>
    <w:rsid w:val="008C3249"/>
    <w:rPr>
      <w:color w:val="605E5C"/>
      <w:shd w:val="clear" w:color="auto" w:fill="E1DFDD"/>
    </w:rPr>
  </w:style>
  <w:style w:type="paragraph" w:styleId="NoSpacing">
    <w:name w:val="No Spacing"/>
    <w:uiPriority w:val="1"/>
    <w:qFormat/>
    <w:rsid w:val="006C148A"/>
    <w:pPr>
      <w:suppressAutoHyphens w:val="0"/>
    </w:pPr>
    <w:rPr>
      <w:rFonts w:asciiTheme="minorHAnsi" w:eastAsiaTheme="minorHAnsi" w:hAnsiTheme="minorHAnsi" w:cstheme="minorBidi"/>
      <w:sz w:val="22"/>
      <w:szCs w:val="22"/>
      <w:lang w:val="en-GB" w:eastAsia="en-US" w:bidi="ar-SA"/>
    </w:rPr>
  </w:style>
  <w:style w:type="paragraph" w:styleId="Revision">
    <w:name w:val="Revision"/>
    <w:hidden/>
    <w:uiPriority w:val="99"/>
    <w:semiHidden/>
    <w:rsid w:val="00A43A40"/>
    <w:pPr>
      <w:suppressAutoHyphens w:val="0"/>
    </w:pPr>
    <w:rPr>
      <w:rFonts w:cs="Mangal"/>
      <w:szCs w:val="21"/>
    </w:rPr>
  </w:style>
  <w:style w:type="character" w:customStyle="1" w:styleId="BodyTextChar">
    <w:name w:val="Body Text Char"/>
    <w:basedOn w:val="DefaultParagraphFont"/>
    <w:link w:val="BodyText"/>
    <w:rsid w:val="00A43A40"/>
  </w:style>
  <w:style w:type="paragraph" w:customStyle="1" w:styleId="isselectedend">
    <w:name w:val="isselectedend"/>
    <w:basedOn w:val="Normal"/>
    <w:rsid w:val="00CB045B"/>
    <w:pPr>
      <w:widowControl/>
      <w:suppressAutoHyphens w:val="0"/>
      <w:spacing w:before="100" w:beforeAutospacing="1" w:after="100" w:afterAutospacing="1"/>
    </w:pPr>
    <w:rPr>
      <w:rFonts w:ascii="Times New Roman" w:eastAsia="Times New Roman" w:hAnsi="Times New Roman" w:cs="Times New Roman"/>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80537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s://dabafinance.com"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2.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8</Pages>
  <Words>2921</Words>
  <Characters>16654</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19536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Omondi Calvince</dc:creator>
  <cp:keywords/>
  <dc:description/>
  <cp:lastModifiedBy>SDI CPU 1117</cp:lastModifiedBy>
  <cp:revision>9</cp:revision>
  <dcterms:created xsi:type="dcterms:W3CDTF">2026-06-09T16:44:00Z</dcterms:created>
  <dcterms:modified xsi:type="dcterms:W3CDTF">2026-06-12T09:02:00Z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ec6aa2eb-1f0f-4aa2-89e6-ef5ef1b4103f</vt:lpwstr>
  </property>
</Properties>
</file>