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E2A6" w14:textId="77777777" w:rsidR="00B1775D" w:rsidRDefault="00B1775D" w:rsidP="00300D2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Ethyl Acetate Extract of </w:t>
      </w:r>
      <w:r>
        <w:rPr>
          <w:rFonts w:ascii="Times New Roman" w:hAnsi="Times New Roman" w:cs="Times New Roman"/>
          <w:b/>
          <w:bCs/>
          <w:i/>
          <w:sz w:val="24"/>
          <w:szCs w:val="24"/>
        </w:rPr>
        <w:t xml:space="preserve">Embelia ribes </w:t>
      </w:r>
      <w:r>
        <w:rPr>
          <w:rFonts w:ascii="Times New Roman" w:hAnsi="Times New Roman" w:cs="Times New Roman"/>
          <w:b/>
          <w:bCs/>
          <w:iCs/>
          <w:sz w:val="24"/>
          <w:szCs w:val="24"/>
        </w:rPr>
        <w:t>Seed</w:t>
      </w:r>
      <w:r>
        <w:rPr>
          <w:rFonts w:ascii="Times New Roman" w:hAnsi="Times New Roman" w:cs="Times New Roman"/>
          <w:b/>
          <w:bCs/>
          <w:i/>
          <w:sz w:val="24"/>
          <w:szCs w:val="24"/>
        </w:rPr>
        <w:t xml:space="preserve"> </w:t>
      </w:r>
      <w:r>
        <w:rPr>
          <w:rFonts w:ascii="Times New Roman" w:hAnsi="Times New Roman" w:cs="Times New Roman"/>
          <w:i/>
          <w:sz w:val="24"/>
          <w:szCs w:val="24"/>
        </w:rPr>
        <w:t>(</w:t>
      </w:r>
      <w:r>
        <w:rPr>
          <w:rFonts w:ascii="Times New Roman" w:hAnsi="Times New Roman" w:cs="Times New Roman"/>
          <w:b/>
          <w:i/>
          <w:sz w:val="24"/>
          <w:szCs w:val="24"/>
        </w:rPr>
        <w:t>Myrsinaceae</w:t>
      </w:r>
      <w:r>
        <w:rPr>
          <w:rFonts w:ascii="Times New Roman" w:hAnsi="Times New Roman" w:cs="Times New Roman"/>
          <w:i/>
          <w:sz w:val="24"/>
          <w:szCs w:val="24"/>
        </w:rPr>
        <w:t>)</w:t>
      </w:r>
      <w:r>
        <w:rPr>
          <w:rFonts w:ascii="Times New Roman" w:hAnsi="Times New Roman" w:cs="Times New Roman"/>
          <w:b/>
          <w:bCs/>
          <w:i/>
          <w:iCs/>
          <w:sz w:val="24"/>
          <w:szCs w:val="24"/>
        </w:rPr>
        <w:t xml:space="preserve"> </w:t>
      </w:r>
      <w:r>
        <w:rPr>
          <w:rFonts w:ascii="Times New Roman" w:hAnsi="Times New Roman" w:cs="Times New Roman"/>
          <w:b/>
          <w:bCs/>
          <w:iCs/>
          <w:sz w:val="24"/>
          <w:szCs w:val="24"/>
        </w:rPr>
        <w:t xml:space="preserve">and Vitamin E (alpha-tocopherol) Protect </w:t>
      </w:r>
      <w:r>
        <w:rPr>
          <w:rFonts w:ascii="Times New Roman" w:hAnsi="Times New Roman" w:cs="Times New Roman"/>
          <w:b/>
          <w:bCs/>
          <w:sz w:val="24"/>
          <w:szCs w:val="24"/>
        </w:rPr>
        <w:t>Against Hematological Disorder and Redox Imbalance Associated with Tamoxifen Administration</w:t>
      </w:r>
    </w:p>
    <w:p w14:paraId="2718BEA4" w14:textId="77777777" w:rsidR="007D3ADD" w:rsidRPr="00300D2C" w:rsidRDefault="007D3ADD" w:rsidP="00300D2C">
      <w:pPr>
        <w:spacing w:line="360" w:lineRule="auto"/>
        <w:jc w:val="both"/>
        <w:rPr>
          <w:rFonts w:ascii="Times New Roman" w:hAnsi="Times New Roman" w:cs="Times New Roman"/>
          <w:b/>
          <w:bCs/>
          <w:sz w:val="24"/>
          <w:szCs w:val="24"/>
        </w:rPr>
      </w:pPr>
    </w:p>
    <w:p w14:paraId="7B56663A" w14:textId="77777777" w:rsidR="00970159" w:rsidRPr="00300D2C" w:rsidRDefault="00970159" w:rsidP="00300D2C">
      <w:pPr>
        <w:spacing w:line="360" w:lineRule="auto"/>
        <w:jc w:val="both"/>
        <w:rPr>
          <w:rFonts w:ascii="Times New Roman" w:hAnsi="Times New Roman" w:cs="Times New Roman"/>
          <w:b/>
          <w:bCs/>
          <w:sz w:val="24"/>
          <w:szCs w:val="24"/>
        </w:rPr>
      </w:pPr>
    </w:p>
    <w:p w14:paraId="3C9CB84E" w14:textId="77777777" w:rsidR="00754C0D" w:rsidRPr="00300D2C" w:rsidRDefault="00800FFC" w:rsidP="00300D2C">
      <w:pPr>
        <w:spacing w:line="360" w:lineRule="auto"/>
        <w:jc w:val="center"/>
        <w:rPr>
          <w:rFonts w:ascii="Times New Roman" w:hAnsi="Times New Roman" w:cs="Times New Roman"/>
          <w:b/>
          <w:bCs/>
          <w:sz w:val="24"/>
          <w:szCs w:val="24"/>
        </w:rPr>
      </w:pPr>
      <w:r w:rsidRPr="00300D2C">
        <w:rPr>
          <w:rFonts w:ascii="Times New Roman" w:hAnsi="Times New Roman" w:cs="Times New Roman"/>
          <w:b/>
          <w:bCs/>
          <w:sz w:val="24"/>
          <w:szCs w:val="24"/>
        </w:rPr>
        <w:t>ABSTRACT</w:t>
      </w:r>
    </w:p>
    <w:p w14:paraId="63575E47" w14:textId="77777777" w:rsidR="0035245B" w:rsidRPr="00300D2C" w:rsidRDefault="00E437E5"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Tamoxifen is a widely used hormonal therapy for the treatment and prevention of hormone receptor-positive breast cancer. Its prolonged administration may be associated with adverse effects. Natural </w:t>
      </w:r>
      <w:r>
        <w:rPr>
          <w:rFonts w:ascii="Times New Roman" w:hAnsi="Times New Roman" w:cs="Times New Roman"/>
          <w:sz w:val="24"/>
          <w:szCs w:val="24"/>
          <w:highlight w:val="yellow"/>
        </w:rPr>
        <w:t xml:space="preserve">plant </w:t>
      </w:r>
      <w:r>
        <w:rPr>
          <w:rFonts w:ascii="Times New Roman" w:hAnsi="Times New Roman" w:cs="Times New Roman"/>
          <w:sz w:val="24"/>
          <w:szCs w:val="24"/>
        </w:rPr>
        <w:t xml:space="preserve">products have gained considerable attention in recent years as potential drug sources. This study evaluated the protective roles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ethyl acetate extract of </w:t>
      </w:r>
      <w:r>
        <w:rPr>
          <w:rFonts w:ascii="Times New Roman" w:hAnsi="Times New Roman" w:cs="Times New Roman"/>
          <w:i/>
          <w:iCs/>
          <w:sz w:val="24"/>
          <w:szCs w:val="24"/>
        </w:rPr>
        <w:t>Embelia ribes</w:t>
      </w:r>
      <w:r>
        <w:rPr>
          <w:rFonts w:ascii="Times New Roman" w:hAnsi="Times New Roman" w:cs="Times New Roman"/>
          <w:sz w:val="24"/>
          <w:szCs w:val="24"/>
        </w:rPr>
        <w:t xml:space="preserve"> </w:t>
      </w:r>
      <w:r>
        <w:rPr>
          <w:rFonts w:ascii="Times New Roman" w:hAnsi="Times New Roman" w:cs="Times New Roman"/>
          <w:sz w:val="24"/>
          <w:szCs w:val="24"/>
          <w:highlight w:val="yellow"/>
        </w:rPr>
        <w:t>seed</w:t>
      </w:r>
      <w:r>
        <w:rPr>
          <w:rFonts w:ascii="Times New Roman" w:hAnsi="Times New Roman" w:cs="Times New Roman"/>
          <w:sz w:val="24"/>
          <w:szCs w:val="24"/>
        </w:rPr>
        <w:t xml:space="preserve">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against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w:t>
      </w:r>
      <w:r>
        <w:rPr>
          <w:rFonts w:ascii="Times New Roman" w:hAnsi="Times New Roman" w:cs="Times New Roman"/>
          <w:sz w:val="24"/>
          <w:szCs w:val="24"/>
          <w:highlight w:val="yellow"/>
        </w:rPr>
        <w:t>disorders</w:t>
      </w:r>
      <w:r>
        <w:rPr>
          <w:rFonts w:ascii="Times New Roman" w:hAnsi="Times New Roman" w:cs="Times New Roman"/>
          <w:sz w:val="24"/>
          <w:szCs w:val="24"/>
        </w:rPr>
        <w:t xml:space="preserve"> and redox imbalance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in female Wistar rats. Fifty-six (56) </w:t>
      </w:r>
      <w:r>
        <w:rPr>
          <w:rFonts w:ascii="Times New Roman" w:hAnsi="Times New Roman" w:cs="Times New Roman"/>
          <w:sz w:val="24"/>
          <w:szCs w:val="24"/>
          <w:highlight w:val="yellow"/>
        </w:rPr>
        <w:t>rats,</w:t>
      </w:r>
      <w:r>
        <w:rPr>
          <w:rFonts w:ascii="Times New Roman" w:hAnsi="Times New Roman" w:cs="Times New Roman"/>
          <w:sz w:val="24"/>
          <w:szCs w:val="24"/>
        </w:rPr>
        <w:t xml:space="preserve"> </w:t>
      </w:r>
      <w:r>
        <w:rPr>
          <w:rFonts w:ascii="Times New Roman" w:hAnsi="Times New Roman" w:cs="Times New Roman"/>
          <w:sz w:val="24"/>
          <w:szCs w:val="24"/>
          <w:highlight w:val="yellow"/>
        </w:rPr>
        <w:t>with</w:t>
      </w:r>
      <w:r>
        <w:rPr>
          <w:rFonts w:ascii="Times New Roman" w:hAnsi="Times New Roman" w:cs="Times New Roman"/>
          <w:sz w:val="24"/>
          <w:szCs w:val="24"/>
        </w:rPr>
        <w:t xml:space="preserve"> </w:t>
      </w:r>
      <w:r>
        <w:rPr>
          <w:rFonts w:ascii="Times New Roman" w:hAnsi="Times New Roman" w:cs="Times New Roman"/>
          <w:sz w:val="24"/>
          <w:szCs w:val="24"/>
          <w:highlight w:val="yellow"/>
        </w:rPr>
        <w:t>an</w:t>
      </w:r>
      <w:r>
        <w:rPr>
          <w:rFonts w:ascii="Times New Roman" w:hAnsi="Times New Roman" w:cs="Times New Roman"/>
          <w:sz w:val="24"/>
          <w:szCs w:val="24"/>
        </w:rPr>
        <w:t xml:space="preserve"> </w:t>
      </w:r>
      <w:r>
        <w:rPr>
          <w:rFonts w:ascii="Times New Roman" w:hAnsi="Times New Roman" w:cs="Times New Roman"/>
          <w:sz w:val="24"/>
          <w:szCs w:val="24"/>
          <w:highlight w:val="yellow"/>
        </w:rPr>
        <w:t>average</w:t>
      </w:r>
      <w:r>
        <w:rPr>
          <w:rFonts w:ascii="Times New Roman" w:hAnsi="Times New Roman" w:cs="Times New Roman"/>
          <w:sz w:val="24"/>
          <w:szCs w:val="24"/>
        </w:rPr>
        <w:t xml:space="preserve"> </w:t>
      </w:r>
      <w:r>
        <w:rPr>
          <w:rFonts w:ascii="Times New Roman" w:hAnsi="Times New Roman" w:cs="Times New Roman"/>
          <w:sz w:val="24"/>
          <w:szCs w:val="24"/>
          <w:highlight w:val="yellow"/>
        </w:rPr>
        <w:t>weight</w:t>
      </w:r>
      <w:r>
        <w:rPr>
          <w:rFonts w:ascii="Times New Roman" w:hAnsi="Times New Roman" w:cs="Times New Roman"/>
          <w:sz w:val="24"/>
          <w:szCs w:val="24"/>
        </w:rPr>
        <w:t xml:space="preserve"> </w:t>
      </w:r>
      <w:r>
        <w:rPr>
          <w:rFonts w:ascii="Times New Roman" w:hAnsi="Times New Roman" w:cs="Times New Roman"/>
          <w:sz w:val="24"/>
          <w:szCs w:val="24"/>
          <w:highlight w:val="yellow"/>
        </w:rPr>
        <w:t>of</w:t>
      </w:r>
      <w:r>
        <w:rPr>
          <w:rFonts w:ascii="Times New Roman" w:hAnsi="Times New Roman" w:cs="Times New Roman"/>
          <w:sz w:val="24"/>
          <w:szCs w:val="24"/>
        </w:rPr>
        <w:t xml:space="preserve"> </w:t>
      </w:r>
      <w:r>
        <w:rPr>
          <w:rFonts w:ascii="Times New Roman" w:hAnsi="Times New Roman" w:cs="Times New Roman"/>
          <w:sz w:val="24"/>
          <w:szCs w:val="24"/>
          <w:highlight w:val="yellow"/>
        </w:rPr>
        <w:t>120 g,</w:t>
      </w:r>
      <w:r>
        <w:rPr>
          <w:rFonts w:ascii="Times New Roman" w:hAnsi="Times New Roman" w:cs="Times New Roman"/>
          <w:sz w:val="24"/>
          <w:szCs w:val="24"/>
        </w:rPr>
        <w:t xml:space="preserve"> were </w:t>
      </w:r>
      <w:r>
        <w:rPr>
          <w:rFonts w:ascii="Times New Roman" w:hAnsi="Times New Roman" w:cs="Times New Roman"/>
          <w:sz w:val="24"/>
          <w:szCs w:val="24"/>
          <w:highlight w:val="yellow"/>
        </w:rPr>
        <w:t>acclimatised</w:t>
      </w:r>
      <w:r>
        <w:rPr>
          <w:rFonts w:ascii="Times New Roman" w:hAnsi="Times New Roman" w:cs="Times New Roman"/>
          <w:sz w:val="24"/>
          <w:szCs w:val="24"/>
        </w:rPr>
        <w:t xml:space="preserve"> and randomly </w:t>
      </w:r>
      <w:r>
        <w:rPr>
          <w:rFonts w:ascii="Times New Roman" w:hAnsi="Times New Roman" w:cs="Times New Roman"/>
          <w:sz w:val="24"/>
          <w:szCs w:val="24"/>
          <w:highlight w:val="yellow"/>
        </w:rPr>
        <w:t>allocated</w:t>
      </w:r>
      <w:r>
        <w:rPr>
          <w:rFonts w:ascii="Times New Roman" w:hAnsi="Times New Roman" w:cs="Times New Roman"/>
          <w:sz w:val="24"/>
          <w:szCs w:val="24"/>
        </w:rPr>
        <w:t xml:space="preserve"> </w:t>
      </w:r>
      <w:r>
        <w:rPr>
          <w:rFonts w:ascii="Times New Roman" w:hAnsi="Times New Roman" w:cs="Times New Roman"/>
          <w:sz w:val="24"/>
          <w:szCs w:val="24"/>
          <w:highlight w:val="yellow"/>
        </w:rPr>
        <w:t>to</w:t>
      </w:r>
      <w:r>
        <w:rPr>
          <w:rFonts w:ascii="Times New Roman" w:hAnsi="Times New Roman" w:cs="Times New Roman"/>
          <w:sz w:val="24"/>
          <w:szCs w:val="24"/>
        </w:rPr>
        <w:t xml:space="preserve"> eight groups, A-H: Group A (control), Group B </w:t>
      </w:r>
      <w:r>
        <w:rPr>
          <w:rFonts w:ascii="Times New Roman" w:hAnsi="Times New Roman" w:cs="Times New Roman"/>
          <w:sz w:val="24"/>
          <w:szCs w:val="24"/>
          <w:highlight w:val="yellow"/>
        </w:rPr>
        <w:t>(2.5</w:t>
      </w:r>
      <w:r>
        <w:rPr>
          <w:rFonts w:ascii="Times New Roman" w:hAnsi="Times New Roman" w:cs="Times New Roman"/>
          <w:sz w:val="24"/>
          <w:szCs w:val="24"/>
        </w:rPr>
        <w:t xml:space="preserve"> </w:t>
      </w:r>
      <w:r>
        <w:rPr>
          <w:rFonts w:ascii="Times New Roman" w:hAnsi="Times New Roman" w:cs="Times New Roman"/>
          <w:sz w:val="24"/>
          <w:szCs w:val="24"/>
          <w:highlight w:val="yellow"/>
        </w:rPr>
        <w:t>mg/kg tamoxifen</w:t>
      </w:r>
      <w:r>
        <w:rPr>
          <w:rFonts w:ascii="Times New Roman" w:hAnsi="Times New Roman" w:cs="Times New Roman"/>
          <w:sz w:val="24"/>
          <w:szCs w:val="24"/>
        </w:rPr>
        <w:t xml:space="preserve"> only), Group C </w:t>
      </w:r>
      <w:r>
        <w:rPr>
          <w:rFonts w:ascii="Times New Roman" w:hAnsi="Times New Roman" w:cs="Times New Roman"/>
          <w:sz w:val="24"/>
          <w:szCs w:val="24"/>
          <w:highlight w:val="yellow"/>
        </w:rPr>
        <w:t>(100</w:t>
      </w:r>
      <w:r>
        <w:rPr>
          <w:rFonts w:ascii="Times New Roman" w:hAnsi="Times New Roman" w:cs="Times New Roman"/>
          <w:sz w:val="24"/>
          <w:szCs w:val="24"/>
        </w:rPr>
        <w:t xml:space="preserve"> </w:t>
      </w:r>
      <w:r>
        <w:rPr>
          <w:rFonts w:ascii="Times New Roman" w:hAnsi="Times New Roman" w:cs="Times New Roman"/>
          <w:sz w:val="24"/>
          <w:szCs w:val="24"/>
          <w:highlight w:val="yellow"/>
        </w:rPr>
        <w:t>mg/kg extract</w:t>
      </w:r>
      <w:r>
        <w:rPr>
          <w:rFonts w:ascii="Times New Roman" w:hAnsi="Times New Roman" w:cs="Times New Roman"/>
          <w:sz w:val="24"/>
          <w:szCs w:val="24"/>
        </w:rPr>
        <w:t xml:space="preserve"> and </w:t>
      </w:r>
      <w:r>
        <w:rPr>
          <w:rFonts w:ascii="Times New Roman" w:hAnsi="Times New Roman" w:cs="Times New Roman"/>
          <w:sz w:val="24"/>
          <w:szCs w:val="24"/>
          <w:highlight w:val="yellow"/>
        </w:rPr>
        <w:t>2.5</w:t>
      </w:r>
      <w:r>
        <w:rPr>
          <w:rFonts w:ascii="Times New Roman" w:hAnsi="Times New Roman" w:cs="Times New Roman"/>
          <w:sz w:val="24"/>
          <w:szCs w:val="24"/>
        </w:rPr>
        <w:t xml:space="preserve"> </w:t>
      </w:r>
      <w:r>
        <w:rPr>
          <w:rFonts w:ascii="Times New Roman" w:hAnsi="Times New Roman" w:cs="Times New Roman"/>
          <w:sz w:val="24"/>
          <w:szCs w:val="24"/>
          <w:highlight w:val="yellow"/>
        </w:rPr>
        <w:t>mg/kg tamoxifen),</w:t>
      </w:r>
      <w:r>
        <w:rPr>
          <w:rFonts w:ascii="Times New Roman" w:hAnsi="Times New Roman" w:cs="Times New Roman"/>
          <w:sz w:val="24"/>
          <w:szCs w:val="24"/>
        </w:rPr>
        <w:t xml:space="preserve"> Group D </w:t>
      </w:r>
      <w:r>
        <w:rPr>
          <w:rFonts w:ascii="Times New Roman" w:hAnsi="Times New Roman" w:cs="Times New Roman"/>
          <w:sz w:val="24"/>
          <w:szCs w:val="24"/>
          <w:highlight w:val="yellow"/>
        </w:rPr>
        <w:t>(100</w:t>
      </w:r>
      <w:r>
        <w:rPr>
          <w:rFonts w:ascii="Times New Roman" w:hAnsi="Times New Roman" w:cs="Times New Roman"/>
          <w:sz w:val="24"/>
          <w:szCs w:val="24"/>
        </w:rPr>
        <w:t xml:space="preserve"> </w:t>
      </w:r>
      <w:r>
        <w:rPr>
          <w:rFonts w:ascii="Times New Roman" w:hAnsi="Times New Roman" w:cs="Times New Roman"/>
          <w:sz w:val="24"/>
          <w:szCs w:val="24"/>
          <w:highlight w:val="yellow"/>
        </w:rPr>
        <w:t>mg/kg vitamin</w:t>
      </w:r>
      <w:r>
        <w:rPr>
          <w:rFonts w:ascii="Times New Roman" w:hAnsi="Times New Roman" w:cs="Times New Roman"/>
          <w:sz w:val="24"/>
          <w:szCs w:val="24"/>
        </w:rPr>
        <w:t xml:space="preserve"> E and </w:t>
      </w:r>
      <w:r>
        <w:rPr>
          <w:rFonts w:ascii="Times New Roman" w:hAnsi="Times New Roman" w:cs="Times New Roman"/>
          <w:sz w:val="24"/>
          <w:szCs w:val="24"/>
          <w:highlight w:val="yellow"/>
        </w:rPr>
        <w:t>2.5</w:t>
      </w:r>
      <w:r>
        <w:rPr>
          <w:rFonts w:ascii="Times New Roman" w:hAnsi="Times New Roman" w:cs="Times New Roman"/>
          <w:sz w:val="24"/>
          <w:szCs w:val="24"/>
        </w:rPr>
        <w:t xml:space="preserve"> </w:t>
      </w:r>
      <w:r>
        <w:rPr>
          <w:rFonts w:ascii="Times New Roman" w:hAnsi="Times New Roman" w:cs="Times New Roman"/>
          <w:sz w:val="24"/>
          <w:szCs w:val="24"/>
          <w:highlight w:val="yellow"/>
        </w:rPr>
        <w:t>mg/kg tamoxifen),</w:t>
      </w:r>
      <w:r>
        <w:rPr>
          <w:rFonts w:ascii="Times New Roman" w:hAnsi="Times New Roman" w:cs="Times New Roman"/>
          <w:sz w:val="24"/>
          <w:szCs w:val="24"/>
        </w:rPr>
        <w:t xml:space="preserve"> Group E </w:t>
      </w:r>
      <w:r>
        <w:rPr>
          <w:rFonts w:ascii="Times New Roman" w:hAnsi="Times New Roman" w:cs="Times New Roman"/>
          <w:sz w:val="24"/>
          <w:szCs w:val="24"/>
          <w:highlight w:val="yellow"/>
        </w:rPr>
        <w:t>(100</w:t>
      </w:r>
      <w:r>
        <w:rPr>
          <w:rFonts w:ascii="Times New Roman" w:hAnsi="Times New Roman" w:cs="Times New Roman"/>
          <w:sz w:val="24"/>
          <w:szCs w:val="24"/>
        </w:rPr>
        <w:t xml:space="preserve"> </w:t>
      </w:r>
      <w:r>
        <w:rPr>
          <w:rFonts w:ascii="Times New Roman" w:hAnsi="Times New Roman" w:cs="Times New Roman"/>
          <w:sz w:val="24"/>
          <w:szCs w:val="24"/>
          <w:highlight w:val="yellow"/>
        </w:rPr>
        <w:t>mg/kg</w:t>
      </w:r>
      <w:r>
        <w:rPr>
          <w:rFonts w:ascii="Times New Roman" w:hAnsi="Times New Roman" w:cs="Times New Roman"/>
          <w:sz w:val="24"/>
          <w:szCs w:val="24"/>
        </w:rPr>
        <w:t xml:space="preserve"> </w:t>
      </w:r>
      <w:r>
        <w:rPr>
          <w:rFonts w:ascii="Times New Roman" w:hAnsi="Times New Roman" w:cs="Times New Roman"/>
          <w:sz w:val="24"/>
          <w:szCs w:val="24"/>
          <w:highlight w:val="yellow"/>
        </w:rPr>
        <w:t>extract,</w:t>
      </w:r>
      <w:r>
        <w:rPr>
          <w:rFonts w:ascii="Times New Roman" w:hAnsi="Times New Roman" w:cs="Times New Roman"/>
          <w:sz w:val="24"/>
          <w:szCs w:val="24"/>
        </w:rPr>
        <w:t xml:space="preserve"> </w:t>
      </w:r>
      <w:r>
        <w:rPr>
          <w:rFonts w:ascii="Times New Roman" w:hAnsi="Times New Roman" w:cs="Times New Roman"/>
          <w:sz w:val="24"/>
          <w:szCs w:val="24"/>
          <w:highlight w:val="yellow"/>
        </w:rPr>
        <w:t>100 mg/kg vitamin</w:t>
      </w:r>
      <w:r>
        <w:rPr>
          <w:rFonts w:ascii="Times New Roman" w:hAnsi="Times New Roman" w:cs="Times New Roman"/>
          <w:sz w:val="24"/>
          <w:szCs w:val="24"/>
        </w:rPr>
        <w:t xml:space="preserve"> E and </w:t>
      </w:r>
      <w:r>
        <w:rPr>
          <w:rFonts w:ascii="Times New Roman" w:hAnsi="Times New Roman" w:cs="Times New Roman"/>
          <w:sz w:val="24"/>
          <w:szCs w:val="24"/>
          <w:highlight w:val="yellow"/>
        </w:rPr>
        <w:t>2.5</w:t>
      </w:r>
      <w:r>
        <w:rPr>
          <w:rFonts w:ascii="Times New Roman" w:hAnsi="Times New Roman" w:cs="Times New Roman"/>
          <w:sz w:val="24"/>
          <w:szCs w:val="24"/>
        </w:rPr>
        <w:t xml:space="preserve"> </w:t>
      </w:r>
      <w:r>
        <w:rPr>
          <w:rFonts w:ascii="Times New Roman" w:hAnsi="Times New Roman" w:cs="Times New Roman"/>
          <w:sz w:val="24"/>
          <w:szCs w:val="24"/>
          <w:highlight w:val="yellow"/>
        </w:rPr>
        <w:t>mg/kg tamoxifen),</w:t>
      </w:r>
      <w:r>
        <w:rPr>
          <w:rFonts w:ascii="Times New Roman" w:hAnsi="Times New Roman" w:cs="Times New Roman"/>
          <w:sz w:val="24"/>
          <w:szCs w:val="24"/>
        </w:rPr>
        <w:t xml:space="preserve"> Group F </w:t>
      </w:r>
      <w:r>
        <w:rPr>
          <w:rFonts w:ascii="Times New Roman" w:hAnsi="Times New Roman" w:cs="Times New Roman"/>
          <w:sz w:val="24"/>
          <w:szCs w:val="24"/>
          <w:highlight w:val="yellow"/>
        </w:rPr>
        <w:t>(100</w:t>
      </w:r>
      <w:r>
        <w:rPr>
          <w:rFonts w:ascii="Times New Roman" w:hAnsi="Times New Roman" w:cs="Times New Roman"/>
          <w:sz w:val="24"/>
          <w:szCs w:val="24"/>
        </w:rPr>
        <w:t xml:space="preserve"> </w:t>
      </w:r>
      <w:r>
        <w:rPr>
          <w:rFonts w:ascii="Times New Roman" w:hAnsi="Times New Roman" w:cs="Times New Roman"/>
          <w:sz w:val="24"/>
          <w:szCs w:val="24"/>
          <w:highlight w:val="yellow"/>
        </w:rPr>
        <w:t>mg/kg extract</w:t>
      </w:r>
      <w:r>
        <w:rPr>
          <w:rFonts w:ascii="Times New Roman" w:hAnsi="Times New Roman" w:cs="Times New Roman"/>
          <w:sz w:val="24"/>
          <w:szCs w:val="24"/>
        </w:rPr>
        <w:t xml:space="preserve"> only), Group G </w:t>
      </w:r>
      <w:r>
        <w:rPr>
          <w:rFonts w:ascii="Times New Roman" w:hAnsi="Times New Roman" w:cs="Times New Roman"/>
          <w:sz w:val="24"/>
          <w:szCs w:val="24"/>
          <w:highlight w:val="yellow"/>
        </w:rPr>
        <w:t>(100</w:t>
      </w:r>
      <w:r>
        <w:rPr>
          <w:rFonts w:ascii="Times New Roman" w:hAnsi="Times New Roman" w:cs="Times New Roman"/>
          <w:sz w:val="24"/>
          <w:szCs w:val="24"/>
        </w:rPr>
        <w:t xml:space="preserve"> </w:t>
      </w:r>
      <w:r>
        <w:rPr>
          <w:rFonts w:ascii="Times New Roman" w:hAnsi="Times New Roman" w:cs="Times New Roman"/>
          <w:sz w:val="24"/>
          <w:szCs w:val="24"/>
          <w:highlight w:val="yellow"/>
        </w:rPr>
        <w:t>mg/kg vitamin</w:t>
      </w:r>
      <w:r>
        <w:rPr>
          <w:rFonts w:ascii="Times New Roman" w:hAnsi="Times New Roman" w:cs="Times New Roman"/>
          <w:sz w:val="24"/>
          <w:szCs w:val="24"/>
        </w:rPr>
        <w:t xml:space="preserve"> E only), </w:t>
      </w:r>
      <w:r>
        <w:rPr>
          <w:rFonts w:ascii="Times New Roman" w:hAnsi="Times New Roman" w:cs="Times New Roman"/>
          <w:sz w:val="24"/>
          <w:szCs w:val="24"/>
          <w:highlight w:val="yellow"/>
        </w:rPr>
        <w:t xml:space="preserve">and </w:t>
      </w:r>
      <w:r>
        <w:rPr>
          <w:rFonts w:ascii="Times New Roman" w:hAnsi="Times New Roman" w:cs="Times New Roman"/>
          <w:sz w:val="24"/>
          <w:szCs w:val="24"/>
        </w:rPr>
        <w:t xml:space="preserve">Group H </w:t>
      </w:r>
      <w:r>
        <w:rPr>
          <w:rFonts w:ascii="Times New Roman" w:hAnsi="Times New Roman" w:cs="Times New Roman"/>
          <w:sz w:val="24"/>
          <w:szCs w:val="24"/>
          <w:highlight w:val="yellow"/>
        </w:rPr>
        <w:t>(100</w:t>
      </w:r>
      <w:r>
        <w:rPr>
          <w:rFonts w:ascii="Times New Roman" w:hAnsi="Times New Roman" w:cs="Times New Roman"/>
          <w:sz w:val="24"/>
          <w:szCs w:val="24"/>
        </w:rPr>
        <w:t xml:space="preserve"> </w:t>
      </w:r>
      <w:r>
        <w:rPr>
          <w:rFonts w:ascii="Times New Roman" w:hAnsi="Times New Roman" w:cs="Times New Roman"/>
          <w:sz w:val="24"/>
          <w:szCs w:val="24"/>
          <w:highlight w:val="yellow"/>
        </w:rPr>
        <w:t>mg/kg extract</w:t>
      </w:r>
      <w:r>
        <w:rPr>
          <w:rFonts w:ascii="Times New Roman" w:hAnsi="Times New Roman" w:cs="Times New Roman"/>
          <w:sz w:val="24"/>
          <w:szCs w:val="24"/>
        </w:rPr>
        <w:t xml:space="preserve"> and </w:t>
      </w:r>
      <w:r>
        <w:rPr>
          <w:rFonts w:ascii="Times New Roman" w:hAnsi="Times New Roman" w:cs="Times New Roman"/>
          <w:sz w:val="24"/>
          <w:szCs w:val="24"/>
          <w:highlight w:val="yellow"/>
        </w:rPr>
        <w:t>100</w:t>
      </w:r>
      <w:r>
        <w:rPr>
          <w:rFonts w:ascii="Times New Roman" w:hAnsi="Times New Roman" w:cs="Times New Roman"/>
          <w:sz w:val="24"/>
          <w:szCs w:val="24"/>
        </w:rPr>
        <w:t xml:space="preserve"> </w:t>
      </w:r>
      <w:r>
        <w:rPr>
          <w:rFonts w:ascii="Times New Roman" w:hAnsi="Times New Roman" w:cs="Times New Roman"/>
          <w:sz w:val="24"/>
          <w:szCs w:val="24"/>
          <w:highlight w:val="yellow"/>
        </w:rPr>
        <w:t>mg/kg</w:t>
      </w:r>
      <w:r>
        <w:rPr>
          <w:rFonts w:ascii="Times New Roman" w:hAnsi="Times New Roman" w:cs="Times New Roman"/>
          <w:sz w:val="24"/>
          <w:szCs w:val="24"/>
        </w:rPr>
        <w:t xml:space="preserve">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w:t>
      </w:r>
      <w:r>
        <w:rPr>
          <w:rFonts w:ascii="Times New Roman" w:hAnsi="Times New Roman" w:cs="Times New Roman"/>
          <w:sz w:val="24"/>
          <w:szCs w:val="24"/>
          <w:highlight w:val="yellow"/>
        </w:rPr>
        <w:t>E).</w:t>
      </w:r>
      <w:r>
        <w:rPr>
          <w:rFonts w:ascii="Times New Roman" w:hAnsi="Times New Roman" w:cs="Times New Roman"/>
          <w:sz w:val="24"/>
          <w:szCs w:val="24"/>
        </w:rPr>
        <w:t xml:space="preserve"> </w:t>
      </w:r>
      <w:r>
        <w:rPr>
          <w:rFonts w:ascii="Times New Roman" w:hAnsi="Times New Roman" w:cs="Times New Roman"/>
          <w:sz w:val="24"/>
          <w:szCs w:val="24"/>
          <w:highlight w:val="yellow"/>
        </w:rPr>
        <w:t>Treatments</w:t>
      </w:r>
      <w:r>
        <w:rPr>
          <w:rFonts w:ascii="Times New Roman" w:hAnsi="Times New Roman" w:cs="Times New Roman"/>
          <w:sz w:val="24"/>
          <w:szCs w:val="24"/>
        </w:rPr>
        <w:t xml:space="preserve"> </w:t>
      </w:r>
      <w:r>
        <w:rPr>
          <w:rFonts w:ascii="Times New Roman" w:hAnsi="Times New Roman" w:cs="Times New Roman"/>
          <w:sz w:val="24"/>
          <w:szCs w:val="24"/>
          <w:highlight w:val="yellow"/>
        </w:rPr>
        <w:t>were administered</w:t>
      </w:r>
      <w:r>
        <w:rPr>
          <w:rFonts w:ascii="Times New Roman" w:hAnsi="Times New Roman" w:cs="Times New Roman"/>
          <w:sz w:val="24"/>
          <w:szCs w:val="24"/>
        </w:rPr>
        <w:t xml:space="preserve"> orally in </w:t>
      </w:r>
      <w:r>
        <w:rPr>
          <w:rFonts w:ascii="Times New Roman" w:hAnsi="Times New Roman" w:cs="Times New Roman"/>
          <w:sz w:val="24"/>
          <w:szCs w:val="24"/>
          <w:highlight w:val="yellow"/>
        </w:rPr>
        <w:t>0.1</w:t>
      </w:r>
      <w:r>
        <w:rPr>
          <w:rFonts w:ascii="Times New Roman" w:hAnsi="Times New Roman" w:cs="Times New Roman"/>
          <w:sz w:val="24"/>
          <w:szCs w:val="24"/>
        </w:rPr>
        <w:t xml:space="preserve"> </w:t>
      </w:r>
      <w:r>
        <w:rPr>
          <w:rFonts w:ascii="Times New Roman" w:hAnsi="Times New Roman" w:cs="Times New Roman"/>
          <w:sz w:val="24"/>
          <w:szCs w:val="24"/>
          <w:highlight w:val="yellow"/>
        </w:rPr>
        <w:t>mL solutions</w:t>
      </w:r>
      <w:r>
        <w:rPr>
          <w:rFonts w:ascii="Times New Roman" w:hAnsi="Times New Roman" w:cs="Times New Roman"/>
          <w:sz w:val="24"/>
          <w:szCs w:val="24"/>
        </w:rPr>
        <w:t xml:space="preserve"> daily for 60 days.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and tissue </w:t>
      </w:r>
      <w:r>
        <w:rPr>
          <w:rFonts w:ascii="Times New Roman" w:hAnsi="Times New Roman" w:cs="Times New Roman"/>
          <w:sz w:val="24"/>
          <w:szCs w:val="24"/>
          <w:highlight w:val="yellow"/>
        </w:rPr>
        <w:t>redox</w:t>
      </w:r>
      <w:r>
        <w:rPr>
          <w:rFonts w:ascii="Times New Roman" w:hAnsi="Times New Roman" w:cs="Times New Roman"/>
          <w:sz w:val="24"/>
          <w:szCs w:val="24"/>
        </w:rPr>
        <w:t xml:space="preserve"> indices were determined using standard methods. Results showed that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significantly (p &lt; 0.05) decreased serum and breast </w:t>
      </w:r>
      <w:r>
        <w:rPr>
          <w:rFonts w:ascii="Times New Roman" w:hAnsi="Times New Roman" w:cs="Times New Roman"/>
          <w:sz w:val="24"/>
          <w:szCs w:val="24"/>
          <w:highlight w:val="yellow"/>
        </w:rPr>
        <w:t>total</w:t>
      </w:r>
      <w:r>
        <w:rPr>
          <w:rFonts w:ascii="Times New Roman" w:hAnsi="Times New Roman" w:cs="Times New Roman"/>
          <w:sz w:val="24"/>
          <w:szCs w:val="24"/>
        </w:rPr>
        <w:t xml:space="preserve"> protein </w:t>
      </w:r>
      <w:r>
        <w:rPr>
          <w:rFonts w:ascii="Times New Roman" w:hAnsi="Times New Roman" w:cs="Times New Roman"/>
          <w:sz w:val="24"/>
          <w:szCs w:val="24"/>
          <w:highlight w:val="yellow"/>
        </w:rPr>
        <w:t>levels,</w:t>
      </w:r>
      <w:r>
        <w:rPr>
          <w:rFonts w:ascii="Times New Roman" w:hAnsi="Times New Roman" w:cs="Times New Roman"/>
          <w:sz w:val="24"/>
          <w:szCs w:val="24"/>
        </w:rPr>
        <w:t xml:space="preserve"> </w:t>
      </w:r>
      <w:r>
        <w:rPr>
          <w:rFonts w:ascii="Times New Roman" w:hAnsi="Times New Roman" w:cs="Times New Roman"/>
          <w:sz w:val="24"/>
          <w:szCs w:val="24"/>
          <w:highlight w:val="yellow"/>
        </w:rPr>
        <w:t>red</w:t>
      </w:r>
      <w:r>
        <w:rPr>
          <w:rFonts w:ascii="Times New Roman" w:hAnsi="Times New Roman" w:cs="Times New Roman"/>
          <w:sz w:val="24"/>
          <w:szCs w:val="24"/>
        </w:rPr>
        <w:t xml:space="preserve"> blood cell count, </w:t>
      </w:r>
      <w:r>
        <w:rPr>
          <w:rFonts w:ascii="Times New Roman" w:hAnsi="Times New Roman" w:cs="Times New Roman"/>
          <w:sz w:val="24"/>
          <w:szCs w:val="24"/>
          <w:highlight w:val="yellow"/>
        </w:rPr>
        <w:t>haemoglobin</w:t>
      </w:r>
      <w:r>
        <w:rPr>
          <w:rFonts w:ascii="Times New Roman" w:hAnsi="Times New Roman" w:cs="Times New Roman"/>
          <w:sz w:val="24"/>
          <w:szCs w:val="24"/>
        </w:rPr>
        <w:t xml:space="preserve"> concentration and </w:t>
      </w:r>
      <w:r>
        <w:rPr>
          <w:rFonts w:ascii="Times New Roman" w:hAnsi="Times New Roman" w:cs="Times New Roman"/>
          <w:sz w:val="24"/>
          <w:szCs w:val="24"/>
          <w:highlight w:val="yellow"/>
        </w:rPr>
        <w:t>packed</w:t>
      </w:r>
      <w:r>
        <w:rPr>
          <w:rFonts w:ascii="Times New Roman" w:hAnsi="Times New Roman" w:cs="Times New Roman"/>
          <w:sz w:val="24"/>
          <w:szCs w:val="24"/>
        </w:rPr>
        <w:t xml:space="preserve"> cell volume, while significantly increasing </w:t>
      </w:r>
      <w:r>
        <w:rPr>
          <w:rFonts w:ascii="Times New Roman" w:hAnsi="Times New Roman" w:cs="Times New Roman"/>
          <w:sz w:val="24"/>
          <w:szCs w:val="24"/>
          <w:highlight w:val="yellow"/>
        </w:rPr>
        <w:t>white</w:t>
      </w:r>
      <w:r>
        <w:rPr>
          <w:rFonts w:ascii="Times New Roman" w:hAnsi="Times New Roman" w:cs="Times New Roman"/>
          <w:sz w:val="24"/>
          <w:szCs w:val="24"/>
        </w:rPr>
        <w:t xml:space="preserve"> blood cell, </w:t>
      </w:r>
      <w:r>
        <w:rPr>
          <w:rFonts w:ascii="Times New Roman" w:hAnsi="Times New Roman" w:cs="Times New Roman"/>
          <w:sz w:val="24"/>
          <w:szCs w:val="24"/>
          <w:highlight w:val="yellow"/>
        </w:rPr>
        <w:t>lymphocyte</w:t>
      </w:r>
      <w:r>
        <w:rPr>
          <w:rFonts w:ascii="Times New Roman" w:hAnsi="Times New Roman" w:cs="Times New Roman"/>
          <w:sz w:val="24"/>
          <w:szCs w:val="24"/>
        </w:rPr>
        <w:t xml:space="preserve"> and </w:t>
      </w:r>
      <w:r>
        <w:rPr>
          <w:rFonts w:ascii="Times New Roman" w:hAnsi="Times New Roman" w:cs="Times New Roman"/>
          <w:sz w:val="24"/>
          <w:szCs w:val="24"/>
          <w:highlight w:val="yellow"/>
        </w:rPr>
        <w:t>platelet</w:t>
      </w:r>
      <w:r>
        <w:rPr>
          <w:rFonts w:ascii="Times New Roman" w:hAnsi="Times New Roman" w:cs="Times New Roman"/>
          <w:sz w:val="24"/>
          <w:szCs w:val="24"/>
        </w:rPr>
        <w:t xml:space="preserve"> counts. In </w:t>
      </w:r>
      <w:r>
        <w:rPr>
          <w:rFonts w:ascii="Times New Roman" w:hAnsi="Times New Roman" w:cs="Times New Roman"/>
          <w:sz w:val="24"/>
          <w:szCs w:val="24"/>
          <w:highlight w:val="yellow"/>
        </w:rPr>
        <w:t>contrast,</w:t>
      </w:r>
      <w:r>
        <w:rPr>
          <w:rFonts w:ascii="Times New Roman" w:hAnsi="Times New Roman" w:cs="Times New Roman"/>
          <w:sz w:val="24"/>
          <w:szCs w:val="24"/>
        </w:rPr>
        <w:t xml:space="preserve"> treatments in Groups C, D and E </w:t>
      </w:r>
      <w:r>
        <w:rPr>
          <w:rFonts w:ascii="Times New Roman" w:hAnsi="Times New Roman" w:cs="Times New Roman"/>
          <w:sz w:val="24"/>
          <w:szCs w:val="24"/>
          <w:highlight w:val="yellow"/>
        </w:rPr>
        <w:t>improved</w:t>
      </w:r>
      <w:r>
        <w:rPr>
          <w:rFonts w:ascii="Times New Roman" w:hAnsi="Times New Roman" w:cs="Times New Roman"/>
          <w:sz w:val="24"/>
          <w:szCs w:val="24"/>
        </w:rPr>
        <w:t xml:space="preserve"> </w:t>
      </w:r>
      <w:r>
        <w:rPr>
          <w:rFonts w:ascii="Times New Roman" w:hAnsi="Times New Roman" w:cs="Times New Roman"/>
          <w:sz w:val="24"/>
          <w:szCs w:val="24"/>
          <w:highlight w:val="yellow"/>
        </w:rPr>
        <w:t>these</w:t>
      </w:r>
      <w:r>
        <w:rPr>
          <w:rFonts w:ascii="Times New Roman" w:hAnsi="Times New Roman" w:cs="Times New Roman"/>
          <w:sz w:val="24"/>
          <w:szCs w:val="24"/>
        </w:rPr>
        <w:t xml:space="preserve"> metabolic </w:t>
      </w:r>
      <w:r>
        <w:rPr>
          <w:rFonts w:ascii="Times New Roman" w:hAnsi="Times New Roman" w:cs="Times New Roman"/>
          <w:sz w:val="24"/>
          <w:szCs w:val="24"/>
          <w:highlight w:val="yellow"/>
        </w:rPr>
        <w:t>alterations,</w:t>
      </w:r>
      <w:r>
        <w:rPr>
          <w:rFonts w:ascii="Times New Roman" w:hAnsi="Times New Roman" w:cs="Times New Roman"/>
          <w:sz w:val="24"/>
          <w:szCs w:val="24"/>
        </w:rPr>
        <w:t xml:space="preserve"> </w:t>
      </w:r>
      <w:r>
        <w:rPr>
          <w:rFonts w:ascii="Times New Roman" w:hAnsi="Times New Roman" w:cs="Times New Roman"/>
          <w:sz w:val="24"/>
          <w:szCs w:val="24"/>
          <w:highlight w:val="yellow"/>
        </w:rPr>
        <w:t>which</w:t>
      </w:r>
      <w:r>
        <w:rPr>
          <w:rFonts w:ascii="Times New Roman" w:hAnsi="Times New Roman" w:cs="Times New Roman"/>
          <w:sz w:val="24"/>
          <w:szCs w:val="24"/>
        </w:rPr>
        <w:t xml:space="preserve"> were reversed </w:t>
      </w:r>
      <w:r>
        <w:rPr>
          <w:rFonts w:ascii="Times New Roman" w:hAnsi="Times New Roman" w:cs="Times New Roman"/>
          <w:sz w:val="24"/>
          <w:szCs w:val="24"/>
          <w:highlight w:val="yellow"/>
        </w:rPr>
        <w:t>to levels comparable</w:t>
      </w:r>
      <w:r>
        <w:rPr>
          <w:rFonts w:ascii="Times New Roman" w:hAnsi="Times New Roman" w:cs="Times New Roman"/>
          <w:sz w:val="24"/>
          <w:szCs w:val="24"/>
        </w:rPr>
        <w:t xml:space="preserve"> with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control. </w:t>
      </w:r>
      <w:r>
        <w:rPr>
          <w:rFonts w:ascii="Times New Roman" w:hAnsi="Times New Roman" w:cs="Times New Roman"/>
          <w:sz w:val="24"/>
          <w:szCs w:val="24"/>
          <w:highlight w:val="yellow"/>
        </w:rPr>
        <w:t>Antioxidant</w:t>
      </w:r>
      <w:r>
        <w:rPr>
          <w:rFonts w:ascii="Times New Roman" w:hAnsi="Times New Roman" w:cs="Times New Roman"/>
          <w:sz w:val="24"/>
          <w:szCs w:val="24"/>
        </w:rPr>
        <w:t xml:space="preserve"> indices in </w:t>
      </w:r>
      <w:r>
        <w:rPr>
          <w:rFonts w:ascii="Times New Roman" w:hAnsi="Times New Roman" w:cs="Times New Roman"/>
          <w:sz w:val="24"/>
          <w:szCs w:val="24"/>
          <w:highlight w:val="yellow"/>
        </w:rPr>
        <w:t>Group</w:t>
      </w:r>
      <w:r>
        <w:rPr>
          <w:rFonts w:ascii="Times New Roman" w:hAnsi="Times New Roman" w:cs="Times New Roman"/>
          <w:sz w:val="24"/>
          <w:szCs w:val="24"/>
        </w:rPr>
        <w:t xml:space="preserve"> B showed significant (p &lt; 0.05) </w:t>
      </w:r>
      <w:r>
        <w:rPr>
          <w:rFonts w:ascii="Times New Roman" w:hAnsi="Times New Roman" w:cs="Times New Roman"/>
          <w:sz w:val="24"/>
          <w:szCs w:val="24"/>
          <w:highlight w:val="yellow"/>
        </w:rPr>
        <w:t>decreases</w:t>
      </w:r>
      <w:r>
        <w:rPr>
          <w:rFonts w:ascii="Times New Roman" w:hAnsi="Times New Roman" w:cs="Times New Roman"/>
          <w:sz w:val="24"/>
          <w:szCs w:val="24"/>
        </w:rPr>
        <w:t xml:space="preserve"> in </w:t>
      </w:r>
      <w:r>
        <w:rPr>
          <w:rFonts w:ascii="Times New Roman" w:hAnsi="Times New Roman" w:cs="Times New Roman"/>
          <w:sz w:val="24"/>
          <w:szCs w:val="24"/>
          <w:highlight w:val="yellow"/>
        </w:rPr>
        <w:t>breast-tissue</w:t>
      </w:r>
      <w:r>
        <w:rPr>
          <w:rFonts w:ascii="Times New Roman" w:hAnsi="Times New Roman" w:cs="Times New Roman"/>
          <w:sz w:val="24"/>
          <w:szCs w:val="24"/>
        </w:rPr>
        <w:t xml:space="preserve"> </w:t>
      </w:r>
      <w:r>
        <w:rPr>
          <w:rFonts w:ascii="Times New Roman" w:hAnsi="Times New Roman" w:cs="Times New Roman"/>
          <w:sz w:val="24"/>
          <w:szCs w:val="24"/>
          <w:highlight w:val="yellow"/>
        </w:rPr>
        <w:t>superoxide</w:t>
      </w:r>
      <w:r>
        <w:rPr>
          <w:rFonts w:ascii="Times New Roman" w:hAnsi="Times New Roman" w:cs="Times New Roman"/>
          <w:sz w:val="24"/>
          <w:szCs w:val="24"/>
        </w:rPr>
        <w:t xml:space="preserve"> dismutase, </w:t>
      </w:r>
      <w:r>
        <w:rPr>
          <w:rFonts w:ascii="Times New Roman" w:hAnsi="Times New Roman" w:cs="Times New Roman"/>
          <w:sz w:val="24"/>
          <w:szCs w:val="24"/>
          <w:highlight w:val="yellow"/>
        </w:rPr>
        <w:t>catalase,</w:t>
      </w:r>
      <w:r>
        <w:rPr>
          <w:rFonts w:ascii="Times New Roman" w:hAnsi="Times New Roman" w:cs="Times New Roman"/>
          <w:sz w:val="24"/>
          <w:szCs w:val="24"/>
        </w:rPr>
        <w:t xml:space="preserve"> </w:t>
      </w:r>
      <w:r>
        <w:rPr>
          <w:rFonts w:ascii="Times New Roman" w:hAnsi="Times New Roman" w:cs="Times New Roman"/>
          <w:sz w:val="24"/>
          <w:szCs w:val="24"/>
          <w:highlight w:val="yellow"/>
        </w:rPr>
        <w:t>glutathione</w:t>
      </w:r>
      <w:r>
        <w:rPr>
          <w:rFonts w:ascii="Times New Roman" w:hAnsi="Times New Roman" w:cs="Times New Roman"/>
          <w:sz w:val="24"/>
          <w:szCs w:val="24"/>
        </w:rPr>
        <w:t xml:space="preserve"> peroxidase and </w:t>
      </w:r>
      <w:r>
        <w:rPr>
          <w:rFonts w:ascii="Times New Roman" w:hAnsi="Times New Roman" w:cs="Times New Roman"/>
          <w:sz w:val="24"/>
          <w:szCs w:val="24"/>
          <w:highlight w:val="yellow"/>
        </w:rPr>
        <w:t>reduced</w:t>
      </w:r>
      <w:r>
        <w:rPr>
          <w:rFonts w:ascii="Times New Roman" w:hAnsi="Times New Roman" w:cs="Times New Roman"/>
          <w:sz w:val="24"/>
          <w:szCs w:val="24"/>
        </w:rPr>
        <w:t xml:space="preserve"> glutathione, with a corresponding increase in </w:t>
      </w:r>
      <w:r>
        <w:rPr>
          <w:rFonts w:ascii="Times New Roman" w:hAnsi="Times New Roman" w:cs="Times New Roman"/>
          <w:sz w:val="24"/>
          <w:szCs w:val="24"/>
          <w:highlight w:val="yellow"/>
        </w:rPr>
        <w:t>malondialdehyde</w:t>
      </w:r>
      <w:r>
        <w:rPr>
          <w:rFonts w:ascii="Times New Roman" w:hAnsi="Times New Roman" w:cs="Times New Roman"/>
          <w:sz w:val="24"/>
          <w:szCs w:val="24"/>
        </w:rPr>
        <w:t xml:space="preserve"> </w:t>
      </w:r>
      <w:r>
        <w:rPr>
          <w:rFonts w:ascii="Times New Roman" w:hAnsi="Times New Roman" w:cs="Times New Roman"/>
          <w:sz w:val="24"/>
          <w:szCs w:val="24"/>
          <w:highlight w:val="yellow"/>
        </w:rPr>
        <w:t>concentration;</w:t>
      </w:r>
      <w:r>
        <w:rPr>
          <w:rFonts w:ascii="Times New Roman" w:hAnsi="Times New Roman" w:cs="Times New Roman"/>
          <w:sz w:val="24"/>
          <w:szCs w:val="24"/>
        </w:rPr>
        <w:t xml:space="preserve"> </w:t>
      </w:r>
      <w:r>
        <w:rPr>
          <w:rFonts w:ascii="Times New Roman" w:hAnsi="Times New Roman" w:cs="Times New Roman"/>
          <w:sz w:val="24"/>
          <w:szCs w:val="24"/>
          <w:highlight w:val="yellow"/>
        </w:rPr>
        <w:t>these changes</w:t>
      </w:r>
      <w:r>
        <w:rPr>
          <w:rFonts w:ascii="Times New Roman" w:hAnsi="Times New Roman" w:cs="Times New Roman"/>
          <w:sz w:val="24"/>
          <w:szCs w:val="24"/>
        </w:rPr>
        <w:t xml:space="preserve"> were reversed by </w:t>
      </w:r>
      <w:r>
        <w:rPr>
          <w:rFonts w:ascii="Times New Roman" w:hAnsi="Times New Roman" w:cs="Times New Roman"/>
          <w:sz w:val="24"/>
          <w:szCs w:val="24"/>
          <w:highlight w:val="yellow"/>
        </w:rPr>
        <w:t>treatments in Groups</w:t>
      </w:r>
      <w:r>
        <w:rPr>
          <w:rFonts w:ascii="Times New Roman" w:hAnsi="Times New Roman" w:cs="Times New Roman"/>
          <w:sz w:val="24"/>
          <w:szCs w:val="24"/>
        </w:rPr>
        <w:t xml:space="preserve"> C, D and E, although the magnitude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response varied across the measured parameters and treatment combinations. </w:t>
      </w:r>
      <w:r>
        <w:rPr>
          <w:rFonts w:ascii="Times New Roman" w:hAnsi="Times New Roman" w:cs="Times New Roman"/>
          <w:sz w:val="24"/>
          <w:szCs w:val="24"/>
          <w:highlight w:val="yellow"/>
        </w:rPr>
        <w:t>The</w:t>
      </w:r>
      <w:r>
        <w:rPr>
          <w:rFonts w:ascii="Times New Roman" w:hAnsi="Times New Roman" w:cs="Times New Roman"/>
          <w:sz w:val="24"/>
          <w:szCs w:val="24"/>
        </w:rPr>
        <w:t xml:space="preserve"> </w:t>
      </w:r>
      <w:r>
        <w:rPr>
          <w:rFonts w:ascii="Times New Roman" w:hAnsi="Times New Roman" w:cs="Times New Roman"/>
          <w:sz w:val="24"/>
          <w:szCs w:val="24"/>
          <w:highlight w:val="yellow"/>
        </w:rPr>
        <w:t>results</w:t>
      </w:r>
      <w:r>
        <w:rPr>
          <w:rFonts w:ascii="Times New Roman" w:hAnsi="Times New Roman" w:cs="Times New Roman"/>
          <w:sz w:val="24"/>
          <w:szCs w:val="24"/>
        </w:rPr>
        <w:t xml:space="preserve"> </w:t>
      </w:r>
      <w:r>
        <w:rPr>
          <w:rFonts w:ascii="Times New Roman" w:hAnsi="Times New Roman" w:cs="Times New Roman"/>
          <w:sz w:val="24"/>
          <w:szCs w:val="24"/>
          <w:highlight w:val="yellow"/>
        </w:rPr>
        <w:t>suggest</w:t>
      </w:r>
      <w:r>
        <w:rPr>
          <w:rFonts w:ascii="Times New Roman" w:hAnsi="Times New Roman" w:cs="Times New Roman"/>
          <w:sz w:val="24"/>
          <w:szCs w:val="24"/>
        </w:rPr>
        <w:t xml:space="preserve"> adverse effects of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w:t>
      </w:r>
      <w:r>
        <w:rPr>
          <w:rFonts w:ascii="Times New Roman" w:hAnsi="Times New Roman" w:cs="Times New Roman"/>
          <w:sz w:val="24"/>
          <w:szCs w:val="24"/>
          <w:highlight w:val="yellow"/>
        </w:rPr>
        <w:t>through the</w:t>
      </w:r>
      <w:r>
        <w:rPr>
          <w:rFonts w:ascii="Times New Roman" w:hAnsi="Times New Roman" w:cs="Times New Roman"/>
          <w:sz w:val="24"/>
          <w:szCs w:val="24"/>
        </w:rPr>
        <w:t xml:space="preserve"> induction of oxidative stress, inflammation and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w:t>
      </w:r>
      <w:r>
        <w:rPr>
          <w:rFonts w:ascii="Times New Roman" w:hAnsi="Times New Roman" w:cs="Times New Roman"/>
          <w:sz w:val="24"/>
          <w:szCs w:val="24"/>
          <w:highlight w:val="yellow"/>
        </w:rPr>
        <w:t>disorders,</w:t>
      </w:r>
      <w:r>
        <w:rPr>
          <w:rFonts w:ascii="Times New Roman" w:hAnsi="Times New Roman" w:cs="Times New Roman"/>
          <w:sz w:val="24"/>
          <w:szCs w:val="24"/>
        </w:rPr>
        <w:t xml:space="preserve"> while </w:t>
      </w:r>
      <w:r>
        <w:rPr>
          <w:rFonts w:ascii="Times New Roman" w:hAnsi="Times New Roman" w:cs="Times New Roman"/>
          <w:sz w:val="24"/>
          <w:szCs w:val="24"/>
          <w:highlight w:val="yellow"/>
        </w:rPr>
        <w:t>the extract, alone</w:t>
      </w:r>
      <w:r>
        <w:rPr>
          <w:rFonts w:ascii="Times New Roman" w:hAnsi="Times New Roman" w:cs="Times New Roman"/>
          <w:sz w:val="24"/>
          <w:szCs w:val="24"/>
        </w:rPr>
        <w:t xml:space="preserve"> or </w:t>
      </w:r>
      <w:r>
        <w:rPr>
          <w:rFonts w:ascii="Times New Roman" w:hAnsi="Times New Roman" w:cs="Times New Roman"/>
          <w:sz w:val="24"/>
          <w:szCs w:val="24"/>
          <w:highlight w:val="yellow"/>
        </w:rPr>
        <w:t>in</w:t>
      </w:r>
      <w:r>
        <w:rPr>
          <w:rFonts w:ascii="Times New Roman" w:hAnsi="Times New Roman" w:cs="Times New Roman"/>
          <w:sz w:val="24"/>
          <w:szCs w:val="24"/>
        </w:rPr>
        <w:t xml:space="preserve"> </w:t>
      </w:r>
      <w:r>
        <w:rPr>
          <w:rFonts w:ascii="Times New Roman" w:hAnsi="Times New Roman" w:cs="Times New Roman"/>
          <w:sz w:val="24"/>
          <w:szCs w:val="24"/>
          <w:highlight w:val="yellow"/>
        </w:rPr>
        <w:t>combination</w:t>
      </w:r>
      <w:r>
        <w:rPr>
          <w:rFonts w:ascii="Times New Roman" w:hAnsi="Times New Roman" w:cs="Times New Roman"/>
          <w:sz w:val="24"/>
          <w:szCs w:val="24"/>
        </w:rPr>
        <w:t xml:space="preserve"> with vitamin </w:t>
      </w:r>
      <w:r>
        <w:rPr>
          <w:rFonts w:ascii="Times New Roman" w:hAnsi="Times New Roman" w:cs="Times New Roman"/>
          <w:sz w:val="24"/>
          <w:szCs w:val="24"/>
          <w:highlight w:val="yellow"/>
        </w:rPr>
        <w:t>E,</w:t>
      </w:r>
      <w:r>
        <w:rPr>
          <w:rFonts w:ascii="Times New Roman" w:hAnsi="Times New Roman" w:cs="Times New Roman"/>
          <w:sz w:val="24"/>
          <w:szCs w:val="24"/>
        </w:rPr>
        <w:t xml:space="preserve"> exhibited antioxidant and </w:t>
      </w:r>
      <w:r>
        <w:rPr>
          <w:rFonts w:ascii="Times New Roman" w:hAnsi="Times New Roman" w:cs="Times New Roman"/>
          <w:sz w:val="24"/>
          <w:szCs w:val="24"/>
          <w:highlight w:val="yellow"/>
        </w:rPr>
        <w:lastRenderedPageBreak/>
        <w:t>haematological</w:t>
      </w:r>
      <w:r>
        <w:rPr>
          <w:rFonts w:ascii="Times New Roman" w:hAnsi="Times New Roman" w:cs="Times New Roman"/>
          <w:sz w:val="24"/>
          <w:szCs w:val="24"/>
        </w:rPr>
        <w:t xml:space="preserve"> protective potential against some of the biochemical alterations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Further studies are required to </w:t>
      </w:r>
      <w:r>
        <w:rPr>
          <w:rFonts w:ascii="Times New Roman" w:hAnsi="Times New Roman" w:cs="Times New Roman"/>
          <w:sz w:val="24"/>
          <w:szCs w:val="24"/>
          <w:highlight w:val="yellow"/>
        </w:rPr>
        <w:t>characterise</w:t>
      </w:r>
      <w:r>
        <w:rPr>
          <w:rFonts w:ascii="Times New Roman" w:hAnsi="Times New Roman" w:cs="Times New Roman"/>
          <w:sz w:val="24"/>
          <w:szCs w:val="24"/>
        </w:rPr>
        <w:t xml:space="preserve"> the active constituents and investigate the underlying mechanisms of action.</w:t>
      </w:r>
    </w:p>
    <w:p w14:paraId="29C8B0BF" w14:textId="77777777" w:rsidR="00B1775D" w:rsidRPr="00300D2C" w:rsidRDefault="00901910" w:rsidP="00300D2C">
      <w:pPr>
        <w:spacing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Keywords:   </w:t>
      </w:r>
      <w:r>
        <w:rPr>
          <w:rFonts w:ascii="Times New Roman" w:hAnsi="Times New Roman" w:cs="Times New Roman"/>
          <w:i/>
          <w:iCs/>
          <w:sz w:val="24"/>
          <w:szCs w:val="24"/>
        </w:rPr>
        <w:t>Tamoxifen; Hematological disorder; Redox Imbalance; Anti oxidative; Embelia ribes seed; Vitamin E, Synergistic effect, Breast cancer</w:t>
      </w:r>
    </w:p>
    <w:p w14:paraId="133158E5" w14:textId="77777777" w:rsidR="0035245B" w:rsidRPr="00300D2C" w:rsidRDefault="0035245B" w:rsidP="00300D2C">
      <w:pPr>
        <w:spacing w:line="360" w:lineRule="auto"/>
        <w:jc w:val="both"/>
        <w:rPr>
          <w:rFonts w:ascii="Times New Roman" w:hAnsi="Times New Roman" w:cs="Times New Roman"/>
          <w:i/>
          <w:iCs/>
          <w:sz w:val="24"/>
          <w:szCs w:val="24"/>
        </w:rPr>
      </w:pPr>
    </w:p>
    <w:p w14:paraId="672C03EF" w14:textId="77777777" w:rsidR="00754C0D" w:rsidRPr="00300D2C" w:rsidRDefault="00082C01"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INTRODUCTION</w:t>
      </w:r>
    </w:p>
    <w:p w14:paraId="742B4D87" w14:textId="6ADCE1E4" w:rsidR="00E523BB" w:rsidRPr="00483267" w:rsidRDefault="00562C61">
      <w:pPr>
        <w:spacing w:line="360" w:lineRule="auto"/>
        <w:jc w:val="both"/>
        <w:rPr>
          <w:rFonts w:ascii="Times New Roman" w:hAnsi="Times New Roman" w:cs="Times New Roman"/>
          <w:sz w:val="24"/>
          <w:szCs w:val="24"/>
        </w:rPr>
      </w:pPr>
      <w:r w:rsidRPr="00562C61">
        <w:rPr>
          <w:rFonts w:ascii="Times New Roman" w:hAnsi="Times New Roman" w:cs="Times New Roman"/>
          <w:sz w:val="24"/>
          <w:szCs w:val="24"/>
        </w:rPr>
        <w:t>Breast cancer continues to represent a major contributor to cancer-related morbidity and mortality among women globally (Zhang et al., 2024).</w:t>
      </w:r>
      <w:r>
        <w:rPr>
          <w:rFonts w:ascii="Times New Roman" w:hAnsi="Times New Roman" w:cs="Times New Roman"/>
          <w:sz w:val="24"/>
          <w:szCs w:val="24"/>
        </w:rPr>
        <w:t xml:space="preserve"> </w:t>
      </w:r>
      <w:r w:rsidR="00800FFC">
        <w:rPr>
          <w:rFonts w:ascii="Times New Roman" w:hAnsi="Times New Roman" w:cs="Times New Roman"/>
          <w:sz w:val="24"/>
          <w:szCs w:val="24"/>
        </w:rPr>
        <w:t>The increasing prevalence of the disease has continued to be a major public health concern, particularly in developing countries where access to early diagnosis and effective treatment remains limited (</w:t>
      </w:r>
      <w:r w:rsidR="00800FFC">
        <w:rPr>
          <w:rFonts w:ascii="Times New Roman" w:hAnsi="Times New Roman" w:cs="Times New Roman"/>
          <w:color w:val="222222"/>
          <w:sz w:val="24"/>
          <w:szCs w:val="24"/>
          <w:shd w:val="clear" w:color="auto" w:fill="FFFFFF"/>
        </w:rPr>
        <w:t xml:space="preserve">Francis </w:t>
      </w:r>
      <w:r w:rsidR="00800FFC">
        <w:rPr>
          <w:rFonts w:ascii="Times New Roman" w:hAnsi="Times New Roman" w:cs="Times New Roman"/>
          <w:i/>
          <w:iCs/>
          <w:color w:val="222222"/>
          <w:sz w:val="24"/>
          <w:szCs w:val="24"/>
          <w:shd w:val="clear" w:color="auto" w:fill="FFFFFF"/>
        </w:rPr>
        <w:t>et al</w:t>
      </w:r>
      <w:r w:rsidR="00800FFC">
        <w:rPr>
          <w:rFonts w:ascii="Times New Roman" w:hAnsi="Times New Roman" w:cs="Times New Roman"/>
          <w:color w:val="222222"/>
          <w:sz w:val="24"/>
          <w:szCs w:val="24"/>
          <w:shd w:val="clear" w:color="auto" w:fill="FFFFFF"/>
        </w:rPr>
        <w:t>., 2024</w:t>
      </w:r>
      <w:r w:rsidR="00800FFC">
        <w:rPr>
          <w:rFonts w:ascii="Times New Roman" w:hAnsi="Times New Roman" w:cs="Times New Roman"/>
          <w:sz w:val="24"/>
          <w:szCs w:val="24"/>
        </w:rPr>
        <w:t xml:space="preserve">). One of the therapeutic drugs commonly used in the treatment and management of hormone-responsive breast cancer is </w:t>
      </w:r>
      <w:r w:rsidR="00800FFC">
        <w:rPr>
          <w:rFonts w:ascii="Times New Roman" w:hAnsi="Times New Roman" w:cs="Times New Roman"/>
          <w:sz w:val="24"/>
          <w:szCs w:val="24"/>
          <w:highlight w:val="yellow"/>
        </w:rPr>
        <w:t>tamoxifen,</w:t>
      </w:r>
      <w:r w:rsidR="00800FFC">
        <w:rPr>
          <w:rFonts w:ascii="Times New Roman" w:hAnsi="Times New Roman" w:cs="Times New Roman"/>
          <w:sz w:val="24"/>
          <w:szCs w:val="24"/>
        </w:rPr>
        <w:t xml:space="preserve"> a selective estrogen receptor modulator widely </w:t>
      </w:r>
      <w:r w:rsidR="00800FFC">
        <w:rPr>
          <w:rFonts w:ascii="Times New Roman" w:hAnsi="Times New Roman" w:cs="Times New Roman"/>
          <w:sz w:val="24"/>
          <w:szCs w:val="24"/>
          <w:highlight w:val="yellow"/>
        </w:rPr>
        <w:t>recognised</w:t>
      </w:r>
      <w:r w:rsidR="00800FFC">
        <w:rPr>
          <w:rFonts w:ascii="Times New Roman" w:hAnsi="Times New Roman" w:cs="Times New Roman"/>
          <w:sz w:val="24"/>
          <w:szCs w:val="24"/>
        </w:rPr>
        <w:t xml:space="preserve"> for its anti-estrogenic activity in breast tissues (</w:t>
      </w:r>
      <w:r w:rsidR="00800FFC">
        <w:rPr>
          <w:rFonts w:ascii="Times New Roman" w:hAnsi="Times New Roman" w:cs="Times New Roman"/>
          <w:color w:val="222222"/>
          <w:sz w:val="24"/>
          <w:szCs w:val="24"/>
          <w:shd w:val="clear" w:color="auto" w:fill="FFFFFF"/>
        </w:rPr>
        <w:t xml:space="preserve">Lloyd </w:t>
      </w:r>
      <w:r w:rsidR="00800FFC">
        <w:rPr>
          <w:rFonts w:ascii="Times New Roman" w:hAnsi="Times New Roman" w:cs="Times New Roman"/>
          <w:i/>
          <w:iCs/>
          <w:color w:val="222222"/>
          <w:sz w:val="24"/>
          <w:szCs w:val="24"/>
          <w:shd w:val="clear" w:color="auto" w:fill="FFFFFF"/>
        </w:rPr>
        <w:t>et al</w:t>
      </w:r>
      <w:r w:rsidR="00800FFC">
        <w:rPr>
          <w:rFonts w:ascii="Times New Roman" w:hAnsi="Times New Roman" w:cs="Times New Roman"/>
          <w:color w:val="222222"/>
          <w:sz w:val="24"/>
          <w:szCs w:val="24"/>
          <w:shd w:val="clear" w:color="auto" w:fill="FFFFFF"/>
        </w:rPr>
        <w:t>., 2022</w:t>
      </w:r>
      <w:r w:rsidR="00800FFC">
        <w:rPr>
          <w:rFonts w:ascii="Times New Roman" w:hAnsi="Times New Roman" w:cs="Times New Roman"/>
          <w:sz w:val="24"/>
          <w:szCs w:val="24"/>
        </w:rPr>
        <w:t xml:space="preserve">). Tamoxifen inhibits estrogen-dependent proliferation of malignant </w:t>
      </w:r>
      <w:r w:rsidR="00800FFC">
        <w:rPr>
          <w:rFonts w:ascii="Times New Roman" w:hAnsi="Times New Roman" w:cs="Times New Roman"/>
          <w:sz w:val="24"/>
          <w:szCs w:val="24"/>
          <w:highlight w:val="yellow"/>
        </w:rPr>
        <w:t>cells,</w:t>
      </w:r>
      <w:r w:rsidR="00800FFC">
        <w:rPr>
          <w:rFonts w:ascii="Times New Roman" w:hAnsi="Times New Roman" w:cs="Times New Roman"/>
          <w:sz w:val="24"/>
          <w:szCs w:val="24"/>
        </w:rPr>
        <w:t xml:space="preserve"> and this has led to its </w:t>
      </w:r>
      <w:r w:rsidR="00800FFC">
        <w:rPr>
          <w:rFonts w:ascii="Times New Roman" w:hAnsi="Times New Roman" w:cs="Times New Roman"/>
          <w:sz w:val="24"/>
          <w:szCs w:val="24"/>
          <w:highlight w:val="yellow"/>
        </w:rPr>
        <w:t>use</w:t>
      </w:r>
      <w:r w:rsidR="00800FFC">
        <w:rPr>
          <w:rFonts w:ascii="Times New Roman" w:hAnsi="Times New Roman" w:cs="Times New Roman"/>
          <w:sz w:val="24"/>
          <w:szCs w:val="24"/>
        </w:rPr>
        <w:t xml:space="preserve"> for</w:t>
      </w:r>
      <w:r w:rsidR="00800FFC">
        <w:rPr>
          <w:rFonts w:ascii="Times New Roman" w:hAnsi="Times New Roman" w:cs="Times New Roman"/>
          <w:sz w:val="24"/>
          <w:szCs w:val="24"/>
          <w:highlight w:val="yellow"/>
        </w:rPr>
        <w:t xml:space="preserve"> the</w:t>
      </w:r>
      <w:r w:rsidR="00800FFC">
        <w:rPr>
          <w:rFonts w:ascii="Times New Roman" w:hAnsi="Times New Roman" w:cs="Times New Roman"/>
          <w:sz w:val="24"/>
          <w:szCs w:val="24"/>
        </w:rPr>
        <w:t xml:space="preserve"> prevention and treatment of breast </w:t>
      </w:r>
      <w:r w:rsidR="00800FFC">
        <w:rPr>
          <w:rFonts w:ascii="Times New Roman" w:hAnsi="Times New Roman" w:cs="Times New Roman"/>
          <w:sz w:val="24"/>
          <w:szCs w:val="24"/>
          <w:highlight w:val="yellow"/>
        </w:rPr>
        <w:t>cancer,</w:t>
      </w:r>
      <w:r w:rsidR="00800FFC">
        <w:rPr>
          <w:rFonts w:ascii="Times New Roman" w:hAnsi="Times New Roman" w:cs="Times New Roman"/>
          <w:sz w:val="24"/>
          <w:szCs w:val="24"/>
        </w:rPr>
        <w:t xml:space="preserve"> with</w:t>
      </w:r>
      <w:r w:rsidR="00800FFC">
        <w:rPr>
          <w:rFonts w:ascii="Times New Roman" w:hAnsi="Times New Roman" w:cs="Times New Roman"/>
          <w:sz w:val="24"/>
          <w:szCs w:val="24"/>
          <w:highlight w:val="yellow"/>
        </w:rPr>
        <w:t xml:space="preserve"> a</w:t>
      </w:r>
      <w:r w:rsidR="00800FFC">
        <w:rPr>
          <w:rFonts w:ascii="Times New Roman" w:hAnsi="Times New Roman" w:cs="Times New Roman"/>
          <w:sz w:val="24"/>
          <w:szCs w:val="24"/>
        </w:rPr>
        <w:t xml:space="preserve"> high rate of </w:t>
      </w:r>
      <w:r w:rsidR="00800FFC">
        <w:rPr>
          <w:rFonts w:ascii="Times New Roman" w:hAnsi="Times New Roman" w:cs="Times New Roman"/>
          <w:sz w:val="24"/>
          <w:szCs w:val="24"/>
          <w:highlight w:val="yellow"/>
        </w:rPr>
        <w:t>patient</w:t>
      </w:r>
      <w:r w:rsidR="00800FFC">
        <w:rPr>
          <w:rFonts w:ascii="Times New Roman" w:hAnsi="Times New Roman" w:cs="Times New Roman"/>
          <w:sz w:val="24"/>
          <w:szCs w:val="24"/>
        </w:rPr>
        <w:t xml:space="preserve"> survival (</w:t>
      </w:r>
      <w:r w:rsidR="00800FFC">
        <w:rPr>
          <w:rFonts w:ascii="Times New Roman" w:hAnsi="Times New Roman" w:cs="Times New Roman"/>
          <w:color w:val="222222"/>
          <w:sz w:val="24"/>
          <w:szCs w:val="24"/>
          <w:shd w:val="clear" w:color="auto" w:fill="FFFFFF"/>
        </w:rPr>
        <w:t xml:space="preserve">Javankiani </w:t>
      </w:r>
      <w:r w:rsidR="00800FFC">
        <w:rPr>
          <w:rFonts w:ascii="Times New Roman" w:hAnsi="Times New Roman" w:cs="Times New Roman"/>
          <w:i/>
          <w:iCs/>
          <w:color w:val="222222"/>
          <w:sz w:val="24"/>
          <w:szCs w:val="24"/>
          <w:shd w:val="clear" w:color="auto" w:fill="FFFFFF"/>
        </w:rPr>
        <w:t>et al</w:t>
      </w:r>
      <w:r w:rsidR="00800FFC">
        <w:rPr>
          <w:rFonts w:ascii="Times New Roman" w:hAnsi="Times New Roman" w:cs="Times New Roman"/>
          <w:color w:val="222222"/>
          <w:sz w:val="24"/>
          <w:szCs w:val="24"/>
          <w:shd w:val="clear" w:color="auto" w:fill="FFFFFF"/>
        </w:rPr>
        <w:t>., 2025</w:t>
      </w:r>
      <w:r w:rsidR="00800FFC">
        <w:rPr>
          <w:rFonts w:ascii="Times New Roman" w:hAnsi="Times New Roman" w:cs="Times New Roman"/>
          <w:sz w:val="24"/>
          <w:szCs w:val="24"/>
        </w:rPr>
        <w:t>). Despite its clinical importance, prolonged use as</w:t>
      </w:r>
      <w:r w:rsidR="00800FFC">
        <w:rPr>
          <w:rFonts w:ascii="Times New Roman" w:hAnsi="Times New Roman" w:cs="Times New Roman"/>
          <w:sz w:val="24"/>
          <w:szCs w:val="24"/>
          <w:highlight w:val="yellow"/>
        </w:rPr>
        <w:t xml:space="preserve"> a</w:t>
      </w:r>
      <w:r w:rsidR="00800FFC">
        <w:rPr>
          <w:rFonts w:ascii="Times New Roman" w:hAnsi="Times New Roman" w:cs="Times New Roman"/>
          <w:sz w:val="24"/>
          <w:szCs w:val="24"/>
        </w:rPr>
        <w:t xml:space="preserve"> preventive and therapeutic agent for breast cancer </w:t>
      </w:r>
      <w:r w:rsidR="00800FFC">
        <w:rPr>
          <w:rFonts w:ascii="Times New Roman" w:hAnsi="Times New Roman" w:cs="Times New Roman"/>
          <w:sz w:val="24"/>
          <w:szCs w:val="24"/>
          <w:highlight w:val="yellow"/>
        </w:rPr>
        <w:t>has</w:t>
      </w:r>
      <w:r w:rsidR="00800FFC">
        <w:rPr>
          <w:rFonts w:ascii="Times New Roman" w:hAnsi="Times New Roman" w:cs="Times New Roman"/>
          <w:sz w:val="24"/>
          <w:szCs w:val="24"/>
        </w:rPr>
        <w:t xml:space="preserve"> been linked </w:t>
      </w:r>
      <w:r w:rsidR="00800FFC">
        <w:rPr>
          <w:rFonts w:ascii="Times New Roman" w:hAnsi="Times New Roman" w:cs="Times New Roman"/>
          <w:sz w:val="24"/>
          <w:szCs w:val="24"/>
          <w:highlight w:val="yellow"/>
        </w:rPr>
        <w:t>to</w:t>
      </w:r>
      <w:r w:rsidR="00800FFC">
        <w:rPr>
          <w:rFonts w:ascii="Times New Roman" w:hAnsi="Times New Roman" w:cs="Times New Roman"/>
          <w:sz w:val="24"/>
          <w:szCs w:val="24"/>
        </w:rPr>
        <w:t xml:space="preserve"> several adverse </w:t>
      </w:r>
      <w:r w:rsidR="00800FFC">
        <w:rPr>
          <w:rFonts w:ascii="Times New Roman" w:hAnsi="Times New Roman" w:cs="Times New Roman"/>
          <w:sz w:val="24"/>
          <w:szCs w:val="24"/>
          <w:highlight w:val="yellow"/>
        </w:rPr>
        <w:t>effects,</w:t>
      </w:r>
      <w:r w:rsidR="00800FFC">
        <w:rPr>
          <w:rFonts w:ascii="Times New Roman" w:hAnsi="Times New Roman" w:cs="Times New Roman"/>
          <w:sz w:val="24"/>
          <w:szCs w:val="24"/>
        </w:rPr>
        <w:t xml:space="preserve"> including hepatotoxicity, nephrotoxicity, </w:t>
      </w:r>
      <w:r w:rsidR="00800FFC">
        <w:rPr>
          <w:rFonts w:ascii="Times New Roman" w:hAnsi="Times New Roman" w:cs="Times New Roman"/>
          <w:sz w:val="24"/>
          <w:szCs w:val="24"/>
          <w:highlight w:val="yellow"/>
        </w:rPr>
        <w:t>haematological</w:t>
      </w:r>
      <w:r w:rsidR="00800FFC">
        <w:rPr>
          <w:rFonts w:ascii="Times New Roman" w:hAnsi="Times New Roman" w:cs="Times New Roman"/>
          <w:sz w:val="24"/>
          <w:szCs w:val="24"/>
        </w:rPr>
        <w:t xml:space="preserve"> </w:t>
      </w:r>
      <w:r w:rsidR="00800FFC">
        <w:rPr>
          <w:rFonts w:ascii="Times New Roman" w:hAnsi="Times New Roman" w:cs="Times New Roman"/>
          <w:sz w:val="24"/>
          <w:szCs w:val="24"/>
          <w:highlight w:val="yellow"/>
        </w:rPr>
        <w:t>abnormalities</w:t>
      </w:r>
      <w:r w:rsidR="00800FFC">
        <w:rPr>
          <w:rFonts w:ascii="Times New Roman" w:hAnsi="Times New Roman" w:cs="Times New Roman"/>
          <w:sz w:val="24"/>
          <w:szCs w:val="24"/>
        </w:rPr>
        <w:t xml:space="preserve"> and oxidative stress </w:t>
      </w:r>
      <w:r w:rsidR="00800FFC">
        <w:rPr>
          <w:rFonts w:ascii="Times New Roman" w:hAnsi="Times New Roman" w:cs="Times New Roman"/>
          <w:sz w:val="24"/>
          <w:szCs w:val="24"/>
          <w:highlight w:val="yellow"/>
        </w:rPr>
        <w:t>(Radeva</w:t>
      </w:r>
      <w:r w:rsidR="00800FFC">
        <w:rPr>
          <w:rFonts w:ascii="Times New Roman" w:hAnsi="Times New Roman" w:cs="Times New Roman"/>
          <w:color w:val="222222"/>
          <w:sz w:val="24"/>
          <w:szCs w:val="24"/>
          <w:shd w:val="clear" w:color="auto" w:fill="FFFFFF"/>
        </w:rPr>
        <w:t xml:space="preserve"> </w:t>
      </w:r>
      <w:r w:rsidR="00800FFC">
        <w:rPr>
          <w:rFonts w:ascii="Times New Roman" w:hAnsi="Times New Roman" w:cs="Times New Roman"/>
          <w:color w:val="222222"/>
          <w:sz w:val="24"/>
          <w:szCs w:val="24"/>
          <w:highlight w:val="yellow"/>
          <w:shd w:val="clear" w:color="auto" w:fill="FFFFFF"/>
        </w:rPr>
        <w:t>&amp;</w:t>
      </w:r>
      <w:r w:rsidR="00800FFC">
        <w:rPr>
          <w:rFonts w:ascii="Times New Roman" w:hAnsi="Times New Roman" w:cs="Times New Roman"/>
          <w:color w:val="222222"/>
          <w:sz w:val="24"/>
          <w:szCs w:val="24"/>
          <w:shd w:val="clear" w:color="auto" w:fill="FFFFFF"/>
        </w:rPr>
        <w:t xml:space="preserve"> Yoncheva, 2025)</w:t>
      </w:r>
      <w:r w:rsidR="00800FFC">
        <w:rPr>
          <w:rFonts w:ascii="Times New Roman" w:hAnsi="Times New Roman" w:cs="Times New Roman"/>
          <w:sz w:val="24"/>
          <w:szCs w:val="24"/>
        </w:rPr>
        <w:t xml:space="preserve">. Studies have shown that </w:t>
      </w:r>
      <w:r w:rsidR="00800FFC">
        <w:rPr>
          <w:rFonts w:ascii="Times New Roman" w:hAnsi="Times New Roman" w:cs="Times New Roman"/>
          <w:sz w:val="24"/>
          <w:szCs w:val="24"/>
          <w:highlight w:val="yellow"/>
        </w:rPr>
        <w:t>tamoxifen</w:t>
      </w:r>
      <w:r w:rsidR="00800FFC">
        <w:rPr>
          <w:rFonts w:ascii="Times New Roman" w:hAnsi="Times New Roman" w:cs="Times New Roman"/>
          <w:sz w:val="24"/>
          <w:szCs w:val="24"/>
        </w:rPr>
        <w:t xml:space="preserve"> metabolism may generate reactive oxygen species </w:t>
      </w:r>
      <w:r w:rsidR="00800FFC">
        <w:rPr>
          <w:rFonts w:ascii="Times New Roman" w:hAnsi="Times New Roman" w:cs="Times New Roman"/>
          <w:sz w:val="24"/>
          <w:szCs w:val="24"/>
          <w:highlight w:val="yellow"/>
        </w:rPr>
        <w:t>(ROS)</w:t>
      </w:r>
      <w:r w:rsidR="00800FFC">
        <w:rPr>
          <w:rFonts w:ascii="Times New Roman" w:hAnsi="Times New Roman" w:cs="Times New Roman"/>
          <w:sz w:val="24"/>
          <w:szCs w:val="24"/>
        </w:rPr>
        <w:t xml:space="preserve"> capable of disrupting cellular redox homeostasis, leading to oxidative damage </w:t>
      </w:r>
      <w:r w:rsidR="00800FFC">
        <w:rPr>
          <w:rFonts w:ascii="Times New Roman" w:hAnsi="Times New Roman" w:cs="Times New Roman"/>
          <w:sz w:val="24"/>
          <w:szCs w:val="24"/>
          <w:highlight w:val="yellow"/>
        </w:rPr>
        <w:t>to</w:t>
      </w:r>
      <w:r w:rsidR="00800FFC">
        <w:rPr>
          <w:rFonts w:ascii="Times New Roman" w:hAnsi="Times New Roman" w:cs="Times New Roman"/>
          <w:sz w:val="24"/>
          <w:szCs w:val="24"/>
        </w:rPr>
        <w:t xml:space="preserve"> lipids, </w:t>
      </w:r>
      <w:r w:rsidR="00800FFC">
        <w:rPr>
          <w:rFonts w:ascii="Times New Roman" w:hAnsi="Times New Roman" w:cs="Times New Roman"/>
          <w:sz w:val="24"/>
          <w:szCs w:val="24"/>
          <w:highlight w:val="yellow"/>
        </w:rPr>
        <w:t>proteins and</w:t>
      </w:r>
      <w:r w:rsidR="00800FFC">
        <w:rPr>
          <w:rFonts w:ascii="Times New Roman" w:hAnsi="Times New Roman" w:cs="Times New Roman"/>
          <w:sz w:val="24"/>
          <w:szCs w:val="24"/>
        </w:rPr>
        <w:t xml:space="preserve"> nucleic </w:t>
      </w:r>
      <w:r w:rsidR="00800FFC">
        <w:rPr>
          <w:rFonts w:ascii="Times New Roman" w:hAnsi="Times New Roman" w:cs="Times New Roman"/>
          <w:sz w:val="24"/>
          <w:szCs w:val="24"/>
          <w:highlight w:val="yellow"/>
        </w:rPr>
        <w:t>acids,</w:t>
      </w:r>
      <w:r w:rsidR="00800FFC">
        <w:rPr>
          <w:rFonts w:ascii="Times New Roman" w:hAnsi="Times New Roman" w:cs="Times New Roman"/>
          <w:sz w:val="24"/>
          <w:szCs w:val="24"/>
        </w:rPr>
        <w:t xml:space="preserve"> </w:t>
      </w:r>
      <w:r w:rsidR="00800FFC">
        <w:rPr>
          <w:rFonts w:ascii="Times New Roman" w:hAnsi="Times New Roman" w:cs="Times New Roman"/>
          <w:sz w:val="24"/>
          <w:szCs w:val="24"/>
          <w:highlight w:val="yellow"/>
        </w:rPr>
        <w:t>with</w:t>
      </w:r>
      <w:r w:rsidR="00800FFC">
        <w:rPr>
          <w:rFonts w:ascii="Times New Roman" w:hAnsi="Times New Roman" w:cs="Times New Roman"/>
          <w:sz w:val="24"/>
          <w:szCs w:val="24"/>
        </w:rPr>
        <w:t xml:space="preserve"> subsequent </w:t>
      </w:r>
      <w:r w:rsidR="00800FFC">
        <w:rPr>
          <w:rFonts w:ascii="Times New Roman" w:hAnsi="Times New Roman" w:cs="Times New Roman"/>
          <w:sz w:val="24"/>
          <w:szCs w:val="24"/>
          <w:highlight w:val="yellow"/>
        </w:rPr>
        <w:t>effects</w:t>
      </w:r>
      <w:r w:rsidR="00800FFC">
        <w:rPr>
          <w:rFonts w:ascii="Times New Roman" w:hAnsi="Times New Roman" w:cs="Times New Roman"/>
          <w:sz w:val="24"/>
          <w:szCs w:val="24"/>
        </w:rPr>
        <w:t xml:space="preserve"> on membrane integrity and normal cellular functions (</w:t>
      </w:r>
      <w:r w:rsidR="00800FFC">
        <w:rPr>
          <w:rFonts w:ascii="Times New Roman" w:hAnsi="Times New Roman" w:cs="Times New Roman"/>
          <w:color w:val="222222"/>
          <w:sz w:val="24"/>
          <w:szCs w:val="24"/>
          <w:shd w:val="clear" w:color="auto" w:fill="FFFFFF"/>
        </w:rPr>
        <w:t>Sadiq, 2023</w:t>
      </w:r>
      <w:r w:rsidR="00800FFC">
        <w:rPr>
          <w:rFonts w:ascii="Times New Roman" w:hAnsi="Times New Roman" w:cs="Times New Roman"/>
          <w:sz w:val="24"/>
          <w:szCs w:val="24"/>
        </w:rPr>
        <w:t>).</w:t>
      </w:r>
      <w:r w:rsidR="00800FFC" w:rsidRPr="00483267">
        <w:rPr>
          <w:rFonts w:ascii="Times New Roman" w:hAnsi="Times New Roman"/>
          <w:bCs/>
          <w:sz w:val="24"/>
          <w:highlight w:val="yellow"/>
        </w:rPr>
        <w:t xml:space="preserve">Current global estimates continue to identify female breast cancer as the most frequently diagnosed cancer among women worldwide (Bray </w:t>
      </w:r>
      <w:r w:rsidR="00800FFC" w:rsidRPr="00483267">
        <w:rPr>
          <w:rFonts w:ascii="Times New Roman" w:hAnsi="Times New Roman"/>
          <w:bCs/>
          <w:i/>
          <w:sz w:val="24"/>
          <w:highlight w:val="yellow"/>
        </w:rPr>
        <w:t>et al</w:t>
      </w:r>
      <w:r w:rsidR="00800FFC" w:rsidRPr="00483267">
        <w:rPr>
          <w:rFonts w:ascii="Times New Roman" w:hAnsi="Times New Roman"/>
          <w:bCs/>
          <w:sz w:val="24"/>
          <w:highlight w:val="yellow"/>
        </w:rPr>
        <w:t xml:space="preserve">., 2024). A recent review also emphasises that, despite its established efficacy, tamoxifen is associated with a broad spectrum of adverse effects that can limit treatment tolerability (Buijs </w:t>
      </w:r>
      <w:r w:rsidR="00800FFC" w:rsidRPr="00483267">
        <w:rPr>
          <w:rFonts w:ascii="Times New Roman" w:hAnsi="Times New Roman"/>
          <w:bCs/>
          <w:i/>
          <w:sz w:val="24"/>
          <w:highlight w:val="yellow"/>
        </w:rPr>
        <w:t>et al</w:t>
      </w:r>
      <w:r w:rsidR="00800FFC" w:rsidRPr="00483267">
        <w:rPr>
          <w:rFonts w:ascii="Times New Roman" w:hAnsi="Times New Roman"/>
          <w:bCs/>
          <w:sz w:val="24"/>
          <w:highlight w:val="yellow"/>
        </w:rPr>
        <w:t>., 2024).</w:t>
      </w:r>
    </w:p>
    <w:p w14:paraId="3C4A269C" w14:textId="77777777" w:rsidR="00B84580" w:rsidRPr="00300D2C" w:rsidRDefault="00AC407C"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Tamoxifen-induced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w:t>
      </w:r>
      <w:r>
        <w:rPr>
          <w:rFonts w:ascii="Times New Roman" w:hAnsi="Times New Roman" w:cs="Times New Roman"/>
          <w:sz w:val="24"/>
          <w:szCs w:val="24"/>
          <w:highlight w:val="yellow"/>
        </w:rPr>
        <w:t>disorders</w:t>
      </w:r>
      <w:r>
        <w:rPr>
          <w:rFonts w:ascii="Times New Roman" w:hAnsi="Times New Roman" w:cs="Times New Roman"/>
          <w:sz w:val="24"/>
          <w:szCs w:val="24"/>
        </w:rPr>
        <w:t xml:space="preserve"> </w:t>
      </w:r>
      <w:r>
        <w:rPr>
          <w:rFonts w:ascii="Times New Roman" w:hAnsi="Times New Roman" w:cs="Times New Roman"/>
          <w:sz w:val="24"/>
          <w:szCs w:val="24"/>
          <w:highlight w:val="yellow"/>
        </w:rPr>
        <w:t>have</w:t>
      </w:r>
      <w:r>
        <w:rPr>
          <w:rFonts w:ascii="Times New Roman" w:hAnsi="Times New Roman" w:cs="Times New Roman"/>
          <w:sz w:val="24"/>
          <w:szCs w:val="24"/>
        </w:rPr>
        <w:t xml:space="preserve"> been linked to oxidative injury and suppression of </w:t>
      </w:r>
      <w:r>
        <w:rPr>
          <w:rFonts w:ascii="Times New Roman" w:hAnsi="Times New Roman" w:cs="Times New Roman"/>
          <w:sz w:val="24"/>
          <w:szCs w:val="24"/>
          <w:highlight w:val="yellow"/>
        </w:rPr>
        <w:t>haematopoietic</w:t>
      </w:r>
      <w:r>
        <w:rPr>
          <w:rFonts w:ascii="Times New Roman" w:hAnsi="Times New Roman" w:cs="Times New Roman"/>
          <w:sz w:val="24"/>
          <w:szCs w:val="24"/>
        </w:rPr>
        <w:t xml:space="preserve"> tissues (</w:t>
      </w:r>
      <w:r>
        <w:rPr>
          <w:rFonts w:ascii="Times New Roman" w:hAnsi="Times New Roman" w:cs="Times New Roman"/>
          <w:color w:val="222222"/>
          <w:sz w:val="24"/>
          <w:szCs w:val="24"/>
          <w:shd w:val="clear" w:color="auto" w:fill="FFFFFF"/>
        </w:rPr>
        <w:t xml:space="preserve">Rossi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2023</w:t>
      </w:r>
      <w:r>
        <w:rPr>
          <w:rFonts w:ascii="Times New Roman" w:hAnsi="Times New Roman" w:cs="Times New Roman"/>
          <w:sz w:val="24"/>
          <w:szCs w:val="24"/>
        </w:rPr>
        <w:t>), which represent another major clinical challenge during cancer treatment (</w:t>
      </w:r>
      <w:r>
        <w:rPr>
          <w:rFonts w:ascii="Times New Roman" w:hAnsi="Times New Roman" w:cs="Times New Roman"/>
          <w:color w:val="222222"/>
          <w:sz w:val="24"/>
          <w:szCs w:val="24"/>
          <w:shd w:val="clear" w:color="auto" w:fill="FFFFFF"/>
        </w:rPr>
        <w:t xml:space="preserve">Costanzo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2024</w:t>
      </w:r>
      <w:r>
        <w:rPr>
          <w:rFonts w:ascii="Times New Roman" w:hAnsi="Times New Roman" w:cs="Times New Roman"/>
          <w:sz w:val="24"/>
          <w:szCs w:val="24"/>
        </w:rPr>
        <w:t xml:space="preserve">). Alterations in red blood cell indices, </w:t>
      </w:r>
      <w:r>
        <w:rPr>
          <w:rFonts w:ascii="Times New Roman" w:hAnsi="Times New Roman" w:cs="Times New Roman"/>
          <w:sz w:val="24"/>
          <w:szCs w:val="24"/>
          <w:highlight w:val="yellow"/>
        </w:rPr>
        <w:t>haemoglobin</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concentration, lymphocyte </w:t>
      </w:r>
      <w:r>
        <w:rPr>
          <w:rFonts w:ascii="Times New Roman" w:hAnsi="Times New Roman" w:cs="Times New Roman"/>
          <w:sz w:val="24"/>
          <w:szCs w:val="24"/>
          <w:highlight w:val="yellow"/>
        </w:rPr>
        <w:t>counts</w:t>
      </w:r>
      <w:r>
        <w:rPr>
          <w:rFonts w:ascii="Times New Roman" w:hAnsi="Times New Roman" w:cs="Times New Roman"/>
          <w:sz w:val="24"/>
          <w:szCs w:val="24"/>
        </w:rPr>
        <w:t xml:space="preserve"> and platelet parameters may compromise immune function, oxygen transport and redox </w:t>
      </w:r>
      <w:r>
        <w:rPr>
          <w:rFonts w:ascii="Times New Roman" w:hAnsi="Times New Roman" w:cs="Times New Roman"/>
          <w:sz w:val="24"/>
          <w:szCs w:val="24"/>
          <w:highlight w:val="yellow"/>
        </w:rPr>
        <w:t>balance,</w:t>
      </w:r>
      <w:r>
        <w:rPr>
          <w:rFonts w:ascii="Times New Roman" w:hAnsi="Times New Roman" w:cs="Times New Roman"/>
          <w:sz w:val="24"/>
          <w:szCs w:val="24"/>
        </w:rPr>
        <w:t xml:space="preserve"> thereby affecting the overall physiological condition of affected individuals (</w:t>
      </w:r>
      <w:r>
        <w:rPr>
          <w:rFonts w:ascii="Times New Roman" w:hAnsi="Times New Roman" w:cs="Times New Roman"/>
          <w:color w:val="222222"/>
          <w:sz w:val="24"/>
          <w:szCs w:val="24"/>
          <w:shd w:val="clear" w:color="auto" w:fill="FFFFFF"/>
        </w:rPr>
        <w:t xml:space="preserve">Shah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2024</w:t>
      </w:r>
      <w:r>
        <w:rPr>
          <w:rFonts w:ascii="Times New Roman" w:hAnsi="Times New Roman" w:cs="Times New Roman"/>
          <w:sz w:val="24"/>
          <w:szCs w:val="24"/>
        </w:rPr>
        <w:t xml:space="preserve">). In recent years, medicinal plants have gained considerable attention </w:t>
      </w:r>
      <w:r>
        <w:rPr>
          <w:rFonts w:ascii="Times New Roman" w:hAnsi="Times New Roman" w:cs="Times New Roman"/>
          <w:sz w:val="24"/>
          <w:szCs w:val="24"/>
          <w:highlight w:val="yellow"/>
        </w:rPr>
        <w:t>because</w:t>
      </w:r>
      <w:r>
        <w:rPr>
          <w:rFonts w:ascii="Times New Roman" w:hAnsi="Times New Roman" w:cs="Times New Roman"/>
          <w:sz w:val="24"/>
          <w:szCs w:val="24"/>
        </w:rPr>
        <w:t xml:space="preserve"> </w:t>
      </w:r>
      <w:r>
        <w:rPr>
          <w:rFonts w:ascii="Times New Roman" w:hAnsi="Times New Roman" w:cs="Times New Roman"/>
          <w:sz w:val="24"/>
          <w:szCs w:val="24"/>
          <w:highlight w:val="yellow"/>
        </w:rPr>
        <w:t>of</w:t>
      </w:r>
      <w:r>
        <w:rPr>
          <w:rFonts w:ascii="Times New Roman" w:hAnsi="Times New Roman" w:cs="Times New Roman"/>
          <w:sz w:val="24"/>
          <w:szCs w:val="24"/>
        </w:rPr>
        <w:t xml:space="preserve"> their rich phytochemical composition and therapeutic </w:t>
      </w:r>
      <w:r>
        <w:rPr>
          <w:rFonts w:ascii="Times New Roman" w:hAnsi="Times New Roman" w:cs="Times New Roman"/>
          <w:sz w:val="24"/>
          <w:szCs w:val="24"/>
          <w:highlight w:val="yellow"/>
        </w:rPr>
        <w:t>potential</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Nwozo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2023</w:t>
      </w:r>
      <w:r>
        <w:rPr>
          <w:rFonts w:ascii="Times New Roman" w:hAnsi="Times New Roman" w:cs="Times New Roman"/>
          <w:sz w:val="24"/>
          <w:szCs w:val="24"/>
        </w:rPr>
        <w:t xml:space="preserve">). Natural products possessing antioxidant activities have been widely investigated for their ability to reduce oxidative damage associated with several pathological </w:t>
      </w:r>
      <w:r>
        <w:rPr>
          <w:rFonts w:ascii="Times New Roman" w:hAnsi="Times New Roman" w:cs="Times New Roman"/>
          <w:sz w:val="24"/>
          <w:szCs w:val="24"/>
          <w:highlight w:val="yellow"/>
        </w:rPr>
        <w:t>conditions,</w:t>
      </w:r>
      <w:r>
        <w:rPr>
          <w:rFonts w:ascii="Times New Roman" w:hAnsi="Times New Roman" w:cs="Times New Roman"/>
          <w:sz w:val="24"/>
          <w:szCs w:val="24"/>
        </w:rPr>
        <w:t xml:space="preserve"> such as </w:t>
      </w:r>
      <w:r>
        <w:rPr>
          <w:rFonts w:ascii="Times New Roman" w:hAnsi="Times New Roman" w:cs="Times New Roman"/>
          <w:sz w:val="24"/>
          <w:szCs w:val="24"/>
          <w:highlight w:val="yellow"/>
        </w:rPr>
        <w:t>malaria,</w:t>
      </w:r>
      <w:r>
        <w:rPr>
          <w:rFonts w:ascii="Times New Roman" w:hAnsi="Times New Roman" w:cs="Times New Roman"/>
          <w:sz w:val="24"/>
          <w:szCs w:val="24"/>
        </w:rPr>
        <w:t xml:space="preserve"> </w:t>
      </w:r>
      <w:r>
        <w:rPr>
          <w:rFonts w:ascii="Times New Roman" w:hAnsi="Times New Roman" w:cs="Times New Roman"/>
          <w:sz w:val="24"/>
          <w:szCs w:val="24"/>
          <w:highlight w:val="yellow"/>
        </w:rPr>
        <w:t>diabetes,</w:t>
      </w:r>
      <w:r>
        <w:rPr>
          <w:rFonts w:ascii="Times New Roman" w:hAnsi="Times New Roman" w:cs="Times New Roman"/>
          <w:sz w:val="24"/>
          <w:szCs w:val="24"/>
        </w:rPr>
        <w:t xml:space="preserve"> </w:t>
      </w:r>
      <w:r>
        <w:rPr>
          <w:rFonts w:ascii="Times New Roman" w:hAnsi="Times New Roman" w:cs="Times New Roman"/>
          <w:sz w:val="24"/>
          <w:szCs w:val="24"/>
          <w:highlight w:val="yellow"/>
        </w:rPr>
        <w:t>ulcers</w:t>
      </w:r>
      <w:r>
        <w:rPr>
          <w:rFonts w:ascii="Times New Roman" w:hAnsi="Times New Roman" w:cs="Times New Roman"/>
          <w:sz w:val="24"/>
          <w:szCs w:val="24"/>
        </w:rPr>
        <w:t xml:space="preserve"> and </w:t>
      </w:r>
      <w:r>
        <w:rPr>
          <w:rFonts w:ascii="Times New Roman" w:hAnsi="Times New Roman" w:cs="Times New Roman"/>
          <w:sz w:val="24"/>
          <w:szCs w:val="24"/>
          <w:highlight w:val="yellow"/>
        </w:rPr>
        <w:t>cancer</w:t>
      </w:r>
      <w:r>
        <w:rPr>
          <w:rFonts w:ascii="Times New Roman" w:hAnsi="Times New Roman" w:cs="Times New Roman"/>
          <w:sz w:val="24"/>
          <w:szCs w:val="24"/>
        </w:rPr>
        <w:t xml:space="preserve"> (Adedosu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sz w:val="24"/>
          <w:szCs w:val="24"/>
        </w:rPr>
        <w:t xml:space="preserve"> 2017; Adedosu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 2018;</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Muscolo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2024</w:t>
      </w:r>
      <w:r>
        <w:rPr>
          <w:rFonts w:ascii="Times New Roman" w:hAnsi="Times New Roman" w:cs="Times New Roman"/>
          <w:sz w:val="24"/>
          <w:szCs w:val="24"/>
        </w:rPr>
        <w:t>).</w:t>
      </w:r>
    </w:p>
    <w:p w14:paraId="449EAD1C" w14:textId="0783935F" w:rsidR="00E523BB" w:rsidRPr="00483267" w:rsidRDefault="00800FFC">
      <w:pPr>
        <w:spacing w:line="360" w:lineRule="auto"/>
        <w:jc w:val="both"/>
        <w:rPr>
          <w:rFonts w:ascii="Times New Roman" w:hAnsi="Times New Roman" w:cs="Times New Roman"/>
          <w:sz w:val="24"/>
          <w:szCs w:val="24"/>
        </w:rPr>
      </w:pPr>
      <w:r>
        <w:rPr>
          <w:rFonts w:ascii="Times New Roman" w:hAnsi="Times New Roman" w:cs="Times New Roman"/>
          <w:i/>
          <w:iCs/>
          <w:sz w:val="24"/>
          <w:szCs w:val="24"/>
        </w:rPr>
        <w:t>Embelia ribes</w:t>
      </w:r>
      <w:r>
        <w:rPr>
          <w:rFonts w:ascii="Times New Roman" w:hAnsi="Times New Roman" w:cs="Times New Roman"/>
          <w:sz w:val="24"/>
          <w:szCs w:val="24"/>
        </w:rPr>
        <w:t xml:space="preserve">, commonly called black pepper </w:t>
      </w:r>
      <w:r>
        <w:rPr>
          <w:rFonts w:ascii="Times New Roman" w:hAnsi="Times New Roman" w:cs="Times New Roman"/>
          <w:sz w:val="24"/>
          <w:szCs w:val="24"/>
          <w:highlight w:val="yellow"/>
        </w:rPr>
        <w:t>(family: Myrsinaceae),</w:t>
      </w:r>
      <w:r>
        <w:rPr>
          <w:rFonts w:ascii="Times New Roman" w:hAnsi="Times New Roman" w:cs="Times New Roman"/>
          <w:sz w:val="24"/>
          <w:szCs w:val="24"/>
        </w:rPr>
        <w:t xml:space="preserve"> is a medicinal plant used in Ayurvedic and Unani </w:t>
      </w:r>
      <w:r>
        <w:rPr>
          <w:rFonts w:ascii="Times New Roman" w:hAnsi="Times New Roman" w:cs="Times New Roman"/>
          <w:sz w:val="24"/>
          <w:szCs w:val="24"/>
          <w:highlight w:val="yellow"/>
        </w:rPr>
        <w:t xml:space="preserve">traditional </w:t>
      </w:r>
      <w:r>
        <w:rPr>
          <w:rFonts w:ascii="Times New Roman" w:hAnsi="Times New Roman" w:cs="Times New Roman"/>
          <w:sz w:val="24"/>
          <w:szCs w:val="24"/>
        </w:rPr>
        <w:t xml:space="preserve">medicine for </w:t>
      </w:r>
      <w:r>
        <w:rPr>
          <w:rFonts w:ascii="Times New Roman" w:hAnsi="Times New Roman" w:cs="Times New Roman"/>
          <w:sz w:val="24"/>
          <w:szCs w:val="24"/>
          <w:highlight w:val="yellow"/>
        </w:rPr>
        <w:t>its</w:t>
      </w:r>
      <w:r>
        <w:rPr>
          <w:rFonts w:ascii="Times New Roman" w:hAnsi="Times New Roman" w:cs="Times New Roman"/>
          <w:sz w:val="24"/>
          <w:szCs w:val="24"/>
        </w:rPr>
        <w:t xml:space="preserve"> </w:t>
      </w:r>
      <w:r>
        <w:rPr>
          <w:rFonts w:ascii="Times New Roman" w:hAnsi="Times New Roman" w:cs="Times New Roman"/>
          <w:sz w:val="24"/>
          <w:szCs w:val="24"/>
          <w:highlight w:val="yellow"/>
        </w:rPr>
        <w:t>antioxidant,</w:t>
      </w:r>
      <w:r>
        <w:rPr>
          <w:rFonts w:ascii="Times New Roman" w:hAnsi="Times New Roman" w:cs="Times New Roman"/>
          <w:sz w:val="24"/>
          <w:szCs w:val="24"/>
        </w:rPr>
        <w:t xml:space="preserve"> </w:t>
      </w:r>
      <w:r>
        <w:rPr>
          <w:rFonts w:ascii="Times New Roman" w:hAnsi="Times New Roman" w:cs="Times New Roman"/>
          <w:sz w:val="24"/>
          <w:szCs w:val="24"/>
          <w:highlight w:val="yellow"/>
        </w:rPr>
        <w:t>antimicrobial,</w:t>
      </w:r>
      <w:r>
        <w:rPr>
          <w:rFonts w:ascii="Times New Roman" w:hAnsi="Times New Roman" w:cs="Times New Roman"/>
          <w:sz w:val="24"/>
          <w:szCs w:val="24"/>
        </w:rPr>
        <w:t xml:space="preserve"> </w:t>
      </w:r>
      <w:r>
        <w:rPr>
          <w:rFonts w:ascii="Times New Roman" w:hAnsi="Times New Roman" w:cs="Times New Roman"/>
          <w:sz w:val="24"/>
          <w:szCs w:val="24"/>
          <w:highlight w:val="yellow"/>
        </w:rPr>
        <w:t>anti-inflammatory,</w:t>
      </w:r>
      <w:r>
        <w:rPr>
          <w:rFonts w:ascii="Times New Roman" w:hAnsi="Times New Roman" w:cs="Times New Roman"/>
          <w:sz w:val="24"/>
          <w:szCs w:val="24"/>
        </w:rPr>
        <w:t xml:space="preserve"> </w:t>
      </w:r>
      <w:r>
        <w:rPr>
          <w:rFonts w:ascii="Times New Roman" w:hAnsi="Times New Roman" w:cs="Times New Roman"/>
          <w:sz w:val="24"/>
          <w:szCs w:val="24"/>
          <w:highlight w:val="yellow"/>
        </w:rPr>
        <w:t>antihelminthic,</w:t>
      </w:r>
      <w:r>
        <w:rPr>
          <w:rFonts w:ascii="Times New Roman" w:hAnsi="Times New Roman" w:cs="Times New Roman"/>
          <w:sz w:val="24"/>
          <w:szCs w:val="24"/>
        </w:rPr>
        <w:t xml:space="preserve"> </w:t>
      </w:r>
      <w:r>
        <w:rPr>
          <w:rFonts w:ascii="Times New Roman" w:hAnsi="Times New Roman" w:cs="Times New Roman"/>
          <w:sz w:val="24"/>
          <w:szCs w:val="24"/>
          <w:highlight w:val="yellow"/>
        </w:rPr>
        <w:t>antidiabetic</w:t>
      </w:r>
      <w:r>
        <w:rPr>
          <w:rFonts w:ascii="Times New Roman" w:hAnsi="Times New Roman" w:cs="Times New Roman"/>
          <w:sz w:val="24"/>
          <w:szCs w:val="24"/>
        </w:rPr>
        <w:t xml:space="preserve"> and </w:t>
      </w:r>
      <w:r>
        <w:rPr>
          <w:rFonts w:ascii="Times New Roman" w:hAnsi="Times New Roman" w:cs="Times New Roman"/>
          <w:sz w:val="24"/>
          <w:szCs w:val="24"/>
          <w:highlight w:val="yellow"/>
        </w:rPr>
        <w:t>anticancer</w:t>
      </w:r>
      <w:r>
        <w:rPr>
          <w:rFonts w:ascii="Times New Roman" w:hAnsi="Times New Roman" w:cs="Times New Roman"/>
          <w:sz w:val="24"/>
          <w:szCs w:val="24"/>
        </w:rPr>
        <w:t xml:space="preserve"> effects</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(Rout </w:t>
      </w:r>
      <w:r>
        <w:rPr>
          <w:rFonts w:ascii="Times New Roman" w:hAnsi="Times New Roman" w:cs="Times New Roman"/>
          <w:i/>
          <w:iCs/>
          <w:sz w:val="24"/>
          <w:szCs w:val="24"/>
        </w:rPr>
        <w:t>et al</w:t>
      </w:r>
      <w:r>
        <w:rPr>
          <w:rFonts w:ascii="Times New Roman" w:hAnsi="Times New Roman" w:cs="Times New Roman"/>
          <w:sz w:val="24"/>
          <w:szCs w:val="24"/>
        </w:rPr>
        <w:t xml:space="preserve">., </w:t>
      </w:r>
      <w:r>
        <w:rPr>
          <w:rFonts w:ascii="Times New Roman" w:hAnsi="Times New Roman" w:cs="Times New Roman"/>
          <w:sz w:val="24"/>
          <w:szCs w:val="24"/>
          <w:highlight w:val="yellow"/>
        </w:rPr>
        <w:t>2021).</w:t>
      </w:r>
      <w:r>
        <w:rPr>
          <w:rFonts w:ascii="Times New Roman" w:hAnsi="Times New Roman" w:cs="Times New Roman"/>
          <w:sz w:val="24"/>
          <w:szCs w:val="24"/>
        </w:rPr>
        <w:t xml:space="preserve"> These biological activities have largely been attributed to the presence of bioactive </w:t>
      </w:r>
      <w:r>
        <w:rPr>
          <w:rFonts w:ascii="Times New Roman" w:hAnsi="Times New Roman" w:cs="Times New Roman"/>
          <w:sz w:val="24"/>
          <w:szCs w:val="24"/>
          <w:highlight w:val="yellow"/>
        </w:rPr>
        <w:t>compounds</w:t>
      </w:r>
      <w:r>
        <w:rPr>
          <w:rFonts w:ascii="Times New Roman" w:hAnsi="Times New Roman" w:cs="Times New Roman"/>
          <w:sz w:val="24"/>
          <w:szCs w:val="24"/>
        </w:rPr>
        <w:t xml:space="preserve"> such as flavonoids, </w:t>
      </w:r>
      <w:r>
        <w:rPr>
          <w:rFonts w:ascii="Times New Roman" w:hAnsi="Times New Roman" w:cs="Times New Roman"/>
          <w:sz w:val="24"/>
          <w:szCs w:val="24"/>
          <w:highlight w:val="yellow"/>
        </w:rPr>
        <w:t>phenolics,</w:t>
      </w:r>
      <w:r>
        <w:rPr>
          <w:rFonts w:ascii="Times New Roman" w:hAnsi="Times New Roman" w:cs="Times New Roman"/>
          <w:sz w:val="24"/>
          <w:szCs w:val="24"/>
        </w:rPr>
        <w:t xml:space="preserve"> tannins, </w:t>
      </w:r>
      <w:r>
        <w:rPr>
          <w:rFonts w:ascii="Times New Roman" w:hAnsi="Times New Roman" w:cs="Times New Roman"/>
          <w:sz w:val="24"/>
          <w:szCs w:val="24"/>
          <w:highlight w:val="yellow"/>
        </w:rPr>
        <w:t>alkaloids</w:t>
      </w:r>
      <w:r>
        <w:rPr>
          <w:rFonts w:ascii="Times New Roman" w:hAnsi="Times New Roman" w:cs="Times New Roman"/>
          <w:sz w:val="24"/>
          <w:szCs w:val="24"/>
        </w:rPr>
        <w:t xml:space="preserve"> and embelin (</w:t>
      </w:r>
      <w:r>
        <w:rPr>
          <w:rFonts w:ascii="Times New Roman" w:hAnsi="Times New Roman" w:cs="Times New Roman"/>
          <w:color w:val="222222"/>
          <w:sz w:val="24"/>
          <w:szCs w:val="24"/>
          <w:shd w:val="clear" w:color="auto" w:fill="FFFFFF"/>
        </w:rPr>
        <w:t xml:space="preserve">Naik </w:t>
      </w:r>
      <w:r>
        <w:rPr>
          <w:rFonts w:ascii="Times New Roman" w:hAnsi="Times New Roman" w:cs="Times New Roman"/>
          <w:color w:val="222222"/>
          <w:sz w:val="24"/>
          <w:szCs w:val="24"/>
          <w:highlight w:val="yellow"/>
          <w:shd w:val="clear" w:color="auto" w:fill="FFFFFF"/>
        </w:rPr>
        <w:t>&amp;</w:t>
      </w:r>
      <w:r>
        <w:rPr>
          <w:rFonts w:ascii="Times New Roman" w:hAnsi="Times New Roman" w:cs="Times New Roman"/>
          <w:color w:val="222222"/>
          <w:sz w:val="24"/>
          <w:szCs w:val="24"/>
          <w:shd w:val="clear" w:color="auto" w:fill="FFFFFF"/>
        </w:rPr>
        <w:t xml:space="preserve"> Gamare, 2025)</w:t>
      </w:r>
      <w:r>
        <w:rPr>
          <w:rFonts w:ascii="Times New Roman" w:hAnsi="Times New Roman" w:cs="Times New Roman"/>
          <w:sz w:val="24"/>
          <w:szCs w:val="24"/>
        </w:rPr>
        <w:t>.</w:t>
      </w:r>
      <w:r w:rsidR="00483267">
        <w:rPr>
          <w:rFonts w:ascii="Times New Roman" w:hAnsi="Times New Roman" w:cs="Times New Roman"/>
          <w:sz w:val="24"/>
          <w:szCs w:val="24"/>
        </w:rPr>
        <w:t xml:space="preserve"> </w:t>
      </w:r>
      <w:r w:rsidRPr="00483267">
        <w:rPr>
          <w:rFonts w:ascii="Times New Roman" w:hAnsi="Times New Roman"/>
          <w:bCs/>
          <w:sz w:val="24"/>
          <w:highlight w:val="yellow"/>
        </w:rPr>
        <w:t xml:space="preserve">Recent in silico pharmacophore profiling of </w:t>
      </w:r>
      <w:r w:rsidRPr="00483267">
        <w:rPr>
          <w:rFonts w:ascii="Times New Roman" w:hAnsi="Times New Roman"/>
          <w:bCs/>
          <w:i/>
          <w:sz w:val="24"/>
          <w:highlight w:val="yellow"/>
        </w:rPr>
        <w:t>Embelia ribes</w:t>
      </w:r>
      <w:r w:rsidRPr="00483267">
        <w:rPr>
          <w:rFonts w:ascii="Times New Roman" w:hAnsi="Times New Roman"/>
          <w:bCs/>
          <w:sz w:val="24"/>
          <w:highlight w:val="yellow"/>
        </w:rPr>
        <w:t xml:space="preserve"> has reported multiple potentially bioactive constituents, including embelin and phenolic acids, supporting continued pharmacological interest in the species (Dubey </w:t>
      </w:r>
      <w:r w:rsidRPr="00483267">
        <w:rPr>
          <w:rFonts w:ascii="Times New Roman" w:hAnsi="Times New Roman"/>
          <w:bCs/>
          <w:i/>
          <w:sz w:val="24"/>
          <w:highlight w:val="yellow"/>
        </w:rPr>
        <w:t>et al</w:t>
      </w:r>
      <w:r w:rsidRPr="00483267">
        <w:rPr>
          <w:rFonts w:ascii="Times New Roman" w:hAnsi="Times New Roman"/>
          <w:bCs/>
          <w:sz w:val="24"/>
          <w:highlight w:val="yellow"/>
        </w:rPr>
        <w:t>., 2025).</w:t>
      </w:r>
    </w:p>
    <w:p w14:paraId="1041822E" w14:textId="2BAF698C" w:rsidR="00E523BB" w:rsidRPr="00483267"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Vitamin E is a lipid-soluble antioxidant vitamin </w:t>
      </w:r>
      <w:r>
        <w:rPr>
          <w:rFonts w:ascii="Times New Roman" w:hAnsi="Times New Roman" w:cs="Times New Roman"/>
          <w:sz w:val="24"/>
          <w:szCs w:val="24"/>
          <w:highlight w:val="yellow"/>
        </w:rPr>
        <w:t>that</w:t>
      </w:r>
      <w:r>
        <w:rPr>
          <w:rFonts w:ascii="Times New Roman" w:hAnsi="Times New Roman" w:cs="Times New Roman"/>
          <w:sz w:val="24"/>
          <w:szCs w:val="24"/>
        </w:rPr>
        <w:t xml:space="preserve"> plays</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important role in protecting cellular membranes against oxidative damage and </w:t>
      </w:r>
      <w:r>
        <w:rPr>
          <w:rFonts w:ascii="Times New Roman" w:hAnsi="Times New Roman" w:cs="Times New Roman"/>
          <w:sz w:val="24"/>
          <w:szCs w:val="24"/>
          <w:highlight w:val="yellow"/>
        </w:rPr>
        <w:t xml:space="preserve">is </w:t>
      </w:r>
      <w:r>
        <w:rPr>
          <w:rFonts w:ascii="Times New Roman" w:hAnsi="Times New Roman" w:cs="Times New Roman"/>
          <w:sz w:val="24"/>
          <w:szCs w:val="24"/>
        </w:rPr>
        <w:t>commonly used as</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adjuvant in cancer treatment. It </w:t>
      </w:r>
      <w:r>
        <w:rPr>
          <w:rFonts w:ascii="Times New Roman" w:hAnsi="Times New Roman" w:cs="Times New Roman"/>
          <w:sz w:val="24"/>
          <w:szCs w:val="24"/>
          <w:highlight w:val="yellow"/>
        </w:rPr>
        <w:t>neutralises</w:t>
      </w:r>
      <w:r>
        <w:rPr>
          <w:rFonts w:ascii="Times New Roman" w:hAnsi="Times New Roman" w:cs="Times New Roman"/>
          <w:sz w:val="24"/>
          <w:szCs w:val="24"/>
        </w:rPr>
        <w:t xml:space="preserve"> free radicals and </w:t>
      </w:r>
      <w:r>
        <w:rPr>
          <w:rFonts w:ascii="Times New Roman" w:hAnsi="Times New Roman" w:cs="Times New Roman"/>
          <w:sz w:val="24"/>
          <w:szCs w:val="24"/>
          <w:highlight w:val="yellow"/>
        </w:rPr>
        <w:t>inhibits</w:t>
      </w:r>
      <w:r>
        <w:rPr>
          <w:rFonts w:ascii="Times New Roman" w:hAnsi="Times New Roman" w:cs="Times New Roman"/>
          <w:sz w:val="24"/>
          <w:szCs w:val="24"/>
        </w:rPr>
        <w:t xml:space="preserve"> lipid peroxidation (</w:t>
      </w:r>
      <w:r>
        <w:rPr>
          <w:rFonts w:ascii="Times New Roman" w:hAnsi="Times New Roman" w:cs="Times New Roman"/>
          <w:color w:val="222222"/>
          <w:sz w:val="24"/>
          <w:szCs w:val="24"/>
          <w:shd w:val="clear" w:color="auto" w:fill="FFFFFF"/>
        </w:rPr>
        <w:t xml:space="preserve">Kilicarslan </w:t>
      </w:r>
      <w:r>
        <w:rPr>
          <w:rFonts w:ascii="Times New Roman" w:hAnsi="Times New Roman" w:cs="Times New Roman"/>
          <w:iCs/>
          <w:color w:val="222222"/>
          <w:sz w:val="24"/>
          <w:szCs w:val="24"/>
          <w:highlight w:val="yellow"/>
          <w:shd w:val="clear" w:color="auto" w:fill="FFFFFF"/>
        </w:rPr>
        <w:t xml:space="preserve">You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2024</w:t>
      </w:r>
      <w:r>
        <w:rPr>
          <w:rFonts w:ascii="Times New Roman" w:hAnsi="Times New Roman" w:cs="Times New Roman"/>
          <w:sz w:val="24"/>
          <w:szCs w:val="24"/>
        </w:rPr>
        <w:t xml:space="preserve">). </w:t>
      </w:r>
      <w:r>
        <w:rPr>
          <w:rFonts w:ascii="Times New Roman" w:hAnsi="Times New Roman" w:cs="Times New Roman"/>
          <w:sz w:val="24"/>
          <w:szCs w:val="24"/>
          <w:highlight w:val="yellow"/>
        </w:rPr>
        <w:t>Because</w:t>
      </w:r>
      <w:r>
        <w:rPr>
          <w:rFonts w:ascii="Times New Roman" w:hAnsi="Times New Roman" w:cs="Times New Roman"/>
          <w:sz w:val="24"/>
          <w:szCs w:val="24"/>
        </w:rPr>
        <w:t xml:space="preserve"> </w:t>
      </w:r>
      <w:r>
        <w:rPr>
          <w:rFonts w:ascii="Times New Roman" w:hAnsi="Times New Roman" w:cs="Times New Roman"/>
          <w:sz w:val="24"/>
          <w:szCs w:val="24"/>
          <w:highlight w:val="yellow"/>
        </w:rPr>
        <w:t>of</w:t>
      </w:r>
      <w:r>
        <w:rPr>
          <w:rFonts w:ascii="Times New Roman" w:hAnsi="Times New Roman" w:cs="Times New Roman"/>
          <w:sz w:val="24"/>
          <w:szCs w:val="24"/>
        </w:rPr>
        <w:t xml:space="preserve"> its potent antioxidant activity,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has been extensively studied as a protective agent against oxidative stress-induced tissue injury and related diseases (</w:t>
      </w:r>
      <w:r>
        <w:rPr>
          <w:rFonts w:ascii="Times New Roman" w:hAnsi="Times New Roman" w:cs="Times New Roman"/>
          <w:color w:val="222222"/>
          <w:sz w:val="24"/>
          <w:szCs w:val="24"/>
          <w:shd w:val="clear" w:color="auto" w:fill="FFFFFF"/>
        </w:rPr>
        <w:t xml:space="preserve">Jomova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2024</w:t>
      </w:r>
      <w:r>
        <w:rPr>
          <w:rFonts w:ascii="Times New Roman" w:hAnsi="Times New Roman" w:cs="Times New Roman"/>
          <w:sz w:val="24"/>
          <w:szCs w:val="24"/>
        </w:rPr>
        <w:t>).</w:t>
      </w:r>
      <w:r w:rsidR="00483267">
        <w:rPr>
          <w:rFonts w:ascii="Times New Roman" w:hAnsi="Times New Roman" w:cs="Times New Roman"/>
          <w:sz w:val="24"/>
          <w:szCs w:val="24"/>
        </w:rPr>
        <w:t xml:space="preserve"> </w:t>
      </w:r>
      <w:r w:rsidRPr="00483267">
        <w:rPr>
          <w:rFonts w:ascii="Times New Roman" w:hAnsi="Times New Roman"/>
          <w:bCs/>
          <w:sz w:val="24"/>
          <w:highlight w:val="yellow"/>
        </w:rPr>
        <w:t xml:space="preserve">Experimental evidence from albino rats has also shown that vitamin E treatment can improve superoxide dismutase and catalase activities under chemically induced oxidative stress (Savithri </w:t>
      </w:r>
      <w:r w:rsidRPr="00483267">
        <w:rPr>
          <w:rFonts w:ascii="Times New Roman" w:hAnsi="Times New Roman"/>
          <w:bCs/>
          <w:i/>
          <w:sz w:val="24"/>
          <w:highlight w:val="yellow"/>
        </w:rPr>
        <w:t>et al</w:t>
      </w:r>
      <w:r w:rsidRPr="00483267">
        <w:rPr>
          <w:rFonts w:ascii="Times New Roman" w:hAnsi="Times New Roman"/>
          <w:bCs/>
          <w:sz w:val="24"/>
          <w:highlight w:val="yellow"/>
        </w:rPr>
        <w:t>., 2023).</w:t>
      </w:r>
    </w:p>
    <w:p w14:paraId="3C2BDDBA" w14:textId="77777777" w:rsidR="00E523BB" w:rsidRPr="00483267" w:rsidRDefault="00000000">
      <w:pPr>
        <w:spacing w:line="360" w:lineRule="auto"/>
        <w:jc w:val="both"/>
        <w:rPr>
          <w:rFonts w:ascii="Times New Roman" w:hAnsi="Times New Roman" w:cs="Times New Roman"/>
          <w:bCs/>
          <w:sz w:val="24"/>
          <w:szCs w:val="24"/>
        </w:rPr>
      </w:pPr>
      <w:r w:rsidRPr="00483267">
        <w:rPr>
          <w:rFonts w:ascii="Times New Roman" w:hAnsi="Times New Roman"/>
          <w:bCs/>
          <w:sz w:val="24"/>
          <w:highlight w:val="yellow"/>
        </w:rPr>
        <w:t xml:space="preserve">However, evidence remains limited regarding whether ethyl acetate extract of </w:t>
      </w:r>
      <w:r w:rsidRPr="00483267">
        <w:rPr>
          <w:rFonts w:ascii="Times New Roman" w:hAnsi="Times New Roman"/>
          <w:bCs/>
          <w:i/>
          <w:sz w:val="24"/>
          <w:highlight w:val="yellow"/>
        </w:rPr>
        <w:t>Embelia ribes</w:t>
      </w:r>
      <w:r w:rsidRPr="00483267">
        <w:rPr>
          <w:rFonts w:ascii="Times New Roman" w:hAnsi="Times New Roman"/>
          <w:bCs/>
          <w:sz w:val="24"/>
          <w:highlight w:val="yellow"/>
        </w:rPr>
        <w:t xml:space="preserve"> seed, alone or combined with vitamin E, can attenuate tamoxifen-associated haematological disturbances and breast-tissue redox imbalance in female Wistar rats.</w:t>
      </w:r>
    </w:p>
    <w:p w14:paraId="79E5F931" w14:textId="77777777" w:rsidR="00E523BB" w:rsidRDefault="00000000">
      <w:pPr>
        <w:spacing w:line="360" w:lineRule="auto"/>
        <w:rPr>
          <w:rFonts w:ascii="Times New Roman" w:hAnsi="Times New Roman" w:cs="Times New Roman"/>
          <w:sz w:val="24"/>
          <w:szCs w:val="24"/>
        </w:rPr>
      </w:pPr>
      <w:r>
        <w:rPr>
          <w:rFonts w:ascii="Times New Roman" w:hAnsi="Times New Roman"/>
          <w:b/>
          <w:sz w:val="24"/>
          <w:highlight w:val="yellow"/>
        </w:rPr>
        <w:t>Objective</w:t>
      </w:r>
    </w:p>
    <w:p w14:paraId="0695B7BA" w14:textId="77777777" w:rsidR="00E523BB"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Hence, </w:t>
      </w:r>
      <w:r>
        <w:rPr>
          <w:rFonts w:ascii="Times New Roman" w:hAnsi="Times New Roman" w:cs="Times New Roman"/>
          <w:sz w:val="24"/>
          <w:szCs w:val="24"/>
          <w:highlight w:val="yellow"/>
        </w:rPr>
        <w:t>given the</w:t>
      </w:r>
      <w:r>
        <w:rPr>
          <w:rFonts w:ascii="Times New Roman" w:hAnsi="Times New Roman" w:cs="Times New Roman"/>
          <w:sz w:val="24"/>
          <w:szCs w:val="24"/>
        </w:rPr>
        <w:t xml:space="preserve"> limited scientific data </w:t>
      </w:r>
      <w:r>
        <w:rPr>
          <w:rFonts w:ascii="Times New Roman" w:hAnsi="Times New Roman" w:cs="Times New Roman"/>
          <w:sz w:val="24"/>
          <w:szCs w:val="24"/>
          <w:highlight w:val="yellow"/>
        </w:rPr>
        <w:t>supporting</w:t>
      </w:r>
      <w:r>
        <w:rPr>
          <w:rFonts w:ascii="Times New Roman" w:hAnsi="Times New Roman" w:cs="Times New Roman"/>
          <w:sz w:val="24"/>
          <w:szCs w:val="24"/>
        </w:rPr>
        <w:t xml:space="preserve"> the </w:t>
      </w:r>
      <w:r>
        <w:rPr>
          <w:rFonts w:ascii="Times New Roman" w:hAnsi="Times New Roman" w:cs="Times New Roman"/>
          <w:sz w:val="24"/>
          <w:szCs w:val="24"/>
          <w:highlight w:val="yellow"/>
        </w:rPr>
        <w:t>medicinal</w:t>
      </w:r>
      <w:r>
        <w:rPr>
          <w:rFonts w:ascii="Times New Roman" w:hAnsi="Times New Roman" w:cs="Times New Roman"/>
          <w:sz w:val="24"/>
          <w:szCs w:val="24"/>
        </w:rPr>
        <w:t xml:space="preserve"> claims </w:t>
      </w:r>
      <w:r>
        <w:rPr>
          <w:rFonts w:ascii="Times New Roman" w:hAnsi="Times New Roman" w:cs="Times New Roman"/>
          <w:sz w:val="24"/>
          <w:szCs w:val="24"/>
          <w:highlight w:val="yellow"/>
        </w:rPr>
        <w:t>for</w:t>
      </w:r>
      <w:r>
        <w:rPr>
          <w:rFonts w:ascii="Times New Roman" w:hAnsi="Times New Roman" w:cs="Times New Roman"/>
          <w:sz w:val="24"/>
          <w:szCs w:val="24"/>
        </w:rPr>
        <w:t xml:space="preserve"> </w:t>
      </w:r>
      <w:r>
        <w:rPr>
          <w:rFonts w:ascii="Times New Roman" w:hAnsi="Times New Roman" w:cs="Times New Roman"/>
          <w:i/>
          <w:iCs/>
          <w:sz w:val="24"/>
          <w:szCs w:val="24"/>
        </w:rPr>
        <w:t xml:space="preserve">Embelia ribes </w:t>
      </w:r>
      <w:r>
        <w:rPr>
          <w:rFonts w:ascii="Times New Roman" w:hAnsi="Times New Roman" w:cs="Times New Roman"/>
          <w:sz w:val="24"/>
          <w:szCs w:val="24"/>
          <w:highlight w:val="yellow"/>
        </w:rPr>
        <w:t>seed, which is</w:t>
      </w:r>
      <w:r>
        <w:rPr>
          <w:rFonts w:ascii="Times New Roman" w:hAnsi="Times New Roman" w:cs="Times New Roman"/>
          <w:sz w:val="24"/>
          <w:szCs w:val="24"/>
        </w:rPr>
        <w:t xml:space="preserve"> traditionally used for the treatment and management of breast cancer and several other ailments, this study evaluated the roles of ethyl acetate extract of </w:t>
      </w:r>
      <w:r>
        <w:rPr>
          <w:rFonts w:ascii="Times New Roman" w:hAnsi="Times New Roman" w:cs="Times New Roman"/>
          <w:i/>
          <w:iCs/>
          <w:sz w:val="24"/>
          <w:szCs w:val="24"/>
        </w:rPr>
        <w:t xml:space="preserve">Embelia ribes </w:t>
      </w:r>
      <w:r>
        <w:rPr>
          <w:rFonts w:ascii="Times New Roman" w:hAnsi="Times New Roman" w:cs="Times New Roman"/>
          <w:sz w:val="24"/>
          <w:szCs w:val="24"/>
        </w:rPr>
        <w:t xml:space="preserve">seed and vitamin </w:t>
      </w:r>
      <w:r>
        <w:rPr>
          <w:rFonts w:ascii="Times New Roman" w:hAnsi="Times New Roman" w:cs="Times New Roman"/>
          <w:sz w:val="24"/>
          <w:szCs w:val="24"/>
          <w:highlight w:val="yellow"/>
        </w:rPr>
        <w:lastRenderedPageBreak/>
        <w:t>E,</w:t>
      </w:r>
      <w:r>
        <w:rPr>
          <w:rFonts w:ascii="Times New Roman" w:hAnsi="Times New Roman" w:cs="Times New Roman"/>
          <w:sz w:val="24"/>
          <w:szCs w:val="24"/>
        </w:rPr>
        <w:t xml:space="preserve"> a known antioxidant adjuvant in cancer </w:t>
      </w:r>
      <w:r>
        <w:rPr>
          <w:rFonts w:ascii="Times New Roman" w:hAnsi="Times New Roman" w:cs="Times New Roman"/>
          <w:sz w:val="24"/>
          <w:szCs w:val="24"/>
          <w:highlight w:val="yellow"/>
        </w:rPr>
        <w:t>treatment,</w:t>
      </w:r>
      <w:r>
        <w:rPr>
          <w:rFonts w:ascii="Times New Roman" w:hAnsi="Times New Roman" w:cs="Times New Roman"/>
          <w:sz w:val="24"/>
          <w:szCs w:val="24"/>
        </w:rPr>
        <w:t xml:space="preserve"> following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in female Wistar rats.</w:t>
      </w:r>
    </w:p>
    <w:p w14:paraId="38B615D7" w14:textId="77777777" w:rsidR="00FE592E" w:rsidRPr="00300D2C" w:rsidRDefault="00FE592E" w:rsidP="00300D2C">
      <w:pPr>
        <w:spacing w:line="360" w:lineRule="auto"/>
        <w:jc w:val="both"/>
        <w:rPr>
          <w:rFonts w:ascii="Times New Roman" w:hAnsi="Times New Roman" w:cs="Times New Roman"/>
          <w:sz w:val="24"/>
          <w:szCs w:val="24"/>
        </w:rPr>
      </w:pPr>
    </w:p>
    <w:p w14:paraId="3C70A695" w14:textId="77777777" w:rsidR="00FE592E" w:rsidRPr="00300D2C" w:rsidRDefault="00FE592E" w:rsidP="00300D2C">
      <w:pPr>
        <w:spacing w:line="360" w:lineRule="auto"/>
        <w:jc w:val="both"/>
        <w:rPr>
          <w:rFonts w:ascii="Times New Roman" w:hAnsi="Times New Roman" w:cs="Times New Roman"/>
          <w:sz w:val="24"/>
          <w:szCs w:val="24"/>
        </w:rPr>
      </w:pPr>
    </w:p>
    <w:p w14:paraId="48B374ED" w14:textId="77777777" w:rsidR="00FE592E" w:rsidRPr="00300D2C" w:rsidRDefault="00FE592E" w:rsidP="00300D2C">
      <w:pPr>
        <w:spacing w:line="360" w:lineRule="auto"/>
        <w:jc w:val="both"/>
        <w:rPr>
          <w:rFonts w:ascii="Times New Roman" w:hAnsi="Times New Roman" w:cs="Times New Roman"/>
          <w:sz w:val="24"/>
          <w:szCs w:val="24"/>
        </w:rPr>
      </w:pPr>
    </w:p>
    <w:p w14:paraId="279976ED" w14:textId="77777777" w:rsidR="00754C0D" w:rsidRPr="00300D2C" w:rsidRDefault="00800FFC"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MATERIALS AND METHODS</w:t>
      </w:r>
    </w:p>
    <w:p w14:paraId="457418DF" w14:textId="77777777"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Materials</w:t>
      </w:r>
    </w:p>
    <w:p w14:paraId="11EAF463" w14:textId="77777777" w:rsidR="00F109AC" w:rsidRPr="00300D2C" w:rsidRDefault="00F109AC"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Materials used in this study </w:t>
      </w:r>
      <w:r>
        <w:rPr>
          <w:rFonts w:ascii="Times New Roman" w:hAnsi="Times New Roman" w:cs="Times New Roman"/>
          <w:sz w:val="24"/>
          <w:szCs w:val="24"/>
          <w:highlight w:val="yellow"/>
        </w:rPr>
        <w:t>included</w:t>
      </w:r>
      <w:r>
        <w:rPr>
          <w:rFonts w:ascii="Times New Roman" w:hAnsi="Times New Roman" w:cs="Times New Roman"/>
          <w:sz w:val="24"/>
          <w:szCs w:val="24"/>
        </w:rPr>
        <w:t xml:space="preserve"> </w:t>
      </w:r>
      <w:r>
        <w:rPr>
          <w:rFonts w:ascii="Times New Roman" w:hAnsi="Times New Roman" w:cs="Times New Roman"/>
          <w:sz w:val="24"/>
          <w:szCs w:val="24"/>
          <w:highlight w:val="yellow"/>
        </w:rPr>
        <w:t>an electronic</w:t>
      </w:r>
      <w:r>
        <w:rPr>
          <w:rFonts w:ascii="Times New Roman" w:hAnsi="Times New Roman" w:cs="Times New Roman"/>
          <w:sz w:val="24"/>
          <w:szCs w:val="24"/>
        </w:rPr>
        <w:t xml:space="preserve"> weighing balance, measuring cylinders, syringes and needles, beakers, test tubes, conical flasks, plasma bottles, </w:t>
      </w:r>
      <w:r>
        <w:rPr>
          <w:rFonts w:ascii="Times New Roman" w:hAnsi="Times New Roman" w:cs="Times New Roman"/>
          <w:sz w:val="24"/>
          <w:szCs w:val="24"/>
          <w:highlight w:val="yellow"/>
        </w:rPr>
        <w:t xml:space="preserve">a </w:t>
      </w:r>
      <w:r>
        <w:rPr>
          <w:rFonts w:ascii="Times New Roman" w:hAnsi="Times New Roman" w:cs="Times New Roman"/>
          <w:sz w:val="24"/>
          <w:szCs w:val="24"/>
        </w:rPr>
        <w:t>water bath,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pH meter,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spatula, </w:t>
      </w:r>
      <w:r>
        <w:rPr>
          <w:rFonts w:ascii="Times New Roman" w:hAnsi="Times New Roman" w:cs="Times New Roman"/>
          <w:sz w:val="24"/>
          <w:szCs w:val="24"/>
          <w:highlight w:val="yellow"/>
        </w:rPr>
        <w:t xml:space="preserve">a </w:t>
      </w:r>
      <w:r>
        <w:rPr>
          <w:rFonts w:ascii="Times New Roman" w:hAnsi="Times New Roman" w:cs="Times New Roman"/>
          <w:sz w:val="24"/>
          <w:szCs w:val="24"/>
        </w:rPr>
        <w:t>centrifuge,</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thermometer, disposable gloves, tissue </w:t>
      </w:r>
      <w:r>
        <w:rPr>
          <w:rFonts w:ascii="Times New Roman" w:hAnsi="Times New Roman" w:cs="Times New Roman"/>
          <w:sz w:val="24"/>
          <w:szCs w:val="24"/>
          <w:highlight w:val="yellow"/>
        </w:rPr>
        <w:t>paper,</w:t>
      </w:r>
      <w:r>
        <w:rPr>
          <w:rFonts w:ascii="Times New Roman" w:hAnsi="Times New Roman" w:cs="Times New Roman"/>
          <w:sz w:val="24"/>
          <w:szCs w:val="24"/>
        </w:rPr>
        <w:t xml:space="preserve"> </w:t>
      </w:r>
      <w:r>
        <w:rPr>
          <w:rFonts w:ascii="Times New Roman" w:hAnsi="Times New Roman" w:cs="Times New Roman"/>
          <w:sz w:val="24"/>
          <w:szCs w:val="24"/>
          <w:highlight w:val="yellow"/>
        </w:rPr>
        <w:t>micropipettes,</w:t>
      </w:r>
      <w:r>
        <w:rPr>
          <w:rFonts w:ascii="Times New Roman" w:hAnsi="Times New Roman" w:cs="Times New Roman"/>
          <w:sz w:val="24"/>
          <w:szCs w:val="24"/>
        </w:rPr>
        <w:t xml:space="preserve"> washing brushes, detergents, separating funnels, </w:t>
      </w:r>
      <w:r>
        <w:rPr>
          <w:rFonts w:ascii="Times New Roman" w:hAnsi="Times New Roman" w:cs="Times New Roman"/>
          <w:sz w:val="24"/>
          <w:szCs w:val="24"/>
          <w:highlight w:val="yellow"/>
        </w:rPr>
        <w:t xml:space="preserve">a </w:t>
      </w:r>
      <w:r>
        <w:rPr>
          <w:rFonts w:ascii="Times New Roman" w:hAnsi="Times New Roman" w:cs="Times New Roman"/>
          <w:sz w:val="24"/>
          <w:szCs w:val="24"/>
        </w:rPr>
        <w:t>refrigerator,</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spectrophotometer, dissecting sets,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mortar and pestle,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stopwatch and </w:t>
      </w:r>
      <w:r>
        <w:rPr>
          <w:rFonts w:ascii="Times New Roman" w:hAnsi="Times New Roman" w:cs="Times New Roman"/>
          <w:sz w:val="24"/>
          <w:szCs w:val="24"/>
          <w:highlight w:val="yellow"/>
        </w:rPr>
        <w:t>test-tube</w:t>
      </w:r>
      <w:r>
        <w:rPr>
          <w:rFonts w:ascii="Times New Roman" w:hAnsi="Times New Roman" w:cs="Times New Roman"/>
          <w:sz w:val="24"/>
          <w:szCs w:val="24"/>
        </w:rPr>
        <w:t xml:space="preserve"> racks.</w:t>
      </w:r>
    </w:p>
    <w:p w14:paraId="7DAE377A" w14:textId="77777777"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Reagents</w:t>
      </w:r>
    </w:p>
    <w:p w14:paraId="1F934865" w14:textId="77777777" w:rsidR="00754C0D" w:rsidRPr="00300D2C" w:rsidRDefault="00C20256"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 of the reagents used </w:t>
      </w:r>
      <w:r>
        <w:rPr>
          <w:rFonts w:ascii="Times New Roman" w:hAnsi="Times New Roman" w:cs="Times New Roman"/>
          <w:sz w:val="24"/>
          <w:szCs w:val="24"/>
          <w:highlight w:val="yellow"/>
        </w:rPr>
        <w:t>in</w:t>
      </w:r>
      <w:r>
        <w:rPr>
          <w:rFonts w:ascii="Times New Roman" w:hAnsi="Times New Roman" w:cs="Times New Roman"/>
          <w:sz w:val="24"/>
          <w:szCs w:val="24"/>
        </w:rPr>
        <w:t xml:space="preserve"> this study </w:t>
      </w:r>
      <w:r>
        <w:rPr>
          <w:rFonts w:ascii="Times New Roman" w:hAnsi="Times New Roman" w:cs="Times New Roman"/>
          <w:sz w:val="24"/>
          <w:szCs w:val="24"/>
          <w:highlight w:val="yellow"/>
        </w:rPr>
        <w:t>included:</w:t>
      </w:r>
      <w:r>
        <w:rPr>
          <w:rFonts w:ascii="Times New Roman" w:hAnsi="Times New Roman" w:cs="Times New Roman"/>
          <w:sz w:val="24"/>
          <w:szCs w:val="24"/>
        </w:rPr>
        <w:t xml:space="preserve"> Trisbuffer, Phosphate buffer, Carbonate buffer, Sodium azide, Hydrogen peroxide, Potassium chloride, sodium hydroxide, adrenaline, Trichloroacetic acid (TCA), Trishydrochloric acid, Ellman’s reagent (5,5-thiobis-2-nitrobenzoic acid, DTNB), thiobarbituric acid (TBA), Tris(hydroxylmethyl)aminomethane, Triton </w:t>
      </w:r>
      <w:r>
        <w:rPr>
          <w:rFonts w:ascii="Times New Roman" w:hAnsi="Times New Roman" w:cs="Times New Roman"/>
          <w:sz w:val="24"/>
          <w:szCs w:val="24"/>
          <w:highlight w:val="yellow"/>
        </w:rPr>
        <w:t>X-100,</w:t>
      </w:r>
      <w:r>
        <w:rPr>
          <w:rFonts w:ascii="Times New Roman" w:hAnsi="Times New Roman" w:cs="Times New Roman"/>
          <w:sz w:val="24"/>
          <w:szCs w:val="24"/>
        </w:rPr>
        <w:t xml:space="preserve"> distilled water, chloroform, ethyl-acetate, washing buffer and homogenizing buffer. Tamoxifen, a product of Khandelwal </w:t>
      </w:r>
      <w:r>
        <w:rPr>
          <w:rFonts w:ascii="Times New Roman" w:hAnsi="Times New Roman" w:cs="Times New Roman"/>
          <w:sz w:val="24"/>
          <w:szCs w:val="24"/>
          <w:highlight w:val="yellow"/>
        </w:rPr>
        <w:t>Laboratories</w:t>
      </w:r>
      <w:r>
        <w:rPr>
          <w:rFonts w:ascii="Times New Roman" w:hAnsi="Times New Roman" w:cs="Times New Roman"/>
          <w:sz w:val="24"/>
          <w:szCs w:val="24"/>
        </w:rPr>
        <w:t xml:space="preserve"> </w:t>
      </w:r>
      <w:r>
        <w:rPr>
          <w:rFonts w:ascii="Times New Roman" w:hAnsi="Times New Roman" w:cs="Times New Roman"/>
          <w:sz w:val="24"/>
          <w:szCs w:val="24"/>
          <w:highlight w:val="yellow"/>
        </w:rPr>
        <w:t>Pvt.</w:t>
      </w:r>
      <w:r>
        <w:rPr>
          <w:rFonts w:ascii="Times New Roman" w:hAnsi="Times New Roman" w:cs="Times New Roman"/>
          <w:sz w:val="24"/>
          <w:szCs w:val="24"/>
        </w:rPr>
        <w:t xml:space="preserve"> </w:t>
      </w:r>
      <w:r>
        <w:rPr>
          <w:rFonts w:ascii="Times New Roman" w:hAnsi="Times New Roman" w:cs="Times New Roman"/>
          <w:sz w:val="24"/>
          <w:szCs w:val="24"/>
          <w:highlight w:val="yellow"/>
        </w:rPr>
        <w:t>Ltd.,</w:t>
      </w:r>
      <w:r>
        <w:rPr>
          <w:rFonts w:ascii="Times New Roman" w:hAnsi="Times New Roman" w:cs="Times New Roman"/>
          <w:sz w:val="24"/>
          <w:szCs w:val="24"/>
        </w:rPr>
        <w:t xml:space="preserve"> India,</w:t>
      </w:r>
      <w:r>
        <w:rPr>
          <w:rFonts w:ascii="Times New Roman" w:hAnsi="Times New Roman" w:cs="Times New Roman"/>
          <w:sz w:val="24"/>
          <w:szCs w:val="24"/>
          <w:highlight w:val="yellow"/>
        </w:rPr>
        <w:t xml:space="preserve"> was</w:t>
      </w:r>
      <w:r>
        <w:rPr>
          <w:rFonts w:ascii="Times New Roman" w:hAnsi="Times New Roman" w:cs="Times New Roman"/>
          <w:sz w:val="24"/>
          <w:szCs w:val="24"/>
        </w:rPr>
        <w:t xml:space="preserve"> obtained from Bowen University Teaching Hospital </w:t>
      </w:r>
      <w:r>
        <w:rPr>
          <w:rFonts w:ascii="Times New Roman" w:hAnsi="Times New Roman" w:cs="Times New Roman"/>
          <w:sz w:val="24"/>
          <w:szCs w:val="24"/>
          <w:highlight w:val="yellow"/>
        </w:rPr>
        <w:t>Pharmacy,</w:t>
      </w:r>
      <w:r>
        <w:rPr>
          <w:rFonts w:ascii="Times New Roman" w:hAnsi="Times New Roman" w:cs="Times New Roman"/>
          <w:sz w:val="24"/>
          <w:szCs w:val="24"/>
        </w:rPr>
        <w:t xml:space="preserve"> Ogbomoso, Oyo </w:t>
      </w:r>
      <w:r>
        <w:rPr>
          <w:rFonts w:ascii="Times New Roman" w:hAnsi="Times New Roman" w:cs="Times New Roman"/>
          <w:sz w:val="24"/>
          <w:szCs w:val="24"/>
          <w:highlight w:val="yellow"/>
        </w:rPr>
        <w:t>State,</w:t>
      </w:r>
      <w:r>
        <w:rPr>
          <w:rFonts w:ascii="Times New Roman" w:hAnsi="Times New Roman" w:cs="Times New Roman"/>
          <w:sz w:val="24"/>
          <w:szCs w:val="24"/>
        </w:rPr>
        <w:t xml:space="preserve"> Nigeria. Tocopherol, a product of Nigerian Airforce </w:t>
      </w:r>
      <w:r>
        <w:rPr>
          <w:rFonts w:ascii="Times New Roman" w:hAnsi="Times New Roman" w:cs="Times New Roman"/>
          <w:sz w:val="24"/>
          <w:szCs w:val="24"/>
          <w:highlight w:val="yellow"/>
        </w:rPr>
        <w:t>Manufacturing</w:t>
      </w:r>
      <w:r>
        <w:rPr>
          <w:rFonts w:ascii="Times New Roman" w:hAnsi="Times New Roman" w:cs="Times New Roman"/>
          <w:sz w:val="24"/>
          <w:szCs w:val="24"/>
        </w:rPr>
        <w:t xml:space="preserve"> Unit </w:t>
      </w:r>
      <w:r>
        <w:rPr>
          <w:rFonts w:ascii="Times New Roman" w:hAnsi="Times New Roman" w:cs="Times New Roman"/>
          <w:sz w:val="24"/>
          <w:szCs w:val="24"/>
          <w:highlight w:val="yellow"/>
        </w:rPr>
        <w:t>Ltd.,</w:t>
      </w:r>
      <w:r>
        <w:rPr>
          <w:rFonts w:ascii="Times New Roman" w:hAnsi="Times New Roman" w:cs="Times New Roman"/>
          <w:sz w:val="24"/>
          <w:szCs w:val="24"/>
        </w:rPr>
        <w:t xml:space="preserve"> Airforce Base Ikeja, Lagos,</w:t>
      </w:r>
      <w:r>
        <w:rPr>
          <w:rFonts w:ascii="Times New Roman" w:hAnsi="Times New Roman" w:cs="Times New Roman"/>
          <w:sz w:val="24"/>
          <w:szCs w:val="24"/>
          <w:highlight w:val="yellow"/>
        </w:rPr>
        <w:t xml:space="preserve"> was</w:t>
      </w:r>
      <w:r>
        <w:rPr>
          <w:rFonts w:ascii="Times New Roman" w:hAnsi="Times New Roman" w:cs="Times New Roman"/>
          <w:sz w:val="24"/>
          <w:szCs w:val="24"/>
        </w:rPr>
        <w:t xml:space="preserve"> obtained from Savidep Medical and Scientific Laboratory, Osogbo, Osun </w:t>
      </w:r>
      <w:r>
        <w:rPr>
          <w:rFonts w:ascii="Times New Roman" w:hAnsi="Times New Roman" w:cs="Times New Roman"/>
          <w:sz w:val="24"/>
          <w:szCs w:val="24"/>
          <w:highlight w:val="yellow"/>
        </w:rPr>
        <w:t>State.</w:t>
      </w:r>
      <w:r>
        <w:rPr>
          <w:rFonts w:ascii="Times New Roman" w:hAnsi="Times New Roman" w:cs="Times New Roman"/>
          <w:sz w:val="24"/>
          <w:szCs w:val="24"/>
        </w:rPr>
        <w:t xml:space="preserve"> All reagents used were of high analytical grade</w:t>
      </w:r>
      <w:r>
        <w:rPr>
          <w:rFonts w:ascii="Times New Roman" w:hAnsi="Times New Roman" w:cs="Times New Roman"/>
          <w:sz w:val="24"/>
          <w:szCs w:val="24"/>
          <w:highlight w:val="yellow"/>
        </w:rPr>
        <w:t xml:space="preserve"> and were</w:t>
      </w:r>
      <w:r>
        <w:rPr>
          <w:rFonts w:ascii="Times New Roman" w:hAnsi="Times New Roman" w:cs="Times New Roman"/>
          <w:sz w:val="24"/>
          <w:szCs w:val="24"/>
        </w:rPr>
        <w:t xml:space="preserve"> mostly obtained from </w:t>
      </w:r>
      <w:r>
        <w:rPr>
          <w:rFonts w:ascii="Times New Roman" w:hAnsi="Times New Roman" w:cs="Times New Roman"/>
          <w:sz w:val="24"/>
          <w:szCs w:val="24"/>
          <w:highlight w:val="yellow"/>
        </w:rPr>
        <w:t>Sigma,</w:t>
      </w:r>
      <w:r>
        <w:rPr>
          <w:rFonts w:ascii="Times New Roman" w:hAnsi="Times New Roman" w:cs="Times New Roman"/>
          <w:sz w:val="24"/>
          <w:szCs w:val="24"/>
        </w:rPr>
        <w:t xml:space="preserve"> USA.</w:t>
      </w:r>
    </w:p>
    <w:p w14:paraId="704D14F1" w14:textId="77777777"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Plant Material and Preparation of</w:t>
      </w:r>
      <w:r w:rsidR="00D00EE2" w:rsidRPr="00300D2C">
        <w:rPr>
          <w:rFonts w:ascii="Times New Roman" w:hAnsi="Times New Roman" w:cs="Times New Roman"/>
          <w:b/>
          <w:bCs/>
          <w:sz w:val="24"/>
          <w:szCs w:val="24"/>
        </w:rPr>
        <w:t xml:space="preserve"> ethyl acetate </w:t>
      </w:r>
      <w:r w:rsidRPr="00300D2C">
        <w:rPr>
          <w:rFonts w:ascii="Times New Roman" w:hAnsi="Times New Roman" w:cs="Times New Roman"/>
          <w:b/>
          <w:bCs/>
          <w:sz w:val="24"/>
          <w:szCs w:val="24"/>
        </w:rPr>
        <w:t xml:space="preserve">Extract </w:t>
      </w:r>
    </w:p>
    <w:p w14:paraId="582961FA" w14:textId="77777777" w:rsidR="00F109AC" w:rsidRPr="00300D2C" w:rsidRDefault="00F109AC" w:rsidP="00300D2C">
      <w:pPr>
        <w:spacing w:line="360" w:lineRule="auto"/>
        <w:jc w:val="both"/>
        <w:rPr>
          <w:rFonts w:ascii="Times New Roman" w:hAnsi="Times New Roman" w:cs="Times New Roman"/>
          <w:sz w:val="24"/>
          <w:szCs w:val="24"/>
        </w:rPr>
      </w:pPr>
      <w:r>
        <w:rPr>
          <w:rFonts w:ascii="Times New Roman" w:hAnsi="Times New Roman" w:cs="Times New Roman"/>
          <w:i/>
          <w:iCs/>
          <w:sz w:val="24"/>
          <w:szCs w:val="24"/>
        </w:rPr>
        <w:t>Embelia ribes</w:t>
      </w:r>
      <w:r>
        <w:rPr>
          <w:rFonts w:ascii="Times New Roman" w:hAnsi="Times New Roman" w:cs="Times New Roman"/>
          <w:sz w:val="24"/>
          <w:szCs w:val="24"/>
        </w:rPr>
        <w:t xml:space="preserve"> seed was obtained </w:t>
      </w:r>
      <w:r>
        <w:rPr>
          <w:rFonts w:ascii="Times New Roman" w:hAnsi="Times New Roman" w:cs="Times New Roman"/>
          <w:sz w:val="24"/>
          <w:szCs w:val="24"/>
          <w:highlight w:val="yellow"/>
        </w:rPr>
        <w:t>from</w:t>
      </w:r>
      <w:r>
        <w:rPr>
          <w:rFonts w:ascii="Times New Roman" w:hAnsi="Times New Roman" w:cs="Times New Roman"/>
          <w:sz w:val="24"/>
          <w:szCs w:val="24"/>
        </w:rPr>
        <w:t xml:space="preserve"> </w:t>
      </w:r>
      <w:r>
        <w:rPr>
          <w:rFonts w:ascii="Times New Roman" w:hAnsi="Times New Roman" w:cs="Times New Roman"/>
          <w:sz w:val="24"/>
          <w:szCs w:val="24"/>
          <w:highlight w:val="yellow"/>
        </w:rPr>
        <w:t>Oja-Igbo</w:t>
      </w:r>
      <w:r>
        <w:rPr>
          <w:rFonts w:ascii="Times New Roman" w:hAnsi="Times New Roman" w:cs="Times New Roman"/>
          <w:sz w:val="24"/>
          <w:szCs w:val="24"/>
        </w:rPr>
        <w:t xml:space="preserve"> </w:t>
      </w:r>
      <w:r>
        <w:rPr>
          <w:rFonts w:ascii="Times New Roman" w:hAnsi="Times New Roman" w:cs="Times New Roman"/>
          <w:sz w:val="24"/>
          <w:szCs w:val="24"/>
          <w:highlight w:val="yellow"/>
        </w:rPr>
        <w:t>Local</w:t>
      </w:r>
      <w:r>
        <w:rPr>
          <w:rFonts w:ascii="Times New Roman" w:hAnsi="Times New Roman" w:cs="Times New Roman"/>
          <w:sz w:val="24"/>
          <w:szCs w:val="24"/>
        </w:rPr>
        <w:t xml:space="preserve"> </w:t>
      </w:r>
      <w:r>
        <w:rPr>
          <w:rFonts w:ascii="Times New Roman" w:hAnsi="Times New Roman" w:cs="Times New Roman"/>
          <w:sz w:val="24"/>
          <w:szCs w:val="24"/>
          <w:highlight w:val="yellow"/>
        </w:rPr>
        <w:t>Market,</w:t>
      </w:r>
      <w:r>
        <w:rPr>
          <w:rFonts w:ascii="Times New Roman" w:hAnsi="Times New Roman" w:cs="Times New Roman"/>
          <w:sz w:val="24"/>
          <w:szCs w:val="24"/>
        </w:rPr>
        <w:t xml:space="preserve"> Ogbomoso, Oyo </w:t>
      </w:r>
      <w:r>
        <w:rPr>
          <w:rFonts w:ascii="Times New Roman" w:hAnsi="Times New Roman" w:cs="Times New Roman"/>
          <w:sz w:val="24"/>
          <w:szCs w:val="24"/>
          <w:highlight w:val="yellow"/>
        </w:rPr>
        <w:t>State,</w:t>
      </w:r>
      <w:r>
        <w:rPr>
          <w:rFonts w:ascii="Times New Roman" w:hAnsi="Times New Roman" w:cs="Times New Roman"/>
          <w:sz w:val="24"/>
          <w:szCs w:val="24"/>
        </w:rPr>
        <w:t xml:space="preserve"> and identified at the Botany Unit of the Department of Pure and Applied Biology, Ladoke Akintola </w:t>
      </w:r>
      <w:r>
        <w:rPr>
          <w:rFonts w:ascii="Times New Roman" w:hAnsi="Times New Roman" w:cs="Times New Roman"/>
          <w:sz w:val="24"/>
          <w:szCs w:val="24"/>
        </w:rPr>
        <w:lastRenderedPageBreak/>
        <w:t xml:space="preserve">University of Technology, </w:t>
      </w:r>
      <w:r>
        <w:rPr>
          <w:rFonts w:ascii="Times New Roman" w:hAnsi="Times New Roman" w:cs="Times New Roman"/>
          <w:sz w:val="24"/>
          <w:szCs w:val="24"/>
          <w:highlight w:val="yellow"/>
        </w:rPr>
        <w:t>Ogbomoso,</w:t>
      </w:r>
      <w:r>
        <w:rPr>
          <w:rFonts w:ascii="Times New Roman" w:hAnsi="Times New Roman" w:cs="Times New Roman"/>
          <w:sz w:val="24"/>
          <w:szCs w:val="24"/>
        </w:rPr>
        <w:t xml:space="preserve"> with herbarium voucher number LHO 969 deposited. The seed was </w:t>
      </w:r>
      <w:r>
        <w:rPr>
          <w:rFonts w:ascii="Times New Roman" w:hAnsi="Times New Roman" w:cs="Times New Roman"/>
          <w:sz w:val="24"/>
          <w:szCs w:val="24"/>
          <w:highlight w:val="yellow"/>
        </w:rPr>
        <w:t>air-dried,</w:t>
      </w:r>
      <w:r>
        <w:rPr>
          <w:rFonts w:ascii="Times New Roman" w:hAnsi="Times New Roman" w:cs="Times New Roman"/>
          <w:sz w:val="24"/>
          <w:szCs w:val="24"/>
        </w:rPr>
        <w:t xml:space="preserve"> powdered and weighed. The powdered seeds (310g) were soaked in 3000ml ethyl acetate solution for 72 hours and filtered. The filtrate was concentrated to dryness between 30-35</w:t>
      </w:r>
      <w:r>
        <w:rPr>
          <w:rFonts w:ascii="Times New Roman" w:hAnsi="Times New Roman" w:cs="Times New Roman"/>
          <w:sz w:val="24"/>
          <w:szCs w:val="24"/>
          <w:vertAlign w:val="superscript"/>
        </w:rPr>
        <w:t>0</w:t>
      </w:r>
      <w:r>
        <w:rPr>
          <w:rFonts w:ascii="Times New Roman" w:hAnsi="Times New Roman" w:cs="Times New Roman"/>
          <w:sz w:val="24"/>
          <w:szCs w:val="24"/>
        </w:rPr>
        <w:t xml:space="preserve"> C to obtain dried ethyl acetate extract residue inside a 1000ml measuring beaker (Rafiu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sz w:val="24"/>
          <w:szCs w:val="24"/>
        </w:rPr>
        <w:t xml:space="preserve"> 2019).</w:t>
      </w:r>
    </w:p>
    <w:p w14:paraId="46A09A8C" w14:textId="77777777" w:rsidR="00FE592E" w:rsidRPr="00300D2C" w:rsidRDefault="00FE592E" w:rsidP="00300D2C">
      <w:pPr>
        <w:spacing w:line="360" w:lineRule="auto"/>
        <w:jc w:val="both"/>
        <w:rPr>
          <w:rFonts w:ascii="Times New Roman" w:hAnsi="Times New Roman" w:cs="Times New Roman"/>
          <w:sz w:val="24"/>
          <w:szCs w:val="24"/>
          <w:vertAlign w:val="superscript"/>
        </w:rPr>
      </w:pPr>
    </w:p>
    <w:p w14:paraId="1A55C7D3" w14:textId="77777777" w:rsidR="00754C0D"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Experimental Animals and Group</w:t>
      </w:r>
      <w:r w:rsidR="00D432F8" w:rsidRPr="00300D2C">
        <w:rPr>
          <w:rFonts w:ascii="Times New Roman" w:hAnsi="Times New Roman" w:cs="Times New Roman"/>
          <w:b/>
          <w:bCs/>
          <w:sz w:val="24"/>
          <w:szCs w:val="24"/>
        </w:rPr>
        <w:t>ing</w:t>
      </w:r>
      <w:r w:rsidR="00CF1B2D" w:rsidRPr="00300D2C">
        <w:rPr>
          <w:rFonts w:ascii="Times New Roman" w:hAnsi="Times New Roman" w:cs="Times New Roman"/>
          <w:b/>
          <w:bCs/>
          <w:sz w:val="24"/>
          <w:szCs w:val="24"/>
        </w:rPr>
        <w:t>s</w:t>
      </w:r>
    </w:p>
    <w:p w14:paraId="67DFB0C2" w14:textId="45FF76BB" w:rsidR="00211D4E" w:rsidRPr="00300D2C" w:rsidRDefault="0083564A" w:rsidP="00300D2C">
      <w:pPr>
        <w:spacing w:line="360" w:lineRule="auto"/>
        <w:jc w:val="both"/>
        <w:rPr>
          <w:rFonts w:ascii="Times New Roman" w:hAnsi="Times New Roman" w:cs="Times New Roman"/>
          <w:sz w:val="24"/>
          <w:szCs w:val="24"/>
        </w:rPr>
      </w:pPr>
      <w:r w:rsidRPr="0083564A">
        <w:rPr>
          <w:rFonts w:ascii="Times New Roman" w:hAnsi="Times New Roman" w:cs="Times New Roman"/>
          <w:sz w:val="24"/>
          <w:szCs w:val="24"/>
        </w:rPr>
        <w:t>Female Wistar rats used in this study were obtained from the Animal House of Ladoke Akintola University of Technology, Ogbomoso, Oyo State, Nigeria. The animals were handled and treated in accordance with the institutional guidelines for the ethical care and use of experimental animals, which were consistent with internationally accepted standards. Prior to the commencement of the experimental procedures, the rats were acclimatised to the laboratory environment for two weeks. During the acclimatisation period, the animals had unrestricted access to standard laboratory pellet feed and water ad libitum, and their body weights were monitored throughout the period.</w:t>
      </w:r>
      <w:r>
        <w:rPr>
          <w:rFonts w:ascii="Times New Roman" w:hAnsi="Times New Roman" w:cs="Times New Roman"/>
          <w:sz w:val="24"/>
          <w:szCs w:val="24"/>
        </w:rPr>
        <w:t xml:space="preserve"> </w:t>
      </w:r>
      <w:r w:rsidR="00D432F8">
        <w:rPr>
          <w:rFonts w:ascii="Times New Roman" w:hAnsi="Times New Roman" w:cs="Times New Roman"/>
          <w:sz w:val="24"/>
          <w:szCs w:val="24"/>
        </w:rPr>
        <w:t xml:space="preserve">The animals were randomly selected into eight </w:t>
      </w:r>
      <w:r w:rsidR="00D432F8">
        <w:rPr>
          <w:rFonts w:ascii="Times New Roman" w:hAnsi="Times New Roman" w:cs="Times New Roman"/>
          <w:sz w:val="24"/>
          <w:szCs w:val="24"/>
          <w:highlight w:val="yellow"/>
        </w:rPr>
        <w:t>groups,</w:t>
      </w:r>
      <w:r w:rsidR="00D432F8">
        <w:rPr>
          <w:rFonts w:ascii="Times New Roman" w:hAnsi="Times New Roman" w:cs="Times New Roman"/>
          <w:sz w:val="24"/>
          <w:szCs w:val="24"/>
        </w:rPr>
        <w:t xml:space="preserve"> A-H, with seven animals in each </w:t>
      </w:r>
      <w:r w:rsidR="00D432F8">
        <w:rPr>
          <w:rFonts w:ascii="Times New Roman" w:hAnsi="Times New Roman" w:cs="Times New Roman"/>
          <w:sz w:val="24"/>
          <w:szCs w:val="24"/>
          <w:highlight w:val="yellow"/>
        </w:rPr>
        <w:t>group,</w:t>
      </w:r>
      <w:r w:rsidR="00D432F8">
        <w:rPr>
          <w:rFonts w:ascii="Times New Roman" w:hAnsi="Times New Roman" w:cs="Times New Roman"/>
          <w:sz w:val="24"/>
          <w:szCs w:val="24"/>
        </w:rPr>
        <w:t xml:space="preserve"> and treated as shown below.</w:t>
      </w:r>
    </w:p>
    <w:p w14:paraId="0B8CEAC8"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A: Control (treated with normal saline)</w:t>
      </w:r>
    </w:p>
    <w:p w14:paraId="3817A823"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B: Tamoxifen only (2.5 mg/kg body weight) made into 0.1 mL of normal saline and administered orally, daily by intubation for 60 days.</w:t>
      </w:r>
    </w:p>
    <w:p w14:paraId="7E9A2A5E" w14:textId="77777777" w:rsidR="00A425F2" w:rsidRPr="00300D2C" w:rsidRDefault="00A425F2"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Group C: Extract (100 mg/kg body weight) made into 0.1 mL of corn oil and treated with Tamoxifen (2.5 mg/kg body weight) made into </w:t>
      </w:r>
      <w:r>
        <w:rPr>
          <w:rFonts w:ascii="Times New Roman" w:hAnsi="Times New Roman" w:cs="Times New Roman"/>
          <w:sz w:val="24"/>
          <w:szCs w:val="24"/>
          <w:highlight w:val="yellow"/>
        </w:rPr>
        <w:t>0.1 mL</w:t>
      </w:r>
      <w:r>
        <w:rPr>
          <w:rFonts w:ascii="Times New Roman" w:hAnsi="Times New Roman" w:cs="Times New Roman"/>
          <w:sz w:val="24"/>
          <w:szCs w:val="24"/>
        </w:rPr>
        <w:t xml:space="preserve"> of normal saline orally, daily by intubation for </w:t>
      </w:r>
      <w:r>
        <w:rPr>
          <w:rFonts w:ascii="Times New Roman" w:hAnsi="Times New Roman" w:cs="Times New Roman"/>
          <w:sz w:val="24"/>
          <w:szCs w:val="24"/>
          <w:highlight w:val="yellow"/>
        </w:rPr>
        <w:t>60 days.</w:t>
      </w:r>
    </w:p>
    <w:p w14:paraId="7B584850" w14:textId="77777777" w:rsidR="00A425F2" w:rsidRPr="00300D2C" w:rsidRDefault="00A425F2"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Group D: Vitamin E (100 mg/kg body weight) made into </w:t>
      </w:r>
      <w:r>
        <w:rPr>
          <w:rFonts w:ascii="Times New Roman" w:hAnsi="Times New Roman" w:cs="Times New Roman"/>
          <w:sz w:val="24"/>
          <w:szCs w:val="24"/>
          <w:highlight w:val="yellow"/>
        </w:rPr>
        <w:t>0.1</w:t>
      </w:r>
      <w:r>
        <w:rPr>
          <w:rFonts w:ascii="Times New Roman" w:hAnsi="Times New Roman" w:cs="Times New Roman"/>
          <w:sz w:val="24"/>
          <w:szCs w:val="24"/>
        </w:rPr>
        <w:t xml:space="preserve"> </w:t>
      </w:r>
      <w:r>
        <w:rPr>
          <w:rFonts w:ascii="Times New Roman" w:hAnsi="Times New Roman" w:cs="Times New Roman"/>
          <w:sz w:val="24"/>
          <w:szCs w:val="24"/>
          <w:highlight w:val="yellow"/>
        </w:rPr>
        <w:t>mL of</w:t>
      </w:r>
      <w:r>
        <w:rPr>
          <w:rFonts w:ascii="Times New Roman" w:hAnsi="Times New Roman" w:cs="Times New Roman"/>
          <w:sz w:val="24"/>
          <w:szCs w:val="24"/>
        </w:rPr>
        <w:t xml:space="preserve"> corn oil with Tamoxifen (2.5 mg/kg body weight) made into </w:t>
      </w:r>
      <w:r>
        <w:rPr>
          <w:rFonts w:ascii="Times New Roman" w:hAnsi="Times New Roman" w:cs="Times New Roman"/>
          <w:sz w:val="24"/>
          <w:szCs w:val="24"/>
          <w:highlight w:val="yellow"/>
        </w:rPr>
        <w:t>0.1 mL</w:t>
      </w:r>
      <w:r>
        <w:rPr>
          <w:rFonts w:ascii="Times New Roman" w:hAnsi="Times New Roman" w:cs="Times New Roman"/>
          <w:sz w:val="24"/>
          <w:szCs w:val="24"/>
        </w:rPr>
        <w:t xml:space="preserve"> of normal </w:t>
      </w:r>
      <w:r>
        <w:rPr>
          <w:rFonts w:ascii="Times New Roman" w:hAnsi="Times New Roman" w:cs="Times New Roman"/>
          <w:sz w:val="24"/>
          <w:szCs w:val="24"/>
          <w:highlight w:val="yellow"/>
        </w:rPr>
        <w:t>saline,</w:t>
      </w:r>
      <w:r>
        <w:rPr>
          <w:rFonts w:ascii="Times New Roman" w:hAnsi="Times New Roman" w:cs="Times New Roman"/>
          <w:sz w:val="24"/>
          <w:szCs w:val="24"/>
        </w:rPr>
        <w:t xml:space="preserve"> all administered orally, daily by intubation for 60 days.</w:t>
      </w:r>
    </w:p>
    <w:p w14:paraId="04DB221F" w14:textId="77777777" w:rsidR="00A425F2" w:rsidRPr="00300D2C" w:rsidRDefault="00A425F2"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Group E: Extract (100 mg/kg body weight), Vitamin E (100 mg/kg body weight) and Tamoxifen (2.5 mg/kg body weight) were </w:t>
      </w:r>
      <w:r>
        <w:rPr>
          <w:rFonts w:ascii="Times New Roman" w:hAnsi="Times New Roman" w:cs="Times New Roman"/>
          <w:sz w:val="24"/>
          <w:szCs w:val="24"/>
          <w:highlight w:val="yellow"/>
        </w:rPr>
        <w:t>administered</w:t>
      </w:r>
      <w:r>
        <w:rPr>
          <w:rFonts w:ascii="Times New Roman" w:hAnsi="Times New Roman" w:cs="Times New Roman"/>
          <w:sz w:val="24"/>
          <w:szCs w:val="24"/>
        </w:rPr>
        <w:t xml:space="preserve"> orally, daily by intubation for 60 days.</w:t>
      </w:r>
    </w:p>
    <w:p w14:paraId="65B8B8E1"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lastRenderedPageBreak/>
        <w:t>Group F: Extract only (100 mg/kg body weight) administered orally, daily by intubation for 60 days.</w:t>
      </w:r>
    </w:p>
    <w:p w14:paraId="7A9983B9"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G: Vitamin E only (100 mg/kg body weight) administered orally, daily by intubation for 60 days.</w:t>
      </w:r>
    </w:p>
    <w:p w14:paraId="6E5F574D" w14:textId="77777777" w:rsidR="007A25C3" w:rsidRPr="00300D2C" w:rsidRDefault="00A425F2" w:rsidP="00300D2C">
      <w:pPr>
        <w:spacing w:line="360" w:lineRule="auto"/>
        <w:jc w:val="both"/>
        <w:rPr>
          <w:rFonts w:ascii="Times New Roman" w:hAnsi="Times New Roman" w:cs="Times New Roman"/>
          <w:bCs/>
          <w:sz w:val="24"/>
          <w:szCs w:val="24"/>
        </w:rPr>
      </w:pPr>
      <w:r w:rsidRPr="00300D2C">
        <w:rPr>
          <w:rFonts w:ascii="Times New Roman" w:hAnsi="Times New Roman" w:cs="Times New Roman"/>
          <w:sz w:val="24"/>
          <w:szCs w:val="24"/>
        </w:rPr>
        <w:t>Group H: Extract (100 mg/kg body weight) and Vitamin E (100 mg/kg body weight) were administered orally, daily by intubation for 60 days.</w:t>
      </w:r>
      <w:r w:rsidR="00970159" w:rsidRPr="00300D2C">
        <w:rPr>
          <w:rFonts w:ascii="Times New Roman" w:hAnsi="Times New Roman" w:cs="Times New Roman"/>
          <w:sz w:val="24"/>
          <w:szCs w:val="24"/>
        </w:rPr>
        <w:t xml:space="preserve"> All the procedures involving the use of laboratory animals were in accordance to the </w:t>
      </w:r>
      <w:r w:rsidR="00E72517" w:rsidRPr="00300D2C">
        <w:rPr>
          <w:rFonts w:ascii="Times New Roman" w:hAnsi="Times New Roman" w:cs="Times New Roman"/>
          <w:sz w:val="24"/>
          <w:szCs w:val="24"/>
        </w:rPr>
        <w:t>Institute Animal Ethics Committee regulation approved by the committee for the purpose of control and supervision of Experiments on Animals (CPCSEA) as made available in our laboratory.</w:t>
      </w:r>
    </w:p>
    <w:p w14:paraId="5AA511FE" w14:textId="77777777" w:rsidR="0066639E" w:rsidRPr="00300D2C" w:rsidRDefault="00B217A4"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 xml:space="preserve">Animal sacrifice, blood collection and preparation </w:t>
      </w:r>
      <w:r w:rsidR="00491EEC" w:rsidRPr="00300D2C">
        <w:rPr>
          <w:rFonts w:ascii="Times New Roman" w:hAnsi="Times New Roman" w:cs="Times New Roman"/>
          <w:b/>
          <w:bCs/>
          <w:sz w:val="24"/>
          <w:szCs w:val="24"/>
        </w:rPr>
        <w:t xml:space="preserve">of </w:t>
      </w:r>
      <w:r w:rsidRPr="00300D2C">
        <w:rPr>
          <w:rFonts w:ascii="Times New Roman" w:hAnsi="Times New Roman" w:cs="Times New Roman"/>
          <w:b/>
          <w:bCs/>
          <w:sz w:val="24"/>
          <w:szCs w:val="24"/>
        </w:rPr>
        <w:t>breast homogenates</w:t>
      </w:r>
    </w:p>
    <w:p w14:paraId="09B02235" w14:textId="77777777" w:rsidR="00491EEC" w:rsidRPr="00300D2C" w:rsidRDefault="0066639E"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animals were fasted for 24 hours and sacrificed under light </w:t>
      </w:r>
      <w:r>
        <w:rPr>
          <w:rFonts w:ascii="Times New Roman" w:hAnsi="Times New Roman" w:cs="Times New Roman"/>
          <w:sz w:val="24"/>
          <w:szCs w:val="24"/>
          <w:highlight w:val="yellow"/>
        </w:rPr>
        <w:t>anaesthesia</w:t>
      </w:r>
      <w:r>
        <w:rPr>
          <w:rFonts w:ascii="Times New Roman" w:hAnsi="Times New Roman" w:cs="Times New Roman"/>
          <w:sz w:val="24"/>
          <w:szCs w:val="24"/>
        </w:rPr>
        <w:t xml:space="preserve"> using chloroform. Blood was obtained through cardiac puncture from the jugular vein using a 5 </w:t>
      </w:r>
      <w:r>
        <w:rPr>
          <w:rFonts w:ascii="Times New Roman" w:hAnsi="Times New Roman" w:cs="Times New Roman"/>
          <w:sz w:val="24"/>
          <w:szCs w:val="24"/>
          <w:highlight w:val="yellow"/>
        </w:rPr>
        <w:t>mL</w:t>
      </w:r>
      <w:r>
        <w:rPr>
          <w:rFonts w:ascii="Times New Roman" w:hAnsi="Times New Roman" w:cs="Times New Roman"/>
          <w:sz w:val="24"/>
          <w:szCs w:val="24"/>
        </w:rPr>
        <w:t xml:space="preserve"> syringe and needle. The obtained blood was transferred into an EDTA sample bottle for analysis of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w:t>
      </w:r>
      <w:r>
        <w:rPr>
          <w:rFonts w:ascii="Times New Roman" w:hAnsi="Times New Roman" w:cs="Times New Roman"/>
          <w:sz w:val="24"/>
          <w:szCs w:val="24"/>
          <w:highlight w:val="yellow"/>
        </w:rPr>
        <w:t>indices,</w:t>
      </w:r>
      <w:r>
        <w:rPr>
          <w:rFonts w:ascii="Times New Roman" w:hAnsi="Times New Roman" w:cs="Times New Roman"/>
          <w:sz w:val="24"/>
          <w:szCs w:val="24"/>
        </w:rPr>
        <w:t xml:space="preserve"> while blood serum was obtained from centrifuged blood in plain bottles </w:t>
      </w:r>
      <w:r>
        <w:rPr>
          <w:rFonts w:ascii="Times New Roman" w:hAnsi="Times New Roman" w:cs="Times New Roman"/>
          <w:sz w:val="24"/>
          <w:szCs w:val="24"/>
          <w:highlight w:val="yellow"/>
        </w:rPr>
        <w:t>spun</w:t>
      </w:r>
      <w:r>
        <w:rPr>
          <w:rFonts w:ascii="Times New Roman" w:hAnsi="Times New Roman" w:cs="Times New Roman"/>
          <w:sz w:val="24"/>
          <w:szCs w:val="24"/>
        </w:rPr>
        <w:t xml:space="preserve"> at </w:t>
      </w:r>
      <w:r>
        <w:rPr>
          <w:rFonts w:ascii="Times New Roman" w:hAnsi="Times New Roman" w:cs="Times New Roman"/>
          <w:sz w:val="24"/>
          <w:szCs w:val="24"/>
          <w:highlight w:val="yellow"/>
        </w:rPr>
        <w:t>4000 rpm</w:t>
      </w:r>
      <w:r>
        <w:rPr>
          <w:rFonts w:ascii="Times New Roman" w:hAnsi="Times New Roman" w:cs="Times New Roman"/>
          <w:sz w:val="24"/>
          <w:szCs w:val="24"/>
        </w:rPr>
        <w:t xml:space="preserve"> for 10 minutes.</w:t>
      </w:r>
    </w:p>
    <w:p w14:paraId="451CF211" w14:textId="77777777" w:rsidR="00491EEC" w:rsidRPr="00300D2C" w:rsidRDefault="0066639E"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animals were carefully opened using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dissecting </w:t>
      </w:r>
      <w:r>
        <w:rPr>
          <w:rFonts w:ascii="Times New Roman" w:hAnsi="Times New Roman" w:cs="Times New Roman"/>
          <w:sz w:val="24"/>
          <w:szCs w:val="24"/>
          <w:highlight w:val="yellow"/>
        </w:rPr>
        <w:t>set,</w:t>
      </w:r>
      <w:r>
        <w:rPr>
          <w:rFonts w:ascii="Times New Roman" w:hAnsi="Times New Roman" w:cs="Times New Roman"/>
          <w:sz w:val="24"/>
          <w:szCs w:val="24"/>
        </w:rPr>
        <w:t xml:space="preserve"> and tissue homogenates (breast) </w:t>
      </w:r>
      <w:r>
        <w:rPr>
          <w:rFonts w:ascii="Times New Roman" w:hAnsi="Times New Roman" w:cs="Times New Roman"/>
          <w:sz w:val="24"/>
          <w:szCs w:val="24"/>
          <w:highlight w:val="yellow"/>
        </w:rPr>
        <w:t>were</w:t>
      </w:r>
      <w:r>
        <w:rPr>
          <w:rFonts w:ascii="Times New Roman" w:hAnsi="Times New Roman" w:cs="Times New Roman"/>
          <w:sz w:val="24"/>
          <w:szCs w:val="24"/>
        </w:rPr>
        <w:t xml:space="preserve"> prepared </w:t>
      </w:r>
      <w:r>
        <w:rPr>
          <w:rFonts w:ascii="Times New Roman" w:hAnsi="Times New Roman" w:cs="Times New Roman"/>
          <w:sz w:val="24"/>
          <w:szCs w:val="24"/>
          <w:highlight w:val="yellow"/>
        </w:rPr>
        <w:t>after</w:t>
      </w:r>
      <w:r>
        <w:rPr>
          <w:rFonts w:ascii="Times New Roman" w:hAnsi="Times New Roman" w:cs="Times New Roman"/>
          <w:sz w:val="24"/>
          <w:szCs w:val="24"/>
        </w:rPr>
        <w:t xml:space="preserve"> </w:t>
      </w:r>
      <w:r>
        <w:rPr>
          <w:rFonts w:ascii="Times New Roman" w:hAnsi="Times New Roman" w:cs="Times New Roman"/>
          <w:sz w:val="24"/>
          <w:szCs w:val="24"/>
          <w:highlight w:val="yellow"/>
        </w:rPr>
        <w:t>the tissues</w:t>
      </w:r>
      <w:r>
        <w:rPr>
          <w:rFonts w:ascii="Times New Roman" w:hAnsi="Times New Roman" w:cs="Times New Roman"/>
          <w:sz w:val="24"/>
          <w:szCs w:val="24"/>
        </w:rPr>
        <w:t xml:space="preserve"> were excised and placed in a pre-weighed beaker containing </w:t>
      </w:r>
      <w:r>
        <w:rPr>
          <w:rFonts w:ascii="Times New Roman" w:hAnsi="Times New Roman" w:cs="Times New Roman"/>
          <w:sz w:val="24"/>
          <w:szCs w:val="24"/>
          <w:highlight w:val="yellow"/>
        </w:rPr>
        <w:t>5 mL</w:t>
      </w:r>
      <w:r>
        <w:rPr>
          <w:rFonts w:ascii="Times New Roman" w:hAnsi="Times New Roman" w:cs="Times New Roman"/>
          <w:sz w:val="24"/>
          <w:szCs w:val="24"/>
        </w:rPr>
        <w:t xml:space="preserve"> of washing buffer. The washed tissues were </w:t>
      </w:r>
      <w:r>
        <w:rPr>
          <w:rFonts w:ascii="Times New Roman" w:hAnsi="Times New Roman" w:cs="Times New Roman"/>
          <w:sz w:val="24"/>
          <w:szCs w:val="24"/>
          <w:highlight w:val="yellow"/>
        </w:rPr>
        <w:t>weighed,</w:t>
      </w:r>
      <w:r>
        <w:rPr>
          <w:rFonts w:ascii="Times New Roman" w:hAnsi="Times New Roman" w:cs="Times New Roman"/>
          <w:sz w:val="24"/>
          <w:szCs w:val="24"/>
        </w:rPr>
        <w:t xml:space="preserve"> while </w:t>
      </w:r>
      <w:r>
        <w:rPr>
          <w:rFonts w:ascii="Times New Roman" w:hAnsi="Times New Roman" w:cs="Times New Roman"/>
          <w:sz w:val="24"/>
          <w:szCs w:val="24"/>
          <w:highlight w:val="yellow"/>
        </w:rPr>
        <w:t>1 g</w:t>
      </w:r>
      <w:r>
        <w:rPr>
          <w:rFonts w:ascii="Times New Roman" w:hAnsi="Times New Roman" w:cs="Times New Roman"/>
          <w:sz w:val="24"/>
          <w:szCs w:val="24"/>
        </w:rPr>
        <w:t xml:space="preserve"> of the tissues was transferred to a beaker containing 4 </w:t>
      </w:r>
      <w:r>
        <w:rPr>
          <w:rFonts w:ascii="Times New Roman" w:hAnsi="Times New Roman" w:cs="Times New Roman"/>
          <w:sz w:val="24"/>
          <w:szCs w:val="24"/>
          <w:highlight w:val="yellow"/>
        </w:rPr>
        <w:t>mL</w:t>
      </w:r>
      <w:r>
        <w:rPr>
          <w:rFonts w:ascii="Times New Roman" w:hAnsi="Times New Roman" w:cs="Times New Roman"/>
          <w:sz w:val="24"/>
          <w:szCs w:val="24"/>
        </w:rPr>
        <w:t xml:space="preserve"> of homogenizing buffer and </w:t>
      </w:r>
      <w:r>
        <w:rPr>
          <w:rFonts w:ascii="Times New Roman" w:hAnsi="Times New Roman" w:cs="Times New Roman"/>
          <w:sz w:val="24"/>
          <w:szCs w:val="24"/>
          <w:highlight w:val="yellow"/>
        </w:rPr>
        <w:t>homogenised</w:t>
      </w:r>
      <w:r>
        <w:rPr>
          <w:rFonts w:ascii="Times New Roman" w:hAnsi="Times New Roman" w:cs="Times New Roman"/>
          <w:sz w:val="24"/>
          <w:szCs w:val="24"/>
        </w:rPr>
        <w:t xml:space="preserve"> to prepare the breast homogenates.</w:t>
      </w:r>
    </w:p>
    <w:p w14:paraId="027F5377" w14:textId="77777777" w:rsidR="00C33FC3" w:rsidRPr="00300D2C" w:rsidRDefault="006850C3"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Bio</w:t>
      </w:r>
      <w:r w:rsidR="00491EEC" w:rsidRPr="00300D2C">
        <w:rPr>
          <w:rFonts w:ascii="Times New Roman" w:hAnsi="Times New Roman" w:cs="Times New Roman"/>
          <w:b/>
          <w:bCs/>
          <w:sz w:val="24"/>
          <w:szCs w:val="24"/>
        </w:rPr>
        <w:t>chemical Parameters evaluated</w:t>
      </w:r>
    </w:p>
    <w:p w14:paraId="69B1B52C" w14:textId="77777777" w:rsidR="008E5890" w:rsidRPr="00300D2C" w:rsidRDefault="007C0707"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Serum and tissue total protein were determined by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Biuret method as described by </w:t>
      </w:r>
      <w:r>
        <w:rPr>
          <w:rFonts w:ascii="Times New Roman" w:hAnsi="Times New Roman" w:cs="Times New Roman"/>
          <w:sz w:val="24"/>
          <w:szCs w:val="24"/>
          <w:highlight w:val="yellow"/>
        </w:rPr>
        <w:t>Dominiczak</w:t>
      </w:r>
      <w:r>
        <w:rPr>
          <w:rFonts w:ascii="Times New Roman" w:hAnsi="Times New Roman" w:cs="Times New Roman"/>
          <w:sz w:val="24"/>
          <w:szCs w:val="24"/>
        </w:rPr>
        <w:t xml:space="preserve"> </w:t>
      </w:r>
      <w:r>
        <w:rPr>
          <w:rFonts w:ascii="Times New Roman" w:hAnsi="Times New Roman" w:cs="Times New Roman"/>
          <w:sz w:val="24"/>
          <w:szCs w:val="24"/>
          <w:highlight w:val="yellow"/>
        </w:rPr>
        <w:t>(1998).</w:t>
      </w:r>
      <w:r>
        <w:rPr>
          <w:rFonts w:ascii="Times New Roman" w:hAnsi="Times New Roman" w:cs="Times New Roman"/>
          <w:sz w:val="24"/>
          <w:szCs w:val="24"/>
        </w:rPr>
        <w:t xml:space="preserve">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indices were determined using standard </w:t>
      </w:r>
      <w:r>
        <w:rPr>
          <w:rFonts w:ascii="Times New Roman" w:hAnsi="Times New Roman" w:cs="Times New Roman"/>
          <w:sz w:val="24"/>
          <w:szCs w:val="24"/>
          <w:highlight w:val="yellow"/>
        </w:rPr>
        <w:t>haemocytometry</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automated method as described by </w:t>
      </w:r>
      <w:r>
        <w:rPr>
          <w:rFonts w:ascii="Times New Roman" w:hAnsi="Times New Roman" w:cs="Times New Roman"/>
          <w:sz w:val="24"/>
          <w:szCs w:val="24"/>
          <w:highlight w:val="yellow"/>
        </w:rPr>
        <w:t>Bain</w:t>
      </w:r>
      <w:r>
        <w:rPr>
          <w:rFonts w:ascii="Times New Roman" w:hAnsi="Times New Roman" w:cs="Times New Roman"/>
          <w:sz w:val="24"/>
          <w:szCs w:val="24"/>
        </w:rPr>
        <w:t xml:space="preserve"> </w:t>
      </w:r>
      <w:r>
        <w:rPr>
          <w:rFonts w:ascii="Times New Roman" w:hAnsi="Times New Roman" w:cs="Times New Roman"/>
          <w:sz w:val="24"/>
          <w:szCs w:val="24"/>
          <w:highlight w:val="yellow"/>
        </w:rPr>
        <w:t>et</w:t>
      </w:r>
      <w:r>
        <w:rPr>
          <w:rFonts w:ascii="Times New Roman" w:hAnsi="Times New Roman" w:cs="Times New Roman"/>
          <w:sz w:val="24"/>
          <w:szCs w:val="24"/>
        </w:rPr>
        <w:t xml:space="preserve"> </w:t>
      </w:r>
      <w:r>
        <w:rPr>
          <w:rFonts w:ascii="Times New Roman" w:hAnsi="Times New Roman" w:cs="Times New Roman"/>
          <w:sz w:val="24"/>
          <w:szCs w:val="24"/>
          <w:highlight w:val="yellow"/>
        </w:rPr>
        <w:t>al.</w:t>
      </w:r>
      <w:r>
        <w:rPr>
          <w:rFonts w:ascii="Times New Roman" w:hAnsi="Times New Roman" w:cs="Times New Roman"/>
          <w:sz w:val="24"/>
          <w:szCs w:val="24"/>
        </w:rPr>
        <w:t xml:space="preserve"> </w:t>
      </w:r>
      <w:r>
        <w:rPr>
          <w:rFonts w:ascii="Times New Roman" w:hAnsi="Times New Roman" w:cs="Times New Roman"/>
          <w:sz w:val="24"/>
          <w:szCs w:val="24"/>
          <w:highlight w:val="yellow"/>
        </w:rPr>
        <w:t>(2011).</w:t>
      </w:r>
    </w:p>
    <w:p w14:paraId="61805AFC" w14:textId="75ABA07F" w:rsidR="006850C3" w:rsidRPr="00300D2C" w:rsidRDefault="00C33FC3"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Malondialdehyde (MDA) </w:t>
      </w:r>
      <w:r>
        <w:rPr>
          <w:rFonts w:ascii="Times New Roman" w:hAnsi="Times New Roman" w:cs="Times New Roman"/>
          <w:sz w:val="24"/>
          <w:szCs w:val="24"/>
          <w:highlight w:val="yellow"/>
        </w:rPr>
        <w:t xml:space="preserve">concentration </w:t>
      </w:r>
      <w:r>
        <w:rPr>
          <w:rFonts w:ascii="Times New Roman" w:hAnsi="Times New Roman" w:cs="Times New Roman"/>
          <w:sz w:val="24"/>
          <w:szCs w:val="24"/>
        </w:rPr>
        <w:t xml:space="preserve">was estimated spectrophotometrically </w:t>
      </w:r>
      <w:r>
        <w:rPr>
          <w:rFonts w:ascii="Times New Roman" w:hAnsi="Times New Roman" w:cs="Times New Roman"/>
          <w:sz w:val="24"/>
          <w:szCs w:val="24"/>
          <w:highlight w:val="yellow"/>
        </w:rPr>
        <w:t>using</w:t>
      </w:r>
      <w:r>
        <w:rPr>
          <w:rFonts w:ascii="Times New Roman" w:hAnsi="Times New Roman" w:cs="Times New Roman"/>
          <w:sz w:val="24"/>
          <w:szCs w:val="24"/>
        </w:rPr>
        <w:t xml:space="preserve"> thiobarbituric </w:t>
      </w:r>
      <w:r>
        <w:rPr>
          <w:rFonts w:ascii="Times New Roman" w:hAnsi="Times New Roman" w:cs="Times New Roman"/>
          <w:sz w:val="24"/>
          <w:szCs w:val="24"/>
          <w:highlight w:val="yellow"/>
        </w:rPr>
        <w:t>acid-reacting</w:t>
      </w:r>
      <w:r>
        <w:rPr>
          <w:rFonts w:ascii="Times New Roman" w:hAnsi="Times New Roman" w:cs="Times New Roman"/>
          <w:sz w:val="24"/>
          <w:szCs w:val="24"/>
        </w:rPr>
        <w:t xml:space="preserve"> substances (TBARS) as described by </w:t>
      </w:r>
      <w:r>
        <w:rPr>
          <w:rFonts w:ascii="Times New Roman" w:hAnsi="Times New Roman" w:cs="Times New Roman"/>
          <w:sz w:val="24"/>
          <w:szCs w:val="24"/>
          <w:highlight w:val="yellow"/>
        </w:rPr>
        <w:t>Ohkawa</w:t>
      </w:r>
      <w:r>
        <w:rPr>
          <w:rFonts w:ascii="Times New Roman" w:hAnsi="Times New Roman" w:cs="Times New Roman"/>
          <w:sz w:val="24"/>
          <w:szCs w:val="24"/>
        </w:rPr>
        <w:t xml:space="preserve">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sz w:val="24"/>
          <w:szCs w:val="24"/>
        </w:rPr>
        <w:t xml:space="preserve"> </w:t>
      </w:r>
      <w:r>
        <w:rPr>
          <w:rFonts w:ascii="Times New Roman" w:hAnsi="Times New Roman" w:cs="Times New Roman"/>
          <w:sz w:val="24"/>
          <w:szCs w:val="24"/>
          <w:highlight w:val="yellow"/>
        </w:rPr>
        <w:t>(1979).</w:t>
      </w:r>
      <w:r>
        <w:rPr>
          <w:rFonts w:ascii="Times New Roman" w:hAnsi="Times New Roman" w:cs="Times New Roman"/>
          <w:sz w:val="24"/>
          <w:szCs w:val="24"/>
        </w:rPr>
        <w:t xml:space="preserve"> Reduced glutathione (GSH) concentration was evaluated using the method described by </w:t>
      </w:r>
      <w:r>
        <w:rPr>
          <w:rFonts w:ascii="Times New Roman" w:hAnsi="Times New Roman" w:cs="Times New Roman"/>
          <w:sz w:val="24"/>
          <w:szCs w:val="24"/>
          <w:highlight w:val="yellow"/>
        </w:rPr>
        <w:t>Andersen</w:t>
      </w:r>
      <w:r>
        <w:rPr>
          <w:rFonts w:ascii="Times New Roman" w:hAnsi="Times New Roman" w:cs="Times New Roman"/>
          <w:sz w:val="24"/>
          <w:szCs w:val="24"/>
        </w:rPr>
        <w:t xml:space="preserve">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sz w:val="24"/>
          <w:szCs w:val="24"/>
        </w:rPr>
        <w:t xml:space="preserve"> </w:t>
      </w:r>
      <w:r>
        <w:rPr>
          <w:rFonts w:ascii="Times New Roman" w:hAnsi="Times New Roman" w:cs="Times New Roman"/>
          <w:sz w:val="24"/>
          <w:szCs w:val="24"/>
          <w:highlight w:val="yellow"/>
        </w:rPr>
        <w:t>(1997).</w:t>
      </w:r>
      <w:r>
        <w:rPr>
          <w:rFonts w:ascii="Times New Roman" w:hAnsi="Times New Roman" w:cs="Times New Roman"/>
          <w:sz w:val="24"/>
          <w:szCs w:val="24"/>
        </w:rPr>
        <w:t xml:space="preserve"> </w:t>
      </w:r>
      <w:r>
        <w:rPr>
          <w:rFonts w:ascii="Times New Roman" w:hAnsi="Times New Roman" w:cs="Times New Roman"/>
          <w:sz w:val="24"/>
          <w:szCs w:val="24"/>
        </w:rPr>
        <w:lastRenderedPageBreak/>
        <w:t>Glutathione Peroxidase activity was</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determined by the method of </w:t>
      </w:r>
      <w:r>
        <w:rPr>
          <w:rFonts w:ascii="Times New Roman" w:hAnsi="Times New Roman" w:cs="Times New Roman"/>
          <w:sz w:val="24"/>
          <w:szCs w:val="24"/>
          <w:highlight w:val="yellow"/>
        </w:rPr>
        <w:t>Anderson</w:t>
      </w:r>
      <w:r>
        <w:rPr>
          <w:rFonts w:ascii="Times New Roman" w:hAnsi="Times New Roman" w:cs="Times New Roman"/>
          <w:sz w:val="24"/>
          <w:szCs w:val="24"/>
        </w:rPr>
        <w:t xml:space="preserve"> </w:t>
      </w:r>
      <w:r>
        <w:rPr>
          <w:rFonts w:ascii="Times New Roman" w:hAnsi="Times New Roman" w:cs="Times New Roman"/>
          <w:sz w:val="24"/>
          <w:szCs w:val="24"/>
          <w:highlight w:val="yellow"/>
        </w:rPr>
        <w:t>(1985),</w:t>
      </w:r>
      <w:r>
        <w:rPr>
          <w:rFonts w:ascii="Times New Roman" w:hAnsi="Times New Roman" w:cs="Times New Roman"/>
          <w:sz w:val="24"/>
          <w:szCs w:val="24"/>
        </w:rPr>
        <w:t xml:space="preserve"> while Superoxide Dismutase (SOD) and Catalase (CAT) activities were determined by the methods of </w:t>
      </w:r>
      <w:r>
        <w:rPr>
          <w:rFonts w:ascii="Times New Roman" w:hAnsi="Times New Roman" w:cs="Times New Roman"/>
          <w:sz w:val="24"/>
          <w:szCs w:val="24"/>
          <w:highlight w:val="yellow"/>
        </w:rPr>
        <w:t>Misra</w:t>
      </w:r>
      <w:r>
        <w:rPr>
          <w:rFonts w:ascii="Times New Roman" w:hAnsi="Times New Roman" w:cs="Times New Roman"/>
          <w:sz w:val="24"/>
          <w:szCs w:val="24"/>
        </w:rPr>
        <w:t xml:space="preserve"> and </w:t>
      </w:r>
      <w:r>
        <w:rPr>
          <w:rFonts w:ascii="Times New Roman" w:hAnsi="Times New Roman" w:cs="Times New Roman"/>
          <w:sz w:val="24"/>
          <w:szCs w:val="24"/>
          <w:highlight w:val="yellow"/>
        </w:rPr>
        <w:t>Fridovich</w:t>
      </w:r>
      <w:r>
        <w:rPr>
          <w:rFonts w:ascii="Times New Roman" w:hAnsi="Times New Roman" w:cs="Times New Roman"/>
          <w:sz w:val="24"/>
          <w:szCs w:val="24"/>
        </w:rPr>
        <w:t xml:space="preserve"> </w:t>
      </w:r>
      <w:r>
        <w:rPr>
          <w:rFonts w:ascii="Times New Roman" w:hAnsi="Times New Roman" w:cs="Times New Roman"/>
          <w:sz w:val="24"/>
          <w:szCs w:val="24"/>
          <w:highlight w:val="yellow"/>
        </w:rPr>
        <w:t>(197</w:t>
      </w:r>
      <w:r w:rsidR="00397A1E">
        <w:rPr>
          <w:rFonts w:ascii="Times New Roman" w:hAnsi="Times New Roman" w:cs="Times New Roman"/>
          <w:sz w:val="24"/>
          <w:szCs w:val="24"/>
          <w:highlight w:val="yellow"/>
        </w:rPr>
        <w:t>2</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Aebi </w:t>
      </w:r>
      <w:r>
        <w:rPr>
          <w:rFonts w:ascii="Times New Roman" w:hAnsi="Times New Roman" w:cs="Times New Roman"/>
          <w:sz w:val="24"/>
          <w:szCs w:val="24"/>
          <w:highlight w:val="yellow"/>
        </w:rPr>
        <w:t>(1984),</w:t>
      </w:r>
      <w:r>
        <w:rPr>
          <w:rFonts w:ascii="Times New Roman" w:hAnsi="Times New Roman" w:cs="Times New Roman"/>
          <w:sz w:val="24"/>
          <w:szCs w:val="24"/>
        </w:rPr>
        <w:t xml:space="preserve"> respectively.</w:t>
      </w:r>
    </w:p>
    <w:p w14:paraId="142F6C03" w14:textId="77777777" w:rsidR="006850C3" w:rsidRPr="00300D2C" w:rsidRDefault="006850C3"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Statistical Analysis</w:t>
      </w:r>
    </w:p>
    <w:p w14:paraId="7A4F693B" w14:textId="77777777" w:rsidR="006850C3" w:rsidRPr="00300D2C" w:rsidRDefault="006850C3"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results were reported as means ± </w:t>
      </w:r>
      <w:r>
        <w:rPr>
          <w:rFonts w:ascii="Times New Roman" w:hAnsi="Times New Roman" w:cs="Times New Roman"/>
          <w:sz w:val="24"/>
          <w:szCs w:val="24"/>
          <w:highlight w:val="yellow"/>
        </w:rPr>
        <w:t>SD,</w:t>
      </w:r>
      <w:r>
        <w:rPr>
          <w:rFonts w:ascii="Times New Roman" w:hAnsi="Times New Roman" w:cs="Times New Roman"/>
          <w:sz w:val="24"/>
          <w:szCs w:val="24"/>
        </w:rPr>
        <w:t xml:space="preserve"> </w:t>
      </w:r>
      <w:r>
        <w:rPr>
          <w:rFonts w:ascii="Times New Roman" w:hAnsi="Times New Roman" w:cs="Times New Roman"/>
          <w:sz w:val="24"/>
          <w:szCs w:val="24"/>
          <w:highlight w:val="yellow"/>
        </w:rPr>
        <w:t>and the</w:t>
      </w:r>
      <w:r>
        <w:rPr>
          <w:rFonts w:ascii="Times New Roman" w:hAnsi="Times New Roman" w:cs="Times New Roman"/>
          <w:sz w:val="24"/>
          <w:szCs w:val="24"/>
        </w:rPr>
        <w:t xml:space="preserve"> data obtained </w:t>
      </w:r>
      <w:r>
        <w:rPr>
          <w:rFonts w:ascii="Times New Roman" w:hAnsi="Times New Roman" w:cs="Times New Roman"/>
          <w:sz w:val="24"/>
          <w:szCs w:val="24"/>
          <w:highlight w:val="yellow"/>
        </w:rPr>
        <w:t>were analysed</w:t>
      </w:r>
      <w:r>
        <w:rPr>
          <w:rFonts w:ascii="Times New Roman" w:hAnsi="Times New Roman" w:cs="Times New Roman"/>
          <w:sz w:val="24"/>
          <w:szCs w:val="24"/>
        </w:rPr>
        <w:t xml:space="preserve"> using analysis of </w:t>
      </w:r>
      <w:r>
        <w:rPr>
          <w:rFonts w:ascii="Times New Roman" w:hAnsi="Times New Roman" w:cs="Times New Roman"/>
          <w:sz w:val="24"/>
          <w:szCs w:val="24"/>
          <w:highlight w:val="yellow"/>
        </w:rPr>
        <w:t>variance</w:t>
      </w:r>
      <w:r>
        <w:rPr>
          <w:rFonts w:ascii="Times New Roman" w:hAnsi="Times New Roman" w:cs="Times New Roman"/>
          <w:sz w:val="24"/>
          <w:szCs w:val="24"/>
        </w:rPr>
        <w:t xml:space="preserve"> (ANOVA). </w:t>
      </w:r>
      <w:r>
        <w:rPr>
          <w:rFonts w:ascii="Times New Roman" w:hAnsi="Times New Roman" w:cs="Times New Roman"/>
          <w:sz w:val="24"/>
          <w:szCs w:val="24"/>
          <w:highlight w:val="yellow"/>
        </w:rPr>
        <w:t>A value</w:t>
      </w:r>
      <w:r>
        <w:rPr>
          <w:rFonts w:ascii="Times New Roman" w:hAnsi="Times New Roman" w:cs="Times New Roman"/>
          <w:sz w:val="24"/>
          <w:szCs w:val="24"/>
        </w:rPr>
        <w:t xml:space="preserve"> of </w:t>
      </w:r>
      <w:r>
        <w:rPr>
          <w:rFonts w:ascii="Times New Roman" w:hAnsi="Times New Roman" w:cs="Times New Roman"/>
          <w:sz w:val="24"/>
          <w:szCs w:val="24"/>
          <w:highlight w:val="yellow"/>
        </w:rPr>
        <w:t>p &lt; 0.05</w:t>
      </w:r>
      <w:r>
        <w:rPr>
          <w:rFonts w:ascii="Times New Roman" w:hAnsi="Times New Roman" w:cs="Times New Roman"/>
          <w:sz w:val="24"/>
          <w:szCs w:val="24"/>
        </w:rPr>
        <w:t xml:space="preserve"> was considered statistically significant.</w:t>
      </w:r>
    </w:p>
    <w:p w14:paraId="5384FAD6" w14:textId="77777777" w:rsidR="008935DD" w:rsidRPr="00300D2C" w:rsidRDefault="008935DD" w:rsidP="00300D2C">
      <w:pPr>
        <w:spacing w:line="360" w:lineRule="auto"/>
        <w:jc w:val="both"/>
        <w:rPr>
          <w:rFonts w:ascii="Times New Roman" w:hAnsi="Times New Roman" w:cs="Times New Roman"/>
          <w:b/>
          <w:bCs/>
          <w:sz w:val="24"/>
          <w:szCs w:val="24"/>
        </w:rPr>
      </w:pPr>
    </w:p>
    <w:p w14:paraId="2F97CE11" w14:textId="77777777" w:rsidR="00C65C00" w:rsidRPr="00300D2C" w:rsidRDefault="00EF6C2E"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RESULT</w:t>
      </w:r>
      <w:r w:rsidR="000230A3" w:rsidRPr="00300D2C">
        <w:rPr>
          <w:rFonts w:ascii="Times New Roman" w:hAnsi="Times New Roman" w:cs="Times New Roman"/>
          <w:b/>
          <w:bCs/>
          <w:sz w:val="24"/>
          <w:szCs w:val="24"/>
        </w:rPr>
        <w:t>S</w:t>
      </w:r>
      <w:r w:rsidR="00D867F6">
        <w:rPr>
          <w:rFonts w:ascii="Times New Roman" w:hAnsi="Times New Roman" w:cs="Times New Roman"/>
          <w:b/>
          <w:bCs/>
          <w:sz w:val="24"/>
          <w:szCs w:val="24"/>
        </w:rPr>
        <w:t xml:space="preserve"> &amp; DISCUSSION</w:t>
      </w:r>
    </w:p>
    <w:p w14:paraId="6DC93259" w14:textId="77777777" w:rsidR="005E4F20" w:rsidRPr="00300D2C" w:rsidRDefault="00103111" w:rsidP="00300D2C">
      <w:pPr>
        <w:spacing w:line="360" w:lineRule="auto"/>
        <w:jc w:val="both"/>
        <w:rPr>
          <w:rFonts w:ascii="Times New Roman" w:hAnsi="Times New Roman" w:cs="Times New Roman"/>
          <w:b/>
          <w:noProof/>
          <w:sz w:val="24"/>
          <w:szCs w:val="24"/>
        </w:rPr>
      </w:pPr>
      <w:r>
        <w:object w:dxaOrig="9778" w:dyaOrig="4248" w14:anchorId="74C0A2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45pt;height:188.35pt" o:ole="" filled="t">
            <v:imagedata r:id="rId7" o:title=""/>
          </v:shape>
          <o:OLEObject Type="Embed" ProgID="Prism9.Document" ShapeID="_x0000_i1025" DrawAspect="Content" ObjectID="_1851665324" r:id="rId8"/>
        </w:object>
      </w:r>
      <w:r w:rsidR="005E4F20" w:rsidRPr="00300D2C">
        <w:rPr>
          <w:rFonts w:ascii="Times New Roman" w:hAnsi="Times New Roman" w:cs="Times New Roman"/>
          <w:b/>
          <w:bCs/>
          <w:sz w:val="24"/>
          <w:szCs w:val="24"/>
        </w:rPr>
        <w:t xml:space="preserve">Figure </w:t>
      </w:r>
      <w:r w:rsidR="009256DD" w:rsidRPr="00300D2C">
        <w:rPr>
          <w:rFonts w:ascii="Times New Roman" w:hAnsi="Times New Roman" w:cs="Times New Roman"/>
          <w:b/>
          <w:bCs/>
          <w:sz w:val="24"/>
          <w:szCs w:val="24"/>
        </w:rPr>
        <w:t>1:</w:t>
      </w:r>
      <w:r w:rsidR="005E4F20" w:rsidRPr="00300D2C">
        <w:rPr>
          <w:rFonts w:ascii="Times New Roman" w:hAnsi="Times New Roman" w:cs="Times New Roman"/>
          <w:b/>
          <w:bCs/>
          <w:sz w:val="24"/>
          <w:szCs w:val="24"/>
        </w:rPr>
        <w:t xml:space="preserve"> </w:t>
      </w:r>
      <w:r w:rsidR="0035152F" w:rsidRPr="00300D2C">
        <w:rPr>
          <w:rFonts w:ascii="Times New Roman" w:hAnsi="Times New Roman" w:cs="Times New Roman"/>
          <w:b/>
          <w:bCs/>
          <w:sz w:val="24"/>
          <w:szCs w:val="24"/>
        </w:rPr>
        <w:t>Serum t</w:t>
      </w:r>
      <w:r w:rsidR="005E4F20" w:rsidRPr="00300D2C">
        <w:rPr>
          <w:rFonts w:ascii="Times New Roman" w:hAnsi="Times New Roman" w:cs="Times New Roman"/>
          <w:b/>
          <w:bCs/>
          <w:sz w:val="24"/>
          <w:szCs w:val="24"/>
        </w:rPr>
        <w:t>otal prote</w:t>
      </w:r>
      <w:r w:rsidR="00663AA8" w:rsidRPr="00300D2C">
        <w:rPr>
          <w:rFonts w:ascii="Times New Roman" w:hAnsi="Times New Roman" w:cs="Times New Roman"/>
          <w:b/>
          <w:bCs/>
          <w:sz w:val="24"/>
          <w:szCs w:val="24"/>
        </w:rPr>
        <w:t>in concentration (g/dl)</w:t>
      </w:r>
      <w:r w:rsidR="005E4F20" w:rsidRPr="00300D2C">
        <w:rPr>
          <w:rFonts w:ascii="Times New Roman" w:hAnsi="Times New Roman" w:cs="Times New Roman"/>
          <w:b/>
          <w:bCs/>
          <w:sz w:val="24"/>
          <w:szCs w:val="24"/>
        </w:rPr>
        <w:t xml:space="preserve"> of various treatment groups</w:t>
      </w:r>
      <w:r w:rsidR="00F44AF0" w:rsidRPr="00300D2C">
        <w:rPr>
          <w:rFonts w:ascii="Times New Roman" w:hAnsi="Times New Roman" w:cs="Times New Roman"/>
          <w:b/>
          <w:bCs/>
          <w:sz w:val="24"/>
          <w:szCs w:val="24"/>
        </w:rPr>
        <w:t xml:space="preserve">. </w:t>
      </w:r>
      <w:r w:rsidR="002E4C92">
        <w:rPr>
          <w:rFonts w:ascii="Times New Roman" w:hAnsi="Times New Roman" w:cs="Times New Roman"/>
          <w:bCs/>
          <w:sz w:val="24"/>
          <w:szCs w:val="24"/>
        </w:rPr>
        <w:t>Values are expressed as</w:t>
      </w:r>
      <w:r w:rsidR="00F44AF0"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5A9D67CF" w14:textId="77777777" w:rsidR="00103111" w:rsidRPr="00300D2C" w:rsidRDefault="00103111" w:rsidP="00103111">
      <w:pPr>
        <w:spacing w:line="360" w:lineRule="auto"/>
        <w:jc w:val="both"/>
        <w:rPr>
          <w:rFonts w:ascii="Times New Roman" w:hAnsi="Times New Roman" w:cs="Times New Roman"/>
          <w:b/>
          <w:noProof/>
          <w:sz w:val="24"/>
          <w:szCs w:val="24"/>
        </w:rPr>
      </w:pPr>
      <w:r>
        <w:object w:dxaOrig="9785" w:dyaOrig="4248" w14:anchorId="78738CB2">
          <v:shape id="_x0000_i1026" type="#_x0000_t75" style="width:441.2pt;height:205.65pt" o:ole="" filled="t">
            <v:imagedata r:id="rId9" o:title=""/>
          </v:shape>
          <o:OLEObject Type="Embed" ProgID="Prism9.Document" ShapeID="_x0000_i1026" DrawAspect="Content" ObjectID="_1851665325" r:id="rId10"/>
        </w:object>
      </w:r>
      <w:r w:rsidR="000668DD" w:rsidRPr="00300D2C">
        <w:rPr>
          <w:rFonts w:ascii="Times New Roman" w:hAnsi="Times New Roman" w:cs="Times New Roman"/>
          <w:b/>
          <w:bCs/>
          <w:sz w:val="24"/>
          <w:szCs w:val="24"/>
        </w:rPr>
        <w:t>Figure</w:t>
      </w:r>
      <w:r w:rsidR="009256DD" w:rsidRPr="00300D2C">
        <w:rPr>
          <w:rFonts w:ascii="Times New Roman" w:hAnsi="Times New Roman" w:cs="Times New Roman"/>
          <w:b/>
          <w:bCs/>
          <w:sz w:val="24"/>
          <w:szCs w:val="24"/>
        </w:rPr>
        <w:t xml:space="preserve"> </w:t>
      </w:r>
      <w:r w:rsidR="00875464" w:rsidRPr="00300D2C">
        <w:rPr>
          <w:rFonts w:ascii="Times New Roman" w:hAnsi="Times New Roman" w:cs="Times New Roman"/>
          <w:b/>
          <w:bCs/>
          <w:sz w:val="24"/>
          <w:szCs w:val="24"/>
        </w:rPr>
        <w:t>2</w:t>
      </w:r>
      <w:r w:rsidR="000668DD" w:rsidRPr="00300D2C">
        <w:rPr>
          <w:rFonts w:ascii="Times New Roman" w:hAnsi="Times New Roman" w:cs="Times New Roman"/>
          <w:b/>
          <w:bCs/>
          <w:sz w:val="24"/>
          <w:szCs w:val="24"/>
        </w:rPr>
        <w:t>: Total protein concentration (g/dl) in breast homogenate of various treatment groups.</w:t>
      </w:r>
      <w:r w:rsidR="00F44AF0" w:rsidRPr="00300D2C">
        <w:rPr>
          <w:rFonts w:ascii="Times New Roman" w:hAnsi="Times New Roman" w:cs="Times New Roman"/>
          <w:b/>
          <w:bCs/>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63A44431" w14:textId="77777777" w:rsidR="00AF0D56" w:rsidRPr="00300D2C" w:rsidRDefault="00AF0D56" w:rsidP="00300D2C">
      <w:pPr>
        <w:spacing w:line="360" w:lineRule="auto"/>
        <w:jc w:val="both"/>
        <w:rPr>
          <w:rFonts w:ascii="Times New Roman" w:hAnsi="Times New Roman" w:cs="Times New Roman"/>
          <w:sz w:val="24"/>
          <w:szCs w:val="24"/>
        </w:rPr>
      </w:pPr>
    </w:p>
    <w:p w14:paraId="2FD8FD65" w14:textId="77777777" w:rsidR="009F3DFF" w:rsidRPr="00300D2C" w:rsidRDefault="006D5ECA" w:rsidP="00300D2C">
      <w:pPr>
        <w:spacing w:line="360" w:lineRule="auto"/>
        <w:jc w:val="both"/>
        <w:rPr>
          <w:rFonts w:ascii="Times New Roman" w:hAnsi="Times New Roman" w:cs="Times New Roman"/>
          <w:b/>
          <w:bCs/>
          <w:sz w:val="24"/>
          <w:szCs w:val="24"/>
        </w:rPr>
      </w:pPr>
      <w:r>
        <w:object w:dxaOrig="9837" w:dyaOrig="4248" w14:anchorId="65463867">
          <v:shape id="_x0000_i1027" type="#_x0000_t75" style="width:442.95pt;height:191.8pt" o:ole="" filled="t">
            <v:imagedata r:id="rId11" o:title=""/>
          </v:shape>
          <o:OLEObject Type="Embed" ProgID="Prism9.Document" ShapeID="_x0000_i1027" DrawAspect="Content" ObjectID="_1851665326" r:id="rId12"/>
        </w:object>
      </w:r>
    </w:p>
    <w:p w14:paraId="327DCD41" w14:textId="77777777" w:rsidR="009176A7" w:rsidRPr="00300D2C" w:rsidRDefault="00AF0D56" w:rsidP="00300D2C">
      <w:pPr>
        <w:spacing w:line="360" w:lineRule="auto"/>
        <w:jc w:val="both"/>
        <w:rPr>
          <w:rFonts w:ascii="Times New Roman" w:hAnsi="Times New Roman" w:cs="Times New Roman"/>
          <w:b/>
          <w:noProof/>
          <w:sz w:val="24"/>
          <w:szCs w:val="24"/>
        </w:rPr>
      </w:pPr>
      <w:r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3</w:t>
      </w:r>
      <w:r w:rsidRPr="00300D2C">
        <w:rPr>
          <w:rFonts w:ascii="Times New Roman" w:hAnsi="Times New Roman" w:cs="Times New Roman"/>
          <w:b/>
          <w:bCs/>
          <w:sz w:val="24"/>
          <w:szCs w:val="24"/>
        </w:rPr>
        <w:t xml:space="preserve">: </w:t>
      </w:r>
      <w:r w:rsidRPr="00300D2C">
        <w:rPr>
          <w:rFonts w:ascii="Times New Roman" w:hAnsi="Times New Roman" w:cs="Times New Roman"/>
          <w:b/>
          <w:sz w:val="24"/>
          <w:szCs w:val="24"/>
        </w:rPr>
        <w:t>White blood cell (WBC) count of various treatment groups</w:t>
      </w:r>
      <w:r w:rsidR="00F44AF0" w:rsidRPr="00300D2C">
        <w:rPr>
          <w:rFonts w:ascii="Times New Roman" w:hAnsi="Times New Roman" w:cs="Times New Roman"/>
          <w:sz w:val="24"/>
          <w:szCs w:val="24"/>
        </w:rPr>
        <w:t xml:space="preserve">. </w:t>
      </w:r>
      <w:r w:rsidR="00103111">
        <w:rPr>
          <w:rFonts w:ascii="Times New Roman" w:hAnsi="Times New Roman" w:cs="Times New Roman"/>
          <w:bCs/>
          <w:sz w:val="24"/>
          <w:szCs w:val="24"/>
        </w:rPr>
        <w:t>Values are expressed as</w:t>
      </w:r>
      <w:r w:rsidR="00103111" w:rsidRPr="00300D2C">
        <w:rPr>
          <w:rFonts w:ascii="Times New Roman" w:hAnsi="Times New Roman" w:cs="Times New Roman"/>
          <w:bCs/>
          <w:sz w:val="24"/>
          <w:szCs w:val="24"/>
        </w:rPr>
        <w:t xml:space="preserve"> mean ± SD (n=7); significant differences (p &lt;0.05)</w:t>
      </w:r>
      <w:r w:rsidR="00103111">
        <w:rPr>
          <w:rFonts w:ascii="Times New Roman" w:hAnsi="Times New Roman" w:cs="Times New Roman"/>
          <w:bCs/>
          <w:sz w:val="24"/>
          <w:szCs w:val="24"/>
        </w:rPr>
        <w:t>. Bar with same superscript indicate no significant difference while Bar with different superscript indicate significant difference</w:t>
      </w:r>
    </w:p>
    <w:p w14:paraId="1F380DFB" w14:textId="77777777" w:rsidR="009176A7" w:rsidRDefault="006D5ECA" w:rsidP="00300D2C">
      <w:pPr>
        <w:spacing w:line="360" w:lineRule="auto"/>
        <w:jc w:val="both"/>
        <w:rPr>
          <w:rFonts w:ascii="Times New Roman" w:hAnsi="Times New Roman" w:cs="Times New Roman"/>
          <w:bCs/>
          <w:sz w:val="24"/>
          <w:szCs w:val="24"/>
        </w:rPr>
      </w:pPr>
      <w:r>
        <w:object w:dxaOrig="10205" w:dyaOrig="4248" w14:anchorId="4F43540D">
          <v:shape id="_x0000_i1028" type="#_x0000_t75" style="width:463.1pt;height:191.8pt" o:ole="" filled="t">
            <v:imagedata r:id="rId13" o:title=""/>
          </v:shape>
          <o:OLEObject Type="Embed" ProgID="Prism9.Document" ShapeID="_x0000_i1028" DrawAspect="Content" ObjectID="_1851665327" r:id="rId14"/>
        </w:object>
      </w:r>
      <w:r w:rsidR="009176A7"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4</w:t>
      </w:r>
      <w:r w:rsidR="009176A7" w:rsidRPr="00300D2C">
        <w:rPr>
          <w:rFonts w:ascii="Times New Roman" w:hAnsi="Times New Roman" w:cs="Times New Roman"/>
          <w:b/>
          <w:bCs/>
          <w:sz w:val="24"/>
          <w:szCs w:val="24"/>
        </w:rPr>
        <w:t xml:space="preserve">: </w:t>
      </w:r>
      <w:r w:rsidR="00421C08" w:rsidRPr="00300D2C">
        <w:rPr>
          <w:rFonts w:ascii="Times New Roman" w:hAnsi="Times New Roman" w:cs="Times New Roman"/>
          <w:b/>
          <w:sz w:val="24"/>
          <w:szCs w:val="24"/>
        </w:rPr>
        <w:t>Platelet count</w:t>
      </w:r>
      <w:r w:rsidR="009176A7" w:rsidRPr="00300D2C">
        <w:rPr>
          <w:rFonts w:ascii="Times New Roman" w:hAnsi="Times New Roman" w:cs="Times New Roman"/>
          <w:b/>
          <w:sz w:val="24"/>
          <w:szCs w:val="24"/>
        </w:rPr>
        <w:t xml:space="preserv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447D2815" w14:textId="77777777" w:rsidR="006D5ECA" w:rsidRPr="00300D2C" w:rsidRDefault="006D5ECA" w:rsidP="00300D2C">
      <w:pPr>
        <w:spacing w:line="360" w:lineRule="auto"/>
        <w:jc w:val="both"/>
        <w:rPr>
          <w:rFonts w:ascii="Times New Roman" w:hAnsi="Times New Roman" w:cs="Times New Roman"/>
          <w:b/>
          <w:bCs/>
          <w:sz w:val="24"/>
          <w:szCs w:val="24"/>
        </w:rPr>
      </w:pPr>
    </w:p>
    <w:p w14:paraId="10777590" w14:textId="77777777" w:rsidR="006D5ECA" w:rsidRDefault="006D5ECA" w:rsidP="00300D2C">
      <w:pPr>
        <w:spacing w:line="360" w:lineRule="auto"/>
        <w:jc w:val="both"/>
        <w:rPr>
          <w:rFonts w:ascii="Times New Roman" w:hAnsi="Times New Roman" w:cs="Times New Roman"/>
          <w:b/>
          <w:bCs/>
          <w:sz w:val="24"/>
          <w:szCs w:val="24"/>
        </w:rPr>
      </w:pPr>
    </w:p>
    <w:p w14:paraId="51E5D72C" w14:textId="77777777" w:rsidR="006D5ECA" w:rsidRDefault="006D5ECA" w:rsidP="00300D2C">
      <w:pPr>
        <w:spacing w:line="360" w:lineRule="auto"/>
        <w:jc w:val="both"/>
        <w:rPr>
          <w:rFonts w:ascii="Times New Roman" w:hAnsi="Times New Roman" w:cs="Times New Roman"/>
          <w:b/>
          <w:bCs/>
          <w:sz w:val="24"/>
          <w:szCs w:val="24"/>
        </w:rPr>
      </w:pPr>
    </w:p>
    <w:p w14:paraId="797CA639" w14:textId="77777777" w:rsidR="006D5ECA" w:rsidRDefault="00485023" w:rsidP="006D5ECA">
      <w:pPr>
        <w:spacing w:line="360" w:lineRule="auto"/>
        <w:jc w:val="both"/>
        <w:rPr>
          <w:rFonts w:ascii="Times New Roman" w:hAnsi="Times New Roman" w:cs="Times New Roman"/>
          <w:bCs/>
          <w:sz w:val="24"/>
          <w:szCs w:val="24"/>
        </w:rPr>
      </w:pPr>
      <w:r>
        <w:object w:dxaOrig="9778" w:dyaOrig="4248" w14:anchorId="25FDEE94">
          <v:shape id="_x0000_i1029" type="#_x0000_t75" style="width:463.7pt;height:233.3pt" o:ole="" filled="t">
            <v:imagedata r:id="rId15" o:title=""/>
          </v:shape>
          <o:OLEObject Type="Embed" ProgID="Prism9.Document" ShapeID="_x0000_i1029" DrawAspect="Content" ObjectID="_1851665328" r:id="rId16"/>
        </w:object>
      </w:r>
      <w:r w:rsidR="009176A7"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5</w:t>
      </w:r>
      <w:r w:rsidR="009176A7" w:rsidRPr="00300D2C">
        <w:rPr>
          <w:rFonts w:ascii="Times New Roman" w:hAnsi="Times New Roman" w:cs="Times New Roman"/>
          <w:b/>
          <w:bCs/>
          <w:sz w:val="24"/>
          <w:szCs w:val="24"/>
        </w:rPr>
        <w:t xml:space="preserve">: </w:t>
      </w:r>
      <w:r w:rsidR="009176A7" w:rsidRPr="00300D2C">
        <w:rPr>
          <w:rFonts w:ascii="Times New Roman" w:hAnsi="Times New Roman" w:cs="Times New Roman"/>
          <w:b/>
          <w:sz w:val="24"/>
          <w:szCs w:val="24"/>
        </w:rPr>
        <w:t>Lymphocyte (%) count of various treatment groups</w:t>
      </w:r>
      <w:r w:rsidR="00F44AF0" w:rsidRPr="00300D2C">
        <w:rPr>
          <w:rFonts w:ascii="Times New Roman" w:hAnsi="Times New Roman" w:cs="Times New Roman"/>
          <w:sz w:val="24"/>
          <w:szCs w:val="24"/>
        </w:rPr>
        <w:t xml:space="preserve">. </w:t>
      </w:r>
      <w:r w:rsidR="006D5ECA">
        <w:rPr>
          <w:rFonts w:ascii="Times New Roman" w:hAnsi="Times New Roman" w:cs="Times New Roman"/>
          <w:bCs/>
          <w:sz w:val="24"/>
          <w:szCs w:val="24"/>
        </w:rPr>
        <w:t>Values are expressed as</w:t>
      </w:r>
      <w:r w:rsidR="006D5ECA" w:rsidRPr="00300D2C">
        <w:rPr>
          <w:rFonts w:ascii="Times New Roman" w:hAnsi="Times New Roman" w:cs="Times New Roman"/>
          <w:bCs/>
          <w:sz w:val="24"/>
          <w:szCs w:val="24"/>
        </w:rPr>
        <w:t xml:space="preserve"> mean </w:t>
      </w:r>
      <w:r w:rsidR="006D5ECA" w:rsidRPr="00300D2C">
        <w:rPr>
          <w:rFonts w:ascii="Times New Roman" w:hAnsi="Times New Roman" w:cs="Times New Roman"/>
          <w:bCs/>
          <w:sz w:val="24"/>
          <w:szCs w:val="24"/>
        </w:rPr>
        <w:lastRenderedPageBreak/>
        <w:t>± SD (n=7); significant differences (p &lt;0.05)</w:t>
      </w:r>
      <w:r w:rsidR="006D5ECA">
        <w:rPr>
          <w:rFonts w:ascii="Times New Roman" w:hAnsi="Times New Roman" w:cs="Times New Roman"/>
          <w:bCs/>
          <w:sz w:val="24"/>
          <w:szCs w:val="24"/>
        </w:rPr>
        <w:t>. Bar with same superscript indicate no significant difference while Bar with different superscript indicate significant difference</w:t>
      </w:r>
    </w:p>
    <w:p w14:paraId="3E01C07C" w14:textId="77777777" w:rsidR="00421C08" w:rsidRPr="00300D2C" w:rsidRDefault="006D5ECA" w:rsidP="00300D2C">
      <w:pPr>
        <w:spacing w:line="360" w:lineRule="auto"/>
        <w:jc w:val="both"/>
        <w:rPr>
          <w:rFonts w:ascii="Times New Roman" w:hAnsi="Times New Roman" w:cs="Times New Roman"/>
          <w:b/>
          <w:sz w:val="24"/>
          <w:szCs w:val="24"/>
        </w:rPr>
      </w:pPr>
      <w:r>
        <w:object w:dxaOrig="9975" w:dyaOrig="4248" w14:anchorId="60EE45F5">
          <v:shape id="_x0000_i1030" type="#_x0000_t75" style="width:477.5pt;height:203.35pt" o:ole="" filled="t">
            <v:imagedata r:id="rId17" o:title=""/>
          </v:shape>
          <o:OLEObject Type="Embed" ProgID="Prism9.Document" ShapeID="_x0000_i1030" DrawAspect="Content" ObjectID="_1851665329" r:id="rId18"/>
        </w:object>
      </w:r>
      <w:r w:rsidR="009C1556"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6</w:t>
      </w:r>
      <w:r w:rsidR="009C1556" w:rsidRPr="00300D2C">
        <w:rPr>
          <w:rFonts w:ascii="Times New Roman" w:hAnsi="Times New Roman" w:cs="Times New Roman"/>
          <w:b/>
          <w:bCs/>
          <w:sz w:val="24"/>
          <w:szCs w:val="24"/>
        </w:rPr>
        <w:t>: Red</w:t>
      </w:r>
      <w:r w:rsidR="009C1556" w:rsidRPr="00300D2C">
        <w:rPr>
          <w:rFonts w:ascii="Times New Roman" w:hAnsi="Times New Roman" w:cs="Times New Roman"/>
          <w:b/>
          <w:sz w:val="24"/>
          <w:szCs w:val="24"/>
        </w:rPr>
        <w:t xml:space="preserve"> blood cell (RBC) count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64421E8D" w14:textId="77777777" w:rsidR="009176A7" w:rsidRPr="00300D2C" w:rsidRDefault="009176A7" w:rsidP="00300D2C">
      <w:pPr>
        <w:spacing w:line="360" w:lineRule="auto"/>
        <w:jc w:val="both"/>
        <w:rPr>
          <w:rFonts w:ascii="Times New Roman" w:hAnsi="Times New Roman" w:cs="Times New Roman"/>
          <w:bCs/>
          <w:sz w:val="24"/>
          <w:szCs w:val="24"/>
        </w:rPr>
      </w:pPr>
    </w:p>
    <w:p w14:paraId="579AE854" w14:textId="77777777" w:rsidR="006D5ECA" w:rsidRDefault="006D5ECA" w:rsidP="00300D2C">
      <w:pPr>
        <w:spacing w:line="360" w:lineRule="auto"/>
        <w:jc w:val="both"/>
        <w:rPr>
          <w:rFonts w:ascii="Times New Roman" w:hAnsi="Times New Roman" w:cs="Times New Roman"/>
          <w:b/>
          <w:bCs/>
          <w:sz w:val="24"/>
          <w:szCs w:val="24"/>
        </w:rPr>
      </w:pPr>
    </w:p>
    <w:p w14:paraId="6CCFC7F0" w14:textId="77777777" w:rsidR="009043A2" w:rsidRPr="00485023" w:rsidRDefault="00485023" w:rsidP="00300D2C">
      <w:pPr>
        <w:spacing w:line="360" w:lineRule="auto"/>
        <w:jc w:val="both"/>
        <w:rPr>
          <w:rFonts w:ascii="Times New Roman" w:hAnsi="Times New Roman" w:cs="Times New Roman"/>
          <w:b/>
          <w:bCs/>
          <w:sz w:val="24"/>
          <w:szCs w:val="24"/>
        </w:rPr>
      </w:pPr>
      <w:r>
        <w:object w:dxaOrig="10022" w:dyaOrig="4248" w14:anchorId="2F448541">
          <v:shape id="_x0000_i1031" type="#_x0000_t75" style="width:470.6pt;height:199.85pt" o:ole="" filled="t">
            <v:imagedata r:id="rId19" o:title=""/>
          </v:shape>
          <o:OLEObject Type="Embed" ProgID="Prism9.Document" ShapeID="_x0000_i1031" DrawAspect="Content" ObjectID="_1851665330" r:id="rId20"/>
        </w:object>
      </w:r>
      <w:r w:rsidR="00660192"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7</w:t>
      </w:r>
      <w:r w:rsidR="00660192" w:rsidRPr="00300D2C">
        <w:rPr>
          <w:rFonts w:ascii="Times New Roman" w:hAnsi="Times New Roman" w:cs="Times New Roman"/>
          <w:b/>
          <w:bCs/>
          <w:sz w:val="24"/>
          <w:szCs w:val="24"/>
        </w:rPr>
        <w:t xml:space="preserve">: </w:t>
      </w:r>
      <w:r w:rsidR="00660192" w:rsidRPr="00300D2C">
        <w:rPr>
          <w:rFonts w:ascii="Times New Roman" w:hAnsi="Times New Roman" w:cs="Times New Roman"/>
          <w:b/>
          <w:sz w:val="24"/>
          <w:szCs w:val="24"/>
        </w:rPr>
        <w:t>Hemoglobin count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w:t>
      </w:r>
      <w:r w:rsidRPr="00300D2C">
        <w:rPr>
          <w:rFonts w:ascii="Times New Roman" w:hAnsi="Times New Roman" w:cs="Times New Roman"/>
          <w:bCs/>
          <w:sz w:val="24"/>
          <w:szCs w:val="24"/>
        </w:rPr>
        <w:lastRenderedPageBreak/>
        <w:t>(n=7);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7A3631D4" w14:textId="77777777" w:rsidR="00485023" w:rsidRPr="00485023" w:rsidRDefault="00485023" w:rsidP="00485023">
      <w:pPr>
        <w:spacing w:line="360" w:lineRule="auto"/>
        <w:jc w:val="both"/>
        <w:rPr>
          <w:rFonts w:ascii="Times New Roman" w:hAnsi="Times New Roman" w:cs="Times New Roman"/>
          <w:b/>
          <w:bCs/>
          <w:sz w:val="24"/>
          <w:szCs w:val="24"/>
        </w:rPr>
      </w:pPr>
      <w:r>
        <w:object w:dxaOrig="9598" w:dyaOrig="4248" w14:anchorId="6C12EBF3">
          <v:shape id="_x0000_i1032" type="#_x0000_t75" style="width:468.85pt;height:207.35pt" o:ole="" filled="t">
            <v:imagedata r:id="rId21" o:title=""/>
          </v:shape>
          <o:OLEObject Type="Embed" ProgID="Prism9.Document" ShapeID="_x0000_i1032" DrawAspect="Content" ObjectID="_1851665331" r:id="rId22"/>
        </w:object>
      </w:r>
      <w:r w:rsidR="00660192"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8</w:t>
      </w:r>
      <w:r w:rsidR="00660192" w:rsidRPr="00300D2C">
        <w:rPr>
          <w:rFonts w:ascii="Times New Roman" w:hAnsi="Times New Roman" w:cs="Times New Roman"/>
          <w:b/>
          <w:bCs/>
          <w:sz w:val="24"/>
          <w:szCs w:val="24"/>
        </w:rPr>
        <w:t xml:space="preserve">: </w:t>
      </w:r>
      <w:r w:rsidR="004F7197" w:rsidRPr="00300D2C">
        <w:rPr>
          <w:rFonts w:ascii="Times New Roman" w:hAnsi="Times New Roman" w:cs="Times New Roman"/>
          <w:b/>
          <w:sz w:val="24"/>
          <w:szCs w:val="24"/>
        </w:rPr>
        <w:t xml:space="preserve">Packed cell volume (PCV) </w:t>
      </w:r>
      <w:r w:rsidR="00660192" w:rsidRPr="00300D2C">
        <w:rPr>
          <w:rFonts w:ascii="Times New Roman" w:hAnsi="Times New Roman" w:cs="Times New Roman"/>
          <w:b/>
          <w:sz w:val="24"/>
          <w:szCs w:val="24"/>
        </w:rPr>
        <w:t>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0C2284BC" w14:textId="77777777" w:rsidR="00C33D5D" w:rsidRPr="00300D2C" w:rsidRDefault="00C33D5D" w:rsidP="00300D2C">
      <w:pPr>
        <w:spacing w:line="360" w:lineRule="auto"/>
        <w:jc w:val="both"/>
        <w:rPr>
          <w:rFonts w:ascii="Times New Roman" w:hAnsi="Times New Roman" w:cs="Times New Roman"/>
          <w:b/>
          <w:noProof/>
          <w:sz w:val="24"/>
          <w:szCs w:val="24"/>
        </w:rPr>
      </w:pPr>
    </w:p>
    <w:p w14:paraId="234AD75F" w14:textId="77777777" w:rsidR="00B12787" w:rsidRDefault="00B12787" w:rsidP="00300D2C">
      <w:pPr>
        <w:spacing w:line="360" w:lineRule="auto"/>
        <w:jc w:val="both"/>
        <w:rPr>
          <w:rFonts w:ascii="Times New Roman" w:hAnsi="Times New Roman" w:cs="Times New Roman"/>
          <w:noProof/>
          <w:sz w:val="24"/>
          <w:szCs w:val="24"/>
        </w:rPr>
      </w:pPr>
    </w:p>
    <w:p w14:paraId="09351E66" w14:textId="77777777" w:rsidR="00485023" w:rsidRPr="00485023" w:rsidRDefault="00485023" w:rsidP="00485023">
      <w:pPr>
        <w:spacing w:line="360" w:lineRule="auto"/>
        <w:jc w:val="both"/>
        <w:rPr>
          <w:rFonts w:ascii="Times New Roman" w:hAnsi="Times New Roman" w:cs="Times New Roman"/>
          <w:b/>
          <w:bCs/>
          <w:sz w:val="24"/>
          <w:szCs w:val="24"/>
        </w:rPr>
      </w:pPr>
      <w:r>
        <w:rPr>
          <w:rFonts w:ascii="Garamond" w:hAnsi="Garamond"/>
          <w:sz w:val="24"/>
          <w:szCs w:val="24"/>
        </w:rPr>
        <w:object w:dxaOrig="9972" w:dyaOrig="4284" w14:anchorId="5DFCE842">
          <v:shape id="_x0000_i1033" type="#_x0000_t75" style="width:474.6pt;height:203.9pt" o:ole="" filled="t">
            <v:imagedata r:id="rId23" o:title=""/>
          </v:shape>
          <o:OLEObject Type="Embed" ProgID="Prism9.Document" ShapeID="_x0000_i1033" DrawAspect="Content" ObjectID="_1851665332" r:id="rId24"/>
        </w:object>
      </w:r>
      <w:r w:rsidR="00B12787"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9</w:t>
      </w:r>
      <w:r w:rsidR="00B12787" w:rsidRPr="00300D2C">
        <w:rPr>
          <w:rFonts w:ascii="Times New Roman" w:hAnsi="Times New Roman" w:cs="Times New Roman"/>
          <w:b/>
          <w:bCs/>
          <w:sz w:val="24"/>
          <w:szCs w:val="24"/>
        </w:rPr>
        <w:t xml:space="preserve">: </w:t>
      </w:r>
      <w:r w:rsidR="00B12787" w:rsidRPr="00300D2C">
        <w:rPr>
          <w:rFonts w:ascii="Times New Roman" w:hAnsi="Times New Roman" w:cs="Times New Roman"/>
          <w:b/>
          <w:sz w:val="24"/>
          <w:szCs w:val="24"/>
        </w:rPr>
        <w:t>Superoxide dismutase (SOD) activity in breast homogenate of various treatment groups</w:t>
      </w:r>
      <w:r w:rsidR="00F44AF0" w:rsidRPr="00300D2C">
        <w:rPr>
          <w:rFonts w:ascii="Times New Roman" w:hAnsi="Times New Roman" w:cs="Times New Roman"/>
          <w:bCs/>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xml:space="preserve">. Bar with </w:t>
      </w:r>
      <w:r>
        <w:rPr>
          <w:rFonts w:ascii="Times New Roman" w:hAnsi="Times New Roman" w:cs="Times New Roman"/>
          <w:bCs/>
          <w:sz w:val="24"/>
          <w:szCs w:val="24"/>
        </w:rPr>
        <w:lastRenderedPageBreak/>
        <w:t>same superscript indicate no significant difference while Bar with different superscript indicate significant difference</w:t>
      </w:r>
    </w:p>
    <w:p w14:paraId="55DBDC16" w14:textId="77777777" w:rsidR="00485023" w:rsidRDefault="00485023" w:rsidP="00300D2C">
      <w:pPr>
        <w:spacing w:line="360" w:lineRule="auto"/>
        <w:jc w:val="both"/>
        <w:rPr>
          <w:rFonts w:ascii="Times New Roman" w:hAnsi="Times New Roman" w:cs="Times New Roman"/>
          <w:noProof/>
          <w:sz w:val="24"/>
          <w:szCs w:val="24"/>
        </w:rPr>
      </w:pPr>
      <w:r>
        <w:rPr>
          <w:rFonts w:ascii="Garamond" w:hAnsi="Garamond"/>
          <w:sz w:val="24"/>
          <w:szCs w:val="24"/>
        </w:rPr>
        <w:object w:dxaOrig="9590" w:dyaOrig="4248" w14:anchorId="79ADAFC7">
          <v:shape id="_x0000_i1034" type="#_x0000_t75" style="width:467.7pt;height:207.35pt" o:ole="" filled="t">
            <v:imagedata r:id="rId25" o:title=""/>
          </v:shape>
          <o:OLEObject Type="Embed" ProgID="Prism9.Document" ShapeID="_x0000_i1034" DrawAspect="Content" ObjectID="_1851665333" r:id="rId26"/>
        </w:object>
      </w:r>
      <w:r w:rsidR="00B12787" w:rsidRPr="00300D2C">
        <w:rPr>
          <w:rFonts w:ascii="Times New Roman" w:hAnsi="Times New Roman" w:cs="Times New Roman"/>
          <w:b/>
          <w:bCs/>
          <w:sz w:val="24"/>
          <w:szCs w:val="24"/>
        </w:rPr>
        <w:t>Figure 1</w:t>
      </w:r>
      <w:r w:rsidR="00875464" w:rsidRPr="00300D2C">
        <w:rPr>
          <w:rFonts w:ascii="Times New Roman" w:hAnsi="Times New Roman" w:cs="Times New Roman"/>
          <w:b/>
          <w:bCs/>
          <w:sz w:val="24"/>
          <w:szCs w:val="24"/>
        </w:rPr>
        <w:t>0</w:t>
      </w:r>
      <w:r w:rsidR="00B12787" w:rsidRPr="00300D2C">
        <w:rPr>
          <w:rFonts w:ascii="Times New Roman" w:hAnsi="Times New Roman" w:cs="Times New Roman"/>
          <w:b/>
          <w:bCs/>
          <w:sz w:val="24"/>
          <w:szCs w:val="24"/>
        </w:rPr>
        <w:t xml:space="preserve">: </w:t>
      </w:r>
      <w:r w:rsidR="00B12787" w:rsidRPr="00300D2C">
        <w:rPr>
          <w:rFonts w:ascii="Times New Roman" w:hAnsi="Times New Roman" w:cs="Times New Roman"/>
          <w:b/>
          <w:sz w:val="24"/>
          <w:szCs w:val="24"/>
        </w:rPr>
        <w:t xml:space="preserve"> Catalase (CAT) activity in breast homogenate of various treatment groups</w:t>
      </w:r>
      <w:r w:rsidR="00F44AF0" w:rsidRPr="00300D2C">
        <w:rPr>
          <w:rFonts w:ascii="Times New Roman" w:hAnsi="Times New Roman" w:cs="Times New Roman"/>
          <w:b/>
          <w:noProof/>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6E971833" w14:textId="77777777" w:rsidR="00485023" w:rsidRDefault="00485023" w:rsidP="00300D2C">
      <w:pPr>
        <w:spacing w:line="360" w:lineRule="auto"/>
        <w:jc w:val="both"/>
        <w:rPr>
          <w:rFonts w:ascii="Times New Roman" w:hAnsi="Times New Roman" w:cs="Times New Roman"/>
          <w:noProof/>
          <w:sz w:val="24"/>
          <w:szCs w:val="24"/>
        </w:rPr>
      </w:pPr>
    </w:p>
    <w:p w14:paraId="35883F0F" w14:textId="77777777" w:rsidR="00BF0983" w:rsidRDefault="00485023" w:rsidP="00300D2C">
      <w:pPr>
        <w:spacing w:line="360" w:lineRule="auto"/>
        <w:jc w:val="both"/>
        <w:rPr>
          <w:rFonts w:ascii="Times New Roman" w:hAnsi="Times New Roman" w:cs="Times New Roman"/>
          <w:noProof/>
          <w:sz w:val="24"/>
          <w:szCs w:val="24"/>
        </w:rPr>
      </w:pPr>
      <w:r>
        <w:rPr>
          <w:rFonts w:ascii="Garamond" w:hAnsi="Garamond"/>
          <w:sz w:val="24"/>
          <w:szCs w:val="24"/>
        </w:rPr>
        <w:object w:dxaOrig="9907" w:dyaOrig="4378" w14:anchorId="781C3EA0">
          <v:shape id="_x0000_i1035" type="#_x0000_t75" style="width:472.3pt;height:207.95pt" o:ole="" filled="t">
            <v:imagedata r:id="rId27" o:title=""/>
          </v:shape>
          <o:OLEObject Type="Embed" ProgID="Prism9.Document" ShapeID="_x0000_i1035" DrawAspect="Content" ObjectID="_1851665334" r:id="rId28"/>
        </w:object>
      </w:r>
      <w:r w:rsidR="00EC2297" w:rsidRPr="00300D2C">
        <w:rPr>
          <w:rFonts w:ascii="Times New Roman" w:hAnsi="Times New Roman" w:cs="Times New Roman"/>
          <w:b/>
          <w:bCs/>
          <w:sz w:val="24"/>
          <w:szCs w:val="24"/>
        </w:rPr>
        <w:t xml:space="preserve">Figure </w:t>
      </w:r>
      <w:r w:rsidR="00EC2297" w:rsidRPr="00300D2C">
        <w:rPr>
          <w:rFonts w:ascii="Times New Roman" w:hAnsi="Times New Roman" w:cs="Times New Roman"/>
          <w:b/>
          <w:sz w:val="24"/>
          <w:szCs w:val="24"/>
        </w:rPr>
        <w:t>1</w:t>
      </w:r>
      <w:r w:rsidR="00875464" w:rsidRPr="00300D2C">
        <w:rPr>
          <w:rFonts w:ascii="Times New Roman" w:hAnsi="Times New Roman" w:cs="Times New Roman"/>
          <w:b/>
          <w:sz w:val="24"/>
          <w:szCs w:val="24"/>
        </w:rPr>
        <w:t>1</w:t>
      </w:r>
      <w:r w:rsidR="00EC2297" w:rsidRPr="00300D2C">
        <w:rPr>
          <w:rFonts w:ascii="Times New Roman" w:hAnsi="Times New Roman" w:cs="Times New Roman"/>
          <w:b/>
          <w:bCs/>
          <w:sz w:val="24"/>
          <w:szCs w:val="24"/>
        </w:rPr>
        <w:t xml:space="preserve">: </w:t>
      </w:r>
      <w:r w:rsidR="00EC2297" w:rsidRPr="00300D2C">
        <w:rPr>
          <w:rFonts w:ascii="Times New Roman" w:hAnsi="Times New Roman" w:cs="Times New Roman"/>
          <w:b/>
          <w:sz w:val="24"/>
          <w:szCs w:val="24"/>
        </w:rPr>
        <w:t xml:space="preserve"> </w:t>
      </w:r>
      <w:r w:rsidR="00EC2297" w:rsidRPr="00300D2C">
        <w:rPr>
          <w:rFonts w:ascii="Times New Roman" w:hAnsi="Times New Roman" w:cs="Times New Roman"/>
          <w:b/>
          <w:noProof/>
          <w:sz w:val="24"/>
          <w:szCs w:val="24"/>
        </w:rPr>
        <w:t xml:space="preserve">Glutathione peroxidase (GPX) </w:t>
      </w:r>
      <w:r w:rsidR="00EC2297" w:rsidRPr="00300D2C">
        <w:rPr>
          <w:rFonts w:ascii="Times New Roman" w:hAnsi="Times New Roman" w:cs="Times New Roman"/>
          <w:b/>
          <w:sz w:val="24"/>
          <w:szCs w:val="24"/>
        </w:rPr>
        <w:t>activity in breast homogenate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xml:space="preserve">. Bar with </w:t>
      </w:r>
      <w:r>
        <w:rPr>
          <w:rFonts w:ascii="Times New Roman" w:hAnsi="Times New Roman" w:cs="Times New Roman"/>
          <w:bCs/>
          <w:sz w:val="24"/>
          <w:szCs w:val="24"/>
        </w:rPr>
        <w:lastRenderedPageBreak/>
        <w:t>same superscript indicate no significant difference while Bar with different superscript indicate significant difference</w:t>
      </w:r>
    </w:p>
    <w:p w14:paraId="46E7F6E5" w14:textId="77777777" w:rsidR="00C42506" w:rsidRPr="00BF0983" w:rsidRDefault="00BF0983" w:rsidP="00300D2C">
      <w:pPr>
        <w:spacing w:line="360" w:lineRule="auto"/>
        <w:jc w:val="both"/>
        <w:rPr>
          <w:rFonts w:ascii="Times New Roman" w:hAnsi="Times New Roman" w:cs="Times New Roman"/>
          <w:noProof/>
          <w:sz w:val="24"/>
          <w:szCs w:val="24"/>
        </w:rPr>
      </w:pPr>
      <w:r>
        <w:rPr>
          <w:rFonts w:ascii="Garamond" w:hAnsi="Garamond"/>
          <w:sz w:val="24"/>
          <w:szCs w:val="24"/>
        </w:rPr>
        <w:object w:dxaOrig="9907" w:dyaOrig="4248" w14:anchorId="0ACB5056">
          <v:shape id="_x0000_i1036" type="#_x0000_t75" style="width:480.4pt;height:205.65pt" o:ole="" filled="t">
            <v:imagedata r:id="rId29" o:title=""/>
          </v:shape>
          <o:OLEObject Type="Embed" ProgID="Prism9.Document" ShapeID="_x0000_i1036" DrawAspect="Content" ObjectID="_1851665335" r:id="rId30"/>
        </w:object>
      </w:r>
      <w:r w:rsidR="00C42506"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12</w:t>
      </w:r>
      <w:r w:rsidR="00C42506" w:rsidRPr="00300D2C">
        <w:rPr>
          <w:rFonts w:ascii="Times New Roman" w:hAnsi="Times New Roman" w:cs="Times New Roman"/>
          <w:b/>
          <w:sz w:val="24"/>
          <w:szCs w:val="24"/>
        </w:rPr>
        <w:t xml:space="preserve">: </w:t>
      </w:r>
      <w:r w:rsidR="00C42506" w:rsidRPr="00300D2C">
        <w:rPr>
          <w:rFonts w:ascii="Times New Roman" w:hAnsi="Times New Roman" w:cs="Times New Roman"/>
          <w:b/>
          <w:noProof/>
          <w:sz w:val="24"/>
          <w:szCs w:val="24"/>
        </w:rPr>
        <w:t xml:space="preserve">Reduced glutathione (GSH) </w:t>
      </w:r>
      <w:r w:rsidR="00C42506" w:rsidRPr="00300D2C">
        <w:rPr>
          <w:rFonts w:ascii="Times New Roman" w:hAnsi="Times New Roman" w:cs="Times New Roman"/>
          <w:b/>
          <w:sz w:val="24"/>
          <w:szCs w:val="24"/>
        </w:rPr>
        <w:t>level in breast homogenate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4BF77DDE" w14:textId="77777777" w:rsidR="009043A2" w:rsidRPr="00300D2C" w:rsidRDefault="009043A2" w:rsidP="00300D2C">
      <w:pPr>
        <w:spacing w:line="360" w:lineRule="auto"/>
        <w:jc w:val="both"/>
        <w:rPr>
          <w:rFonts w:ascii="Times New Roman" w:hAnsi="Times New Roman" w:cs="Times New Roman"/>
          <w:bCs/>
          <w:sz w:val="24"/>
          <w:szCs w:val="24"/>
        </w:rPr>
      </w:pPr>
    </w:p>
    <w:p w14:paraId="70A47CD8" w14:textId="77777777" w:rsidR="00BF0983" w:rsidRPr="00360635" w:rsidRDefault="00360635" w:rsidP="00BF0983">
      <w:pPr>
        <w:spacing w:line="360" w:lineRule="auto"/>
        <w:jc w:val="both"/>
        <w:rPr>
          <w:rFonts w:ascii="Times New Roman" w:hAnsi="Times New Roman" w:cs="Times New Roman"/>
          <w:b/>
          <w:sz w:val="24"/>
          <w:szCs w:val="24"/>
        </w:rPr>
      </w:pPr>
      <w:r>
        <w:rPr>
          <w:rFonts w:ascii="Garamond" w:hAnsi="Garamond"/>
          <w:sz w:val="24"/>
          <w:szCs w:val="24"/>
        </w:rPr>
        <w:object w:dxaOrig="9967" w:dyaOrig="4248" w14:anchorId="59EC9380">
          <v:shape id="_x0000_i1037" type="#_x0000_t75" style="width:486.15pt;height:207.35pt" o:ole="" filled="t">
            <v:imagedata r:id="rId31" o:title=""/>
          </v:shape>
          <o:OLEObject Type="Embed" ProgID="Prism9.Document" ShapeID="_x0000_i1037" DrawAspect="Content" ObjectID="_1851665336" r:id="rId32"/>
        </w:object>
      </w:r>
      <w:r w:rsidR="00C42506"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13</w:t>
      </w:r>
      <w:r w:rsidR="00C42506" w:rsidRPr="00300D2C">
        <w:rPr>
          <w:rFonts w:ascii="Times New Roman" w:hAnsi="Times New Roman" w:cs="Times New Roman"/>
          <w:b/>
          <w:bCs/>
          <w:sz w:val="24"/>
          <w:szCs w:val="24"/>
        </w:rPr>
        <w:t>:</w:t>
      </w:r>
      <w:r w:rsidR="00C42506" w:rsidRPr="00300D2C">
        <w:rPr>
          <w:rFonts w:ascii="Times New Roman" w:hAnsi="Times New Roman" w:cs="Times New Roman"/>
          <w:b/>
          <w:noProof/>
          <w:sz w:val="24"/>
          <w:szCs w:val="24"/>
        </w:rPr>
        <w:t xml:space="preserve"> </w:t>
      </w:r>
      <w:r w:rsidR="00C42506" w:rsidRPr="00300D2C">
        <w:rPr>
          <w:rFonts w:ascii="Times New Roman" w:hAnsi="Times New Roman" w:cs="Times New Roman"/>
          <w:b/>
          <w:sz w:val="24"/>
          <w:szCs w:val="24"/>
        </w:rPr>
        <w:t xml:space="preserve">Malondialdehyde (MDA) </w:t>
      </w:r>
      <w:r w:rsidR="00C42506" w:rsidRPr="00300D2C">
        <w:rPr>
          <w:rFonts w:ascii="Times New Roman" w:hAnsi="Times New Roman" w:cs="Times New Roman"/>
          <w:b/>
          <w:noProof/>
          <w:sz w:val="24"/>
          <w:szCs w:val="24"/>
        </w:rPr>
        <w:t>concentration</w:t>
      </w:r>
      <w:r w:rsidR="00C42506" w:rsidRPr="00300D2C">
        <w:rPr>
          <w:rFonts w:ascii="Times New Roman" w:hAnsi="Times New Roman" w:cs="Times New Roman"/>
          <w:b/>
          <w:sz w:val="24"/>
          <w:szCs w:val="24"/>
        </w:rPr>
        <w:t xml:space="preserve"> in breast homogenate of various treatment groups</w:t>
      </w:r>
      <w:r w:rsidR="00F44AF0" w:rsidRPr="00300D2C">
        <w:rPr>
          <w:rFonts w:ascii="Times New Roman" w:hAnsi="Times New Roman" w:cs="Times New Roman"/>
          <w:b/>
          <w:noProof/>
          <w:sz w:val="24"/>
          <w:szCs w:val="24"/>
        </w:rPr>
        <w:t xml:space="preserve">. </w:t>
      </w:r>
      <w:r w:rsidR="00BF0983">
        <w:rPr>
          <w:rFonts w:ascii="Times New Roman" w:hAnsi="Times New Roman" w:cs="Times New Roman"/>
          <w:bCs/>
          <w:sz w:val="24"/>
          <w:szCs w:val="24"/>
        </w:rPr>
        <w:t>Values are expressed as</w:t>
      </w:r>
      <w:r w:rsidR="00BF0983" w:rsidRPr="00300D2C">
        <w:rPr>
          <w:rFonts w:ascii="Times New Roman" w:hAnsi="Times New Roman" w:cs="Times New Roman"/>
          <w:bCs/>
          <w:sz w:val="24"/>
          <w:szCs w:val="24"/>
        </w:rPr>
        <w:t xml:space="preserve"> mean ± SD (n=7); significant differences (p &lt;0.05)</w:t>
      </w:r>
      <w:r w:rsidR="00BF0983">
        <w:rPr>
          <w:rFonts w:ascii="Times New Roman" w:hAnsi="Times New Roman" w:cs="Times New Roman"/>
          <w:bCs/>
          <w:sz w:val="24"/>
          <w:szCs w:val="24"/>
        </w:rPr>
        <w:t xml:space="preserve">. </w:t>
      </w:r>
      <w:r w:rsidR="00BF0983">
        <w:rPr>
          <w:rFonts w:ascii="Times New Roman" w:hAnsi="Times New Roman" w:cs="Times New Roman"/>
          <w:bCs/>
          <w:sz w:val="24"/>
          <w:szCs w:val="24"/>
        </w:rPr>
        <w:lastRenderedPageBreak/>
        <w:t>Bar with same superscript indicate no significant difference while Bar with different superscript indicate significant difference</w:t>
      </w:r>
    </w:p>
    <w:p w14:paraId="71566A72" w14:textId="77777777" w:rsidR="00144385" w:rsidRPr="00300D2C" w:rsidRDefault="00144385" w:rsidP="00300D2C">
      <w:pPr>
        <w:spacing w:line="360" w:lineRule="auto"/>
        <w:jc w:val="both"/>
        <w:rPr>
          <w:rFonts w:ascii="Times New Roman" w:hAnsi="Times New Roman" w:cs="Times New Roman"/>
          <w:bCs/>
          <w:sz w:val="24"/>
          <w:szCs w:val="24"/>
        </w:rPr>
      </w:pPr>
    </w:p>
    <w:p w14:paraId="1B3E7A8C" w14:textId="77777777" w:rsidR="000C609D" w:rsidRPr="00300D2C" w:rsidRDefault="009C1FB7"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Complications associated with anticancer therapy have been linked to oxidative stress, redox imbalance and alterations in normal physiological functions (Adedosu </w:t>
      </w:r>
      <w:r>
        <w:rPr>
          <w:rFonts w:ascii="Times New Roman" w:hAnsi="Times New Roman" w:cs="Times New Roman"/>
          <w:i/>
          <w:iCs/>
          <w:sz w:val="24"/>
          <w:szCs w:val="24"/>
        </w:rPr>
        <w:t>et al</w:t>
      </w:r>
      <w:r>
        <w:rPr>
          <w:rFonts w:ascii="Times New Roman" w:hAnsi="Times New Roman" w:cs="Times New Roman"/>
          <w:sz w:val="24"/>
          <w:szCs w:val="24"/>
        </w:rPr>
        <w:t xml:space="preserve">., 2018). Tamoxifen is an important drug used in the prevention and treatment of hormone receptor-positive breast cancer, although prolonged use may be associated with adverse effects (Gaies </w:t>
      </w:r>
      <w:r>
        <w:rPr>
          <w:rFonts w:ascii="Times New Roman" w:hAnsi="Times New Roman" w:cs="Times New Roman"/>
          <w:i/>
          <w:iCs/>
          <w:sz w:val="24"/>
          <w:szCs w:val="24"/>
        </w:rPr>
        <w:t>et al</w:t>
      </w:r>
      <w:r>
        <w:rPr>
          <w:rFonts w:ascii="Times New Roman" w:hAnsi="Times New Roman" w:cs="Times New Roman"/>
          <w:sz w:val="24"/>
          <w:szCs w:val="24"/>
        </w:rPr>
        <w:t xml:space="preserve">., 2012; </w:t>
      </w:r>
      <w:r>
        <w:rPr>
          <w:rFonts w:ascii="Times New Roman" w:hAnsi="Times New Roman" w:cs="Times New Roman"/>
          <w:sz w:val="24"/>
          <w:szCs w:val="24"/>
          <w:highlight w:val="yellow"/>
        </w:rPr>
        <w:t>Buijs</w:t>
      </w:r>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2024). Therefore, the identification of interventions that may attenuate treatment-associated biochemical and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alterations remains important </w:t>
      </w:r>
      <w:r>
        <w:rPr>
          <w:rFonts w:ascii="Times New Roman" w:hAnsi="Times New Roman" w:cs="Times New Roman"/>
          <w:sz w:val="24"/>
          <w:szCs w:val="24"/>
          <w:highlight w:val="yellow"/>
        </w:rPr>
        <w:t>(Khallouki</w:t>
      </w:r>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2023). In the present study, the effects of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on </w:t>
      </w:r>
      <w:r>
        <w:rPr>
          <w:rFonts w:ascii="Times New Roman" w:hAnsi="Times New Roman" w:cs="Times New Roman"/>
          <w:sz w:val="24"/>
          <w:szCs w:val="24"/>
          <w:highlight w:val="yellow"/>
        </w:rPr>
        <w:t>tamoxifen-associated</w:t>
      </w:r>
      <w:r>
        <w:rPr>
          <w:rFonts w:ascii="Times New Roman" w:hAnsi="Times New Roman" w:cs="Times New Roman"/>
          <w:sz w:val="24"/>
          <w:szCs w:val="24"/>
        </w:rPr>
        <w:t xml:space="preserve"> alterations in total protein,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indices and </w:t>
      </w:r>
      <w:r>
        <w:rPr>
          <w:rFonts w:ascii="Times New Roman" w:hAnsi="Times New Roman" w:cs="Times New Roman"/>
          <w:sz w:val="24"/>
          <w:szCs w:val="24"/>
          <w:highlight w:val="yellow"/>
        </w:rPr>
        <w:t>breast-tissue</w:t>
      </w:r>
      <w:r>
        <w:rPr>
          <w:rFonts w:ascii="Times New Roman" w:hAnsi="Times New Roman" w:cs="Times New Roman"/>
          <w:sz w:val="24"/>
          <w:szCs w:val="24"/>
        </w:rPr>
        <w:t xml:space="preserve"> antioxidant status were evaluated.</w:t>
      </w:r>
    </w:p>
    <w:p w14:paraId="46F00C53" w14:textId="77777777" w:rsidR="00B7569C" w:rsidRPr="00300D2C" w:rsidRDefault="009C1FB7"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Protein determination provides useful information on metabolic and cellular status because proteins are involved in numerous physiological processes, including transport, enzymatic activity and maintenance of cellular structure. In the present study,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significantly </w:t>
      </w:r>
      <w:r>
        <w:rPr>
          <w:rFonts w:ascii="Times New Roman" w:hAnsi="Times New Roman" w:cs="Times New Roman"/>
          <w:sz w:val="24"/>
          <w:szCs w:val="24"/>
          <w:highlight w:val="yellow"/>
        </w:rPr>
        <w:t>(p &lt; 0.05)</w:t>
      </w:r>
      <w:r>
        <w:rPr>
          <w:rFonts w:ascii="Times New Roman" w:hAnsi="Times New Roman" w:cs="Times New Roman"/>
          <w:sz w:val="24"/>
          <w:szCs w:val="24"/>
        </w:rPr>
        <w:t xml:space="preserve"> reduced total protein concentration in both serum and breast homogenate </w:t>
      </w:r>
      <w:r>
        <w:rPr>
          <w:rFonts w:ascii="Times New Roman" w:hAnsi="Times New Roman" w:cs="Times New Roman"/>
          <w:sz w:val="24"/>
          <w:szCs w:val="24"/>
          <w:highlight w:val="yellow"/>
        </w:rPr>
        <w:t>(Figures</w:t>
      </w:r>
      <w:r>
        <w:rPr>
          <w:rFonts w:ascii="Times New Roman" w:hAnsi="Times New Roman" w:cs="Times New Roman"/>
          <w:sz w:val="24"/>
          <w:szCs w:val="24"/>
        </w:rPr>
        <w:t xml:space="preserve"> 1 and 2) compared with the control group. The reduction may reflect disturbances in protein metabolism, increased protein degradation or cellular alterations associated with oxidative stress (Sharma </w:t>
      </w:r>
      <w:r>
        <w:rPr>
          <w:rFonts w:ascii="Times New Roman" w:hAnsi="Times New Roman" w:cs="Times New Roman"/>
          <w:sz w:val="24"/>
          <w:szCs w:val="24"/>
          <w:highlight w:val="yellow"/>
        </w:rPr>
        <w:t>&amp;</w:t>
      </w:r>
      <w:r>
        <w:rPr>
          <w:rFonts w:ascii="Times New Roman" w:hAnsi="Times New Roman" w:cs="Times New Roman"/>
          <w:sz w:val="24"/>
          <w:szCs w:val="24"/>
        </w:rPr>
        <w:t xml:space="preserve"> Kim, 2021; Liu </w:t>
      </w:r>
      <w:r>
        <w:rPr>
          <w:rFonts w:ascii="Times New Roman" w:hAnsi="Times New Roman" w:cs="Times New Roman"/>
          <w:i/>
          <w:iCs/>
          <w:sz w:val="24"/>
          <w:szCs w:val="24"/>
        </w:rPr>
        <w:t>et al</w:t>
      </w:r>
      <w:r>
        <w:rPr>
          <w:rFonts w:ascii="Times New Roman" w:hAnsi="Times New Roman" w:cs="Times New Roman"/>
          <w:sz w:val="24"/>
          <w:szCs w:val="24"/>
        </w:rPr>
        <w:t xml:space="preserve">., 2024). Interestingly, administration of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attenuated the reduction in total protein observed in the </w:t>
      </w:r>
      <w:r>
        <w:rPr>
          <w:rFonts w:ascii="Times New Roman" w:hAnsi="Times New Roman" w:cs="Times New Roman"/>
          <w:sz w:val="24"/>
          <w:szCs w:val="24"/>
          <w:highlight w:val="yellow"/>
        </w:rPr>
        <w:t>tamoxifen-treated</w:t>
      </w:r>
      <w:r>
        <w:rPr>
          <w:rFonts w:ascii="Times New Roman" w:hAnsi="Times New Roman" w:cs="Times New Roman"/>
          <w:sz w:val="24"/>
          <w:szCs w:val="24"/>
        </w:rPr>
        <w:t xml:space="preserve"> animals. In serum, </w:t>
      </w:r>
      <w:r>
        <w:rPr>
          <w:rFonts w:ascii="Times New Roman" w:hAnsi="Times New Roman" w:cs="Times New Roman"/>
          <w:sz w:val="24"/>
          <w:szCs w:val="24"/>
          <w:highlight w:val="yellow"/>
        </w:rPr>
        <w:t>extract</w:t>
      </w:r>
      <w:r>
        <w:rPr>
          <w:rFonts w:ascii="Times New Roman" w:hAnsi="Times New Roman" w:cs="Times New Roman"/>
          <w:sz w:val="24"/>
          <w:szCs w:val="24"/>
        </w:rPr>
        <w:t xml:space="preserve"> and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increased total protein to 5.58 g/dL, while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and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and the combined treatment produced values of 5.00 and 5.02 g/dL, respectively, compared with 3.69 g/dL in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A similar pattern was observed in breast homogenate, where </w:t>
      </w:r>
      <w:r>
        <w:rPr>
          <w:rFonts w:ascii="Times New Roman" w:hAnsi="Times New Roman" w:cs="Times New Roman"/>
          <w:sz w:val="24"/>
          <w:szCs w:val="24"/>
          <w:highlight w:val="yellow"/>
        </w:rPr>
        <w:t>extract</w:t>
      </w:r>
      <w:r>
        <w:rPr>
          <w:rFonts w:ascii="Times New Roman" w:hAnsi="Times New Roman" w:cs="Times New Roman"/>
          <w:sz w:val="24"/>
          <w:szCs w:val="24"/>
        </w:rPr>
        <w:t xml:space="preserve"> and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and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and the combined treatment </w:t>
      </w:r>
      <w:r>
        <w:rPr>
          <w:rFonts w:ascii="Times New Roman" w:hAnsi="Times New Roman" w:cs="Times New Roman"/>
          <w:sz w:val="24"/>
          <w:szCs w:val="24"/>
          <w:highlight w:val="yellow"/>
        </w:rPr>
        <w:t>(extract,</w:t>
      </w:r>
      <w:r>
        <w:rPr>
          <w:rFonts w:ascii="Times New Roman" w:hAnsi="Times New Roman" w:cs="Times New Roman"/>
          <w:sz w:val="24"/>
          <w:szCs w:val="24"/>
        </w:rPr>
        <w:t xml:space="preserve">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and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increased total protein relative to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alone. These findings suggest that the treatments may have reduced the biochemical disturbances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(Abdelqader </w:t>
      </w:r>
      <w:r>
        <w:rPr>
          <w:rFonts w:ascii="Times New Roman" w:hAnsi="Times New Roman" w:cs="Times New Roman"/>
          <w:i/>
          <w:iCs/>
          <w:sz w:val="24"/>
          <w:szCs w:val="24"/>
        </w:rPr>
        <w:t>et al</w:t>
      </w:r>
      <w:r>
        <w:rPr>
          <w:rFonts w:ascii="Times New Roman" w:hAnsi="Times New Roman" w:cs="Times New Roman"/>
          <w:sz w:val="24"/>
          <w:szCs w:val="24"/>
        </w:rPr>
        <w:t xml:space="preserve">., 2023; Fang </w:t>
      </w:r>
      <w:r>
        <w:rPr>
          <w:rFonts w:ascii="Times New Roman" w:hAnsi="Times New Roman" w:cs="Times New Roman"/>
          <w:i/>
          <w:iCs/>
          <w:sz w:val="24"/>
          <w:szCs w:val="24"/>
        </w:rPr>
        <w:t>et al</w:t>
      </w:r>
      <w:r>
        <w:rPr>
          <w:rFonts w:ascii="Times New Roman" w:hAnsi="Times New Roman" w:cs="Times New Roman"/>
          <w:sz w:val="24"/>
          <w:szCs w:val="24"/>
        </w:rPr>
        <w:t xml:space="preserve">., 2023). The improvement observed with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may be related to its established antioxidant role and ability to </w:t>
      </w:r>
      <w:r>
        <w:rPr>
          <w:rFonts w:ascii="Times New Roman" w:hAnsi="Times New Roman" w:cs="Times New Roman"/>
          <w:sz w:val="24"/>
          <w:szCs w:val="24"/>
          <w:highlight w:val="yellow"/>
        </w:rPr>
        <w:t>reduce</w:t>
      </w:r>
      <w:r>
        <w:rPr>
          <w:rFonts w:ascii="Times New Roman" w:hAnsi="Times New Roman" w:cs="Times New Roman"/>
          <w:sz w:val="24"/>
          <w:szCs w:val="24"/>
        </w:rPr>
        <w:t xml:space="preserve"> lipid peroxidation and oxidative damage to cellular components (Ralla </w:t>
      </w:r>
      <w:r>
        <w:rPr>
          <w:rFonts w:ascii="Times New Roman" w:hAnsi="Times New Roman" w:cs="Times New Roman"/>
          <w:i/>
          <w:iCs/>
          <w:sz w:val="24"/>
          <w:szCs w:val="24"/>
        </w:rPr>
        <w:t>et al</w:t>
      </w:r>
      <w:r>
        <w:rPr>
          <w:rFonts w:ascii="Times New Roman" w:hAnsi="Times New Roman" w:cs="Times New Roman"/>
          <w:sz w:val="24"/>
          <w:szCs w:val="24"/>
        </w:rPr>
        <w:t xml:space="preserve">., 2024; Khalid </w:t>
      </w:r>
      <w:r>
        <w:rPr>
          <w:rFonts w:ascii="Times New Roman" w:hAnsi="Times New Roman" w:cs="Times New Roman"/>
          <w:i/>
          <w:iCs/>
          <w:sz w:val="24"/>
          <w:szCs w:val="24"/>
        </w:rPr>
        <w:t>et al</w:t>
      </w:r>
      <w:r>
        <w:rPr>
          <w:rFonts w:ascii="Times New Roman" w:hAnsi="Times New Roman" w:cs="Times New Roman"/>
          <w:sz w:val="24"/>
          <w:szCs w:val="24"/>
        </w:rPr>
        <w:t xml:space="preserve">., 2024). The effects observed with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may also be associated with its previously </w:t>
      </w:r>
      <w:r>
        <w:rPr>
          <w:rFonts w:ascii="Times New Roman" w:hAnsi="Times New Roman" w:cs="Times New Roman"/>
          <w:sz w:val="24"/>
          <w:szCs w:val="24"/>
        </w:rPr>
        <w:lastRenderedPageBreak/>
        <w:t xml:space="preserve">reported antioxidant properties (Rudrapal </w:t>
      </w:r>
      <w:r>
        <w:rPr>
          <w:rFonts w:ascii="Times New Roman" w:hAnsi="Times New Roman" w:cs="Times New Roman"/>
          <w:i/>
          <w:iCs/>
          <w:sz w:val="24"/>
          <w:szCs w:val="24"/>
        </w:rPr>
        <w:t>et al</w:t>
      </w:r>
      <w:r>
        <w:rPr>
          <w:rFonts w:ascii="Times New Roman" w:hAnsi="Times New Roman" w:cs="Times New Roman"/>
          <w:sz w:val="24"/>
          <w:szCs w:val="24"/>
        </w:rPr>
        <w:t xml:space="preserve">., 2024; Mubeen </w:t>
      </w:r>
      <w:r>
        <w:rPr>
          <w:rFonts w:ascii="Times New Roman" w:hAnsi="Times New Roman" w:cs="Times New Roman"/>
          <w:i/>
          <w:iCs/>
          <w:sz w:val="24"/>
          <w:szCs w:val="24"/>
        </w:rPr>
        <w:t>et al</w:t>
      </w:r>
      <w:r>
        <w:rPr>
          <w:rFonts w:ascii="Times New Roman" w:hAnsi="Times New Roman" w:cs="Times New Roman"/>
          <w:sz w:val="24"/>
          <w:szCs w:val="24"/>
        </w:rPr>
        <w:t xml:space="preserve">., 2025). However, the specific compounds responsible for the effects were not </w:t>
      </w:r>
      <w:r>
        <w:rPr>
          <w:rFonts w:ascii="Times New Roman" w:hAnsi="Times New Roman" w:cs="Times New Roman"/>
          <w:sz w:val="24"/>
          <w:szCs w:val="24"/>
          <w:highlight w:val="yellow"/>
        </w:rPr>
        <w:t>characterised</w:t>
      </w:r>
      <w:r>
        <w:rPr>
          <w:rFonts w:ascii="Times New Roman" w:hAnsi="Times New Roman" w:cs="Times New Roman"/>
          <w:sz w:val="24"/>
          <w:szCs w:val="24"/>
        </w:rPr>
        <w:t xml:space="preserve"> in the present study. Although the combination treatment produced the most pronounced improvement in serum total protein, all treatment groups showed better protein status than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treated group, </w:t>
      </w:r>
      <w:r>
        <w:rPr>
          <w:rFonts w:ascii="Times New Roman" w:hAnsi="Times New Roman" w:cs="Times New Roman"/>
          <w:sz w:val="24"/>
          <w:szCs w:val="24"/>
          <w:highlight w:val="yellow"/>
        </w:rPr>
        <w:t>suggesting</w:t>
      </w:r>
      <w:r>
        <w:rPr>
          <w:rFonts w:ascii="Times New Roman" w:hAnsi="Times New Roman" w:cs="Times New Roman"/>
          <w:sz w:val="24"/>
          <w:szCs w:val="24"/>
        </w:rPr>
        <w:t xml:space="preserve"> varying degrees of protection against </w:t>
      </w:r>
      <w:r>
        <w:rPr>
          <w:rFonts w:ascii="Times New Roman" w:hAnsi="Times New Roman" w:cs="Times New Roman"/>
          <w:sz w:val="24"/>
          <w:szCs w:val="24"/>
          <w:highlight w:val="yellow"/>
        </w:rPr>
        <w:t>tamoxifen-induced</w:t>
      </w:r>
      <w:r>
        <w:rPr>
          <w:rFonts w:ascii="Times New Roman" w:hAnsi="Times New Roman" w:cs="Times New Roman"/>
          <w:sz w:val="24"/>
          <w:szCs w:val="24"/>
        </w:rPr>
        <w:t xml:space="preserve"> biochemical disturbances (Fang </w:t>
      </w:r>
      <w:r>
        <w:rPr>
          <w:rFonts w:ascii="Times New Roman" w:hAnsi="Times New Roman" w:cs="Times New Roman"/>
          <w:i/>
          <w:iCs/>
          <w:sz w:val="24"/>
          <w:szCs w:val="24"/>
        </w:rPr>
        <w:t>et al</w:t>
      </w:r>
      <w:r>
        <w:rPr>
          <w:rFonts w:ascii="Times New Roman" w:hAnsi="Times New Roman" w:cs="Times New Roman"/>
          <w:sz w:val="24"/>
          <w:szCs w:val="24"/>
        </w:rPr>
        <w:t xml:space="preserve">., 2023). These findings </w:t>
      </w:r>
      <w:r>
        <w:rPr>
          <w:rFonts w:ascii="Times New Roman" w:hAnsi="Times New Roman" w:cs="Times New Roman"/>
          <w:sz w:val="24"/>
          <w:szCs w:val="24"/>
          <w:highlight w:val="yellow"/>
        </w:rPr>
        <w:t>suggest</w:t>
      </w:r>
      <w:r>
        <w:rPr>
          <w:rFonts w:ascii="Times New Roman" w:hAnsi="Times New Roman" w:cs="Times New Roman"/>
          <w:sz w:val="24"/>
          <w:szCs w:val="24"/>
        </w:rPr>
        <w:t xml:space="preserve"> that the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may attenuate some of the biochemical disturbances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w:t>
      </w:r>
      <w:r>
        <w:rPr>
          <w:rFonts w:ascii="Times New Roman" w:hAnsi="Times New Roman" w:cs="Times New Roman"/>
          <w:color w:val="222222"/>
          <w:sz w:val="24"/>
          <w:szCs w:val="24"/>
          <w:shd w:val="clear" w:color="auto" w:fill="FFFFFF"/>
        </w:rPr>
        <w:t xml:space="preserve">Khallouki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xml:space="preserve">., 2023; Ahmed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2026)</w:t>
      </w:r>
      <w:r>
        <w:rPr>
          <w:rFonts w:ascii="Times New Roman" w:hAnsi="Times New Roman" w:cs="Times New Roman"/>
          <w:sz w:val="24"/>
          <w:szCs w:val="24"/>
        </w:rPr>
        <w:t>.</w:t>
      </w:r>
    </w:p>
    <w:p w14:paraId="0215A03A" w14:textId="77777777" w:rsidR="00070342" w:rsidRDefault="003B38CC"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parameters are useful indicators of physiological changes and may provide evidence of drug-associated alterations in blood homeostasis. In the present study, </w:t>
      </w:r>
      <w:r>
        <w:rPr>
          <w:rFonts w:ascii="Times New Roman" w:hAnsi="Times New Roman" w:cs="Times New Roman"/>
          <w:sz w:val="24"/>
          <w:szCs w:val="24"/>
          <w:highlight w:val="yellow"/>
        </w:rPr>
        <w:t>Figures</w:t>
      </w:r>
      <w:r>
        <w:rPr>
          <w:rFonts w:ascii="Times New Roman" w:hAnsi="Times New Roman" w:cs="Times New Roman"/>
          <w:sz w:val="24"/>
          <w:szCs w:val="24"/>
        </w:rPr>
        <w:t xml:space="preserve"> 3, 4 and 5 </w:t>
      </w:r>
      <w:r>
        <w:rPr>
          <w:rFonts w:ascii="Times New Roman" w:hAnsi="Times New Roman" w:cs="Times New Roman"/>
          <w:sz w:val="24"/>
          <w:szCs w:val="24"/>
          <w:highlight w:val="yellow"/>
        </w:rPr>
        <w:t>show</w:t>
      </w:r>
      <w:r>
        <w:rPr>
          <w:rFonts w:ascii="Times New Roman" w:hAnsi="Times New Roman" w:cs="Times New Roman"/>
          <w:sz w:val="24"/>
          <w:szCs w:val="24"/>
        </w:rPr>
        <w:t xml:space="preserve"> </w:t>
      </w:r>
      <w:r>
        <w:rPr>
          <w:rFonts w:ascii="Times New Roman" w:hAnsi="Times New Roman" w:cs="Times New Roman"/>
          <w:sz w:val="24"/>
          <w:szCs w:val="24"/>
          <w:highlight w:val="yellow"/>
        </w:rPr>
        <w:t>that</w:t>
      </w:r>
      <w:r>
        <w:rPr>
          <w:rFonts w:ascii="Times New Roman" w:hAnsi="Times New Roman" w:cs="Times New Roman"/>
          <w:sz w:val="24"/>
          <w:szCs w:val="24"/>
        </w:rPr>
        <w:t xml:space="preserve">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significantly </w:t>
      </w:r>
      <w:r>
        <w:rPr>
          <w:rFonts w:ascii="Times New Roman" w:hAnsi="Times New Roman" w:cs="Times New Roman"/>
          <w:sz w:val="24"/>
          <w:szCs w:val="24"/>
          <w:highlight w:val="yellow"/>
        </w:rPr>
        <w:t>(p &lt; 0.05)</w:t>
      </w:r>
      <w:r>
        <w:rPr>
          <w:rFonts w:ascii="Times New Roman" w:hAnsi="Times New Roman" w:cs="Times New Roman"/>
          <w:sz w:val="24"/>
          <w:szCs w:val="24"/>
        </w:rPr>
        <w:t xml:space="preserve"> increased white blood cell (WBC), lymphocyte and platelet counts, while red blood cell (RBC) count, </w:t>
      </w:r>
      <w:r>
        <w:rPr>
          <w:rFonts w:ascii="Times New Roman" w:hAnsi="Times New Roman" w:cs="Times New Roman"/>
          <w:sz w:val="24"/>
          <w:szCs w:val="24"/>
          <w:highlight w:val="yellow"/>
        </w:rPr>
        <w:t>haemoglobin</w:t>
      </w:r>
      <w:r>
        <w:rPr>
          <w:rFonts w:ascii="Times New Roman" w:hAnsi="Times New Roman" w:cs="Times New Roman"/>
          <w:sz w:val="24"/>
          <w:szCs w:val="24"/>
        </w:rPr>
        <w:t xml:space="preserve"> concentration and packed cell volume (PCV) </w:t>
      </w:r>
      <w:r>
        <w:rPr>
          <w:rFonts w:ascii="Times New Roman" w:hAnsi="Times New Roman" w:cs="Times New Roman"/>
          <w:sz w:val="24"/>
          <w:szCs w:val="24"/>
          <w:highlight w:val="yellow"/>
        </w:rPr>
        <w:t>(Figures</w:t>
      </w:r>
      <w:r>
        <w:rPr>
          <w:rFonts w:ascii="Times New Roman" w:hAnsi="Times New Roman" w:cs="Times New Roman"/>
          <w:sz w:val="24"/>
          <w:szCs w:val="24"/>
        </w:rPr>
        <w:t xml:space="preserve"> 6, 7 and </w:t>
      </w:r>
      <w:r>
        <w:rPr>
          <w:rFonts w:ascii="Times New Roman" w:hAnsi="Times New Roman" w:cs="Times New Roman"/>
          <w:sz w:val="24"/>
          <w:szCs w:val="24"/>
          <w:highlight w:val="yellow"/>
        </w:rPr>
        <w:t>8)</w:t>
      </w:r>
      <w:r>
        <w:rPr>
          <w:rFonts w:ascii="Times New Roman" w:hAnsi="Times New Roman" w:cs="Times New Roman"/>
          <w:sz w:val="24"/>
          <w:szCs w:val="24"/>
        </w:rPr>
        <w:t xml:space="preserve"> were significantly </w:t>
      </w:r>
      <w:r>
        <w:rPr>
          <w:rFonts w:ascii="Times New Roman" w:hAnsi="Times New Roman" w:cs="Times New Roman"/>
          <w:sz w:val="24"/>
          <w:szCs w:val="24"/>
          <w:highlight w:val="yellow"/>
        </w:rPr>
        <w:t>(p &lt; 0.05)</w:t>
      </w:r>
      <w:r>
        <w:rPr>
          <w:rFonts w:ascii="Times New Roman" w:hAnsi="Times New Roman" w:cs="Times New Roman"/>
          <w:sz w:val="24"/>
          <w:szCs w:val="24"/>
        </w:rPr>
        <w:t xml:space="preserve"> reduced compared with the control group. These findings indicate that prolonged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was associated with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alterations, including changes consistent with </w:t>
      </w:r>
      <w:r>
        <w:rPr>
          <w:rFonts w:ascii="Times New Roman" w:hAnsi="Times New Roman" w:cs="Times New Roman"/>
          <w:sz w:val="24"/>
          <w:szCs w:val="24"/>
          <w:highlight w:val="yellow"/>
        </w:rPr>
        <w:t>an anaemic</w:t>
      </w:r>
      <w:r>
        <w:rPr>
          <w:rFonts w:ascii="Times New Roman" w:hAnsi="Times New Roman" w:cs="Times New Roman"/>
          <w:sz w:val="24"/>
          <w:szCs w:val="24"/>
        </w:rPr>
        <w:t xml:space="preserve"> status (Mahdiani </w:t>
      </w:r>
      <w:r>
        <w:rPr>
          <w:rFonts w:ascii="Times New Roman" w:hAnsi="Times New Roman" w:cs="Times New Roman"/>
          <w:i/>
          <w:iCs/>
          <w:sz w:val="24"/>
          <w:szCs w:val="24"/>
        </w:rPr>
        <w:t>et al</w:t>
      </w:r>
      <w:r>
        <w:rPr>
          <w:rFonts w:ascii="Times New Roman" w:hAnsi="Times New Roman" w:cs="Times New Roman"/>
          <w:sz w:val="24"/>
          <w:szCs w:val="24"/>
        </w:rPr>
        <w:t xml:space="preserve">., 2022). The elevations in WBC and lymphocyte counts following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may reflect a physiological response to drug-associated cellular stress or inflammatory processes (Fang, 2023; Sikora </w:t>
      </w:r>
      <w:r>
        <w:rPr>
          <w:rFonts w:ascii="Times New Roman" w:hAnsi="Times New Roman" w:cs="Times New Roman"/>
          <w:i/>
          <w:iCs/>
          <w:sz w:val="24"/>
          <w:szCs w:val="24"/>
        </w:rPr>
        <w:t>et al</w:t>
      </w:r>
      <w:r>
        <w:rPr>
          <w:rFonts w:ascii="Times New Roman" w:hAnsi="Times New Roman" w:cs="Times New Roman"/>
          <w:sz w:val="24"/>
          <w:szCs w:val="24"/>
        </w:rPr>
        <w:t xml:space="preserve">., 2023). Persistent changes in leukocyte populations have been associated with cellular injury and inflammatory stress (Gaman </w:t>
      </w:r>
      <w:r>
        <w:rPr>
          <w:rFonts w:ascii="Times New Roman" w:hAnsi="Times New Roman" w:cs="Times New Roman"/>
          <w:i/>
          <w:iCs/>
          <w:sz w:val="24"/>
          <w:szCs w:val="24"/>
        </w:rPr>
        <w:t>et al</w:t>
      </w:r>
      <w:r>
        <w:rPr>
          <w:rFonts w:ascii="Times New Roman" w:hAnsi="Times New Roman" w:cs="Times New Roman"/>
          <w:sz w:val="24"/>
          <w:szCs w:val="24"/>
        </w:rPr>
        <w:t xml:space="preserve">., 2019). Treatment with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attenuated the increases in WBC and lymphocyte counts observed in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suggesting improvement in the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response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(Barboza </w:t>
      </w:r>
      <w:r>
        <w:rPr>
          <w:rFonts w:ascii="Times New Roman" w:hAnsi="Times New Roman" w:cs="Times New Roman"/>
          <w:i/>
          <w:iCs/>
          <w:sz w:val="24"/>
          <w:szCs w:val="24"/>
        </w:rPr>
        <w:t>et al</w:t>
      </w:r>
      <w:r>
        <w:rPr>
          <w:rFonts w:ascii="Times New Roman" w:hAnsi="Times New Roman" w:cs="Times New Roman"/>
          <w:sz w:val="24"/>
          <w:szCs w:val="24"/>
        </w:rPr>
        <w:t xml:space="preserve">., 2018). Tamoxifen administration also elicited a significant increase in platelet count, indicating an alteration in normal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balance. Increased platelet counts may occur in association with inflammatory and oxidative conditions (Chaudhary </w:t>
      </w:r>
      <w:r>
        <w:rPr>
          <w:rFonts w:ascii="Times New Roman" w:hAnsi="Times New Roman" w:cs="Times New Roman"/>
          <w:i/>
          <w:iCs/>
          <w:sz w:val="24"/>
          <w:szCs w:val="24"/>
        </w:rPr>
        <w:t>et al</w:t>
      </w:r>
      <w:r>
        <w:rPr>
          <w:rFonts w:ascii="Times New Roman" w:hAnsi="Times New Roman" w:cs="Times New Roman"/>
          <w:sz w:val="24"/>
          <w:szCs w:val="24"/>
        </w:rPr>
        <w:t xml:space="preserve">., 2022). Treatment with the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reduced the elevated platelet count relative to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although the reduction was not complete in all treatment groups. This suggests that the treatments attenuated, but did not uniformly </w:t>
      </w:r>
      <w:r>
        <w:rPr>
          <w:rFonts w:ascii="Times New Roman" w:hAnsi="Times New Roman" w:cs="Times New Roman"/>
          <w:sz w:val="24"/>
          <w:szCs w:val="24"/>
          <w:highlight w:val="yellow"/>
        </w:rPr>
        <w:t>normalise,</w:t>
      </w:r>
      <w:r>
        <w:rPr>
          <w:rFonts w:ascii="Times New Roman" w:hAnsi="Times New Roman" w:cs="Times New Roman"/>
          <w:sz w:val="24"/>
          <w:szCs w:val="24"/>
        </w:rPr>
        <w:t xml:space="preserve"> the platel</w:t>
      </w:r>
      <w:r>
        <w:rPr>
          <w:rFonts w:ascii="Times New Roman" w:hAnsi="Times New Roman" w:cs="Times New Roman"/>
          <w:i/>
          <w:iCs/>
          <w:sz w:val="24"/>
          <w:szCs w:val="24"/>
        </w:rPr>
        <w:t>et al</w:t>
      </w:r>
      <w:r>
        <w:rPr>
          <w:rFonts w:ascii="Times New Roman" w:hAnsi="Times New Roman" w:cs="Times New Roman"/>
          <w:sz w:val="24"/>
          <w:szCs w:val="24"/>
        </w:rPr>
        <w:t xml:space="preserve">teration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(Pather, 2020; Giurranna </w:t>
      </w:r>
      <w:r>
        <w:rPr>
          <w:rFonts w:ascii="Times New Roman" w:hAnsi="Times New Roman" w:cs="Times New Roman"/>
          <w:i/>
          <w:iCs/>
          <w:sz w:val="24"/>
          <w:szCs w:val="24"/>
        </w:rPr>
        <w:t>et al</w:t>
      </w:r>
      <w:r>
        <w:rPr>
          <w:rFonts w:ascii="Times New Roman" w:hAnsi="Times New Roman" w:cs="Times New Roman"/>
          <w:sz w:val="24"/>
          <w:szCs w:val="24"/>
        </w:rPr>
        <w:t>., 2024).</w:t>
      </w:r>
    </w:p>
    <w:p w14:paraId="12B07CE8" w14:textId="77777777" w:rsidR="00360635" w:rsidRDefault="00360635" w:rsidP="00300D2C">
      <w:pPr>
        <w:spacing w:line="360" w:lineRule="auto"/>
        <w:jc w:val="both"/>
        <w:rPr>
          <w:rFonts w:ascii="Times New Roman" w:hAnsi="Times New Roman" w:cs="Times New Roman"/>
          <w:sz w:val="24"/>
          <w:szCs w:val="24"/>
        </w:rPr>
      </w:pPr>
    </w:p>
    <w:p w14:paraId="17B48DBA" w14:textId="77777777" w:rsidR="00360635" w:rsidRPr="00300D2C" w:rsidRDefault="00360635" w:rsidP="00300D2C">
      <w:pPr>
        <w:spacing w:line="360" w:lineRule="auto"/>
        <w:jc w:val="both"/>
        <w:rPr>
          <w:rFonts w:ascii="Times New Roman" w:hAnsi="Times New Roman" w:cs="Times New Roman"/>
          <w:sz w:val="24"/>
          <w:szCs w:val="24"/>
        </w:rPr>
      </w:pPr>
    </w:p>
    <w:p w14:paraId="04ADE0F4" w14:textId="41A7B264" w:rsidR="00A80274" w:rsidRPr="00300D2C" w:rsidRDefault="00070342"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reduction in RBC count, </w:t>
      </w:r>
      <w:r>
        <w:rPr>
          <w:rFonts w:ascii="Times New Roman" w:hAnsi="Times New Roman" w:cs="Times New Roman"/>
          <w:sz w:val="24"/>
          <w:szCs w:val="24"/>
          <w:highlight w:val="yellow"/>
        </w:rPr>
        <w:t>haemoglobin</w:t>
      </w:r>
      <w:r>
        <w:rPr>
          <w:rFonts w:ascii="Times New Roman" w:hAnsi="Times New Roman" w:cs="Times New Roman"/>
          <w:sz w:val="24"/>
          <w:szCs w:val="24"/>
        </w:rPr>
        <w:t xml:space="preserve"> concentration and PCV observed in the </w:t>
      </w:r>
      <w:r>
        <w:rPr>
          <w:rFonts w:ascii="Times New Roman" w:hAnsi="Times New Roman" w:cs="Times New Roman"/>
          <w:sz w:val="24"/>
          <w:szCs w:val="24"/>
          <w:highlight w:val="yellow"/>
        </w:rPr>
        <w:t>tamoxifen-treated</w:t>
      </w:r>
      <w:r>
        <w:rPr>
          <w:rFonts w:ascii="Times New Roman" w:hAnsi="Times New Roman" w:cs="Times New Roman"/>
          <w:sz w:val="24"/>
          <w:szCs w:val="24"/>
        </w:rPr>
        <w:t xml:space="preserve"> group suggests the development of mild </w:t>
      </w:r>
      <w:r>
        <w:rPr>
          <w:rFonts w:ascii="Times New Roman" w:hAnsi="Times New Roman" w:cs="Times New Roman"/>
          <w:sz w:val="24"/>
          <w:szCs w:val="24"/>
          <w:highlight w:val="yellow"/>
        </w:rPr>
        <w:t>anaemia.</w:t>
      </w:r>
      <w:r>
        <w:rPr>
          <w:rFonts w:ascii="Times New Roman" w:hAnsi="Times New Roman" w:cs="Times New Roman"/>
          <w:sz w:val="24"/>
          <w:szCs w:val="24"/>
        </w:rPr>
        <w:t xml:space="preserve"> Such alterations may result from oxidative damage to erythrocytes, impaired erythropoiesis or reduced red-cell survival (Obeagu </w:t>
      </w:r>
      <w:r>
        <w:rPr>
          <w:rFonts w:ascii="Times New Roman" w:hAnsi="Times New Roman" w:cs="Times New Roman"/>
          <w:i/>
          <w:iCs/>
          <w:sz w:val="24"/>
          <w:szCs w:val="24"/>
        </w:rPr>
        <w:t>et al</w:t>
      </w:r>
      <w:r>
        <w:rPr>
          <w:rFonts w:ascii="Times New Roman" w:hAnsi="Times New Roman" w:cs="Times New Roman"/>
          <w:sz w:val="24"/>
          <w:szCs w:val="24"/>
        </w:rPr>
        <w:t xml:space="preserve">., 2024). Red blood cells are particularly susceptible to oxidative damage because of their continuous exposure to oxygen and the high polyunsaturated fatty acid content of their membranes (Engwa </w:t>
      </w:r>
      <w:r>
        <w:rPr>
          <w:rFonts w:ascii="Times New Roman" w:hAnsi="Times New Roman" w:cs="Times New Roman"/>
          <w:i/>
          <w:iCs/>
          <w:sz w:val="24"/>
          <w:szCs w:val="24"/>
        </w:rPr>
        <w:t>et al</w:t>
      </w:r>
      <w:r>
        <w:rPr>
          <w:rFonts w:ascii="Times New Roman" w:hAnsi="Times New Roman" w:cs="Times New Roman"/>
          <w:sz w:val="24"/>
          <w:szCs w:val="24"/>
        </w:rPr>
        <w:t xml:space="preserve">., 2022). Treatment with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improved RBC count, </w:t>
      </w:r>
      <w:r>
        <w:rPr>
          <w:rFonts w:ascii="Times New Roman" w:hAnsi="Times New Roman" w:cs="Times New Roman"/>
          <w:sz w:val="24"/>
          <w:szCs w:val="24"/>
          <w:highlight w:val="yellow"/>
        </w:rPr>
        <w:t>haemoglobin</w:t>
      </w:r>
      <w:r>
        <w:rPr>
          <w:rFonts w:ascii="Times New Roman" w:hAnsi="Times New Roman" w:cs="Times New Roman"/>
          <w:sz w:val="24"/>
          <w:szCs w:val="24"/>
        </w:rPr>
        <w:t xml:space="preserve"> concentration and PCV compared with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indicating attenuation of the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alterations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(Orrico </w:t>
      </w:r>
      <w:r>
        <w:rPr>
          <w:rFonts w:ascii="Times New Roman" w:hAnsi="Times New Roman" w:cs="Times New Roman"/>
          <w:i/>
          <w:iCs/>
          <w:sz w:val="24"/>
          <w:szCs w:val="24"/>
        </w:rPr>
        <w:t>et al</w:t>
      </w:r>
      <w:r>
        <w:rPr>
          <w:rFonts w:ascii="Times New Roman" w:hAnsi="Times New Roman" w:cs="Times New Roman"/>
          <w:sz w:val="24"/>
          <w:szCs w:val="24"/>
        </w:rPr>
        <w:t xml:space="preserve">., 2023; Vona </w:t>
      </w:r>
      <w:r>
        <w:rPr>
          <w:rFonts w:ascii="Times New Roman" w:hAnsi="Times New Roman" w:cs="Times New Roman"/>
          <w:i/>
          <w:iCs/>
          <w:sz w:val="24"/>
          <w:szCs w:val="24"/>
        </w:rPr>
        <w:t>et al</w:t>
      </w:r>
      <w:r>
        <w:rPr>
          <w:rFonts w:ascii="Times New Roman" w:hAnsi="Times New Roman" w:cs="Times New Roman"/>
          <w:sz w:val="24"/>
          <w:szCs w:val="24"/>
        </w:rPr>
        <w:t xml:space="preserve">., 2021). Vitamin E may contribute to this effect by protecting membrane lipids against peroxidation (Altamura </w:t>
      </w:r>
      <w:r>
        <w:rPr>
          <w:rFonts w:ascii="Times New Roman" w:hAnsi="Times New Roman" w:cs="Times New Roman"/>
          <w:i/>
          <w:iCs/>
          <w:sz w:val="24"/>
          <w:szCs w:val="24"/>
        </w:rPr>
        <w:t>et al</w:t>
      </w:r>
      <w:r>
        <w:rPr>
          <w:rFonts w:ascii="Times New Roman" w:hAnsi="Times New Roman" w:cs="Times New Roman"/>
          <w:sz w:val="24"/>
          <w:szCs w:val="24"/>
        </w:rPr>
        <w:t>., 20</w:t>
      </w:r>
      <w:r w:rsidR="00397A1E">
        <w:rPr>
          <w:rFonts w:ascii="Times New Roman" w:hAnsi="Times New Roman" w:cs="Times New Roman"/>
          <w:sz w:val="24"/>
          <w:szCs w:val="24"/>
        </w:rPr>
        <w:t>20</w:t>
      </w:r>
      <w:r>
        <w:rPr>
          <w:rFonts w:ascii="Times New Roman" w:hAnsi="Times New Roman" w:cs="Times New Roman"/>
          <w:sz w:val="24"/>
          <w:szCs w:val="24"/>
        </w:rPr>
        <w:t>).</w:t>
      </w:r>
    </w:p>
    <w:p w14:paraId="1D9BB5F4" w14:textId="77777777" w:rsidR="00B7569C" w:rsidRPr="00300D2C" w:rsidRDefault="00A80274"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Oxidative stress results from an imbalance between reactive oxygen species generation and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and is an important mechanism underlying drug-associated cellular injury (Alfhili </w:t>
      </w:r>
      <w:r>
        <w:rPr>
          <w:rFonts w:ascii="Times New Roman" w:hAnsi="Times New Roman" w:cs="Times New Roman"/>
          <w:i/>
          <w:iCs/>
          <w:sz w:val="24"/>
          <w:szCs w:val="24"/>
        </w:rPr>
        <w:t>et al</w:t>
      </w:r>
      <w:r>
        <w:rPr>
          <w:rFonts w:ascii="Times New Roman" w:hAnsi="Times New Roman" w:cs="Times New Roman"/>
          <w:sz w:val="24"/>
          <w:szCs w:val="24"/>
        </w:rPr>
        <w:t xml:space="preserve">., 2023; Afzal </w:t>
      </w:r>
      <w:r>
        <w:rPr>
          <w:rFonts w:ascii="Times New Roman" w:hAnsi="Times New Roman" w:cs="Times New Roman"/>
          <w:i/>
          <w:iCs/>
          <w:sz w:val="24"/>
          <w:szCs w:val="24"/>
        </w:rPr>
        <w:t>et al</w:t>
      </w:r>
      <w:r>
        <w:rPr>
          <w:rFonts w:ascii="Times New Roman" w:hAnsi="Times New Roman" w:cs="Times New Roman"/>
          <w:sz w:val="24"/>
          <w:szCs w:val="24"/>
        </w:rPr>
        <w:t xml:space="preserve">., 2023). In the present study, the redox indices </w:t>
      </w:r>
      <w:r>
        <w:rPr>
          <w:rFonts w:ascii="Times New Roman" w:hAnsi="Times New Roman" w:cs="Times New Roman"/>
          <w:sz w:val="24"/>
          <w:szCs w:val="24"/>
          <w:highlight w:val="yellow"/>
        </w:rPr>
        <w:t xml:space="preserve">used </w:t>
      </w:r>
      <w:r>
        <w:rPr>
          <w:rFonts w:ascii="Times New Roman" w:hAnsi="Times New Roman" w:cs="Times New Roman"/>
          <w:sz w:val="24"/>
          <w:szCs w:val="24"/>
        </w:rPr>
        <w:t xml:space="preserve">as </w:t>
      </w:r>
      <w:r>
        <w:rPr>
          <w:rFonts w:ascii="Times New Roman" w:hAnsi="Times New Roman" w:cs="Times New Roman"/>
          <w:sz w:val="24"/>
          <w:szCs w:val="24"/>
          <w:highlight w:val="yellow"/>
        </w:rPr>
        <w:t>indicators</w:t>
      </w:r>
      <w:r>
        <w:rPr>
          <w:rFonts w:ascii="Times New Roman" w:hAnsi="Times New Roman" w:cs="Times New Roman"/>
          <w:sz w:val="24"/>
          <w:szCs w:val="24"/>
        </w:rPr>
        <w:t xml:space="preserve"> of oxidative stress and lipid peroxidation are </w:t>
      </w:r>
      <w:r>
        <w:rPr>
          <w:rFonts w:ascii="Times New Roman" w:hAnsi="Times New Roman" w:cs="Times New Roman"/>
          <w:sz w:val="24"/>
          <w:szCs w:val="24"/>
          <w:highlight w:val="yellow"/>
        </w:rPr>
        <w:t>presented</w:t>
      </w:r>
      <w:r>
        <w:rPr>
          <w:rFonts w:ascii="Times New Roman" w:hAnsi="Times New Roman" w:cs="Times New Roman"/>
          <w:sz w:val="24"/>
          <w:szCs w:val="24"/>
        </w:rPr>
        <w:t xml:space="preserve"> in </w:t>
      </w:r>
      <w:r>
        <w:rPr>
          <w:rFonts w:ascii="Times New Roman" w:hAnsi="Times New Roman" w:cs="Times New Roman"/>
          <w:sz w:val="24"/>
          <w:szCs w:val="24"/>
          <w:highlight w:val="yellow"/>
        </w:rPr>
        <w:t>Figures</w:t>
      </w:r>
      <w:r>
        <w:rPr>
          <w:rFonts w:ascii="Times New Roman" w:hAnsi="Times New Roman" w:cs="Times New Roman"/>
          <w:sz w:val="24"/>
          <w:szCs w:val="24"/>
        </w:rPr>
        <w:t xml:space="preserve"> </w:t>
      </w:r>
      <w:r>
        <w:rPr>
          <w:rFonts w:ascii="Times New Roman" w:hAnsi="Times New Roman" w:cs="Times New Roman"/>
          <w:sz w:val="24"/>
          <w:szCs w:val="24"/>
          <w:highlight w:val="yellow"/>
        </w:rPr>
        <w:t>9,</w:t>
      </w:r>
      <w:r>
        <w:rPr>
          <w:rFonts w:ascii="Times New Roman" w:hAnsi="Times New Roman" w:cs="Times New Roman"/>
          <w:sz w:val="24"/>
          <w:szCs w:val="24"/>
        </w:rPr>
        <w:t xml:space="preserve"> 10, 11, 12 and </w:t>
      </w:r>
      <w:r>
        <w:rPr>
          <w:rFonts w:ascii="Times New Roman" w:hAnsi="Times New Roman" w:cs="Times New Roman"/>
          <w:sz w:val="24"/>
          <w:szCs w:val="24"/>
          <w:highlight w:val="yellow"/>
        </w:rPr>
        <w:t>13.</w:t>
      </w:r>
      <w:r>
        <w:rPr>
          <w:rFonts w:ascii="Times New Roman" w:hAnsi="Times New Roman" w:cs="Times New Roman"/>
          <w:sz w:val="24"/>
          <w:szCs w:val="24"/>
        </w:rPr>
        <w:t xml:space="preserve"> </w:t>
      </w:r>
      <w:r>
        <w:rPr>
          <w:rFonts w:ascii="Times New Roman" w:hAnsi="Times New Roman" w:cs="Times New Roman"/>
          <w:sz w:val="24"/>
          <w:szCs w:val="24"/>
          <w:highlight w:val="yellow"/>
        </w:rPr>
        <w:t>The results</w:t>
      </w:r>
      <w:r>
        <w:rPr>
          <w:rFonts w:ascii="Times New Roman" w:hAnsi="Times New Roman" w:cs="Times New Roman"/>
          <w:sz w:val="24"/>
          <w:szCs w:val="24"/>
        </w:rPr>
        <w:t xml:space="preserve"> showed that </w:t>
      </w:r>
      <w:r>
        <w:rPr>
          <w:rFonts w:ascii="Times New Roman" w:hAnsi="Times New Roman" w:cs="Times New Roman"/>
          <w:sz w:val="24"/>
          <w:szCs w:val="24"/>
          <w:highlight w:val="yellow"/>
        </w:rPr>
        <w:t>animals</w:t>
      </w:r>
      <w:r>
        <w:rPr>
          <w:rFonts w:ascii="Times New Roman" w:hAnsi="Times New Roman" w:cs="Times New Roman"/>
          <w:sz w:val="24"/>
          <w:szCs w:val="24"/>
        </w:rPr>
        <w:t xml:space="preserve"> treated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only </w:t>
      </w:r>
      <w:r>
        <w:rPr>
          <w:rFonts w:ascii="Times New Roman" w:hAnsi="Times New Roman" w:cs="Times New Roman"/>
          <w:sz w:val="24"/>
          <w:szCs w:val="24"/>
          <w:highlight w:val="yellow"/>
        </w:rPr>
        <w:t>(Group</w:t>
      </w:r>
      <w:r>
        <w:rPr>
          <w:rFonts w:ascii="Times New Roman" w:hAnsi="Times New Roman" w:cs="Times New Roman"/>
          <w:sz w:val="24"/>
          <w:szCs w:val="24"/>
        </w:rPr>
        <w:t xml:space="preserve"> B) </w:t>
      </w:r>
      <w:r>
        <w:rPr>
          <w:rFonts w:ascii="Times New Roman" w:hAnsi="Times New Roman" w:cs="Times New Roman"/>
          <w:sz w:val="24"/>
          <w:szCs w:val="24"/>
          <w:highlight w:val="yellow"/>
        </w:rPr>
        <w:t>had</w:t>
      </w:r>
      <w:r>
        <w:rPr>
          <w:rFonts w:ascii="Times New Roman" w:hAnsi="Times New Roman" w:cs="Times New Roman"/>
          <w:sz w:val="24"/>
          <w:szCs w:val="24"/>
        </w:rPr>
        <w:t xml:space="preserve"> significant </w:t>
      </w:r>
      <w:r>
        <w:rPr>
          <w:rFonts w:ascii="Times New Roman" w:hAnsi="Times New Roman" w:cs="Times New Roman"/>
          <w:sz w:val="24"/>
          <w:szCs w:val="24"/>
          <w:highlight w:val="yellow"/>
        </w:rPr>
        <w:t>(p &lt; 0.05)</w:t>
      </w:r>
      <w:r>
        <w:rPr>
          <w:rFonts w:ascii="Times New Roman" w:hAnsi="Times New Roman" w:cs="Times New Roman"/>
          <w:sz w:val="24"/>
          <w:szCs w:val="24"/>
        </w:rPr>
        <w:t xml:space="preserve"> decreases in the activities of Superoxide Dismutase (SOD), Catalase </w:t>
      </w:r>
      <w:r>
        <w:rPr>
          <w:rFonts w:ascii="Times New Roman" w:hAnsi="Times New Roman" w:cs="Times New Roman"/>
          <w:sz w:val="24"/>
          <w:szCs w:val="24"/>
          <w:highlight w:val="yellow"/>
        </w:rPr>
        <w:t>(CAT) and</w:t>
      </w:r>
      <w:r>
        <w:rPr>
          <w:rFonts w:ascii="Times New Roman" w:hAnsi="Times New Roman" w:cs="Times New Roman"/>
          <w:sz w:val="24"/>
          <w:szCs w:val="24"/>
        </w:rPr>
        <w:t xml:space="preserve"> Glutathione Peroxidase </w:t>
      </w:r>
      <w:r>
        <w:rPr>
          <w:rFonts w:ascii="Times New Roman" w:hAnsi="Times New Roman" w:cs="Times New Roman"/>
          <w:sz w:val="24"/>
          <w:szCs w:val="24"/>
          <w:highlight w:val="yellow"/>
        </w:rPr>
        <w:t>(GPx),</w:t>
      </w:r>
      <w:r>
        <w:rPr>
          <w:rFonts w:ascii="Times New Roman" w:hAnsi="Times New Roman" w:cs="Times New Roman"/>
          <w:sz w:val="24"/>
          <w:szCs w:val="24"/>
        </w:rPr>
        <w:t xml:space="preserve"> and </w:t>
      </w:r>
      <w:r>
        <w:rPr>
          <w:rFonts w:ascii="Times New Roman" w:hAnsi="Times New Roman" w:cs="Times New Roman"/>
          <w:sz w:val="24"/>
          <w:szCs w:val="24"/>
          <w:highlight w:val="yellow"/>
        </w:rPr>
        <w:t>in the concentration</w:t>
      </w:r>
      <w:r>
        <w:rPr>
          <w:rFonts w:ascii="Times New Roman" w:hAnsi="Times New Roman" w:cs="Times New Roman"/>
          <w:sz w:val="24"/>
          <w:szCs w:val="24"/>
        </w:rPr>
        <w:t xml:space="preserve"> of Reduced Glutathione (GSH) in breast </w:t>
      </w:r>
      <w:r>
        <w:rPr>
          <w:rFonts w:ascii="Times New Roman" w:hAnsi="Times New Roman" w:cs="Times New Roman"/>
          <w:sz w:val="24"/>
          <w:szCs w:val="24"/>
          <w:highlight w:val="yellow"/>
        </w:rPr>
        <w:t>homogenates,</w:t>
      </w:r>
      <w:r>
        <w:rPr>
          <w:rFonts w:ascii="Times New Roman" w:hAnsi="Times New Roman" w:cs="Times New Roman"/>
          <w:sz w:val="24"/>
          <w:szCs w:val="24"/>
        </w:rPr>
        <w:t xml:space="preserve"> </w:t>
      </w:r>
      <w:r>
        <w:rPr>
          <w:rFonts w:ascii="Times New Roman" w:hAnsi="Times New Roman" w:cs="Times New Roman"/>
          <w:sz w:val="24"/>
          <w:szCs w:val="24"/>
          <w:highlight w:val="yellow"/>
        </w:rPr>
        <w:t>while</w:t>
      </w:r>
      <w:r>
        <w:rPr>
          <w:rFonts w:ascii="Times New Roman" w:hAnsi="Times New Roman" w:cs="Times New Roman"/>
          <w:sz w:val="24"/>
          <w:szCs w:val="24"/>
        </w:rPr>
        <w:t xml:space="preserve"> malondialdehyde (MDA) concentration was significantly </w:t>
      </w:r>
      <w:r>
        <w:rPr>
          <w:rFonts w:ascii="Times New Roman" w:hAnsi="Times New Roman" w:cs="Times New Roman"/>
          <w:sz w:val="24"/>
          <w:szCs w:val="24"/>
          <w:highlight w:val="yellow"/>
        </w:rPr>
        <w:t>(p</w:t>
      </w:r>
      <w:r>
        <w:rPr>
          <w:rFonts w:ascii="Times New Roman" w:hAnsi="Times New Roman" w:cs="Times New Roman"/>
          <w:sz w:val="24"/>
          <w:szCs w:val="24"/>
        </w:rPr>
        <w:t xml:space="preserve"> </w:t>
      </w:r>
      <w:r>
        <w:rPr>
          <w:rFonts w:ascii="Times New Roman" w:hAnsi="Times New Roman" w:cs="Times New Roman"/>
          <w:sz w:val="24"/>
          <w:szCs w:val="24"/>
          <w:highlight w:val="yellow"/>
        </w:rPr>
        <w:t>&lt; 0.05) increased.</w:t>
      </w:r>
      <w:r>
        <w:rPr>
          <w:rFonts w:ascii="Times New Roman" w:hAnsi="Times New Roman" w:cs="Times New Roman"/>
          <w:sz w:val="24"/>
          <w:szCs w:val="24"/>
        </w:rPr>
        <w:t xml:space="preserve"> This pattern indicates impaired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accompanied by increased lipid peroxidation and is consistent with disruption of </w:t>
      </w:r>
      <w:r>
        <w:rPr>
          <w:rFonts w:ascii="Times New Roman" w:hAnsi="Times New Roman" w:cs="Times New Roman"/>
          <w:sz w:val="24"/>
          <w:szCs w:val="24"/>
          <w:highlight w:val="yellow"/>
        </w:rPr>
        <w:t>breast-tissue</w:t>
      </w:r>
      <w:r>
        <w:rPr>
          <w:rFonts w:ascii="Times New Roman" w:hAnsi="Times New Roman" w:cs="Times New Roman"/>
          <w:sz w:val="24"/>
          <w:szCs w:val="24"/>
        </w:rPr>
        <w:t xml:space="preserve"> redox balance following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(Guneidy </w:t>
      </w:r>
      <w:r>
        <w:rPr>
          <w:rFonts w:ascii="Times New Roman" w:hAnsi="Times New Roman" w:cs="Times New Roman"/>
          <w:i/>
          <w:iCs/>
          <w:sz w:val="24"/>
          <w:szCs w:val="24"/>
        </w:rPr>
        <w:t>et al</w:t>
      </w:r>
      <w:r>
        <w:rPr>
          <w:rFonts w:ascii="Times New Roman" w:hAnsi="Times New Roman" w:cs="Times New Roman"/>
          <w:sz w:val="24"/>
          <w:szCs w:val="24"/>
        </w:rPr>
        <w:t>., 2024; Sadiq, 2023). Such alterations suggest that excessive production of free radicals overwhelmed the antioxidant system, resulting in oxidative damage to cellular macromolecules (</w:t>
      </w:r>
      <w:r>
        <w:rPr>
          <w:rFonts w:ascii="Times New Roman" w:hAnsi="Times New Roman" w:cs="Times New Roman"/>
          <w:color w:val="222222"/>
          <w:sz w:val="24"/>
          <w:szCs w:val="24"/>
          <w:shd w:val="clear" w:color="auto" w:fill="FFFFFF"/>
        </w:rPr>
        <w:t>Sadiq, 2023)</w:t>
      </w:r>
      <w:r>
        <w:rPr>
          <w:rFonts w:ascii="Times New Roman" w:hAnsi="Times New Roman" w:cs="Times New Roman"/>
          <w:sz w:val="24"/>
          <w:szCs w:val="24"/>
        </w:rPr>
        <w:t>.</w:t>
      </w:r>
    </w:p>
    <w:p w14:paraId="79A005CA" w14:textId="77777777" w:rsidR="00C662CA" w:rsidRPr="00300D2C" w:rsidRDefault="00C662CA"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Superoxide</w:t>
      </w:r>
      <w:r>
        <w:rPr>
          <w:rFonts w:ascii="Times New Roman" w:hAnsi="Times New Roman" w:cs="Times New Roman"/>
          <w:sz w:val="24"/>
          <w:szCs w:val="24"/>
        </w:rPr>
        <w:t xml:space="preserve"> dismutase (SOD) constitutes an important component of enzymatic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by converting superoxide radicals to hydrogen peroxide, which is subsequently removed by enzymes such as Catalase and Glutathione peroxidase (Jomova </w:t>
      </w:r>
      <w:r>
        <w:rPr>
          <w:rFonts w:ascii="Times New Roman" w:hAnsi="Times New Roman" w:cs="Times New Roman"/>
          <w:i/>
          <w:iCs/>
          <w:sz w:val="24"/>
          <w:szCs w:val="24"/>
        </w:rPr>
        <w:t>et al</w:t>
      </w:r>
      <w:r>
        <w:rPr>
          <w:rFonts w:ascii="Times New Roman" w:hAnsi="Times New Roman" w:cs="Times New Roman"/>
          <w:sz w:val="24"/>
          <w:szCs w:val="24"/>
        </w:rPr>
        <w:t xml:space="preserve">., 2024). The reduction in SOD activity following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suggests reduced capacity to </w:t>
      </w:r>
      <w:r>
        <w:rPr>
          <w:rFonts w:ascii="Times New Roman" w:hAnsi="Times New Roman" w:cs="Times New Roman"/>
          <w:sz w:val="24"/>
          <w:szCs w:val="24"/>
          <w:highlight w:val="yellow"/>
        </w:rPr>
        <w:t>neutralise</w:t>
      </w:r>
      <w:r>
        <w:rPr>
          <w:rFonts w:ascii="Times New Roman" w:hAnsi="Times New Roman" w:cs="Times New Roman"/>
          <w:sz w:val="24"/>
          <w:szCs w:val="24"/>
        </w:rPr>
        <w:t xml:space="preserve"> superoxide radicals </w:t>
      </w:r>
      <w:r>
        <w:rPr>
          <w:rFonts w:ascii="Times New Roman" w:hAnsi="Times New Roman" w:cs="Times New Roman"/>
          <w:sz w:val="24"/>
          <w:szCs w:val="24"/>
          <w:highlight w:val="yellow"/>
        </w:rPr>
        <w:t>(Abd</w:t>
      </w:r>
      <w:r>
        <w:rPr>
          <w:rFonts w:ascii="Times New Roman" w:hAnsi="Times New Roman" w:cs="Times New Roman"/>
          <w:sz w:val="24"/>
          <w:szCs w:val="24"/>
        </w:rPr>
        <w:t xml:space="preserve"> </w:t>
      </w:r>
      <w:r>
        <w:rPr>
          <w:rFonts w:ascii="Times New Roman" w:hAnsi="Times New Roman" w:cs="Times New Roman"/>
          <w:sz w:val="24"/>
          <w:szCs w:val="24"/>
          <w:highlight w:val="yellow"/>
        </w:rPr>
        <w:t>Al-Hameed &amp;</w:t>
      </w:r>
      <w:r>
        <w:rPr>
          <w:rFonts w:ascii="Times New Roman" w:hAnsi="Times New Roman" w:cs="Times New Roman"/>
          <w:sz w:val="24"/>
          <w:szCs w:val="24"/>
        </w:rPr>
        <w:t xml:space="preserve"> Al-Ani, 2023). Treatment with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increased SOD activity relative to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indicating attenuation </w:t>
      </w:r>
      <w:r>
        <w:rPr>
          <w:rFonts w:ascii="Times New Roman" w:hAnsi="Times New Roman" w:cs="Times New Roman"/>
          <w:sz w:val="24"/>
          <w:szCs w:val="24"/>
        </w:rPr>
        <w:lastRenderedPageBreak/>
        <w:t xml:space="preserve">of the antioxidant imbalance (Abu-Zahra </w:t>
      </w:r>
      <w:r>
        <w:rPr>
          <w:rFonts w:ascii="Times New Roman" w:hAnsi="Times New Roman" w:cs="Times New Roman"/>
          <w:i/>
          <w:iCs/>
          <w:sz w:val="24"/>
          <w:szCs w:val="24"/>
        </w:rPr>
        <w:t>et al</w:t>
      </w:r>
      <w:r>
        <w:rPr>
          <w:rFonts w:ascii="Times New Roman" w:hAnsi="Times New Roman" w:cs="Times New Roman"/>
          <w:sz w:val="24"/>
          <w:szCs w:val="24"/>
        </w:rPr>
        <w:t>., 2025). The extract-only group showed the highest SOD activity among the treatment groups; therefore, the response should not be described as evidence that the combined treatment produced the greatest SOD improvement.</w:t>
      </w:r>
    </w:p>
    <w:p w14:paraId="0B0B0069" w14:textId="77777777" w:rsidR="002001F1" w:rsidRPr="00300D2C" w:rsidRDefault="002001F1"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Catalase </w:t>
      </w:r>
      <w:r>
        <w:rPr>
          <w:rFonts w:ascii="Times New Roman" w:hAnsi="Times New Roman" w:cs="Times New Roman"/>
          <w:sz w:val="24"/>
          <w:szCs w:val="24"/>
          <w:highlight w:val="yellow"/>
        </w:rPr>
        <w:t>functions</w:t>
      </w:r>
      <w:r>
        <w:rPr>
          <w:rFonts w:ascii="Times New Roman" w:hAnsi="Times New Roman" w:cs="Times New Roman"/>
          <w:sz w:val="24"/>
          <w:szCs w:val="24"/>
        </w:rPr>
        <w:t xml:space="preserve"> together with </w:t>
      </w:r>
      <w:r>
        <w:rPr>
          <w:rFonts w:ascii="Times New Roman" w:hAnsi="Times New Roman" w:cs="Times New Roman"/>
          <w:sz w:val="24"/>
          <w:szCs w:val="24"/>
          <w:highlight w:val="yellow"/>
        </w:rPr>
        <w:t>Superoxide</w:t>
      </w:r>
      <w:r>
        <w:rPr>
          <w:rFonts w:ascii="Times New Roman" w:hAnsi="Times New Roman" w:cs="Times New Roman"/>
          <w:sz w:val="24"/>
          <w:szCs w:val="24"/>
        </w:rPr>
        <w:t xml:space="preserve"> dismutase to remove hydrogen peroxide and protect cells from oxidative injury (Anwar </w:t>
      </w:r>
      <w:r>
        <w:rPr>
          <w:rFonts w:ascii="Times New Roman" w:hAnsi="Times New Roman" w:cs="Times New Roman"/>
          <w:i/>
          <w:iCs/>
          <w:sz w:val="24"/>
          <w:szCs w:val="24"/>
        </w:rPr>
        <w:t>et al</w:t>
      </w:r>
      <w:r>
        <w:rPr>
          <w:rFonts w:ascii="Times New Roman" w:hAnsi="Times New Roman" w:cs="Times New Roman"/>
          <w:sz w:val="24"/>
          <w:szCs w:val="24"/>
        </w:rPr>
        <w:t xml:space="preserve">., 2024). Tamoxifen administration reduced CAT activity, suggesting impairment of enzymatic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(Nazmeen </w:t>
      </w:r>
      <w:r>
        <w:rPr>
          <w:rFonts w:ascii="Times New Roman" w:hAnsi="Times New Roman" w:cs="Times New Roman"/>
          <w:i/>
          <w:iCs/>
          <w:sz w:val="24"/>
          <w:szCs w:val="24"/>
        </w:rPr>
        <w:t>et al</w:t>
      </w:r>
      <w:r>
        <w:rPr>
          <w:rFonts w:ascii="Times New Roman" w:hAnsi="Times New Roman" w:cs="Times New Roman"/>
          <w:sz w:val="24"/>
          <w:szCs w:val="24"/>
        </w:rPr>
        <w:t xml:space="preserve">., 2020). Treatment with </w:t>
      </w:r>
      <w:r>
        <w:rPr>
          <w:rFonts w:ascii="Times New Roman" w:hAnsi="Times New Roman" w:cs="Times New Roman"/>
          <w:i/>
          <w:sz w:val="24"/>
          <w:szCs w:val="24"/>
        </w:rPr>
        <w:t>Embelia ribes</w:t>
      </w:r>
      <w:r>
        <w:rPr>
          <w:rFonts w:ascii="Times New Roman" w:hAnsi="Times New Roman" w:cs="Times New Roman"/>
          <w:sz w:val="24"/>
          <w:szCs w:val="24"/>
        </w:rPr>
        <w:t xml:space="preserve"> </w:t>
      </w:r>
      <w:r>
        <w:rPr>
          <w:rFonts w:ascii="Times New Roman" w:hAnsi="Times New Roman" w:cs="Times New Roman"/>
          <w:sz w:val="24"/>
          <w:szCs w:val="24"/>
          <w:highlight w:val="yellow"/>
        </w:rPr>
        <w:t>seed</w:t>
      </w:r>
      <w:r>
        <w:rPr>
          <w:rFonts w:ascii="Times New Roman" w:hAnsi="Times New Roman" w:cs="Times New Roman"/>
          <w:sz w:val="24"/>
          <w:szCs w:val="24"/>
        </w:rPr>
        <w:t xml:space="preserve">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increased CAT activity compared with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indicating improved antioxidant capacity (Andrés </w:t>
      </w:r>
      <w:r>
        <w:rPr>
          <w:rFonts w:ascii="Times New Roman" w:hAnsi="Times New Roman" w:cs="Times New Roman"/>
          <w:i/>
          <w:iCs/>
          <w:sz w:val="24"/>
          <w:szCs w:val="24"/>
        </w:rPr>
        <w:t>et al</w:t>
      </w:r>
      <w:r>
        <w:rPr>
          <w:rFonts w:ascii="Times New Roman" w:hAnsi="Times New Roman" w:cs="Times New Roman"/>
          <w:sz w:val="24"/>
          <w:szCs w:val="24"/>
        </w:rPr>
        <w:t xml:space="preserve">., 2022; Dubey </w:t>
      </w:r>
      <w:r>
        <w:rPr>
          <w:rFonts w:ascii="Times New Roman" w:hAnsi="Times New Roman" w:cs="Times New Roman"/>
          <w:sz w:val="24"/>
          <w:szCs w:val="24"/>
          <w:highlight w:val="yellow"/>
        </w:rPr>
        <w:t>&amp;</w:t>
      </w:r>
      <w:r>
        <w:rPr>
          <w:rFonts w:ascii="Times New Roman" w:hAnsi="Times New Roman" w:cs="Times New Roman"/>
          <w:sz w:val="24"/>
          <w:szCs w:val="24"/>
        </w:rPr>
        <w:t xml:space="preserve"> </w:t>
      </w:r>
      <w:r>
        <w:rPr>
          <w:rFonts w:ascii="Times New Roman" w:hAnsi="Times New Roman" w:cs="Times New Roman"/>
          <w:sz w:val="24"/>
          <w:szCs w:val="24"/>
          <w:highlight w:val="yellow"/>
        </w:rPr>
        <w:t>Sharma,</w:t>
      </w:r>
      <w:r>
        <w:rPr>
          <w:rFonts w:ascii="Times New Roman" w:hAnsi="Times New Roman" w:cs="Times New Roman"/>
          <w:sz w:val="24"/>
          <w:szCs w:val="24"/>
        </w:rPr>
        <w:t xml:space="preserve"> 2025). The highest CAT activity was observed in the extract-only group, followed by the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group, indicating that the antioxidant response varied according to treatment combination. Vitamin E may have contributed through its membrane-protective antioxidant activity (Polutchko </w:t>
      </w:r>
      <w:r>
        <w:rPr>
          <w:rFonts w:ascii="Times New Roman" w:hAnsi="Times New Roman" w:cs="Times New Roman"/>
          <w:i/>
          <w:iCs/>
          <w:sz w:val="24"/>
          <w:szCs w:val="24"/>
        </w:rPr>
        <w:t>et al</w:t>
      </w:r>
      <w:r>
        <w:rPr>
          <w:rFonts w:ascii="Times New Roman" w:hAnsi="Times New Roman" w:cs="Times New Roman"/>
          <w:sz w:val="24"/>
          <w:szCs w:val="24"/>
        </w:rPr>
        <w:t>., 2021).</w:t>
      </w:r>
    </w:p>
    <w:p w14:paraId="401B7085" w14:textId="77777777" w:rsidR="009E53C2" w:rsidRPr="00300D2C" w:rsidRDefault="009E53C2"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Glutathione peroxidase (GPx) and </w:t>
      </w:r>
      <w:r>
        <w:rPr>
          <w:rFonts w:ascii="Times New Roman" w:hAnsi="Times New Roman" w:cs="Times New Roman"/>
          <w:sz w:val="24"/>
          <w:szCs w:val="24"/>
          <w:highlight w:val="yellow"/>
        </w:rPr>
        <w:t>reduced</w:t>
      </w:r>
      <w:r>
        <w:rPr>
          <w:rFonts w:ascii="Times New Roman" w:hAnsi="Times New Roman" w:cs="Times New Roman"/>
          <w:sz w:val="24"/>
          <w:szCs w:val="24"/>
        </w:rPr>
        <w:t xml:space="preserve"> glutathione (GSH) form an important intracellular antioxidant system involved in the removal of peroxides and maintenance of cellular redox balance (Vašková </w:t>
      </w:r>
      <w:r>
        <w:rPr>
          <w:rFonts w:ascii="Times New Roman" w:hAnsi="Times New Roman" w:cs="Times New Roman"/>
          <w:i/>
          <w:iCs/>
          <w:sz w:val="24"/>
          <w:szCs w:val="24"/>
        </w:rPr>
        <w:t>et al</w:t>
      </w:r>
      <w:r>
        <w:rPr>
          <w:rFonts w:ascii="Times New Roman" w:hAnsi="Times New Roman" w:cs="Times New Roman"/>
          <w:sz w:val="24"/>
          <w:szCs w:val="24"/>
        </w:rPr>
        <w:t xml:space="preserve">., 2023). The reductions in GPx activity and GSH concentration observed in the </w:t>
      </w:r>
      <w:r>
        <w:rPr>
          <w:rFonts w:ascii="Times New Roman" w:hAnsi="Times New Roman" w:cs="Times New Roman"/>
          <w:sz w:val="24"/>
          <w:szCs w:val="24"/>
          <w:highlight w:val="yellow"/>
        </w:rPr>
        <w:t>tamoxifen-treated</w:t>
      </w:r>
      <w:r>
        <w:rPr>
          <w:rFonts w:ascii="Times New Roman" w:hAnsi="Times New Roman" w:cs="Times New Roman"/>
          <w:sz w:val="24"/>
          <w:szCs w:val="24"/>
        </w:rPr>
        <w:t xml:space="preserve"> group indicate depletion of antioxidant capacity during oxidative stress (Rui </w:t>
      </w:r>
      <w:r>
        <w:rPr>
          <w:rFonts w:ascii="Times New Roman" w:hAnsi="Times New Roman" w:cs="Times New Roman"/>
          <w:i/>
          <w:iCs/>
          <w:sz w:val="24"/>
          <w:szCs w:val="24"/>
        </w:rPr>
        <w:t>et al</w:t>
      </w:r>
      <w:r>
        <w:rPr>
          <w:rFonts w:ascii="Times New Roman" w:hAnsi="Times New Roman" w:cs="Times New Roman"/>
          <w:sz w:val="24"/>
          <w:szCs w:val="24"/>
        </w:rPr>
        <w:t xml:space="preserve">., 2021; Chen </w:t>
      </w:r>
      <w:r>
        <w:rPr>
          <w:rFonts w:ascii="Times New Roman" w:hAnsi="Times New Roman" w:cs="Times New Roman"/>
          <w:i/>
          <w:iCs/>
          <w:sz w:val="24"/>
          <w:szCs w:val="24"/>
        </w:rPr>
        <w:t>et al</w:t>
      </w:r>
      <w:r>
        <w:rPr>
          <w:rFonts w:ascii="Times New Roman" w:hAnsi="Times New Roman" w:cs="Times New Roman"/>
          <w:sz w:val="24"/>
          <w:szCs w:val="24"/>
        </w:rPr>
        <w:t xml:space="preserve">., 2024). However, administration of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increased GPx and GSH relative to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with several treatment groups approaching or exceeding the control values. This suggests that the treatments attenuated the depletion of endogenous antioxidant </w:t>
      </w:r>
      <w:r>
        <w:rPr>
          <w:rFonts w:ascii="Times New Roman" w:hAnsi="Times New Roman" w:cs="Times New Roman"/>
          <w:sz w:val="24"/>
          <w:szCs w:val="24"/>
          <w:highlight w:val="yellow"/>
        </w:rPr>
        <w:t>defences</w:t>
      </w:r>
      <w:r>
        <w:rPr>
          <w:rFonts w:ascii="Times New Roman" w:hAnsi="Times New Roman" w:cs="Times New Roman"/>
          <w:sz w:val="24"/>
          <w:szCs w:val="24"/>
        </w:rPr>
        <w:t xml:space="preserve">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exposure (Liu </w:t>
      </w:r>
      <w:r>
        <w:rPr>
          <w:rFonts w:ascii="Times New Roman" w:hAnsi="Times New Roman" w:cs="Times New Roman"/>
          <w:i/>
          <w:iCs/>
          <w:sz w:val="24"/>
          <w:szCs w:val="24"/>
        </w:rPr>
        <w:t>et al</w:t>
      </w:r>
      <w:r>
        <w:rPr>
          <w:rFonts w:ascii="Times New Roman" w:hAnsi="Times New Roman" w:cs="Times New Roman"/>
          <w:sz w:val="24"/>
          <w:szCs w:val="24"/>
        </w:rPr>
        <w:t xml:space="preserve">., 2024; Chandimali </w:t>
      </w:r>
      <w:r>
        <w:rPr>
          <w:rFonts w:ascii="Times New Roman" w:hAnsi="Times New Roman" w:cs="Times New Roman"/>
          <w:i/>
          <w:iCs/>
          <w:sz w:val="24"/>
          <w:szCs w:val="24"/>
        </w:rPr>
        <w:t>et al</w:t>
      </w:r>
      <w:r>
        <w:rPr>
          <w:rFonts w:ascii="Times New Roman" w:hAnsi="Times New Roman" w:cs="Times New Roman"/>
          <w:sz w:val="24"/>
          <w:szCs w:val="24"/>
        </w:rPr>
        <w:t xml:space="preserve">., </w:t>
      </w:r>
      <w:r>
        <w:rPr>
          <w:rFonts w:ascii="Times New Roman" w:hAnsi="Times New Roman" w:cs="Times New Roman"/>
          <w:sz w:val="24"/>
          <w:szCs w:val="24"/>
          <w:highlight w:val="yellow"/>
        </w:rPr>
        <w:t>2025).</w:t>
      </w:r>
    </w:p>
    <w:p w14:paraId="77B876E1" w14:textId="77777777" w:rsidR="00921239" w:rsidRPr="00300D2C" w:rsidRDefault="000518A6"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Malondialdehyde (MDA) is a commonly used indicator of lipid peroxidation and oxidative damage to cellular membranes </w:t>
      </w:r>
      <w:r>
        <w:rPr>
          <w:rFonts w:ascii="Times New Roman" w:hAnsi="Times New Roman" w:cs="Times New Roman"/>
          <w:sz w:val="24"/>
          <w:szCs w:val="24"/>
          <w:highlight w:val="yellow"/>
        </w:rPr>
        <w:t>(Abd</w:t>
      </w:r>
      <w:r>
        <w:rPr>
          <w:rFonts w:ascii="Times New Roman" w:hAnsi="Times New Roman" w:cs="Times New Roman"/>
          <w:sz w:val="24"/>
          <w:szCs w:val="24"/>
        </w:rPr>
        <w:t xml:space="preserve"> </w:t>
      </w:r>
      <w:r>
        <w:rPr>
          <w:rFonts w:ascii="Times New Roman" w:hAnsi="Times New Roman" w:cs="Times New Roman"/>
          <w:sz w:val="24"/>
          <w:szCs w:val="24"/>
          <w:highlight w:val="yellow"/>
        </w:rPr>
        <w:t>Al-Hameed &amp;</w:t>
      </w:r>
      <w:r>
        <w:rPr>
          <w:rFonts w:ascii="Times New Roman" w:hAnsi="Times New Roman" w:cs="Times New Roman"/>
          <w:sz w:val="24"/>
          <w:szCs w:val="24"/>
        </w:rPr>
        <w:t xml:space="preserve"> Al-Ani, 2023). In this study,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produced a marked increase in MDA concentration, from 1.78 in the control group to 10.62 in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indicating enhanced lipid peroxidation (Guneidy </w:t>
      </w:r>
      <w:r>
        <w:rPr>
          <w:rFonts w:ascii="Times New Roman" w:hAnsi="Times New Roman" w:cs="Times New Roman"/>
          <w:i/>
          <w:iCs/>
          <w:sz w:val="24"/>
          <w:szCs w:val="24"/>
        </w:rPr>
        <w:t>et al</w:t>
      </w:r>
      <w:r>
        <w:rPr>
          <w:rFonts w:ascii="Times New Roman" w:hAnsi="Times New Roman" w:cs="Times New Roman"/>
          <w:sz w:val="24"/>
          <w:szCs w:val="24"/>
        </w:rPr>
        <w:t xml:space="preserve">., 2023; Voronina </w:t>
      </w:r>
      <w:r>
        <w:rPr>
          <w:rFonts w:ascii="Times New Roman" w:hAnsi="Times New Roman" w:cs="Times New Roman"/>
          <w:i/>
          <w:iCs/>
          <w:sz w:val="24"/>
          <w:szCs w:val="24"/>
        </w:rPr>
        <w:t>et al</w:t>
      </w:r>
      <w:r>
        <w:rPr>
          <w:rFonts w:ascii="Times New Roman" w:hAnsi="Times New Roman" w:cs="Times New Roman"/>
          <w:sz w:val="24"/>
          <w:szCs w:val="24"/>
        </w:rPr>
        <w:t xml:space="preserve">., 2024). Co-administration of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or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substantially reduced MDA relative to the </w:t>
      </w:r>
      <w:r>
        <w:rPr>
          <w:rFonts w:ascii="Times New Roman" w:hAnsi="Times New Roman" w:cs="Times New Roman"/>
          <w:sz w:val="24"/>
          <w:szCs w:val="24"/>
          <w:highlight w:val="yellow"/>
        </w:rPr>
        <w:t>tamoxifen-only</w:t>
      </w:r>
      <w:r>
        <w:rPr>
          <w:rFonts w:ascii="Times New Roman" w:hAnsi="Times New Roman" w:cs="Times New Roman"/>
          <w:sz w:val="24"/>
          <w:szCs w:val="24"/>
        </w:rPr>
        <w:t xml:space="preserve"> group, with values of 2.93, 1.58 and 1.87 in the extract and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and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and combination treatment groups </w:t>
      </w:r>
      <w:r>
        <w:rPr>
          <w:rFonts w:ascii="Times New Roman" w:hAnsi="Times New Roman" w:cs="Times New Roman"/>
          <w:sz w:val="24"/>
          <w:szCs w:val="24"/>
          <w:highlight w:val="yellow"/>
        </w:rPr>
        <w:t>(extract,</w:t>
      </w:r>
      <w:r>
        <w:rPr>
          <w:rFonts w:ascii="Times New Roman" w:hAnsi="Times New Roman" w:cs="Times New Roman"/>
          <w:sz w:val="24"/>
          <w:szCs w:val="24"/>
        </w:rPr>
        <w:t xml:space="preserve">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and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respectively. The extract-only group also showed a low MDA value of 1.50. These findings indicate attenuation of </w:t>
      </w:r>
      <w:r>
        <w:rPr>
          <w:rFonts w:ascii="Times New Roman" w:hAnsi="Times New Roman" w:cs="Times New Roman"/>
          <w:sz w:val="24"/>
          <w:szCs w:val="24"/>
          <w:highlight w:val="yellow"/>
        </w:rPr>
        <w:t>tamoxifen-associated</w:t>
      </w:r>
      <w:r>
        <w:rPr>
          <w:rFonts w:ascii="Times New Roman" w:hAnsi="Times New Roman" w:cs="Times New Roman"/>
          <w:sz w:val="24"/>
          <w:szCs w:val="24"/>
        </w:rPr>
        <w:t xml:space="preserve"> lipid peroxidation, </w:t>
      </w:r>
      <w:r>
        <w:rPr>
          <w:rFonts w:ascii="Times New Roman" w:hAnsi="Times New Roman" w:cs="Times New Roman"/>
          <w:sz w:val="24"/>
          <w:szCs w:val="24"/>
        </w:rPr>
        <w:lastRenderedPageBreak/>
        <w:t xml:space="preserve">although the response varied among treatment combinations (Dell’Acqua </w:t>
      </w:r>
      <w:r>
        <w:rPr>
          <w:rFonts w:ascii="Times New Roman" w:hAnsi="Times New Roman" w:cs="Times New Roman"/>
          <w:i/>
          <w:iCs/>
          <w:sz w:val="24"/>
          <w:szCs w:val="24"/>
        </w:rPr>
        <w:t>et al</w:t>
      </w:r>
      <w:r>
        <w:rPr>
          <w:rFonts w:ascii="Times New Roman" w:hAnsi="Times New Roman" w:cs="Times New Roman"/>
          <w:sz w:val="24"/>
          <w:szCs w:val="24"/>
        </w:rPr>
        <w:t xml:space="preserve">., </w:t>
      </w:r>
      <w:r>
        <w:rPr>
          <w:rFonts w:ascii="Times New Roman" w:hAnsi="Times New Roman" w:cs="Times New Roman"/>
          <w:sz w:val="24"/>
          <w:szCs w:val="24"/>
          <w:highlight w:val="yellow"/>
        </w:rPr>
        <w:t>2020;</w:t>
      </w:r>
      <w:r>
        <w:rPr>
          <w:rFonts w:ascii="Times New Roman" w:hAnsi="Times New Roman" w:cs="Times New Roman"/>
          <w:sz w:val="24"/>
          <w:szCs w:val="24"/>
        </w:rPr>
        <w:t xml:space="preserve"> Uti </w:t>
      </w:r>
      <w:r>
        <w:rPr>
          <w:rFonts w:ascii="Times New Roman" w:hAnsi="Times New Roman" w:cs="Times New Roman"/>
          <w:i/>
          <w:iCs/>
          <w:sz w:val="24"/>
          <w:szCs w:val="24"/>
        </w:rPr>
        <w:t>et al</w:t>
      </w:r>
      <w:r>
        <w:rPr>
          <w:rFonts w:ascii="Times New Roman" w:hAnsi="Times New Roman" w:cs="Times New Roman"/>
          <w:sz w:val="24"/>
          <w:szCs w:val="24"/>
        </w:rPr>
        <w:t xml:space="preserve">., 2025). The antioxidant response observed with </w:t>
      </w:r>
      <w:r>
        <w:rPr>
          <w:rFonts w:ascii="Times New Roman" w:hAnsi="Times New Roman" w:cs="Times New Roman"/>
          <w:i/>
          <w:sz w:val="24"/>
          <w:szCs w:val="24"/>
        </w:rPr>
        <w:t>Embelia ribes</w:t>
      </w:r>
      <w:r>
        <w:rPr>
          <w:rFonts w:ascii="Times New Roman" w:hAnsi="Times New Roman" w:cs="Times New Roman"/>
          <w:sz w:val="24"/>
          <w:szCs w:val="24"/>
        </w:rPr>
        <w:t xml:space="preserve"> seed is consistent with </w:t>
      </w:r>
      <w:r>
        <w:rPr>
          <w:rFonts w:ascii="Times New Roman" w:hAnsi="Times New Roman" w:cs="Times New Roman"/>
          <w:sz w:val="24"/>
          <w:szCs w:val="24"/>
          <w:highlight w:val="yellow"/>
        </w:rPr>
        <w:t>previously</w:t>
      </w:r>
      <w:r>
        <w:rPr>
          <w:rFonts w:ascii="Times New Roman" w:hAnsi="Times New Roman" w:cs="Times New Roman"/>
          <w:sz w:val="24"/>
          <w:szCs w:val="24"/>
        </w:rPr>
        <w:t xml:space="preserve"> reported antioxidant properties of the plant (Tumilaar </w:t>
      </w:r>
      <w:r>
        <w:rPr>
          <w:rFonts w:ascii="Times New Roman" w:hAnsi="Times New Roman" w:cs="Times New Roman"/>
          <w:i/>
          <w:iCs/>
          <w:sz w:val="24"/>
          <w:szCs w:val="24"/>
        </w:rPr>
        <w:t>et al</w:t>
      </w:r>
      <w:r>
        <w:rPr>
          <w:rFonts w:ascii="Times New Roman" w:hAnsi="Times New Roman" w:cs="Times New Roman"/>
          <w:sz w:val="24"/>
          <w:szCs w:val="24"/>
        </w:rPr>
        <w:t xml:space="preserve">., 2024; Parcheta </w:t>
      </w:r>
      <w:r>
        <w:rPr>
          <w:rFonts w:ascii="Times New Roman" w:hAnsi="Times New Roman" w:cs="Times New Roman"/>
          <w:i/>
          <w:iCs/>
          <w:sz w:val="24"/>
          <w:szCs w:val="24"/>
        </w:rPr>
        <w:t>et al</w:t>
      </w:r>
      <w:r>
        <w:rPr>
          <w:rFonts w:ascii="Times New Roman" w:hAnsi="Times New Roman" w:cs="Times New Roman"/>
          <w:sz w:val="24"/>
          <w:szCs w:val="24"/>
        </w:rPr>
        <w:t xml:space="preserve">., 2021). However, the specific phytochemical constituents responsible for the observed effects were not </w:t>
      </w:r>
      <w:r>
        <w:rPr>
          <w:rFonts w:ascii="Times New Roman" w:hAnsi="Times New Roman" w:cs="Times New Roman"/>
          <w:sz w:val="24"/>
          <w:szCs w:val="24"/>
          <w:highlight w:val="yellow"/>
        </w:rPr>
        <w:t>characterised</w:t>
      </w:r>
      <w:r>
        <w:rPr>
          <w:rFonts w:ascii="Times New Roman" w:hAnsi="Times New Roman" w:cs="Times New Roman"/>
          <w:sz w:val="24"/>
          <w:szCs w:val="24"/>
        </w:rPr>
        <w:t xml:space="preserve"> in the present study.</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Similarly,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is a lipid-soluble antioxidant that protects polyunsaturated fatty acids in biological membranes from peroxidative damage (Recknagel </w:t>
      </w:r>
      <w:r>
        <w:rPr>
          <w:rFonts w:ascii="Times New Roman" w:hAnsi="Times New Roman" w:cs="Times New Roman"/>
          <w:i/>
          <w:iCs/>
          <w:sz w:val="24"/>
          <w:szCs w:val="24"/>
        </w:rPr>
        <w:t>et al</w:t>
      </w:r>
      <w:r>
        <w:rPr>
          <w:rFonts w:ascii="Times New Roman" w:hAnsi="Times New Roman" w:cs="Times New Roman"/>
          <w:sz w:val="24"/>
          <w:szCs w:val="24"/>
        </w:rPr>
        <w:t xml:space="preserve">., 2020). Its ability to limit lipid peroxidation may therefore contribute to the improved antioxidant status observed in several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E-treated groups. The combined treatment produced an enhanced response for some parameters compared with individual treatments, although the magnitude of the effect varied across the biochemical and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indices (</w:t>
      </w:r>
      <w:r>
        <w:rPr>
          <w:rFonts w:ascii="Times New Roman" w:hAnsi="Times New Roman" w:cs="Times New Roman"/>
          <w:color w:val="222222"/>
          <w:sz w:val="24"/>
          <w:szCs w:val="24"/>
          <w:shd w:val="clear" w:color="auto" w:fill="FFFFFF"/>
        </w:rPr>
        <w:t xml:space="preserve">Chaib </w:t>
      </w:r>
      <w:r>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2026</w:t>
      </w:r>
      <w:r>
        <w:rPr>
          <w:rFonts w:ascii="Times New Roman" w:hAnsi="Times New Roman" w:cs="Times New Roman"/>
          <w:sz w:val="24"/>
          <w:szCs w:val="24"/>
        </w:rPr>
        <w:t>).</w:t>
      </w:r>
    </w:p>
    <w:p w14:paraId="7AB58A66" w14:textId="77777777" w:rsidR="00BE35D7" w:rsidRDefault="00921239"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Overall, the improvement in antioxidant enzyme activities and reduction in MDA observed in several treated groups indicate that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attenuated the redox disturbances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Together with the improvement in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and total protein parameters, these findings support the potential of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as a candidate for further investigation in the context of </w:t>
      </w:r>
      <w:r>
        <w:rPr>
          <w:rFonts w:ascii="Times New Roman" w:hAnsi="Times New Roman" w:cs="Times New Roman"/>
          <w:sz w:val="24"/>
          <w:szCs w:val="24"/>
          <w:highlight w:val="yellow"/>
        </w:rPr>
        <w:t>tamoxifen-associated</w:t>
      </w:r>
      <w:r>
        <w:rPr>
          <w:rFonts w:ascii="Times New Roman" w:hAnsi="Times New Roman" w:cs="Times New Roman"/>
          <w:sz w:val="24"/>
          <w:szCs w:val="24"/>
        </w:rPr>
        <w:t xml:space="preserve"> biochemical alterations. However, the present biochemical findings do not by themselves establish histological protection or identify the specific compounds responsible for the observed effects.</w:t>
      </w:r>
    </w:p>
    <w:p w14:paraId="218B6437" w14:textId="77777777" w:rsidR="000518A6" w:rsidRPr="00300D2C" w:rsidRDefault="000518A6" w:rsidP="00300D2C">
      <w:pPr>
        <w:spacing w:line="360" w:lineRule="auto"/>
        <w:jc w:val="both"/>
        <w:rPr>
          <w:rFonts w:ascii="Times New Roman" w:hAnsi="Times New Roman" w:cs="Times New Roman"/>
          <w:sz w:val="24"/>
          <w:szCs w:val="24"/>
        </w:rPr>
      </w:pPr>
    </w:p>
    <w:p w14:paraId="7B9060E0" w14:textId="77777777" w:rsidR="00921239" w:rsidRPr="00300D2C" w:rsidRDefault="00800FFC"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CONCLUSION</w:t>
      </w:r>
      <w:r w:rsidR="001D6FA8" w:rsidRPr="00300D2C">
        <w:rPr>
          <w:rFonts w:ascii="Times New Roman" w:hAnsi="Times New Roman" w:cs="Times New Roman"/>
          <w:b/>
          <w:bCs/>
          <w:sz w:val="24"/>
          <w:szCs w:val="24"/>
        </w:rPr>
        <w:tab/>
      </w:r>
    </w:p>
    <w:p w14:paraId="6CE17BD7" w14:textId="77777777" w:rsidR="002F6C8A" w:rsidRPr="00C73E14" w:rsidRDefault="00921239"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findings of this study indicate that prolonged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was associated with alterations in serum and breast total protein,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parameters and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in breast tissue, as evidenced by changes in SOD, CAT, GPx, GSH and MDA. Administration of the ethyl acetate extract of </w:t>
      </w:r>
      <w:r>
        <w:rPr>
          <w:rFonts w:ascii="Times New Roman" w:hAnsi="Times New Roman" w:cs="Times New Roman"/>
          <w:i/>
          <w:sz w:val="24"/>
          <w:szCs w:val="24"/>
        </w:rPr>
        <w:t>Embelia ribes</w:t>
      </w:r>
      <w:r>
        <w:rPr>
          <w:rFonts w:ascii="Times New Roman" w:hAnsi="Times New Roman" w:cs="Times New Roman"/>
          <w:sz w:val="24"/>
          <w:szCs w:val="24"/>
        </w:rPr>
        <w:t xml:space="preserve"> seed and </w:t>
      </w:r>
      <w:r>
        <w:rPr>
          <w:rFonts w:ascii="Times New Roman" w:hAnsi="Times New Roman" w:cs="Times New Roman"/>
          <w:sz w:val="24"/>
          <w:szCs w:val="24"/>
          <w:highlight w:val="yellow"/>
        </w:rPr>
        <w:t>vitamin</w:t>
      </w:r>
      <w:r>
        <w:rPr>
          <w:rFonts w:ascii="Times New Roman" w:hAnsi="Times New Roman" w:cs="Times New Roman"/>
          <w:sz w:val="24"/>
          <w:szCs w:val="24"/>
        </w:rPr>
        <w:t xml:space="preserve"> E ameliorated several of these alterations, although the magnitude of the response varied across the measured parameters and treatment combinations. The findings suggest that the ethyl acetate extract of </w:t>
      </w:r>
      <w:r>
        <w:rPr>
          <w:rFonts w:ascii="Times New Roman" w:hAnsi="Times New Roman" w:cs="Times New Roman"/>
          <w:i/>
          <w:sz w:val="24"/>
          <w:szCs w:val="24"/>
        </w:rPr>
        <w:t>Embelia ribes</w:t>
      </w:r>
      <w:r>
        <w:rPr>
          <w:rFonts w:ascii="Times New Roman" w:hAnsi="Times New Roman" w:cs="Times New Roman"/>
          <w:sz w:val="24"/>
          <w:szCs w:val="24"/>
        </w:rPr>
        <w:t xml:space="preserve"> seed may have antioxidant and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protective potential against some of the biochemical and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alterations associated with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 These findings provide a </w:t>
      </w:r>
      <w:r>
        <w:rPr>
          <w:rFonts w:ascii="Times New Roman" w:hAnsi="Times New Roman" w:cs="Times New Roman"/>
          <w:sz w:val="24"/>
          <w:szCs w:val="24"/>
        </w:rPr>
        <w:lastRenderedPageBreak/>
        <w:t xml:space="preserve">basis for further investigation of </w:t>
      </w:r>
      <w:r>
        <w:rPr>
          <w:rFonts w:ascii="Times New Roman" w:hAnsi="Times New Roman" w:cs="Times New Roman"/>
          <w:i/>
          <w:sz w:val="24"/>
          <w:szCs w:val="24"/>
        </w:rPr>
        <w:t>Embelia ribes</w:t>
      </w:r>
      <w:r>
        <w:rPr>
          <w:rFonts w:ascii="Times New Roman" w:hAnsi="Times New Roman" w:cs="Times New Roman"/>
          <w:sz w:val="24"/>
          <w:szCs w:val="24"/>
        </w:rPr>
        <w:t xml:space="preserve"> seed as a potential complementary candidate during </w:t>
      </w:r>
      <w:r>
        <w:rPr>
          <w:rFonts w:ascii="Times New Roman" w:hAnsi="Times New Roman" w:cs="Times New Roman"/>
          <w:sz w:val="24"/>
          <w:szCs w:val="24"/>
          <w:highlight w:val="yellow"/>
        </w:rPr>
        <w:t>tamoxifen</w:t>
      </w:r>
      <w:r>
        <w:rPr>
          <w:rFonts w:ascii="Times New Roman" w:hAnsi="Times New Roman" w:cs="Times New Roman"/>
          <w:sz w:val="24"/>
          <w:szCs w:val="24"/>
        </w:rPr>
        <w:t xml:space="preserve"> administration.</w:t>
      </w:r>
    </w:p>
    <w:p w14:paraId="2158DAB9" w14:textId="77777777" w:rsidR="007A2C39" w:rsidRPr="00300D2C" w:rsidRDefault="004E1BDD"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 xml:space="preserve">LIMITATION </w:t>
      </w:r>
    </w:p>
    <w:p w14:paraId="68CBA92C" w14:textId="77777777" w:rsidR="007A2C39" w:rsidRDefault="007A2C39"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limited to selected biochemical and </w:t>
      </w:r>
      <w:r>
        <w:rPr>
          <w:rFonts w:ascii="Times New Roman" w:hAnsi="Times New Roman" w:cs="Times New Roman"/>
          <w:sz w:val="24"/>
          <w:szCs w:val="24"/>
          <w:highlight w:val="yellow"/>
        </w:rPr>
        <w:t>haematological</w:t>
      </w:r>
      <w:r>
        <w:rPr>
          <w:rFonts w:ascii="Times New Roman" w:hAnsi="Times New Roman" w:cs="Times New Roman"/>
          <w:sz w:val="24"/>
          <w:szCs w:val="24"/>
        </w:rPr>
        <w:t xml:space="preserve"> investigations, with seven animals </w:t>
      </w:r>
      <w:r>
        <w:rPr>
          <w:rFonts w:ascii="Times New Roman" w:hAnsi="Times New Roman" w:cs="Times New Roman"/>
          <w:sz w:val="24"/>
          <w:szCs w:val="24"/>
          <w:highlight w:val="yellow"/>
        </w:rPr>
        <w:t>analysed</w:t>
      </w:r>
      <w:r>
        <w:rPr>
          <w:rFonts w:ascii="Times New Roman" w:hAnsi="Times New Roman" w:cs="Times New Roman"/>
          <w:sz w:val="24"/>
          <w:szCs w:val="24"/>
        </w:rPr>
        <w:t xml:space="preserve"> per group. Detailed phytochemical </w:t>
      </w:r>
      <w:r>
        <w:rPr>
          <w:rFonts w:ascii="Times New Roman" w:hAnsi="Times New Roman" w:cs="Times New Roman"/>
          <w:sz w:val="24"/>
          <w:szCs w:val="24"/>
          <w:highlight w:val="yellow"/>
        </w:rPr>
        <w:t>characterisation</w:t>
      </w:r>
      <w:r>
        <w:rPr>
          <w:rFonts w:ascii="Times New Roman" w:hAnsi="Times New Roman" w:cs="Times New Roman"/>
          <w:sz w:val="24"/>
          <w:szCs w:val="24"/>
        </w:rPr>
        <w:t xml:space="preserve"> of the </w:t>
      </w:r>
      <w:r>
        <w:rPr>
          <w:rFonts w:ascii="Times New Roman" w:hAnsi="Times New Roman" w:cs="Times New Roman"/>
          <w:i/>
          <w:sz w:val="24"/>
          <w:szCs w:val="24"/>
        </w:rPr>
        <w:t>Embelia ribes</w:t>
      </w:r>
      <w:r>
        <w:rPr>
          <w:rFonts w:ascii="Times New Roman" w:hAnsi="Times New Roman" w:cs="Times New Roman"/>
          <w:sz w:val="24"/>
          <w:szCs w:val="24"/>
        </w:rPr>
        <w:t xml:space="preserve"> seed extract and histopathological evaluation of the breast, liver and kidney tissues were not included in the present study. Therefore, further studies involving detailed phytochemical </w:t>
      </w:r>
      <w:r>
        <w:rPr>
          <w:rFonts w:ascii="Times New Roman" w:hAnsi="Times New Roman" w:cs="Times New Roman"/>
          <w:sz w:val="24"/>
          <w:szCs w:val="24"/>
          <w:highlight w:val="yellow"/>
        </w:rPr>
        <w:t>characterisation,</w:t>
      </w:r>
      <w:r>
        <w:rPr>
          <w:rFonts w:ascii="Times New Roman" w:hAnsi="Times New Roman" w:cs="Times New Roman"/>
          <w:sz w:val="24"/>
          <w:szCs w:val="24"/>
        </w:rPr>
        <w:t xml:space="preserve"> histopathological assessment and molecular investigations are recommended to identify the specific constituents and mechanisms underlying the observed effects and to provide further evidence of tissue-level changes.</w:t>
      </w:r>
    </w:p>
    <w:p w14:paraId="6825DF23" w14:textId="77777777" w:rsidR="0085146C" w:rsidRDefault="0085146C" w:rsidP="0085146C">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p>
    <w:p w14:paraId="0FEE3FF9" w14:textId="77777777" w:rsidR="0085146C" w:rsidRPr="002D08AC" w:rsidRDefault="0085146C" w:rsidP="0085146C">
      <w:pPr>
        <w:spacing w:after="0" w:line="240" w:lineRule="auto"/>
        <w:rPr>
          <w:rFonts w:ascii="Arial" w:hAnsi="Arial" w:cs="Arial"/>
          <w:b/>
          <w:sz w:val="20"/>
          <w:szCs w:val="20"/>
        </w:rPr>
      </w:pPr>
      <w:bookmarkStart w:id="3" w:name="_Hlk238550938"/>
      <w:bookmarkStart w:id="4" w:name="_Hlk237856463"/>
      <w:bookmarkEnd w:id="0"/>
      <w:r w:rsidRPr="002D08AC">
        <w:rPr>
          <w:rFonts w:ascii="Arial" w:hAnsi="Arial" w:cs="Arial"/>
          <w:b/>
          <w:sz w:val="20"/>
          <w:szCs w:val="20"/>
        </w:rPr>
        <w:t>Declaration of AI Use</w:t>
      </w:r>
    </w:p>
    <w:p w14:paraId="4218E968" w14:textId="77777777" w:rsidR="0085146C" w:rsidRPr="002D08AC" w:rsidRDefault="0085146C" w:rsidP="0085146C">
      <w:pPr>
        <w:spacing w:after="0" w:line="240" w:lineRule="auto"/>
        <w:rPr>
          <w:rFonts w:ascii="Arial" w:hAnsi="Arial" w:cs="Arial"/>
          <w:sz w:val="20"/>
          <w:szCs w:val="20"/>
        </w:rPr>
      </w:pPr>
      <w:bookmarkStart w:id="5" w:name="_Hlk239068730"/>
    </w:p>
    <w:p w14:paraId="50BF0C3A" w14:textId="77777777" w:rsidR="0085146C" w:rsidRPr="002D08AC" w:rsidRDefault="0085146C" w:rsidP="0085146C">
      <w:pPr>
        <w:spacing w:after="0" w:line="240" w:lineRule="auto"/>
        <w:rPr>
          <w:rFonts w:ascii="Arial" w:hAnsi="Arial" w:cs="Arial"/>
          <w:sz w:val="20"/>
          <w:szCs w:val="20"/>
        </w:rPr>
      </w:pPr>
      <w:bookmarkStart w:id="6"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3"/>
      <w:r w:rsidRPr="002D08AC">
        <w:rPr>
          <w:rFonts w:ascii="Arial" w:hAnsi="Arial" w:cs="Arial"/>
          <w:sz w:val="20"/>
          <w:szCs w:val="20"/>
        </w:rPr>
        <w:t>.</w:t>
      </w:r>
    </w:p>
    <w:bookmarkEnd w:id="2"/>
    <w:bookmarkEnd w:id="4"/>
    <w:bookmarkEnd w:id="5"/>
    <w:bookmarkEnd w:id="6"/>
    <w:p w14:paraId="4C44F7EB" w14:textId="77777777" w:rsidR="0085146C" w:rsidRDefault="0085146C" w:rsidP="00300D2C">
      <w:pPr>
        <w:spacing w:line="360" w:lineRule="auto"/>
        <w:jc w:val="both"/>
        <w:rPr>
          <w:rFonts w:ascii="Times New Roman" w:hAnsi="Times New Roman" w:cs="Times New Roman"/>
          <w:b/>
          <w:bCs/>
          <w:sz w:val="24"/>
          <w:szCs w:val="24"/>
        </w:rPr>
      </w:pPr>
    </w:p>
    <w:p w14:paraId="0CE7CCF6" w14:textId="77777777" w:rsidR="0085146C" w:rsidRPr="003A29C6" w:rsidRDefault="0085146C" w:rsidP="0085146C">
      <w:pPr>
        <w:jc w:val="both"/>
        <w:outlineLvl w:val="0"/>
        <w:rPr>
          <w:rFonts w:ascii="Arial" w:hAnsi="Arial" w:cs="Arial"/>
        </w:rPr>
      </w:pPr>
      <w:r w:rsidRPr="003A29C6">
        <w:rPr>
          <w:rFonts w:ascii="Arial" w:hAnsi="Arial" w:cs="Arial"/>
          <w:b/>
          <w:bCs/>
        </w:rPr>
        <w:t>COMPETING INTERESTS DISCLAIMER:</w:t>
      </w:r>
    </w:p>
    <w:p w14:paraId="33AEC3FF" w14:textId="77777777" w:rsidR="0085146C" w:rsidRDefault="0085146C" w:rsidP="0085146C">
      <w:r w:rsidRPr="00A10EDE">
        <w:t>Authors have declared that they have no known competing financial interests OR non-financial interests OR personal relationships that could have appeared to influence the work reported in this paper.</w:t>
      </w:r>
    </w:p>
    <w:p w14:paraId="52A1E42E" w14:textId="77777777" w:rsidR="0085146C" w:rsidRDefault="0085146C" w:rsidP="0085146C"/>
    <w:p w14:paraId="27BB8AAF" w14:textId="77777777" w:rsidR="00451567" w:rsidRPr="00300D2C" w:rsidRDefault="00451567" w:rsidP="00300D2C">
      <w:pPr>
        <w:pStyle w:val="NormalWeb"/>
        <w:spacing w:before="0" w:beforeAutospacing="0" w:after="0" w:afterAutospacing="0" w:line="360" w:lineRule="auto"/>
        <w:jc w:val="both"/>
        <w:rPr>
          <w:rFonts w:eastAsia="Calibri" w:hint="default"/>
          <w:b/>
          <w:color w:val="36363D"/>
        </w:rPr>
      </w:pPr>
    </w:p>
    <w:p w14:paraId="60C42A79" w14:textId="77777777" w:rsidR="00451567" w:rsidRPr="00300D2C" w:rsidRDefault="00451567" w:rsidP="00300D2C">
      <w:pPr>
        <w:pStyle w:val="NormalWeb"/>
        <w:spacing w:before="0" w:beforeAutospacing="0" w:after="0" w:afterAutospacing="0" w:line="360" w:lineRule="auto"/>
        <w:jc w:val="both"/>
        <w:rPr>
          <w:rFonts w:eastAsia="Calibri" w:hint="default"/>
          <w:b/>
          <w:color w:val="36363D"/>
        </w:rPr>
      </w:pPr>
      <w:r w:rsidRPr="00300D2C">
        <w:rPr>
          <w:rFonts w:eastAsia="Calibri" w:hint="default"/>
          <w:b/>
          <w:color w:val="36363D"/>
        </w:rPr>
        <w:t xml:space="preserve">Declaration of conflict of interests </w:t>
      </w:r>
    </w:p>
    <w:p w14:paraId="609E480F" w14:textId="77777777" w:rsidR="00E26736" w:rsidRPr="00300D2C" w:rsidRDefault="00451567" w:rsidP="00300D2C">
      <w:pPr>
        <w:pStyle w:val="NormalWeb"/>
        <w:spacing w:before="0" w:beforeAutospacing="0" w:after="0" w:afterAutospacing="0" w:line="360" w:lineRule="auto"/>
        <w:jc w:val="both"/>
        <w:rPr>
          <w:rFonts w:eastAsia="Calibri" w:hint="default"/>
          <w:b/>
          <w:color w:val="36363D"/>
        </w:rPr>
      </w:pPr>
      <w:r w:rsidRPr="00300D2C">
        <w:rPr>
          <w:rFonts w:eastAsia="Calibri" w:hint="default"/>
          <w:b/>
          <w:color w:val="36363D"/>
        </w:rPr>
        <w:t>The authors declare that there is no c</w:t>
      </w:r>
      <w:r w:rsidR="00A17AC9" w:rsidRPr="00300D2C">
        <w:rPr>
          <w:rFonts w:eastAsia="Calibri" w:hint="default"/>
          <w:b/>
          <w:color w:val="36363D"/>
        </w:rPr>
        <w:t>onflict of interests among them.</w:t>
      </w:r>
    </w:p>
    <w:p w14:paraId="333F5B11" w14:textId="77777777" w:rsidR="00A00F28" w:rsidRPr="00300D2C" w:rsidRDefault="00A00F28" w:rsidP="00300D2C">
      <w:pPr>
        <w:pStyle w:val="NormalWeb"/>
        <w:spacing w:before="0" w:beforeAutospacing="0" w:after="0" w:afterAutospacing="0" w:line="360" w:lineRule="auto"/>
        <w:jc w:val="both"/>
        <w:rPr>
          <w:rFonts w:eastAsia="Calibri" w:hint="default"/>
          <w:b/>
          <w:color w:val="36363D"/>
        </w:rPr>
      </w:pPr>
    </w:p>
    <w:p w14:paraId="20955912" w14:textId="77777777" w:rsidR="0056495E" w:rsidRPr="00300D2C" w:rsidRDefault="0056495E" w:rsidP="00300D2C">
      <w:pPr>
        <w:spacing w:line="360" w:lineRule="auto"/>
        <w:jc w:val="both"/>
        <w:rPr>
          <w:rFonts w:ascii="Times New Roman" w:hAnsi="Times New Roman" w:cs="Times New Roman"/>
          <w:b/>
          <w:bCs/>
          <w:color w:val="222222"/>
          <w:sz w:val="24"/>
          <w:szCs w:val="24"/>
          <w:shd w:val="clear" w:color="auto" w:fill="FFFFFF"/>
        </w:rPr>
      </w:pPr>
      <w:bookmarkStart w:id="7" w:name="_Hlk232858619"/>
    </w:p>
    <w:p w14:paraId="1C86BC5E" w14:textId="77777777" w:rsidR="004478A6" w:rsidRPr="00300D2C" w:rsidRDefault="004478A6" w:rsidP="00300D2C">
      <w:pPr>
        <w:spacing w:line="360" w:lineRule="auto"/>
        <w:jc w:val="both"/>
        <w:rPr>
          <w:rFonts w:ascii="Times New Roman" w:hAnsi="Times New Roman" w:cs="Times New Roman"/>
          <w:b/>
          <w:bCs/>
          <w:color w:val="222222"/>
          <w:sz w:val="24"/>
          <w:szCs w:val="24"/>
          <w:shd w:val="clear" w:color="auto" w:fill="FFFFFF"/>
        </w:rPr>
      </w:pPr>
    </w:p>
    <w:p w14:paraId="77F517CB" w14:textId="77777777" w:rsidR="00ED5FFF" w:rsidRPr="00300D2C" w:rsidRDefault="00ED5FFF" w:rsidP="00300D2C">
      <w:pPr>
        <w:spacing w:line="360" w:lineRule="auto"/>
        <w:jc w:val="both"/>
        <w:rPr>
          <w:rFonts w:ascii="Times New Roman" w:hAnsi="Times New Roman" w:cs="Times New Roman"/>
          <w:b/>
          <w:bCs/>
          <w:color w:val="222222"/>
          <w:sz w:val="24"/>
          <w:szCs w:val="24"/>
          <w:shd w:val="clear" w:color="auto" w:fill="FFFFFF"/>
        </w:rPr>
      </w:pPr>
      <w:r w:rsidRPr="00300D2C">
        <w:rPr>
          <w:rFonts w:ascii="Times New Roman" w:hAnsi="Times New Roman" w:cs="Times New Roman"/>
          <w:b/>
          <w:bCs/>
          <w:color w:val="222222"/>
          <w:sz w:val="24"/>
          <w:szCs w:val="24"/>
          <w:shd w:val="clear" w:color="auto" w:fill="FFFFFF"/>
        </w:rPr>
        <w:t>REFERENCE</w:t>
      </w:r>
    </w:p>
    <w:bookmarkEnd w:id="7"/>
    <w:p w14:paraId="7E9150E7" w14:textId="62EBEAFA"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Abd Al-Hameed, N. M., &amp; Al-Ani, A. W. (2023). </w:t>
      </w:r>
      <w:r w:rsidRPr="00397A1E">
        <w:rPr>
          <w:rFonts w:ascii="Times New Roman" w:eastAsia="Times New Roman" w:hAnsi="Times New Roman" w:cs="Times New Roman"/>
          <w:sz w:val="24"/>
          <w:szCs w:val="24"/>
        </w:rPr>
        <w:t xml:space="preserve">Assessment of systemic oxidative stress and antioxidants in Iraqi women with newly diagnosed and tamoxifen-treated breast cancer. </w:t>
      </w:r>
      <w:r w:rsidRPr="00397A1E">
        <w:rPr>
          <w:rFonts w:ascii="Times New Roman" w:eastAsia="Times New Roman" w:hAnsi="Times New Roman" w:cs="Times New Roman"/>
          <w:i/>
          <w:iCs/>
          <w:sz w:val="24"/>
          <w:szCs w:val="24"/>
        </w:rPr>
        <w:lastRenderedPageBreak/>
        <w:t>Eurasian Chemical Communications, 5</w:t>
      </w:r>
      <w:r w:rsidRPr="00397A1E">
        <w:rPr>
          <w:rFonts w:ascii="Times New Roman" w:eastAsia="Times New Roman" w:hAnsi="Times New Roman" w:cs="Times New Roman"/>
          <w:sz w:val="24"/>
          <w:szCs w:val="24"/>
        </w:rPr>
        <w:t xml:space="preserve">, 204–215. https://doi.org/10.22034/ecc.2023.365482.1538 </w:t>
      </w:r>
    </w:p>
    <w:p w14:paraId="27D9B384" w14:textId="71A77E80"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Abdelqader, A., Obeidat, M. D., Al-Rawashdeh, M. S., &amp; Alrazak, A. A. (2023). </w:t>
      </w:r>
      <w:r w:rsidRPr="00397A1E">
        <w:rPr>
          <w:rFonts w:ascii="Times New Roman" w:eastAsia="Times New Roman" w:hAnsi="Times New Roman" w:cs="Times New Roman"/>
          <w:sz w:val="24"/>
          <w:szCs w:val="24"/>
        </w:rPr>
        <w:t xml:space="preserve">The role of vitamin E as an antioxidant and preventing damage caused by free radicals. </w:t>
      </w:r>
      <w:r w:rsidRPr="00397A1E">
        <w:rPr>
          <w:rFonts w:ascii="Times New Roman" w:eastAsia="Times New Roman" w:hAnsi="Times New Roman" w:cs="Times New Roman"/>
          <w:i/>
          <w:iCs/>
          <w:sz w:val="24"/>
          <w:szCs w:val="24"/>
        </w:rPr>
        <w:t>Journal of Life Science and Applied Research, 4</w:t>
      </w:r>
      <w:r w:rsidRPr="00397A1E">
        <w:rPr>
          <w:rFonts w:ascii="Times New Roman" w:eastAsia="Times New Roman" w:hAnsi="Times New Roman" w:cs="Times New Roman"/>
          <w:sz w:val="24"/>
          <w:szCs w:val="24"/>
        </w:rPr>
        <w:t xml:space="preserve">(2), 89–95. https://doi.org/10.59807/jlsar.v4i2.89 </w:t>
      </w:r>
    </w:p>
    <w:p w14:paraId="65C8A3B2" w14:textId="0F63D41E"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Abu-Zahra, N. I., Elbaz, S., El-Gammal, G. A., Kassab, A. S., Gouda, M., Elseify, M. M., &amp; Soliman, S. (2025). Selenium and vitamin E supplementation alleviate high-fat diet-induced stress in </w:t>
      </w:r>
      <w:r w:rsidRPr="00397A1E">
        <w:rPr>
          <w:rFonts w:ascii="Times New Roman" w:eastAsia="Times New Roman" w:hAnsi="Times New Roman" w:cs="Times New Roman"/>
          <w:i/>
          <w:iCs/>
          <w:sz w:val="24"/>
          <w:szCs w:val="24"/>
        </w:rPr>
        <w:t>Oreochromis niloticus</w:t>
      </w:r>
      <w:r w:rsidRPr="00397A1E">
        <w:rPr>
          <w:rFonts w:ascii="Times New Roman" w:eastAsia="Times New Roman" w:hAnsi="Times New Roman" w:cs="Times New Roman"/>
          <w:sz w:val="24"/>
          <w:szCs w:val="24"/>
        </w:rPr>
        <w:t xml:space="preserve">: Enhancing growth, antioxidant defense, and disease resistance. </w:t>
      </w:r>
      <w:r w:rsidRPr="00397A1E">
        <w:rPr>
          <w:rFonts w:ascii="Times New Roman" w:eastAsia="Times New Roman" w:hAnsi="Times New Roman" w:cs="Times New Roman"/>
          <w:i/>
          <w:iCs/>
          <w:sz w:val="24"/>
          <w:szCs w:val="24"/>
        </w:rPr>
        <w:t>Aquaculture International, 33</w:t>
      </w:r>
      <w:r w:rsidRPr="00397A1E">
        <w:rPr>
          <w:rFonts w:ascii="Times New Roman" w:eastAsia="Times New Roman" w:hAnsi="Times New Roman" w:cs="Times New Roman"/>
          <w:sz w:val="24"/>
          <w:szCs w:val="24"/>
        </w:rPr>
        <w:t xml:space="preserve">(8), 695. https://doi.org/10.1007/s10499-025-02344-7 </w:t>
      </w:r>
    </w:p>
    <w:p w14:paraId="5D3CCE36" w14:textId="3CB4E11D"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Adedosu, O. T., Badmus, J. A., Adeleke, G. E., &amp; Olalere, G. O. (2017). </w:t>
      </w:r>
      <w:r w:rsidRPr="00397A1E">
        <w:rPr>
          <w:rFonts w:ascii="Times New Roman" w:eastAsia="Times New Roman" w:hAnsi="Times New Roman" w:cs="Times New Roman"/>
          <w:i/>
          <w:iCs/>
          <w:sz w:val="24"/>
          <w:szCs w:val="24"/>
        </w:rPr>
        <w:t>Thaumatococcus daniellii</w:t>
      </w:r>
      <w:r w:rsidRPr="00397A1E">
        <w:rPr>
          <w:rFonts w:ascii="Times New Roman" w:eastAsia="Times New Roman" w:hAnsi="Times New Roman" w:cs="Times New Roman"/>
          <w:sz w:val="24"/>
          <w:szCs w:val="24"/>
        </w:rPr>
        <w:t xml:space="preserve"> extract modulates glibenclamide activity and ameliorates haematological disorders, oxidative stress and dyslipidemia associated with diabetes mellitus in rats. </w:t>
      </w:r>
      <w:r w:rsidRPr="00397A1E">
        <w:rPr>
          <w:rFonts w:ascii="Times New Roman" w:eastAsia="Times New Roman" w:hAnsi="Times New Roman" w:cs="Times New Roman"/>
          <w:i/>
          <w:iCs/>
          <w:sz w:val="24"/>
          <w:szCs w:val="24"/>
        </w:rPr>
        <w:t>British Journal of Pharmaceutical Research, 16</w:t>
      </w:r>
      <w:r w:rsidRPr="00397A1E">
        <w:rPr>
          <w:rFonts w:ascii="Times New Roman" w:eastAsia="Times New Roman" w:hAnsi="Times New Roman" w:cs="Times New Roman"/>
          <w:sz w:val="24"/>
          <w:szCs w:val="24"/>
        </w:rPr>
        <w:t xml:space="preserve">(5), 1–12. https://doi.org/10.9734/BJPR/2017/33134 </w:t>
      </w:r>
    </w:p>
    <w:p w14:paraId="00BFD2B3" w14:textId="39A2259E"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Adedosu, O. T., Jimoh, R. A., Saraki, M. A., &amp; Badmus, J. A. (2018). Ethanol leaves extract of </w:t>
      </w:r>
      <w:r w:rsidRPr="00397A1E">
        <w:rPr>
          <w:rFonts w:ascii="Times New Roman" w:eastAsia="Times New Roman" w:hAnsi="Times New Roman" w:cs="Times New Roman"/>
          <w:i/>
          <w:iCs/>
          <w:sz w:val="24"/>
          <w:szCs w:val="24"/>
        </w:rPr>
        <w:t>Mangifera indica</w:t>
      </w:r>
      <w:r w:rsidRPr="00397A1E">
        <w:rPr>
          <w:rFonts w:ascii="Times New Roman" w:eastAsia="Times New Roman" w:hAnsi="Times New Roman" w:cs="Times New Roman"/>
          <w:sz w:val="24"/>
          <w:szCs w:val="24"/>
        </w:rPr>
        <w:t xml:space="preserve"> (L.) exhibits protective, antioxidative, and antidiabetic effects in rats. </w:t>
      </w:r>
      <w:r w:rsidRPr="00397A1E">
        <w:rPr>
          <w:rFonts w:ascii="Times New Roman" w:eastAsia="Times New Roman" w:hAnsi="Times New Roman" w:cs="Times New Roman"/>
          <w:i/>
          <w:iCs/>
          <w:sz w:val="24"/>
          <w:szCs w:val="24"/>
        </w:rPr>
        <w:t>Asian Pacific Journal of Health Sciences, 5</w:t>
      </w:r>
      <w:r w:rsidRPr="00397A1E">
        <w:rPr>
          <w:rFonts w:ascii="Times New Roman" w:eastAsia="Times New Roman" w:hAnsi="Times New Roman" w:cs="Times New Roman"/>
          <w:sz w:val="24"/>
          <w:szCs w:val="24"/>
        </w:rPr>
        <w:t xml:space="preserve">(1), 182–188. https://doi.org/10.21276/apjhs.2018.5.1.42 </w:t>
      </w:r>
    </w:p>
    <w:p w14:paraId="5A02D1C7" w14:textId="0D34FFB9"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Aebi, H. (1984). Catalase in vitro. </w:t>
      </w:r>
      <w:r w:rsidRPr="00397A1E">
        <w:rPr>
          <w:rFonts w:ascii="Times New Roman" w:eastAsia="Times New Roman" w:hAnsi="Times New Roman" w:cs="Times New Roman"/>
          <w:i/>
          <w:iCs/>
          <w:sz w:val="24"/>
          <w:szCs w:val="24"/>
        </w:rPr>
        <w:t>Methods in Enzymology, 105</w:t>
      </w:r>
      <w:r w:rsidRPr="00397A1E">
        <w:rPr>
          <w:rFonts w:ascii="Times New Roman" w:eastAsia="Times New Roman" w:hAnsi="Times New Roman" w:cs="Times New Roman"/>
          <w:sz w:val="24"/>
          <w:szCs w:val="24"/>
        </w:rPr>
        <w:t xml:space="preserve">, 121–126. https://doi.org/10.1016/S0076-6879(84)05016-3 </w:t>
      </w:r>
    </w:p>
    <w:p w14:paraId="39369457" w14:textId="16EEFDC7"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Afzal, S., Abdul Manap, A. S., Attiq, A., Albokhadaim, I., Kandeel, M., &amp; Alhojaily, S. M. (2023). From imbalance to impairment: The central role of reactive oxygen species in oxidative stress-induced disorders and therapeutic exploration. </w:t>
      </w:r>
      <w:r w:rsidRPr="00397A1E">
        <w:rPr>
          <w:rFonts w:ascii="Times New Roman" w:eastAsia="Times New Roman" w:hAnsi="Times New Roman" w:cs="Times New Roman"/>
          <w:i/>
          <w:iCs/>
          <w:sz w:val="24"/>
          <w:szCs w:val="24"/>
        </w:rPr>
        <w:t>Frontiers in Pharmacology, 14</w:t>
      </w:r>
      <w:r w:rsidRPr="00397A1E">
        <w:rPr>
          <w:rFonts w:ascii="Times New Roman" w:eastAsia="Times New Roman" w:hAnsi="Times New Roman" w:cs="Times New Roman"/>
          <w:sz w:val="24"/>
          <w:szCs w:val="24"/>
        </w:rPr>
        <w:t xml:space="preserve">, 1269581. </w:t>
      </w:r>
      <w:hyperlink r:id="rId33" w:tgtFrame="_blank" w:history="1">
        <w:r w:rsidRPr="00397A1E">
          <w:rPr>
            <w:rFonts w:ascii="Times New Roman" w:eastAsia="Times New Roman" w:hAnsi="Times New Roman" w:cs="Times New Roman"/>
            <w:color w:val="0000FF"/>
            <w:sz w:val="24"/>
            <w:szCs w:val="24"/>
            <w:u w:val="single"/>
          </w:rPr>
          <w:t>https://doi.org/10.3389/fphar.2023.1269581</w:t>
        </w:r>
      </w:hyperlink>
      <w:r w:rsidRPr="00397A1E">
        <w:rPr>
          <w:rFonts w:ascii="Times New Roman" w:eastAsia="Times New Roman" w:hAnsi="Times New Roman" w:cs="Times New Roman"/>
          <w:sz w:val="24"/>
          <w:szCs w:val="24"/>
        </w:rPr>
        <w:t xml:space="preserve"> </w:t>
      </w:r>
    </w:p>
    <w:p w14:paraId="7DE592C3" w14:textId="6C15188A"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Ahmed, A. S., Sabra, M. S., Abbas, A. Y. A., Kamal, A. A., &amp; Abdelqader, Z. S. (2026). Targeting a novel tamoxifen-using pathway to preserve ovarian reserve in rats with experimental chemotherapy-induced ovarian failure. </w:t>
      </w:r>
      <w:r w:rsidRPr="00397A1E">
        <w:rPr>
          <w:rFonts w:ascii="Times New Roman" w:eastAsia="Times New Roman" w:hAnsi="Times New Roman" w:cs="Times New Roman"/>
          <w:i/>
          <w:iCs/>
          <w:sz w:val="24"/>
          <w:szCs w:val="24"/>
        </w:rPr>
        <w:t>BMC Pharmacology and Toxicology, 27</w:t>
      </w:r>
      <w:r w:rsidRPr="00397A1E">
        <w:rPr>
          <w:rFonts w:ascii="Times New Roman" w:eastAsia="Times New Roman" w:hAnsi="Times New Roman" w:cs="Times New Roman"/>
          <w:sz w:val="24"/>
          <w:szCs w:val="24"/>
        </w:rPr>
        <w:t xml:space="preserve">(1), 57. https://doi.org/10.1186/s40360-026-01103-5 </w:t>
      </w:r>
    </w:p>
    <w:p w14:paraId="6B3C35C7" w14:textId="2C7FFAFA"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Alfhili, M. A., Alyousef, A. M., &amp; Alsughayyir, J. (2023). Tamoxifen induces eryptosis through calcium accumulation and oxidative stress. </w:t>
      </w:r>
      <w:r w:rsidRPr="00397A1E">
        <w:rPr>
          <w:rFonts w:ascii="Times New Roman" w:eastAsia="Times New Roman" w:hAnsi="Times New Roman" w:cs="Times New Roman"/>
          <w:i/>
          <w:iCs/>
          <w:sz w:val="24"/>
          <w:szCs w:val="24"/>
        </w:rPr>
        <w:t>Medical Oncology, 40</w:t>
      </w:r>
      <w:r w:rsidRPr="00397A1E">
        <w:rPr>
          <w:rFonts w:ascii="Times New Roman" w:eastAsia="Times New Roman" w:hAnsi="Times New Roman" w:cs="Times New Roman"/>
          <w:sz w:val="24"/>
          <w:szCs w:val="24"/>
        </w:rPr>
        <w:t xml:space="preserve">(11), 333. https://doi.org/10.1007/s12032-023-02205-4 </w:t>
      </w:r>
    </w:p>
    <w:p w14:paraId="7FE805B4" w14:textId="4116CBA0"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Altamura, S., Vegi, N. M., Hoppe, P. S., Schroeder, T., Aichler, M., Walch, A., Okreglicka, K., Hültner, L., Schneider, M., Ladinig, C., Kuklik-Roos, C., Mysliwietz, J., Janik, D., Neff, F., Rathkolb, B., Hrabé de Angelis, M., Buske, C., da Silva, A. R., Muedder, K., ... Bornkamm, G. W. (2020). Glutathione peroxidase 4 and vitamin E control reticulocyte maturation, stress erythropoiesis and iron homeostasis. </w:t>
      </w:r>
      <w:r w:rsidRPr="00397A1E">
        <w:rPr>
          <w:rFonts w:ascii="Times New Roman" w:eastAsia="Times New Roman" w:hAnsi="Times New Roman" w:cs="Times New Roman"/>
          <w:i/>
          <w:iCs/>
          <w:sz w:val="24"/>
          <w:szCs w:val="24"/>
        </w:rPr>
        <w:t>Haematologica, 105</w:t>
      </w:r>
      <w:r w:rsidRPr="00397A1E">
        <w:rPr>
          <w:rFonts w:ascii="Times New Roman" w:eastAsia="Times New Roman" w:hAnsi="Times New Roman" w:cs="Times New Roman"/>
          <w:sz w:val="24"/>
          <w:szCs w:val="24"/>
        </w:rPr>
        <w:t>(4), 937–950. https://doi.org/10.3324/haematol.2018.212977</w:t>
      </w:r>
    </w:p>
    <w:p w14:paraId="032FD8AF" w14:textId="446087A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Andersen, H. R., Nielsen, J. B., Nielsen, F., &amp; Grandjean, P. (1997). </w:t>
      </w:r>
      <w:r w:rsidRPr="00397A1E">
        <w:rPr>
          <w:rFonts w:ascii="Times New Roman" w:eastAsia="Times New Roman" w:hAnsi="Times New Roman" w:cs="Times New Roman"/>
          <w:sz w:val="24"/>
          <w:szCs w:val="24"/>
        </w:rPr>
        <w:t xml:space="preserve">Antioxidative enzyme activities in human erythrocytes. </w:t>
      </w:r>
      <w:r w:rsidRPr="00397A1E">
        <w:rPr>
          <w:rFonts w:ascii="Times New Roman" w:eastAsia="Times New Roman" w:hAnsi="Times New Roman" w:cs="Times New Roman"/>
          <w:i/>
          <w:iCs/>
          <w:sz w:val="24"/>
          <w:szCs w:val="24"/>
        </w:rPr>
        <w:t>Clinical Chemistry, 43</w:t>
      </w:r>
      <w:r w:rsidRPr="00397A1E">
        <w:rPr>
          <w:rFonts w:ascii="Times New Roman" w:eastAsia="Times New Roman" w:hAnsi="Times New Roman" w:cs="Times New Roman"/>
          <w:sz w:val="24"/>
          <w:szCs w:val="24"/>
        </w:rPr>
        <w:t xml:space="preserve">(4), 562–568. https://doi.org/10.1093/clinchem/43.4.562 </w:t>
      </w:r>
    </w:p>
    <w:p w14:paraId="5D9862A7" w14:textId="542A917C"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Anderson, M. E. (1985). Determination of glutathione and glutathione disulfide in biological samples. </w:t>
      </w:r>
      <w:r w:rsidRPr="00397A1E">
        <w:rPr>
          <w:rFonts w:ascii="Times New Roman" w:eastAsia="Times New Roman" w:hAnsi="Times New Roman" w:cs="Times New Roman"/>
          <w:i/>
          <w:iCs/>
          <w:sz w:val="24"/>
          <w:szCs w:val="24"/>
        </w:rPr>
        <w:t>Methods in Enzymology, 113</w:t>
      </w:r>
      <w:r w:rsidRPr="00397A1E">
        <w:rPr>
          <w:rFonts w:ascii="Times New Roman" w:eastAsia="Times New Roman" w:hAnsi="Times New Roman" w:cs="Times New Roman"/>
          <w:sz w:val="24"/>
          <w:szCs w:val="24"/>
        </w:rPr>
        <w:t xml:space="preserve">, 548–555. https://doi.org/10.1016/S0076-6879(85)13073-9 </w:t>
      </w:r>
    </w:p>
    <w:p w14:paraId="3A0D7989" w14:textId="4D3C7CDE"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Andrés, C. M. C., Pérez de la Lastra, J. M., Juan, C. A., Plou, F. J., &amp; Pérez-Lebeña, E. (2022). </w:t>
      </w:r>
      <w:r w:rsidRPr="00397A1E">
        <w:rPr>
          <w:rFonts w:ascii="Times New Roman" w:eastAsia="Times New Roman" w:hAnsi="Times New Roman" w:cs="Times New Roman"/>
          <w:sz w:val="24"/>
          <w:szCs w:val="24"/>
        </w:rPr>
        <w:t xml:space="preserve">Chemistry of hydrogen peroxide formation and elimination in mammalian cells, and its role in various pathologies. </w:t>
      </w:r>
      <w:r w:rsidRPr="00397A1E">
        <w:rPr>
          <w:rFonts w:ascii="Times New Roman" w:eastAsia="Times New Roman" w:hAnsi="Times New Roman" w:cs="Times New Roman"/>
          <w:i/>
          <w:iCs/>
          <w:sz w:val="24"/>
          <w:szCs w:val="24"/>
        </w:rPr>
        <w:t>Stresses, 2</w:t>
      </w:r>
      <w:r w:rsidRPr="00397A1E">
        <w:rPr>
          <w:rFonts w:ascii="Times New Roman" w:eastAsia="Times New Roman" w:hAnsi="Times New Roman" w:cs="Times New Roman"/>
          <w:sz w:val="24"/>
          <w:szCs w:val="24"/>
        </w:rPr>
        <w:t xml:space="preserve">(3), 256–274. </w:t>
      </w:r>
      <w:hyperlink r:id="rId34" w:tgtFrame="_blank" w:history="1">
        <w:r w:rsidRPr="00397A1E">
          <w:rPr>
            <w:rFonts w:ascii="Times New Roman" w:eastAsia="Times New Roman" w:hAnsi="Times New Roman" w:cs="Times New Roman"/>
            <w:color w:val="0000FF"/>
            <w:sz w:val="24"/>
            <w:szCs w:val="24"/>
            <w:u w:val="single"/>
          </w:rPr>
          <w:t>https://doi.org/10.3390/stresses2030019</w:t>
        </w:r>
      </w:hyperlink>
      <w:r w:rsidRPr="00397A1E">
        <w:rPr>
          <w:rFonts w:ascii="Times New Roman" w:eastAsia="Times New Roman" w:hAnsi="Times New Roman" w:cs="Times New Roman"/>
          <w:sz w:val="24"/>
          <w:szCs w:val="24"/>
        </w:rPr>
        <w:t xml:space="preserve"> </w:t>
      </w:r>
    </w:p>
    <w:p w14:paraId="31FC5795" w14:textId="3F866EB5"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lastRenderedPageBreak/>
        <w:t xml:space="preserve">Anwar, S., Alrumaihi, F., Sarwar, T., Babiker, A. Y., Khan, A. A., Prabhu, S. V., &amp; Rahmani, A. H. (2024). Exploring therapeutic potential of catalase: Strategies in disease prevention and management. </w:t>
      </w:r>
      <w:r w:rsidRPr="00397A1E">
        <w:rPr>
          <w:rFonts w:ascii="Times New Roman" w:eastAsia="Times New Roman" w:hAnsi="Times New Roman" w:cs="Times New Roman"/>
          <w:i/>
          <w:iCs/>
          <w:sz w:val="24"/>
          <w:szCs w:val="24"/>
        </w:rPr>
        <w:t>Biomolecules, 14</w:t>
      </w:r>
      <w:r w:rsidRPr="00397A1E">
        <w:rPr>
          <w:rFonts w:ascii="Times New Roman" w:eastAsia="Times New Roman" w:hAnsi="Times New Roman" w:cs="Times New Roman"/>
          <w:sz w:val="24"/>
          <w:szCs w:val="24"/>
        </w:rPr>
        <w:t xml:space="preserve">(6), 697. </w:t>
      </w:r>
      <w:hyperlink r:id="rId35" w:tgtFrame="_blank" w:history="1">
        <w:r w:rsidRPr="00397A1E">
          <w:rPr>
            <w:rFonts w:ascii="Times New Roman" w:eastAsia="Times New Roman" w:hAnsi="Times New Roman" w:cs="Times New Roman"/>
            <w:color w:val="0000FF"/>
            <w:sz w:val="24"/>
            <w:szCs w:val="24"/>
            <w:u w:val="single"/>
          </w:rPr>
          <w:t>https://doi.org/10.3390/biom14060697</w:t>
        </w:r>
      </w:hyperlink>
      <w:r w:rsidRPr="00397A1E">
        <w:rPr>
          <w:rFonts w:ascii="Times New Roman" w:eastAsia="Times New Roman" w:hAnsi="Times New Roman" w:cs="Times New Roman"/>
          <w:sz w:val="24"/>
          <w:szCs w:val="24"/>
        </w:rPr>
        <w:t xml:space="preserve"> </w:t>
      </w:r>
    </w:p>
    <w:p w14:paraId="38B8CEAA" w14:textId="228E9FA1"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Bain, B. J., Bates, I., Laffan, M. A., &amp; Lewis, S. M. (Eds.). (2011). </w:t>
      </w:r>
      <w:r w:rsidRPr="00397A1E">
        <w:rPr>
          <w:rFonts w:ascii="Times New Roman" w:eastAsia="Times New Roman" w:hAnsi="Times New Roman" w:cs="Times New Roman"/>
          <w:i/>
          <w:iCs/>
          <w:sz w:val="24"/>
          <w:szCs w:val="24"/>
        </w:rPr>
        <w:t>Dacie and Lewis practical haematology</w:t>
      </w:r>
      <w:r w:rsidRPr="00397A1E">
        <w:rPr>
          <w:rFonts w:ascii="Times New Roman" w:eastAsia="Times New Roman" w:hAnsi="Times New Roman" w:cs="Times New Roman"/>
          <w:sz w:val="24"/>
          <w:szCs w:val="24"/>
        </w:rPr>
        <w:t xml:space="preserve"> (11th ed.). Churchill Livingstone. </w:t>
      </w:r>
    </w:p>
    <w:p w14:paraId="24DD19F0" w14:textId="5F5E4BF8"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Barboza, J. N., da Silva Maia Bezerra Filho, C., Silva, R. O., Medeiros, J. V. R., &amp; de Sousa, D. P. (2018). An overview on the anti-inflammatory potential and antioxidant profile of eugenol. </w:t>
      </w:r>
      <w:r w:rsidRPr="00397A1E">
        <w:rPr>
          <w:rFonts w:ascii="Times New Roman" w:eastAsia="Times New Roman" w:hAnsi="Times New Roman" w:cs="Times New Roman"/>
          <w:i/>
          <w:iCs/>
          <w:sz w:val="24"/>
          <w:szCs w:val="24"/>
        </w:rPr>
        <w:t>Oxidative Medicine and Cellular Longevity, 2018</w:t>
      </w:r>
      <w:r w:rsidRPr="00397A1E">
        <w:rPr>
          <w:rFonts w:ascii="Times New Roman" w:eastAsia="Times New Roman" w:hAnsi="Times New Roman" w:cs="Times New Roman"/>
          <w:sz w:val="24"/>
          <w:szCs w:val="24"/>
        </w:rPr>
        <w:t xml:space="preserve">, 3957262. </w:t>
      </w:r>
      <w:hyperlink r:id="rId36" w:tgtFrame="_blank" w:history="1">
        <w:r w:rsidRPr="00397A1E">
          <w:rPr>
            <w:rFonts w:ascii="Times New Roman" w:eastAsia="Times New Roman" w:hAnsi="Times New Roman" w:cs="Times New Roman"/>
            <w:color w:val="0000FF"/>
            <w:sz w:val="24"/>
            <w:szCs w:val="24"/>
            <w:u w:val="single"/>
          </w:rPr>
          <w:t>https://doi.org/10.1155/2018/3957262</w:t>
        </w:r>
      </w:hyperlink>
      <w:r w:rsidRPr="00397A1E">
        <w:rPr>
          <w:rFonts w:ascii="Times New Roman" w:eastAsia="Times New Roman" w:hAnsi="Times New Roman" w:cs="Times New Roman"/>
          <w:sz w:val="24"/>
          <w:szCs w:val="24"/>
        </w:rPr>
        <w:t xml:space="preserve"> </w:t>
      </w:r>
    </w:p>
    <w:p w14:paraId="5138DF48" w14:textId="28774930"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Bray, F., Laversanne, M., Sung, H., Ferlay, J., Siegel, R. L., Soerjomataram, I., &amp; Jemal, A. (2024). Global cancer statistics 2022: GLOBOCAN estimates of incidence and mortality worldwide for 36 cancers in 185 countries. </w:t>
      </w:r>
      <w:r w:rsidRPr="00397A1E">
        <w:rPr>
          <w:rFonts w:ascii="Times New Roman" w:eastAsia="Times New Roman" w:hAnsi="Times New Roman" w:cs="Times New Roman"/>
          <w:i/>
          <w:iCs/>
          <w:sz w:val="24"/>
          <w:szCs w:val="24"/>
        </w:rPr>
        <w:t>CA: A Cancer Journal for Clinicians, 74</w:t>
      </w:r>
      <w:r w:rsidRPr="00397A1E">
        <w:rPr>
          <w:rFonts w:ascii="Times New Roman" w:eastAsia="Times New Roman" w:hAnsi="Times New Roman" w:cs="Times New Roman"/>
          <w:sz w:val="24"/>
          <w:szCs w:val="24"/>
        </w:rPr>
        <w:t xml:space="preserve">(3), 229–263. </w:t>
      </w:r>
      <w:hyperlink r:id="rId37" w:tgtFrame="_blank" w:history="1">
        <w:r w:rsidRPr="00397A1E">
          <w:rPr>
            <w:rFonts w:ascii="Times New Roman" w:eastAsia="Times New Roman" w:hAnsi="Times New Roman" w:cs="Times New Roman"/>
            <w:color w:val="0000FF"/>
            <w:sz w:val="24"/>
            <w:szCs w:val="24"/>
            <w:u w:val="single"/>
          </w:rPr>
          <w:t>https://doi.org/10.3322/caac.21834</w:t>
        </w:r>
      </w:hyperlink>
      <w:r w:rsidRPr="00397A1E">
        <w:rPr>
          <w:rFonts w:ascii="Times New Roman" w:eastAsia="Times New Roman" w:hAnsi="Times New Roman" w:cs="Times New Roman"/>
          <w:sz w:val="24"/>
          <w:szCs w:val="24"/>
        </w:rPr>
        <w:t xml:space="preserve"> </w:t>
      </w:r>
    </w:p>
    <w:p w14:paraId="0DDAB7DC" w14:textId="3D9A45E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Buijs, S. M., Koolen, S. L. W., Mathijssen, R. H. J., &amp; Jager, A. (2024). </w:t>
      </w:r>
      <w:r w:rsidRPr="00397A1E">
        <w:rPr>
          <w:rFonts w:ascii="Times New Roman" w:eastAsia="Times New Roman" w:hAnsi="Times New Roman" w:cs="Times New Roman"/>
          <w:sz w:val="24"/>
          <w:szCs w:val="24"/>
        </w:rPr>
        <w:t xml:space="preserve">Tamoxifen dose de-escalation: An effective strategy for reducing adverse effects? </w:t>
      </w:r>
      <w:r w:rsidRPr="00397A1E">
        <w:rPr>
          <w:rFonts w:ascii="Times New Roman" w:eastAsia="Times New Roman" w:hAnsi="Times New Roman" w:cs="Times New Roman"/>
          <w:i/>
          <w:iCs/>
          <w:sz w:val="24"/>
          <w:szCs w:val="24"/>
        </w:rPr>
        <w:t>Drugs, 84</w:t>
      </w:r>
      <w:r w:rsidRPr="00397A1E">
        <w:rPr>
          <w:rFonts w:ascii="Times New Roman" w:eastAsia="Times New Roman" w:hAnsi="Times New Roman" w:cs="Times New Roman"/>
          <w:sz w:val="24"/>
          <w:szCs w:val="24"/>
        </w:rPr>
        <w:t xml:space="preserve">, 385–401. https://doi.org/10.1007/s40265-024-02010-x </w:t>
      </w:r>
    </w:p>
    <w:p w14:paraId="1ACC1936" w14:textId="376F558F"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Chaib, N., Elouardi, M., Azdem, D., Mabrouki, J., Boutakiout, A., Rouas, S., Chafai, Y., Wissal, J., &amp; Alaoui El Belghiti, M. (2026). Synergistic interactions of antioxidants in lipid peroxidation: Mechanistic insights and applications. </w:t>
      </w:r>
      <w:r w:rsidRPr="00397A1E">
        <w:rPr>
          <w:rFonts w:ascii="Times New Roman" w:eastAsia="Times New Roman" w:hAnsi="Times New Roman" w:cs="Times New Roman"/>
          <w:i/>
          <w:iCs/>
          <w:sz w:val="24"/>
          <w:szCs w:val="24"/>
        </w:rPr>
        <w:t>Euro-Mediterranean Journal for Environmental Integration, 11</w:t>
      </w:r>
      <w:r w:rsidRPr="00397A1E">
        <w:rPr>
          <w:rFonts w:ascii="Times New Roman" w:eastAsia="Times New Roman" w:hAnsi="Times New Roman" w:cs="Times New Roman"/>
          <w:sz w:val="24"/>
          <w:szCs w:val="24"/>
        </w:rPr>
        <w:t xml:space="preserve">(5), 164. </w:t>
      </w:r>
      <w:hyperlink r:id="rId38" w:tgtFrame="_blank" w:history="1">
        <w:r w:rsidRPr="00397A1E">
          <w:rPr>
            <w:rFonts w:ascii="Times New Roman" w:eastAsia="Times New Roman" w:hAnsi="Times New Roman" w:cs="Times New Roman"/>
            <w:color w:val="0000FF"/>
            <w:sz w:val="24"/>
            <w:szCs w:val="24"/>
            <w:u w:val="single"/>
          </w:rPr>
          <w:t>https://doi.org/10.1007/s41207-026-01136-6</w:t>
        </w:r>
      </w:hyperlink>
      <w:r w:rsidRPr="00397A1E">
        <w:rPr>
          <w:rFonts w:ascii="Times New Roman" w:eastAsia="Times New Roman" w:hAnsi="Times New Roman" w:cs="Times New Roman"/>
          <w:sz w:val="24"/>
          <w:szCs w:val="24"/>
        </w:rPr>
        <w:t xml:space="preserve"> </w:t>
      </w:r>
    </w:p>
    <w:p w14:paraId="22EFFF7D" w14:textId="3B6288B4"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Chandimali, N., Bak, S. G., Park, E. H., Lim, H. J., Won, Y. S., Kim, E. K., Park, S. I., &amp; Lee, S. J. (2025). Free radicals and their impact on health and antioxidant defenses: A review. </w:t>
      </w:r>
      <w:r w:rsidRPr="00397A1E">
        <w:rPr>
          <w:rFonts w:ascii="Times New Roman" w:eastAsia="Times New Roman" w:hAnsi="Times New Roman" w:cs="Times New Roman"/>
          <w:i/>
          <w:iCs/>
          <w:sz w:val="24"/>
          <w:szCs w:val="24"/>
        </w:rPr>
        <w:t>Cell Death Discovery, 11</w:t>
      </w:r>
      <w:r w:rsidRPr="00397A1E">
        <w:rPr>
          <w:rFonts w:ascii="Times New Roman" w:eastAsia="Times New Roman" w:hAnsi="Times New Roman" w:cs="Times New Roman"/>
          <w:sz w:val="24"/>
          <w:szCs w:val="24"/>
        </w:rPr>
        <w:t xml:space="preserve">(1), 19. </w:t>
      </w:r>
      <w:hyperlink r:id="rId39" w:tgtFrame="_blank" w:history="1">
        <w:r w:rsidRPr="00397A1E">
          <w:rPr>
            <w:rFonts w:ascii="Times New Roman" w:eastAsia="Times New Roman" w:hAnsi="Times New Roman" w:cs="Times New Roman"/>
            <w:color w:val="0000FF"/>
            <w:sz w:val="24"/>
            <w:szCs w:val="24"/>
            <w:u w:val="single"/>
          </w:rPr>
          <w:t>https://doi.org/10.1038/s41420-024-02278-8</w:t>
        </w:r>
      </w:hyperlink>
      <w:r w:rsidRPr="00397A1E">
        <w:rPr>
          <w:rFonts w:ascii="Times New Roman" w:eastAsia="Times New Roman" w:hAnsi="Times New Roman" w:cs="Times New Roman"/>
          <w:sz w:val="24"/>
          <w:szCs w:val="24"/>
        </w:rPr>
        <w:t xml:space="preserve"> </w:t>
      </w:r>
    </w:p>
    <w:p w14:paraId="6C293433" w14:textId="5C694F0B"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Chaudhary, P. K., Kim, S., &amp; Kim, S. (2022). An insight into recent advances on platelet function in health and disease. </w:t>
      </w:r>
      <w:r w:rsidRPr="00397A1E">
        <w:rPr>
          <w:rFonts w:ascii="Times New Roman" w:eastAsia="Times New Roman" w:hAnsi="Times New Roman" w:cs="Times New Roman"/>
          <w:i/>
          <w:iCs/>
          <w:sz w:val="24"/>
          <w:szCs w:val="24"/>
        </w:rPr>
        <w:t>International Journal of Molecular Sciences, 23</w:t>
      </w:r>
      <w:r w:rsidRPr="00397A1E">
        <w:rPr>
          <w:rFonts w:ascii="Times New Roman" w:eastAsia="Times New Roman" w:hAnsi="Times New Roman" w:cs="Times New Roman"/>
          <w:sz w:val="24"/>
          <w:szCs w:val="24"/>
        </w:rPr>
        <w:t xml:space="preserve">(11), 6022. https://doi.org/10.3390/ijms23116022 </w:t>
      </w:r>
    </w:p>
    <w:p w14:paraId="03C487E9" w14:textId="247EB0E5"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Chen, T. H., Wang, H. C., Chang, C. J., &amp; Lee, S. Y. (2024). Mitochondrial glutathione in cellular redox homeostasis and disease manifestation. </w:t>
      </w:r>
      <w:r w:rsidRPr="00397A1E">
        <w:rPr>
          <w:rFonts w:ascii="Times New Roman" w:eastAsia="Times New Roman" w:hAnsi="Times New Roman" w:cs="Times New Roman"/>
          <w:i/>
          <w:iCs/>
          <w:sz w:val="24"/>
          <w:szCs w:val="24"/>
        </w:rPr>
        <w:t>International Journal of Molecular Sciences, 25</w:t>
      </w:r>
      <w:r w:rsidRPr="00397A1E">
        <w:rPr>
          <w:rFonts w:ascii="Times New Roman" w:eastAsia="Times New Roman" w:hAnsi="Times New Roman" w:cs="Times New Roman"/>
          <w:sz w:val="24"/>
          <w:szCs w:val="24"/>
        </w:rPr>
        <w:t xml:space="preserve">(2), 1314. https://doi.org/10.3390/ijms25021314 </w:t>
      </w:r>
    </w:p>
    <w:p w14:paraId="259EA108" w14:textId="6D317E5A"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Costanzo, V., Ratre, Y. K., Andretta, E., Acharya, R., Bhaskar, L. V. K. S., &amp; Verma, H. K. (2024). A comprehensive review of cancer drug-induced cardiotoxicity in blood cancer patients: Current perspectives and therapeutic strategies. </w:t>
      </w:r>
      <w:r w:rsidRPr="00397A1E">
        <w:rPr>
          <w:rFonts w:ascii="Times New Roman" w:eastAsia="Times New Roman" w:hAnsi="Times New Roman" w:cs="Times New Roman"/>
          <w:i/>
          <w:iCs/>
          <w:sz w:val="24"/>
          <w:szCs w:val="24"/>
        </w:rPr>
        <w:t>Current Treatment Options in Oncology, 25</w:t>
      </w:r>
      <w:r w:rsidRPr="00397A1E">
        <w:rPr>
          <w:rFonts w:ascii="Times New Roman" w:eastAsia="Times New Roman" w:hAnsi="Times New Roman" w:cs="Times New Roman"/>
          <w:sz w:val="24"/>
          <w:szCs w:val="24"/>
        </w:rPr>
        <w:t xml:space="preserve">(4), 465–495. https://doi.org/10.1007/s11864-023-01175-z </w:t>
      </w:r>
    </w:p>
    <w:p w14:paraId="519469E6" w14:textId="3E4037B9"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Dell’Acqua, G., Richards, A., &amp; Thornton, M. J. (2020). The potential role of nutraceuticals as an adjuvant in breast cancer patients to prevent hair loss induced by endocrine therapy. </w:t>
      </w:r>
      <w:r w:rsidRPr="00397A1E">
        <w:rPr>
          <w:rFonts w:ascii="Times New Roman" w:eastAsia="Times New Roman" w:hAnsi="Times New Roman" w:cs="Times New Roman"/>
          <w:i/>
          <w:iCs/>
          <w:sz w:val="24"/>
          <w:szCs w:val="24"/>
        </w:rPr>
        <w:t>Nutrients, 12</w:t>
      </w:r>
      <w:r w:rsidRPr="00397A1E">
        <w:rPr>
          <w:rFonts w:ascii="Times New Roman" w:eastAsia="Times New Roman" w:hAnsi="Times New Roman" w:cs="Times New Roman"/>
          <w:sz w:val="24"/>
          <w:szCs w:val="24"/>
        </w:rPr>
        <w:t xml:space="preserve">(11), 3537. https://doi.org/10.3390/nu12113537 </w:t>
      </w:r>
    </w:p>
    <w:p w14:paraId="45AF8D06" w14:textId="0916C769"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Dominiczak, M. H. (1998). Teaching and training laboratory professionals for the 21st century. </w:t>
      </w:r>
      <w:r w:rsidRPr="00397A1E">
        <w:rPr>
          <w:rFonts w:ascii="Times New Roman" w:eastAsia="Times New Roman" w:hAnsi="Times New Roman" w:cs="Times New Roman"/>
          <w:i/>
          <w:iCs/>
          <w:sz w:val="24"/>
          <w:szCs w:val="24"/>
        </w:rPr>
        <w:t>Clinical Chemistry and Laboratory Medicine, 36</w:t>
      </w:r>
      <w:r w:rsidRPr="00397A1E">
        <w:rPr>
          <w:rFonts w:ascii="Times New Roman" w:eastAsia="Times New Roman" w:hAnsi="Times New Roman" w:cs="Times New Roman"/>
          <w:sz w:val="24"/>
          <w:szCs w:val="24"/>
        </w:rPr>
        <w:t xml:space="preserve">(3), 133–136. https://doi.org/10.1515/CCLM.1998.025 </w:t>
      </w:r>
    </w:p>
    <w:p w14:paraId="7AC1EB4E" w14:textId="037DAC1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Dubey, A., &amp; Sharma, B. (2025). Targeting oxidative stress biomarkers in breast cancer development and the potential protective effect of phytochemicals. </w:t>
      </w:r>
      <w:r w:rsidRPr="00397A1E">
        <w:rPr>
          <w:rFonts w:ascii="Times New Roman" w:eastAsia="Times New Roman" w:hAnsi="Times New Roman" w:cs="Times New Roman"/>
          <w:i/>
          <w:iCs/>
          <w:sz w:val="24"/>
          <w:szCs w:val="24"/>
        </w:rPr>
        <w:t>Drugs and Drug Candidates, 4</w:t>
      </w:r>
      <w:r w:rsidRPr="00397A1E">
        <w:rPr>
          <w:rFonts w:ascii="Times New Roman" w:eastAsia="Times New Roman" w:hAnsi="Times New Roman" w:cs="Times New Roman"/>
          <w:sz w:val="24"/>
          <w:szCs w:val="24"/>
        </w:rPr>
        <w:t xml:space="preserve">(2), 23. https://doi.org/10.3390/ddc4020023 </w:t>
      </w:r>
    </w:p>
    <w:p w14:paraId="7C6CFE27" w14:textId="031C3A6D"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Dubey, S. K., Behar, N., &amp; Behar, N. (2025). In silico pharmacophore profiling of </w:t>
      </w:r>
      <w:r w:rsidRPr="00397A1E">
        <w:rPr>
          <w:rFonts w:ascii="Times New Roman" w:eastAsia="Times New Roman" w:hAnsi="Times New Roman" w:cs="Times New Roman"/>
          <w:i/>
          <w:iCs/>
          <w:sz w:val="24"/>
          <w:szCs w:val="24"/>
        </w:rPr>
        <w:t>Embelia ribes</w:t>
      </w:r>
      <w:r w:rsidRPr="00397A1E">
        <w:rPr>
          <w:rFonts w:ascii="Times New Roman" w:eastAsia="Times New Roman" w:hAnsi="Times New Roman" w:cs="Times New Roman"/>
          <w:sz w:val="24"/>
          <w:szCs w:val="24"/>
        </w:rPr>
        <w:t xml:space="preserve"> and </w:t>
      </w:r>
      <w:r w:rsidRPr="00397A1E">
        <w:rPr>
          <w:rFonts w:ascii="Times New Roman" w:eastAsia="Times New Roman" w:hAnsi="Times New Roman" w:cs="Times New Roman"/>
          <w:i/>
          <w:iCs/>
          <w:sz w:val="24"/>
          <w:szCs w:val="24"/>
        </w:rPr>
        <w:t>Gloriosa superba</w:t>
      </w:r>
      <w:r w:rsidRPr="00397A1E">
        <w:rPr>
          <w:rFonts w:ascii="Times New Roman" w:eastAsia="Times New Roman" w:hAnsi="Times New Roman" w:cs="Times New Roman"/>
          <w:sz w:val="24"/>
          <w:szCs w:val="24"/>
        </w:rPr>
        <w:t xml:space="preserve"> for potential therapeutic applications. </w:t>
      </w:r>
      <w:r w:rsidRPr="00397A1E">
        <w:rPr>
          <w:rFonts w:ascii="Times New Roman" w:eastAsia="Times New Roman" w:hAnsi="Times New Roman" w:cs="Times New Roman"/>
          <w:i/>
          <w:iCs/>
          <w:sz w:val="24"/>
          <w:szCs w:val="24"/>
        </w:rPr>
        <w:t>European Journal of Medicinal Plants, 36</w:t>
      </w:r>
      <w:r w:rsidRPr="00397A1E">
        <w:rPr>
          <w:rFonts w:ascii="Times New Roman" w:eastAsia="Times New Roman" w:hAnsi="Times New Roman" w:cs="Times New Roman"/>
          <w:sz w:val="24"/>
          <w:szCs w:val="24"/>
        </w:rPr>
        <w:t xml:space="preserve">(2), 129–138. https://doi.org/10.9734/ejmp/2025/v36i21252 </w:t>
      </w:r>
    </w:p>
    <w:p w14:paraId="7C5F10E1" w14:textId="548EA98C"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lastRenderedPageBreak/>
        <w:t xml:space="preserve">Engwa, G. A., Nweke, F. N., &amp; Nkeh-Chungag, B. N. (2022). </w:t>
      </w:r>
      <w:r w:rsidRPr="00397A1E">
        <w:rPr>
          <w:rFonts w:ascii="Times New Roman" w:eastAsia="Times New Roman" w:hAnsi="Times New Roman" w:cs="Times New Roman"/>
          <w:sz w:val="24"/>
          <w:szCs w:val="24"/>
        </w:rPr>
        <w:t xml:space="preserve">Free radicals, oxidative stress-related diseases and antioxidant supplementation. </w:t>
      </w:r>
      <w:r w:rsidRPr="00397A1E">
        <w:rPr>
          <w:rFonts w:ascii="Times New Roman" w:eastAsia="Times New Roman" w:hAnsi="Times New Roman" w:cs="Times New Roman"/>
          <w:i/>
          <w:iCs/>
          <w:sz w:val="24"/>
          <w:szCs w:val="24"/>
        </w:rPr>
        <w:t>Alternative Therapies in Health &amp; Medicine, 28</w:t>
      </w:r>
      <w:r w:rsidRPr="00397A1E">
        <w:rPr>
          <w:rFonts w:ascii="Times New Roman" w:eastAsia="Times New Roman" w:hAnsi="Times New Roman" w:cs="Times New Roman"/>
          <w:sz w:val="24"/>
          <w:szCs w:val="24"/>
        </w:rPr>
        <w:t xml:space="preserve">(1), 114–128. </w:t>
      </w:r>
    </w:p>
    <w:p w14:paraId="66178B89" w14:textId="072E8097"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Fang, Z. (2023). </w:t>
      </w:r>
      <w:r w:rsidRPr="00397A1E">
        <w:rPr>
          <w:rFonts w:ascii="Times New Roman" w:eastAsia="Times New Roman" w:hAnsi="Times New Roman" w:cs="Times New Roman"/>
          <w:i/>
          <w:iCs/>
          <w:sz w:val="24"/>
          <w:szCs w:val="24"/>
        </w:rPr>
        <w:t>Investigating the anti-leukaemic effect of tamoxifen in the myeloproliferative neoplasms</w:t>
      </w:r>
      <w:r w:rsidRPr="00397A1E">
        <w:rPr>
          <w:rFonts w:ascii="Times New Roman" w:eastAsia="Times New Roman" w:hAnsi="Times New Roman" w:cs="Times New Roman"/>
          <w:sz w:val="24"/>
          <w:szCs w:val="24"/>
        </w:rPr>
        <w:t xml:space="preserve"> [Doctoral dissertation, University of Cambridge]. https://doi.org/10.17863/CAM.103276 </w:t>
      </w:r>
    </w:p>
    <w:p w14:paraId="3050F417" w14:textId="49E5B89B"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Fang, Z., Xu, H., Duan, J., Ruan, B., Liu, J., Song, P., Ding, J., Xu, C., Li, Z., Dou, K., &amp; Wang, L. (2023). Short-term tamoxifen administration improves hepatic steatosis and glucose intolerance through JNK/MAPK in mice. </w:t>
      </w:r>
      <w:r w:rsidRPr="00397A1E">
        <w:rPr>
          <w:rFonts w:ascii="Times New Roman" w:eastAsia="Times New Roman" w:hAnsi="Times New Roman" w:cs="Times New Roman"/>
          <w:i/>
          <w:iCs/>
          <w:sz w:val="24"/>
          <w:szCs w:val="24"/>
        </w:rPr>
        <w:t>Signal Transduction and Targeted Therapy, 8</w:t>
      </w:r>
      <w:r w:rsidRPr="00397A1E">
        <w:rPr>
          <w:rFonts w:ascii="Times New Roman" w:eastAsia="Times New Roman" w:hAnsi="Times New Roman" w:cs="Times New Roman"/>
          <w:sz w:val="24"/>
          <w:szCs w:val="24"/>
        </w:rPr>
        <w:t xml:space="preserve">(1), 94. https://doi.org/10.1038/s41392-022-01299-y </w:t>
      </w:r>
    </w:p>
    <w:p w14:paraId="2CB0F0B8" w14:textId="23CF08FF"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Francis, A., Harhay, M. N., Ong, A. C. M., Tummalapalli, S. L., Ortiz, A., Fogo, A. B., Fliser, D., Roy-Chaudhury, P., Fontana, M., Nangaku, M., Wanner, C., Malik, C., Hradsky, A., Adu, D., Bavanandan, S., Cusumano, A., Sola, L., Ulasi, I., Jha, V., ... International Society of Nephrology. (2024). Chronic kidney disease and the global public health agenda: An international consensus. </w:t>
      </w:r>
      <w:r w:rsidRPr="00397A1E">
        <w:rPr>
          <w:rFonts w:ascii="Times New Roman" w:eastAsia="Times New Roman" w:hAnsi="Times New Roman" w:cs="Times New Roman"/>
          <w:i/>
          <w:iCs/>
          <w:sz w:val="24"/>
          <w:szCs w:val="24"/>
        </w:rPr>
        <w:t>Nature Reviews Nephrology, 20</w:t>
      </w:r>
      <w:r w:rsidRPr="00397A1E">
        <w:rPr>
          <w:rFonts w:ascii="Times New Roman" w:eastAsia="Times New Roman" w:hAnsi="Times New Roman" w:cs="Times New Roman"/>
          <w:sz w:val="24"/>
          <w:szCs w:val="24"/>
        </w:rPr>
        <w:t xml:space="preserve">(7), 473–485. </w:t>
      </w:r>
      <w:hyperlink r:id="rId40" w:tgtFrame="_blank" w:history="1">
        <w:r w:rsidRPr="00397A1E">
          <w:rPr>
            <w:rFonts w:ascii="Times New Roman" w:eastAsia="Times New Roman" w:hAnsi="Times New Roman" w:cs="Times New Roman"/>
            <w:color w:val="0000FF"/>
            <w:sz w:val="24"/>
            <w:szCs w:val="24"/>
            <w:u w:val="single"/>
          </w:rPr>
          <w:t>https://doi.org/10.1038/s41581-024-00820-6</w:t>
        </w:r>
      </w:hyperlink>
      <w:r w:rsidRPr="00397A1E">
        <w:rPr>
          <w:rFonts w:ascii="Times New Roman" w:eastAsia="Times New Roman" w:hAnsi="Times New Roman" w:cs="Times New Roman"/>
          <w:sz w:val="24"/>
          <w:szCs w:val="24"/>
        </w:rPr>
        <w:t xml:space="preserve"> </w:t>
      </w:r>
    </w:p>
    <w:p w14:paraId="1B0F9EEF" w14:textId="1422CAB5"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Gaies, E., Jebabli, N., Trabelsi, S., Salouage, I., Charfi, R., Lakhal, M., &amp; Klouz, A. (2012). Methotrexate side effects: Review article. </w:t>
      </w:r>
      <w:r w:rsidRPr="00397A1E">
        <w:rPr>
          <w:rFonts w:ascii="Times New Roman" w:eastAsia="Times New Roman" w:hAnsi="Times New Roman" w:cs="Times New Roman"/>
          <w:i/>
          <w:iCs/>
          <w:sz w:val="24"/>
          <w:szCs w:val="24"/>
        </w:rPr>
        <w:t>Journal of Drug Metabolism &amp; Toxicology, 3</w:t>
      </w:r>
      <w:r w:rsidRPr="00397A1E">
        <w:rPr>
          <w:rFonts w:ascii="Times New Roman" w:eastAsia="Times New Roman" w:hAnsi="Times New Roman" w:cs="Times New Roman"/>
          <w:sz w:val="24"/>
          <w:szCs w:val="24"/>
        </w:rPr>
        <w:t xml:space="preserve">(4), 1–5. https://doi.org/10.4172/2157-7609.1000125 </w:t>
      </w:r>
    </w:p>
    <w:p w14:paraId="4150F35E" w14:textId="1E8D4AF3"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Gaman, A. M., Moisa, C., Diaconu, C. C., &amp; Gaman, M. A. (2019). Crosstalk between oxidative stress, chronic inflammation and disease progression in essential thrombocythemia. </w:t>
      </w:r>
      <w:r w:rsidRPr="00397A1E">
        <w:rPr>
          <w:rFonts w:ascii="Times New Roman" w:eastAsia="Times New Roman" w:hAnsi="Times New Roman" w:cs="Times New Roman"/>
          <w:i/>
          <w:iCs/>
          <w:sz w:val="24"/>
          <w:szCs w:val="24"/>
        </w:rPr>
        <w:t>Revista de Chimie, 70</w:t>
      </w:r>
      <w:r w:rsidRPr="00397A1E">
        <w:rPr>
          <w:rFonts w:ascii="Times New Roman" w:eastAsia="Times New Roman" w:hAnsi="Times New Roman" w:cs="Times New Roman"/>
          <w:sz w:val="24"/>
          <w:szCs w:val="24"/>
        </w:rPr>
        <w:t xml:space="preserve">(10), 3486–3489. https://doi.org/10.37358/RC.19.10.7581 </w:t>
      </w:r>
    </w:p>
    <w:p w14:paraId="59952DFF" w14:textId="45A441D0"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Giurranna, E., Nencini, F., Bettiol, A., Borghi, S., Argento, F. R., Emmi, G., Silvestri, E., Taddei, N., Fiorillo, C., &amp; Becatti, M. (2024). Dietary antioxidants and natural compounds in preventing thrombosis and cardiovascular disease. </w:t>
      </w:r>
      <w:r w:rsidRPr="00397A1E">
        <w:rPr>
          <w:rFonts w:ascii="Times New Roman" w:eastAsia="Times New Roman" w:hAnsi="Times New Roman" w:cs="Times New Roman"/>
          <w:i/>
          <w:iCs/>
          <w:sz w:val="24"/>
          <w:szCs w:val="24"/>
        </w:rPr>
        <w:t>International Journal of Molecular Sciences, 25</w:t>
      </w:r>
      <w:r w:rsidRPr="00397A1E">
        <w:rPr>
          <w:rFonts w:ascii="Times New Roman" w:eastAsia="Times New Roman" w:hAnsi="Times New Roman" w:cs="Times New Roman"/>
          <w:sz w:val="24"/>
          <w:szCs w:val="24"/>
        </w:rPr>
        <w:t xml:space="preserve">(21), 11457. https://doi.org/10.3390/ijms252111457 </w:t>
      </w:r>
    </w:p>
    <w:p w14:paraId="4B12691A" w14:textId="2650759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Guneidy, R. A., Zaki, E. R., Abdel Karim, G. S. A., Saleh, N. S., &amp; Shokeer, A. (2023). Adverse effect of </w:t>
      </w:r>
      <w:r w:rsidRPr="00397A1E">
        <w:rPr>
          <w:rFonts w:ascii="Times New Roman" w:eastAsia="Times New Roman" w:hAnsi="Times New Roman" w:cs="Times New Roman"/>
          <w:i/>
          <w:iCs/>
          <w:sz w:val="24"/>
          <w:szCs w:val="24"/>
        </w:rPr>
        <w:t>Tamarindus indica</w:t>
      </w:r>
      <w:r w:rsidRPr="00397A1E">
        <w:rPr>
          <w:rFonts w:ascii="Times New Roman" w:eastAsia="Times New Roman" w:hAnsi="Times New Roman" w:cs="Times New Roman"/>
          <w:sz w:val="24"/>
          <w:szCs w:val="24"/>
        </w:rPr>
        <w:t xml:space="preserve"> and tamoxifen combination on redox balance and genotoxicity of breast cancer cell. </w:t>
      </w:r>
      <w:r w:rsidRPr="00397A1E">
        <w:rPr>
          <w:rFonts w:ascii="Times New Roman" w:eastAsia="Times New Roman" w:hAnsi="Times New Roman" w:cs="Times New Roman"/>
          <w:i/>
          <w:iCs/>
          <w:sz w:val="24"/>
          <w:szCs w:val="24"/>
        </w:rPr>
        <w:t>Journal of Genetic Engineering and Biotechnology, 21</w:t>
      </w:r>
      <w:r w:rsidRPr="00397A1E">
        <w:rPr>
          <w:rFonts w:ascii="Times New Roman" w:eastAsia="Times New Roman" w:hAnsi="Times New Roman" w:cs="Times New Roman"/>
          <w:sz w:val="24"/>
          <w:szCs w:val="24"/>
        </w:rPr>
        <w:t xml:space="preserve">(1), 131. https://doi.org/10.1186/s43141-023-00564-z </w:t>
      </w:r>
    </w:p>
    <w:p w14:paraId="1C56DFA4" w14:textId="538F31C8"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Guneidy, R. A., Shokeer, A., Abdel Karim, G. S. A., Saleh, N. S. E.-D., &amp; Zaki, E. R. (2024). Effect of protocatechuic acid on tamoxifen efficacy and oxidative stress in breast cancer cells: Implications for combination therapy. </w:t>
      </w:r>
      <w:r w:rsidRPr="00397A1E">
        <w:rPr>
          <w:rFonts w:ascii="Times New Roman" w:eastAsia="Times New Roman" w:hAnsi="Times New Roman" w:cs="Times New Roman"/>
          <w:i/>
          <w:iCs/>
          <w:sz w:val="24"/>
          <w:szCs w:val="24"/>
        </w:rPr>
        <w:t>Egyptian Journal of Chemistry, 67</w:t>
      </w:r>
      <w:r w:rsidRPr="00397A1E">
        <w:rPr>
          <w:rFonts w:ascii="Times New Roman" w:eastAsia="Times New Roman" w:hAnsi="Times New Roman" w:cs="Times New Roman"/>
          <w:sz w:val="24"/>
          <w:szCs w:val="24"/>
        </w:rPr>
        <w:t xml:space="preserve">(12), 167–181. https://doi.org/10.21608/ejchem.2024.312360.10195 </w:t>
      </w:r>
    </w:p>
    <w:p w14:paraId="4BCE5E36" w14:textId="210E2A0D"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Javankiani, S., Bolandi, S., Soleimani, A., Soleimani Meigoli, M. S., Parsafar, M., Safaei, S., Esmailpour, M., Nadimi, S., Aghajamal Avval, N., Fazayel, S. M. A., Zahed, Z., &amp; Sharafi, M. (2025). MAPK signaling mediates tamoxifen resistance in estrogen receptor-positive breast cancer. </w:t>
      </w:r>
      <w:r w:rsidRPr="00397A1E">
        <w:rPr>
          <w:rFonts w:ascii="Times New Roman" w:eastAsia="Times New Roman" w:hAnsi="Times New Roman" w:cs="Times New Roman"/>
          <w:i/>
          <w:iCs/>
          <w:sz w:val="24"/>
          <w:szCs w:val="24"/>
        </w:rPr>
        <w:t>Molecular and Cellular Biochemistry, 480</w:t>
      </w:r>
      <w:r w:rsidRPr="00397A1E">
        <w:rPr>
          <w:rFonts w:ascii="Times New Roman" w:eastAsia="Times New Roman" w:hAnsi="Times New Roman" w:cs="Times New Roman"/>
          <w:sz w:val="24"/>
          <w:szCs w:val="24"/>
        </w:rPr>
        <w:t xml:space="preserve">(9), 4973–4989. https://doi.org/10.1007/s11010-025-05304-0 </w:t>
      </w:r>
    </w:p>
    <w:p w14:paraId="470109F8" w14:textId="56B0331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Jomova, K., Alomar, S. Y., Alwasel, S. H., Nepovimova, E., Kuca, K., &amp; Valko, M. (2024). Several lines of antioxidant defense against oxidative stress: Antioxidant enzymes, nanomaterials with multiple enzyme-mimicking activities, and low-molecular-weight antioxidants. </w:t>
      </w:r>
      <w:r w:rsidRPr="00397A1E">
        <w:rPr>
          <w:rFonts w:ascii="Times New Roman" w:eastAsia="Times New Roman" w:hAnsi="Times New Roman" w:cs="Times New Roman"/>
          <w:i/>
          <w:iCs/>
          <w:sz w:val="24"/>
          <w:szCs w:val="24"/>
        </w:rPr>
        <w:t>Archives of Toxicology, 98</w:t>
      </w:r>
      <w:r w:rsidRPr="00397A1E">
        <w:rPr>
          <w:rFonts w:ascii="Times New Roman" w:eastAsia="Times New Roman" w:hAnsi="Times New Roman" w:cs="Times New Roman"/>
          <w:sz w:val="24"/>
          <w:szCs w:val="24"/>
        </w:rPr>
        <w:t xml:space="preserve">(5), 1323–1367. </w:t>
      </w:r>
      <w:hyperlink r:id="rId41" w:tgtFrame="_blank" w:history="1">
        <w:r w:rsidRPr="00397A1E">
          <w:rPr>
            <w:rFonts w:ascii="Times New Roman" w:eastAsia="Times New Roman" w:hAnsi="Times New Roman" w:cs="Times New Roman"/>
            <w:color w:val="0000FF"/>
            <w:sz w:val="24"/>
            <w:szCs w:val="24"/>
            <w:u w:val="single"/>
          </w:rPr>
          <w:t>https://doi.org/10.1007/s00204-024-03696-4</w:t>
        </w:r>
      </w:hyperlink>
      <w:r w:rsidRPr="00397A1E">
        <w:rPr>
          <w:rFonts w:ascii="Times New Roman" w:eastAsia="Times New Roman" w:hAnsi="Times New Roman" w:cs="Times New Roman"/>
          <w:sz w:val="24"/>
          <w:szCs w:val="24"/>
        </w:rPr>
        <w:t xml:space="preserve"> </w:t>
      </w:r>
    </w:p>
    <w:p w14:paraId="0DE84C75" w14:textId="33ABB71A"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Khalid, M. Z., Mohagheghi, S., Pourkabir, R. A., Bahmani, M., Nourian, A., &amp; Shafiee, G. (2024). Evaluation of the protective effects of vitamins E and D on oxidative stress and inflammation </w:t>
      </w:r>
      <w:r w:rsidRPr="00397A1E">
        <w:rPr>
          <w:rFonts w:ascii="Times New Roman" w:eastAsia="Times New Roman" w:hAnsi="Times New Roman" w:cs="Times New Roman"/>
          <w:sz w:val="24"/>
          <w:szCs w:val="24"/>
        </w:rPr>
        <w:lastRenderedPageBreak/>
        <w:t xml:space="preserve">caused by tamoxifen in the renal tissue of female Wistar rats. </w:t>
      </w:r>
      <w:r w:rsidRPr="00397A1E">
        <w:rPr>
          <w:rFonts w:ascii="Times New Roman" w:eastAsia="Times New Roman" w:hAnsi="Times New Roman" w:cs="Times New Roman"/>
          <w:i/>
          <w:iCs/>
          <w:sz w:val="24"/>
          <w:szCs w:val="24"/>
        </w:rPr>
        <w:t>Current Drug Therapy, 19</w:t>
      </w:r>
      <w:r w:rsidRPr="00397A1E">
        <w:rPr>
          <w:rFonts w:ascii="Times New Roman" w:eastAsia="Times New Roman" w:hAnsi="Times New Roman" w:cs="Times New Roman"/>
          <w:sz w:val="24"/>
          <w:szCs w:val="24"/>
        </w:rPr>
        <w:t xml:space="preserve">(5), 604–612. https://doi.org/10.2174/1574885519666230918091035 </w:t>
      </w:r>
    </w:p>
    <w:p w14:paraId="23C9E46B" w14:textId="22E2BBC7"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Khallouki, F., Hajji, L., Saber, S., Bouddine, T., Edderkaoui, M., Bourhia, M., Mir, N., Lim, A., El Midaoui, A., Giesy, J. P., Aboul-Soud, M. A. M., Silvente-Poirot, S., &amp; Poirot, M. (2023). An update on tamoxifen and the chemo-preventive potential of vitamin E in breast cancer management. </w:t>
      </w:r>
      <w:r w:rsidRPr="00397A1E">
        <w:rPr>
          <w:rFonts w:ascii="Times New Roman" w:eastAsia="Times New Roman" w:hAnsi="Times New Roman" w:cs="Times New Roman"/>
          <w:i/>
          <w:iCs/>
          <w:sz w:val="24"/>
          <w:szCs w:val="24"/>
        </w:rPr>
        <w:t>Journal of Personalized Medicine, 13</w:t>
      </w:r>
      <w:r w:rsidRPr="00397A1E">
        <w:rPr>
          <w:rFonts w:ascii="Times New Roman" w:eastAsia="Times New Roman" w:hAnsi="Times New Roman" w:cs="Times New Roman"/>
          <w:sz w:val="24"/>
          <w:szCs w:val="24"/>
        </w:rPr>
        <w:t xml:space="preserve">(5), 754. https://doi.org/10.3390/jpm13050754 </w:t>
      </w:r>
    </w:p>
    <w:p w14:paraId="134CB464" w14:textId="1D30B68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Kilicarslan You, D., Fuwad, A., Lee, K. H., Kim, H. K., Kang, L., Kim, S. M., &amp; Jeon, T. J. (2024). Evaluation of the protective role of vitamin E against ROS-driven lipid oxidation in model cell membranes. </w:t>
      </w:r>
      <w:r w:rsidRPr="00397A1E">
        <w:rPr>
          <w:rFonts w:ascii="Times New Roman" w:eastAsia="Times New Roman" w:hAnsi="Times New Roman" w:cs="Times New Roman"/>
          <w:i/>
          <w:iCs/>
          <w:sz w:val="24"/>
          <w:szCs w:val="24"/>
        </w:rPr>
        <w:t>Antioxidants, 13</w:t>
      </w:r>
      <w:r w:rsidRPr="00397A1E">
        <w:rPr>
          <w:rFonts w:ascii="Times New Roman" w:eastAsia="Times New Roman" w:hAnsi="Times New Roman" w:cs="Times New Roman"/>
          <w:sz w:val="24"/>
          <w:szCs w:val="24"/>
        </w:rPr>
        <w:t xml:space="preserve">(9), 1135. https://doi.org/10.3390/antiox13091135 </w:t>
      </w:r>
    </w:p>
    <w:p w14:paraId="00B119CD" w14:textId="6EBEFC8A"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Liu, Y., Yang, C., Zhang, J., Ihsan, A., Ares, I., Martínez, M., Lopez-Torres, B., Martínez-Larrañaga, M.-R., Wang, X., Anadón, A., &amp; Martínez, M.-A. (2024). Recent progress in adverse events of carboxylic acid non-steroidal anti-inflammatory drugs (CBA-NSAIDs) and their association with the metabolism: The consequences on mitochondrial dysfunction and oxidative stress, and prevention with natural plant extracts. </w:t>
      </w:r>
      <w:r w:rsidRPr="00397A1E">
        <w:rPr>
          <w:rFonts w:ascii="Times New Roman" w:eastAsia="Times New Roman" w:hAnsi="Times New Roman" w:cs="Times New Roman"/>
          <w:i/>
          <w:iCs/>
          <w:sz w:val="24"/>
          <w:szCs w:val="24"/>
        </w:rPr>
        <w:t>Expert Opinion on Drug Metabolism &amp; Toxicology, 20</w:t>
      </w:r>
      <w:r w:rsidRPr="00397A1E">
        <w:rPr>
          <w:rFonts w:ascii="Times New Roman" w:eastAsia="Times New Roman" w:hAnsi="Times New Roman" w:cs="Times New Roman"/>
          <w:sz w:val="24"/>
          <w:szCs w:val="24"/>
        </w:rPr>
        <w:t xml:space="preserve">(8), 765–785. https://doi.org/10.1080/17425255.2024.2378885 </w:t>
      </w:r>
    </w:p>
    <w:p w14:paraId="25378D2A" w14:textId="7A636A83"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Lloyd, M. R., Wander, S. A., Hamilton, E., Razavi, P., &amp; Bardia, A. (2022). Next-generation selective estrogen receptor degraders and other novel endocrine therapies for management of metastatic hormone receptor-positive breast cancer: Current and emerging role. </w:t>
      </w:r>
      <w:r w:rsidRPr="00397A1E">
        <w:rPr>
          <w:rFonts w:ascii="Times New Roman" w:eastAsia="Times New Roman" w:hAnsi="Times New Roman" w:cs="Times New Roman"/>
          <w:i/>
          <w:iCs/>
          <w:sz w:val="24"/>
          <w:szCs w:val="24"/>
        </w:rPr>
        <w:t>Therapeutic Advances in Medical Oncology, 14</w:t>
      </w:r>
      <w:r w:rsidRPr="00397A1E">
        <w:rPr>
          <w:rFonts w:ascii="Times New Roman" w:eastAsia="Times New Roman" w:hAnsi="Times New Roman" w:cs="Times New Roman"/>
          <w:sz w:val="24"/>
          <w:szCs w:val="24"/>
        </w:rPr>
        <w:t xml:space="preserve">, 17588359221113694. https://doi.org/10.1177/17588359221113694 </w:t>
      </w:r>
    </w:p>
    <w:p w14:paraId="5F2F46DE" w14:textId="0B7EF210"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Mahdiani, S., Omidkhoda, N., Heidari, S., Hayes, A. W., &amp; Karimi, G. (2022). Protective effect of luteolin against chemical and natural toxicants by targeting NF-κB pathway. </w:t>
      </w:r>
      <w:r w:rsidRPr="00397A1E">
        <w:rPr>
          <w:rFonts w:ascii="Times New Roman" w:eastAsia="Times New Roman" w:hAnsi="Times New Roman" w:cs="Times New Roman"/>
          <w:i/>
          <w:iCs/>
          <w:sz w:val="24"/>
          <w:szCs w:val="24"/>
        </w:rPr>
        <w:t>BioFactors, 48</w:t>
      </w:r>
      <w:r w:rsidRPr="00397A1E">
        <w:rPr>
          <w:rFonts w:ascii="Times New Roman" w:eastAsia="Times New Roman" w:hAnsi="Times New Roman" w:cs="Times New Roman"/>
          <w:sz w:val="24"/>
          <w:szCs w:val="24"/>
        </w:rPr>
        <w:t xml:space="preserve">(4), 744–762. https://doi.org/10.1002/biof.1876 </w:t>
      </w:r>
    </w:p>
    <w:p w14:paraId="33BEAA59" w14:textId="2CE4E4C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Misra, H. P., &amp; Fridovich, I. (1972). The role of superoxide anion in the autoxidation of epinephrine and a simple assay for superoxide dismutase. </w:t>
      </w:r>
      <w:r w:rsidRPr="00397A1E">
        <w:rPr>
          <w:rFonts w:ascii="Times New Roman" w:eastAsia="Times New Roman" w:hAnsi="Times New Roman" w:cs="Times New Roman"/>
          <w:i/>
          <w:iCs/>
          <w:sz w:val="24"/>
          <w:szCs w:val="24"/>
        </w:rPr>
        <w:t>Journal of Biological Chemistry, 247</w:t>
      </w:r>
      <w:r w:rsidRPr="00397A1E">
        <w:rPr>
          <w:rFonts w:ascii="Times New Roman" w:eastAsia="Times New Roman" w:hAnsi="Times New Roman" w:cs="Times New Roman"/>
          <w:sz w:val="24"/>
          <w:szCs w:val="24"/>
        </w:rPr>
        <w:t>(10), 3170–3175. https://doi.org/10.1016/S0021-9258(19)45228-9</w:t>
      </w:r>
    </w:p>
    <w:p w14:paraId="3499E582" w14:textId="50F1DBBD"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Mubeen, B., Hasnain, A., Naqvi, S. A. H., Hakim, F., Naqvi, S. S. H., Hassan, M. Z., Iqbal, M. U., Moustafa, M., Alshaharni, M. O., &amp; Duan, M. (2025). Phytochemicals as multi-target therapeutic agents for oxidative stress-driven pathologies: Mechanisms, synergies, and clinical prospects. </w:t>
      </w:r>
      <w:r w:rsidRPr="00397A1E">
        <w:rPr>
          <w:rFonts w:ascii="Times New Roman" w:eastAsia="Times New Roman" w:hAnsi="Times New Roman" w:cs="Times New Roman"/>
          <w:i/>
          <w:iCs/>
          <w:sz w:val="24"/>
          <w:szCs w:val="24"/>
        </w:rPr>
        <w:t>Phyton-International Journal of Experimental Botany, 94</w:t>
      </w:r>
      <w:r w:rsidRPr="00397A1E">
        <w:rPr>
          <w:rFonts w:ascii="Times New Roman" w:eastAsia="Times New Roman" w:hAnsi="Times New Roman" w:cs="Times New Roman"/>
          <w:sz w:val="24"/>
          <w:szCs w:val="24"/>
        </w:rPr>
        <w:t xml:space="preserve">(7), 1941–1971. https://doi.org/10.32604/phyton.2025.064056 </w:t>
      </w:r>
    </w:p>
    <w:p w14:paraId="0F068984" w14:textId="0ADEDDE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Muscolo, A., Mariateresa, O., Giulio, T., &amp; Mariateresa, R. (2024). Oxidative stress: The role of antioxidant phytochemicals in the prevention and treatment of diseases. </w:t>
      </w:r>
      <w:r w:rsidRPr="00397A1E">
        <w:rPr>
          <w:rFonts w:ascii="Times New Roman" w:eastAsia="Times New Roman" w:hAnsi="Times New Roman" w:cs="Times New Roman"/>
          <w:i/>
          <w:iCs/>
          <w:sz w:val="24"/>
          <w:szCs w:val="24"/>
        </w:rPr>
        <w:t>International Journal of Molecular Sciences, 25</w:t>
      </w:r>
      <w:r w:rsidRPr="00397A1E">
        <w:rPr>
          <w:rFonts w:ascii="Times New Roman" w:eastAsia="Times New Roman" w:hAnsi="Times New Roman" w:cs="Times New Roman"/>
          <w:sz w:val="24"/>
          <w:szCs w:val="24"/>
        </w:rPr>
        <w:t xml:space="preserve">(6), 3264. </w:t>
      </w:r>
      <w:hyperlink r:id="rId42" w:tgtFrame="_blank" w:history="1">
        <w:r w:rsidRPr="00397A1E">
          <w:rPr>
            <w:rFonts w:ascii="Times New Roman" w:eastAsia="Times New Roman" w:hAnsi="Times New Roman" w:cs="Times New Roman"/>
            <w:color w:val="0000FF"/>
            <w:sz w:val="24"/>
            <w:szCs w:val="24"/>
            <w:u w:val="single"/>
          </w:rPr>
          <w:t>https://doi.org/10.3390/ijms25063264</w:t>
        </w:r>
      </w:hyperlink>
      <w:r w:rsidRPr="00397A1E">
        <w:rPr>
          <w:rFonts w:ascii="Times New Roman" w:eastAsia="Times New Roman" w:hAnsi="Times New Roman" w:cs="Times New Roman"/>
          <w:sz w:val="24"/>
          <w:szCs w:val="24"/>
        </w:rPr>
        <w:t xml:space="preserve"> </w:t>
      </w:r>
    </w:p>
    <w:p w14:paraId="08D645E7" w14:textId="4F95AC97"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Naik, S. R., &amp; Gamare, D. (2025). </w:t>
      </w:r>
      <w:r w:rsidRPr="00397A1E">
        <w:rPr>
          <w:rFonts w:ascii="Times New Roman" w:eastAsia="Times New Roman" w:hAnsi="Times New Roman" w:cs="Times New Roman"/>
          <w:sz w:val="24"/>
          <w:szCs w:val="24"/>
        </w:rPr>
        <w:t xml:space="preserve">Evidenced-based phytotherapy overview: Protective role of diverse bioactive phytochemicals in myocardial ischemia through pharmacodynamics and molecular mechanisms. </w:t>
      </w:r>
      <w:r w:rsidRPr="00397A1E">
        <w:rPr>
          <w:rFonts w:ascii="Times New Roman" w:eastAsia="Times New Roman" w:hAnsi="Times New Roman" w:cs="Times New Roman"/>
          <w:i/>
          <w:iCs/>
          <w:sz w:val="24"/>
          <w:szCs w:val="24"/>
        </w:rPr>
        <w:t>Journal of Cardiovascular Medicine and Cardiology, 12</w:t>
      </w:r>
      <w:r w:rsidRPr="00397A1E">
        <w:rPr>
          <w:rFonts w:ascii="Times New Roman" w:eastAsia="Times New Roman" w:hAnsi="Times New Roman" w:cs="Times New Roman"/>
          <w:sz w:val="24"/>
          <w:szCs w:val="24"/>
        </w:rPr>
        <w:t xml:space="preserve">(2), 22–33. https://doi.org/10.17352/2455-2976.000223 </w:t>
      </w:r>
    </w:p>
    <w:p w14:paraId="1F446432" w14:textId="75B98467"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Nazmeen, A., Chen, G., Ghosh, T. K., &amp; Maiti, S. (2020). Breast cancer pathogenesis is linked to the intra-tumoral estrogen sulfotransferase (hSULT1E1) expressions regulated by cellular redox dependent Nrf-2/NF κ β interplay. </w:t>
      </w:r>
      <w:r w:rsidRPr="00397A1E">
        <w:rPr>
          <w:rFonts w:ascii="Times New Roman" w:eastAsia="Times New Roman" w:hAnsi="Times New Roman" w:cs="Times New Roman"/>
          <w:i/>
          <w:iCs/>
          <w:sz w:val="24"/>
          <w:szCs w:val="24"/>
        </w:rPr>
        <w:t>Cancer Cell International, 20</w:t>
      </w:r>
      <w:r w:rsidRPr="00397A1E">
        <w:rPr>
          <w:rFonts w:ascii="Times New Roman" w:eastAsia="Times New Roman" w:hAnsi="Times New Roman" w:cs="Times New Roman"/>
          <w:sz w:val="24"/>
          <w:szCs w:val="24"/>
        </w:rPr>
        <w:t xml:space="preserve">(1), 70. https://doi.org/10.1186/s12935-020-1153-y </w:t>
      </w:r>
    </w:p>
    <w:p w14:paraId="1DC48B43" w14:textId="54AB6E47"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Nwozo, O. S., Effiong, E. M., Aja, P. M., &amp; Awuchi, C. G. (2023). </w:t>
      </w:r>
      <w:r w:rsidRPr="00397A1E">
        <w:rPr>
          <w:rFonts w:ascii="Times New Roman" w:eastAsia="Times New Roman" w:hAnsi="Times New Roman" w:cs="Times New Roman"/>
          <w:sz w:val="24"/>
          <w:szCs w:val="24"/>
        </w:rPr>
        <w:t xml:space="preserve">Antioxidant, phytochemical, and therapeutic properties of medicinal plants: A review. </w:t>
      </w:r>
      <w:r w:rsidRPr="00397A1E">
        <w:rPr>
          <w:rFonts w:ascii="Times New Roman" w:eastAsia="Times New Roman" w:hAnsi="Times New Roman" w:cs="Times New Roman"/>
          <w:i/>
          <w:iCs/>
          <w:sz w:val="24"/>
          <w:szCs w:val="24"/>
        </w:rPr>
        <w:t>International Journal of Food Properties, 26</w:t>
      </w:r>
      <w:r w:rsidRPr="00397A1E">
        <w:rPr>
          <w:rFonts w:ascii="Times New Roman" w:eastAsia="Times New Roman" w:hAnsi="Times New Roman" w:cs="Times New Roman"/>
          <w:sz w:val="24"/>
          <w:szCs w:val="24"/>
        </w:rPr>
        <w:t xml:space="preserve">(1), 359–388. </w:t>
      </w:r>
      <w:hyperlink r:id="rId43" w:tgtFrame="_blank" w:history="1">
        <w:r w:rsidRPr="00397A1E">
          <w:rPr>
            <w:rFonts w:ascii="Times New Roman" w:eastAsia="Times New Roman" w:hAnsi="Times New Roman" w:cs="Times New Roman"/>
            <w:color w:val="0000FF"/>
            <w:sz w:val="24"/>
            <w:szCs w:val="24"/>
            <w:u w:val="single"/>
          </w:rPr>
          <w:t>https://doi.org/10.1080/10942912.2022.2157425</w:t>
        </w:r>
      </w:hyperlink>
      <w:r w:rsidRPr="00397A1E">
        <w:rPr>
          <w:rFonts w:ascii="Times New Roman" w:eastAsia="Times New Roman" w:hAnsi="Times New Roman" w:cs="Times New Roman"/>
          <w:sz w:val="24"/>
          <w:szCs w:val="24"/>
        </w:rPr>
        <w:t xml:space="preserve"> </w:t>
      </w:r>
    </w:p>
    <w:p w14:paraId="181F4C8E" w14:textId="0F8891D9"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lastRenderedPageBreak/>
        <w:t xml:space="preserve">Obeagu, E. I., Igwe, M. C., &amp; Obeagu, G. U. (2024). Oxidative stress’s impact on red blood cells: Unveiling implications for health and disease. </w:t>
      </w:r>
      <w:r w:rsidRPr="00397A1E">
        <w:rPr>
          <w:rFonts w:ascii="Times New Roman" w:eastAsia="Times New Roman" w:hAnsi="Times New Roman" w:cs="Times New Roman"/>
          <w:i/>
          <w:iCs/>
          <w:sz w:val="24"/>
          <w:szCs w:val="24"/>
        </w:rPr>
        <w:t>Medicine, 103</w:t>
      </w:r>
      <w:r w:rsidRPr="00397A1E">
        <w:rPr>
          <w:rFonts w:ascii="Times New Roman" w:eastAsia="Times New Roman" w:hAnsi="Times New Roman" w:cs="Times New Roman"/>
          <w:sz w:val="24"/>
          <w:szCs w:val="24"/>
        </w:rPr>
        <w:t xml:space="preserve">(9), e37360. https://doi.org/10.1097/MD.0000000000037360 </w:t>
      </w:r>
    </w:p>
    <w:p w14:paraId="03C89471" w14:textId="1A65C602"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Ohkawa, H., Ohishi, N., &amp; Yagi, K. (1979). Assay for lipid peroxides in animal tissues by thiobarbituric acid reaction. </w:t>
      </w:r>
      <w:r w:rsidRPr="00397A1E">
        <w:rPr>
          <w:rFonts w:ascii="Times New Roman" w:eastAsia="Times New Roman" w:hAnsi="Times New Roman" w:cs="Times New Roman"/>
          <w:i/>
          <w:iCs/>
          <w:sz w:val="24"/>
          <w:szCs w:val="24"/>
        </w:rPr>
        <w:t>Analytical Biochemistry, 95</w:t>
      </w:r>
      <w:r w:rsidRPr="00397A1E">
        <w:rPr>
          <w:rFonts w:ascii="Times New Roman" w:eastAsia="Times New Roman" w:hAnsi="Times New Roman" w:cs="Times New Roman"/>
          <w:sz w:val="24"/>
          <w:szCs w:val="24"/>
        </w:rPr>
        <w:t xml:space="preserve">(2), 351–358. https://doi.org/10.1016/0003-2697(79)90738-3 </w:t>
      </w:r>
    </w:p>
    <w:p w14:paraId="40F37703" w14:textId="7139FC2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Orrico, F., Laurance, S., Lopez, A. C., Lefevre, S. D., Thomson, L., Möller, M. N., &amp; Ostuni, M. A. (2023). Oxidative stress in healthy and pathological red blood cells. </w:t>
      </w:r>
      <w:r w:rsidRPr="00397A1E">
        <w:rPr>
          <w:rFonts w:ascii="Times New Roman" w:eastAsia="Times New Roman" w:hAnsi="Times New Roman" w:cs="Times New Roman"/>
          <w:i/>
          <w:iCs/>
          <w:sz w:val="24"/>
          <w:szCs w:val="24"/>
        </w:rPr>
        <w:t>Biomolecules, 13</w:t>
      </w:r>
      <w:r w:rsidRPr="00397A1E">
        <w:rPr>
          <w:rFonts w:ascii="Times New Roman" w:eastAsia="Times New Roman" w:hAnsi="Times New Roman" w:cs="Times New Roman"/>
          <w:sz w:val="24"/>
          <w:szCs w:val="24"/>
        </w:rPr>
        <w:t xml:space="preserve">(8), 1262. https://doi.org/10.3390/biom13081262 </w:t>
      </w:r>
    </w:p>
    <w:p w14:paraId="57297E43" w14:textId="65AFEF3F"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Parcheta, M., Świsłocka, R., Orzechowska, S., Akimowicz, M., Choińska, R., &amp; Lewandowski, W. (2021). Recent developments in effective antioxidants: The structure and antioxidant properties. </w:t>
      </w:r>
      <w:r w:rsidRPr="00397A1E">
        <w:rPr>
          <w:rFonts w:ascii="Times New Roman" w:eastAsia="Times New Roman" w:hAnsi="Times New Roman" w:cs="Times New Roman"/>
          <w:i/>
          <w:iCs/>
          <w:sz w:val="24"/>
          <w:szCs w:val="24"/>
        </w:rPr>
        <w:t>Materials, 14</w:t>
      </w:r>
      <w:r w:rsidRPr="00397A1E">
        <w:rPr>
          <w:rFonts w:ascii="Times New Roman" w:eastAsia="Times New Roman" w:hAnsi="Times New Roman" w:cs="Times New Roman"/>
          <w:sz w:val="24"/>
          <w:szCs w:val="24"/>
        </w:rPr>
        <w:t xml:space="preserve">(8), 1984. https://doi.org/10.3390/ma14081984 </w:t>
      </w:r>
    </w:p>
    <w:p w14:paraId="6DDDB7D0" w14:textId="64295280"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Pather, K. (2020). </w:t>
      </w:r>
      <w:r w:rsidRPr="00397A1E">
        <w:rPr>
          <w:rFonts w:ascii="Times New Roman" w:eastAsia="Times New Roman" w:hAnsi="Times New Roman" w:cs="Times New Roman"/>
          <w:i/>
          <w:iCs/>
          <w:sz w:val="24"/>
          <w:szCs w:val="24"/>
        </w:rPr>
        <w:t>Hormone-therapy mediated interactions between platelets and breast cancer cells: An in vitro study</w:t>
      </w:r>
      <w:r w:rsidRPr="00397A1E">
        <w:rPr>
          <w:rFonts w:ascii="Times New Roman" w:eastAsia="Times New Roman" w:hAnsi="Times New Roman" w:cs="Times New Roman"/>
          <w:sz w:val="24"/>
          <w:szCs w:val="24"/>
        </w:rPr>
        <w:t xml:space="preserve"> [Doctoral dissertation, University of the Witwatersrand]. </w:t>
      </w:r>
    </w:p>
    <w:p w14:paraId="6DE1A0D8" w14:textId="4D7CE76B"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Polutchko, S. K., Glime, G. N., &amp; Demmig-Adams, B. (2021). Synergistic action of membrane-bound and water-soluble antioxidants in neuroprotection. </w:t>
      </w:r>
      <w:r w:rsidRPr="00397A1E">
        <w:rPr>
          <w:rFonts w:ascii="Times New Roman" w:eastAsia="Times New Roman" w:hAnsi="Times New Roman" w:cs="Times New Roman"/>
          <w:i/>
          <w:iCs/>
          <w:sz w:val="24"/>
          <w:szCs w:val="24"/>
        </w:rPr>
        <w:t>Molecules, 26</w:t>
      </w:r>
      <w:r w:rsidRPr="00397A1E">
        <w:rPr>
          <w:rFonts w:ascii="Times New Roman" w:eastAsia="Times New Roman" w:hAnsi="Times New Roman" w:cs="Times New Roman"/>
          <w:sz w:val="24"/>
          <w:szCs w:val="24"/>
        </w:rPr>
        <w:t xml:space="preserve">(17), 5385. https://doi.org/10.3390/molecules26175385 </w:t>
      </w:r>
    </w:p>
    <w:p w14:paraId="03E46919" w14:textId="48726873"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Radeva, L., &amp; Yoncheva, K. (2025). Doxorubicin toxicity and recent approaches to alleviating its adverse effects with focus on oxidative stress. </w:t>
      </w:r>
      <w:r w:rsidRPr="00397A1E">
        <w:rPr>
          <w:rFonts w:ascii="Times New Roman" w:eastAsia="Times New Roman" w:hAnsi="Times New Roman" w:cs="Times New Roman"/>
          <w:i/>
          <w:iCs/>
          <w:sz w:val="24"/>
          <w:szCs w:val="24"/>
        </w:rPr>
        <w:t>Molecules, 30</w:t>
      </w:r>
      <w:r w:rsidRPr="00397A1E">
        <w:rPr>
          <w:rFonts w:ascii="Times New Roman" w:eastAsia="Times New Roman" w:hAnsi="Times New Roman" w:cs="Times New Roman"/>
          <w:sz w:val="24"/>
          <w:szCs w:val="24"/>
        </w:rPr>
        <w:t xml:space="preserve">(15), 3311. </w:t>
      </w:r>
      <w:hyperlink r:id="rId44" w:tgtFrame="_blank" w:history="1">
        <w:r w:rsidRPr="00397A1E">
          <w:rPr>
            <w:rFonts w:ascii="Times New Roman" w:eastAsia="Times New Roman" w:hAnsi="Times New Roman" w:cs="Times New Roman"/>
            <w:color w:val="0000FF"/>
            <w:sz w:val="24"/>
            <w:szCs w:val="24"/>
            <w:u w:val="single"/>
          </w:rPr>
          <w:t>https://doi.org/10.3390/molecules30153311</w:t>
        </w:r>
      </w:hyperlink>
      <w:r w:rsidRPr="00397A1E">
        <w:rPr>
          <w:rFonts w:ascii="Times New Roman" w:eastAsia="Times New Roman" w:hAnsi="Times New Roman" w:cs="Times New Roman"/>
          <w:sz w:val="24"/>
          <w:szCs w:val="24"/>
        </w:rPr>
        <w:t xml:space="preserve"> </w:t>
      </w:r>
    </w:p>
    <w:p w14:paraId="6CA08379" w14:textId="78820B14"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Rafiu, B. O., Sonibare, A. M., &amp; Adesanya, E. O. (2019). Phytochemical screening, antimicrobial and antioxidant studies of </w:t>
      </w:r>
      <w:r w:rsidRPr="00397A1E">
        <w:rPr>
          <w:rFonts w:ascii="Times New Roman" w:eastAsia="Times New Roman" w:hAnsi="Times New Roman" w:cs="Times New Roman"/>
          <w:i/>
          <w:iCs/>
          <w:sz w:val="24"/>
          <w:szCs w:val="24"/>
        </w:rPr>
        <w:t>Lannea egregia</w:t>
      </w:r>
      <w:r w:rsidRPr="00397A1E">
        <w:rPr>
          <w:rFonts w:ascii="Times New Roman" w:eastAsia="Times New Roman" w:hAnsi="Times New Roman" w:cs="Times New Roman"/>
          <w:sz w:val="24"/>
          <w:szCs w:val="24"/>
        </w:rPr>
        <w:t xml:space="preserve"> Engl. and K. Krause (Anacardiaceae) stem bark. </w:t>
      </w:r>
      <w:r w:rsidRPr="00397A1E">
        <w:rPr>
          <w:rFonts w:ascii="Times New Roman" w:eastAsia="Times New Roman" w:hAnsi="Times New Roman" w:cs="Times New Roman"/>
          <w:i/>
          <w:iCs/>
          <w:sz w:val="24"/>
          <w:szCs w:val="24"/>
        </w:rPr>
        <w:t>Journal of Medicinal Plants for Economic Development, 3</w:t>
      </w:r>
      <w:r w:rsidRPr="00397A1E">
        <w:rPr>
          <w:rFonts w:ascii="Times New Roman" w:eastAsia="Times New Roman" w:hAnsi="Times New Roman" w:cs="Times New Roman"/>
          <w:sz w:val="24"/>
          <w:szCs w:val="24"/>
        </w:rPr>
        <w:t xml:space="preserve">(1), a62. https://doi.org/10.4102/jomped.v3i1.62 </w:t>
      </w:r>
    </w:p>
    <w:p w14:paraId="64E0BD47" w14:textId="711F4CAA"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Ralla, T., Kluenter, A. M., Litta, G., Müller, M. A., Bonrath, W., &amp; Schäfer, C. (2024). Over 100 years of vitamin E: An overview from synthesis and formulation to application in animal nutrition. </w:t>
      </w:r>
      <w:r w:rsidRPr="00397A1E">
        <w:rPr>
          <w:rFonts w:ascii="Times New Roman" w:eastAsia="Times New Roman" w:hAnsi="Times New Roman" w:cs="Times New Roman"/>
          <w:i/>
          <w:iCs/>
          <w:sz w:val="24"/>
          <w:szCs w:val="24"/>
        </w:rPr>
        <w:t>Journal of Animal Physiology and Animal Nutrition, 108</w:t>
      </w:r>
      <w:r w:rsidRPr="00397A1E">
        <w:rPr>
          <w:rFonts w:ascii="Times New Roman" w:eastAsia="Times New Roman" w:hAnsi="Times New Roman" w:cs="Times New Roman"/>
          <w:sz w:val="24"/>
          <w:szCs w:val="24"/>
        </w:rPr>
        <w:t xml:space="preserve">(3), 646–663. </w:t>
      </w:r>
      <w:hyperlink r:id="rId45" w:tgtFrame="_blank" w:history="1">
        <w:r w:rsidRPr="00397A1E">
          <w:rPr>
            <w:rFonts w:ascii="Times New Roman" w:eastAsia="Times New Roman" w:hAnsi="Times New Roman" w:cs="Times New Roman"/>
            <w:color w:val="0000FF"/>
            <w:sz w:val="24"/>
            <w:szCs w:val="24"/>
            <w:u w:val="single"/>
          </w:rPr>
          <w:t>https://doi.org/10.1111/jpn.13919</w:t>
        </w:r>
      </w:hyperlink>
      <w:r w:rsidRPr="00397A1E">
        <w:rPr>
          <w:rFonts w:ascii="Times New Roman" w:eastAsia="Times New Roman" w:hAnsi="Times New Roman" w:cs="Times New Roman"/>
          <w:sz w:val="24"/>
          <w:szCs w:val="24"/>
        </w:rPr>
        <w:t xml:space="preserve"> </w:t>
      </w:r>
    </w:p>
    <w:p w14:paraId="1CCA449B" w14:textId="7CF35365"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Recknagel, R. O., Glende, E. A., &amp; Britton, R. S. (2020). </w:t>
      </w:r>
      <w:r w:rsidRPr="00397A1E">
        <w:rPr>
          <w:rFonts w:ascii="Times New Roman" w:eastAsia="Times New Roman" w:hAnsi="Times New Roman" w:cs="Times New Roman"/>
          <w:sz w:val="24"/>
          <w:szCs w:val="24"/>
        </w:rPr>
        <w:t xml:space="preserve">Free radical damage and lipid peroxidation. In R. G. Meeks, S. D. Harrison, &amp; R. J. Bull (Eds.), </w:t>
      </w:r>
      <w:r w:rsidRPr="00397A1E">
        <w:rPr>
          <w:rFonts w:ascii="Times New Roman" w:eastAsia="Times New Roman" w:hAnsi="Times New Roman" w:cs="Times New Roman"/>
          <w:i/>
          <w:iCs/>
          <w:sz w:val="24"/>
          <w:szCs w:val="24"/>
        </w:rPr>
        <w:t>Hepatotoxicology</w:t>
      </w:r>
      <w:r w:rsidRPr="00397A1E">
        <w:rPr>
          <w:rFonts w:ascii="Times New Roman" w:eastAsia="Times New Roman" w:hAnsi="Times New Roman" w:cs="Times New Roman"/>
          <w:sz w:val="24"/>
          <w:szCs w:val="24"/>
        </w:rPr>
        <w:t xml:space="preserve"> (pp. 401–436). CRC Press. https://doi.org/10.1201/9780367812041-9 </w:t>
      </w:r>
    </w:p>
    <w:p w14:paraId="16B6B2CC" w14:textId="08349122"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Rossi, M., Salomon, A., Chaumontel, N., Molet, J., Bailly, S., Tillet, E., &amp; Bouvard, C. (2023). Warning regarding hematological toxicity of tamoxifen activated CreERT2 in young Rosa26CreERT2 mice. </w:t>
      </w:r>
      <w:r w:rsidRPr="00397A1E">
        <w:rPr>
          <w:rFonts w:ascii="Times New Roman" w:eastAsia="Times New Roman" w:hAnsi="Times New Roman" w:cs="Times New Roman"/>
          <w:i/>
          <w:iCs/>
          <w:sz w:val="24"/>
          <w:szCs w:val="24"/>
        </w:rPr>
        <w:t>Scientific Reports, 13</w:t>
      </w:r>
      <w:r w:rsidRPr="00397A1E">
        <w:rPr>
          <w:rFonts w:ascii="Times New Roman" w:eastAsia="Times New Roman" w:hAnsi="Times New Roman" w:cs="Times New Roman"/>
          <w:sz w:val="24"/>
          <w:szCs w:val="24"/>
        </w:rPr>
        <w:t xml:space="preserve">(1), 5976. https://doi.org/10.1038/s41598-023-32633-1 </w:t>
      </w:r>
    </w:p>
    <w:p w14:paraId="79F5F055" w14:textId="7693AAE6"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Rout, P. R., Shahid, M. K., Dash, R. R., Bhunia, P., Liu, D., Varjani, S., Zhang, T. C., &amp; Surampalli, R. Y. (2021). Nutrient removal from domestic wastewater: A comprehensive review on conventional and advanced technologies. </w:t>
      </w:r>
      <w:r w:rsidRPr="00397A1E">
        <w:rPr>
          <w:rFonts w:ascii="Times New Roman" w:eastAsia="Times New Roman" w:hAnsi="Times New Roman" w:cs="Times New Roman"/>
          <w:i/>
          <w:iCs/>
          <w:sz w:val="24"/>
          <w:szCs w:val="24"/>
        </w:rPr>
        <w:t>Journal of Environmental Management, 296</w:t>
      </w:r>
      <w:r w:rsidRPr="00397A1E">
        <w:rPr>
          <w:rFonts w:ascii="Times New Roman" w:eastAsia="Times New Roman" w:hAnsi="Times New Roman" w:cs="Times New Roman"/>
          <w:sz w:val="24"/>
          <w:szCs w:val="24"/>
        </w:rPr>
        <w:t xml:space="preserve">, 113246. https://doi.org/10.1016/j.jenvman.2021.113246 </w:t>
      </w:r>
    </w:p>
    <w:p w14:paraId="6B11DDDE" w14:textId="36C3A863"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lang w:val="nl-BE"/>
        </w:rPr>
      </w:pPr>
      <w:r w:rsidRPr="00397A1E">
        <w:rPr>
          <w:rFonts w:ascii="Times New Roman" w:eastAsia="Times New Roman" w:hAnsi="Times New Roman" w:cs="Times New Roman"/>
          <w:sz w:val="24"/>
          <w:szCs w:val="24"/>
        </w:rPr>
        <w:t xml:space="preserve">Rudrapal, M., Rakshit, G., Singh, R. P., Garse, S., Khan, J., &amp; Chakraborty, S. (2024). Dietary polyphenols: Review on chemistry/sources, bioavailability/metabolism, antioxidant effects, and their role in disease management. </w:t>
      </w:r>
      <w:r w:rsidRPr="00397A1E">
        <w:rPr>
          <w:rFonts w:ascii="Times New Roman" w:eastAsia="Times New Roman" w:hAnsi="Times New Roman" w:cs="Times New Roman"/>
          <w:i/>
          <w:iCs/>
          <w:sz w:val="24"/>
          <w:szCs w:val="24"/>
          <w:lang w:val="nl-BE"/>
        </w:rPr>
        <w:t>Antioxidants, 13</w:t>
      </w:r>
      <w:r w:rsidRPr="00397A1E">
        <w:rPr>
          <w:rFonts w:ascii="Times New Roman" w:eastAsia="Times New Roman" w:hAnsi="Times New Roman" w:cs="Times New Roman"/>
          <w:sz w:val="24"/>
          <w:szCs w:val="24"/>
          <w:lang w:val="nl-BE"/>
        </w:rPr>
        <w:t xml:space="preserve">(4), 429. https://doi.org/10.3390/antiox13040429 </w:t>
      </w:r>
    </w:p>
    <w:p w14:paraId="27798A8E" w14:textId="220A3A3D"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Rui, T., Wang, H., Li, Q., Cheng, Y., Gao, Y., Fang, X., Ma, X., Chen, G., Gao, C., Gu, Z., Song, S., Zhang, J., Wang, C., Wang, Z., Wang, T., Zhang, M., Min, J., Chen, X., Tao, L., ... </w:t>
      </w:r>
      <w:r w:rsidRPr="00397A1E">
        <w:rPr>
          <w:rFonts w:ascii="Times New Roman" w:eastAsia="Times New Roman" w:hAnsi="Times New Roman" w:cs="Times New Roman"/>
          <w:sz w:val="24"/>
          <w:szCs w:val="24"/>
        </w:rPr>
        <w:t xml:space="preserve">Luo, C. (2021). Deletion of ferritin H in neurons counteracts the protective effect of melatonin </w:t>
      </w:r>
      <w:r w:rsidRPr="00397A1E">
        <w:rPr>
          <w:rFonts w:ascii="Times New Roman" w:eastAsia="Times New Roman" w:hAnsi="Times New Roman" w:cs="Times New Roman"/>
          <w:sz w:val="24"/>
          <w:szCs w:val="24"/>
        </w:rPr>
        <w:lastRenderedPageBreak/>
        <w:t xml:space="preserve">against traumatic brain injury-induced ferroptosis. </w:t>
      </w:r>
      <w:r w:rsidRPr="00397A1E">
        <w:rPr>
          <w:rFonts w:ascii="Times New Roman" w:eastAsia="Times New Roman" w:hAnsi="Times New Roman" w:cs="Times New Roman"/>
          <w:i/>
          <w:iCs/>
          <w:sz w:val="24"/>
          <w:szCs w:val="24"/>
        </w:rPr>
        <w:t>Journal of Pineal Research, 70</w:t>
      </w:r>
      <w:r w:rsidRPr="00397A1E">
        <w:rPr>
          <w:rFonts w:ascii="Times New Roman" w:eastAsia="Times New Roman" w:hAnsi="Times New Roman" w:cs="Times New Roman"/>
          <w:sz w:val="24"/>
          <w:szCs w:val="24"/>
        </w:rPr>
        <w:t xml:space="preserve">(2), e12704. </w:t>
      </w:r>
      <w:hyperlink r:id="rId46" w:tgtFrame="_blank" w:history="1">
        <w:r w:rsidRPr="00397A1E">
          <w:rPr>
            <w:rFonts w:ascii="Times New Roman" w:eastAsia="Times New Roman" w:hAnsi="Times New Roman" w:cs="Times New Roman"/>
            <w:color w:val="0000FF"/>
            <w:sz w:val="24"/>
            <w:szCs w:val="24"/>
            <w:u w:val="single"/>
          </w:rPr>
          <w:t>https://doi.org/10.1111/jpi.12704</w:t>
        </w:r>
      </w:hyperlink>
      <w:r w:rsidRPr="00397A1E">
        <w:rPr>
          <w:rFonts w:ascii="Times New Roman" w:eastAsia="Times New Roman" w:hAnsi="Times New Roman" w:cs="Times New Roman"/>
          <w:sz w:val="24"/>
          <w:szCs w:val="24"/>
        </w:rPr>
        <w:t xml:space="preserve"> </w:t>
      </w:r>
    </w:p>
    <w:p w14:paraId="7CC53BA1" w14:textId="7E9F6B0E"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Sadiq, I. Z. (2023). Free radicals and oxidative stress: Signaling mechanisms, redox basis for human diseases, and cell cycle regulation. </w:t>
      </w:r>
      <w:r w:rsidRPr="00397A1E">
        <w:rPr>
          <w:rFonts w:ascii="Times New Roman" w:eastAsia="Times New Roman" w:hAnsi="Times New Roman" w:cs="Times New Roman"/>
          <w:i/>
          <w:iCs/>
          <w:sz w:val="24"/>
          <w:szCs w:val="24"/>
        </w:rPr>
        <w:t>Current Molecular Medicine, 23</w:t>
      </w:r>
      <w:r w:rsidRPr="00397A1E">
        <w:rPr>
          <w:rFonts w:ascii="Times New Roman" w:eastAsia="Times New Roman" w:hAnsi="Times New Roman" w:cs="Times New Roman"/>
          <w:sz w:val="24"/>
          <w:szCs w:val="24"/>
        </w:rPr>
        <w:t xml:space="preserve">(1), 13–35. https://doi.org/10.2174/1566524022666211222161637 </w:t>
      </w:r>
    </w:p>
    <w:p w14:paraId="358D8BB8" w14:textId="261B9D2C"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Savithri, Y., Ravi Sekhar, P., &amp; Aruna Kumari, D. (2023). Protective role of magnesium malate and vitamine E against aluminium chloride toxicity on antioxidant enzymeactivity in albino rats. </w:t>
      </w:r>
      <w:r w:rsidRPr="00397A1E">
        <w:rPr>
          <w:rFonts w:ascii="Times New Roman" w:eastAsia="Times New Roman" w:hAnsi="Times New Roman" w:cs="Times New Roman"/>
          <w:i/>
          <w:iCs/>
          <w:sz w:val="24"/>
          <w:szCs w:val="24"/>
        </w:rPr>
        <w:t>Uttar Pradesh Journal of Zoology, 44</w:t>
      </w:r>
      <w:r w:rsidRPr="00397A1E">
        <w:rPr>
          <w:rFonts w:ascii="Times New Roman" w:eastAsia="Times New Roman" w:hAnsi="Times New Roman" w:cs="Times New Roman"/>
          <w:sz w:val="24"/>
          <w:szCs w:val="24"/>
        </w:rPr>
        <w:t xml:space="preserve">(24), 1–7. https://doi.org/10.56557/upjoz/2023/v44i243803 </w:t>
      </w:r>
    </w:p>
    <w:p w14:paraId="1235F1FB" w14:textId="79F2E6F1"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Shah, A., Srivastava, S., &amp; Chaturvedi, C. P. (2024). Biomolecular components of blood and their role in health and diseases. In R. L. Singh, P. Singh, &amp; N. Pathak (Eds.), </w:t>
      </w:r>
      <w:r w:rsidRPr="00397A1E">
        <w:rPr>
          <w:rFonts w:ascii="Times New Roman" w:eastAsia="Times New Roman" w:hAnsi="Times New Roman" w:cs="Times New Roman"/>
          <w:i/>
          <w:iCs/>
          <w:sz w:val="24"/>
          <w:szCs w:val="24"/>
        </w:rPr>
        <w:t>Clinical applications of biomolecules in disease diagnosis: A comprehensive guide to biochemistry and metabolism</w:t>
      </w:r>
      <w:r w:rsidRPr="00397A1E">
        <w:rPr>
          <w:rFonts w:ascii="Times New Roman" w:eastAsia="Times New Roman" w:hAnsi="Times New Roman" w:cs="Times New Roman"/>
          <w:sz w:val="24"/>
          <w:szCs w:val="24"/>
        </w:rPr>
        <w:t xml:space="preserve"> (pp. 289–322). Springer Nature Singapore. https://doi.org/10.1007/978-981-97-4723-8_12 </w:t>
      </w:r>
    </w:p>
    <w:p w14:paraId="3A90DF62" w14:textId="0A6D7F40"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Sharma, C., &amp; Kim, S. R. (2021). Linking oxidative stress and proteinopathy in Alzheimer’s disease. </w:t>
      </w:r>
      <w:r w:rsidRPr="00397A1E">
        <w:rPr>
          <w:rFonts w:ascii="Times New Roman" w:eastAsia="Times New Roman" w:hAnsi="Times New Roman" w:cs="Times New Roman"/>
          <w:i/>
          <w:iCs/>
          <w:sz w:val="24"/>
          <w:szCs w:val="24"/>
        </w:rPr>
        <w:t>Antioxidants, 10</w:t>
      </w:r>
      <w:r w:rsidRPr="00397A1E">
        <w:rPr>
          <w:rFonts w:ascii="Times New Roman" w:eastAsia="Times New Roman" w:hAnsi="Times New Roman" w:cs="Times New Roman"/>
          <w:sz w:val="24"/>
          <w:szCs w:val="24"/>
        </w:rPr>
        <w:t xml:space="preserve">(8), 1231. https://doi.org/10.3390/antiox10081231 </w:t>
      </w:r>
    </w:p>
    <w:p w14:paraId="62D68B17" w14:textId="44D7D981"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lang w:val="nl-BE"/>
        </w:rPr>
        <w:t xml:space="preserve">Sikora, J. P., Karawani, J., &amp; Sobczak, J. (2023). </w:t>
      </w:r>
      <w:r w:rsidRPr="00397A1E">
        <w:rPr>
          <w:rFonts w:ascii="Times New Roman" w:eastAsia="Times New Roman" w:hAnsi="Times New Roman" w:cs="Times New Roman"/>
          <w:sz w:val="24"/>
          <w:szCs w:val="24"/>
        </w:rPr>
        <w:t xml:space="preserve">Neutrophils and the systemic inflammatory response syndrome (SIRS). </w:t>
      </w:r>
      <w:r w:rsidRPr="00397A1E">
        <w:rPr>
          <w:rFonts w:ascii="Times New Roman" w:eastAsia="Times New Roman" w:hAnsi="Times New Roman" w:cs="Times New Roman"/>
          <w:i/>
          <w:iCs/>
          <w:sz w:val="24"/>
          <w:szCs w:val="24"/>
        </w:rPr>
        <w:t>International Journal of Molecular Sciences, 24</w:t>
      </w:r>
      <w:r w:rsidRPr="00397A1E">
        <w:rPr>
          <w:rFonts w:ascii="Times New Roman" w:eastAsia="Times New Roman" w:hAnsi="Times New Roman" w:cs="Times New Roman"/>
          <w:sz w:val="24"/>
          <w:szCs w:val="24"/>
        </w:rPr>
        <w:t xml:space="preserve">(17), 13469. https://doi.org/10.3390/ijms241713469 </w:t>
      </w:r>
    </w:p>
    <w:p w14:paraId="5BA2DF0D" w14:textId="29775350"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Tumilaar, S. G., Hardianto, A., Dohi, H., &amp; Kurnia, D. (2024). A comprehensive review of free radicals, oxidative stress, and antioxidants: Overview, clinical applications, global perspectives, future directions, and mechanisms of antioxidant activity of flavonoid compounds. </w:t>
      </w:r>
      <w:r w:rsidRPr="00397A1E">
        <w:rPr>
          <w:rFonts w:ascii="Times New Roman" w:eastAsia="Times New Roman" w:hAnsi="Times New Roman" w:cs="Times New Roman"/>
          <w:i/>
          <w:iCs/>
          <w:sz w:val="24"/>
          <w:szCs w:val="24"/>
        </w:rPr>
        <w:t>Journal of Chemistry, 2024</w:t>
      </w:r>
      <w:r w:rsidRPr="00397A1E">
        <w:rPr>
          <w:rFonts w:ascii="Times New Roman" w:eastAsia="Times New Roman" w:hAnsi="Times New Roman" w:cs="Times New Roman"/>
          <w:sz w:val="24"/>
          <w:szCs w:val="24"/>
        </w:rPr>
        <w:t xml:space="preserve">, 5594386. https://doi.org/10.1155/2024/5594386 </w:t>
      </w:r>
    </w:p>
    <w:p w14:paraId="1253CC91" w14:textId="57B451B4"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Uti, D. E., Atangwho, I. J., Alum, E. U., Ntaobeten, E., Obeten, U. N., Bawa, I., Agada, S. A., Ukam, C. I.-O., &amp; Egbung, G. E. (2025). Antioxidants in cancer therapy mitigating lipid peroxidation without compromising treatment through nanotechnology. </w:t>
      </w:r>
      <w:r w:rsidRPr="00397A1E">
        <w:rPr>
          <w:rFonts w:ascii="Times New Roman" w:eastAsia="Times New Roman" w:hAnsi="Times New Roman" w:cs="Times New Roman"/>
          <w:i/>
          <w:iCs/>
          <w:sz w:val="24"/>
          <w:szCs w:val="24"/>
        </w:rPr>
        <w:t>Discover Nano, 20</w:t>
      </w:r>
      <w:r w:rsidRPr="00397A1E">
        <w:rPr>
          <w:rFonts w:ascii="Times New Roman" w:eastAsia="Times New Roman" w:hAnsi="Times New Roman" w:cs="Times New Roman"/>
          <w:sz w:val="24"/>
          <w:szCs w:val="24"/>
        </w:rPr>
        <w:t xml:space="preserve">(1), 70. </w:t>
      </w:r>
      <w:hyperlink r:id="rId47" w:tgtFrame="_blank" w:history="1">
        <w:r w:rsidRPr="00397A1E">
          <w:rPr>
            <w:rFonts w:ascii="Times New Roman" w:eastAsia="Times New Roman" w:hAnsi="Times New Roman" w:cs="Times New Roman"/>
            <w:color w:val="0000FF"/>
            <w:sz w:val="24"/>
            <w:szCs w:val="24"/>
            <w:u w:val="single"/>
          </w:rPr>
          <w:t>https://doi.org/10.1186/s11671-025-04248-0</w:t>
        </w:r>
      </w:hyperlink>
      <w:r w:rsidRPr="00397A1E">
        <w:rPr>
          <w:rFonts w:ascii="Times New Roman" w:eastAsia="Times New Roman" w:hAnsi="Times New Roman" w:cs="Times New Roman"/>
          <w:sz w:val="24"/>
          <w:szCs w:val="24"/>
        </w:rPr>
        <w:t xml:space="preserve"> </w:t>
      </w:r>
    </w:p>
    <w:p w14:paraId="33DB9E29" w14:textId="2EDE66D9"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Vašková, J., Kočan, L., Vaško, L., &amp; Perjési, P. (2023). Glutathione-related enzymes and proteins: A review. </w:t>
      </w:r>
      <w:r w:rsidRPr="00397A1E">
        <w:rPr>
          <w:rFonts w:ascii="Times New Roman" w:eastAsia="Times New Roman" w:hAnsi="Times New Roman" w:cs="Times New Roman"/>
          <w:i/>
          <w:iCs/>
          <w:sz w:val="24"/>
          <w:szCs w:val="24"/>
        </w:rPr>
        <w:t>Molecules, 28</w:t>
      </w:r>
      <w:r w:rsidRPr="00397A1E">
        <w:rPr>
          <w:rFonts w:ascii="Times New Roman" w:eastAsia="Times New Roman" w:hAnsi="Times New Roman" w:cs="Times New Roman"/>
          <w:sz w:val="24"/>
          <w:szCs w:val="24"/>
        </w:rPr>
        <w:t xml:space="preserve">(3), 1447. </w:t>
      </w:r>
      <w:hyperlink r:id="rId48" w:tgtFrame="_blank" w:history="1">
        <w:r w:rsidRPr="00397A1E">
          <w:rPr>
            <w:rFonts w:ascii="Times New Roman" w:eastAsia="Times New Roman" w:hAnsi="Times New Roman" w:cs="Times New Roman"/>
            <w:color w:val="0000FF"/>
            <w:sz w:val="24"/>
            <w:szCs w:val="24"/>
            <w:u w:val="single"/>
          </w:rPr>
          <w:t>https://doi.org/10.3390/molecules28031447</w:t>
        </w:r>
      </w:hyperlink>
      <w:r w:rsidRPr="00397A1E">
        <w:rPr>
          <w:rFonts w:ascii="Times New Roman" w:eastAsia="Times New Roman" w:hAnsi="Times New Roman" w:cs="Times New Roman"/>
          <w:sz w:val="24"/>
          <w:szCs w:val="24"/>
        </w:rPr>
        <w:t xml:space="preserve"> </w:t>
      </w:r>
    </w:p>
    <w:p w14:paraId="0B4F4950" w14:textId="366EAFA1"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Vona, R., Sposi, N. M., Mattia, L., Gambardella, L., Straface, E., &amp; Pietraforte, D. (2021). Sickle cell disease: Role of oxidative stress and antioxidant therapy. </w:t>
      </w:r>
      <w:r w:rsidRPr="00397A1E">
        <w:rPr>
          <w:rFonts w:ascii="Times New Roman" w:eastAsia="Times New Roman" w:hAnsi="Times New Roman" w:cs="Times New Roman"/>
          <w:i/>
          <w:iCs/>
          <w:sz w:val="24"/>
          <w:szCs w:val="24"/>
        </w:rPr>
        <w:t>Antioxidants, 10</w:t>
      </w:r>
      <w:r w:rsidRPr="00397A1E">
        <w:rPr>
          <w:rFonts w:ascii="Times New Roman" w:eastAsia="Times New Roman" w:hAnsi="Times New Roman" w:cs="Times New Roman"/>
          <w:sz w:val="24"/>
          <w:szCs w:val="24"/>
        </w:rPr>
        <w:t xml:space="preserve">(2), 296. </w:t>
      </w:r>
      <w:hyperlink r:id="rId49" w:tgtFrame="_blank" w:history="1">
        <w:r w:rsidRPr="00397A1E">
          <w:rPr>
            <w:rFonts w:ascii="Times New Roman" w:eastAsia="Times New Roman" w:hAnsi="Times New Roman" w:cs="Times New Roman"/>
            <w:color w:val="0000FF"/>
            <w:sz w:val="24"/>
            <w:szCs w:val="24"/>
            <w:u w:val="single"/>
          </w:rPr>
          <w:t>https://doi.org/10.3390/antiox10020296</w:t>
        </w:r>
      </w:hyperlink>
      <w:r w:rsidRPr="00397A1E">
        <w:rPr>
          <w:rFonts w:ascii="Times New Roman" w:eastAsia="Times New Roman" w:hAnsi="Times New Roman" w:cs="Times New Roman"/>
          <w:sz w:val="24"/>
          <w:szCs w:val="24"/>
        </w:rPr>
        <w:t xml:space="preserve"> </w:t>
      </w:r>
    </w:p>
    <w:p w14:paraId="7BBC414C" w14:textId="087015EB" w:rsidR="00397A1E" w:rsidRPr="00397A1E" w:rsidRDefault="00397A1E" w:rsidP="00397A1E">
      <w:pPr>
        <w:spacing w:after="0" w:line="240" w:lineRule="auto"/>
        <w:ind w:left="540" w:hanging="540"/>
        <w:jc w:val="both"/>
        <w:rPr>
          <w:rFonts w:ascii="Times New Roman" w:eastAsia="Times New Roman" w:hAnsi="Times New Roman" w:cs="Times New Roman"/>
          <w:sz w:val="24"/>
          <w:szCs w:val="24"/>
        </w:rPr>
      </w:pPr>
      <w:r w:rsidRPr="00397A1E">
        <w:rPr>
          <w:rFonts w:ascii="Times New Roman" w:eastAsia="Times New Roman" w:hAnsi="Times New Roman" w:cs="Times New Roman"/>
          <w:sz w:val="24"/>
          <w:szCs w:val="24"/>
        </w:rPr>
        <w:t xml:space="preserve">Voronina, M. V., Frolova, A. S., Kolesova, E. P., Kuldyushev, N. A., Parodi, A., &amp; Zamyatnin, A. A., Jr. (2024). The intricate balance between life and death: ROS, cathepsins, and their interplay in cell death and autophagy. </w:t>
      </w:r>
      <w:r w:rsidRPr="00397A1E">
        <w:rPr>
          <w:rFonts w:ascii="Times New Roman" w:eastAsia="Times New Roman" w:hAnsi="Times New Roman" w:cs="Times New Roman"/>
          <w:i/>
          <w:iCs/>
          <w:sz w:val="24"/>
          <w:szCs w:val="24"/>
        </w:rPr>
        <w:t>International Journal of Molecular Sciences, 25</w:t>
      </w:r>
      <w:r w:rsidRPr="00397A1E">
        <w:rPr>
          <w:rFonts w:ascii="Times New Roman" w:eastAsia="Times New Roman" w:hAnsi="Times New Roman" w:cs="Times New Roman"/>
          <w:sz w:val="24"/>
          <w:szCs w:val="24"/>
        </w:rPr>
        <w:t xml:space="preserve">(7), 4087. https://doi.org/10.3390/ijms25074087 </w:t>
      </w:r>
    </w:p>
    <w:p w14:paraId="3BB2B630" w14:textId="666BB272" w:rsidR="00403E61" w:rsidRPr="00397A1E" w:rsidRDefault="00397A1E" w:rsidP="00397A1E">
      <w:pPr>
        <w:spacing w:line="360" w:lineRule="auto"/>
        <w:ind w:left="540" w:hanging="540"/>
        <w:jc w:val="both"/>
        <w:rPr>
          <w:rFonts w:ascii="Times New Roman" w:hAnsi="Times New Roman" w:cs="Times New Roman"/>
          <w:color w:val="222222"/>
          <w:sz w:val="24"/>
          <w:szCs w:val="24"/>
          <w:shd w:val="clear" w:color="auto" w:fill="FFFFFF"/>
        </w:rPr>
      </w:pPr>
      <w:r w:rsidRPr="00397A1E">
        <w:rPr>
          <w:rFonts w:ascii="Times New Roman" w:eastAsia="Times New Roman" w:hAnsi="Times New Roman" w:cs="Times New Roman"/>
          <w:sz w:val="24"/>
          <w:szCs w:val="24"/>
          <w:lang w:val="nl-BE"/>
        </w:rPr>
        <w:t xml:space="preserve">Zhang, S., Jin, Z., Bao, L., &amp; Shu, P. (2024). </w:t>
      </w:r>
      <w:r w:rsidRPr="00397A1E">
        <w:rPr>
          <w:rFonts w:ascii="Times New Roman" w:eastAsia="Times New Roman" w:hAnsi="Times New Roman" w:cs="Times New Roman"/>
          <w:sz w:val="24"/>
          <w:szCs w:val="24"/>
        </w:rPr>
        <w:t xml:space="preserve">The global burden of breast cancer in women from 1990 to 2030: Assessment and projection based on the Global Burden of Disease Study 2019. </w:t>
      </w:r>
      <w:r w:rsidRPr="00397A1E">
        <w:rPr>
          <w:rFonts w:ascii="Times New Roman" w:eastAsia="Times New Roman" w:hAnsi="Times New Roman" w:cs="Times New Roman"/>
          <w:i/>
          <w:iCs/>
          <w:sz w:val="24"/>
          <w:szCs w:val="24"/>
        </w:rPr>
        <w:t>Frontiers in Oncology, 14</w:t>
      </w:r>
      <w:r w:rsidRPr="00397A1E">
        <w:rPr>
          <w:rFonts w:ascii="Times New Roman" w:eastAsia="Times New Roman" w:hAnsi="Times New Roman" w:cs="Times New Roman"/>
          <w:sz w:val="24"/>
          <w:szCs w:val="24"/>
        </w:rPr>
        <w:t>, 1364397. https://doi.org/10.3389/fonc.2024.1364397</w:t>
      </w:r>
    </w:p>
    <w:sectPr w:rsidR="00403E61" w:rsidRPr="00397A1E" w:rsidSect="00692C0D">
      <w:headerReference w:type="even" r:id="rId50"/>
      <w:headerReference w:type="default" r:id="rId51"/>
      <w:footerReference w:type="even" r:id="rId52"/>
      <w:footerReference w:type="default" r:id="rId53"/>
      <w:headerReference w:type="first" r:id="rId54"/>
      <w:footerReference w:type="first" r:id="rId5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5E9A0" w14:textId="77777777" w:rsidR="00602EC3" w:rsidRDefault="00602EC3">
      <w:pPr>
        <w:spacing w:after="0" w:line="240" w:lineRule="auto"/>
      </w:pPr>
      <w:r>
        <w:separator/>
      </w:r>
    </w:p>
  </w:endnote>
  <w:endnote w:type="continuationSeparator" w:id="0">
    <w:p w14:paraId="0F8AFF83" w14:textId="77777777" w:rsidR="00602EC3" w:rsidRDefault="00602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4BF94" w14:textId="77777777" w:rsidR="007F4CBB" w:rsidRDefault="007F4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3A5C7" w14:textId="77777777" w:rsidR="00B1775D" w:rsidRDefault="00B1775D">
    <w:pPr>
      <w:pStyle w:val="Footer"/>
      <w:jc w:val="center"/>
    </w:pPr>
    <w:r>
      <w:fldChar w:fldCharType="begin"/>
    </w:r>
    <w:r>
      <w:instrText xml:space="preserve"> PAGE   \* MERGEFORMAT </w:instrText>
    </w:r>
    <w:r>
      <w:fldChar w:fldCharType="separate"/>
    </w:r>
    <w:r w:rsidR="009A7797">
      <w:rPr>
        <w:noProof/>
      </w:rPr>
      <w:t>21</w:t>
    </w:r>
    <w:r>
      <w:fldChar w:fldCharType="end"/>
    </w:r>
  </w:p>
  <w:p w14:paraId="050B93B2" w14:textId="77777777" w:rsidR="00B1775D" w:rsidRDefault="00B177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451E" w14:textId="77777777" w:rsidR="007F4CBB" w:rsidRDefault="007F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06BAF" w14:textId="77777777" w:rsidR="00602EC3" w:rsidRDefault="00602EC3">
      <w:pPr>
        <w:spacing w:after="0" w:line="240" w:lineRule="auto"/>
      </w:pPr>
      <w:r>
        <w:separator/>
      </w:r>
    </w:p>
  </w:footnote>
  <w:footnote w:type="continuationSeparator" w:id="0">
    <w:p w14:paraId="1FF405C1" w14:textId="77777777" w:rsidR="00602EC3" w:rsidRDefault="00602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4DBA" w14:textId="77777777" w:rsidR="007F4CBB" w:rsidRDefault="00000000">
    <w:pPr>
      <w:pStyle w:val="Header"/>
    </w:pPr>
    <w:r>
      <w:rPr>
        <w:noProof/>
      </w:rPr>
      <w:pict w14:anchorId="6EA0C5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E0B0" w14:textId="77777777" w:rsidR="007F4CBB" w:rsidRDefault="00000000">
    <w:pPr>
      <w:pStyle w:val="Header"/>
    </w:pPr>
    <w:r>
      <w:rPr>
        <w:noProof/>
      </w:rPr>
      <w:pict w14:anchorId="73161A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AE858" w14:textId="77777777" w:rsidR="007F4CBB" w:rsidRDefault="00000000">
    <w:pPr>
      <w:pStyle w:val="Header"/>
    </w:pPr>
    <w:r>
      <w:rPr>
        <w:noProof/>
      </w:rPr>
      <w:pict w14:anchorId="7383F3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EBE02F4"/>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2"/>
    <w:multiLevelType w:val="multilevel"/>
    <w:tmpl w:val="82C2AA70"/>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5"/>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03"/>
    <w:multiLevelType w:val="multilevel"/>
    <w:tmpl w:val="0936AE16"/>
    <w:lvl w:ilvl="0">
      <w:start w:val="2"/>
      <w:numFmt w:val="decimal"/>
      <w:lvlText w:val="%1."/>
      <w:lvlJc w:val="left"/>
      <w:pPr>
        <w:ind w:left="480" w:hanging="480"/>
      </w:pPr>
      <w:rPr>
        <w:rFonts w:hint="default"/>
      </w:rPr>
    </w:lvl>
    <w:lvl w:ilvl="1">
      <w:start w:val="1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04"/>
    <w:multiLevelType w:val="multilevel"/>
    <w:tmpl w:val="CD085EE2"/>
    <w:lvl w:ilvl="0">
      <w:start w:val="1"/>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0000005"/>
    <w:multiLevelType w:val="multilevel"/>
    <w:tmpl w:val="6622841A"/>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4"/>
      <w:numFmt w:val="decimal"/>
      <w:lvlText w:val="%1.%2.%3"/>
      <w:lvlJc w:val="left"/>
      <w:pPr>
        <w:ind w:left="780" w:hanging="780"/>
      </w:pPr>
      <w:rPr>
        <w:rFonts w:hint="default"/>
      </w:rPr>
    </w:lvl>
    <w:lvl w:ilvl="3">
      <w:start w:val="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0000006"/>
    <w:multiLevelType w:val="multilevel"/>
    <w:tmpl w:val="A7482386"/>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9C7FC7"/>
    <w:multiLevelType w:val="hybridMultilevel"/>
    <w:tmpl w:val="0942A3C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025266"/>
    <w:multiLevelType w:val="hybridMultilevel"/>
    <w:tmpl w:val="B04A8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813551"/>
    <w:multiLevelType w:val="multilevel"/>
    <w:tmpl w:val="707A7B94"/>
    <w:lvl w:ilvl="0">
      <w:start w:val="2"/>
      <w:numFmt w:val="decimal"/>
      <w:lvlText w:val="%1"/>
      <w:lvlJc w:val="left"/>
      <w:pPr>
        <w:ind w:left="780" w:hanging="780"/>
      </w:pPr>
      <w:rPr>
        <w:rFonts w:hint="default"/>
        <w:b w:val="0"/>
      </w:rPr>
    </w:lvl>
    <w:lvl w:ilvl="1">
      <w:start w:val="15"/>
      <w:numFmt w:val="decimal"/>
      <w:lvlText w:val="%1.%2"/>
      <w:lvlJc w:val="left"/>
      <w:pPr>
        <w:ind w:left="780" w:hanging="780"/>
      </w:pPr>
      <w:rPr>
        <w:rFonts w:hint="default"/>
        <w:b w:val="0"/>
      </w:rPr>
    </w:lvl>
    <w:lvl w:ilvl="2">
      <w:start w:val="1"/>
      <w:numFmt w:val="decimal"/>
      <w:lvlText w:val="%1.%2.%3"/>
      <w:lvlJc w:val="left"/>
      <w:pPr>
        <w:ind w:left="780" w:hanging="780"/>
      </w:pPr>
      <w:rPr>
        <w:rFonts w:hint="default"/>
        <w:b w:val="0"/>
      </w:rPr>
    </w:lvl>
    <w:lvl w:ilvl="3">
      <w:start w:val="2"/>
      <w:numFmt w:val="decimal"/>
      <w:lvlText w:val="%1.%2.%3.%4"/>
      <w:lvlJc w:val="left"/>
      <w:pPr>
        <w:ind w:left="780" w:hanging="7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6C9974F0"/>
    <w:multiLevelType w:val="hybridMultilevel"/>
    <w:tmpl w:val="27D44588"/>
    <w:lvl w:ilvl="0" w:tplc="FAFA150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633878"/>
    <w:multiLevelType w:val="hybridMultilevel"/>
    <w:tmpl w:val="321A9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EA1CCC"/>
    <w:multiLevelType w:val="hybridMultilevel"/>
    <w:tmpl w:val="EFCC066A"/>
    <w:lvl w:ilvl="0" w:tplc="04090013">
      <w:start w:val="1"/>
      <w:numFmt w:val="upp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89489939">
    <w:abstractNumId w:val="8"/>
  </w:num>
  <w:num w:numId="2" w16cid:durableId="1008796131">
    <w:abstractNumId w:val="0"/>
  </w:num>
  <w:num w:numId="3" w16cid:durableId="229734232">
    <w:abstractNumId w:val="3"/>
  </w:num>
  <w:num w:numId="4" w16cid:durableId="1801267328">
    <w:abstractNumId w:val="5"/>
  </w:num>
  <w:num w:numId="5" w16cid:durableId="1528521070">
    <w:abstractNumId w:val="4"/>
  </w:num>
  <w:num w:numId="6" w16cid:durableId="1881941657">
    <w:abstractNumId w:val="2"/>
  </w:num>
  <w:num w:numId="7" w16cid:durableId="1087918960">
    <w:abstractNumId w:val="1"/>
  </w:num>
  <w:num w:numId="8" w16cid:durableId="603460103">
    <w:abstractNumId w:val="11"/>
  </w:num>
  <w:num w:numId="9" w16cid:durableId="1082725352">
    <w:abstractNumId w:val="9"/>
  </w:num>
  <w:num w:numId="10" w16cid:durableId="903639056">
    <w:abstractNumId w:val="10"/>
  </w:num>
  <w:num w:numId="11" w16cid:durableId="2098818297">
    <w:abstractNumId w:val="7"/>
  </w:num>
  <w:num w:numId="12" w16cid:durableId="14806565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0D"/>
    <w:rsid w:val="000059ED"/>
    <w:rsid w:val="000230A3"/>
    <w:rsid w:val="000317F1"/>
    <w:rsid w:val="0003347E"/>
    <w:rsid w:val="000357A5"/>
    <w:rsid w:val="00036E22"/>
    <w:rsid w:val="00043A33"/>
    <w:rsid w:val="000448ED"/>
    <w:rsid w:val="000518A6"/>
    <w:rsid w:val="0006019D"/>
    <w:rsid w:val="0006051B"/>
    <w:rsid w:val="00063449"/>
    <w:rsid w:val="000668DD"/>
    <w:rsid w:val="00070342"/>
    <w:rsid w:val="00070407"/>
    <w:rsid w:val="0007251F"/>
    <w:rsid w:val="0007524B"/>
    <w:rsid w:val="00082C01"/>
    <w:rsid w:val="000861E5"/>
    <w:rsid w:val="000862AB"/>
    <w:rsid w:val="0009164B"/>
    <w:rsid w:val="000A5A56"/>
    <w:rsid w:val="000B26F8"/>
    <w:rsid w:val="000C0714"/>
    <w:rsid w:val="000C2710"/>
    <w:rsid w:val="000C609D"/>
    <w:rsid w:val="000C7982"/>
    <w:rsid w:val="000D4F06"/>
    <w:rsid w:val="000E6550"/>
    <w:rsid w:val="000F0847"/>
    <w:rsid w:val="00101712"/>
    <w:rsid w:val="00103111"/>
    <w:rsid w:val="00134374"/>
    <w:rsid w:val="00134392"/>
    <w:rsid w:val="00136830"/>
    <w:rsid w:val="001421C0"/>
    <w:rsid w:val="00144385"/>
    <w:rsid w:val="00147D91"/>
    <w:rsid w:val="001502EE"/>
    <w:rsid w:val="00150E4C"/>
    <w:rsid w:val="0016026C"/>
    <w:rsid w:val="00160EDE"/>
    <w:rsid w:val="001734A6"/>
    <w:rsid w:val="00176B38"/>
    <w:rsid w:val="0018182F"/>
    <w:rsid w:val="00192CB8"/>
    <w:rsid w:val="001B1653"/>
    <w:rsid w:val="001B2860"/>
    <w:rsid w:val="001B6617"/>
    <w:rsid w:val="001C6358"/>
    <w:rsid w:val="001C65FA"/>
    <w:rsid w:val="001D0FFA"/>
    <w:rsid w:val="001D3992"/>
    <w:rsid w:val="001D6FA8"/>
    <w:rsid w:val="001E1033"/>
    <w:rsid w:val="001F34D2"/>
    <w:rsid w:val="001F6025"/>
    <w:rsid w:val="002001F1"/>
    <w:rsid w:val="002066EB"/>
    <w:rsid w:val="00211D4E"/>
    <w:rsid w:val="00213B0C"/>
    <w:rsid w:val="00220834"/>
    <w:rsid w:val="00220911"/>
    <w:rsid w:val="00244A8E"/>
    <w:rsid w:val="0025082E"/>
    <w:rsid w:val="00262696"/>
    <w:rsid w:val="00264DFB"/>
    <w:rsid w:val="00270F20"/>
    <w:rsid w:val="002713E4"/>
    <w:rsid w:val="00273C5D"/>
    <w:rsid w:val="002938AA"/>
    <w:rsid w:val="002A4ED6"/>
    <w:rsid w:val="002A68DC"/>
    <w:rsid w:val="002B634E"/>
    <w:rsid w:val="002C67F2"/>
    <w:rsid w:val="002D35FA"/>
    <w:rsid w:val="002D78FE"/>
    <w:rsid w:val="002E170B"/>
    <w:rsid w:val="002E4C92"/>
    <w:rsid w:val="002F5820"/>
    <w:rsid w:val="002F6C8A"/>
    <w:rsid w:val="003003C3"/>
    <w:rsid w:val="00300A6C"/>
    <w:rsid w:val="00300D2C"/>
    <w:rsid w:val="00304395"/>
    <w:rsid w:val="003117CC"/>
    <w:rsid w:val="00330BFF"/>
    <w:rsid w:val="00333197"/>
    <w:rsid w:val="00350F4A"/>
    <w:rsid w:val="0035152F"/>
    <w:rsid w:val="0035245B"/>
    <w:rsid w:val="00355B4B"/>
    <w:rsid w:val="00360635"/>
    <w:rsid w:val="00360CD2"/>
    <w:rsid w:val="0036749F"/>
    <w:rsid w:val="00375B03"/>
    <w:rsid w:val="00387CA5"/>
    <w:rsid w:val="00397A1E"/>
    <w:rsid w:val="003B38CC"/>
    <w:rsid w:val="003B4664"/>
    <w:rsid w:val="003B6C8B"/>
    <w:rsid w:val="003C0F6B"/>
    <w:rsid w:val="003C39ED"/>
    <w:rsid w:val="003C6F6D"/>
    <w:rsid w:val="003C7CA0"/>
    <w:rsid w:val="003D06ED"/>
    <w:rsid w:val="003D63E0"/>
    <w:rsid w:val="003E7871"/>
    <w:rsid w:val="003F10E4"/>
    <w:rsid w:val="00403E61"/>
    <w:rsid w:val="00410A5A"/>
    <w:rsid w:val="004165AE"/>
    <w:rsid w:val="00421C08"/>
    <w:rsid w:val="00424D77"/>
    <w:rsid w:val="00430203"/>
    <w:rsid w:val="00440853"/>
    <w:rsid w:val="00442E1C"/>
    <w:rsid w:val="00442EEE"/>
    <w:rsid w:val="0044759D"/>
    <w:rsid w:val="004478A6"/>
    <w:rsid w:val="00451567"/>
    <w:rsid w:val="00456E35"/>
    <w:rsid w:val="0046182A"/>
    <w:rsid w:val="00466B29"/>
    <w:rsid w:val="00470E37"/>
    <w:rsid w:val="0048320E"/>
    <w:rsid w:val="00483267"/>
    <w:rsid w:val="00485023"/>
    <w:rsid w:val="00491EEC"/>
    <w:rsid w:val="00497CF6"/>
    <w:rsid w:val="004A6F8F"/>
    <w:rsid w:val="004C4A3B"/>
    <w:rsid w:val="004C6BEB"/>
    <w:rsid w:val="004D0CA1"/>
    <w:rsid w:val="004E1BDD"/>
    <w:rsid w:val="004F4B03"/>
    <w:rsid w:val="004F6B53"/>
    <w:rsid w:val="004F7197"/>
    <w:rsid w:val="00504BBE"/>
    <w:rsid w:val="00511698"/>
    <w:rsid w:val="00516EA1"/>
    <w:rsid w:val="00521AEE"/>
    <w:rsid w:val="00524C56"/>
    <w:rsid w:val="00537793"/>
    <w:rsid w:val="0055391B"/>
    <w:rsid w:val="0056050A"/>
    <w:rsid w:val="00562C61"/>
    <w:rsid w:val="0056495E"/>
    <w:rsid w:val="005653FC"/>
    <w:rsid w:val="005660EB"/>
    <w:rsid w:val="00580CF4"/>
    <w:rsid w:val="00582687"/>
    <w:rsid w:val="00582B81"/>
    <w:rsid w:val="00583C9A"/>
    <w:rsid w:val="00585839"/>
    <w:rsid w:val="0058749E"/>
    <w:rsid w:val="00590B00"/>
    <w:rsid w:val="00596E39"/>
    <w:rsid w:val="005A102D"/>
    <w:rsid w:val="005A17FA"/>
    <w:rsid w:val="005A1AC2"/>
    <w:rsid w:val="005A33C6"/>
    <w:rsid w:val="005A35D1"/>
    <w:rsid w:val="005A4C33"/>
    <w:rsid w:val="005A5BF5"/>
    <w:rsid w:val="005B25F9"/>
    <w:rsid w:val="005B5D7B"/>
    <w:rsid w:val="005C2102"/>
    <w:rsid w:val="005C6669"/>
    <w:rsid w:val="005C6AC8"/>
    <w:rsid w:val="005D116F"/>
    <w:rsid w:val="005D6EA2"/>
    <w:rsid w:val="005D7D92"/>
    <w:rsid w:val="005E4F20"/>
    <w:rsid w:val="005F5BF0"/>
    <w:rsid w:val="00600EB2"/>
    <w:rsid w:val="00602EC3"/>
    <w:rsid w:val="00606EEB"/>
    <w:rsid w:val="00615AD3"/>
    <w:rsid w:val="00623673"/>
    <w:rsid w:val="00624B13"/>
    <w:rsid w:val="00631616"/>
    <w:rsid w:val="00636AF0"/>
    <w:rsid w:val="00644FDA"/>
    <w:rsid w:val="00650521"/>
    <w:rsid w:val="00660192"/>
    <w:rsid w:val="006619B5"/>
    <w:rsid w:val="00663AA8"/>
    <w:rsid w:val="0066639E"/>
    <w:rsid w:val="006667DA"/>
    <w:rsid w:val="00667CE6"/>
    <w:rsid w:val="00674D96"/>
    <w:rsid w:val="00675682"/>
    <w:rsid w:val="00676EA4"/>
    <w:rsid w:val="006842F1"/>
    <w:rsid w:val="00685065"/>
    <w:rsid w:val="006850C3"/>
    <w:rsid w:val="0068751A"/>
    <w:rsid w:val="00692C0D"/>
    <w:rsid w:val="00695587"/>
    <w:rsid w:val="006A074F"/>
    <w:rsid w:val="006A1C6A"/>
    <w:rsid w:val="006A2A74"/>
    <w:rsid w:val="006C65D4"/>
    <w:rsid w:val="006D5ECA"/>
    <w:rsid w:val="00704A9F"/>
    <w:rsid w:val="00715181"/>
    <w:rsid w:val="007245D0"/>
    <w:rsid w:val="007271BB"/>
    <w:rsid w:val="00741901"/>
    <w:rsid w:val="00752DDA"/>
    <w:rsid w:val="007533FB"/>
    <w:rsid w:val="00754C0D"/>
    <w:rsid w:val="00756D59"/>
    <w:rsid w:val="00764132"/>
    <w:rsid w:val="0078078E"/>
    <w:rsid w:val="00787DAD"/>
    <w:rsid w:val="00791859"/>
    <w:rsid w:val="007926C3"/>
    <w:rsid w:val="007A25C3"/>
    <w:rsid w:val="007A2C39"/>
    <w:rsid w:val="007A4C68"/>
    <w:rsid w:val="007B1E1D"/>
    <w:rsid w:val="007B42FC"/>
    <w:rsid w:val="007B6ADF"/>
    <w:rsid w:val="007C0707"/>
    <w:rsid w:val="007C1B41"/>
    <w:rsid w:val="007D1C4B"/>
    <w:rsid w:val="007D3ADD"/>
    <w:rsid w:val="007D6B63"/>
    <w:rsid w:val="007E265F"/>
    <w:rsid w:val="007E3379"/>
    <w:rsid w:val="007F4CBB"/>
    <w:rsid w:val="00800FFC"/>
    <w:rsid w:val="00801F37"/>
    <w:rsid w:val="0081154E"/>
    <w:rsid w:val="0081250C"/>
    <w:rsid w:val="00813A17"/>
    <w:rsid w:val="00833A5D"/>
    <w:rsid w:val="00833CF3"/>
    <w:rsid w:val="0083564A"/>
    <w:rsid w:val="00841A50"/>
    <w:rsid w:val="008465E8"/>
    <w:rsid w:val="0085146C"/>
    <w:rsid w:val="00854C9B"/>
    <w:rsid w:val="00860D8B"/>
    <w:rsid w:val="008613FF"/>
    <w:rsid w:val="00870A41"/>
    <w:rsid w:val="00870A84"/>
    <w:rsid w:val="008717B5"/>
    <w:rsid w:val="00873FAA"/>
    <w:rsid w:val="00875464"/>
    <w:rsid w:val="00881BB1"/>
    <w:rsid w:val="00882F90"/>
    <w:rsid w:val="008935DD"/>
    <w:rsid w:val="008A3108"/>
    <w:rsid w:val="008B2BA3"/>
    <w:rsid w:val="008B30A7"/>
    <w:rsid w:val="008B7A09"/>
    <w:rsid w:val="008C171C"/>
    <w:rsid w:val="008C1741"/>
    <w:rsid w:val="008C6B38"/>
    <w:rsid w:val="008D0ADC"/>
    <w:rsid w:val="008D41EF"/>
    <w:rsid w:val="008D6BD4"/>
    <w:rsid w:val="008E2A9A"/>
    <w:rsid w:val="008E5890"/>
    <w:rsid w:val="008F64C5"/>
    <w:rsid w:val="00901910"/>
    <w:rsid w:val="009043A2"/>
    <w:rsid w:val="0090711D"/>
    <w:rsid w:val="009176A7"/>
    <w:rsid w:val="00921239"/>
    <w:rsid w:val="009221DF"/>
    <w:rsid w:val="009256DD"/>
    <w:rsid w:val="0092780C"/>
    <w:rsid w:val="0094427E"/>
    <w:rsid w:val="00954F8A"/>
    <w:rsid w:val="0096682B"/>
    <w:rsid w:val="00970159"/>
    <w:rsid w:val="0097232A"/>
    <w:rsid w:val="00981C67"/>
    <w:rsid w:val="009932D6"/>
    <w:rsid w:val="009966ED"/>
    <w:rsid w:val="00997783"/>
    <w:rsid w:val="009A12E5"/>
    <w:rsid w:val="009A1BB6"/>
    <w:rsid w:val="009A7797"/>
    <w:rsid w:val="009B509B"/>
    <w:rsid w:val="009C1556"/>
    <w:rsid w:val="009C1F05"/>
    <w:rsid w:val="009C1FB7"/>
    <w:rsid w:val="009C793B"/>
    <w:rsid w:val="009D225F"/>
    <w:rsid w:val="009E2C35"/>
    <w:rsid w:val="009E53C2"/>
    <w:rsid w:val="009F3DFF"/>
    <w:rsid w:val="009F5025"/>
    <w:rsid w:val="009F51DE"/>
    <w:rsid w:val="009F6348"/>
    <w:rsid w:val="00A00196"/>
    <w:rsid w:val="00A00F28"/>
    <w:rsid w:val="00A03AE6"/>
    <w:rsid w:val="00A0637F"/>
    <w:rsid w:val="00A155E8"/>
    <w:rsid w:val="00A1759E"/>
    <w:rsid w:val="00A17AC9"/>
    <w:rsid w:val="00A22245"/>
    <w:rsid w:val="00A425F2"/>
    <w:rsid w:val="00A504F1"/>
    <w:rsid w:val="00A5728A"/>
    <w:rsid w:val="00A60938"/>
    <w:rsid w:val="00A631E6"/>
    <w:rsid w:val="00A67336"/>
    <w:rsid w:val="00A67A0F"/>
    <w:rsid w:val="00A732FD"/>
    <w:rsid w:val="00A80274"/>
    <w:rsid w:val="00A813A5"/>
    <w:rsid w:val="00A81FC2"/>
    <w:rsid w:val="00A842C6"/>
    <w:rsid w:val="00A90E31"/>
    <w:rsid w:val="00A93DBD"/>
    <w:rsid w:val="00A947DA"/>
    <w:rsid w:val="00A96DC5"/>
    <w:rsid w:val="00AA5C42"/>
    <w:rsid w:val="00AB64E5"/>
    <w:rsid w:val="00AC0BC1"/>
    <w:rsid w:val="00AC11EF"/>
    <w:rsid w:val="00AC407C"/>
    <w:rsid w:val="00AE3C45"/>
    <w:rsid w:val="00AE3E67"/>
    <w:rsid w:val="00AE4699"/>
    <w:rsid w:val="00AE571C"/>
    <w:rsid w:val="00AF0D0F"/>
    <w:rsid w:val="00AF0D56"/>
    <w:rsid w:val="00AF110A"/>
    <w:rsid w:val="00AF4724"/>
    <w:rsid w:val="00B03B26"/>
    <w:rsid w:val="00B12787"/>
    <w:rsid w:val="00B1658E"/>
    <w:rsid w:val="00B1775D"/>
    <w:rsid w:val="00B217A4"/>
    <w:rsid w:val="00B24162"/>
    <w:rsid w:val="00B27238"/>
    <w:rsid w:val="00B30427"/>
    <w:rsid w:val="00B331F8"/>
    <w:rsid w:val="00B37783"/>
    <w:rsid w:val="00B47420"/>
    <w:rsid w:val="00B624A5"/>
    <w:rsid w:val="00B631CB"/>
    <w:rsid w:val="00B7569C"/>
    <w:rsid w:val="00B76E92"/>
    <w:rsid w:val="00B8030F"/>
    <w:rsid w:val="00B8173D"/>
    <w:rsid w:val="00B84580"/>
    <w:rsid w:val="00B848A5"/>
    <w:rsid w:val="00B941B7"/>
    <w:rsid w:val="00B97EE7"/>
    <w:rsid w:val="00BA0405"/>
    <w:rsid w:val="00BA247E"/>
    <w:rsid w:val="00BB2369"/>
    <w:rsid w:val="00BB4937"/>
    <w:rsid w:val="00BB4C42"/>
    <w:rsid w:val="00BB622A"/>
    <w:rsid w:val="00BC6AA6"/>
    <w:rsid w:val="00BD1549"/>
    <w:rsid w:val="00BD283F"/>
    <w:rsid w:val="00BD2CB9"/>
    <w:rsid w:val="00BD7DB2"/>
    <w:rsid w:val="00BE35D7"/>
    <w:rsid w:val="00BF0983"/>
    <w:rsid w:val="00BF1908"/>
    <w:rsid w:val="00BF2BD6"/>
    <w:rsid w:val="00BF6FE4"/>
    <w:rsid w:val="00C12642"/>
    <w:rsid w:val="00C141C0"/>
    <w:rsid w:val="00C17477"/>
    <w:rsid w:val="00C20256"/>
    <w:rsid w:val="00C24297"/>
    <w:rsid w:val="00C26D23"/>
    <w:rsid w:val="00C307C1"/>
    <w:rsid w:val="00C33D5D"/>
    <w:rsid w:val="00C33FC3"/>
    <w:rsid w:val="00C34B54"/>
    <w:rsid w:val="00C40DC5"/>
    <w:rsid w:val="00C42506"/>
    <w:rsid w:val="00C467F3"/>
    <w:rsid w:val="00C50525"/>
    <w:rsid w:val="00C561F5"/>
    <w:rsid w:val="00C5655B"/>
    <w:rsid w:val="00C56A11"/>
    <w:rsid w:val="00C6054E"/>
    <w:rsid w:val="00C63DC7"/>
    <w:rsid w:val="00C64867"/>
    <w:rsid w:val="00C65C00"/>
    <w:rsid w:val="00C662CA"/>
    <w:rsid w:val="00C678D2"/>
    <w:rsid w:val="00C73E14"/>
    <w:rsid w:val="00C808A4"/>
    <w:rsid w:val="00C813FB"/>
    <w:rsid w:val="00C90EF2"/>
    <w:rsid w:val="00C94125"/>
    <w:rsid w:val="00C95531"/>
    <w:rsid w:val="00CA371C"/>
    <w:rsid w:val="00CA75D2"/>
    <w:rsid w:val="00CB25C0"/>
    <w:rsid w:val="00CB6CC9"/>
    <w:rsid w:val="00CB7433"/>
    <w:rsid w:val="00CC15BF"/>
    <w:rsid w:val="00CC29FF"/>
    <w:rsid w:val="00CC2DEE"/>
    <w:rsid w:val="00CC346E"/>
    <w:rsid w:val="00CC5E8B"/>
    <w:rsid w:val="00CD5B62"/>
    <w:rsid w:val="00CD5EC8"/>
    <w:rsid w:val="00CD6B40"/>
    <w:rsid w:val="00CE2804"/>
    <w:rsid w:val="00CF11EB"/>
    <w:rsid w:val="00CF1B2D"/>
    <w:rsid w:val="00D00EE2"/>
    <w:rsid w:val="00D0190B"/>
    <w:rsid w:val="00D128FA"/>
    <w:rsid w:val="00D155AE"/>
    <w:rsid w:val="00D16653"/>
    <w:rsid w:val="00D16D45"/>
    <w:rsid w:val="00D207FB"/>
    <w:rsid w:val="00D21305"/>
    <w:rsid w:val="00D22797"/>
    <w:rsid w:val="00D23504"/>
    <w:rsid w:val="00D26BC7"/>
    <w:rsid w:val="00D432F8"/>
    <w:rsid w:val="00D43BC5"/>
    <w:rsid w:val="00D508C4"/>
    <w:rsid w:val="00D6136A"/>
    <w:rsid w:val="00D651E5"/>
    <w:rsid w:val="00D65D29"/>
    <w:rsid w:val="00D703FE"/>
    <w:rsid w:val="00D70C1B"/>
    <w:rsid w:val="00D71FB3"/>
    <w:rsid w:val="00D8119B"/>
    <w:rsid w:val="00D84979"/>
    <w:rsid w:val="00D867F6"/>
    <w:rsid w:val="00D87F8F"/>
    <w:rsid w:val="00D95A23"/>
    <w:rsid w:val="00DA0256"/>
    <w:rsid w:val="00DC4C93"/>
    <w:rsid w:val="00DC60AC"/>
    <w:rsid w:val="00DC7AC7"/>
    <w:rsid w:val="00DD24F4"/>
    <w:rsid w:val="00DD3BA2"/>
    <w:rsid w:val="00DE15EA"/>
    <w:rsid w:val="00DE4293"/>
    <w:rsid w:val="00DE60CA"/>
    <w:rsid w:val="00DE78EA"/>
    <w:rsid w:val="00DF24F1"/>
    <w:rsid w:val="00DF5CC0"/>
    <w:rsid w:val="00E0046E"/>
    <w:rsid w:val="00E06908"/>
    <w:rsid w:val="00E12732"/>
    <w:rsid w:val="00E1654A"/>
    <w:rsid w:val="00E22874"/>
    <w:rsid w:val="00E26736"/>
    <w:rsid w:val="00E30BFB"/>
    <w:rsid w:val="00E40A8A"/>
    <w:rsid w:val="00E41820"/>
    <w:rsid w:val="00E437E5"/>
    <w:rsid w:val="00E50BC8"/>
    <w:rsid w:val="00E523BB"/>
    <w:rsid w:val="00E61A4B"/>
    <w:rsid w:val="00E625E8"/>
    <w:rsid w:val="00E6378A"/>
    <w:rsid w:val="00E72517"/>
    <w:rsid w:val="00E827C0"/>
    <w:rsid w:val="00E854D5"/>
    <w:rsid w:val="00E85C99"/>
    <w:rsid w:val="00E92F60"/>
    <w:rsid w:val="00E941A8"/>
    <w:rsid w:val="00EC1368"/>
    <w:rsid w:val="00EC1F9B"/>
    <w:rsid w:val="00EC20E4"/>
    <w:rsid w:val="00EC2297"/>
    <w:rsid w:val="00ED002C"/>
    <w:rsid w:val="00ED5FFF"/>
    <w:rsid w:val="00ED6467"/>
    <w:rsid w:val="00ED6C0E"/>
    <w:rsid w:val="00EF459E"/>
    <w:rsid w:val="00EF6C2E"/>
    <w:rsid w:val="00F041A7"/>
    <w:rsid w:val="00F109AC"/>
    <w:rsid w:val="00F117D5"/>
    <w:rsid w:val="00F14058"/>
    <w:rsid w:val="00F266F4"/>
    <w:rsid w:val="00F42EA6"/>
    <w:rsid w:val="00F44AF0"/>
    <w:rsid w:val="00F47B9A"/>
    <w:rsid w:val="00F512F9"/>
    <w:rsid w:val="00F531E5"/>
    <w:rsid w:val="00F61D45"/>
    <w:rsid w:val="00F6385A"/>
    <w:rsid w:val="00F70285"/>
    <w:rsid w:val="00FA6540"/>
    <w:rsid w:val="00FC0B47"/>
    <w:rsid w:val="00FC164E"/>
    <w:rsid w:val="00FD194A"/>
    <w:rsid w:val="00FD26E1"/>
    <w:rsid w:val="00FD42DC"/>
    <w:rsid w:val="00FD4B92"/>
    <w:rsid w:val="00FE1690"/>
    <w:rsid w:val="00FE42A2"/>
    <w:rsid w:val="00FE57DA"/>
    <w:rsid w:val="00FE592E"/>
  </w:rsids>
  <m:mathPr>
    <m:mathFont m:val="Cambria Math"/>
    <m:brkBin m:val="before"/>
    <m:brkBinSub m:val="--"/>
    <m:smallFrac/>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7F83A"/>
  <w15:docId w15:val="{96F9BABF-8070-43BE-8B3D-4D1A9444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uiPriority w:val="34"/>
    <w:qFormat/>
    <w:pPr>
      <w:ind w:left="720"/>
      <w:contextualSpacing/>
    </w:pPr>
    <w:rPr>
      <w:rFonts w:ascii="Cambria" w:eastAsia="MS Mincho" w:hAnsi="Cambria"/>
    </w:rPr>
  </w:style>
  <w:style w:type="table" w:styleId="TableGrid">
    <w:name w:val="Table Grid"/>
    <w:basedOn w:val="TableNormal"/>
    <w:uiPriority w:val="39"/>
    <w:rsid w:val="00082C01"/>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51567"/>
    <w:pPr>
      <w:spacing w:before="100" w:beforeAutospacing="1" w:after="100" w:afterAutospacing="1" w:line="240" w:lineRule="auto"/>
    </w:pPr>
    <w:rPr>
      <w:rFonts w:ascii="Times New Roman" w:eastAsia="Times New Roman" w:hAnsi="Times New Roman" w:cs="Times New Roman" w:hint="eastAsia"/>
      <w:sz w:val="24"/>
      <w:szCs w:val="24"/>
      <w:lang w:eastAsia="en-GB"/>
    </w:rPr>
  </w:style>
  <w:style w:type="character" w:styleId="Hyperlink">
    <w:name w:val="Hyperlink"/>
    <w:basedOn w:val="DefaultParagraphFont"/>
    <w:uiPriority w:val="99"/>
    <w:unhideWhenUsed/>
    <w:rsid w:val="00BA0405"/>
    <w:rPr>
      <w:color w:val="0000FF" w:themeColor="hyperlink"/>
      <w:u w:val="single"/>
    </w:rPr>
  </w:style>
  <w:style w:type="character" w:styleId="UnresolvedMention">
    <w:name w:val="Unresolved Mention"/>
    <w:basedOn w:val="DefaultParagraphFont"/>
    <w:uiPriority w:val="99"/>
    <w:semiHidden/>
    <w:unhideWhenUsed/>
    <w:rsid w:val="00BA0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hyperlink" Target="https://doi.org/10.1038/s41420-024-02278-8?utm_source=chatgpt.com" TargetMode="External"/><Relationship Id="rId21" Type="http://schemas.openxmlformats.org/officeDocument/2006/relationships/image" Target="media/image8.emf"/><Relationship Id="rId34" Type="http://schemas.openxmlformats.org/officeDocument/2006/relationships/hyperlink" Target="https://doi.org/10.3390/stresses2030019?utm_source=chatgpt.com" TargetMode="External"/><Relationship Id="rId42" Type="http://schemas.openxmlformats.org/officeDocument/2006/relationships/hyperlink" Target="https://doi.org/10.3390/ijms25063264?utm_source=chatgpt.com" TargetMode="External"/><Relationship Id="rId47" Type="http://schemas.openxmlformats.org/officeDocument/2006/relationships/hyperlink" Target="https://doi.org/10.1186/s11671-025-04248-0?utm_source=chatgpt.com"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emf"/><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hyperlink" Target="https://doi.org/10.3322/caac.21834?utm_source=chatgpt.com" TargetMode="External"/><Relationship Id="rId40" Type="http://schemas.openxmlformats.org/officeDocument/2006/relationships/hyperlink" Target="https://doi.org/10.1038/s41581-024-00820-6?utm_source=chatgpt.com" TargetMode="External"/><Relationship Id="rId45" Type="http://schemas.openxmlformats.org/officeDocument/2006/relationships/hyperlink" Target="https://doi.org/10.1111/jpn.13919?utm_source=chatgpt.com" TargetMode="External"/><Relationship Id="rId53" Type="http://schemas.openxmlformats.org/officeDocument/2006/relationships/footer" Target="footer2.xml"/><Relationship Id="rId5" Type="http://schemas.openxmlformats.org/officeDocument/2006/relationships/footnotes" Target="footnotes.xml"/><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oleObject" Target="embeddings/oleObject12.bin"/><Relationship Id="rId35" Type="http://schemas.openxmlformats.org/officeDocument/2006/relationships/hyperlink" Target="https://doi.org/10.3390/biom14060697?utm_source=chatgpt.com" TargetMode="External"/><Relationship Id="rId43" Type="http://schemas.openxmlformats.org/officeDocument/2006/relationships/hyperlink" Target="https://doi.org/10.1080/10942912.2022.2157425?utm_source=chatgpt.com" TargetMode="External"/><Relationship Id="rId48" Type="http://schemas.openxmlformats.org/officeDocument/2006/relationships/hyperlink" Target="https://doi.org/10.3390/molecules28031447?utm_source=chatgpt.com" TargetMode="External"/><Relationship Id="rId56"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hyperlink" Target="https://doi.org/10.3389/fphar.2023.1269581?utm_source=chatgpt.com" TargetMode="External"/><Relationship Id="rId38" Type="http://schemas.openxmlformats.org/officeDocument/2006/relationships/hyperlink" Target="https://doi.org/10.1007/s41207-026-01136-6?utm_source=chatgpt.com" TargetMode="External"/><Relationship Id="rId46" Type="http://schemas.openxmlformats.org/officeDocument/2006/relationships/hyperlink" Target="https://doi.org/10.1111/jpi.12704?utm_source=chatgpt.com" TargetMode="External"/><Relationship Id="rId20" Type="http://schemas.openxmlformats.org/officeDocument/2006/relationships/oleObject" Target="embeddings/oleObject7.bin"/><Relationship Id="rId41" Type="http://schemas.openxmlformats.org/officeDocument/2006/relationships/hyperlink" Target="https://doi.org/10.1007/s00204-024-03696-4?utm_source=chatgpt.com" TargetMode="External"/><Relationship Id="rId54"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36" Type="http://schemas.openxmlformats.org/officeDocument/2006/relationships/hyperlink" Target="https://doi.org/10.1155/2018/3957262?utm_source=chatgpt.com" TargetMode="External"/><Relationship Id="rId49" Type="http://schemas.openxmlformats.org/officeDocument/2006/relationships/hyperlink" Target="https://doi.org/10.3390/antiox10020296?utm_source=chatgpt.com" TargetMode="External"/><Relationship Id="rId57" Type="http://schemas.openxmlformats.org/officeDocument/2006/relationships/theme" Target="theme/theme1.xml"/><Relationship Id="rId10" Type="http://schemas.openxmlformats.org/officeDocument/2006/relationships/oleObject" Target="embeddings/oleObject2.bin"/><Relationship Id="rId31" Type="http://schemas.openxmlformats.org/officeDocument/2006/relationships/image" Target="media/image13.emf"/><Relationship Id="rId44" Type="http://schemas.openxmlformats.org/officeDocument/2006/relationships/hyperlink" Target="https://doi.org/10.3390/molecules30153311?utm_source=chatgpt.com"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3064</TotalTime>
  <Pages>25</Pages>
  <Words>8138</Words>
  <Characters>46387</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CPU 1117</cp:lastModifiedBy>
  <cp:revision>174</cp:revision>
  <cp:lastPrinted>2026-03-02T12:20:00Z</cp:lastPrinted>
  <dcterms:created xsi:type="dcterms:W3CDTF">2026-07-31T09:08:00Z</dcterms:created>
  <dcterms:modified xsi:type="dcterms:W3CDTF">2026-09-23T05:12:00Z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95c1e75b60814ab981699a528e944282</vt:lpwstr>
  </property>
</Properties>
</file>