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038E7" w14:textId="77777777" w:rsidR="00521EEF" w:rsidRDefault="00850F92" w:rsidP="00D54015">
      <w:pPr>
        <w:pStyle w:val="NormalWeb"/>
        <w:rPr>
          <w:b/>
        </w:rPr>
      </w:pPr>
      <w:r w:rsidRPr="00D54015">
        <w:rPr>
          <w:b/>
        </w:rPr>
        <w:t xml:space="preserve">Changes in Ovarian Stroma and Serum Reproductive Hormones in Rat Model of </w:t>
      </w:r>
      <w:r w:rsidR="00521EEF" w:rsidRPr="00D54015">
        <w:rPr>
          <w:b/>
        </w:rPr>
        <w:t>Polycystic Ovarian Syndrome</w:t>
      </w:r>
      <w:r w:rsidRPr="00D54015">
        <w:rPr>
          <w:b/>
        </w:rPr>
        <w:t xml:space="preserve"> </w:t>
      </w:r>
      <w:r w:rsidR="00AD0B0D" w:rsidRPr="00D54015">
        <w:rPr>
          <w:b/>
        </w:rPr>
        <w:t xml:space="preserve">following </w:t>
      </w:r>
      <w:r w:rsidRPr="00D54015">
        <w:rPr>
          <w:b/>
        </w:rPr>
        <w:t>Benzo</w:t>
      </w:r>
      <w:r w:rsidR="0004720D" w:rsidRPr="00D54015">
        <w:rPr>
          <w:b/>
        </w:rPr>
        <w:t>[</w:t>
      </w:r>
      <w:r w:rsidRPr="00D54015">
        <w:rPr>
          <w:b/>
        </w:rPr>
        <w:t>a</w:t>
      </w:r>
      <w:r w:rsidR="0004720D" w:rsidRPr="00D54015">
        <w:rPr>
          <w:b/>
        </w:rPr>
        <w:t>]</w:t>
      </w:r>
      <w:r w:rsidRPr="00D54015">
        <w:rPr>
          <w:b/>
        </w:rPr>
        <w:t xml:space="preserve">pyrene </w:t>
      </w:r>
      <w:r w:rsidR="00AD0B0D" w:rsidRPr="00D54015">
        <w:rPr>
          <w:b/>
        </w:rPr>
        <w:t>Toxicity</w:t>
      </w:r>
    </w:p>
    <w:p w14:paraId="0683E44B" w14:textId="77777777" w:rsidR="00401ED8" w:rsidRPr="00D54015" w:rsidRDefault="00401ED8" w:rsidP="00D54015">
      <w:pPr>
        <w:pStyle w:val="NormalWeb"/>
        <w:rPr>
          <w:b/>
        </w:rPr>
      </w:pPr>
    </w:p>
    <w:p w14:paraId="0CD9B3B7" w14:textId="77777777" w:rsidR="002A75D9" w:rsidRDefault="002A75D9" w:rsidP="00FF4031">
      <w:pPr>
        <w:pStyle w:val="Heading1"/>
        <w:jc w:val="both"/>
        <w:rPr>
          <w:color w:val="000000"/>
        </w:rPr>
      </w:pPr>
      <w:bookmarkStart w:id="0" w:name="_Toc231893418"/>
    </w:p>
    <w:p w14:paraId="16D03C3D" w14:textId="77777777" w:rsidR="00FF4031" w:rsidRPr="00226C54" w:rsidRDefault="00FF4031" w:rsidP="00FF4031">
      <w:pPr>
        <w:pStyle w:val="Heading1"/>
        <w:jc w:val="both"/>
      </w:pPr>
      <w:r w:rsidRPr="00226C54">
        <w:rPr>
          <w:color w:val="000000"/>
        </w:rPr>
        <w:t>ABSTRACT</w:t>
      </w:r>
    </w:p>
    <w:p w14:paraId="4DA3B1F2" w14:textId="77777777" w:rsidR="00FF4031" w:rsidRPr="00226C54" w:rsidRDefault="00FF4031" w:rsidP="00FF4031">
      <w:r>
        <w:t xml:space="preserve">Polycystic ovarian syndrome (PCOS) is a multisystem endocrine disorder </w:t>
      </w:r>
      <w:proofErr w:type="spellStart"/>
      <w:r>
        <w:t>characteri</w:t>
      </w:r>
      <w:r>
        <w:rPr>
          <w:highlight w:val="yellow"/>
        </w:rPr>
        <w:t>s</w:t>
      </w:r>
      <w:r>
        <w:t>ed</w:t>
      </w:r>
      <w:proofErr w:type="spellEnd"/>
      <w:r>
        <w:t xml:space="preserve"> by hyperandrogenism, ovulatory dysfunction, and abnormalities in ovarian cytoarchitecture. Pathological extracellular matrix (ECM) </w:t>
      </w:r>
      <w:proofErr w:type="spellStart"/>
      <w:r>
        <w:t>remodel</w:t>
      </w:r>
      <w:r>
        <w:rPr>
          <w:highlight w:val="yellow"/>
        </w:rPr>
        <w:t>l</w:t>
      </w:r>
      <w:r>
        <w:t>ing</w:t>
      </w:r>
      <w:proofErr w:type="spellEnd"/>
      <w:r>
        <w:t xml:space="preserve"> and stromal fibrosis </w:t>
      </w:r>
      <w:r>
        <w:rPr>
          <w:highlight w:val="yellow"/>
        </w:rPr>
        <w:t>cont</w:t>
      </w:r>
      <w:r>
        <w:t>r</w:t>
      </w:r>
      <w:r>
        <w:rPr>
          <w:highlight w:val="yellow"/>
        </w:rPr>
        <w:t>ibut</w:t>
      </w:r>
      <w:r>
        <w:t xml:space="preserve">e </w:t>
      </w:r>
      <w:r>
        <w:rPr>
          <w:highlight w:val="yellow"/>
        </w:rPr>
        <w:t>t</w:t>
      </w:r>
      <w:r>
        <w:t>o follic</w:t>
      </w:r>
      <w:r>
        <w:rPr>
          <w:highlight w:val="yellow"/>
        </w:rPr>
        <w:t>u</w:t>
      </w:r>
      <w:r>
        <w:t>l</w:t>
      </w:r>
      <w:r>
        <w:rPr>
          <w:highlight w:val="yellow"/>
        </w:rPr>
        <w:t>ar</w:t>
      </w:r>
      <w:r>
        <w:t xml:space="preserve"> arrest and </w:t>
      </w:r>
      <w:r>
        <w:rPr>
          <w:highlight w:val="yellow"/>
        </w:rPr>
        <w:t>incr</w:t>
      </w:r>
      <w:r>
        <w:t>ea</w:t>
      </w:r>
      <w:r>
        <w:rPr>
          <w:highlight w:val="yellow"/>
        </w:rPr>
        <w:t>sed</w:t>
      </w:r>
      <w:r>
        <w:t xml:space="preserve"> tissue rigidity. However, the role of the environmental xenobiotic benzo[a]pyrene (</w:t>
      </w:r>
      <w:proofErr w:type="spellStart"/>
      <w:r>
        <w:t>BaP</w:t>
      </w:r>
      <w:proofErr w:type="spellEnd"/>
      <w:r>
        <w:t xml:space="preserve">) in modulating stromal alterations and reproductive hormone profiles within a hyperandrogenic microenvironment remains largely undefined. This study investigated the interaction between testosterone-induced hyperandrogenism and low-dose </w:t>
      </w:r>
      <w:proofErr w:type="spellStart"/>
      <w:r>
        <w:t>BaP</w:t>
      </w:r>
      <w:proofErr w:type="spellEnd"/>
      <w:r>
        <w:t xml:space="preserve"> exposure </w:t>
      </w:r>
      <w:r>
        <w:rPr>
          <w:highlight w:val="yellow"/>
        </w:rPr>
        <w:t>in relati</w:t>
      </w:r>
      <w:r>
        <w:t>on</w:t>
      </w:r>
      <w:r>
        <w:rPr>
          <w:highlight w:val="yellow"/>
        </w:rPr>
        <w:t xml:space="preserve"> to</w:t>
      </w:r>
      <w:r>
        <w:t xml:space="preserve"> ovarian stromal </w:t>
      </w:r>
      <w:proofErr w:type="spellStart"/>
      <w:r>
        <w:t>remode</w:t>
      </w:r>
      <w:r>
        <w:rPr>
          <w:highlight w:val="yellow"/>
        </w:rPr>
        <w:t>l</w:t>
      </w:r>
      <w:r>
        <w:t>ling</w:t>
      </w:r>
      <w:proofErr w:type="spellEnd"/>
      <w:r>
        <w:t xml:space="preserve"> and gonadotropin profiles.</w:t>
      </w:r>
    </w:p>
    <w:p w14:paraId="1BEE7D30" w14:textId="77777777" w:rsidR="00FF4031" w:rsidRPr="00226C54" w:rsidRDefault="005344F4" w:rsidP="00FF4031">
      <w:r>
        <w:t xml:space="preserve">Fifteen prepubertal female Wistar rats (40–50 g) were randomly assigned to three experimental </w:t>
      </w:r>
      <w:r>
        <w:rPr>
          <w:highlight w:val="yellow"/>
        </w:rPr>
        <w:t>gr</w:t>
      </w:r>
      <w:r>
        <w:t>o</w:t>
      </w:r>
      <w:r>
        <w:rPr>
          <w:highlight w:val="yellow"/>
        </w:rPr>
        <w:t>up</w:t>
      </w:r>
      <w:r>
        <w:t xml:space="preserve">s: Control (subcutaneous corn oil), PCOS (10 mg/kg/day testosterone propionate), and </w:t>
      </w:r>
      <w:proofErr w:type="spellStart"/>
      <w:r>
        <w:t>PCOS+BaP</w:t>
      </w:r>
      <w:proofErr w:type="spellEnd"/>
      <w:r>
        <w:t xml:space="preserve"> (10 mg/kg/day testosterone propionate and 10 µg/kg/day </w:t>
      </w:r>
      <w:proofErr w:type="spellStart"/>
      <w:r>
        <w:t>BaP</w:t>
      </w:r>
      <w:proofErr w:type="spellEnd"/>
      <w:r>
        <w:t xml:space="preserve">) for 28 days. Serum concentrations of </w:t>
      </w:r>
      <w:proofErr w:type="spellStart"/>
      <w:r>
        <w:t>luteini</w:t>
      </w:r>
      <w:r>
        <w:rPr>
          <w:highlight w:val="yellow"/>
        </w:rPr>
        <w:t>s</w:t>
      </w:r>
      <w:r>
        <w:t>ing</w:t>
      </w:r>
      <w:proofErr w:type="spellEnd"/>
      <w:r>
        <w:t xml:space="preserve"> hormone (LH), follicle-stimulating hormone (FSH), and testosterone were quantified </w:t>
      </w:r>
      <w:r>
        <w:rPr>
          <w:highlight w:val="yellow"/>
        </w:rPr>
        <w:t>us</w:t>
      </w:r>
      <w:r>
        <w:t>i</w:t>
      </w:r>
      <w:r>
        <w:rPr>
          <w:highlight w:val="yellow"/>
        </w:rPr>
        <w:t>ng</w:t>
      </w:r>
      <w:r>
        <w:t xml:space="preserve"> enzyme-linked immunosorbent assays (ELISAs), and ovarian tissues were stained using the Gordon and Sweet technique for reticular </w:t>
      </w:r>
      <w:proofErr w:type="spellStart"/>
      <w:r>
        <w:t>fib</w:t>
      </w:r>
      <w:r>
        <w:rPr>
          <w:highlight w:val="yellow"/>
        </w:rPr>
        <w:t>r</w:t>
      </w:r>
      <w:r>
        <w:t>e</w:t>
      </w:r>
      <w:proofErr w:type="spellEnd"/>
      <w:r>
        <w:t xml:space="preserve"> </w:t>
      </w:r>
      <w:proofErr w:type="spellStart"/>
      <w:r>
        <w:t>visuali</w:t>
      </w:r>
      <w:r>
        <w:rPr>
          <w:highlight w:val="yellow"/>
        </w:rPr>
        <w:t>s</w:t>
      </w:r>
      <w:r>
        <w:t>ation</w:t>
      </w:r>
      <w:proofErr w:type="spellEnd"/>
      <w:r>
        <w:t>.</w:t>
      </w:r>
    </w:p>
    <w:p w14:paraId="27455FF9" w14:textId="77777777" w:rsidR="00FF4031" w:rsidRPr="00226C54" w:rsidRDefault="00FF4031" w:rsidP="00FF4031">
      <w:r>
        <w:t>Somatic growth</w:t>
      </w:r>
      <w:r>
        <w:rPr>
          <w:highlight w:val="yellow"/>
        </w:rPr>
        <w:t xml:space="preserve"> and</w:t>
      </w:r>
      <w:r>
        <w:t xml:space="preserve"> serum LH and FSH levels </w:t>
      </w:r>
      <w:r>
        <w:rPr>
          <w:highlight w:val="yellow"/>
        </w:rPr>
        <w:t>di</w:t>
      </w:r>
      <w:r>
        <w:t>d no</w:t>
      </w:r>
      <w:r>
        <w:rPr>
          <w:highlight w:val="yellow"/>
        </w:rPr>
        <w:t>t</w:t>
      </w:r>
      <w:r>
        <w:t xml:space="preserve"> </w:t>
      </w:r>
      <w:r>
        <w:rPr>
          <w:highlight w:val="yellow"/>
        </w:rPr>
        <w:t>d</w:t>
      </w:r>
      <w:r>
        <w:t>i</w:t>
      </w:r>
      <w:r>
        <w:rPr>
          <w:highlight w:val="yellow"/>
        </w:rPr>
        <w:t>ffer</w:t>
      </w:r>
      <w:r>
        <w:t xml:space="preserve"> significant</w:t>
      </w:r>
      <w:r>
        <w:rPr>
          <w:highlight w:val="yellow"/>
        </w:rPr>
        <w:t>ly</w:t>
      </w:r>
      <w:r>
        <w:t xml:space="preserve"> across groups (p</w:t>
      </w:r>
      <w:r>
        <w:rPr>
          <w:highlight w:val="yellow"/>
        </w:rPr>
        <w:t xml:space="preserve"> </w:t>
      </w:r>
      <w:r>
        <w:t>&gt;</w:t>
      </w:r>
      <w:r>
        <w:rPr>
          <w:highlight w:val="yellow"/>
        </w:rPr>
        <w:t xml:space="preserve"> </w:t>
      </w:r>
      <w:r>
        <w:t>0.05). Histopathological analysis</w:t>
      </w:r>
      <w:r>
        <w:rPr>
          <w:highlight w:val="yellow"/>
        </w:rPr>
        <w:t>,</w:t>
      </w:r>
      <w:r>
        <w:t xml:space="preserve"> </w:t>
      </w:r>
      <w:r>
        <w:rPr>
          <w:highlight w:val="yellow"/>
        </w:rPr>
        <w:t>how</w:t>
      </w:r>
      <w:r>
        <w:t>eve</w:t>
      </w:r>
      <w:r>
        <w:rPr>
          <w:highlight w:val="yellow"/>
        </w:rPr>
        <w:t>r, show</w:t>
      </w:r>
      <w:r>
        <w:t xml:space="preserve">ed that both the PCOS and </w:t>
      </w:r>
      <w:proofErr w:type="spellStart"/>
      <w:r>
        <w:t>PCOS+BaP</w:t>
      </w:r>
      <w:proofErr w:type="spellEnd"/>
      <w:r>
        <w:t xml:space="preserve"> groups exhibited multiple cystic follicles and follicular arrest. </w:t>
      </w:r>
      <w:r>
        <w:rPr>
          <w:highlight w:val="yellow"/>
        </w:rPr>
        <w:t>T</w:t>
      </w:r>
      <w:r>
        <w:t xml:space="preserve">he </w:t>
      </w:r>
      <w:proofErr w:type="spellStart"/>
      <w:r>
        <w:rPr>
          <w:highlight w:val="yellow"/>
        </w:rPr>
        <w:t>PCOS+</w:t>
      </w:r>
      <w:r>
        <w:t>BaP</w:t>
      </w:r>
      <w:proofErr w:type="spellEnd"/>
      <w:r>
        <w:t xml:space="preserve"> gro</w:t>
      </w:r>
      <w:r>
        <w:rPr>
          <w:highlight w:val="yellow"/>
        </w:rPr>
        <w:t>up h</w:t>
      </w:r>
      <w:r>
        <w:t xml:space="preserve">ad the highest percentage area of reticular </w:t>
      </w:r>
      <w:proofErr w:type="spellStart"/>
      <w:r>
        <w:t>fib</w:t>
      </w:r>
      <w:r>
        <w:rPr>
          <w:highlight w:val="yellow"/>
        </w:rPr>
        <w:t>r</w:t>
      </w:r>
      <w:r>
        <w:t>es</w:t>
      </w:r>
      <w:proofErr w:type="spellEnd"/>
      <w:r>
        <w:t xml:space="preserve"> within the theca externa (60.70% ± 10.31%), compared </w:t>
      </w:r>
      <w:r>
        <w:rPr>
          <w:highlight w:val="yellow"/>
        </w:rPr>
        <w:t>wi</w:t>
      </w:r>
      <w:r>
        <w:t>t</w:t>
      </w:r>
      <w:r>
        <w:rPr>
          <w:highlight w:val="yellow"/>
        </w:rPr>
        <w:t>h</w:t>
      </w:r>
      <w:r>
        <w:t xml:space="preserve"> the </w:t>
      </w:r>
      <w:r>
        <w:lastRenderedPageBreak/>
        <w:t>PCOS group (39.94% ± 3.63%) and the control group (32.84% ± 2.80%</w:t>
      </w:r>
      <w:r>
        <w:rPr>
          <w:highlight w:val="yellow"/>
        </w:rPr>
        <w:t>).</w:t>
      </w:r>
      <w:r>
        <w:t xml:space="preserve"> </w:t>
      </w:r>
      <w:r>
        <w:rPr>
          <w:highlight w:val="yellow"/>
        </w:rPr>
        <w:t xml:space="preserve">The </w:t>
      </w:r>
      <w:proofErr w:type="spellStart"/>
      <w:r>
        <w:rPr>
          <w:highlight w:val="yellow"/>
        </w:rPr>
        <w:t>PCOS+BaP</w:t>
      </w:r>
      <w:proofErr w:type="spellEnd"/>
      <w:r>
        <w:rPr>
          <w:highlight w:val="yellow"/>
        </w:rPr>
        <w:t xml:space="preserve"> grou</w:t>
      </w:r>
      <w:r>
        <w:t>p</w:t>
      </w:r>
      <w:r>
        <w:rPr>
          <w:highlight w:val="yellow"/>
        </w:rPr>
        <w:t xml:space="preserve"> differed significantly from the control group (p </w:t>
      </w:r>
      <w:r>
        <w:t>&lt;</w:t>
      </w:r>
      <w:r>
        <w:rPr>
          <w:highlight w:val="yellow"/>
        </w:rPr>
        <w:t xml:space="preserve"> </w:t>
      </w:r>
      <w:r>
        <w:t>0.05)</w:t>
      </w:r>
      <w:r>
        <w:rPr>
          <w:highlight w:val="yellow"/>
        </w:rPr>
        <w:t xml:space="preserve"> but not from the PCOS group</w:t>
      </w:r>
      <w:r>
        <w:t xml:space="preserve">. These microstructural alterations </w:t>
      </w:r>
      <w:r>
        <w:rPr>
          <w:highlight w:val="yellow"/>
        </w:rPr>
        <w:t>occu</w:t>
      </w:r>
      <w:r>
        <w:t xml:space="preserve">rred </w:t>
      </w:r>
      <w:r>
        <w:rPr>
          <w:highlight w:val="yellow"/>
        </w:rPr>
        <w:t xml:space="preserve">without significant between-group differences </w:t>
      </w:r>
      <w:r>
        <w:t>in se</w:t>
      </w:r>
      <w:r>
        <w:rPr>
          <w:highlight w:val="yellow"/>
        </w:rPr>
        <w:t>ru</w:t>
      </w:r>
      <w:r>
        <w:t xml:space="preserve">m LH </w:t>
      </w:r>
      <w:r>
        <w:rPr>
          <w:highlight w:val="yellow"/>
        </w:rPr>
        <w:t>or</w:t>
      </w:r>
      <w:r>
        <w:t xml:space="preserve"> </w:t>
      </w:r>
      <w:r>
        <w:rPr>
          <w:highlight w:val="yellow"/>
        </w:rPr>
        <w:t>FSH</w:t>
      </w:r>
      <w:r>
        <w:t xml:space="preserve"> at terminal sacrifice.</w:t>
      </w:r>
    </w:p>
    <w:p w14:paraId="2B7F9C84" w14:textId="77777777" w:rsidR="00FF4031" w:rsidRPr="00226C54" w:rsidRDefault="00FF4031" w:rsidP="00FF4031">
      <w:r>
        <w:t xml:space="preserve">These findings </w:t>
      </w:r>
      <w:r>
        <w:rPr>
          <w:highlight w:val="yellow"/>
        </w:rPr>
        <w:t>in</w:t>
      </w:r>
      <w:r>
        <w:t>d</w:t>
      </w:r>
      <w:r>
        <w:rPr>
          <w:highlight w:val="yellow"/>
        </w:rPr>
        <w:t>ic</w:t>
      </w:r>
      <w:r>
        <w:t xml:space="preserve">ate that </w:t>
      </w:r>
      <w:proofErr w:type="spellStart"/>
      <w:r>
        <w:t>BaP</w:t>
      </w:r>
      <w:proofErr w:type="spellEnd"/>
      <w:r>
        <w:t xml:space="preserve"> </w:t>
      </w:r>
      <w:r>
        <w:rPr>
          <w:highlight w:val="yellow"/>
        </w:rPr>
        <w:t>co-exposure w</w:t>
      </w:r>
      <w:r>
        <w:t>as as</w:t>
      </w:r>
      <w:r>
        <w:rPr>
          <w:highlight w:val="yellow"/>
        </w:rPr>
        <w:t>soci</w:t>
      </w:r>
      <w:r>
        <w:t>ate</w:t>
      </w:r>
      <w:r>
        <w:rPr>
          <w:highlight w:val="yellow"/>
        </w:rPr>
        <w:t>d wi</w:t>
      </w:r>
      <w:r>
        <w:t>t</w:t>
      </w:r>
      <w:r>
        <w:rPr>
          <w:highlight w:val="yellow"/>
        </w:rPr>
        <w:t>h</w:t>
      </w:r>
      <w:r>
        <w:t xml:space="preserve"> </w:t>
      </w:r>
      <w:r>
        <w:rPr>
          <w:highlight w:val="yellow"/>
        </w:rPr>
        <w:t>gr</w:t>
      </w:r>
      <w:r>
        <w:t>e</w:t>
      </w:r>
      <w:r>
        <w:rPr>
          <w:highlight w:val="yellow"/>
        </w:rPr>
        <w:t>at</w:t>
      </w:r>
      <w:r>
        <w:t>er ovarian stroma</w:t>
      </w:r>
      <w:r>
        <w:rPr>
          <w:highlight w:val="yellow"/>
        </w:rPr>
        <w:t>l</w:t>
      </w:r>
      <w:r>
        <w:t xml:space="preserve"> </w:t>
      </w:r>
      <w:r>
        <w:rPr>
          <w:highlight w:val="yellow"/>
        </w:rPr>
        <w:t>r</w:t>
      </w:r>
      <w:r>
        <w:t>eti</w:t>
      </w:r>
      <w:r>
        <w:rPr>
          <w:highlight w:val="yellow"/>
        </w:rPr>
        <w:t>cular</w:t>
      </w:r>
      <w:r>
        <w:t xml:space="preserve"> </w:t>
      </w:r>
      <w:proofErr w:type="spellStart"/>
      <w:r>
        <w:rPr>
          <w:highlight w:val="yellow"/>
        </w:rPr>
        <w:t>f</w:t>
      </w:r>
      <w:r>
        <w:t>i</w:t>
      </w:r>
      <w:r>
        <w:rPr>
          <w:highlight w:val="yellow"/>
        </w:rPr>
        <w:t>br</w:t>
      </w:r>
      <w:r>
        <w:t>e</w:t>
      </w:r>
      <w:proofErr w:type="spellEnd"/>
      <w:r>
        <w:t xml:space="preserve"> deposition and m</w:t>
      </w:r>
      <w:r>
        <w:rPr>
          <w:highlight w:val="yellow"/>
        </w:rPr>
        <w:t>o</w:t>
      </w:r>
      <w:r>
        <w:t>re</w:t>
      </w:r>
      <w:r>
        <w:rPr>
          <w:highlight w:val="yellow"/>
        </w:rPr>
        <w:t xml:space="preserve"> p</w:t>
      </w:r>
      <w:r>
        <w:t>ron</w:t>
      </w:r>
      <w:r>
        <w:rPr>
          <w:highlight w:val="yellow"/>
        </w:rPr>
        <w:t>ounc</w:t>
      </w:r>
      <w:r>
        <w:t>e</w:t>
      </w:r>
      <w:r>
        <w:rPr>
          <w:highlight w:val="yellow"/>
        </w:rPr>
        <w:t>d structural alteratio</w:t>
      </w:r>
      <w:r>
        <w:t>n</w:t>
      </w:r>
      <w:r>
        <w:rPr>
          <w:highlight w:val="yellow"/>
        </w:rPr>
        <w:t>s</w:t>
      </w:r>
      <w:r>
        <w:t xml:space="preserve"> in </w:t>
      </w:r>
      <w:r>
        <w:rPr>
          <w:highlight w:val="yellow"/>
        </w:rPr>
        <w:t>the te</w:t>
      </w:r>
      <w:r>
        <w:t>st</w:t>
      </w:r>
      <w:r>
        <w:rPr>
          <w:highlight w:val="yellow"/>
        </w:rPr>
        <w:t>osterone-</w:t>
      </w:r>
      <w:r>
        <w:t>i</w:t>
      </w:r>
      <w:r>
        <w:rPr>
          <w:highlight w:val="yellow"/>
        </w:rPr>
        <w:t>ndu</w:t>
      </w:r>
      <w:r>
        <w:t>c</w:t>
      </w:r>
      <w:r>
        <w:rPr>
          <w:highlight w:val="yellow"/>
        </w:rPr>
        <w:t>ed</w:t>
      </w:r>
      <w:r>
        <w:t xml:space="preserve"> </w:t>
      </w:r>
      <w:r>
        <w:rPr>
          <w:highlight w:val="yellow"/>
        </w:rPr>
        <w:t>PCOS m</w:t>
      </w:r>
      <w:r>
        <w:t>o</w:t>
      </w:r>
      <w:r>
        <w:rPr>
          <w:highlight w:val="yellow"/>
        </w:rPr>
        <w:t>d</w:t>
      </w:r>
      <w:r>
        <w:t>e</w:t>
      </w:r>
      <w:r>
        <w:rPr>
          <w:highlight w:val="yellow"/>
        </w:rPr>
        <w:t>l</w:t>
      </w:r>
      <w:r>
        <w:t>.</w:t>
      </w:r>
    </w:p>
    <w:p w14:paraId="59A42B40" w14:textId="77777777" w:rsidR="00FF4031" w:rsidRPr="00226C54" w:rsidRDefault="00FF4031" w:rsidP="00FF4031">
      <w:r w:rsidRPr="00ED4422">
        <w:rPr>
          <w:b/>
          <w:bCs/>
        </w:rPr>
        <w:t>Keywords</w:t>
      </w:r>
      <w:r>
        <w:t xml:space="preserve">: Polycystic ovarian syndrome, Benzo[a]pyrene, Ovarian stroma, Fibrosis, Reticular </w:t>
      </w:r>
      <w:proofErr w:type="spellStart"/>
      <w:r>
        <w:t>fib</w:t>
      </w:r>
      <w:r>
        <w:rPr>
          <w:highlight w:val="yellow"/>
        </w:rPr>
        <w:t>r</w:t>
      </w:r>
      <w:r>
        <w:t>es</w:t>
      </w:r>
      <w:proofErr w:type="spellEnd"/>
      <w:r>
        <w:t>, Endocrine disruption.</w:t>
      </w:r>
    </w:p>
    <w:p w14:paraId="0A1C120A" w14:textId="77777777" w:rsidR="00FF4031" w:rsidRDefault="00FF4031" w:rsidP="009F320B">
      <w:pPr>
        <w:pStyle w:val="Heading1"/>
        <w:jc w:val="left"/>
      </w:pPr>
    </w:p>
    <w:p w14:paraId="71ECD0AA" w14:textId="77777777" w:rsidR="00680815" w:rsidRPr="00AF4935" w:rsidRDefault="00A82369" w:rsidP="009F320B">
      <w:pPr>
        <w:pStyle w:val="Heading1"/>
        <w:jc w:val="left"/>
        <w:rPr>
          <w:bCs w:val="0"/>
        </w:rPr>
      </w:pPr>
      <w:r w:rsidRPr="00AF4935">
        <w:t>INTRODUCTION</w:t>
      </w:r>
      <w:bookmarkEnd w:id="0"/>
    </w:p>
    <w:p w14:paraId="250DEB17" w14:textId="77777777" w:rsidR="00FF4031" w:rsidRPr="00391E65" w:rsidRDefault="00FF4031" w:rsidP="00FF4031">
      <w:r>
        <w:t xml:space="preserve">Polycystic </w:t>
      </w:r>
      <w:r>
        <w:rPr>
          <w:highlight w:val="yellow"/>
        </w:rPr>
        <w:t>o</w:t>
      </w:r>
      <w:r>
        <w:t xml:space="preserve">varian </w:t>
      </w:r>
      <w:r>
        <w:rPr>
          <w:highlight w:val="yellow"/>
        </w:rPr>
        <w:t>s</w:t>
      </w:r>
      <w:r>
        <w:t xml:space="preserve">yndrome (PCOS) </w:t>
      </w:r>
      <w:r>
        <w:rPr>
          <w:highlight w:val="yellow"/>
        </w:rPr>
        <w:t>i</w:t>
      </w:r>
      <w:r>
        <w:t xml:space="preserve">s a </w:t>
      </w:r>
      <w:r>
        <w:rPr>
          <w:highlight w:val="yellow"/>
        </w:rPr>
        <w:t>co</w:t>
      </w:r>
      <w:r>
        <w:t>m</w:t>
      </w:r>
      <w:r>
        <w:rPr>
          <w:highlight w:val="yellow"/>
        </w:rPr>
        <w:t>mon</w:t>
      </w:r>
      <w:r>
        <w:t xml:space="preserve"> endocrine disorder affecting women of reproductive age worldwide</w:t>
      </w:r>
      <w:r>
        <w:rPr>
          <w:highlight w:val="yellow"/>
        </w:rPr>
        <w:t xml:space="preserve"> and is</w:t>
      </w:r>
      <w:r>
        <w:t xml:space="preserve"> </w:t>
      </w:r>
      <w:proofErr w:type="spellStart"/>
      <w:r>
        <w:t>characteri</w:t>
      </w:r>
      <w:r>
        <w:rPr>
          <w:highlight w:val="yellow"/>
        </w:rPr>
        <w:t>s</w:t>
      </w:r>
      <w:r>
        <w:t>ed</w:t>
      </w:r>
      <w:proofErr w:type="spellEnd"/>
      <w:r>
        <w:t xml:space="preserve"> by clinical or biochemical hyperandrogenism, ovulatory dysfunction, and polycystic ovarian morphology (Christ &amp; Cedars, 2023; McCartney &amp; Marshall, 2016). </w:t>
      </w:r>
      <w:r>
        <w:rPr>
          <w:highlight w:val="yellow"/>
        </w:rPr>
        <w:t>A c</w:t>
      </w:r>
      <w:r>
        <w:t>h</w:t>
      </w:r>
      <w:r>
        <w:rPr>
          <w:highlight w:val="yellow"/>
        </w:rPr>
        <w:t>aract</w:t>
      </w:r>
      <w:r>
        <w:t>e</w:t>
      </w:r>
      <w:r>
        <w:rPr>
          <w:highlight w:val="yellow"/>
        </w:rPr>
        <w:t>ris</w:t>
      </w:r>
      <w:r>
        <w:t xml:space="preserve">tic neuroendocrine </w:t>
      </w:r>
      <w:r>
        <w:rPr>
          <w:highlight w:val="yellow"/>
        </w:rPr>
        <w:t>fe</w:t>
      </w:r>
      <w:r>
        <w:t>a</w:t>
      </w:r>
      <w:r>
        <w:rPr>
          <w:highlight w:val="yellow"/>
        </w:rPr>
        <w:t>tu</w:t>
      </w:r>
      <w:r>
        <w:t>r</w:t>
      </w:r>
      <w:r>
        <w:rPr>
          <w:highlight w:val="yellow"/>
        </w:rPr>
        <w:t>e</w:t>
      </w:r>
      <w:r>
        <w:t xml:space="preserve"> of PCOS is an accelerated gonadotropin-</w:t>
      </w:r>
      <w:r w:rsidRPr="00391E65">
        <w:t xml:space="preserve">releasing hormone (GnRH) pulse generator, which selectively upregulates </w:t>
      </w:r>
      <w:proofErr w:type="spellStart"/>
      <w:r w:rsidRPr="00391E65">
        <w:t>luteini</w:t>
      </w:r>
      <w:r w:rsidRPr="00391E65">
        <w:rPr>
          <w:highlight w:val="yellow"/>
        </w:rPr>
        <w:t>s</w:t>
      </w:r>
      <w:r w:rsidRPr="00391E65">
        <w:t>ing</w:t>
      </w:r>
      <w:proofErr w:type="spellEnd"/>
      <w:r w:rsidRPr="00391E65">
        <w:t xml:space="preserve"> hormone (LH) synthesis while suppressing follicle-stimulating hormone (FSH) transcription (Singh </w:t>
      </w:r>
      <w:r w:rsidRPr="00391E65">
        <w:rPr>
          <w:i/>
          <w:iCs/>
        </w:rPr>
        <w:t>et al</w:t>
      </w:r>
      <w:r w:rsidRPr="00391E65">
        <w:t>., 2023). This altered LH:FSH ratio c</w:t>
      </w:r>
      <w:r w:rsidRPr="00391E65">
        <w:rPr>
          <w:highlight w:val="yellow"/>
        </w:rPr>
        <w:t>an c</w:t>
      </w:r>
      <w:r w:rsidRPr="00391E65">
        <w:t xml:space="preserve">hronically overstimulate theca cells, </w:t>
      </w:r>
      <w:r w:rsidRPr="00391E65">
        <w:rPr>
          <w:highlight w:val="yellow"/>
        </w:rPr>
        <w:t>p</w:t>
      </w:r>
      <w:r w:rsidRPr="00391E65">
        <w:t>r</w:t>
      </w:r>
      <w:r w:rsidRPr="00391E65">
        <w:rPr>
          <w:highlight w:val="yellow"/>
        </w:rPr>
        <w:t>omot</w:t>
      </w:r>
      <w:r w:rsidRPr="00391E65">
        <w:t xml:space="preserve">ing excessive ovarian androgen synthesis and premature follicular atresia (Siddiqui </w:t>
      </w:r>
      <w:r w:rsidRPr="00391E65">
        <w:rPr>
          <w:i/>
          <w:iCs/>
        </w:rPr>
        <w:t>et al</w:t>
      </w:r>
      <w:r w:rsidRPr="00391E65">
        <w:t>., 2022).</w:t>
      </w:r>
    </w:p>
    <w:p w14:paraId="2200A966" w14:textId="77777777" w:rsidR="00B6034D" w:rsidRPr="00391E65" w:rsidRDefault="00000000">
      <w:r w:rsidRPr="00391E65">
        <w:rPr>
          <w:highlight w:val="yellow"/>
        </w:rPr>
        <w:t xml:space="preserve">Experimental rat models have been used to evaluate hormonal and histological alterations following PCOS induction, including testosterone-based and letrozole-based approaches (Esan </w:t>
      </w:r>
      <w:r w:rsidRPr="00391E65">
        <w:rPr>
          <w:i/>
          <w:highlight w:val="yellow"/>
        </w:rPr>
        <w:t>et al</w:t>
      </w:r>
      <w:r w:rsidRPr="00391E65">
        <w:rPr>
          <w:highlight w:val="yellow"/>
        </w:rPr>
        <w:t xml:space="preserve">., 2023; Shaheen </w:t>
      </w:r>
      <w:r w:rsidRPr="00391E65">
        <w:rPr>
          <w:i/>
          <w:highlight w:val="yellow"/>
        </w:rPr>
        <w:t>et al</w:t>
      </w:r>
      <w:r w:rsidRPr="00391E65">
        <w:rPr>
          <w:highlight w:val="yellow"/>
        </w:rPr>
        <w:t>., 2024).</w:t>
      </w:r>
    </w:p>
    <w:p w14:paraId="0E6F71F1" w14:textId="77777777" w:rsidR="00FF4031" w:rsidRPr="00391E65" w:rsidRDefault="00FF4031" w:rsidP="00FF4031">
      <w:r>
        <w:lastRenderedPageBreak/>
        <w:t xml:space="preserve">Beyond central neuroendocrine pathology, structural abnormalities within the local ovarian microenvironment are increasingly </w:t>
      </w:r>
      <w:proofErr w:type="spellStart"/>
      <w:r>
        <w:t>recogni</w:t>
      </w:r>
      <w:r>
        <w:rPr>
          <w:highlight w:val="yellow"/>
        </w:rPr>
        <w:t>s</w:t>
      </w:r>
      <w:r>
        <w:t>ed</w:t>
      </w:r>
      <w:proofErr w:type="spellEnd"/>
      <w:r>
        <w:t xml:space="preserve"> as </w:t>
      </w:r>
      <w:r>
        <w:rPr>
          <w:highlight w:val="yellow"/>
        </w:rPr>
        <w:t>cont</w:t>
      </w:r>
      <w:r>
        <w:t>ri</w:t>
      </w:r>
      <w:r>
        <w:rPr>
          <w:highlight w:val="yellow"/>
        </w:rPr>
        <w:t>buto</w:t>
      </w:r>
      <w:r>
        <w:t xml:space="preserve">rs </w:t>
      </w:r>
      <w:r>
        <w:rPr>
          <w:highlight w:val="yellow"/>
        </w:rPr>
        <w:t>t</w:t>
      </w:r>
      <w:r>
        <w:t xml:space="preserve">o disease progression (Kinnear </w:t>
      </w:r>
      <w:r>
        <w:rPr>
          <w:i/>
          <w:iCs/>
        </w:rPr>
        <w:t>et al</w:t>
      </w:r>
      <w:r>
        <w:t xml:space="preserve">., 2020). The ovarian stroma provides the cellular and mechanical framework necessary to support </w:t>
      </w:r>
      <w:proofErr w:type="spellStart"/>
      <w:r>
        <w:t>synchroni</w:t>
      </w:r>
      <w:r>
        <w:rPr>
          <w:highlight w:val="yellow"/>
        </w:rPr>
        <w:t>s</w:t>
      </w:r>
      <w:r>
        <w:t>ed</w:t>
      </w:r>
      <w:proofErr w:type="spellEnd"/>
      <w:r>
        <w:t xml:space="preserve"> </w:t>
      </w:r>
      <w:proofErr w:type="spellStart"/>
      <w:r>
        <w:t>folliculogenesis</w:t>
      </w:r>
      <w:proofErr w:type="spellEnd"/>
      <w:r>
        <w:t xml:space="preserve"> (Gibson &amp; Mahdy, 2023). Within these compartments, the extracellular matrix (ECM) coordinates cell-to-cell </w:t>
      </w:r>
      <w:proofErr w:type="spellStart"/>
      <w:r>
        <w:t>signa</w:t>
      </w:r>
      <w:r>
        <w:rPr>
          <w:highlight w:val="yellow"/>
        </w:rPr>
        <w:t>l</w:t>
      </w:r>
      <w:r>
        <w:t>ling</w:t>
      </w:r>
      <w:proofErr w:type="spellEnd"/>
      <w:r>
        <w:t xml:space="preserve"> cascades and biomechanical interactions (</w:t>
      </w:r>
      <w:proofErr w:type="spellStart"/>
      <w:r>
        <w:t>Grosbois</w:t>
      </w:r>
      <w:proofErr w:type="spellEnd"/>
      <w:r>
        <w:t xml:space="preserve"> </w:t>
      </w:r>
      <w:r>
        <w:rPr>
          <w:i/>
          <w:iCs/>
        </w:rPr>
        <w:t>et al</w:t>
      </w:r>
      <w:r>
        <w:t xml:space="preserve">., 2023). Reticular </w:t>
      </w:r>
      <w:proofErr w:type="spellStart"/>
      <w:r>
        <w:t>fib</w:t>
      </w:r>
      <w:r>
        <w:rPr>
          <w:highlight w:val="yellow"/>
        </w:rPr>
        <w:t>r</w:t>
      </w:r>
      <w:r>
        <w:t>es</w:t>
      </w:r>
      <w:proofErr w:type="spellEnd"/>
      <w:r>
        <w:t xml:space="preserve"> form a highly </w:t>
      </w:r>
      <w:proofErr w:type="spellStart"/>
      <w:r>
        <w:t>organi</w:t>
      </w:r>
      <w:r>
        <w:rPr>
          <w:highlight w:val="yellow"/>
        </w:rPr>
        <w:t>s</w:t>
      </w:r>
      <w:r>
        <w:t>ed</w:t>
      </w:r>
      <w:proofErr w:type="spellEnd"/>
      <w:r>
        <w:t>, dynamic meshwork surrounding individual follicles and stromal cells,</w:t>
      </w:r>
      <w:r>
        <w:rPr>
          <w:highlight w:val="yellow"/>
        </w:rPr>
        <w:t xml:space="preserve"> thereby</w:t>
      </w:r>
      <w:r>
        <w:t xml:space="preserve"> maintaining structural compliance (Kinnear </w:t>
      </w:r>
      <w:r>
        <w:rPr>
          <w:i/>
          <w:iCs/>
        </w:rPr>
        <w:t>et al</w:t>
      </w:r>
      <w:r>
        <w:t>., 2020). During physiological follicular maturation, the ECM undergo</w:t>
      </w:r>
      <w:r>
        <w:rPr>
          <w:highlight w:val="yellow"/>
        </w:rPr>
        <w:t>es</w:t>
      </w:r>
      <w:r>
        <w:t xml:space="preserve"> controlled enzymatic degradation and structural relaxation to allow follic</w:t>
      </w:r>
      <w:r>
        <w:rPr>
          <w:highlight w:val="yellow"/>
        </w:rPr>
        <w:t>u</w:t>
      </w:r>
      <w:r>
        <w:t>l</w:t>
      </w:r>
      <w:r>
        <w:rPr>
          <w:highlight w:val="yellow"/>
        </w:rPr>
        <w:t>ar</w:t>
      </w:r>
      <w:r>
        <w:t xml:space="preserve"> expansion </w:t>
      </w:r>
      <w:r>
        <w:rPr>
          <w:highlight w:val="yellow"/>
        </w:rPr>
        <w:t>bef</w:t>
      </w:r>
      <w:r>
        <w:t>or</w:t>
      </w:r>
      <w:r>
        <w:rPr>
          <w:highlight w:val="yellow"/>
        </w:rPr>
        <w:t>e</w:t>
      </w:r>
      <w:r>
        <w:t xml:space="preserve"> ovulation (Lind </w:t>
      </w:r>
      <w:r>
        <w:rPr>
          <w:i/>
          <w:iCs/>
        </w:rPr>
        <w:t>et al</w:t>
      </w:r>
      <w:r>
        <w:t xml:space="preserve">., 2006; Liu </w:t>
      </w:r>
      <w:r>
        <w:rPr>
          <w:i/>
          <w:iCs/>
        </w:rPr>
        <w:t>et al</w:t>
      </w:r>
      <w:r>
        <w:t>., 2025). Conversely, pathological accumulation of rigid collagen networks increases intraovarian stiffness, which may suppress primordial follicle</w:t>
      </w:r>
      <w:r>
        <w:rPr>
          <w:highlight w:val="yellow"/>
        </w:rPr>
        <w:t xml:space="preserve"> activation</w:t>
      </w:r>
      <w:r>
        <w:t xml:space="preserve"> and </w:t>
      </w:r>
      <w:r>
        <w:rPr>
          <w:highlight w:val="yellow"/>
        </w:rPr>
        <w:t>re</w:t>
      </w:r>
      <w:r>
        <w:t>s</w:t>
      </w:r>
      <w:r>
        <w:rPr>
          <w:highlight w:val="yellow"/>
        </w:rPr>
        <w:t>tr</w:t>
      </w:r>
      <w:r>
        <w:t>ict follic</w:t>
      </w:r>
      <w:r>
        <w:rPr>
          <w:highlight w:val="yellow"/>
        </w:rPr>
        <w:t>u</w:t>
      </w:r>
      <w:r>
        <w:t>l</w:t>
      </w:r>
      <w:r>
        <w:rPr>
          <w:highlight w:val="yellow"/>
        </w:rPr>
        <w:t>ar</w:t>
      </w:r>
      <w:r>
        <w:t xml:space="preserve"> expansion (</w:t>
      </w:r>
      <w:proofErr w:type="spellStart"/>
      <w:r>
        <w:t>Amargant</w:t>
      </w:r>
      <w:proofErr w:type="spellEnd"/>
      <w:r>
        <w:t xml:space="preserve"> </w:t>
      </w:r>
      <w:r>
        <w:rPr>
          <w:i/>
          <w:iCs/>
        </w:rPr>
        <w:t>et al</w:t>
      </w:r>
      <w:r>
        <w:t xml:space="preserve">., 2020; West </w:t>
      </w:r>
      <w:r>
        <w:rPr>
          <w:i/>
          <w:iCs/>
        </w:rPr>
        <w:t>et al</w:t>
      </w:r>
      <w:r>
        <w:t xml:space="preserve">., 2007). Progressive stromal fibrosis and dysregulated deposition of </w:t>
      </w:r>
      <w:r w:rsidRPr="00391E65">
        <w:t>ECM elements, i</w:t>
      </w:r>
      <w:r w:rsidRPr="00391E65">
        <w:rPr>
          <w:highlight w:val="yellow"/>
        </w:rPr>
        <w:t>n</w:t>
      </w:r>
      <w:r w:rsidRPr="00391E65">
        <w:t>c</w:t>
      </w:r>
      <w:r w:rsidRPr="00391E65">
        <w:rPr>
          <w:highlight w:val="yellow"/>
        </w:rPr>
        <w:t>l</w:t>
      </w:r>
      <w:r w:rsidRPr="00391E65">
        <w:t>u</w:t>
      </w:r>
      <w:r w:rsidRPr="00391E65">
        <w:rPr>
          <w:highlight w:val="yellow"/>
        </w:rPr>
        <w:t>ding</w:t>
      </w:r>
      <w:r w:rsidRPr="00391E65">
        <w:t xml:space="preserve"> reticular </w:t>
      </w:r>
      <w:proofErr w:type="spellStart"/>
      <w:r w:rsidRPr="00391E65">
        <w:t>fib</w:t>
      </w:r>
      <w:r w:rsidRPr="00391E65">
        <w:rPr>
          <w:highlight w:val="yellow"/>
        </w:rPr>
        <w:t>r</w:t>
      </w:r>
      <w:r w:rsidRPr="00391E65">
        <w:t>es</w:t>
      </w:r>
      <w:proofErr w:type="spellEnd"/>
      <w:r w:rsidRPr="00391E65">
        <w:t xml:space="preserve">, </w:t>
      </w:r>
      <w:r w:rsidRPr="00391E65">
        <w:rPr>
          <w:highlight w:val="yellow"/>
        </w:rPr>
        <w:t>h</w:t>
      </w:r>
      <w:r w:rsidRPr="00391E65">
        <w:t>a</w:t>
      </w:r>
      <w:r w:rsidRPr="00391E65">
        <w:rPr>
          <w:highlight w:val="yellow"/>
        </w:rPr>
        <w:t>v</w:t>
      </w:r>
      <w:r w:rsidRPr="00391E65">
        <w:t xml:space="preserve">e </w:t>
      </w:r>
      <w:r w:rsidRPr="00391E65">
        <w:rPr>
          <w:highlight w:val="yellow"/>
        </w:rPr>
        <w:t>be</w:t>
      </w:r>
      <w:r w:rsidRPr="00391E65">
        <w:t>en</w:t>
      </w:r>
      <w:r w:rsidRPr="00391E65">
        <w:rPr>
          <w:highlight w:val="yellow"/>
        </w:rPr>
        <w:t xml:space="preserve"> </w:t>
      </w:r>
      <w:r w:rsidRPr="00391E65">
        <w:t>a</w:t>
      </w:r>
      <w:r w:rsidRPr="00391E65">
        <w:rPr>
          <w:highlight w:val="yellow"/>
        </w:rPr>
        <w:t>ssoci</w:t>
      </w:r>
      <w:r w:rsidRPr="00391E65">
        <w:t>ate</w:t>
      </w:r>
      <w:r w:rsidRPr="00391E65">
        <w:rPr>
          <w:highlight w:val="yellow"/>
        </w:rPr>
        <w:t>d</w:t>
      </w:r>
      <w:r w:rsidRPr="00391E65">
        <w:t xml:space="preserve"> </w:t>
      </w:r>
      <w:r w:rsidRPr="00391E65">
        <w:rPr>
          <w:highlight w:val="yellow"/>
        </w:rPr>
        <w:t>with</w:t>
      </w:r>
      <w:r w:rsidRPr="00391E65">
        <w:t xml:space="preserve"> PCOS ovaries</w:t>
      </w:r>
      <w:r w:rsidRPr="00391E65">
        <w:rPr>
          <w:highlight w:val="yellow"/>
        </w:rPr>
        <w:t xml:space="preserve"> and may</w:t>
      </w:r>
      <w:r w:rsidRPr="00391E65">
        <w:t xml:space="preserve"> contribute to anovulation (Zhou </w:t>
      </w:r>
      <w:r w:rsidRPr="00391E65">
        <w:rPr>
          <w:i/>
          <w:iCs/>
        </w:rPr>
        <w:t>et al</w:t>
      </w:r>
      <w:r w:rsidRPr="00391E65">
        <w:t>., 2017).</w:t>
      </w:r>
    </w:p>
    <w:p w14:paraId="6472F3C1" w14:textId="77777777" w:rsidR="00B6034D" w:rsidRPr="00391E65" w:rsidRDefault="00000000">
      <w:r w:rsidRPr="00391E65">
        <w:rPr>
          <w:highlight w:val="yellow"/>
        </w:rPr>
        <w:t xml:space="preserve">Recent evidence further identifies altered matrix metalloproteinase activity and broader extracellular matrix dysregulation as relevant to PCOS-associated stromal </w:t>
      </w:r>
      <w:proofErr w:type="spellStart"/>
      <w:r w:rsidRPr="00391E65">
        <w:rPr>
          <w:highlight w:val="yellow"/>
        </w:rPr>
        <w:t>remodelling</w:t>
      </w:r>
      <w:proofErr w:type="spellEnd"/>
      <w:r w:rsidRPr="00391E65">
        <w:rPr>
          <w:highlight w:val="yellow"/>
        </w:rPr>
        <w:t xml:space="preserve"> and impaired </w:t>
      </w:r>
      <w:proofErr w:type="spellStart"/>
      <w:r w:rsidRPr="00391E65">
        <w:rPr>
          <w:highlight w:val="yellow"/>
        </w:rPr>
        <w:t>folliculogenesis</w:t>
      </w:r>
      <w:proofErr w:type="spellEnd"/>
      <w:r w:rsidRPr="00391E65">
        <w:rPr>
          <w:highlight w:val="yellow"/>
        </w:rPr>
        <w:t xml:space="preserve"> (</w:t>
      </w:r>
      <w:proofErr w:type="spellStart"/>
      <w:r w:rsidRPr="00391E65">
        <w:rPr>
          <w:highlight w:val="yellow"/>
        </w:rPr>
        <w:t>Nikanfar</w:t>
      </w:r>
      <w:proofErr w:type="spellEnd"/>
      <w:r w:rsidRPr="00391E65">
        <w:rPr>
          <w:highlight w:val="yellow"/>
        </w:rPr>
        <w:t xml:space="preserve"> &amp; Amorim, 2025; </w:t>
      </w:r>
      <w:proofErr w:type="spellStart"/>
      <w:r w:rsidRPr="00391E65">
        <w:rPr>
          <w:highlight w:val="yellow"/>
        </w:rPr>
        <w:t>Nalkande</w:t>
      </w:r>
      <w:proofErr w:type="spellEnd"/>
      <w:r w:rsidRPr="00391E65">
        <w:rPr>
          <w:highlight w:val="yellow"/>
        </w:rPr>
        <w:t xml:space="preserve"> </w:t>
      </w:r>
      <w:r w:rsidRPr="00391E65">
        <w:rPr>
          <w:i/>
          <w:highlight w:val="yellow"/>
        </w:rPr>
        <w:t>et al</w:t>
      </w:r>
      <w:r w:rsidRPr="00391E65">
        <w:rPr>
          <w:highlight w:val="yellow"/>
        </w:rPr>
        <w:t>., 2026).</w:t>
      </w:r>
    </w:p>
    <w:p w14:paraId="37ECFFAA" w14:textId="6E2CDDFF" w:rsidR="00B6034D" w:rsidRPr="00391E65" w:rsidRDefault="00FF4031">
      <w:r w:rsidRPr="00391E65">
        <w:t xml:space="preserve">Emerging epidemiological and experimental </w:t>
      </w:r>
      <w:r w:rsidRPr="00391E65">
        <w:rPr>
          <w:highlight w:val="yellow"/>
        </w:rPr>
        <w:t>evi</w:t>
      </w:r>
      <w:r w:rsidRPr="00391E65">
        <w:t>d</w:t>
      </w:r>
      <w:r w:rsidRPr="00391E65">
        <w:rPr>
          <w:highlight w:val="yellow"/>
        </w:rPr>
        <w:t>ence</w:t>
      </w:r>
      <w:r w:rsidRPr="00391E65">
        <w:t xml:space="preserve"> suggest</w:t>
      </w:r>
      <w:r w:rsidRPr="00391E65">
        <w:rPr>
          <w:highlight w:val="yellow"/>
        </w:rPr>
        <w:t>s</w:t>
      </w:r>
      <w:r w:rsidRPr="00391E65">
        <w:t xml:space="preserve"> that environmental xenobiotics </w:t>
      </w:r>
      <w:r w:rsidRPr="00391E65">
        <w:rPr>
          <w:highlight w:val="yellow"/>
        </w:rPr>
        <w:t xml:space="preserve">may </w:t>
      </w:r>
      <w:r w:rsidRPr="00391E65">
        <w:t>interact with endogenous metabolic d</w:t>
      </w:r>
      <w:r w:rsidRPr="00391E65">
        <w:rPr>
          <w:highlight w:val="yellow"/>
        </w:rPr>
        <w:t>istu</w:t>
      </w:r>
      <w:r w:rsidRPr="00391E65">
        <w:t>r</w:t>
      </w:r>
      <w:r w:rsidRPr="00391E65">
        <w:rPr>
          <w:highlight w:val="yellow"/>
        </w:rPr>
        <w:t>b</w:t>
      </w:r>
      <w:r w:rsidRPr="00391E65">
        <w:t>an</w:t>
      </w:r>
      <w:r w:rsidRPr="00391E65">
        <w:rPr>
          <w:highlight w:val="yellow"/>
        </w:rPr>
        <w:t>c</w:t>
      </w:r>
      <w:r w:rsidRPr="00391E65">
        <w:t>e</w:t>
      </w:r>
      <w:r w:rsidRPr="00391E65">
        <w:rPr>
          <w:highlight w:val="yellow"/>
        </w:rPr>
        <w:t>s and influ</w:t>
      </w:r>
      <w:r w:rsidRPr="00391E65">
        <w:t xml:space="preserve">ence PCOS severity (Ozga &amp; Jurewicz, 2025; Pan </w:t>
      </w:r>
      <w:r w:rsidRPr="00391E65">
        <w:rPr>
          <w:i/>
          <w:iCs/>
        </w:rPr>
        <w:t>et al</w:t>
      </w:r>
      <w:r w:rsidRPr="00391E65">
        <w:t>., 2024). Among ubiquitous pollutants, polycyclic aromatic hydrocarbons (PAHs), such as benzo[a]pyrene (</w:t>
      </w:r>
      <w:proofErr w:type="spellStart"/>
      <w:r w:rsidRPr="00391E65">
        <w:t>BaP</w:t>
      </w:r>
      <w:proofErr w:type="spellEnd"/>
      <w:r w:rsidRPr="00391E65">
        <w:t xml:space="preserve">), </w:t>
      </w:r>
      <w:r w:rsidRPr="00391E65">
        <w:rPr>
          <w:highlight w:val="yellow"/>
        </w:rPr>
        <w:t>may adve</w:t>
      </w:r>
      <w:r w:rsidRPr="00391E65">
        <w:t>rse</w:t>
      </w:r>
      <w:r w:rsidRPr="00391E65">
        <w:rPr>
          <w:highlight w:val="yellow"/>
        </w:rPr>
        <w:t>ly</w:t>
      </w:r>
      <w:r w:rsidRPr="00391E65">
        <w:t xml:space="preserve"> a</w:t>
      </w:r>
      <w:r w:rsidRPr="00391E65">
        <w:rPr>
          <w:highlight w:val="yellow"/>
        </w:rPr>
        <w:t>ff</w:t>
      </w:r>
      <w:r w:rsidRPr="00391E65">
        <w:t>e</w:t>
      </w:r>
      <w:r w:rsidRPr="00391E65">
        <w:rPr>
          <w:highlight w:val="yellow"/>
        </w:rPr>
        <w:t>c</w:t>
      </w:r>
      <w:r w:rsidRPr="00391E65">
        <w:t xml:space="preserve">t female reproductive health (Montano </w:t>
      </w:r>
      <w:r w:rsidRPr="00391E65">
        <w:rPr>
          <w:i/>
          <w:iCs/>
        </w:rPr>
        <w:t>et al</w:t>
      </w:r>
      <w:r w:rsidRPr="00391E65">
        <w:t xml:space="preserve">., 2025; </w:t>
      </w:r>
      <w:proofErr w:type="spellStart"/>
      <w:r w:rsidRPr="00391E65">
        <w:t>Perono</w:t>
      </w:r>
      <w:proofErr w:type="spellEnd"/>
      <w:r w:rsidRPr="00391E65">
        <w:t xml:space="preserve"> </w:t>
      </w:r>
      <w:r w:rsidRPr="00391E65">
        <w:rPr>
          <w:i/>
          <w:iCs/>
        </w:rPr>
        <w:t>et al</w:t>
      </w:r>
      <w:r w:rsidRPr="00391E65">
        <w:t xml:space="preserve">., 2022). </w:t>
      </w:r>
      <w:proofErr w:type="spellStart"/>
      <w:r w:rsidRPr="00391E65">
        <w:t>BaP</w:t>
      </w:r>
      <w:proofErr w:type="spellEnd"/>
      <w:r w:rsidRPr="00391E65">
        <w:t xml:space="preserve"> is generated through the incomplete combustion of biomass, fossil fuels, tobacco smoke, and high-temperature cooking methods (Bukowska </w:t>
      </w:r>
      <w:r w:rsidRPr="00391E65">
        <w:rPr>
          <w:i/>
          <w:iCs/>
        </w:rPr>
        <w:t>et al</w:t>
      </w:r>
      <w:r w:rsidRPr="00391E65">
        <w:t>.,</w:t>
      </w:r>
      <w:r>
        <w:t xml:space="preserve"> 2022; </w:t>
      </w:r>
      <w:proofErr w:type="spellStart"/>
      <w:r>
        <w:lastRenderedPageBreak/>
        <w:t>Sombiri</w:t>
      </w:r>
      <w:proofErr w:type="spellEnd"/>
      <w:r>
        <w:t xml:space="preserve"> </w:t>
      </w:r>
      <w:r>
        <w:rPr>
          <w:i/>
          <w:iCs/>
        </w:rPr>
        <w:t>et al</w:t>
      </w:r>
      <w:r>
        <w:t xml:space="preserve">., 2024). </w:t>
      </w:r>
      <w:r>
        <w:rPr>
          <w:highlight w:val="yellow"/>
        </w:rPr>
        <w:t>F</w:t>
      </w:r>
      <w:r>
        <w:t>o</w:t>
      </w:r>
      <w:r>
        <w:rPr>
          <w:highlight w:val="yellow"/>
        </w:rPr>
        <w:t>llowi</w:t>
      </w:r>
      <w:r>
        <w:t>n</w:t>
      </w:r>
      <w:r>
        <w:rPr>
          <w:highlight w:val="yellow"/>
        </w:rPr>
        <w:t>g</w:t>
      </w:r>
      <w:r>
        <w:t xml:space="preserve"> systemic absorption through respiratory, gastrointestinal, or dermal routes, </w:t>
      </w:r>
      <w:proofErr w:type="spellStart"/>
      <w:r>
        <w:t>BaP</w:t>
      </w:r>
      <w:proofErr w:type="spellEnd"/>
      <w:r>
        <w:t xml:space="preserve"> is bioactivated by cytochrome P450 enzymes into highly reactive </w:t>
      </w:r>
      <w:r>
        <w:rPr>
          <w:highlight w:val="yellow"/>
        </w:rPr>
        <w:t>metab</w:t>
      </w:r>
      <w:r>
        <w:t>oli</w:t>
      </w:r>
      <w:r>
        <w:rPr>
          <w:highlight w:val="yellow"/>
        </w:rPr>
        <w:t>t</w:t>
      </w:r>
      <w:r>
        <w:t xml:space="preserve">es </w:t>
      </w:r>
      <w:r>
        <w:rPr>
          <w:highlight w:val="yellow"/>
        </w:rPr>
        <w:t>t</w:t>
      </w:r>
      <w:r>
        <w:t>h</w:t>
      </w:r>
      <w:r>
        <w:rPr>
          <w:highlight w:val="yellow"/>
        </w:rPr>
        <w:t xml:space="preserve">at </w:t>
      </w:r>
      <w:r>
        <w:t>c</w:t>
      </w:r>
      <w:r>
        <w:rPr>
          <w:highlight w:val="yellow"/>
        </w:rPr>
        <w:t>an</w:t>
      </w:r>
      <w:r>
        <w:t xml:space="preserve"> induce oxidative stress, </w:t>
      </w:r>
      <w:r w:rsidRPr="00391E65">
        <w:t xml:space="preserve">DNA adduct formation, and cellular toxicity (Bukowska </w:t>
      </w:r>
      <w:r w:rsidRPr="00391E65">
        <w:rPr>
          <w:i/>
          <w:iCs/>
        </w:rPr>
        <w:t>et al</w:t>
      </w:r>
      <w:r w:rsidRPr="00391E65">
        <w:t>., 2022; Negi &amp; Chaudhary, 2024).</w:t>
      </w:r>
      <w:r w:rsidR="00391E65" w:rsidRPr="00391E65">
        <w:t xml:space="preserve"> </w:t>
      </w:r>
      <w:r w:rsidRPr="00391E65">
        <w:rPr>
          <w:highlight w:val="yellow"/>
        </w:rPr>
        <w:t xml:space="preserve">Experimental evidence also indicates that </w:t>
      </w:r>
      <w:proofErr w:type="spellStart"/>
      <w:r w:rsidRPr="00391E65">
        <w:rPr>
          <w:highlight w:val="yellow"/>
        </w:rPr>
        <w:t>BaP</w:t>
      </w:r>
      <w:proofErr w:type="spellEnd"/>
      <w:r w:rsidRPr="00391E65">
        <w:rPr>
          <w:highlight w:val="yellow"/>
        </w:rPr>
        <w:t xml:space="preserve"> exposure can impair ovarian and oocyte function in mice, further supporting the ovary as a relevant target of </w:t>
      </w:r>
      <w:proofErr w:type="spellStart"/>
      <w:r w:rsidRPr="00391E65">
        <w:rPr>
          <w:highlight w:val="yellow"/>
        </w:rPr>
        <w:t>BaP</w:t>
      </w:r>
      <w:proofErr w:type="spellEnd"/>
      <w:r w:rsidRPr="00391E65">
        <w:rPr>
          <w:highlight w:val="yellow"/>
        </w:rPr>
        <w:t xml:space="preserve"> reproductive toxicity (Wang </w:t>
      </w:r>
      <w:r w:rsidRPr="00391E65">
        <w:rPr>
          <w:i/>
          <w:highlight w:val="yellow"/>
        </w:rPr>
        <w:t>et al</w:t>
      </w:r>
      <w:r w:rsidRPr="00391E65">
        <w:rPr>
          <w:highlight w:val="yellow"/>
        </w:rPr>
        <w:t>., 2024).</w:t>
      </w:r>
    </w:p>
    <w:p w14:paraId="1A18E48B" w14:textId="77777777" w:rsidR="00FF4031" w:rsidRPr="00226C54" w:rsidRDefault="00FF4031" w:rsidP="00FF4031">
      <w:r w:rsidRPr="00391E65">
        <w:rPr>
          <w:highlight w:val="yellow"/>
        </w:rPr>
        <w:t>Alt</w:t>
      </w:r>
      <w:r w:rsidRPr="00391E65">
        <w:t>h</w:t>
      </w:r>
      <w:r w:rsidRPr="00391E65">
        <w:rPr>
          <w:highlight w:val="yellow"/>
        </w:rPr>
        <w:t>ough</w:t>
      </w:r>
      <w:r w:rsidRPr="00391E65">
        <w:t xml:space="preserve"> toxicological studies have sh</w:t>
      </w:r>
      <w:r w:rsidRPr="00391E65">
        <w:rPr>
          <w:highlight w:val="yellow"/>
        </w:rPr>
        <w:t>own</w:t>
      </w:r>
      <w:r w:rsidRPr="00391E65">
        <w:t xml:space="preserve"> that standalone </w:t>
      </w:r>
      <w:proofErr w:type="spellStart"/>
      <w:r w:rsidRPr="00391E65">
        <w:t>BaP</w:t>
      </w:r>
      <w:proofErr w:type="spellEnd"/>
      <w:r w:rsidRPr="00391E65">
        <w:t xml:space="preserve"> exposure </w:t>
      </w:r>
      <w:r w:rsidRPr="00391E65">
        <w:rPr>
          <w:highlight w:val="yellow"/>
        </w:rPr>
        <w:t xml:space="preserve">can </w:t>
      </w:r>
      <w:r w:rsidRPr="00391E65">
        <w:t>deplete the primordial follicle reserve, induce granulosa cell apoptosis, and</w:t>
      </w:r>
      <w:r>
        <w:t xml:space="preserve"> disrupt basal steroidogenesis (Lim </w:t>
      </w:r>
      <w:r>
        <w:rPr>
          <w:i/>
          <w:iCs/>
        </w:rPr>
        <w:t>et al</w:t>
      </w:r>
      <w:r>
        <w:t xml:space="preserve">., 2023; Malott </w:t>
      </w:r>
      <w:r>
        <w:rPr>
          <w:i/>
          <w:iCs/>
        </w:rPr>
        <w:t>et al</w:t>
      </w:r>
      <w:r>
        <w:t xml:space="preserve">., 2022; Stefansdottir </w:t>
      </w:r>
      <w:r>
        <w:rPr>
          <w:i/>
          <w:iCs/>
        </w:rPr>
        <w:t>et al</w:t>
      </w:r>
      <w:r>
        <w:t xml:space="preserve">., 2023; Xu </w:t>
      </w:r>
      <w:r>
        <w:rPr>
          <w:i/>
          <w:iCs/>
        </w:rPr>
        <w:t>et al</w:t>
      </w:r>
      <w:r>
        <w:t xml:space="preserve">., 2024), </w:t>
      </w:r>
      <w:r>
        <w:rPr>
          <w:highlight w:val="yellow"/>
        </w:rPr>
        <w:t>l</w:t>
      </w:r>
      <w:r>
        <w:t>i</w:t>
      </w:r>
      <w:r>
        <w:rPr>
          <w:highlight w:val="yellow"/>
        </w:rPr>
        <w:t>mi</w:t>
      </w:r>
      <w:r>
        <w:t>te</w:t>
      </w:r>
      <w:r>
        <w:rPr>
          <w:highlight w:val="yellow"/>
        </w:rPr>
        <w:t>d</w:t>
      </w:r>
      <w:r>
        <w:t xml:space="preserve"> data address how </w:t>
      </w:r>
      <w:proofErr w:type="spellStart"/>
      <w:r>
        <w:t>BaP</w:t>
      </w:r>
      <w:proofErr w:type="spellEnd"/>
      <w:r>
        <w:t xml:space="preserve"> interacts with a pre-existing hyperandrogenic environment. </w:t>
      </w:r>
      <w:r>
        <w:rPr>
          <w:highlight w:val="yellow"/>
        </w:rPr>
        <w:t>In pa</w:t>
      </w:r>
      <w:r>
        <w:t>r</w:t>
      </w:r>
      <w:r>
        <w:rPr>
          <w:highlight w:val="yellow"/>
        </w:rPr>
        <w:t>tic</w:t>
      </w:r>
      <w:r>
        <w:t>u</w:t>
      </w:r>
      <w:r>
        <w:rPr>
          <w:highlight w:val="yellow"/>
        </w:rPr>
        <w:t>l</w:t>
      </w:r>
      <w:r>
        <w:t>a</w:t>
      </w:r>
      <w:r>
        <w:rPr>
          <w:highlight w:val="yellow"/>
        </w:rPr>
        <w:t>r</w:t>
      </w:r>
      <w:r>
        <w:t xml:space="preserve">, the capacity of </w:t>
      </w:r>
      <w:proofErr w:type="spellStart"/>
      <w:r>
        <w:t>BaP</w:t>
      </w:r>
      <w:proofErr w:type="spellEnd"/>
      <w:r>
        <w:t xml:space="preserve"> to alter the structural integrity of the ovarian ECM</w:t>
      </w:r>
      <w:r>
        <w:rPr>
          <w:highlight w:val="yellow"/>
        </w:rPr>
        <w:t>—</w:t>
      </w:r>
      <w:r>
        <w:t xml:space="preserve">specifically the reticular </w:t>
      </w:r>
      <w:proofErr w:type="spellStart"/>
      <w:r>
        <w:t>fib</w:t>
      </w:r>
      <w:r>
        <w:rPr>
          <w:highlight w:val="yellow"/>
        </w:rPr>
        <w:t>r</w:t>
      </w:r>
      <w:r>
        <w:t>e</w:t>
      </w:r>
      <w:proofErr w:type="spellEnd"/>
      <w:r>
        <w:t xml:space="preserve"> meshwork within the theca externa</w:t>
      </w:r>
      <w:r>
        <w:rPr>
          <w:highlight w:val="yellow"/>
        </w:rPr>
        <w:t>—</w:t>
      </w:r>
      <w:r>
        <w:t>remains uncl</w:t>
      </w:r>
      <w:r>
        <w:rPr>
          <w:highlight w:val="yellow"/>
        </w:rPr>
        <w:t>e</w:t>
      </w:r>
      <w:r>
        <w:t>ar in hyperandrogenic models of PCOS.</w:t>
      </w:r>
    </w:p>
    <w:p w14:paraId="48045C6C" w14:textId="77777777" w:rsidR="00FF4031" w:rsidRPr="00226C54" w:rsidRDefault="00FF4031" w:rsidP="00FF4031">
      <w:r>
        <w:t xml:space="preserve">Therefore, the present study was designed to investigate the effects of concurrent benzo[a]pyrene exposure on ovarian structural </w:t>
      </w:r>
      <w:proofErr w:type="spellStart"/>
      <w:r>
        <w:t>pathomorphology</w:t>
      </w:r>
      <w:proofErr w:type="spellEnd"/>
      <w:r>
        <w:t xml:space="preserve">, reticular </w:t>
      </w:r>
      <w:proofErr w:type="spellStart"/>
      <w:r>
        <w:t>fib</w:t>
      </w:r>
      <w:r>
        <w:rPr>
          <w:highlight w:val="yellow"/>
        </w:rPr>
        <w:t>r</w:t>
      </w:r>
      <w:r>
        <w:t>e</w:t>
      </w:r>
      <w:proofErr w:type="spellEnd"/>
      <w:r>
        <w:t xml:space="preserve"> deposition, and serum reproductive hormone profiles in a testosterone-induced rat model of polycystic ovarian syndrome.</w:t>
      </w:r>
    </w:p>
    <w:p w14:paraId="6A5A705A" w14:textId="77777777" w:rsidR="00A92A8D" w:rsidRPr="00A93723" w:rsidRDefault="005159C6" w:rsidP="005C54EE">
      <w:pPr>
        <w:pStyle w:val="Heading1"/>
        <w:jc w:val="both"/>
      </w:pPr>
      <w:r w:rsidRPr="00A93723">
        <w:t>MATERIALS AND METHODS</w:t>
      </w:r>
    </w:p>
    <w:p w14:paraId="2A9513B9" w14:textId="77777777" w:rsidR="00A92A8D" w:rsidRPr="00743788" w:rsidRDefault="005C54EE" w:rsidP="001376D1">
      <w:pPr>
        <w:rPr>
          <w:bCs/>
        </w:rPr>
      </w:pPr>
      <w:r>
        <w:rPr>
          <w:bCs/>
        </w:rPr>
        <w:t xml:space="preserve">This study was conducted in the Neuroendocrinology </w:t>
      </w:r>
      <w:r>
        <w:rPr>
          <w:bCs/>
          <w:highlight w:val="yellow"/>
        </w:rPr>
        <w:t>U</w:t>
      </w:r>
      <w:r>
        <w:rPr>
          <w:bCs/>
        </w:rPr>
        <w:t>nit of the Department of Anatomy, University of Ilorin. All animal procedures were performed in accordance with the Institutional Animal Care and Use Committee (IACUC) guidelines.</w:t>
      </w:r>
    </w:p>
    <w:p w14:paraId="2B9387F7" w14:textId="77777777" w:rsidR="00A92A8D" w:rsidRPr="00A93723" w:rsidRDefault="005159C6" w:rsidP="00A93723">
      <w:pPr>
        <w:pStyle w:val="Heading2"/>
      </w:pPr>
      <w:bookmarkStart w:id="1" w:name="_Toc231893444"/>
      <w:r w:rsidRPr="00A93723">
        <w:t>P</w:t>
      </w:r>
      <w:r w:rsidR="005C54EE" w:rsidRPr="00A93723">
        <w:t>rocurement and care of rats</w:t>
      </w:r>
      <w:bookmarkEnd w:id="1"/>
    </w:p>
    <w:p w14:paraId="55D3D47D" w14:textId="77777777" w:rsidR="00B114B0" w:rsidRPr="00743788" w:rsidRDefault="005344F4" w:rsidP="00BA548E">
      <w:pPr>
        <w:rPr>
          <w:bCs/>
        </w:rPr>
      </w:pPr>
      <w:r>
        <w:rPr>
          <w:bCs/>
        </w:rPr>
        <w:t>Fifteen (15) female prepubertal Wistar rat</w:t>
      </w:r>
      <w:r>
        <w:rPr>
          <w:bCs/>
          <w:highlight w:val="yellow"/>
        </w:rPr>
        <w:t>s</w:t>
      </w:r>
      <w:r>
        <w:rPr>
          <w:bCs/>
        </w:rPr>
        <w:t xml:space="preserve"> (40</w:t>
      </w:r>
      <w:r>
        <w:rPr>
          <w:bCs/>
          <w:highlight w:val="yellow"/>
        </w:rPr>
        <w:t>–</w:t>
      </w:r>
      <w:r>
        <w:rPr>
          <w:bCs/>
        </w:rPr>
        <w:t xml:space="preserve">50 g) were included in this study. They were housed in clean, well-ventilated plastic cages with mesh covers and wood-shaving bedding. The Wistar rats were </w:t>
      </w:r>
      <w:r>
        <w:rPr>
          <w:bCs/>
          <w:highlight w:val="yellow"/>
        </w:rPr>
        <w:t>maintain</w:t>
      </w:r>
      <w:r>
        <w:rPr>
          <w:bCs/>
        </w:rPr>
        <w:t xml:space="preserve">ed under standard laboratory conditions (12-hour light/dark cycle and </w:t>
      </w:r>
      <w:r>
        <w:rPr>
          <w:bCs/>
        </w:rPr>
        <w:lastRenderedPageBreak/>
        <w:t xml:space="preserve">controlled temperature) and provided </w:t>
      </w:r>
      <w:r>
        <w:rPr>
          <w:bCs/>
          <w:iCs/>
          <w:highlight w:val="yellow"/>
        </w:rPr>
        <w:t xml:space="preserve">with </w:t>
      </w:r>
      <w:r>
        <w:rPr>
          <w:bCs/>
          <w:i/>
          <w:iCs/>
        </w:rPr>
        <w:t>ad libitum</w:t>
      </w:r>
      <w:r>
        <w:rPr>
          <w:bCs/>
        </w:rPr>
        <w:t xml:space="preserve"> access to standard pelleted laboratory chow and clean drinking water.</w:t>
      </w:r>
    </w:p>
    <w:p w14:paraId="3A8B9D5F" w14:textId="77777777" w:rsidR="00A92A8D" w:rsidRPr="00A93723" w:rsidRDefault="005159C6" w:rsidP="00A93723">
      <w:pPr>
        <w:pStyle w:val="Heading2"/>
      </w:pPr>
      <w:bookmarkStart w:id="2" w:name="_Toc231893445"/>
      <w:r w:rsidRPr="00A93723">
        <w:t>A</w:t>
      </w:r>
      <w:r w:rsidR="005C54EE" w:rsidRPr="00A93723">
        <w:t>nimal weight measurement</w:t>
      </w:r>
      <w:bookmarkEnd w:id="2"/>
    </w:p>
    <w:p w14:paraId="192116D0" w14:textId="77777777" w:rsidR="00693E6A" w:rsidRPr="00743788" w:rsidRDefault="00693E6A" w:rsidP="00693E6A">
      <w:pPr>
        <w:rPr>
          <w:bCs/>
          <w:lang w:val="en-US"/>
        </w:rPr>
      </w:pPr>
      <w:r>
        <w:rPr>
          <w:bCs/>
          <w:lang w:val="en-US"/>
        </w:rPr>
        <w:t xml:space="preserve">The body weights of the experimental rats were measured weekly using a digital weighing balance (SF-400, China). </w:t>
      </w:r>
      <w:r>
        <w:rPr>
          <w:bCs/>
          <w:highlight w:val="yellow"/>
          <w:lang w:val="en-US"/>
        </w:rPr>
        <w:t>M</w:t>
      </w:r>
      <w:r>
        <w:rPr>
          <w:bCs/>
          <w:lang w:val="en-US"/>
        </w:rPr>
        <w:t>easurement</w:t>
      </w:r>
      <w:r>
        <w:rPr>
          <w:bCs/>
          <w:highlight w:val="yellow"/>
          <w:lang w:val="en-US"/>
        </w:rPr>
        <w:t>s</w:t>
      </w:r>
      <w:r>
        <w:rPr>
          <w:bCs/>
          <w:lang w:val="en-US"/>
        </w:rPr>
        <w:t xml:space="preserve"> w</w:t>
      </w:r>
      <w:r>
        <w:rPr>
          <w:bCs/>
          <w:highlight w:val="yellow"/>
          <w:lang w:val="en-US"/>
        </w:rPr>
        <w:t>ere t</w:t>
      </w:r>
      <w:r>
        <w:rPr>
          <w:bCs/>
          <w:lang w:val="en-US"/>
        </w:rPr>
        <w:t>a</w:t>
      </w:r>
      <w:r>
        <w:rPr>
          <w:bCs/>
          <w:highlight w:val="yellow"/>
          <w:lang w:val="en-US"/>
        </w:rPr>
        <w:t>ke</w:t>
      </w:r>
      <w:r>
        <w:rPr>
          <w:bCs/>
          <w:lang w:val="en-US"/>
        </w:rPr>
        <w:t>n at weekly interval</w:t>
      </w:r>
      <w:r>
        <w:rPr>
          <w:bCs/>
          <w:highlight w:val="yellow"/>
          <w:lang w:val="en-US"/>
        </w:rPr>
        <w:t>s,</w:t>
      </w:r>
      <w:r>
        <w:rPr>
          <w:bCs/>
          <w:lang w:val="en-US"/>
        </w:rPr>
        <w:t xml:space="preserve"> </w:t>
      </w:r>
      <w:r>
        <w:rPr>
          <w:bCs/>
          <w:highlight w:val="yellow"/>
          <w:lang w:val="en-US"/>
        </w:rPr>
        <w:t>and a</w:t>
      </w:r>
      <w:r>
        <w:rPr>
          <w:bCs/>
          <w:lang w:val="en-US"/>
        </w:rPr>
        <w:t xml:space="preserve">ll </w:t>
      </w:r>
      <w:r>
        <w:t>weighing procedures</w:t>
      </w:r>
      <w:r>
        <w:rPr>
          <w:bCs/>
          <w:lang w:val="en-US"/>
        </w:rPr>
        <w:t xml:space="preserve"> were consistently performed on the same day of the week.</w:t>
      </w:r>
    </w:p>
    <w:p w14:paraId="2574E01D" w14:textId="77777777" w:rsidR="00A92A8D" w:rsidRPr="00A93723" w:rsidRDefault="005344F4" w:rsidP="00A93723">
      <w:pPr>
        <w:pStyle w:val="Heading2"/>
      </w:pPr>
      <w:bookmarkStart w:id="3" w:name="_Toc231893446"/>
      <w:r>
        <w:t>Experimental design</w:t>
      </w:r>
      <w:r w:rsidR="00E61E67" w:rsidRPr="00A93723">
        <w:t xml:space="preserve"> </w:t>
      </w:r>
      <w:bookmarkEnd w:id="3"/>
    </w:p>
    <w:p w14:paraId="0FC67501" w14:textId="77777777" w:rsidR="002C1F98" w:rsidRPr="00743788" w:rsidRDefault="00615836" w:rsidP="005344F4">
      <w:pPr>
        <w:rPr>
          <w:bCs/>
          <w:lang w:val="en-US"/>
        </w:rPr>
      </w:pPr>
      <w:r>
        <w:rPr>
          <w:bCs/>
        </w:rPr>
        <w:t xml:space="preserve">Following </w:t>
      </w:r>
      <w:proofErr w:type="spellStart"/>
      <w:r>
        <w:rPr>
          <w:bCs/>
        </w:rPr>
        <w:t>acclimati</w:t>
      </w:r>
      <w:r>
        <w:rPr>
          <w:bCs/>
          <w:highlight w:val="yellow"/>
        </w:rPr>
        <w:t>s</w:t>
      </w:r>
      <w:r>
        <w:rPr>
          <w:bCs/>
        </w:rPr>
        <w:t>ation</w:t>
      </w:r>
      <w:proofErr w:type="spellEnd"/>
      <w:r>
        <w:rPr>
          <w:bCs/>
        </w:rPr>
        <w:t>, prepubertal female Wistar rats (3 weeks old; 40</w:t>
      </w:r>
      <w:r>
        <w:rPr>
          <w:bCs/>
          <w:highlight w:val="yellow"/>
        </w:rPr>
        <w:t>–</w:t>
      </w:r>
      <w:r>
        <w:rPr>
          <w:bCs/>
        </w:rPr>
        <w:t>50 g) were randomly allocated to three experimental groups. Group I (Control, n=5) received 0.1 m</w:t>
      </w:r>
      <w:r>
        <w:rPr>
          <w:bCs/>
          <w:highlight w:val="yellow"/>
        </w:rPr>
        <w:t>L</w:t>
      </w:r>
      <w:r>
        <w:rPr>
          <w:bCs/>
        </w:rPr>
        <w:t xml:space="preserve"> of corn oil subcutaneously. PCOS was induced in Group II (n=5) </w:t>
      </w:r>
      <w:r>
        <w:rPr>
          <w:bCs/>
          <w:highlight w:val="yellow"/>
        </w:rPr>
        <w:t>by</w:t>
      </w:r>
      <w:r>
        <w:rPr>
          <w:bCs/>
        </w:rPr>
        <w:t xml:space="preserve"> subcutaneous administration of testosterone propionate (10 mg/kg/day), while </w:t>
      </w:r>
      <w:r>
        <w:rPr>
          <w:bCs/>
          <w:highlight w:val="yellow"/>
        </w:rPr>
        <w:t>G</w:t>
      </w:r>
      <w:r>
        <w:rPr>
          <w:bCs/>
        </w:rPr>
        <w:t>roup III rats (</w:t>
      </w:r>
      <w:proofErr w:type="spellStart"/>
      <w:r>
        <w:rPr>
          <w:bCs/>
        </w:rPr>
        <w:t>PCOS+BaP</w:t>
      </w:r>
      <w:proofErr w:type="spellEnd"/>
      <w:r>
        <w:rPr>
          <w:bCs/>
        </w:rPr>
        <w:t>, n=5) received concurrent subcutaneous injection</w:t>
      </w:r>
      <w:r>
        <w:rPr>
          <w:bCs/>
          <w:highlight w:val="yellow"/>
        </w:rPr>
        <w:t>s</w:t>
      </w:r>
      <w:r>
        <w:rPr>
          <w:bCs/>
        </w:rPr>
        <w:t xml:space="preserve"> of testosterone propionate (10 mg/kg/day) and benzo(a)pyrene (10 µg/kg/day) (Octopus </w:t>
      </w:r>
      <w:proofErr w:type="spellStart"/>
      <w:r>
        <w:rPr>
          <w:bCs/>
        </w:rPr>
        <w:t>Multiscience</w:t>
      </w:r>
      <w:proofErr w:type="spellEnd"/>
      <w:r>
        <w:rPr>
          <w:bCs/>
        </w:rPr>
        <w:t>, Osogbo) for 28 days. Corn oil (0.1 m</w:t>
      </w:r>
      <w:r>
        <w:rPr>
          <w:bCs/>
          <w:highlight w:val="yellow"/>
        </w:rPr>
        <w:t>L</w:t>
      </w:r>
      <w:r>
        <w:rPr>
          <w:bCs/>
        </w:rPr>
        <w:t>) served as</w:t>
      </w:r>
      <w:r>
        <w:rPr>
          <w:bCs/>
          <w:highlight w:val="yellow"/>
        </w:rPr>
        <w:t xml:space="preserve"> the</w:t>
      </w:r>
      <w:r>
        <w:rPr>
          <w:bCs/>
        </w:rPr>
        <w:t xml:space="preserve"> vehicle for the administration of both testosterone and </w:t>
      </w:r>
      <w:proofErr w:type="spellStart"/>
      <w:r>
        <w:rPr>
          <w:bCs/>
        </w:rPr>
        <w:t>BaP</w:t>
      </w:r>
      <w:proofErr w:type="spellEnd"/>
      <w:r>
        <w:rPr>
          <w:bCs/>
        </w:rPr>
        <w:t xml:space="preserve">, which was </w:t>
      </w:r>
      <w:r>
        <w:rPr>
          <w:bCs/>
          <w:highlight w:val="yellow"/>
        </w:rPr>
        <w:t>performe</w:t>
      </w:r>
      <w:r>
        <w:rPr>
          <w:bCs/>
        </w:rPr>
        <w:t>d between 8:00</w:t>
      </w:r>
      <w:r>
        <w:rPr>
          <w:bCs/>
          <w:highlight w:val="yellow"/>
        </w:rPr>
        <w:t xml:space="preserve"> and </w:t>
      </w:r>
      <w:r>
        <w:rPr>
          <w:bCs/>
        </w:rPr>
        <w:t xml:space="preserve">10:00 hours each day. Testosterone and </w:t>
      </w:r>
      <w:proofErr w:type="spellStart"/>
      <w:r>
        <w:rPr>
          <w:bCs/>
        </w:rPr>
        <w:t>BaP</w:t>
      </w:r>
      <w:proofErr w:type="spellEnd"/>
      <w:r>
        <w:rPr>
          <w:bCs/>
        </w:rPr>
        <w:t xml:space="preserve"> were sourced locally from Octopus </w:t>
      </w:r>
      <w:proofErr w:type="spellStart"/>
      <w:r>
        <w:rPr>
          <w:bCs/>
        </w:rPr>
        <w:t>MultiSciences</w:t>
      </w:r>
      <w:proofErr w:type="spellEnd"/>
      <w:r>
        <w:rPr>
          <w:bCs/>
        </w:rPr>
        <w:t>, Osogbo</w:t>
      </w:r>
      <w:r>
        <w:rPr>
          <w:bCs/>
          <w:highlight w:val="yellow"/>
        </w:rPr>
        <w:t>,</w:t>
      </w:r>
      <w:r>
        <w:rPr>
          <w:bCs/>
        </w:rPr>
        <w:t xml:space="preserve"> Nigeria.</w:t>
      </w:r>
    </w:p>
    <w:p w14:paraId="4B83713E" w14:textId="77777777" w:rsidR="00743788" w:rsidRPr="00A93723" w:rsidRDefault="00743788" w:rsidP="00A93723">
      <w:pPr>
        <w:pStyle w:val="Heading3"/>
      </w:pPr>
      <w:bookmarkStart w:id="4" w:name="_Toc231893452"/>
      <w:r w:rsidRPr="00A93723">
        <w:t>C</w:t>
      </w:r>
      <w:r w:rsidR="00E61E67" w:rsidRPr="00A93723">
        <w:t>ollection of biological samples</w:t>
      </w:r>
      <w:bookmarkEnd w:id="4"/>
    </w:p>
    <w:p w14:paraId="0C9C351D" w14:textId="77777777" w:rsidR="00743788" w:rsidRPr="00743788" w:rsidRDefault="00743788" w:rsidP="00F06C67">
      <w:pPr>
        <w:pBdr>
          <w:top w:val="nil"/>
          <w:left w:val="nil"/>
          <w:bottom w:val="nil"/>
          <w:right w:val="nil"/>
          <w:between w:val="nil"/>
        </w:pBdr>
        <w:spacing w:before="280" w:after="280"/>
        <w:rPr>
          <w:bCs/>
          <w:color w:val="000000"/>
        </w:rPr>
      </w:pPr>
      <w:r>
        <w:rPr>
          <w:bCs/>
          <w:color w:val="000000"/>
        </w:rPr>
        <w:t xml:space="preserve">At the end of the treatment period, rats were fasted overnight for eight (8) hours </w:t>
      </w:r>
      <w:r>
        <w:rPr>
          <w:bCs/>
          <w:color w:val="000000"/>
          <w:highlight w:val="yellow"/>
        </w:rPr>
        <w:t>bef</w:t>
      </w:r>
      <w:r>
        <w:rPr>
          <w:bCs/>
          <w:color w:val="000000"/>
        </w:rPr>
        <w:t>or</w:t>
      </w:r>
      <w:r>
        <w:rPr>
          <w:bCs/>
          <w:color w:val="000000"/>
          <w:highlight w:val="yellow"/>
        </w:rPr>
        <w:t>e</w:t>
      </w:r>
      <w:r>
        <w:rPr>
          <w:bCs/>
          <w:color w:val="000000"/>
        </w:rPr>
        <w:t xml:space="preserve"> sample collection. They were subsequently </w:t>
      </w:r>
      <w:proofErr w:type="spellStart"/>
      <w:r>
        <w:rPr>
          <w:bCs/>
          <w:color w:val="000000"/>
        </w:rPr>
        <w:t>anaestheti</w:t>
      </w:r>
      <w:r>
        <w:rPr>
          <w:bCs/>
          <w:color w:val="000000"/>
          <w:highlight w:val="yellow"/>
        </w:rPr>
        <w:t>s</w:t>
      </w:r>
      <w:r>
        <w:rPr>
          <w:bCs/>
          <w:color w:val="000000"/>
        </w:rPr>
        <w:t>ed</w:t>
      </w:r>
      <w:proofErr w:type="spellEnd"/>
      <w:r>
        <w:rPr>
          <w:bCs/>
          <w:color w:val="000000"/>
        </w:rPr>
        <w:t xml:space="preserve"> with ketamine and xylazine administered intraperitoneally at 75 mg/kg and 10 mg/kg body weight, respectively. Thoracotomy and lapar</w:t>
      </w:r>
      <w:r>
        <w:rPr>
          <w:bCs/>
          <w:color w:val="000000"/>
          <w:highlight w:val="yellow"/>
        </w:rPr>
        <w:t>o</w:t>
      </w:r>
      <w:r>
        <w:rPr>
          <w:bCs/>
          <w:color w:val="000000"/>
        </w:rPr>
        <w:t>tomy were performed to access the thoracic and abdominal cavities for the collection of biological samples.</w:t>
      </w:r>
    </w:p>
    <w:p w14:paraId="5FAE47FD" w14:textId="77777777" w:rsidR="00A92A8D" w:rsidRPr="00A93723" w:rsidRDefault="00AA24DF" w:rsidP="00A93723">
      <w:pPr>
        <w:pStyle w:val="Heading3"/>
      </w:pPr>
      <w:bookmarkStart w:id="5" w:name="_Toc231893453"/>
      <w:r w:rsidRPr="00A93723">
        <w:lastRenderedPageBreak/>
        <w:t>B</w:t>
      </w:r>
      <w:r w:rsidR="00E61E67" w:rsidRPr="00A93723">
        <w:t>lood collection</w:t>
      </w:r>
      <w:bookmarkEnd w:id="5"/>
    </w:p>
    <w:p w14:paraId="3C0CA66D" w14:textId="77777777" w:rsidR="00A92A8D" w:rsidRPr="00743788" w:rsidRDefault="005159C6" w:rsidP="001376D1">
      <w:pPr>
        <w:pBdr>
          <w:top w:val="nil"/>
          <w:left w:val="nil"/>
          <w:bottom w:val="nil"/>
          <w:right w:val="nil"/>
          <w:between w:val="nil"/>
        </w:pBdr>
        <w:spacing w:before="280" w:after="280"/>
        <w:rPr>
          <w:bCs/>
          <w:color w:val="000000"/>
        </w:rPr>
      </w:pPr>
      <w:r>
        <w:rPr>
          <w:bCs/>
          <w:color w:val="000000"/>
        </w:rPr>
        <w:t>Following thoracotomy, the thoracic cavity was accessed</w:t>
      </w:r>
      <w:r>
        <w:rPr>
          <w:bCs/>
          <w:color w:val="000000"/>
          <w:highlight w:val="yellow"/>
        </w:rPr>
        <w:t>,</w:t>
      </w:r>
      <w:r>
        <w:rPr>
          <w:bCs/>
          <w:color w:val="000000"/>
        </w:rPr>
        <w:t xml:space="preserve"> and blood samples were collected from the apex of the heart </w:t>
      </w:r>
      <w:r>
        <w:rPr>
          <w:bCs/>
          <w:color w:val="000000"/>
          <w:highlight w:val="yellow"/>
        </w:rPr>
        <w:t>by</w:t>
      </w:r>
      <w:r>
        <w:rPr>
          <w:bCs/>
          <w:color w:val="000000"/>
        </w:rPr>
        <w:t xml:space="preserve"> cardiac puncture using </w:t>
      </w:r>
      <w:r>
        <w:rPr>
          <w:bCs/>
          <w:color w:val="000000"/>
          <w:highlight w:val="yellow"/>
        </w:rPr>
        <w:t xml:space="preserve">a </w:t>
      </w:r>
      <w:r>
        <w:rPr>
          <w:bCs/>
          <w:color w:val="000000"/>
        </w:rPr>
        <w:t>5 m</w:t>
      </w:r>
      <w:r>
        <w:rPr>
          <w:bCs/>
          <w:color w:val="000000"/>
          <w:highlight w:val="yellow"/>
        </w:rPr>
        <w:t>L</w:t>
      </w:r>
      <w:r>
        <w:rPr>
          <w:bCs/>
          <w:color w:val="000000"/>
        </w:rPr>
        <w:t xml:space="preserve"> syringe. The collected blood was transferred into plain sample bottles and allowed to clot at room temperature (25 </w:t>
      </w:r>
      <w:r>
        <w:rPr>
          <w:bCs/>
          <w:color w:val="000000"/>
          <w:highlight w:val="yellow"/>
          <w:vertAlign w:val="superscript"/>
        </w:rPr>
        <w:t>°</w:t>
      </w:r>
      <w:r>
        <w:rPr>
          <w:bCs/>
          <w:color w:val="000000"/>
        </w:rPr>
        <w:t xml:space="preserve">C) for 30 minutes </w:t>
      </w:r>
      <w:r>
        <w:rPr>
          <w:bCs/>
          <w:color w:val="000000"/>
          <w:highlight w:val="yellow"/>
        </w:rPr>
        <w:t>bef</w:t>
      </w:r>
      <w:r>
        <w:rPr>
          <w:bCs/>
          <w:color w:val="000000"/>
        </w:rPr>
        <w:t>or</w:t>
      </w:r>
      <w:r>
        <w:rPr>
          <w:bCs/>
          <w:color w:val="000000"/>
          <w:highlight w:val="yellow"/>
        </w:rPr>
        <w:t>e</w:t>
      </w:r>
      <w:r>
        <w:rPr>
          <w:bCs/>
          <w:color w:val="000000"/>
        </w:rPr>
        <w:t xml:space="preserve"> centrifugation. The blood samples were centrifuged at 2000 </w:t>
      </w:r>
      <w:r>
        <w:rPr>
          <w:bCs/>
          <w:color w:val="000000"/>
          <w:highlight w:val="yellow"/>
        </w:rPr>
        <w:t>×</w:t>
      </w:r>
      <w:r>
        <w:rPr>
          <w:bCs/>
          <w:color w:val="000000"/>
        </w:rPr>
        <w:t xml:space="preserve"> g for 10 minutes to obtain serum. The separated serum was then transferred into plain sample bottles and stored at −20 °C until further biochemical analysis.</w:t>
      </w:r>
    </w:p>
    <w:p w14:paraId="4C59848E" w14:textId="77777777" w:rsidR="0001390D" w:rsidRDefault="00252DD3" w:rsidP="0001390D">
      <w:pPr>
        <w:pStyle w:val="Heading3"/>
      </w:pPr>
      <w:bookmarkStart w:id="6" w:name="_Toc231893454"/>
      <w:r>
        <w:t xml:space="preserve">Whole-body </w:t>
      </w:r>
      <w:r w:rsidR="00E61E67" w:rsidRPr="00A93723">
        <w:t>perfusion and tissue fixation</w:t>
      </w:r>
      <w:bookmarkStart w:id="7" w:name="_Toc231893456"/>
      <w:bookmarkEnd w:id="6"/>
    </w:p>
    <w:p w14:paraId="213F1713" w14:textId="77777777" w:rsidR="0001390D" w:rsidRDefault="0001390D" w:rsidP="0001390D">
      <w:pPr>
        <w:pStyle w:val="Heading3"/>
      </w:pPr>
    </w:p>
    <w:p w14:paraId="0C65056E" w14:textId="77777777" w:rsidR="0001390D" w:rsidRDefault="0001390D" w:rsidP="0001390D">
      <w:r>
        <w:rPr>
          <w:bCs/>
          <w:color w:val="000000"/>
        </w:rPr>
        <w:t xml:space="preserve">After </w:t>
      </w:r>
      <w:r>
        <w:rPr>
          <w:bCs/>
          <w:color w:val="000000"/>
          <w:lang w:val="en-US"/>
        </w:rPr>
        <w:t>blood collection,</w:t>
      </w:r>
      <w:r>
        <w:rPr>
          <w:bCs/>
          <w:color w:val="000000"/>
          <w:highlight w:val="yellow"/>
          <w:lang w:val="en-US"/>
        </w:rPr>
        <w:t xml:space="preserve"> the</w:t>
      </w:r>
      <w:r>
        <w:rPr>
          <w:bCs/>
          <w:color w:val="000000"/>
          <w:lang w:val="en-US"/>
        </w:rPr>
        <w:t xml:space="preserve"> rats underwent </w:t>
      </w:r>
      <w:proofErr w:type="spellStart"/>
      <w:r>
        <w:rPr>
          <w:bCs/>
          <w:color w:val="000000"/>
          <w:lang w:val="en-US"/>
        </w:rPr>
        <w:t>transcardial</w:t>
      </w:r>
      <w:proofErr w:type="spellEnd"/>
      <w:r>
        <w:rPr>
          <w:bCs/>
          <w:color w:val="000000"/>
          <w:lang w:val="en-US"/>
        </w:rPr>
        <w:t xml:space="preserve"> perfusion to preserve tissue morphology. They were initially perf</w:t>
      </w:r>
      <w:r>
        <w:rPr>
          <w:bCs/>
          <w:color w:val="000000"/>
          <w:highlight w:val="yellow"/>
          <w:lang w:val="en-US"/>
        </w:rPr>
        <w:t>u</w:t>
      </w:r>
      <w:r>
        <w:rPr>
          <w:bCs/>
          <w:color w:val="000000"/>
          <w:lang w:val="en-US"/>
        </w:rPr>
        <w:t>sed with 10 mL of normal saline via the left ventricle, followed immediately by perfusion with 10% neutral-buffered formalin to ensure optimal in situ tissue fixation. Subsequently, a midline laparotomy was performed to expose the reproductive organs. The ovaries were carefully excised and post-fixed in 10% neutral</w:t>
      </w:r>
      <w:r>
        <w:rPr>
          <w:bCs/>
          <w:color w:val="000000"/>
          <w:highlight w:val="yellow"/>
          <w:lang w:val="en-US"/>
        </w:rPr>
        <w:t>-</w:t>
      </w:r>
      <w:r>
        <w:rPr>
          <w:bCs/>
          <w:color w:val="000000"/>
          <w:lang w:val="en-US"/>
        </w:rPr>
        <w:t>buffered formalin to prevent autolysis pending subsequent histological processing</w:t>
      </w:r>
      <w:r>
        <w:rPr>
          <w:bCs/>
          <w:color w:val="000000"/>
          <w:highlight w:val="yellow"/>
          <w:lang w:val="en-US"/>
        </w:rPr>
        <w:t>.</w:t>
      </w:r>
    </w:p>
    <w:p w14:paraId="1A8DF20E" w14:textId="77777777" w:rsidR="00D81E57" w:rsidRPr="00A93723" w:rsidRDefault="00E30279" w:rsidP="0001390D">
      <w:pPr>
        <w:pStyle w:val="Heading3"/>
        <w:spacing w:after="240"/>
      </w:pPr>
      <w:r w:rsidRPr="00A93723">
        <w:t>T</w:t>
      </w:r>
      <w:r w:rsidR="00491B3D" w:rsidRPr="00A93723">
        <w:t xml:space="preserve">issue processing and </w:t>
      </w:r>
      <w:bookmarkEnd w:id="7"/>
      <w:r w:rsidR="00491B3D">
        <w:t>microscopy</w:t>
      </w:r>
    </w:p>
    <w:p w14:paraId="528BB330" w14:textId="77777777" w:rsidR="008E4CE4" w:rsidRPr="00743788" w:rsidRDefault="008E4CE4" w:rsidP="008E4CE4">
      <w:pPr>
        <w:rPr>
          <w:bCs/>
        </w:rPr>
      </w:pPr>
      <w:r>
        <w:rPr>
          <w:bCs/>
        </w:rPr>
        <w:t>Following fixation, the ovarian tissues were subjected to routine histological processing. Briefly,</w:t>
      </w:r>
      <w:r>
        <w:rPr>
          <w:bCs/>
          <w:highlight w:val="yellow"/>
        </w:rPr>
        <w:t xml:space="preserve"> the</w:t>
      </w:r>
      <w:r>
        <w:rPr>
          <w:bCs/>
        </w:rPr>
        <w:t xml:space="preserve"> tissues were dehydrated through ascending grades of ethanol (70%, 96%, and absolute ethanol), followed by clearing in three changes of xylene. The cleared ovarian tissues were infiltrated with molten paraffin wax at 58</w:t>
      </w:r>
      <w:r>
        <w:rPr>
          <w:bCs/>
          <w:highlight w:val="yellow"/>
        </w:rPr>
        <w:t xml:space="preserve"> </w:t>
      </w:r>
      <w:r>
        <w:rPr>
          <w:bCs/>
        </w:rPr>
        <w:t xml:space="preserve">°C for 45 minutes and then embedded in paraffin wax. The resulting paraffin-embedded blocks were sectioned at a thickness of 5 µm using a rotary microtome. Tissue sections were floated on a warm water bath to eliminate wrinkles, mounted onto clean glass slides, and prepared for light microscopy </w:t>
      </w:r>
      <w:r>
        <w:rPr>
          <w:bCs/>
          <w:highlight w:val="yellow"/>
        </w:rPr>
        <w:t>using</w:t>
      </w:r>
      <w:r>
        <w:rPr>
          <w:bCs/>
        </w:rPr>
        <w:t xml:space="preserve"> the Gordon and Sweet’s reticulin staining technique.</w:t>
      </w:r>
    </w:p>
    <w:p w14:paraId="546629CE" w14:textId="77777777" w:rsidR="00A92A8D" w:rsidRPr="00A93723" w:rsidRDefault="005159C6" w:rsidP="00A93723">
      <w:pPr>
        <w:pStyle w:val="Heading3"/>
      </w:pPr>
      <w:bookmarkStart w:id="8" w:name="_Toc231893457"/>
      <w:r w:rsidRPr="00A93723">
        <w:lastRenderedPageBreak/>
        <w:t>G</w:t>
      </w:r>
      <w:r w:rsidR="00491B3D" w:rsidRPr="00A93723">
        <w:t xml:space="preserve">ordon </w:t>
      </w:r>
      <w:r w:rsidR="00491B3D">
        <w:t>and</w:t>
      </w:r>
      <w:r w:rsidRPr="00A93723">
        <w:t xml:space="preserve"> S</w:t>
      </w:r>
      <w:r w:rsidR="00491B3D" w:rsidRPr="00A93723">
        <w:t>weet’s reticulin staining procedure</w:t>
      </w:r>
      <w:bookmarkEnd w:id="8"/>
    </w:p>
    <w:p w14:paraId="6E5E96DB" w14:textId="77777777" w:rsidR="0089620B" w:rsidRPr="00743788" w:rsidRDefault="008E4CE4" w:rsidP="008E4CE4">
      <w:pPr>
        <w:pBdr>
          <w:top w:val="nil"/>
          <w:left w:val="nil"/>
          <w:bottom w:val="nil"/>
          <w:right w:val="nil"/>
          <w:between w:val="nil"/>
        </w:pBdr>
        <w:spacing w:before="280" w:after="280"/>
        <w:rPr>
          <w:bCs/>
          <w:color w:val="000000"/>
        </w:rPr>
      </w:pPr>
      <w:r>
        <w:rPr>
          <w:bCs/>
          <w:color w:val="000000"/>
        </w:rPr>
        <w:t xml:space="preserve">The mounted tissue sections were </w:t>
      </w:r>
      <w:proofErr w:type="spellStart"/>
      <w:r>
        <w:rPr>
          <w:bCs/>
          <w:color w:val="000000"/>
        </w:rPr>
        <w:t>deparaffini</w:t>
      </w:r>
      <w:r>
        <w:rPr>
          <w:bCs/>
          <w:color w:val="000000"/>
          <w:highlight w:val="yellow"/>
        </w:rPr>
        <w:t>s</w:t>
      </w:r>
      <w:r>
        <w:rPr>
          <w:bCs/>
          <w:color w:val="000000"/>
        </w:rPr>
        <w:t>ed</w:t>
      </w:r>
      <w:proofErr w:type="spellEnd"/>
      <w:r>
        <w:rPr>
          <w:bCs/>
          <w:color w:val="000000"/>
        </w:rPr>
        <w:t xml:space="preserve"> in xylene and rehydrated through descending grades of ethanol to distilled water. Oxidation was achieved using Mallory bleach solution for 5 minutes, followed by treatment with 1% oxalic acid for 2 minutes to remove the excess </w:t>
      </w:r>
      <w:proofErr w:type="spellStart"/>
      <w:r>
        <w:rPr>
          <w:bCs/>
          <w:color w:val="000000"/>
        </w:rPr>
        <w:t>oxidi</w:t>
      </w:r>
      <w:r>
        <w:rPr>
          <w:bCs/>
          <w:color w:val="000000"/>
          <w:highlight w:val="yellow"/>
        </w:rPr>
        <w:t>s</w:t>
      </w:r>
      <w:r>
        <w:rPr>
          <w:bCs/>
          <w:color w:val="000000"/>
        </w:rPr>
        <w:t>ing</w:t>
      </w:r>
      <w:proofErr w:type="spellEnd"/>
      <w:r>
        <w:rPr>
          <w:bCs/>
          <w:color w:val="000000"/>
        </w:rPr>
        <w:t xml:space="preserve"> agent. </w:t>
      </w:r>
      <w:r>
        <w:rPr>
          <w:bCs/>
          <w:color w:val="000000"/>
          <w:highlight w:val="yellow"/>
        </w:rPr>
        <w:t>After</w:t>
      </w:r>
      <w:r>
        <w:rPr>
          <w:bCs/>
          <w:color w:val="000000"/>
        </w:rPr>
        <w:t xml:space="preserve"> thorough rins</w:t>
      </w:r>
      <w:r>
        <w:rPr>
          <w:bCs/>
          <w:color w:val="000000"/>
          <w:highlight w:val="yellow"/>
        </w:rPr>
        <w:t>ing</w:t>
      </w:r>
      <w:r>
        <w:rPr>
          <w:bCs/>
          <w:color w:val="000000"/>
        </w:rPr>
        <w:t xml:space="preserve"> in distilled and tap water, the sections were </w:t>
      </w:r>
      <w:proofErr w:type="spellStart"/>
      <w:r>
        <w:rPr>
          <w:bCs/>
          <w:color w:val="000000"/>
        </w:rPr>
        <w:t>sensiti</w:t>
      </w:r>
      <w:r>
        <w:rPr>
          <w:bCs/>
          <w:color w:val="000000"/>
          <w:highlight w:val="yellow"/>
        </w:rPr>
        <w:t>s</w:t>
      </w:r>
      <w:r>
        <w:rPr>
          <w:bCs/>
          <w:color w:val="000000"/>
        </w:rPr>
        <w:t>ed</w:t>
      </w:r>
      <w:proofErr w:type="spellEnd"/>
      <w:r>
        <w:rPr>
          <w:bCs/>
          <w:color w:val="000000"/>
        </w:rPr>
        <w:t xml:space="preserve"> by immersion in 2.5% iron alum solution for 15 minutes. The tissue sections were then rinsed in distilled water, treated with freshly prepared ammoniacal silver solution for 30 seconds, and reduced using 10% formalin solution for 1 minute. After washing in tap and distilled water, the sections were toned in 0.2% gold chloride solution to enhance staining contrast, rinsed, and fixed in 3% sodium thiosulphate solution for 10 minutes. </w:t>
      </w:r>
      <w:r>
        <w:rPr>
          <w:bCs/>
          <w:color w:val="000000"/>
          <w:highlight w:val="yellow"/>
        </w:rPr>
        <w:t>The s</w:t>
      </w:r>
      <w:r>
        <w:rPr>
          <w:bCs/>
          <w:color w:val="000000"/>
        </w:rPr>
        <w:t>ections were subsequently washed in running tap water, counterstained with 1% nuclear fast red for 1 minute, dehydrated through ascending grades of ethanol, cleared in xylene, and mounted using a resinous mounting medium.</w:t>
      </w:r>
    </w:p>
    <w:p w14:paraId="3DCE334A" w14:textId="77777777" w:rsidR="00A92A8D" w:rsidRPr="00A93723" w:rsidRDefault="00B4084E" w:rsidP="00A93723">
      <w:pPr>
        <w:pStyle w:val="Heading3"/>
      </w:pPr>
      <w:bookmarkStart w:id="9" w:name="_Toc231893458"/>
      <w:r w:rsidRPr="00A93723">
        <w:t>P</w:t>
      </w:r>
      <w:r w:rsidR="00491B3D" w:rsidRPr="00A93723">
        <w:t>hotomicrography</w:t>
      </w:r>
      <w:bookmarkEnd w:id="9"/>
    </w:p>
    <w:p w14:paraId="2A926EBB" w14:textId="77777777" w:rsidR="00A92A8D" w:rsidRPr="00F26983" w:rsidRDefault="005159C6" w:rsidP="001376D1">
      <w:pPr>
        <w:pBdr>
          <w:top w:val="nil"/>
          <w:left w:val="nil"/>
          <w:bottom w:val="nil"/>
          <w:right w:val="nil"/>
          <w:between w:val="nil"/>
        </w:pBdr>
        <w:spacing w:before="280" w:after="280"/>
        <w:rPr>
          <w:color w:val="000000"/>
        </w:rPr>
      </w:pPr>
      <w:r w:rsidRPr="00743788">
        <w:rPr>
          <w:bCs/>
          <w:color w:val="000000"/>
        </w:rPr>
        <w:t xml:space="preserve">The stained ovarian tissue sections were examined using a Carl Zeiss AX10 light microscope (Carl Zeiss, Germany), and photomicrographs were captured with a ZEISS </w:t>
      </w:r>
      <w:proofErr w:type="spellStart"/>
      <w:r w:rsidRPr="00743788">
        <w:rPr>
          <w:bCs/>
          <w:color w:val="000000"/>
        </w:rPr>
        <w:t>Axiocam</w:t>
      </w:r>
      <w:proofErr w:type="spellEnd"/>
      <w:r w:rsidRPr="00743788">
        <w:rPr>
          <w:bCs/>
          <w:color w:val="000000"/>
        </w:rPr>
        <w:t xml:space="preserve"> </w:t>
      </w:r>
      <w:proofErr w:type="spellStart"/>
      <w:r w:rsidRPr="00743788">
        <w:rPr>
          <w:bCs/>
          <w:color w:val="000000"/>
        </w:rPr>
        <w:t>ERc</w:t>
      </w:r>
      <w:proofErr w:type="spellEnd"/>
      <w:r w:rsidRPr="00743788">
        <w:rPr>
          <w:bCs/>
          <w:color w:val="000000"/>
        </w:rPr>
        <w:t xml:space="preserve"> 5s digital camera (Carl Zeiss, Germany) for</w:t>
      </w:r>
      <w:r w:rsidR="00F26983">
        <w:rPr>
          <w:bCs/>
          <w:color w:val="000000"/>
        </w:rPr>
        <w:t xml:space="preserve"> </w:t>
      </w:r>
      <w:r w:rsidR="00F26983" w:rsidRPr="00F26983">
        <w:rPr>
          <w:bCs/>
          <w:color w:val="000000"/>
        </w:rPr>
        <w:t xml:space="preserve">detailed </w:t>
      </w:r>
      <w:r w:rsidR="00F26983" w:rsidRPr="00F26983">
        <w:rPr>
          <w:color w:val="000000"/>
        </w:rPr>
        <w:t>histochemical assessment</w:t>
      </w:r>
      <w:r w:rsidR="00450BC0">
        <w:rPr>
          <w:color w:val="000000"/>
        </w:rPr>
        <w:t xml:space="preserve"> of ovarian histology</w:t>
      </w:r>
      <w:r w:rsidRPr="00F26983">
        <w:rPr>
          <w:color w:val="000000"/>
        </w:rPr>
        <w:t>.</w:t>
      </w:r>
    </w:p>
    <w:p w14:paraId="4EAED566" w14:textId="77777777" w:rsidR="00AA24DF" w:rsidRPr="00A93723" w:rsidRDefault="00F4142D" w:rsidP="00A93723">
      <w:pPr>
        <w:pStyle w:val="Heading2"/>
      </w:pPr>
      <w:r>
        <w:t xml:space="preserve">Image analysis and quantification of reticular </w:t>
      </w:r>
      <w:proofErr w:type="spellStart"/>
      <w:r>
        <w:t>fib</w:t>
      </w:r>
      <w:r>
        <w:rPr>
          <w:highlight w:val="yellow"/>
        </w:rPr>
        <w:t>r</w:t>
      </w:r>
      <w:r>
        <w:t>es</w:t>
      </w:r>
      <w:proofErr w:type="spellEnd"/>
    </w:p>
    <w:p w14:paraId="243D7F40" w14:textId="77777777" w:rsidR="008E4CE4" w:rsidRPr="00743788" w:rsidRDefault="008E4CE4" w:rsidP="008E4CE4">
      <w:pPr>
        <w:rPr>
          <w:bCs/>
          <w:lang w:val="en-US"/>
        </w:rPr>
      </w:pPr>
      <w:r>
        <w:rPr>
          <w:bCs/>
        </w:rPr>
        <w:t xml:space="preserve">The extent of reticular </w:t>
      </w:r>
      <w:proofErr w:type="spellStart"/>
      <w:r>
        <w:rPr>
          <w:bCs/>
        </w:rPr>
        <w:t>fib</w:t>
      </w:r>
      <w:r>
        <w:rPr>
          <w:bCs/>
          <w:highlight w:val="yellow"/>
        </w:rPr>
        <w:t>r</w:t>
      </w:r>
      <w:r>
        <w:rPr>
          <w:bCs/>
        </w:rPr>
        <w:t>e</w:t>
      </w:r>
      <w:proofErr w:type="spellEnd"/>
      <w:r>
        <w:rPr>
          <w:bCs/>
        </w:rPr>
        <w:t xml:space="preserve"> deposition within the theca externa region of the ovary was quantified in Gordon and Sweet-stained sections using Fiji ImageJ software (National Institutes of Health, USA). Digital photomicrographs captured at ×200 magnification were subjected to </w:t>
      </w:r>
      <w:proofErr w:type="spellStart"/>
      <w:r>
        <w:rPr>
          <w:bCs/>
        </w:rPr>
        <w:t>colour</w:t>
      </w:r>
      <w:proofErr w:type="spellEnd"/>
      <w:r>
        <w:rPr>
          <w:bCs/>
        </w:rPr>
        <w:t xml:space="preserve"> deconvolution using the H-DAB vector to isolate the stained reticular </w:t>
      </w:r>
      <w:proofErr w:type="spellStart"/>
      <w:r>
        <w:rPr>
          <w:bCs/>
        </w:rPr>
        <w:t>fib</w:t>
      </w:r>
      <w:r>
        <w:rPr>
          <w:bCs/>
          <w:highlight w:val="yellow"/>
        </w:rPr>
        <w:t>r</w:t>
      </w:r>
      <w:r>
        <w:rPr>
          <w:bCs/>
        </w:rPr>
        <w:t>es</w:t>
      </w:r>
      <w:proofErr w:type="spellEnd"/>
      <w:r>
        <w:rPr>
          <w:bCs/>
        </w:rPr>
        <w:t xml:space="preserve">. The channel exhibiting the best contrast was selected and </w:t>
      </w:r>
      <w:proofErr w:type="spellStart"/>
      <w:r>
        <w:rPr>
          <w:bCs/>
        </w:rPr>
        <w:t>thresholded</w:t>
      </w:r>
      <w:proofErr w:type="spellEnd"/>
      <w:r>
        <w:rPr>
          <w:bCs/>
        </w:rPr>
        <w:t xml:space="preserve">. A fixed rectangular region of interest </w:t>
      </w:r>
      <w:r>
        <w:rPr>
          <w:bCs/>
        </w:rPr>
        <w:lastRenderedPageBreak/>
        <w:t xml:space="preserve">measuring 45 by 51 pixels was consistently applied to the theca externa region. Reticular </w:t>
      </w:r>
      <w:proofErr w:type="spellStart"/>
      <w:r>
        <w:rPr>
          <w:bCs/>
        </w:rPr>
        <w:t>fib</w:t>
      </w:r>
      <w:r>
        <w:rPr>
          <w:bCs/>
          <w:highlight w:val="yellow"/>
        </w:rPr>
        <w:t>r</w:t>
      </w:r>
      <w:r>
        <w:rPr>
          <w:bCs/>
        </w:rPr>
        <w:t>e</w:t>
      </w:r>
      <w:proofErr w:type="spellEnd"/>
      <w:r>
        <w:rPr>
          <w:bCs/>
        </w:rPr>
        <w:t xml:space="preserve"> deposition was quantified using the area fraction parameter and expressed as </w:t>
      </w:r>
      <w:r>
        <w:rPr>
          <w:bCs/>
          <w:highlight w:val="yellow"/>
        </w:rPr>
        <w:t xml:space="preserve">a </w:t>
      </w:r>
      <w:r>
        <w:rPr>
          <w:bCs/>
        </w:rPr>
        <w:t xml:space="preserve">percentage area. A total of six independent microscopic fields were </w:t>
      </w:r>
      <w:proofErr w:type="spellStart"/>
      <w:r>
        <w:rPr>
          <w:bCs/>
        </w:rPr>
        <w:t>analy</w:t>
      </w:r>
      <w:r>
        <w:rPr>
          <w:bCs/>
          <w:highlight w:val="yellow"/>
        </w:rPr>
        <w:t>s</w:t>
      </w:r>
      <w:r>
        <w:rPr>
          <w:bCs/>
        </w:rPr>
        <w:t>ed</w:t>
      </w:r>
      <w:proofErr w:type="spellEnd"/>
      <w:r>
        <w:rPr>
          <w:bCs/>
        </w:rPr>
        <w:t xml:space="preserve"> per group under identical conditions to ensure reproducibility.</w:t>
      </w:r>
    </w:p>
    <w:p w14:paraId="664781E1" w14:textId="77777777" w:rsidR="00A92A8D" w:rsidRPr="00A93723" w:rsidRDefault="00491B3D" w:rsidP="00A93723">
      <w:pPr>
        <w:pStyle w:val="Heading2"/>
      </w:pPr>
      <w:r>
        <w:t xml:space="preserve">Biochemical </w:t>
      </w:r>
      <w:r>
        <w:rPr>
          <w:highlight w:val="yellow"/>
        </w:rPr>
        <w:t>a</w:t>
      </w:r>
      <w:r>
        <w:t xml:space="preserve">ssay </w:t>
      </w:r>
      <w:r>
        <w:rPr>
          <w:highlight w:val="yellow"/>
        </w:rPr>
        <w:t>p</w:t>
      </w:r>
      <w:r>
        <w:t>rocedure</w:t>
      </w:r>
      <w:r>
        <w:rPr>
          <w:highlight w:val="yellow"/>
        </w:rPr>
        <w:t>s</w:t>
      </w:r>
      <w:r>
        <w:t xml:space="preserve"> for </w:t>
      </w:r>
      <w:r>
        <w:rPr>
          <w:highlight w:val="yellow"/>
        </w:rPr>
        <w:t>r</w:t>
      </w:r>
      <w:r>
        <w:t xml:space="preserve">eproductive </w:t>
      </w:r>
      <w:r>
        <w:rPr>
          <w:highlight w:val="yellow"/>
        </w:rPr>
        <w:t>h</w:t>
      </w:r>
      <w:r>
        <w:t>ormones</w:t>
      </w:r>
    </w:p>
    <w:p w14:paraId="604E8774" w14:textId="77777777" w:rsidR="00A92A8D" w:rsidRPr="00A93723" w:rsidRDefault="005159C6" w:rsidP="00856654">
      <w:pPr>
        <w:pStyle w:val="Heading3"/>
        <w:spacing w:after="240"/>
      </w:pPr>
      <w:bookmarkStart w:id="10" w:name="_Toc231893461"/>
      <w:r w:rsidRPr="00A93723">
        <w:t>T</w:t>
      </w:r>
      <w:r w:rsidR="00491B3D" w:rsidRPr="00A93723">
        <w:t>estosterone assay procedure</w:t>
      </w:r>
      <w:bookmarkEnd w:id="10"/>
    </w:p>
    <w:p w14:paraId="3FAF4A80" w14:textId="77777777" w:rsidR="0040613F" w:rsidRPr="00743788" w:rsidRDefault="0040613F" w:rsidP="0040613F">
      <w:pPr>
        <w:rPr>
          <w:bCs/>
        </w:rPr>
      </w:pPr>
      <w:r>
        <w:rPr>
          <w:bCs/>
        </w:rPr>
        <w:t>Serum testosterone concentrations were quantified using a competitive enzyme immunoassay method. For this procedure, 10 µL aliquots of serum samples, standards, and controls were assayed in duplicate in microplate wells. Each well received 50 µL of testosterone enzyme conjugate and 50 µL of biotinylated testosterone antibody to initiate competitive binding. Following a 60</w:t>
      </w:r>
      <w:r>
        <w:rPr>
          <w:bCs/>
          <w:highlight w:val="yellow"/>
        </w:rPr>
        <w:t>-</w:t>
      </w:r>
      <w:r>
        <w:rPr>
          <w:bCs/>
        </w:rPr>
        <w:t xml:space="preserve">minute incubation at room temperature (25 °C), the plates were decanted and washed three times with 350 µL of wash buffer to remove unbound fractions. Subsequently, 100 µL of working substrate solution was added and incubated for 15 minutes to allow </w:t>
      </w:r>
      <w:proofErr w:type="spellStart"/>
      <w:r>
        <w:rPr>
          <w:bCs/>
        </w:rPr>
        <w:t>colour</w:t>
      </w:r>
      <w:proofErr w:type="spellEnd"/>
      <w:r>
        <w:rPr>
          <w:bCs/>
        </w:rPr>
        <w:t xml:space="preserve"> development, which </w:t>
      </w:r>
      <w:r>
        <w:rPr>
          <w:bCs/>
          <w:highlight w:val="yellow"/>
        </w:rPr>
        <w:t>wa</w:t>
      </w:r>
      <w:r>
        <w:rPr>
          <w:bCs/>
        </w:rPr>
        <w:t>s inversely proportional to the native testosterone concentration. The reaction was terminated with 50 µL of stop solution, and absorbance was immediately measured at 450 nm using a microplate reader. Unknown sample concentrations were extrapolated from a standard curve.</w:t>
      </w:r>
    </w:p>
    <w:p w14:paraId="42C9F6C7" w14:textId="77777777" w:rsidR="00A92A8D" w:rsidRPr="00A93723" w:rsidRDefault="005159C6" w:rsidP="00D85F10">
      <w:pPr>
        <w:pStyle w:val="Heading3"/>
        <w:spacing w:after="240"/>
      </w:pPr>
      <w:bookmarkStart w:id="11" w:name="_Toc231893462"/>
      <w:r w:rsidRPr="00A93723">
        <w:t>L</w:t>
      </w:r>
      <w:r w:rsidR="00D85F10" w:rsidRPr="00A93723">
        <w:t>uteinizing hormone (L</w:t>
      </w:r>
      <w:r w:rsidR="00D85F10">
        <w:t>H</w:t>
      </w:r>
      <w:r w:rsidR="00D85F10" w:rsidRPr="00A93723">
        <w:t>) assay procedure</w:t>
      </w:r>
      <w:bookmarkEnd w:id="11"/>
    </w:p>
    <w:p w14:paraId="590D07CF" w14:textId="77777777" w:rsidR="0040613F" w:rsidRPr="00743788" w:rsidRDefault="0040613F" w:rsidP="0040613F">
      <w:pPr>
        <w:rPr>
          <w:bCs/>
        </w:rPr>
      </w:pPr>
      <w:r>
        <w:rPr>
          <w:bCs/>
        </w:rPr>
        <w:t xml:space="preserve">Serum </w:t>
      </w:r>
      <w:proofErr w:type="spellStart"/>
      <w:r>
        <w:rPr>
          <w:bCs/>
        </w:rPr>
        <w:t>luteini</w:t>
      </w:r>
      <w:r>
        <w:rPr>
          <w:bCs/>
          <w:highlight w:val="yellow"/>
        </w:rPr>
        <w:t>s</w:t>
      </w:r>
      <w:r>
        <w:rPr>
          <w:bCs/>
        </w:rPr>
        <w:t>ing</w:t>
      </w:r>
      <w:proofErr w:type="spellEnd"/>
      <w:r>
        <w:rPr>
          <w:bCs/>
        </w:rPr>
        <w:t xml:space="preserve"> hormone (LH) concentrations were determined using a quantitative solid</w:t>
      </w:r>
      <w:r>
        <w:rPr>
          <w:bCs/>
          <w:highlight w:val="yellow"/>
        </w:rPr>
        <w:t>-</w:t>
      </w:r>
      <w:r>
        <w:rPr>
          <w:bCs/>
        </w:rPr>
        <w:t>phase enzyme</w:t>
      </w:r>
      <w:r>
        <w:rPr>
          <w:bCs/>
          <w:highlight w:val="yellow"/>
        </w:rPr>
        <w:t>-</w:t>
      </w:r>
      <w:r>
        <w:rPr>
          <w:bCs/>
        </w:rPr>
        <w:t xml:space="preserve">linked immunosorbent assay (ELISA) technique. For this procedure, 50 µL aliquots of serum samples, reconstituted standards, and controls were dispensed into </w:t>
      </w:r>
      <w:proofErr w:type="spellStart"/>
      <w:r>
        <w:rPr>
          <w:bCs/>
        </w:rPr>
        <w:t>microtit</w:t>
      </w:r>
      <w:r>
        <w:rPr>
          <w:bCs/>
          <w:highlight w:val="yellow"/>
        </w:rPr>
        <w:t>r</w:t>
      </w:r>
      <w:r>
        <w:rPr>
          <w:bCs/>
        </w:rPr>
        <w:t>e</w:t>
      </w:r>
      <w:proofErr w:type="spellEnd"/>
      <w:r>
        <w:rPr>
          <w:bCs/>
        </w:rPr>
        <w:t xml:space="preserve"> wells precoated with LH</w:t>
      </w:r>
      <w:r>
        <w:rPr>
          <w:bCs/>
          <w:highlight w:val="yellow"/>
        </w:rPr>
        <w:t>-</w:t>
      </w:r>
      <w:r>
        <w:rPr>
          <w:bCs/>
        </w:rPr>
        <w:t>specific antibodies. Each well subsequently received 100 µL of horseradish peroxidase</w:t>
      </w:r>
      <w:r>
        <w:rPr>
          <w:bCs/>
          <w:highlight w:val="yellow"/>
        </w:rPr>
        <w:t>-</w:t>
      </w:r>
      <w:r>
        <w:rPr>
          <w:bCs/>
        </w:rPr>
        <w:t>conjugated antibody to form an antigen</w:t>
      </w:r>
      <w:r>
        <w:rPr>
          <w:bCs/>
          <w:highlight w:val="yellow"/>
        </w:rPr>
        <w:t>-</w:t>
      </w:r>
      <w:r>
        <w:rPr>
          <w:bCs/>
        </w:rPr>
        <w:t>antibody sandwich. Following</w:t>
      </w:r>
      <w:r>
        <w:rPr>
          <w:bCs/>
          <w:highlight w:val="yellow"/>
        </w:rPr>
        <w:t xml:space="preserve"> a</w:t>
      </w:r>
      <w:r>
        <w:rPr>
          <w:bCs/>
        </w:rPr>
        <w:t xml:space="preserve"> 60-minute incubation at room temperature (25 °C), the wells were washed five times with wash buffer to </w:t>
      </w:r>
      <w:r>
        <w:rPr>
          <w:bCs/>
        </w:rPr>
        <w:lastRenderedPageBreak/>
        <w:t xml:space="preserve">remove unbound components. </w:t>
      </w:r>
      <w:proofErr w:type="spellStart"/>
      <w:r>
        <w:rPr>
          <w:bCs/>
        </w:rPr>
        <w:t>Colour</w:t>
      </w:r>
      <w:proofErr w:type="spellEnd"/>
      <w:r>
        <w:rPr>
          <w:bCs/>
        </w:rPr>
        <w:t xml:space="preserve"> development was induced by adding 100 µL of tetramethylbenzidine substrate and incubating for 20 minutes. The reaction was terminated using 100 µL of 2N hydrochloric acid stop solution, and absorbance was measured at 450 nm using a microplate reader. Sample LH concentrations, which were directly proportional to </w:t>
      </w:r>
      <w:proofErr w:type="spellStart"/>
      <w:r>
        <w:rPr>
          <w:bCs/>
        </w:rPr>
        <w:t>colour</w:t>
      </w:r>
      <w:proofErr w:type="spellEnd"/>
      <w:r>
        <w:rPr>
          <w:bCs/>
        </w:rPr>
        <w:t xml:space="preserve"> intensity, were extrapolated from a standard curve and expressed in </w:t>
      </w:r>
      <w:proofErr w:type="spellStart"/>
      <w:r>
        <w:rPr>
          <w:bCs/>
        </w:rPr>
        <w:t>mIU</w:t>
      </w:r>
      <w:proofErr w:type="spellEnd"/>
      <w:r>
        <w:rPr>
          <w:bCs/>
        </w:rPr>
        <w:t>/</w:t>
      </w:r>
      <w:proofErr w:type="spellStart"/>
      <w:r>
        <w:rPr>
          <w:bCs/>
        </w:rPr>
        <w:t>mL.</w:t>
      </w:r>
      <w:proofErr w:type="spellEnd"/>
    </w:p>
    <w:p w14:paraId="63F17008" w14:textId="77777777" w:rsidR="007B6AA7" w:rsidRPr="00A93723" w:rsidRDefault="005159C6" w:rsidP="00D85F10">
      <w:pPr>
        <w:pStyle w:val="Heading3"/>
        <w:spacing w:after="240"/>
      </w:pPr>
      <w:r>
        <w:t xml:space="preserve">Follicle-stimulating hormone (FSH) </w:t>
      </w:r>
      <w:r>
        <w:rPr>
          <w:highlight w:val="yellow"/>
        </w:rPr>
        <w:t xml:space="preserve">assay </w:t>
      </w:r>
      <w:r>
        <w:t>procedure</w:t>
      </w:r>
    </w:p>
    <w:p w14:paraId="4063C8F5" w14:textId="77777777" w:rsidR="0040613F" w:rsidRPr="00743788" w:rsidRDefault="0040613F" w:rsidP="0040613F">
      <w:pPr>
        <w:rPr>
          <w:bCs/>
        </w:rPr>
      </w:pPr>
      <w:r>
        <w:rPr>
          <w:bCs/>
        </w:rPr>
        <w:t xml:space="preserve">Serum follicle-stimulating hormone (FSH) concentrations were determined using an </w:t>
      </w:r>
      <w:proofErr w:type="spellStart"/>
      <w:r>
        <w:rPr>
          <w:bCs/>
        </w:rPr>
        <w:t>immunoenzymometric</w:t>
      </w:r>
      <w:proofErr w:type="spellEnd"/>
      <w:r>
        <w:rPr>
          <w:bCs/>
        </w:rPr>
        <w:t xml:space="preserve"> assay method. For this procedure, 50 µL aliquots of serum samples, reference calibrators, and controls were assayed in duplicate in streptavidin</w:t>
      </w:r>
      <w:r>
        <w:rPr>
          <w:bCs/>
          <w:highlight w:val="yellow"/>
        </w:rPr>
        <w:t>-</w:t>
      </w:r>
      <w:r>
        <w:rPr>
          <w:bCs/>
        </w:rPr>
        <w:t xml:space="preserve">coated </w:t>
      </w:r>
      <w:proofErr w:type="spellStart"/>
      <w:r>
        <w:rPr>
          <w:bCs/>
        </w:rPr>
        <w:t>microtit</w:t>
      </w:r>
      <w:r>
        <w:rPr>
          <w:bCs/>
          <w:highlight w:val="yellow"/>
        </w:rPr>
        <w:t>r</w:t>
      </w:r>
      <w:r>
        <w:rPr>
          <w:bCs/>
        </w:rPr>
        <w:t>e</w:t>
      </w:r>
      <w:proofErr w:type="spellEnd"/>
      <w:r>
        <w:rPr>
          <w:bCs/>
        </w:rPr>
        <w:t xml:space="preserve"> wells. Each well received 100 µL of FSH enzyme reagent solution, containing both biotinylated and enzyme</w:t>
      </w:r>
      <w:r>
        <w:rPr>
          <w:bCs/>
          <w:highlight w:val="yellow"/>
        </w:rPr>
        <w:t>-</w:t>
      </w:r>
      <w:r>
        <w:rPr>
          <w:bCs/>
        </w:rPr>
        <w:t xml:space="preserve">labelled monoclonal antibodies, to form a soluble sandwich complex with the native antigen. Following </w:t>
      </w:r>
      <w:r>
        <w:rPr>
          <w:bCs/>
          <w:highlight w:val="yellow"/>
        </w:rPr>
        <w:t xml:space="preserve">a </w:t>
      </w:r>
      <w:r>
        <w:rPr>
          <w:bCs/>
        </w:rPr>
        <w:t>60-minute incubation at 25 °C to allow complete streptavidin</w:t>
      </w:r>
      <w:r>
        <w:rPr>
          <w:bCs/>
          <w:highlight w:val="yellow"/>
        </w:rPr>
        <w:t>-</w:t>
      </w:r>
      <w:r>
        <w:rPr>
          <w:bCs/>
        </w:rPr>
        <w:t xml:space="preserve">biotin </w:t>
      </w:r>
      <w:proofErr w:type="spellStart"/>
      <w:r>
        <w:rPr>
          <w:bCs/>
        </w:rPr>
        <w:t>immobili</w:t>
      </w:r>
      <w:r>
        <w:rPr>
          <w:bCs/>
          <w:highlight w:val="yellow"/>
        </w:rPr>
        <w:t>s</w:t>
      </w:r>
      <w:r>
        <w:rPr>
          <w:bCs/>
        </w:rPr>
        <w:t>ation</w:t>
      </w:r>
      <w:proofErr w:type="spellEnd"/>
      <w:r>
        <w:rPr>
          <w:bCs/>
        </w:rPr>
        <w:t xml:space="preserve">, the plates were decanted and washed three times with 350 µL of wash buffer to separate unbound fractions. Subsequently, 100 µL of working substrate solution was added and incubated for 15 minutes to yield a </w:t>
      </w:r>
      <w:proofErr w:type="spellStart"/>
      <w:r>
        <w:rPr>
          <w:bCs/>
        </w:rPr>
        <w:t>colour</w:t>
      </w:r>
      <w:proofErr w:type="spellEnd"/>
      <w:r>
        <w:rPr>
          <w:bCs/>
        </w:rPr>
        <w:t xml:space="preserve"> reaction. The enzymatic reaction was terminated with 50 µL of stop solution, and absorbance was immediately measured at 450 nm using a microplate reader.</w:t>
      </w:r>
    </w:p>
    <w:p w14:paraId="4F2147FA" w14:textId="77777777" w:rsidR="007B6AA7" w:rsidRPr="00A93723" w:rsidRDefault="005159C6" w:rsidP="00C806ED">
      <w:pPr>
        <w:pStyle w:val="Heading3"/>
        <w:spacing w:after="240"/>
      </w:pPr>
      <w:bookmarkStart w:id="12" w:name="_Toc231893464"/>
      <w:r w:rsidRPr="00A93723">
        <w:t>C</w:t>
      </w:r>
      <w:r w:rsidR="00D85F10" w:rsidRPr="00A93723">
        <w:t xml:space="preserve">alculation of </w:t>
      </w:r>
      <w:r w:rsidRPr="00A93723">
        <w:t xml:space="preserve">LH:FSH </w:t>
      </w:r>
      <w:r w:rsidR="00D85F10" w:rsidRPr="00A93723">
        <w:t>ratio</w:t>
      </w:r>
      <w:bookmarkEnd w:id="12"/>
    </w:p>
    <w:p w14:paraId="4AD32E04" w14:textId="77777777" w:rsidR="00A92A8D" w:rsidRPr="00743788" w:rsidRDefault="005159C6" w:rsidP="001376D1">
      <w:pPr>
        <w:rPr>
          <w:bCs/>
        </w:rPr>
      </w:pPr>
      <w:r>
        <w:rPr>
          <w:bCs/>
          <w:highlight w:val="yellow"/>
        </w:rPr>
        <w:t xml:space="preserve">The </w:t>
      </w:r>
      <w:r>
        <w:rPr>
          <w:bCs/>
        </w:rPr>
        <w:t>LH:FSH ratio was calculated for each sample by dividing the corresponding LH value by the FSH value using the following equation:</w:t>
      </w:r>
    </w:p>
    <w:p w14:paraId="22993462" w14:textId="77777777" w:rsidR="00A92A8D" w:rsidRPr="00743788" w:rsidRDefault="005159C6" w:rsidP="001376D1">
      <w:pPr>
        <w:rPr>
          <w:bCs/>
        </w:rPr>
      </w:pPr>
      <w:proofErr w:type="gramStart"/>
      <w:r w:rsidRPr="00743788">
        <w:rPr>
          <w:bCs/>
        </w:rPr>
        <w:t>LH:FSH</w:t>
      </w:r>
      <w:proofErr w:type="gramEnd"/>
      <w:r w:rsidRPr="00743788">
        <w:rPr>
          <w:bCs/>
        </w:rPr>
        <w:t> Ratio</w:t>
      </w:r>
      <w:r w:rsidR="00891BA5">
        <w:rPr>
          <w:bCs/>
        </w:rPr>
        <w:t xml:space="preserve"> </w:t>
      </w:r>
      <w:r w:rsidRPr="00743788">
        <w:rPr>
          <w:bCs/>
        </w:rPr>
        <w:t>= ​​</w:t>
      </w:r>
      <m:oMath>
        <m:f>
          <m:fPr>
            <m:ctrlPr>
              <w:rPr>
                <w:rFonts w:ascii="Cambria Math" w:eastAsia="Cambria Math" w:hAnsi="Cambria Math" w:cs="Cambria Math"/>
                <w:bCs/>
              </w:rPr>
            </m:ctrlPr>
          </m:fPr>
          <m:num>
            <m:r>
              <w:rPr>
                <w:rFonts w:ascii="Cambria Math" w:eastAsia="Cambria Math" w:hAnsi="Cambria Math" w:cs="Cambria Math"/>
              </w:rPr>
              <m:t>Serum LH concentration</m:t>
            </m:r>
          </m:num>
          <m:den>
            <m:r>
              <w:rPr>
                <w:rFonts w:ascii="Cambria Math" w:eastAsia="Cambria Math" w:hAnsi="Cambria Math" w:cs="Cambria Math"/>
              </w:rPr>
              <m:t>Serum FSH concentration</m:t>
            </m:r>
          </m:den>
        </m:f>
      </m:oMath>
    </w:p>
    <w:p w14:paraId="6A7B60C7" w14:textId="77777777" w:rsidR="00A92A8D" w:rsidRPr="00743788" w:rsidRDefault="00AA24DF" w:rsidP="00A93723">
      <w:pPr>
        <w:pStyle w:val="Heading2"/>
      </w:pPr>
      <w:bookmarkStart w:id="13" w:name="_Toc231893469"/>
      <w:r w:rsidRPr="00743788">
        <w:lastRenderedPageBreak/>
        <w:t>S</w:t>
      </w:r>
      <w:r w:rsidR="00A078AB" w:rsidRPr="00743788">
        <w:t>tatistical analysis</w:t>
      </w:r>
      <w:bookmarkEnd w:id="13"/>
    </w:p>
    <w:p w14:paraId="1A3C8F95" w14:textId="77777777" w:rsidR="00820924" w:rsidRDefault="0058030D" w:rsidP="00741C7E">
      <w:r>
        <w:t>Results were expressed as mean</w:t>
      </w:r>
      <w:r>
        <w:rPr>
          <w:highlight w:val="yellow"/>
        </w:rPr>
        <w:t xml:space="preserve"> </w:t>
      </w:r>
      <w:r>
        <w:t>±</w:t>
      </w:r>
      <w:r>
        <w:rPr>
          <w:highlight w:val="yellow"/>
        </w:rPr>
        <w:t xml:space="preserve"> </w:t>
      </w:r>
      <w:r>
        <w:t>SEM. Differences in</w:t>
      </w:r>
      <w:r>
        <w:rPr>
          <w:highlight w:val="yellow"/>
        </w:rPr>
        <w:t xml:space="preserve"> the</w:t>
      </w:r>
      <w:r>
        <w:t xml:space="preserve"> mean values of variables across groups were compared </w:t>
      </w:r>
      <w:r>
        <w:rPr>
          <w:highlight w:val="yellow"/>
        </w:rPr>
        <w:t>using</w:t>
      </w:r>
      <w:r>
        <w:t xml:space="preserve"> one-way analysis of variance (ANOVA), followed by Tukey’s </w:t>
      </w:r>
      <w:r>
        <w:rPr>
          <w:i/>
          <w:iCs/>
        </w:rPr>
        <w:t>post-hoc</w:t>
      </w:r>
      <w:r>
        <w:t xml:space="preserve"> test for multiple comparisons. </w:t>
      </w:r>
      <w:r>
        <w:rPr>
          <w:highlight w:val="yellow"/>
        </w:rPr>
        <w:t xml:space="preserve">A </w:t>
      </w:r>
      <w:r>
        <w:t>p</w:t>
      </w:r>
      <w:r>
        <w:rPr>
          <w:highlight w:val="yellow"/>
        </w:rPr>
        <w:t xml:space="preserve"> value</w:t>
      </w:r>
      <w:r>
        <w:t xml:space="preserve"> &lt; 0.05 was considered statistically significant.</w:t>
      </w:r>
    </w:p>
    <w:p w14:paraId="205D0014" w14:textId="77777777" w:rsidR="00A12C15" w:rsidRPr="00A93723" w:rsidRDefault="00A12C15" w:rsidP="009F4FDA">
      <w:pPr>
        <w:pStyle w:val="Heading1"/>
        <w:spacing w:line="360" w:lineRule="auto"/>
        <w:jc w:val="both"/>
      </w:pPr>
      <w:bookmarkStart w:id="14" w:name="_Toc231893471"/>
      <w:r w:rsidRPr="00A93723">
        <w:t>RESULTS</w:t>
      </w:r>
      <w:bookmarkEnd w:id="14"/>
    </w:p>
    <w:p w14:paraId="2AD8B48B" w14:textId="77777777" w:rsidR="00A12C15" w:rsidRPr="00A93723" w:rsidRDefault="00A12C15" w:rsidP="00A93723">
      <w:pPr>
        <w:pStyle w:val="Heading2"/>
      </w:pPr>
      <w:bookmarkStart w:id="15" w:name="_Toc231893472"/>
      <w:bookmarkStart w:id="16" w:name="OLE_LINK1"/>
      <w:r w:rsidRPr="00A93723">
        <w:t>B</w:t>
      </w:r>
      <w:r w:rsidR="00A078AB" w:rsidRPr="00A93723">
        <w:t>ody weight analysis</w:t>
      </w:r>
      <w:bookmarkEnd w:id="15"/>
      <w:r w:rsidR="00A078AB" w:rsidRPr="00A93723">
        <w:t xml:space="preserve"> </w:t>
      </w:r>
    </w:p>
    <w:bookmarkEnd w:id="16"/>
    <w:p w14:paraId="5692F197" w14:textId="77777777" w:rsidR="0058030D" w:rsidRDefault="00F977C8" w:rsidP="00CE1E0A">
      <w:pPr>
        <w:keepNext/>
        <w:rPr>
          <w:bCs/>
          <w:noProof/>
        </w:rPr>
      </w:pPr>
      <w:r>
        <w:rPr>
          <w:bCs/>
          <w:noProof/>
        </w:rPr>
        <w:t xml:space="preserve">Over the four-week experimental period, statistical analysis </w:t>
      </w:r>
      <w:r>
        <w:rPr>
          <w:bCs/>
          <w:noProof/>
          <w:highlight w:val="yellow"/>
        </w:rPr>
        <w:t>show</w:t>
      </w:r>
      <w:r>
        <w:rPr>
          <w:bCs/>
          <w:noProof/>
        </w:rPr>
        <w:t xml:space="preserve">ed that the treatments did not significantly affect body weight (p &gt; 0.05). </w:t>
      </w:r>
      <w:r>
        <w:rPr>
          <w:bCs/>
          <w:noProof/>
          <w:highlight w:val="yellow"/>
        </w:rPr>
        <w:t>Alt</w:t>
      </w:r>
      <w:r>
        <w:rPr>
          <w:bCs/>
          <w:noProof/>
        </w:rPr>
        <w:t>h</w:t>
      </w:r>
      <w:r>
        <w:rPr>
          <w:bCs/>
          <w:noProof/>
          <w:highlight w:val="yellow"/>
        </w:rPr>
        <w:t>ough</w:t>
      </w:r>
      <w:r>
        <w:rPr>
          <w:bCs/>
          <w:noProof/>
        </w:rPr>
        <w:t xml:space="preserve"> all rats exhibited normal, progressive weight gain throughout the study, no statistically significant differences in body weight </w:t>
      </w:r>
      <w:r>
        <w:rPr>
          <w:bCs/>
          <w:noProof/>
          <w:highlight w:val="yellow"/>
        </w:rPr>
        <w:t xml:space="preserve">were </w:t>
      </w:r>
      <w:r>
        <w:rPr>
          <w:bCs/>
          <w:noProof/>
        </w:rPr>
        <w:t>observed across the groups at the vari</w:t>
      </w:r>
      <w:r>
        <w:rPr>
          <w:bCs/>
          <w:noProof/>
          <w:highlight w:val="yellow"/>
        </w:rPr>
        <w:t>o</w:t>
      </w:r>
      <w:r>
        <w:rPr>
          <w:bCs/>
          <w:noProof/>
        </w:rPr>
        <w:t>us time point</w:t>
      </w:r>
      <w:r>
        <w:rPr>
          <w:bCs/>
          <w:noProof/>
          <w:highlight w:val="yellow"/>
        </w:rPr>
        <w:t>s</w:t>
      </w:r>
      <w:r>
        <w:rPr>
          <w:bCs/>
          <w:noProof/>
        </w:rPr>
        <w:t xml:space="preserve"> (Figure 1).</w:t>
      </w:r>
    </w:p>
    <w:p w14:paraId="5E4B176E" w14:textId="77777777" w:rsidR="00CE1E0A" w:rsidRPr="00743788" w:rsidRDefault="0058030D" w:rsidP="004634DB">
      <w:pPr>
        <w:keepNext/>
        <w:spacing w:line="240" w:lineRule="auto"/>
        <w:rPr>
          <w:bCs/>
        </w:rPr>
      </w:pPr>
      <w:r>
        <w:rPr>
          <w:bCs/>
          <w:noProof/>
        </w:rPr>
        <w:drawing>
          <wp:inline distT="0" distB="0" distL="0" distR="0" wp14:anchorId="4C5D1439" wp14:editId="49AE2E71">
            <wp:extent cx="6301409" cy="3211350"/>
            <wp:effectExtent l="0" t="0" r="4445" b="8255"/>
            <wp:docPr id="9200941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94187" name="Picture 920094187"/>
                    <pic:cNvPicPr/>
                  </pic:nvPicPr>
                  <pic:blipFill rotWithShape="1">
                    <a:blip r:embed="rId9">
                      <a:extLst>
                        <a:ext uri="{28A0092B-C50C-407E-A947-70E740481C1C}">
                          <a14:useLocalDpi xmlns:a14="http://schemas.microsoft.com/office/drawing/2010/main" val="0"/>
                        </a:ext>
                      </a:extLst>
                    </a:blip>
                    <a:srcRect l="9201" t="9514" r="11371" b="18526"/>
                    <a:stretch>
                      <a:fillRect/>
                    </a:stretch>
                  </pic:blipFill>
                  <pic:spPr bwMode="auto">
                    <a:xfrm>
                      <a:off x="0" y="0"/>
                      <a:ext cx="6339479" cy="3230751"/>
                    </a:xfrm>
                    <a:prstGeom prst="rect">
                      <a:avLst/>
                    </a:prstGeom>
                    <a:ln>
                      <a:noFill/>
                    </a:ln>
                    <a:extLst>
                      <a:ext uri="{53640926-AAD7-44D8-BBD7-CCE9431645EC}">
                        <a14:shadowObscured xmlns:a14="http://schemas.microsoft.com/office/drawing/2010/main"/>
                      </a:ext>
                    </a:extLst>
                  </pic:spPr>
                </pic:pic>
              </a:graphicData>
            </a:graphic>
          </wp:inline>
        </w:drawing>
      </w:r>
    </w:p>
    <w:p w14:paraId="01CEAE2E" w14:textId="77777777" w:rsidR="004634DB" w:rsidRDefault="00CE1E0A" w:rsidP="004634DB">
      <w:pPr>
        <w:pStyle w:val="Caption"/>
        <w:spacing w:after="0"/>
        <w:rPr>
          <w:bCs/>
        </w:rPr>
      </w:pPr>
      <w:bookmarkStart w:id="17" w:name="_Toc230291754"/>
      <w:r w:rsidRPr="00A22AE5">
        <w:rPr>
          <w:b/>
        </w:rPr>
        <w:t xml:space="preserve">Figure </w:t>
      </w:r>
      <w:r w:rsidRPr="00A22AE5">
        <w:rPr>
          <w:b/>
        </w:rPr>
        <w:fldChar w:fldCharType="begin"/>
      </w:r>
      <w:r w:rsidRPr="00A22AE5">
        <w:rPr>
          <w:b/>
        </w:rPr>
        <w:instrText xml:space="preserve"> SEQ Figure_4. \* ARABIC </w:instrText>
      </w:r>
      <w:r w:rsidRPr="00A22AE5">
        <w:rPr>
          <w:b/>
        </w:rPr>
        <w:fldChar w:fldCharType="separate"/>
      </w:r>
      <w:r w:rsidR="008A6400">
        <w:rPr>
          <w:b/>
          <w:noProof/>
        </w:rPr>
        <w:t>1</w:t>
      </w:r>
      <w:r w:rsidRPr="00A22AE5">
        <w:rPr>
          <w:b/>
        </w:rPr>
        <w:fldChar w:fldCharType="end"/>
      </w:r>
      <w:r w:rsidRPr="00A22AE5">
        <w:rPr>
          <w:b/>
        </w:rPr>
        <w:t>:</w:t>
      </w:r>
      <w:r w:rsidR="00713533" w:rsidRPr="00743788">
        <w:rPr>
          <w:bCs/>
        </w:rPr>
        <w:t xml:space="preserve"> </w:t>
      </w:r>
      <w:r w:rsidR="00A12C15" w:rsidRPr="00743788">
        <w:rPr>
          <w:bCs/>
        </w:rPr>
        <w:t xml:space="preserve">Weekly mean body weight across the groups. </w:t>
      </w:r>
    </w:p>
    <w:p w14:paraId="70FCDEAB" w14:textId="77777777" w:rsidR="00A12C15" w:rsidRPr="00743788" w:rsidRDefault="00A12C15" w:rsidP="004634DB">
      <w:pPr>
        <w:pStyle w:val="Caption"/>
        <w:spacing w:after="0"/>
        <w:rPr>
          <w:bCs/>
        </w:rPr>
      </w:pPr>
      <w:r w:rsidRPr="00743788">
        <w:rPr>
          <w:rStyle w:val="Strong"/>
          <w:b w:val="0"/>
        </w:rPr>
        <w:t>PCOS</w:t>
      </w:r>
      <w:r w:rsidRPr="00743788">
        <w:rPr>
          <w:bCs/>
        </w:rPr>
        <w:t>: polycystic ovar</w:t>
      </w:r>
      <w:r w:rsidR="003B3722">
        <w:rPr>
          <w:bCs/>
        </w:rPr>
        <w:t>ian</w:t>
      </w:r>
      <w:r w:rsidRPr="00743788">
        <w:rPr>
          <w:bCs/>
        </w:rPr>
        <w:t xml:space="preserve"> syndrome; </w:t>
      </w:r>
      <w:proofErr w:type="spellStart"/>
      <w:r w:rsidRPr="00743788">
        <w:rPr>
          <w:rStyle w:val="Strong"/>
          <w:b w:val="0"/>
        </w:rPr>
        <w:t>PCOS+BaP</w:t>
      </w:r>
      <w:proofErr w:type="spellEnd"/>
      <w:r w:rsidRPr="00743788">
        <w:rPr>
          <w:bCs/>
        </w:rPr>
        <w:t xml:space="preserve">: </w:t>
      </w:r>
      <w:r w:rsidR="004634DB">
        <w:rPr>
          <w:bCs/>
        </w:rPr>
        <w:t>P</w:t>
      </w:r>
      <w:r w:rsidRPr="00743788">
        <w:rPr>
          <w:bCs/>
        </w:rPr>
        <w:t>olycystic ovar</w:t>
      </w:r>
      <w:r w:rsidR="003B3722">
        <w:rPr>
          <w:bCs/>
        </w:rPr>
        <w:t>ian</w:t>
      </w:r>
      <w:r w:rsidRPr="00743788">
        <w:rPr>
          <w:bCs/>
        </w:rPr>
        <w:t xml:space="preserve"> syndrome rat</w:t>
      </w:r>
      <w:r w:rsidR="004634DB">
        <w:rPr>
          <w:bCs/>
        </w:rPr>
        <w:t>s</w:t>
      </w:r>
      <w:r w:rsidRPr="00743788">
        <w:rPr>
          <w:bCs/>
        </w:rPr>
        <w:t xml:space="preserve"> exposed to benzo(a)pyrene.</w:t>
      </w:r>
      <w:bookmarkEnd w:id="17"/>
    </w:p>
    <w:p w14:paraId="2FF73CA9" w14:textId="77777777" w:rsidR="00A12C15" w:rsidRPr="00A93723" w:rsidRDefault="00A078AB" w:rsidP="004634DB">
      <w:pPr>
        <w:pStyle w:val="Heading2"/>
        <w:spacing w:line="240" w:lineRule="auto"/>
      </w:pPr>
      <w:bookmarkStart w:id="18" w:name="_Toc231893473"/>
      <w:r w:rsidRPr="00A93723">
        <w:t>Reproductive Hormones</w:t>
      </w:r>
      <w:bookmarkEnd w:id="18"/>
    </w:p>
    <w:p w14:paraId="3ADEF796" w14:textId="77777777" w:rsidR="00A12C15" w:rsidRPr="00A93723" w:rsidRDefault="00A12C15" w:rsidP="004634DB">
      <w:pPr>
        <w:pStyle w:val="Heading3"/>
        <w:spacing w:before="240" w:after="240"/>
      </w:pPr>
      <w:bookmarkStart w:id="19" w:name="_Toc231893474"/>
      <w:r w:rsidRPr="00A93723">
        <w:t>S</w:t>
      </w:r>
      <w:r w:rsidR="00A078AB" w:rsidRPr="00A93723">
        <w:t>erum follicle</w:t>
      </w:r>
      <w:r w:rsidR="00A078AB">
        <w:t>-</w:t>
      </w:r>
      <w:r w:rsidR="00A078AB" w:rsidRPr="00A93723">
        <w:t xml:space="preserve">stimulating hormone </w:t>
      </w:r>
      <w:bookmarkEnd w:id="19"/>
    </w:p>
    <w:p w14:paraId="16CD0751" w14:textId="77777777" w:rsidR="00E9282F" w:rsidRPr="00743788" w:rsidRDefault="00A12C15" w:rsidP="00BB63B3">
      <w:pPr>
        <w:rPr>
          <w:bCs/>
        </w:rPr>
      </w:pPr>
      <w:r>
        <w:rPr>
          <w:bCs/>
        </w:rPr>
        <w:lastRenderedPageBreak/>
        <w:t>The mean serum FSH levels across the groups after 28 days of subcutaneous administration of benzo(a)pyrene and/or testosterone propionate were not significant</w:t>
      </w:r>
      <w:r>
        <w:rPr>
          <w:bCs/>
          <w:highlight w:val="yellow"/>
        </w:rPr>
        <w:t>ly different</w:t>
      </w:r>
      <w:r>
        <w:rPr>
          <w:bCs/>
        </w:rPr>
        <w:t xml:space="preserve"> (p</w:t>
      </w:r>
      <w:r>
        <w:rPr>
          <w:bCs/>
          <w:highlight w:val="yellow"/>
        </w:rPr>
        <w:t xml:space="preserve"> </w:t>
      </w:r>
      <w:r>
        <w:rPr>
          <w:bCs/>
        </w:rPr>
        <w:t>&gt;</w:t>
      </w:r>
      <w:r>
        <w:rPr>
          <w:bCs/>
          <w:highlight w:val="yellow"/>
        </w:rPr>
        <w:t xml:space="preserve"> </w:t>
      </w:r>
      <w:r>
        <w:rPr>
          <w:bCs/>
        </w:rPr>
        <w:t xml:space="preserve">0.05), as shown in Figure 2B. The control group recorded a mean serum FSH level of 21.57 ± 3.02 </w:t>
      </w:r>
      <w:proofErr w:type="spellStart"/>
      <w:r>
        <w:rPr>
          <w:bCs/>
        </w:rPr>
        <w:t>mIU</w:t>
      </w:r>
      <w:proofErr w:type="spellEnd"/>
      <w:r>
        <w:rPr>
          <w:bCs/>
        </w:rPr>
        <w:t>/mL, while the PCOS group h</w:t>
      </w:r>
      <w:r>
        <w:rPr>
          <w:bCs/>
          <w:highlight w:val="yellow"/>
        </w:rPr>
        <w:t>a</w:t>
      </w:r>
      <w:r>
        <w:rPr>
          <w:bCs/>
        </w:rPr>
        <w:t xml:space="preserve">d the highest mean value (34.71 ± 6.81 </w:t>
      </w:r>
      <w:proofErr w:type="spellStart"/>
      <w:r>
        <w:rPr>
          <w:bCs/>
        </w:rPr>
        <w:t>mIU</w:t>
      </w:r>
      <w:proofErr w:type="spellEnd"/>
      <w:r>
        <w:rPr>
          <w:bCs/>
        </w:rPr>
        <w:t xml:space="preserve">/mL). The PCOS + </w:t>
      </w:r>
      <w:proofErr w:type="spellStart"/>
      <w:r>
        <w:rPr>
          <w:bCs/>
        </w:rPr>
        <w:t>BaP</w:t>
      </w:r>
      <w:proofErr w:type="spellEnd"/>
      <w:r>
        <w:rPr>
          <w:bCs/>
        </w:rPr>
        <w:t xml:space="preserve"> group recorded the lowest mean serum FSH level (20.67 ± 5.44 </w:t>
      </w:r>
      <w:proofErr w:type="spellStart"/>
      <w:r>
        <w:rPr>
          <w:bCs/>
        </w:rPr>
        <w:t>mIU</w:t>
      </w:r>
      <w:proofErr w:type="spellEnd"/>
      <w:r>
        <w:rPr>
          <w:bCs/>
        </w:rPr>
        <w:t>/mL).</w:t>
      </w:r>
    </w:p>
    <w:p w14:paraId="529E6F63" w14:textId="77777777" w:rsidR="003A54AB" w:rsidRPr="003A54AB" w:rsidRDefault="003A54AB" w:rsidP="00DE413F">
      <w:pPr>
        <w:keepNext/>
        <w:spacing w:before="240"/>
        <w:jc w:val="center"/>
        <w:rPr>
          <w:bCs/>
        </w:rPr>
      </w:pPr>
      <w:r w:rsidRPr="003A54AB">
        <w:rPr>
          <w:bCs/>
          <w:noProof/>
        </w:rPr>
        <w:drawing>
          <wp:inline distT="0" distB="0" distL="0" distR="0" wp14:anchorId="603D55E6" wp14:editId="1E5EF74A">
            <wp:extent cx="6602215" cy="2609850"/>
            <wp:effectExtent l="0" t="0" r="8255" b="0"/>
            <wp:docPr id="3786343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05547" cy="2611167"/>
                    </a:xfrm>
                    <a:prstGeom prst="rect">
                      <a:avLst/>
                    </a:prstGeom>
                    <a:noFill/>
                    <a:ln>
                      <a:noFill/>
                    </a:ln>
                  </pic:spPr>
                </pic:pic>
              </a:graphicData>
            </a:graphic>
          </wp:inline>
        </w:drawing>
      </w:r>
    </w:p>
    <w:p w14:paraId="23241550" w14:textId="77777777" w:rsidR="006974A2" w:rsidRDefault="009A2F88" w:rsidP="006974A2">
      <w:pPr>
        <w:pStyle w:val="Caption"/>
        <w:spacing w:after="0"/>
        <w:rPr>
          <w:bCs/>
        </w:rPr>
      </w:pPr>
      <w:bookmarkStart w:id="20" w:name="_Toc230291755"/>
      <w:r w:rsidRPr="00A22AE5">
        <w:rPr>
          <w:b/>
        </w:rPr>
        <w:t xml:space="preserve">Figure </w:t>
      </w:r>
      <w:r w:rsidRPr="00A22AE5">
        <w:rPr>
          <w:b/>
        </w:rPr>
        <w:fldChar w:fldCharType="begin"/>
      </w:r>
      <w:r w:rsidRPr="00A22AE5">
        <w:rPr>
          <w:b/>
        </w:rPr>
        <w:instrText xml:space="preserve"> SEQ Figure_4. \* ARABIC </w:instrText>
      </w:r>
      <w:r w:rsidRPr="00A22AE5">
        <w:rPr>
          <w:b/>
        </w:rPr>
        <w:fldChar w:fldCharType="separate"/>
      </w:r>
      <w:r w:rsidR="008A6400">
        <w:rPr>
          <w:b/>
          <w:noProof/>
        </w:rPr>
        <w:t>2</w:t>
      </w:r>
      <w:r w:rsidRPr="00A22AE5">
        <w:rPr>
          <w:b/>
          <w:noProof/>
        </w:rPr>
        <w:fldChar w:fldCharType="end"/>
      </w:r>
      <w:r w:rsidRPr="00A22AE5">
        <w:rPr>
          <w:b/>
        </w:rPr>
        <w:t>:</w:t>
      </w:r>
      <w:r w:rsidR="00713533" w:rsidRPr="00743788">
        <w:rPr>
          <w:bCs/>
        </w:rPr>
        <w:t xml:space="preserve"> </w:t>
      </w:r>
      <w:bookmarkEnd w:id="20"/>
      <w:r w:rsidR="002E60FF" w:rsidRPr="00743788">
        <w:rPr>
          <w:bCs/>
        </w:rPr>
        <w:t xml:space="preserve">Mean </w:t>
      </w:r>
      <w:r w:rsidR="006974A2">
        <w:rPr>
          <w:bCs/>
        </w:rPr>
        <w:t xml:space="preserve">serum testosterone, </w:t>
      </w:r>
      <w:r w:rsidR="002E60FF" w:rsidRPr="00743788">
        <w:rPr>
          <w:bCs/>
        </w:rPr>
        <w:t>FSH</w:t>
      </w:r>
      <w:r w:rsidR="006974A2">
        <w:rPr>
          <w:bCs/>
        </w:rPr>
        <w:t>, LH,</w:t>
      </w:r>
      <w:r w:rsidR="002E60FF" w:rsidRPr="00743788">
        <w:rPr>
          <w:bCs/>
        </w:rPr>
        <w:t xml:space="preserve"> </w:t>
      </w:r>
      <w:r w:rsidR="006974A2">
        <w:rPr>
          <w:bCs/>
        </w:rPr>
        <w:t xml:space="preserve">and LH:FSH </w:t>
      </w:r>
      <w:r w:rsidR="002E60FF" w:rsidRPr="00743788">
        <w:rPr>
          <w:bCs/>
        </w:rPr>
        <w:t xml:space="preserve">ratio </w:t>
      </w:r>
      <w:r w:rsidR="006974A2">
        <w:rPr>
          <w:bCs/>
        </w:rPr>
        <w:t>in the control rats and those co-</w:t>
      </w:r>
      <w:r w:rsidR="002E60FF" w:rsidRPr="00743788">
        <w:rPr>
          <w:bCs/>
        </w:rPr>
        <w:t>expos</w:t>
      </w:r>
      <w:r w:rsidR="006974A2">
        <w:rPr>
          <w:bCs/>
        </w:rPr>
        <w:t>ed</w:t>
      </w:r>
      <w:r w:rsidR="002E60FF" w:rsidRPr="00743788">
        <w:rPr>
          <w:bCs/>
        </w:rPr>
        <w:t xml:space="preserve"> to testosterone propionate and benzo(a)pyrene</w:t>
      </w:r>
      <w:r w:rsidR="006974A2">
        <w:rPr>
          <w:bCs/>
        </w:rPr>
        <w:t xml:space="preserve"> for 28 days</w:t>
      </w:r>
      <w:r w:rsidR="002E60FF" w:rsidRPr="00743788">
        <w:rPr>
          <w:bCs/>
        </w:rPr>
        <w:t>.</w:t>
      </w:r>
      <w:r w:rsidR="00BB63B3">
        <w:rPr>
          <w:bCs/>
        </w:rPr>
        <w:t xml:space="preserve"> *p&lt;0.05 vs. controls</w:t>
      </w:r>
      <w:r w:rsidR="006974A2">
        <w:rPr>
          <w:bCs/>
        </w:rPr>
        <w:t xml:space="preserve">. </w:t>
      </w:r>
    </w:p>
    <w:p w14:paraId="3A526A91" w14:textId="77777777" w:rsidR="00440F67" w:rsidRPr="00743788" w:rsidRDefault="002E60FF" w:rsidP="002E60FF">
      <w:pPr>
        <w:pStyle w:val="Caption"/>
        <w:rPr>
          <w:bCs/>
        </w:rPr>
      </w:pPr>
      <w:r w:rsidRPr="00743788">
        <w:rPr>
          <w:rStyle w:val="Strong"/>
          <w:b w:val="0"/>
        </w:rPr>
        <w:t>PCOS</w:t>
      </w:r>
      <w:r w:rsidRPr="00743788">
        <w:rPr>
          <w:bCs/>
        </w:rPr>
        <w:t>: polycystic ovar</w:t>
      </w:r>
      <w:r>
        <w:rPr>
          <w:bCs/>
        </w:rPr>
        <w:t>ian</w:t>
      </w:r>
      <w:r w:rsidRPr="00743788">
        <w:rPr>
          <w:bCs/>
        </w:rPr>
        <w:t xml:space="preserve"> syndrome; </w:t>
      </w:r>
      <w:r w:rsidRPr="00743788">
        <w:rPr>
          <w:rStyle w:val="Strong"/>
          <w:b w:val="0"/>
        </w:rPr>
        <w:t xml:space="preserve">PCOS + </w:t>
      </w:r>
      <w:proofErr w:type="spellStart"/>
      <w:r w:rsidRPr="00743788">
        <w:rPr>
          <w:rStyle w:val="Strong"/>
          <w:b w:val="0"/>
        </w:rPr>
        <w:t>BaP</w:t>
      </w:r>
      <w:proofErr w:type="spellEnd"/>
      <w:r w:rsidRPr="00743788">
        <w:rPr>
          <w:bCs/>
        </w:rPr>
        <w:t xml:space="preserve">: </w:t>
      </w:r>
      <w:r w:rsidR="006974A2">
        <w:rPr>
          <w:bCs/>
        </w:rPr>
        <w:t>P</w:t>
      </w:r>
      <w:r w:rsidRPr="00743788">
        <w:rPr>
          <w:bCs/>
        </w:rPr>
        <w:t>olycystic ovar</w:t>
      </w:r>
      <w:r>
        <w:rPr>
          <w:bCs/>
        </w:rPr>
        <w:t>ian</w:t>
      </w:r>
      <w:r w:rsidRPr="00743788">
        <w:rPr>
          <w:bCs/>
        </w:rPr>
        <w:t xml:space="preserve"> syndrome rat exposed to benzo(a)pyrene</w:t>
      </w:r>
      <w:r w:rsidR="006974A2">
        <w:rPr>
          <w:bCs/>
        </w:rPr>
        <w:t>.</w:t>
      </w:r>
    </w:p>
    <w:p w14:paraId="06CF019D" w14:textId="77777777" w:rsidR="00A12C15" w:rsidRPr="00A93723" w:rsidRDefault="00A12C15" w:rsidP="00BB6FFB">
      <w:pPr>
        <w:pStyle w:val="Heading3"/>
        <w:spacing w:after="240"/>
      </w:pPr>
      <w:bookmarkStart w:id="21" w:name="_Toc231893475"/>
      <w:r w:rsidRPr="00A93723">
        <w:t>S</w:t>
      </w:r>
      <w:r w:rsidR="00BB6FFB" w:rsidRPr="00A93723">
        <w:t xml:space="preserve">erum luteinizing hormone </w:t>
      </w:r>
      <w:r w:rsidRPr="00A93723">
        <w:t>(LH)</w:t>
      </w:r>
      <w:bookmarkEnd w:id="21"/>
    </w:p>
    <w:p w14:paraId="4E7D9BB5" w14:textId="77777777" w:rsidR="00E9282F" w:rsidRPr="00743788" w:rsidRDefault="00A12C15" w:rsidP="00E9282F">
      <w:pPr>
        <w:rPr>
          <w:bCs/>
        </w:rPr>
      </w:pPr>
      <w:r>
        <w:rPr>
          <w:bCs/>
        </w:rPr>
        <w:t>The mean serum LH levels across the groups after 28 days of subcutaneous administration of benzo(a)pyrene and/or testosterone propionate were not significant</w:t>
      </w:r>
      <w:r>
        <w:rPr>
          <w:bCs/>
          <w:highlight w:val="yellow"/>
        </w:rPr>
        <w:t>ly different</w:t>
      </w:r>
      <w:r>
        <w:rPr>
          <w:bCs/>
        </w:rPr>
        <w:t xml:space="preserve"> (p &gt; 0.05) (Figure 2C). The control group h</w:t>
      </w:r>
      <w:r>
        <w:rPr>
          <w:bCs/>
          <w:highlight w:val="yellow"/>
        </w:rPr>
        <w:t>ad</w:t>
      </w:r>
      <w:r>
        <w:rPr>
          <w:bCs/>
        </w:rPr>
        <w:t xml:space="preserve"> a mean serum LH level of 19.81 ± 8.58 </w:t>
      </w:r>
      <w:proofErr w:type="spellStart"/>
      <w:r>
        <w:rPr>
          <w:bCs/>
        </w:rPr>
        <w:t>mIU</w:t>
      </w:r>
      <w:proofErr w:type="spellEnd"/>
      <w:r>
        <w:rPr>
          <w:bCs/>
        </w:rPr>
        <w:t>/mL, the PCOS group h</w:t>
      </w:r>
      <w:r>
        <w:rPr>
          <w:bCs/>
          <w:highlight w:val="yellow"/>
        </w:rPr>
        <w:t>ad</w:t>
      </w:r>
      <w:r>
        <w:rPr>
          <w:bCs/>
        </w:rPr>
        <w:t xml:space="preserve"> the lowest mean value (14.22 ± 8.40 </w:t>
      </w:r>
      <w:proofErr w:type="spellStart"/>
      <w:r>
        <w:rPr>
          <w:bCs/>
        </w:rPr>
        <w:t>mIU</w:t>
      </w:r>
      <w:proofErr w:type="spellEnd"/>
      <w:r>
        <w:rPr>
          <w:bCs/>
        </w:rPr>
        <w:t xml:space="preserve">/mL), </w:t>
      </w:r>
      <w:r>
        <w:rPr>
          <w:bCs/>
          <w:highlight w:val="yellow"/>
        </w:rPr>
        <w:t>and</w:t>
      </w:r>
      <w:r>
        <w:rPr>
          <w:bCs/>
        </w:rPr>
        <w:t xml:space="preserve"> the </w:t>
      </w:r>
      <w:proofErr w:type="spellStart"/>
      <w:r>
        <w:rPr>
          <w:bCs/>
        </w:rPr>
        <w:t>PCOS+BaP</w:t>
      </w:r>
      <w:proofErr w:type="spellEnd"/>
      <w:r>
        <w:rPr>
          <w:bCs/>
        </w:rPr>
        <w:t xml:space="preserve"> group recorded the highest mean </w:t>
      </w:r>
      <w:r>
        <w:rPr>
          <w:bCs/>
          <w:highlight w:val="yellow"/>
        </w:rPr>
        <w:t xml:space="preserve">value </w:t>
      </w:r>
      <w:r>
        <w:rPr>
          <w:bCs/>
        </w:rPr>
        <w:t xml:space="preserve">(31.78 ± 1.03 </w:t>
      </w:r>
      <w:proofErr w:type="spellStart"/>
      <w:r>
        <w:rPr>
          <w:bCs/>
        </w:rPr>
        <w:t>mIU</w:t>
      </w:r>
      <w:proofErr w:type="spellEnd"/>
      <w:r>
        <w:rPr>
          <w:bCs/>
        </w:rPr>
        <w:t>/mL).</w:t>
      </w:r>
    </w:p>
    <w:p w14:paraId="43CB4705" w14:textId="77777777" w:rsidR="00A12C15" w:rsidRPr="00A93723" w:rsidRDefault="00A12C15" w:rsidP="00BB6FFB">
      <w:pPr>
        <w:pStyle w:val="Heading3"/>
        <w:spacing w:after="240"/>
      </w:pPr>
      <w:bookmarkStart w:id="22" w:name="_Toc231893476"/>
      <w:r w:rsidRPr="00A93723">
        <w:t xml:space="preserve">LH:FSH </w:t>
      </w:r>
      <w:r w:rsidR="00BB6FFB" w:rsidRPr="00A93723">
        <w:t>ratio</w:t>
      </w:r>
      <w:bookmarkEnd w:id="22"/>
    </w:p>
    <w:p w14:paraId="6870639B" w14:textId="77777777" w:rsidR="00A12C15" w:rsidRPr="00743788" w:rsidRDefault="00A12C15" w:rsidP="00A12C15">
      <w:pPr>
        <w:rPr>
          <w:bCs/>
        </w:rPr>
      </w:pPr>
      <w:r>
        <w:rPr>
          <w:bCs/>
        </w:rPr>
        <w:lastRenderedPageBreak/>
        <w:t xml:space="preserve">The mean LH:FSH ratios across the experimental groups are shown in Figure 2D. There were no significant differences in </w:t>
      </w:r>
      <w:r>
        <w:rPr>
          <w:bCs/>
          <w:highlight w:val="yellow"/>
        </w:rPr>
        <w:t xml:space="preserve">the </w:t>
      </w:r>
      <w:r>
        <w:rPr>
          <w:bCs/>
        </w:rPr>
        <w:t>LH:FSH ratio between the groups (p &gt; 0.05). The control group ha</w:t>
      </w:r>
      <w:r>
        <w:rPr>
          <w:bCs/>
          <w:highlight w:val="yellow"/>
        </w:rPr>
        <w:t>d</w:t>
      </w:r>
      <w:r>
        <w:rPr>
          <w:bCs/>
        </w:rPr>
        <w:t xml:space="preserve"> a mean LH:FSH ratio of 1.00</w:t>
      </w:r>
      <w:r>
        <w:rPr>
          <w:bCs/>
          <w:highlight w:val="yellow"/>
        </w:rPr>
        <w:t xml:space="preserve"> </w:t>
      </w:r>
      <w:r>
        <w:rPr>
          <w:bCs/>
        </w:rPr>
        <w:t>±</w:t>
      </w:r>
      <w:r>
        <w:rPr>
          <w:bCs/>
          <w:highlight w:val="yellow"/>
        </w:rPr>
        <w:t xml:space="preserve"> </w:t>
      </w:r>
      <w:r>
        <w:rPr>
          <w:bCs/>
        </w:rPr>
        <w:t>0.45,</w:t>
      </w:r>
      <w:r>
        <w:rPr>
          <w:bCs/>
          <w:highlight w:val="yellow"/>
        </w:rPr>
        <w:t xml:space="preserve"> the</w:t>
      </w:r>
      <w:r>
        <w:rPr>
          <w:bCs/>
        </w:rPr>
        <w:t xml:space="preserve"> PCOS group ha</w:t>
      </w:r>
      <w:r>
        <w:rPr>
          <w:bCs/>
          <w:highlight w:val="yellow"/>
        </w:rPr>
        <w:t>d</w:t>
      </w:r>
      <w:r>
        <w:rPr>
          <w:bCs/>
        </w:rPr>
        <w:t xml:space="preserve"> the lowest ratio (0.36 ± 0.15), </w:t>
      </w:r>
      <w:r>
        <w:rPr>
          <w:bCs/>
          <w:highlight w:val="yellow"/>
        </w:rPr>
        <w:t>and</w:t>
      </w:r>
      <w:r>
        <w:rPr>
          <w:bCs/>
        </w:rPr>
        <w:t xml:space="preserve"> the </w:t>
      </w:r>
      <w:proofErr w:type="spellStart"/>
      <w:r>
        <w:rPr>
          <w:bCs/>
        </w:rPr>
        <w:t>PCOS+BaP</w:t>
      </w:r>
      <w:proofErr w:type="spellEnd"/>
      <w:r>
        <w:rPr>
          <w:bCs/>
        </w:rPr>
        <w:t xml:space="preserve"> group ha</w:t>
      </w:r>
      <w:r>
        <w:rPr>
          <w:bCs/>
          <w:highlight w:val="yellow"/>
        </w:rPr>
        <w:t>d</w:t>
      </w:r>
      <w:r>
        <w:rPr>
          <w:bCs/>
        </w:rPr>
        <w:t xml:space="preserve"> the highest ratio </w:t>
      </w:r>
      <w:r>
        <w:rPr>
          <w:bCs/>
          <w:highlight w:val="yellow"/>
        </w:rPr>
        <w:t>(</w:t>
      </w:r>
      <w:r>
        <w:rPr>
          <w:bCs/>
        </w:rPr>
        <w:t>1.75 ± 0.41</w:t>
      </w:r>
      <w:r>
        <w:rPr>
          <w:bCs/>
          <w:highlight w:val="yellow"/>
        </w:rPr>
        <w:t>)</w:t>
      </w:r>
      <w:r>
        <w:rPr>
          <w:bCs/>
        </w:rPr>
        <w:t>.</w:t>
      </w:r>
    </w:p>
    <w:p w14:paraId="3AAA1484" w14:textId="77777777" w:rsidR="00A12C15" w:rsidRPr="00A93723" w:rsidRDefault="00A12C15" w:rsidP="00BB6FFB">
      <w:pPr>
        <w:pStyle w:val="Heading3"/>
        <w:spacing w:after="240"/>
      </w:pPr>
      <w:bookmarkStart w:id="23" w:name="_Toc231893477"/>
      <w:r w:rsidRPr="00A93723">
        <w:t>S</w:t>
      </w:r>
      <w:r w:rsidR="00BB6FFB" w:rsidRPr="00A93723">
        <w:t>erum testosterone</w:t>
      </w:r>
      <w:bookmarkEnd w:id="23"/>
      <w:r w:rsidR="00BB63B3">
        <w:t xml:space="preserve"> levels</w:t>
      </w:r>
    </w:p>
    <w:p w14:paraId="29E1D250" w14:textId="77777777" w:rsidR="00440F67" w:rsidRPr="00743788" w:rsidRDefault="00A12C15" w:rsidP="001F0A20">
      <w:pPr>
        <w:rPr>
          <w:bCs/>
        </w:rPr>
      </w:pPr>
      <w:r>
        <w:rPr>
          <w:bCs/>
        </w:rPr>
        <w:t>Serum testosterone levels across the groups are presented in Figure 2A. The control group ha</w:t>
      </w:r>
      <w:r>
        <w:rPr>
          <w:bCs/>
          <w:highlight w:val="yellow"/>
        </w:rPr>
        <w:t>d</w:t>
      </w:r>
      <w:r>
        <w:rPr>
          <w:bCs/>
        </w:rPr>
        <w:t xml:space="preserve"> a mean serum testosterone value of 422.10 ± 17.14 </w:t>
      </w:r>
      <w:proofErr w:type="spellStart"/>
      <w:r>
        <w:rPr>
          <w:bCs/>
        </w:rPr>
        <w:t>pg</w:t>
      </w:r>
      <w:proofErr w:type="spellEnd"/>
      <w:r>
        <w:rPr>
          <w:bCs/>
        </w:rPr>
        <w:t>/mL, while the PCOS group h</w:t>
      </w:r>
      <w:r>
        <w:rPr>
          <w:bCs/>
          <w:highlight w:val="yellow"/>
        </w:rPr>
        <w:t>ad</w:t>
      </w:r>
      <w:r>
        <w:rPr>
          <w:bCs/>
        </w:rPr>
        <w:t xml:space="preserve"> the lowest mean value (114.00 ± 7.89 </w:t>
      </w:r>
      <w:proofErr w:type="spellStart"/>
      <w:r>
        <w:rPr>
          <w:bCs/>
        </w:rPr>
        <w:t>pg</w:t>
      </w:r>
      <w:proofErr w:type="spellEnd"/>
      <w:r>
        <w:rPr>
          <w:bCs/>
        </w:rPr>
        <w:t xml:space="preserve">/mL). The </w:t>
      </w:r>
      <w:proofErr w:type="spellStart"/>
      <w:r>
        <w:rPr>
          <w:bCs/>
        </w:rPr>
        <w:t>PCOS+BaP</w:t>
      </w:r>
      <w:proofErr w:type="spellEnd"/>
      <w:r>
        <w:rPr>
          <w:bCs/>
        </w:rPr>
        <w:t xml:space="preserve"> </w:t>
      </w:r>
      <w:r>
        <w:rPr>
          <w:bCs/>
          <w:highlight w:val="yellow"/>
        </w:rPr>
        <w:t>g</w:t>
      </w:r>
      <w:r>
        <w:rPr>
          <w:bCs/>
        </w:rPr>
        <w:t>r</w:t>
      </w:r>
      <w:r>
        <w:rPr>
          <w:bCs/>
          <w:highlight w:val="yellow"/>
        </w:rPr>
        <w:t>oup</w:t>
      </w:r>
      <w:r>
        <w:rPr>
          <w:bCs/>
        </w:rPr>
        <w:t xml:space="preserve"> ha</w:t>
      </w:r>
      <w:r>
        <w:rPr>
          <w:bCs/>
          <w:highlight w:val="yellow"/>
        </w:rPr>
        <w:t>d</w:t>
      </w:r>
      <w:r>
        <w:rPr>
          <w:bCs/>
        </w:rPr>
        <w:t xml:space="preserve"> a mean</w:t>
      </w:r>
      <w:r>
        <w:rPr>
          <w:bCs/>
          <w:highlight w:val="yellow"/>
        </w:rPr>
        <w:t xml:space="preserve"> value</w:t>
      </w:r>
      <w:r>
        <w:rPr>
          <w:bCs/>
        </w:rPr>
        <w:t xml:space="preserve"> of 166.00 ± 41.10 </w:t>
      </w:r>
      <w:proofErr w:type="spellStart"/>
      <w:r>
        <w:rPr>
          <w:bCs/>
        </w:rPr>
        <w:t>pg</w:t>
      </w:r>
      <w:proofErr w:type="spellEnd"/>
      <w:r>
        <w:rPr>
          <w:bCs/>
        </w:rPr>
        <w:t>/</w:t>
      </w:r>
      <w:proofErr w:type="spellStart"/>
      <w:r>
        <w:rPr>
          <w:bCs/>
        </w:rPr>
        <w:t>mL.</w:t>
      </w:r>
      <w:proofErr w:type="spellEnd"/>
      <w:r>
        <w:rPr>
          <w:bCs/>
        </w:rPr>
        <w:t xml:space="preserve"> Significant differences were observed between the control rats and both the PCOS group (p &lt; 0.05) and the </w:t>
      </w:r>
      <w:proofErr w:type="spellStart"/>
      <w:r>
        <w:rPr>
          <w:bCs/>
        </w:rPr>
        <w:t>PCOS+BaP</w:t>
      </w:r>
      <w:proofErr w:type="spellEnd"/>
      <w:r>
        <w:rPr>
          <w:bCs/>
        </w:rPr>
        <w:t xml:space="preserve"> group (p &lt; 0.05). However, there was no significant difference between the PCOS and </w:t>
      </w:r>
      <w:proofErr w:type="spellStart"/>
      <w:r>
        <w:rPr>
          <w:bCs/>
        </w:rPr>
        <w:t>PCOS+BaP</w:t>
      </w:r>
      <w:proofErr w:type="spellEnd"/>
      <w:r>
        <w:rPr>
          <w:bCs/>
        </w:rPr>
        <w:t xml:space="preserve"> groups (p &gt; 0.05).</w:t>
      </w:r>
    </w:p>
    <w:p w14:paraId="574E100B" w14:textId="77777777" w:rsidR="00A12C15" w:rsidRPr="00660043" w:rsidRDefault="00A12C15" w:rsidP="00660043">
      <w:pPr>
        <w:pStyle w:val="Heading2"/>
      </w:pPr>
      <w:bookmarkStart w:id="24" w:name="_Toc231893482"/>
      <w:r w:rsidRPr="00660043">
        <w:t>O</w:t>
      </w:r>
      <w:r w:rsidR="00BB6FFB" w:rsidRPr="00660043">
        <w:t>varian histology</w:t>
      </w:r>
      <w:bookmarkEnd w:id="24"/>
    </w:p>
    <w:p w14:paraId="68CA4CB0" w14:textId="77777777" w:rsidR="00A12C15" w:rsidRPr="00743788" w:rsidRDefault="00E252E5" w:rsidP="00A12C15">
      <w:pPr>
        <w:tabs>
          <w:tab w:val="left" w:pos="0"/>
        </w:tabs>
        <w:rPr>
          <w:bCs/>
        </w:rPr>
      </w:pPr>
      <w:r>
        <w:rPr>
          <w:bCs/>
        </w:rPr>
        <w:t>Examination of photomicrograph</w:t>
      </w:r>
      <w:r>
        <w:rPr>
          <w:bCs/>
          <w:highlight w:val="yellow"/>
        </w:rPr>
        <w:t>s</w:t>
      </w:r>
      <w:r>
        <w:rPr>
          <w:bCs/>
        </w:rPr>
        <w:t xml:space="preserve"> </w:t>
      </w:r>
      <w:r>
        <w:rPr>
          <w:bCs/>
          <w:highlight w:val="yellow"/>
        </w:rPr>
        <w:t>fr</w:t>
      </w:r>
      <w:r>
        <w:rPr>
          <w:bCs/>
        </w:rPr>
        <w:t>o</w:t>
      </w:r>
      <w:r>
        <w:rPr>
          <w:bCs/>
          <w:highlight w:val="yellow"/>
        </w:rPr>
        <w:t>m</w:t>
      </w:r>
      <w:r>
        <w:rPr>
          <w:bCs/>
        </w:rPr>
        <w:t xml:space="preserve"> the control rats show</w:t>
      </w:r>
      <w:r>
        <w:rPr>
          <w:bCs/>
          <w:highlight w:val="yellow"/>
        </w:rPr>
        <w:t>ed</w:t>
      </w:r>
      <w:r>
        <w:rPr>
          <w:bCs/>
        </w:rPr>
        <w:t xml:space="preserve"> normal ovarian histoarchitecture, with well-defined Graafian follicles </w:t>
      </w:r>
      <w:r>
        <w:rPr>
          <w:bCs/>
          <w:highlight w:val="yellow"/>
        </w:rPr>
        <w:t>ex</w:t>
      </w:r>
      <w:r>
        <w:rPr>
          <w:bCs/>
        </w:rPr>
        <w:t>h</w:t>
      </w:r>
      <w:r>
        <w:rPr>
          <w:bCs/>
          <w:highlight w:val="yellow"/>
        </w:rPr>
        <w:t>ibit</w:t>
      </w:r>
      <w:r>
        <w:rPr>
          <w:bCs/>
        </w:rPr>
        <w:t>ing</w:t>
      </w:r>
      <w:r>
        <w:rPr>
          <w:bCs/>
          <w:highlight w:val="yellow"/>
        </w:rPr>
        <w:t xml:space="preserve"> a</w:t>
      </w:r>
      <w:r>
        <w:rPr>
          <w:bCs/>
        </w:rPr>
        <w:t xml:space="preserve"> distinct antrum, oocyte, granulosa cells, cumulus </w:t>
      </w:r>
      <w:proofErr w:type="spellStart"/>
      <w:r>
        <w:rPr>
          <w:bCs/>
        </w:rPr>
        <w:t>oophorus</w:t>
      </w:r>
      <w:proofErr w:type="spellEnd"/>
      <w:r>
        <w:rPr>
          <w:bCs/>
        </w:rPr>
        <w:t xml:space="preserve">, and theca cells, </w:t>
      </w:r>
      <w:r>
        <w:rPr>
          <w:bCs/>
          <w:highlight w:val="yellow"/>
        </w:rPr>
        <w:t>together</w:t>
      </w:r>
      <w:r>
        <w:rPr>
          <w:bCs/>
        </w:rPr>
        <w:t xml:space="preserve"> </w:t>
      </w:r>
      <w:r>
        <w:rPr>
          <w:bCs/>
          <w:highlight w:val="yellow"/>
        </w:rPr>
        <w:t>w</w:t>
      </w:r>
      <w:r>
        <w:rPr>
          <w:bCs/>
        </w:rPr>
        <w:t>it</w:t>
      </w:r>
      <w:r>
        <w:rPr>
          <w:bCs/>
          <w:highlight w:val="yellow"/>
        </w:rPr>
        <w:t>h</w:t>
      </w:r>
      <w:r>
        <w:rPr>
          <w:bCs/>
        </w:rPr>
        <w:t xml:space="preserve"> a mild distribution of reticular </w:t>
      </w:r>
      <w:proofErr w:type="spellStart"/>
      <w:r>
        <w:rPr>
          <w:bCs/>
        </w:rPr>
        <w:t>fib</w:t>
      </w:r>
      <w:r>
        <w:rPr>
          <w:bCs/>
          <w:highlight w:val="yellow"/>
        </w:rPr>
        <w:t>r</w:t>
      </w:r>
      <w:r>
        <w:rPr>
          <w:bCs/>
        </w:rPr>
        <w:t>es</w:t>
      </w:r>
      <w:proofErr w:type="spellEnd"/>
      <w:r>
        <w:rPr>
          <w:bCs/>
        </w:rPr>
        <w:t xml:space="preserve"> (Figure 3A1 and 3A2, Figure 4). PCOS rats were </w:t>
      </w:r>
      <w:proofErr w:type="spellStart"/>
      <w:r>
        <w:rPr>
          <w:bCs/>
        </w:rPr>
        <w:t>characteri</w:t>
      </w:r>
      <w:r>
        <w:rPr>
          <w:bCs/>
          <w:highlight w:val="yellow"/>
        </w:rPr>
        <w:t>s</w:t>
      </w:r>
      <w:r>
        <w:rPr>
          <w:bCs/>
        </w:rPr>
        <w:t>ed</w:t>
      </w:r>
      <w:proofErr w:type="spellEnd"/>
      <w:r>
        <w:rPr>
          <w:bCs/>
        </w:rPr>
        <w:t xml:space="preserve"> by variably sized cystic follicles and increased accumulation of reticular </w:t>
      </w:r>
      <w:proofErr w:type="spellStart"/>
      <w:r>
        <w:rPr>
          <w:bCs/>
        </w:rPr>
        <w:t>fib</w:t>
      </w:r>
      <w:r>
        <w:rPr>
          <w:bCs/>
          <w:highlight w:val="yellow"/>
        </w:rPr>
        <w:t>r</w:t>
      </w:r>
      <w:r>
        <w:rPr>
          <w:bCs/>
        </w:rPr>
        <w:t>es</w:t>
      </w:r>
      <w:proofErr w:type="spellEnd"/>
      <w:r>
        <w:rPr>
          <w:bCs/>
        </w:rPr>
        <w:t xml:space="preserve"> compared with the control group, suggesting stromal fibrosis (Figure 3B1, 3B2, Figure 4). Ovarian sections from </w:t>
      </w:r>
      <w:proofErr w:type="spellStart"/>
      <w:r>
        <w:rPr>
          <w:bCs/>
        </w:rPr>
        <w:t>PCOS+BaP</w:t>
      </w:r>
      <w:proofErr w:type="spellEnd"/>
      <w:r>
        <w:rPr>
          <w:bCs/>
        </w:rPr>
        <w:t xml:space="preserve"> rats show</w:t>
      </w:r>
      <w:r>
        <w:rPr>
          <w:bCs/>
          <w:highlight w:val="yellow"/>
        </w:rPr>
        <w:t>ed</w:t>
      </w:r>
      <w:r>
        <w:rPr>
          <w:bCs/>
        </w:rPr>
        <w:t xml:space="preserve"> marked accumulation of reticular </w:t>
      </w:r>
      <w:proofErr w:type="spellStart"/>
      <w:r>
        <w:rPr>
          <w:bCs/>
        </w:rPr>
        <w:t>fib</w:t>
      </w:r>
      <w:r>
        <w:rPr>
          <w:bCs/>
          <w:highlight w:val="yellow"/>
        </w:rPr>
        <w:t>r</w:t>
      </w:r>
      <w:r>
        <w:rPr>
          <w:bCs/>
        </w:rPr>
        <w:t>es</w:t>
      </w:r>
      <w:proofErr w:type="spellEnd"/>
      <w:r>
        <w:rPr>
          <w:bCs/>
        </w:rPr>
        <w:t xml:space="preserve"> and relatively large ovarian cysts compared with both the normal control and PCOS groups (Figure 3C1, 3C2, Figure 4).</w:t>
      </w:r>
    </w:p>
    <w:p w14:paraId="33ECDBD9" w14:textId="77777777" w:rsidR="009A2F88" w:rsidRPr="00743788" w:rsidRDefault="00A12C15" w:rsidP="00DE413F">
      <w:pPr>
        <w:keepNext/>
        <w:tabs>
          <w:tab w:val="left" w:pos="0"/>
        </w:tabs>
        <w:spacing w:line="240" w:lineRule="auto"/>
        <w:jc w:val="center"/>
        <w:rPr>
          <w:bCs/>
        </w:rPr>
      </w:pPr>
      <w:r w:rsidRPr="00743788">
        <w:rPr>
          <w:bCs/>
          <w:noProof/>
        </w:rPr>
        <w:lastRenderedPageBreak/>
        <w:drawing>
          <wp:inline distT="0" distB="0" distL="0" distR="0" wp14:anchorId="4355AF47" wp14:editId="05668622">
            <wp:extent cx="6205095" cy="3517557"/>
            <wp:effectExtent l="0" t="0" r="5715" b="6985"/>
            <wp:docPr id="19444059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326395" name="Picture 782326395"/>
                    <pic:cNvPicPr/>
                  </pic:nvPicPr>
                  <pic:blipFill>
                    <a:blip r:embed="rId11">
                      <a:extLst>
                        <a:ext uri="{28A0092B-C50C-407E-A947-70E740481C1C}">
                          <a14:useLocalDpi xmlns:a14="http://schemas.microsoft.com/office/drawing/2010/main" val="0"/>
                        </a:ext>
                      </a:extLst>
                    </a:blip>
                    <a:stretch>
                      <a:fillRect/>
                    </a:stretch>
                  </pic:blipFill>
                  <pic:spPr>
                    <a:xfrm>
                      <a:off x="0" y="0"/>
                      <a:ext cx="6340408" cy="3594263"/>
                    </a:xfrm>
                    <a:prstGeom prst="rect">
                      <a:avLst/>
                    </a:prstGeom>
                  </pic:spPr>
                </pic:pic>
              </a:graphicData>
            </a:graphic>
          </wp:inline>
        </w:drawing>
      </w:r>
    </w:p>
    <w:p w14:paraId="20BADA7E" w14:textId="77777777" w:rsidR="0071362A" w:rsidRDefault="009A2F88" w:rsidP="0071362A">
      <w:pPr>
        <w:pStyle w:val="Caption"/>
        <w:spacing w:after="0"/>
        <w:rPr>
          <w:bCs/>
        </w:rPr>
      </w:pPr>
      <w:bookmarkStart w:id="25" w:name="_Toc230291762"/>
      <w:r w:rsidRPr="00A22AE5">
        <w:rPr>
          <w:b/>
        </w:rPr>
        <w:t xml:space="preserve">Figure </w:t>
      </w:r>
      <w:r w:rsidR="006974A2">
        <w:rPr>
          <w:b/>
        </w:rPr>
        <w:t>3</w:t>
      </w:r>
      <w:r w:rsidRPr="00A22AE5">
        <w:rPr>
          <w:b/>
        </w:rPr>
        <w:t>:</w:t>
      </w:r>
      <w:r w:rsidR="00713533" w:rsidRPr="00743788">
        <w:rPr>
          <w:bCs/>
        </w:rPr>
        <w:t xml:space="preserve"> </w:t>
      </w:r>
      <w:r w:rsidR="00A12C15" w:rsidRPr="00743788">
        <w:rPr>
          <w:bCs/>
        </w:rPr>
        <w:t xml:space="preserve">Photomicrographs showing the </w:t>
      </w:r>
      <w:proofErr w:type="spellStart"/>
      <w:r w:rsidR="0071362A">
        <w:rPr>
          <w:bCs/>
        </w:rPr>
        <w:t>histo</w:t>
      </w:r>
      <w:proofErr w:type="spellEnd"/>
      <w:r w:rsidR="0071362A">
        <w:rPr>
          <w:bCs/>
        </w:rPr>
        <w:t>-</w:t>
      </w:r>
      <w:r w:rsidR="00A12C15" w:rsidRPr="00743788">
        <w:rPr>
          <w:bCs/>
        </w:rPr>
        <w:t>architecture of the ovaries in the control</w:t>
      </w:r>
      <w:r w:rsidR="0071362A">
        <w:rPr>
          <w:bCs/>
        </w:rPr>
        <w:t>s</w:t>
      </w:r>
      <w:r w:rsidR="00A12C15" w:rsidRPr="00743788">
        <w:rPr>
          <w:bCs/>
        </w:rPr>
        <w:t xml:space="preserve">, PCOS, and </w:t>
      </w:r>
      <w:proofErr w:type="spellStart"/>
      <w:r w:rsidR="00A12C15" w:rsidRPr="00743788">
        <w:rPr>
          <w:bCs/>
        </w:rPr>
        <w:t>PCOS+BaP</w:t>
      </w:r>
      <w:proofErr w:type="spellEnd"/>
      <w:r w:rsidR="00A12C15" w:rsidRPr="00743788">
        <w:rPr>
          <w:bCs/>
        </w:rPr>
        <w:t xml:space="preserve"> </w:t>
      </w:r>
      <w:r w:rsidR="0071362A">
        <w:rPr>
          <w:bCs/>
        </w:rPr>
        <w:t>rats</w:t>
      </w:r>
      <w:r w:rsidR="00A12C15" w:rsidRPr="00743788">
        <w:rPr>
          <w:bCs/>
        </w:rPr>
        <w:t xml:space="preserve">. </w:t>
      </w:r>
    </w:p>
    <w:p w14:paraId="3B5CD244" w14:textId="77777777" w:rsidR="00A12C15" w:rsidRPr="00743788" w:rsidRDefault="00A12C15" w:rsidP="009A2F88">
      <w:pPr>
        <w:pStyle w:val="Caption"/>
        <w:rPr>
          <w:bCs/>
        </w:rPr>
      </w:pPr>
      <w:r w:rsidRPr="00743788">
        <w:rPr>
          <w:bCs/>
        </w:rPr>
        <w:t xml:space="preserve">A: antrum, AF: antral follicle, AC: atretic follicle, CF: cystic follicle, CO: cumulus </w:t>
      </w:r>
      <w:proofErr w:type="spellStart"/>
      <w:r w:rsidRPr="00743788">
        <w:rPr>
          <w:bCs/>
        </w:rPr>
        <w:t>oophorus</w:t>
      </w:r>
      <w:proofErr w:type="spellEnd"/>
      <w:r w:rsidRPr="00743788">
        <w:rPr>
          <w:bCs/>
        </w:rPr>
        <w:t xml:space="preserve">, CR: corona radiata, G: granulosa cells, GF: Graafian follicle, O: oocyte, R: reticular </w:t>
      </w:r>
      <w:r w:rsidR="0002022F">
        <w:rPr>
          <w:bCs/>
        </w:rPr>
        <w:t>fiber</w:t>
      </w:r>
      <w:r w:rsidRPr="00743788">
        <w:rPr>
          <w:bCs/>
        </w:rPr>
        <w:t>, TF: theca folliculi (cells), U: uterine tube, Z: zona pellucida. Gordon and Sweet’s reticulin stain. Magnification: A1, B1, and C1 = ×10</w:t>
      </w:r>
      <w:r w:rsidR="003D3228">
        <w:rPr>
          <w:bCs/>
        </w:rPr>
        <w:t>0</w:t>
      </w:r>
      <w:r w:rsidRPr="00743788">
        <w:rPr>
          <w:bCs/>
        </w:rPr>
        <w:t>; A2, B2, and C2 = ×20</w:t>
      </w:r>
      <w:r w:rsidR="003D3228">
        <w:rPr>
          <w:bCs/>
        </w:rPr>
        <w:t>0</w:t>
      </w:r>
      <w:r w:rsidRPr="00743788">
        <w:rPr>
          <w:bCs/>
        </w:rPr>
        <w:t>.</w:t>
      </w:r>
      <w:bookmarkEnd w:id="25"/>
    </w:p>
    <w:p w14:paraId="72FB40E8" w14:textId="77777777" w:rsidR="00A12C15" w:rsidRPr="00743788" w:rsidRDefault="00A12C15" w:rsidP="00660043">
      <w:pPr>
        <w:pStyle w:val="Heading2"/>
      </w:pPr>
      <w:r>
        <w:t xml:space="preserve">Quantification of reticular </w:t>
      </w:r>
      <w:proofErr w:type="spellStart"/>
      <w:r>
        <w:t>fib</w:t>
      </w:r>
      <w:r>
        <w:rPr>
          <w:highlight w:val="yellow"/>
        </w:rPr>
        <w:t>r</w:t>
      </w:r>
      <w:r>
        <w:t>es</w:t>
      </w:r>
      <w:proofErr w:type="spellEnd"/>
      <w:r>
        <w:t xml:space="preserve"> in the ovarian theca externa</w:t>
      </w:r>
    </w:p>
    <w:p w14:paraId="2BF60C0E" w14:textId="77777777" w:rsidR="006A733B" w:rsidRPr="00743788" w:rsidRDefault="00F54B5E" w:rsidP="009310C2">
      <w:pPr>
        <w:rPr>
          <w:bCs/>
        </w:rPr>
      </w:pPr>
      <w:r>
        <w:rPr>
          <w:bCs/>
        </w:rPr>
        <w:t xml:space="preserve">Differences in the mean percentage area of reticular </w:t>
      </w:r>
      <w:proofErr w:type="spellStart"/>
      <w:r>
        <w:rPr>
          <w:bCs/>
        </w:rPr>
        <w:t>fib</w:t>
      </w:r>
      <w:r>
        <w:rPr>
          <w:bCs/>
          <w:highlight w:val="yellow"/>
        </w:rPr>
        <w:t>r</w:t>
      </w:r>
      <w:r>
        <w:rPr>
          <w:bCs/>
        </w:rPr>
        <w:t>es</w:t>
      </w:r>
      <w:proofErr w:type="spellEnd"/>
      <w:r>
        <w:rPr>
          <w:bCs/>
        </w:rPr>
        <w:t xml:space="preserve"> in the theca externa across the groups were statistically significant (p</w:t>
      </w:r>
      <w:r>
        <w:rPr>
          <w:bCs/>
          <w:highlight w:val="yellow"/>
        </w:rPr>
        <w:t xml:space="preserve"> </w:t>
      </w:r>
      <w:r>
        <w:rPr>
          <w:bCs/>
        </w:rPr>
        <w:t>&lt;</w:t>
      </w:r>
      <w:r>
        <w:rPr>
          <w:bCs/>
          <w:highlight w:val="yellow"/>
        </w:rPr>
        <w:t xml:space="preserve"> </w:t>
      </w:r>
      <w:r>
        <w:rPr>
          <w:bCs/>
        </w:rPr>
        <w:t>0.05)</w:t>
      </w:r>
      <w:r>
        <w:rPr>
          <w:bCs/>
          <w:highlight w:val="yellow"/>
        </w:rPr>
        <w:t>,</w:t>
      </w:r>
      <w:r>
        <w:rPr>
          <w:bCs/>
        </w:rPr>
        <w:t xml:space="preserve"> as shown in Figure 4. The </w:t>
      </w:r>
      <w:r>
        <w:rPr>
          <w:bCs/>
          <w:highlight w:val="yellow"/>
        </w:rPr>
        <w:t>c</w:t>
      </w:r>
      <w:r>
        <w:rPr>
          <w:bCs/>
        </w:rPr>
        <w:t>ontrol group ha</w:t>
      </w:r>
      <w:r>
        <w:rPr>
          <w:bCs/>
          <w:highlight w:val="yellow"/>
        </w:rPr>
        <w:t>d</w:t>
      </w:r>
      <w:r>
        <w:rPr>
          <w:bCs/>
        </w:rPr>
        <w:t xml:space="preserve"> the lowest </w:t>
      </w:r>
      <w:r>
        <w:rPr>
          <w:bCs/>
          <w:highlight w:val="yellow"/>
        </w:rPr>
        <w:t>perce</w:t>
      </w:r>
      <w:r>
        <w:rPr>
          <w:bCs/>
        </w:rPr>
        <w:t>nt</w:t>
      </w:r>
      <w:r>
        <w:rPr>
          <w:bCs/>
          <w:highlight w:val="yellow"/>
        </w:rPr>
        <w:t>age area</w:t>
      </w:r>
      <w:r>
        <w:rPr>
          <w:bCs/>
        </w:rPr>
        <w:t xml:space="preserve"> of reticul</w:t>
      </w:r>
      <w:r>
        <w:rPr>
          <w:bCs/>
          <w:highlight w:val="yellow"/>
        </w:rPr>
        <w:t>ar</w:t>
      </w:r>
      <w:r>
        <w:rPr>
          <w:bCs/>
        </w:rPr>
        <w:t xml:space="preserve"> </w:t>
      </w:r>
      <w:proofErr w:type="spellStart"/>
      <w:r>
        <w:rPr>
          <w:bCs/>
        </w:rPr>
        <w:t>fibres</w:t>
      </w:r>
      <w:proofErr w:type="spellEnd"/>
      <w:r>
        <w:rPr>
          <w:bCs/>
        </w:rPr>
        <w:t xml:space="preserve"> (32.84 ± 2.80%). Although the testosterone-induced PCOS rats exhibited a moderate increase (39.94 ± 3.63%), this difference was not statistically significant compared </w:t>
      </w:r>
      <w:r>
        <w:rPr>
          <w:bCs/>
          <w:highlight w:val="yellow"/>
        </w:rPr>
        <w:t>wi</w:t>
      </w:r>
      <w:r>
        <w:rPr>
          <w:bCs/>
        </w:rPr>
        <w:t>t</w:t>
      </w:r>
      <w:r>
        <w:rPr>
          <w:bCs/>
          <w:highlight w:val="yellow"/>
        </w:rPr>
        <w:t>h</w:t>
      </w:r>
      <w:r>
        <w:rPr>
          <w:bCs/>
        </w:rPr>
        <w:t xml:space="preserve"> the controls (p</w:t>
      </w:r>
      <w:r>
        <w:rPr>
          <w:bCs/>
          <w:highlight w:val="yellow"/>
        </w:rPr>
        <w:t xml:space="preserve"> </w:t>
      </w:r>
      <w:r>
        <w:rPr>
          <w:bCs/>
        </w:rPr>
        <w:t>&gt;</w:t>
      </w:r>
      <w:r>
        <w:rPr>
          <w:bCs/>
          <w:highlight w:val="yellow"/>
        </w:rPr>
        <w:t xml:space="preserve"> </w:t>
      </w:r>
      <w:r>
        <w:rPr>
          <w:bCs/>
        </w:rPr>
        <w:t xml:space="preserve">0.05). In contrast, the </w:t>
      </w:r>
      <w:proofErr w:type="spellStart"/>
      <w:r>
        <w:rPr>
          <w:bCs/>
        </w:rPr>
        <w:t>PCOS+BaP</w:t>
      </w:r>
      <w:proofErr w:type="spellEnd"/>
      <w:r>
        <w:rPr>
          <w:bCs/>
        </w:rPr>
        <w:t xml:space="preserve"> group h</w:t>
      </w:r>
      <w:r>
        <w:rPr>
          <w:bCs/>
          <w:highlight w:val="yellow"/>
        </w:rPr>
        <w:t>ad</w:t>
      </w:r>
      <w:r>
        <w:rPr>
          <w:bCs/>
        </w:rPr>
        <w:t xml:space="preserve"> the highest reticular </w:t>
      </w:r>
      <w:proofErr w:type="spellStart"/>
      <w:r>
        <w:rPr>
          <w:bCs/>
        </w:rPr>
        <w:t>fib</w:t>
      </w:r>
      <w:r>
        <w:rPr>
          <w:bCs/>
          <w:highlight w:val="yellow"/>
        </w:rPr>
        <w:t>r</w:t>
      </w:r>
      <w:r>
        <w:rPr>
          <w:bCs/>
        </w:rPr>
        <w:t>e</w:t>
      </w:r>
      <w:proofErr w:type="spellEnd"/>
      <w:r>
        <w:rPr>
          <w:bCs/>
        </w:rPr>
        <w:t xml:space="preserve"> deposition (60.70 ± 10.31%), which was significantly high</w:t>
      </w:r>
      <w:r>
        <w:rPr>
          <w:bCs/>
          <w:highlight w:val="yellow"/>
        </w:rPr>
        <w:t>e</w:t>
      </w:r>
      <w:r>
        <w:rPr>
          <w:bCs/>
        </w:rPr>
        <w:t>r t</w:t>
      </w:r>
      <w:r>
        <w:rPr>
          <w:bCs/>
          <w:highlight w:val="yellow"/>
        </w:rPr>
        <w:t xml:space="preserve">han that </w:t>
      </w:r>
      <w:r>
        <w:rPr>
          <w:bCs/>
        </w:rPr>
        <w:t>o</w:t>
      </w:r>
      <w:r>
        <w:rPr>
          <w:bCs/>
          <w:highlight w:val="yellow"/>
        </w:rPr>
        <w:t>f</w:t>
      </w:r>
      <w:r>
        <w:rPr>
          <w:bCs/>
        </w:rPr>
        <w:t xml:space="preserve"> the normal controls (p</w:t>
      </w:r>
      <w:r>
        <w:rPr>
          <w:bCs/>
          <w:highlight w:val="yellow"/>
        </w:rPr>
        <w:t xml:space="preserve"> </w:t>
      </w:r>
      <w:r>
        <w:rPr>
          <w:bCs/>
        </w:rPr>
        <w:t>&lt;</w:t>
      </w:r>
      <w:r>
        <w:rPr>
          <w:bCs/>
          <w:highlight w:val="yellow"/>
        </w:rPr>
        <w:t xml:space="preserve"> </w:t>
      </w:r>
      <w:r>
        <w:rPr>
          <w:bCs/>
        </w:rPr>
        <w:t>0.05) but</w:t>
      </w:r>
      <w:r>
        <w:rPr>
          <w:bCs/>
          <w:highlight w:val="yellow"/>
        </w:rPr>
        <w:t xml:space="preserve"> was</w:t>
      </w:r>
      <w:r>
        <w:rPr>
          <w:bCs/>
        </w:rPr>
        <w:t xml:space="preserve"> not significantly different from the PCOS group (Figure 4)</w:t>
      </w:r>
      <w:r>
        <w:rPr>
          <w:bCs/>
          <w:highlight w:val="yellow"/>
        </w:rPr>
        <w:t>.</w:t>
      </w:r>
    </w:p>
    <w:p w14:paraId="19392DA9" w14:textId="77777777" w:rsidR="009A2F88" w:rsidRPr="00743788" w:rsidRDefault="00A12C15" w:rsidP="00804694">
      <w:pPr>
        <w:keepNext/>
        <w:tabs>
          <w:tab w:val="left" w:pos="0"/>
        </w:tabs>
        <w:jc w:val="center"/>
        <w:rPr>
          <w:bCs/>
        </w:rPr>
      </w:pPr>
      <w:r w:rsidRPr="00743788">
        <w:rPr>
          <w:bCs/>
          <w:noProof/>
        </w:rPr>
        <w:lastRenderedPageBreak/>
        <w:drawing>
          <wp:inline distT="0" distB="0" distL="0" distR="0" wp14:anchorId="2294F2EE" wp14:editId="4D7BD2FD">
            <wp:extent cx="2732405" cy="3480179"/>
            <wp:effectExtent l="0" t="0" r="0" b="6350"/>
            <wp:docPr id="9857507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50790" name="Picture 985750790"/>
                    <pic:cNvPicPr/>
                  </pic:nvPicPr>
                  <pic:blipFill rotWithShape="1">
                    <a:blip r:embed="rId12">
                      <a:extLst>
                        <a:ext uri="{28A0092B-C50C-407E-A947-70E740481C1C}">
                          <a14:useLocalDpi xmlns:a14="http://schemas.microsoft.com/office/drawing/2010/main" val="0"/>
                        </a:ext>
                      </a:extLst>
                    </a:blip>
                    <a:srcRect b="7546"/>
                    <a:stretch>
                      <a:fillRect/>
                    </a:stretch>
                  </pic:blipFill>
                  <pic:spPr bwMode="auto">
                    <a:xfrm>
                      <a:off x="0" y="0"/>
                      <a:ext cx="2836426" cy="3612667"/>
                    </a:xfrm>
                    <a:prstGeom prst="rect">
                      <a:avLst/>
                    </a:prstGeom>
                    <a:ln>
                      <a:noFill/>
                    </a:ln>
                    <a:extLst>
                      <a:ext uri="{53640926-AAD7-44D8-BBD7-CCE9431645EC}">
                        <a14:shadowObscured xmlns:a14="http://schemas.microsoft.com/office/drawing/2010/main"/>
                      </a:ext>
                    </a:extLst>
                  </pic:spPr>
                </pic:pic>
              </a:graphicData>
            </a:graphic>
          </wp:inline>
        </w:drawing>
      </w:r>
    </w:p>
    <w:p w14:paraId="41996531" w14:textId="77777777" w:rsidR="00804694" w:rsidRDefault="009A2F88" w:rsidP="00804694">
      <w:pPr>
        <w:pStyle w:val="Caption"/>
        <w:spacing w:after="0"/>
        <w:rPr>
          <w:bCs/>
        </w:rPr>
      </w:pPr>
      <w:bookmarkStart w:id="26" w:name="_Toc230291763"/>
      <w:r w:rsidRPr="00A22AE5">
        <w:rPr>
          <w:b/>
        </w:rPr>
        <w:t>Figure 4:</w:t>
      </w:r>
      <w:r w:rsidR="00713533" w:rsidRPr="00743788">
        <w:rPr>
          <w:bCs/>
        </w:rPr>
        <w:t xml:space="preserve"> </w:t>
      </w:r>
      <w:r w:rsidR="00A12C15" w:rsidRPr="00743788">
        <w:rPr>
          <w:bCs/>
        </w:rPr>
        <w:t xml:space="preserve">Percentage area of reticular fibers in the theca externa across the groups. </w:t>
      </w:r>
    </w:p>
    <w:p w14:paraId="34CBD681" w14:textId="77777777" w:rsidR="004205CB" w:rsidRPr="00743788" w:rsidRDefault="00A12C15" w:rsidP="00ED5AAF">
      <w:pPr>
        <w:pStyle w:val="Caption"/>
        <w:rPr>
          <w:bCs/>
        </w:rPr>
      </w:pPr>
      <w:r w:rsidRPr="00743788">
        <w:rPr>
          <w:rStyle w:val="Strong"/>
          <w:b w:val="0"/>
        </w:rPr>
        <w:t>PCOS</w:t>
      </w:r>
      <w:r w:rsidRPr="00743788">
        <w:rPr>
          <w:bCs/>
        </w:rPr>
        <w:t>: polycystic ovar</w:t>
      </w:r>
      <w:r w:rsidR="00E8718B">
        <w:rPr>
          <w:bCs/>
        </w:rPr>
        <w:t>ian</w:t>
      </w:r>
      <w:r w:rsidRPr="00743788">
        <w:rPr>
          <w:bCs/>
        </w:rPr>
        <w:t xml:space="preserve"> syndrome; </w:t>
      </w:r>
      <w:r w:rsidRPr="00743788">
        <w:rPr>
          <w:rStyle w:val="Strong"/>
          <w:b w:val="0"/>
        </w:rPr>
        <w:t xml:space="preserve">PCOS + </w:t>
      </w:r>
      <w:proofErr w:type="spellStart"/>
      <w:r w:rsidRPr="00743788">
        <w:rPr>
          <w:rStyle w:val="Strong"/>
          <w:b w:val="0"/>
        </w:rPr>
        <w:t>BaP</w:t>
      </w:r>
      <w:proofErr w:type="spellEnd"/>
      <w:r w:rsidRPr="00743788">
        <w:rPr>
          <w:bCs/>
        </w:rPr>
        <w:t>: testosterone propionate</w:t>
      </w:r>
      <w:r w:rsidR="004F1EDE" w:rsidRPr="00743788">
        <w:rPr>
          <w:bCs/>
        </w:rPr>
        <w:t>-</w:t>
      </w:r>
      <w:r w:rsidRPr="00743788">
        <w:rPr>
          <w:bCs/>
        </w:rPr>
        <w:t>induced polycystic ovar</w:t>
      </w:r>
      <w:r w:rsidR="00E8718B">
        <w:rPr>
          <w:bCs/>
        </w:rPr>
        <w:t>ian</w:t>
      </w:r>
      <w:r w:rsidRPr="00743788">
        <w:rPr>
          <w:bCs/>
        </w:rPr>
        <w:t xml:space="preserve"> syndrome Wist</w:t>
      </w:r>
      <w:r w:rsidR="00432495" w:rsidRPr="00743788">
        <w:rPr>
          <w:bCs/>
        </w:rPr>
        <w:t>a</w:t>
      </w:r>
      <w:r w:rsidRPr="00743788">
        <w:rPr>
          <w:bCs/>
        </w:rPr>
        <w:t>r rat exposed to benzo(a)</w:t>
      </w:r>
      <w:r w:rsidR="00543AE0" w:rsidRPr="00743788">
        <w:rPr>
          <w:bCs/>
        </w:rPr>
        <w:t>pyrene</w:t>
      </w:r>
      <w:r w:rsidR="00D85E51" w:rsidRPr="00743788">
        <w:rPr>
          <w:bCs/>
        </w:rPr>
        <w:t xml:space="preserve">. </w:t>
      </w:r>
      <w:r w:rsidRPr="00743788">
        <w:rPr>
          <w:bCs/>
        </w:rPr>
        <w:t>*p &lt; 0.05 versus control.</w:t>
      </w:r>
      <w:bookmarkEnd w:id="26"/>
    </w:p>
    <w:p w14:paraId="0AF0D434" w14:textId="77777777" w:rsidR="008D2CDF" w:rsidRPr="00961886" w:rsidRDefault="008D2CDF" w:rsidP="008D2CDF">
      <w:pPr>
        <w:spacing w:after="160"/>
        <w:rPr>
          <w:b/>
          <w:bCs/>
        </w:rPr>
      </w:pPr>
      <w:bookmarkStart w:id="27" w:name="_Toc231893499"/>
      <w:r w:rsidRPr="00961886">
        <w:rPr>
          <w:b/>
          <w:bCs/>
        </w:rPr>
        <w:t>DISCUSSION</w:t>
      </w:r>
    </w:p>
    <w:p w14:paraId="5409915A" w14:textId="77777777" w:rsidR="008D2CDF" w:rsidRPr="00961886" w:rsidRDefault="008D2CDF" w:rsidP="008D2CDF">
      <w:pPr>
        <w:spacing w:after="160"/>
      </w:pPr>
      <w:r>
        <w:t>The present study investigated the effects of benzo[a]pyrene (</w:t>
      </w:r>
      <w:proofErr w:type="spellStart"/>
      <w:r>
        <w:t>BaP</w:t>
      </w:r>
      <w:proofErr w:type="spellEnd"/>
      <w:r>
        <w:t xml:space="preserve">) exposure on ovarian histopathology, stromal extracellular matrix </w:t>
      </w:r>
      <w:proofErr w:type="spellStart"/>
      <w:r>
        <w:t>remodel</w:t>
      </w:r>
      <w:r>
        <w:rPr>
          <w:highlight w:val="yellow"/>
        </w:rPr>
        <w:t>l</w:t>
      </w:r>
      <w:r>
        <w:t>ing</w:t>
      </w:r>
      <w:proofErr w:type="spellEnd"/>
      <w:r>
        <w:t xml:space="preserve">, and serum reproductive hormone profiles in a testosterone-induced rat model of polycystic ovarian syndrome (PCOS). The major finding was the marked alteration in ovarian stromal architecture following </w:t>
      </w:r>
      <w:proofErr w:type="spellStart"/>
      <w:r>
        <w:t>BaP</w:t>
      </w:r>
      <w:proofErr w:type="spellEnd"/>
      <w:r>
        <w:t xml:space="preserve"> co-exposure, </w:t>
      </w:r>
      <w:proofErr w:type="spellStart"/>
      <w:r>
        <w:t>characterised</w:t>
      </w:r>
      <w:proofErr w:type="spellEnd"/>
      <w:r>
        <w:t xml:space="preserve"> by increased reticular </w:t>
      </w:r>
      <w:proofErr w:type="spellStart"/>
      <w:r>
        <w:t>fibre</w:t>
      </w:r>
      <w:proofErr w:type="spellEnd"/>
      <w:r>
        <w:t xml:space="preserve"> deposition within the theca externa and more pronounced cystic follicular changes. Although testosterone</w:t>
      </w:r>
      <w:r>
        <w:rPr>
          <w:highlight w:val="yellow"/>
        </w:rPr>
        <w:t xml:space="preserve"> tr</w:t>
      </w:r>
      <w:r>
        <w:t>ea</w:t>
      </w:r>
      <w:r>
        <w:rPr>
          <w:highlight w:val="yellow"/>
        </w:rPr>
        <w:t>tm</w:t>
      </w:r>
      <w:r>
        <w:t>en</w:t>
      </w:r>
      <w:r>
        <w:rPr>
          <w:highlight w:val="yellow"/>
        </w:rPr>
        <w:t>t</w:t>
      </w:r>
      <w:r>
        <w:t xml:space="preserve"> was associated with increased reticular </w:t>
      </w:r>
      <w:proofErr w:type="spellStart"/>
      <w:r>
        <w:t>fibre</w:t>
      </w:r>
      <w:proofErr w:type="spellEnd"/>
      <w:r>
        <w:t xml:space="preserve"> deposition compared with the control group, the </w:t>
      </w:r>
      <w:proofErr w:type="spellStart"/>
      <w:r>
        <w:t>PCOS+BaP</w:t>
      </w:r>
      <w:proofErr w:type="spellEnd"/>
      <w:r>
        <w:t xml:space="preserve"> group </w:t>
      </w:r>
      <w:r>
        <w:rPr>
          <w:highlight w:val="yellow"/>
        </w:rPr>
        <w:t>h</w:t>
      </w:r>
      <w:r>
        <w:t xml:space="preserve">ad the highest mean percentage area of thecal reticular </w:t>
      </w:r>
      <w:proofErr w:type="spellStart"/>
      <w:r>
        <w:t>fibres</w:t>
      </w:r>
      <w:proofErr w:type="spellEnd"/>
      <w:r>
        <w:t xml:space="preserve">. </w:t>
      </w:r>
      <w:r>
        <w:rPr>
          <w:highlight w:val="yellow"/>
        </w:rPr>
        <w:t>The mea</w:t>
      </w:r>
      <w:r>
        <w:t xml:space="preserve">n LH:FSH ratio was </w:t>
      </w:r>
      <w:r>
        <w:rPr>
          <w:highlight w:val="yellow"/>
        </w:rPr>
        <w:t>lowe</w:t>
      </w:r>
      <w:r>
        <w:t xml:space="preserve">r in the PCOS </w:t>
      </w:r>
      <w:r>
        <w:rPr>
          <w:highlight w:val="yellow"/>
        </w:rPr>
        <w:t xml:space="preserve">group </w:t>
      </w:r>
      <w:r>
        <w:t>and</w:t>
      </w:r>
      <w:r>
        <w:rPr>
          <w:highlight w:val="yellow"/>
        </w:rPr>
        <w:t xml:space="preserve"> higher in the</w:t>
      </w:r>
      <w:r>
        <w:t xml:space="preserve"> </w:t>
      </w:r>
      <w:proofErr w:type="spellStart"/>
      <w:r>
        <w:t>PCOS+BaP</w:t>
      </w:r>
      <w:proofErr w:type="spellEnd"/>
      <w:r>
        <w:t xml:space="preserve"> group t</w:t>
      </w:r>
      <w:r>
        <w:rPr>
          <w:highlight w:val="yellow"/>
        </w:rPr>
        <w:t>han in</w:t>
      </w:r>
      <w:r>
        <w:t xml:space="preserve"> the controls</w:t>
      </w:r>
      <w:r>
        <w:rPr>
          <w:highlight w:val="yellow"/>
        </w:rPr>
        <w:t>;</w:t>
      </w:r>
      <w:r>
        <w:t xml:space="preserve"> </w:t>
      </w:r>
      <w:r>
        <w:rPr>
          <w:highlight w:val="yellow"/>
        </w:rPr>
        <w:t>h</w:t>
      </w:r>
      <w:r>
        <w:t>o</w:t>
      </w:r>
      <w:r>
        <w:rPr>
          <w:highlight w:val="yellow"/>
        </w:rPr>
        <w:t>we</w:t>
      </w:r>
      <w:r>
        <w:t>ver</w:t>
      </w:r>
      <w:r>
        <w:rPr>
          <w:highlight w:val="yellow"/>
        </w:rPr>
        <w:t>, the between-group differences were not statistically significant. Likewi</w:t>
      </w:r>
      <w:r>
        <w:t>se, body weight, serum LH</w:t>
      </w:r>
      <w:r>
        <w:rPr>
          <w:highlight w:val="yellow"/>
        </w:rPr>
        <w:t>,</w:t>
      </w:r>
      <w:r>
        <w:t xml:space="preserve"> and serum FSH did not differ </w:t>
      </w:r>
      <w:r>
        <w:lastRenderedPageBreak/>
        <w:t xml:space="preserve">significantly among the groups. Collectively, these findings suggest that </w:t>
      </w:r>
      <w:proofErr w:type="spellStart"/>
      <w:r>
        <w:t>BaP</w:t>
      </w:r>
      <w:proofErr w:type="spellEnd"/>
      <w:r>
        <w:t xml:space="preserve"> </w:t>
      </w:r>
      <w:r>
        <w:rPr>
          <w:highlight w:val="yellow"/>
        </w:rPr>
        <w:t>co-</w:t>
      </w:r>
      <w:r>
        <w:t xml:space="preserve">exposure may </w:t>
      </w:r>
      <w:r>
        <w:rPr>
          <w:highlight w:val="yellow"/>
        </w:rPr>
        <w:t>b</w:t>
      </w:r>
      <w:r>
        <w:t>e</w:t>
      </w:r>
      <w:r>
        <w:rPr>
          <w:highlight w:val="yellow"/>
        </w:rPr>
        <w:t xml:space="preserve"> </w:t>
      </w:r>
      <w:r>
        <w:t>a</w:t>
      </w:r>
      <w:r>
        <w:rPr>
          <w:highlight w:val="yellow"/>
        </w:rPr>
        <w:t>sso</w:t>
      </w:r>
      <w:r>
        <w:t>c</w:t>
      </w:r>
      <w:r>
        <w:rPr>
          <w:highlight w:val="yellow"/>
        </w:rPr>
        <w:t>i</w:t>
      </w:r>
      <w:r>
        <w:t>ate</w:t>
      </w:r>
      <w:r>
        <w:rPr>
          <w:highlight w:val="yellow"/>
        </w:rPr>
        <w:t>d with greater</w:t>
      </w:r>
      <w:r>
        <w:t xml:space="preserve"> local ovarian structural abnormalities in a </w:t>
      </w:r>
      <w:r>
        <w:rPr>
          <w:highlight w:val="yellow"/>
        </w:rPr>
        <w:t>t</w:t>
      </w:r>
      <w:r>
        <w:t>e</w:t>
      </w:r>
      <w:r>
        <w:rPr>
          <w:highlight w:val="yellow"/>
        </w:rPr>
        <w:t>st</w:t>
      </w:r>
      <w:r>
        <w:t>o</w:t>
      </w:r>
      <w:r>
        <w:rPr>
          <w:highlight w:val="yellow"/>
        </w:rPr>
        <w:t>st</w:t>
      </w:r>
      <w:r>
        <w:t>eron</w:t>
      </w:r>
      <w:r>
        <w:rPr>
          <w:highlight w:val="yellow"/>
        </w:rPr>
        <w:t xml:space="preserve">e-induced PCOS </w:t>
      </w:r>
      <w:r>
        <w:t>m</w:t>
      </w:r>
      <w:r>
        <w:rPr>
          <w:highlight w:val="yellow"/>
        </w:rPr>
        <w:t>od</w:t>
      </w:r>
      <w:r>
        <w:t>e</w:t>
      </w:r>
      <w:r>
        <w:rPr>
          <w:highlight w:val="yellow"/>
        </w:rPr>
        <w:t>l</w:t>
      </w:r>
      <w:r>
        <w:t>, with the ovarian stroma representing a potentially important target of environmental toxicant exposure.</w:t>
      </w:r>
    </w:p>
    <w:p w14:paraId="0E1A07F5" w14:textId="77777777" w:rsidR="008D2CDF" w:rsidRPr="00961886" w:rsidRDefault="008D2CDF" w:rsidP="008D2CDF">
      <w:pPr>
        <w:spacing w:after="160"/>
        <w:rPr>
          <w:b/>
          <w:bCs/>
        </w:rPr>
      </w:pPr>
      <w:r w:rsidRPr="00961886">
        <w:rPr>
          <w:b/>
          <w:bCs/>
        </w:rPr>
        <w:t xml:space="preserve">Ovarian morphological alterations and </w:t>
      </w:r>
      <w:r w:rsidR="009C785A">
        <w:rPr>
          <w:b/>
          <w:bCs/>
        </w:rPr>
        <w:t>s</w:t>
      </w:r>
      <w:r w:rsidRPr="00961886">
        <w:rPr>
          <w:b/>
          <w:bCs/>
        </w:rPr>
        <w:t xml:space="preserve">tromal </w:t>
      </w:r>
      <w:r w:rsidR="009C785A">
        <w:rPr>
          <w:b/>
          <w:bCs/>
        </w:rPr>
        <w:t>a</w:t>
      </w:r>
      <w:r w:rsidRPr="00961886">
        <w:rPr>
          <w:b/>
          <w:bCs/>
        </w:rPr>
        <w:t>lterations</w:t>
      </w:r>
    </w:p>
    <w:p w14:paraId="17B008D0" w14:textId="77777777" w:rsidR="008D2CDF" w:rsidRPr="00961886" w:rsidRDefault="008D2CDF" w:rsidP="008D2CDF">
      <w:pPr>
        <w:spacing w:after="160"/>
      </w:pPr>
      <w:r>
        <w:t xml:space="preserve">Histological examination </w:t>
      </w:r>
      <w:r>
        <w:rPr>
          <w:highlight w:val="yellow"/>
        </w:rPr>
        <w:t>sh</w:t>
      </w:r>
      <w:r>
        <w:t>o</w:t>
      </w:r>
      <w:r>
        <w:rPr>
          <w:highlight w:val="yellow"/>
        </w:rPr>
        <w:t>w</w:t>
      </w:r>
      <w:r>
        <w:t>ed normal ovarian architecture in the control animals, with well-defined follicles and</w:t>
      </w:r>
      <w:r>
        <w:rPr>
          <w:highlight w:val="yellow"/>
        </w:rPr>
        <w:t xml:space="preserve"> a</w:t>
      </w:r>
      <w:r>
        <w:t xml:space="preserve"> relatively mild distribution of reticular </w:t>
      </w:r>
      <w:proofErr w:type="spellStart"/>
      <w:r>
        <w:t>fibres</w:t>
      </w:r>
      <w:proofErr w:type="spellEnd"/>
      <w:r>
        <w:t xml:space="preserve">. In contrast, both the testosterone-induced PCOS and </w:t>
      </w:r>
      <w:proofErr w:type="spellStart"/>
      <w:r>
        <w:t>PCOS+BaP</w:t>
      </w:r>
      <w:proofErr w:type="spellEnd"/>
      <w:r>
        <w:t xml:space="preserve"> groups </w:t>
      </w:r>
      <w:r>
        <w:rPr>
          <w:highlight w:val="yellow"/>
        </w:rPr>
        <w:t>sh</w:t>
      </w:r>
      <w:r>
        <w:t>o</w:t>
      </w:r>
      <w:r>
        <w:rPr>
          <w:highlight w:val="yellow"/>
        </w:rPr>
        <w:t>w</w:t>
      </w:r>
      <w:r>
        <w:t>ed multiple cystic follicles, indicating disruption of normal follicular development. The occurrence of cystic follicles in the testosterone-exposed rats is consistent with the established effects of prolonged androgen exposure on ovarian physiology (Foecking &amp; Levine, 2005; Foecking et al., 2008; Stener-Victorin et al., 2020). Hyperandrogenism is an important component of PCOS pathophysiology and may interfere with the normal progression of follicular development, resulting in follicular arrest and persistence of abnormal follicles (McCartney &amp; Marshall, 2016; Siddiqui et al., 2022).</w:t>
      </w:r>
    </w:p>
    <w:p w14:paraId="574EDFFD" w14:textId="77777777" w:rsidR="008D2CDF" w:rsidRPr="00961886" w:rsidRDefault="008D2CDF" w:rsidP="008D2CDF">
      <w:pPr>
        <w:spacing w:after="160"/>
      </w:pPr>
      <w:r>
        <w:t xml:space="preserve">The ovarian phenotype observed in the testosterone-exposed animals is particularly important because follicular development </w:t>
      </w:r>
      <w:r>
        <w:rPr>
          <w:highlight w:val="yellow"/>
        </w:rPr>
        <w:t>depend</w:t>
      </w:r>
      <w:r>
        <w:t xml:space="preserve">s not only on circulating reproductive hormones but also on the integrity of the local ovarian microenvironment. The ovary undergoes continuous structural </w:t>
      </w:r>
      <w:proofErr w:type="spellStart"/>
      <w:r>
        <w:t>remode</w:t>
      </w:r>
      <w:r>
        <w:rPr>
          <w:highlight w:val="yellow"/>
        </w:rPr>
        <w:t>l</w:t>
      </w:r>
      <w:r>
        <w:t>ling</w:t>
      </w:r>
      <w:proofErr w:type="spellEnd"/>
      <w:r>
        <w:t xml:space="preserve"> during follicular recruitment, growth, atresia, and ovulation. Consequently, alterations in the composition and </w:t>
      </w:r>
      <w:proofErr w:type="spellStart"/>
      <w:r>
        <w:t>organisation</w:t>
      </w:r>
      <w:proofErr w:type="spellEnd"/>
      <w:r>
        <w:t xml:space="preserve"> of the ovarian stroma may contribute directly to impaired follicular development (</w:t>
      </w:r>
      <w:proofErr w:type="spellStart"/>
      <w:r>
        <w:t>Grosbois</w:t>
      </w:r>
      <w:proofErr w:type="spellEnd"/>
      <w:r>
        <w:t xml:space="preserve"> et al., 2023; Kinnear et al., 2020; Lind et al., 2006).</w:t>
      </w:r>
    </w:p>
    <w:p w14:paraId="07F3D13E" w14:textId="77777777" w:rsidR="008D2CDF" w:rsidRPr="00961886" w:rsidRDefault="008D2CDF" w:rsidP="008D2CDF">
      <w:pPr>
        <w:spacing w:after="160"/>
      </w:pPr>
      <w:r>
        <w:t xml:space="preserve">The more pronounced structural alterations observed in the </w:t>
      </w:r>
      <w:proofErr w:type="spellStart"/>
      <w:r>
        <w:t>PCOS+BaP</w:t>
      </w:r>
      <w:proofErr w:type="spellEnd"/>
      <w:r>
        <w:t xml:space="preserve"> group suggest that </w:t>
      </w:r>
      <w:proofErr w:type="spellStart"/>
      <w:r>
        <w:t>BaP</w:t>
      </w:r>
      <w:proofErr w:type="spellEnd"/>
      <w:r>
        <w:t xml:space="preserve"> exposure may further </w:t>
      </w:r>
      <w:r>
        <w:rPr>
          <w:highlight w:val="yellow"/>
        </w:rPr>
        <w:t>affe</w:t>
      </w:r>
      <w:r>
        <w:t>c</w:t>
      </w:r>
      <w:r>
        <w:rPr>
          <w:highlight w:val="yellow"/>
        </w:rPr>
        <w:t>t</w:t>
      </w:r>
      <w:r>
        <w:t xml:space="preserve"> an ovary already a</w:t>
      </w:r>
      <w:r>
        <w:rPr>
          <w:highlight w:val="yellow"/>
        </w:rPr>
        <w:t>lt</w:t>
      </w:r>
      <w:r>
        <w:t>e</w:t>
      </w:r>
      <w:r>
        <w:rPr>
          <w:highlight w:val="yellow"/>
        </w:rPr>
        <w:t>r</w:t>
      </w:r>
      <w:r>
        <w:t xml:space="preserve">ed by </w:t>
      </w:r>
      <w:r>
        <w:rPr>
          <w:highlight w:val="yellow"/>
        </w:rPr>
        <w:t>testoste</w:t>
      </w:r>
      <w:r>
        <w:t>ro</w:t>
      </w:r>
      <w:r>
        <w:rPr>
          <w:highlight w:val="yellow"/>
        </w:rPr>
        <w:t>ne treatm</w:t>
      </w:r>
      <w:r>
        <w:t xml:space="preserve">ent. This observation </w:t>
      </w:r>
      <w:r>
        <w:lastRenderedPageBreak/>
        <w:t>is consistent with the concept that environmental toxicants may act as modifiers of pre-existing reproductive abnormalities. Rather than considering endocrine disorders and environmental exposures as independent factors, increasing evidence suggests that environmental chemicals may interact with underlying endocrine and metabolic disturbances to influence the severity of reproductive pathology (Chen et al., 2025; Pan et al., 2024; Yang et al., 2015).</w:t>
      </w:r>
    </w:p>
    <w:p w14:paraId="2FAEF351" w14:textId="77777777" w:rsidR="008D2CDF" w:rsidRPr="00961886" w:rsidRDefault="008D2CDF" w:rsidP="008D2CDF">
      <w:pPr>
        <w:spacing w:after="160"/>
        <w:rPr>
          <w:b/>
          <w:bCs/>
        </w:rPr>
      </w:pPr>
      <w:r>
        <w:rPr>
          <w:b/>
          <w:bCs/>
        </w:rPr>
        <w:t xml:space="preserve">Ovarian stroma and extracellular matrix </w:t>
      </w:r>
      <w:proofErr w:type="spellStart"/>
      <w:r>
        <w:rPr>
          <w:b/>
          <w:bCs/>
        </w:rPr>
        <w:t>remodel</w:t>
      </w:r>
      <w:r>
        <w:rPr>
          <w:b/>
          <w:bCs/>
          <w:highlight w:val="yellow"/>
        </w:rPr>
        <w:t>l</w:t>
      </w:r>
      <w:r>
        <w:rPr>
          <w:b/>
          <w:bCs/>
        </w:rPr>
        <w:t>ing</w:t>
      </w:r>
      <w:proofErr w:type="spellEnd"/>
    </w:p>
    <w:p w14:paraId="65B94251" w14:textId="77777777" w:rsidR="008D2CDF" w:rsidRPr="00961886" w:rsidRDefault="008D2CDF" w:rsidP="008D2CDF">
      <w:pPr>
        <w:spacing w:after="160"/>
      </w:pPr>
      <w:r w:rsidRPr="00961886">
        <w:t xml:space="preserve">One of the most important observations of the present study was the increased deposition of reticular </w:t>
      </w:r>
      <w:proofErr w:type="spellStart"/>
      <w:r w:rsidRPr="00961886">
        <w:t>fibres</w:t>
      </w:r>
      <w:proofErr w:type="spellEnd"/>
      <w:r w:rsidRPr="00961886">
        <w:t xml:space="preserve"> within the theca externa of the ovaries. The control group demonstrated the lowest percentage area of reticular </w:t>
      </w:r>
      <w:proofErr w:type="spellStart"/>
      <w:r w:rsidRPr="00961886">
        <w:t>fibres</w:t>
      </w:r>
      <w:proofErr w:type="spellEnd"/>
      <w:r w:rsidRPr="00961886">
        <w:t xml:space="preserve">, whereas the testosterone-induced PCOS group demonstrated a moderate increase. The highest mean percentage area of reticular </w:t>
      </w:r>
      <w:proofErr w:type="spellStart"/>
      <w:r w:rsidRPr="00961886">
        <w:t>fibres</w:t>
      </w:r>
      <w:proofErr w:type="spellEnd"/>
      <w:r w:rsidRPr="00961886">
        <w:t xml:space="preserve"> was observed in the </w:t>
      </w:r>
      <w:proofErr w:type="spellStart"/>
      <w:r w:rsidRPr="00961886">
        <w:t>PCOS+BaP</w:t>
      </w:r>
      <w:proofErr w:type="spellEnd"/>
      <w:r w:rsidRPr="00961886">
        <w:t xml:space="preserve"> group. Although the difference between the PCOS and </w:t>
      </w:r>
      <w:proofErr w:type="spellStart"/>
      <w:r w:rsidRPr="00961886">
        <w:t>PCOS+BaP</w:t>
      </w:r>
      <w:proofErr w:type="spellEnd"/>
      <w:r w:rsidRPr="00961886">
        <w:t xml:space="preserve"> groups was not statistically significant, the considerably greater mean value observed in the co-exposed (</w:t>
      </w:r>
      <w:proofErr w:type="spellStart"/>
      <w:r w:rsidRPr="00961886">
        <w:t>PCOS+BaP</w:t>
      </w:r>
      <w:proofErr w:type="spellEnd"/>
      <w:r w:rsidRPr="00961886">
        <w:t>) group, together with the significant difference from the control group, suggests a potentially important biological effect that warrants further investigation.</w:t>
      </w:r>
    </w:p>
    <w:p w14:paraId="0F31F9BE" w14:textId="77777777" w:rsidR="008D2CDF" w:rsidRPr="00961886" w:rsidRDefault="008D2CDF" w:rsidP="008D2CDF">
      <w:pPr>
        <w:spacing w:after="160"/>
      </w:pPr>
      <w:r>
        <w:t xml:space="preserve">The ovarian stroma is increasingly </w:t>
      </w:r>
      <w:proofErr w:type="spellStart"/>
      <w:r>
        <w:t>recognised</w:t>
      </w:r>
      <w:proofErr w:type="spellEnd"/>
      <w:r>
        <w:t xml:space="preserve"> as an active component of ovarian physiology. In addition to providing structural support, the stromal extracellular matrix participates in cellular communication and provides a biomechanical environment that influences follicular growth and development. Reticular </w:t>
      </w:r>
      <w:proofErr w:type="spellStart"/>
      <w:r>
        <w:t>fibres</w:t>
      </w:r>
      <w:proofErr w:type="spellEnd"/>
      <w:r>
        <w:t xml:space="preserve"> form part of this supporting extracellular framework and contribute to the structural </w:t>
      </w:r>
      <w:proofErr w:type="spellStart"/>
      <w:r>
        <w:t>organisation</w:t>
      </w:r>
      <w:proofErr w:type="spellEnd"/>
      <w:r>
        <w:t xml:space="preserve"> of ovarian tissue. Under physiological conditions, extracellular matrix components undergo continuous and tightly regulated </w:t>
      </w:r>
      <w:proofErr w:type="spellStart"/>
      <w:r>
        <w:t>remodel</w:t>
      </w:r>
      <w:r>
        <w:rPr>
          <w:highlight w:val="yellow"/>
        </w:rPr>
        <w:t>l</w:t>
      </w:r>
      <w:r>
        <w:t>ing</w:t>
      </w:r>
      <w:proofErr w:type="spellEnd"/>
      <w:r>
        <w:t xml:space="preserve"> to permit follicular growth, tissue expansion, and ovulation (</w:t>
      </w:r>
      <w:proofErr w:type="spellStart"/>
      <w:r>
        <w:t>Grosbois</w:t>
      </w:r>
      <w:proofErr w:type="spellEnd"/>
      <w:r>
        <w:t xml:space="preserve"> et al., 2023; Kinnear et al., 2020; Lind et al., 2006).</w:t>
      </w:r>
    </w:p>
    <w:p w14:paraId="0B46991C" w14:textId="77777777" w:rsidR="008D2CDF" w:rsidRPr="00961886" w:rsidRDefault="008D2CDF" w:rsidP="008D2CDF">
      <w:pPr>
        <w:spacing w:after="160"/>
      </w:pPr>
      <w:r w:rsidRPr="00961886">
        <w:lastRenderedPageBreak/>
        <w:t xml:space="preserve">Excessive deposition of extracellular matrix components, however, may disrupt this physiological balance. Increased accumulation of connective tissue </w:t>
      </w:r>
      <w:proofErr w:type="spellStart"/>
      <w:r w:rsidRPr="00961886">
        <w:t>fibres</w:t>
      </w:r>
      <w:proofErr w:type="spellEnd"/>
      <w:r w:rsidRPr="00961886">
        <w:t xml:space="preserve"> can alter stromal </w:t>
      </w:r>
      <w:proofErr w:type="spellStart"/>
      <w:r w:rsidRPr="00961886">
        <w:t>organisation</w:t>
      </w:r>
      <w:proofErr w:type="spellEnd"/>
      <w:r w:rsidRPr="00961886">
        <w:t xml:space="preserve"> and potentially increase the mechanical rigidity of ovarian tissue. Such changes may create a less </w:t>
      </w:r>
      <w:proofErr w:type="spellStart"/>
      <w:r w:rsidRPr="00961886">
        <w:t>favourable</w:t>
      </w:r>
      <w:proofErr w:type="spellEnd"/>
      <w:r w:rsidRPr="00961886">
        <w:t xml:space="preserve"> environment for normal follicular expansion and maturation. Therefore, the increased reticular </w:t>
      </w:r>
      <w:proofErr w:type="spellStart"/>
      <w:r w:rsidRPr="00961886">
        <w:t>fibre</w:t>
      </w:r>
      <w:proofErr w:type="spellEnd"/>
      <w:r w:rsidRPr="00961886">
        <w:t xml:space="preserve"> deposition observed in the present study may have functional significance beyond the histological changes alone (</w:t>
      </w:r>
      <w:proofErr w:type="spellStart"/>
      <w:r w:rsidRPr="00961886">
        <w:t>Amargant</w:t>
      </w:r>
      <w:proofErr w:type="spellEnd"/>
      <w:r w:rsidRPr="00961886">
        <w:t xml:space="preserve"> et al., 2020; Liu et al., 2025; Zhou et al., 2017).</w:t>
      </w:r>
    </w:p>
    <w:p w14:paraId="2E6C8BA8" w14:textId="77777777" w:rsidR="008D2CDF" w:rsidRPr="00961886" w:rsidRDefault="008D2CDF" w:rsidP="008D2CDF">
      <w:pPr>
        <w:spacing w:after="160"/>
      </w:pPr>
      <w:r>
        <w:t xml:space="preserve">The present findings are consistent with the growing recognition that dysregulated extracellular matrix </w:t>
      </w:r>
      <w:proofErr w:type="spellStart"/>
      <w:r>
        <w:t>remode</w:t>
      </w:r>
      <w:r>
        <w:rPr>
          <w:highlight w:val="yellow"/>
        </w:rPr>
        <w:t>l</w:t>
      </w:r>
      <w:r>
        <w:t>ling</w:t>
      </w:r>
      <w:proofErr w:type="spellEnd"/>
      <w:r>
        <w:t xml:space="preserve"> and ovarian fibrosis are important components of ovarian dysfunction. Previous studies have shown that hyperandrogenic conditions may promote structural </w:t>
      </w:r>
      <w:proofErr w:type="spellStart"/>
      <w:r>
        <w:t>remode</w:t>
      </w:r>
      <w:r>
        <w:rPr>
          <w:highlight w:val="yellow"/>
        </w:rPr>
        <w:t>l</w:t>
      </w:r>
      <w:r>
        <w:t>ling</w:t>
      </w:r>
      <w:proofErr w:type="spellEnd"/>
      <w:r>
        <w:t xml:space="preserve"> of the ovary through activation of pathways associated with inflammation, fibrosis, and extracellular matrix production. In experimental models, androgen excess has been associated with increased expression of profibrotic mediators and activation of the transforming growth factor-beta (TGF-β) </w:t>
      </w:r>
      <w:proofErr w:type="spellStart"/>
      <w:r>
        <w:t>signalling</w:t>
      </w:r>
      <w:proofErr w:type="spellEnd"/>
      <w:r>
        <w:t xml:space="preserve"> pathway. Hyperandrogenism may also promote inflammatory processes that contribute to progressive ovarian tissue </w:t>
      </w:r>
      <w:proofErr w:type="spellStart"/>
      <w:r>
        <w:t>remodel</w:t>
      </w:r>
      <w:r>
        <w:rPr>
          <w:highlight w:val="yellow"/>
        </w:rPr>
        <w:t>l</w:t>
      </w:r>
      <w:r>
        <w:t>ing</w:t>
      </w:r>
      <w:proofErr w:type="spellEnd"/>
      <w:r>
        <w:t xml:space="preserve"> (Gu et al., 2024; Hopkins et al., 2026; Wang et al., 2018; Wang et al., 2020).</w:t>
      </w:r>
    </w:p>
    <w:p w14:paraId="1536869F" w14:textId="77777777" w:rsidR="008D2CDF" w:rsidRPr="00961886" w:rsidRDefault="008D2CDF" w:rsidP="008D2CDF">
      <w:pPr>
        <w:spacing w:after="160"/>
      </w:pPr>
      <w:r>
        <w:t xml:space="preserve">Accordingly, the increased reticular </w:t>
      </w:r>
      <w:proofErr w:type="spellStart"/>
      <w:r>
        <w:t>fibre</w:t>
      </w:r>
      <w:proofErr w:type="spellEnd"/>
      <w:r>
        <w:t xml:space="preserve"> deposition observed in the PCOS group may represent one of the structural consequences of prolonged androgen exposure. The </w:t>
      </w:r>
      <w:r>
        <w:rPr>
          <w:highlight w:val="yellow"/>
        </w:rPr>
        <w:t>hig</w:t>
      </w:r>
      <w:r>
        <w:t xml:space="preserve">her </w:t>
      </w:r>
      <w:r>
        <w:rPr>
          <w:highlight w:val="yellow"/>
        </w:rPr>
        <w:t>m</w:t>
      </w:r>
      <w:r>
        <w:t>ea</w:t>
      </w:r>
      <w:r>
        <w:rPr>
          <w:highlight w:val="yellow"/>
        </w:rPr>
        <w:t>n valu</w:t>
      </w:r>
      <w:r>
        <w:t xml:space="preserve">e observed in the </w:t>
      </w:r>
      <w:proofErr w:type="spellStart"/>
      <w:r>
        <w:t>PCOS+BaP</w:t>
      </w:r>
      <w:proofErr w:type="spellEnd"/>
      <w:r>
        <w:t xml:space="preserve"> group raises the possibility that </w:t>
      </w:r>
      <w:proofErr w:type="spellStart"/>
      <w:r>
        <w:t>BaP</w:t>
      </w:r>
      <w:proofErr w:type="spellEnd"/>
      <w:r>
        <w:t xml:space="preserve"> exposure </w:t>
      </w:r>
      <w:r>
        <w:rPr>
          <w:highlight w:val="yellow"/>
        </w:rPr>
        <w:t xml:space="preserve">may </w:t>
      </w:r>
      <w:r>
        <w:t>intensif</w:t>
      </w:r>
      <w:r>
        <w:rPr>
          <w:highlight w:val="yellow"/>
        </w:rPr>
        <w:t>y</w:t>
      </w:r>
      <w:r>
        <w:t xml:space="preserve"> this pathological process</w:t>
      </w:r>
      <w:r>
        <w:rPr>
          <w:highlight w:val="yellow"/>
        </w:rPr>
        <w:t xml:space="preserve">; however, the difference between the PCOS and </w:t>
      </w:r>
      <w:proofErr w:type="spellStart"/>
      <w:r>
        <w:rPr>
          <w:highlight w:val="yellow"/>
        </w:rPr>
        <w:t>PCOS+BaP</w:t>
      </w:r>
      <w:proofErr w:type="spellEnd"/>
      <w:r>
        <w:rPr>
          <w:highlight w:val="yellow"/>
        </w:rPr>
        <w:t xml:space="preserve"> groups was not statistically significant</w:t>
      </w:r>
      <w:r>
        <w:t xml:space="preserve">. The findings therefore support </w:t>
      </w:r>
      <w:r>
        <w:rPr>
          <w:highlight w:val="yellow"/>
        </w:rPr>
        <w:t>fur</w:t>
      </w:r>
      <w:r>
        <w:t>the</w:t>
      </w:r>
      <w:r>
        <w:rPr>
          <w:highlight w:val="yellow"/>
        </w:rPr>
        <w:t>r investigation of a</w:t>
      </w:r>
      <w:r>
        <w:t xml:space="preserve"> possibl</w:t>
      </w:r>
      <w:r>
        <w:rPr>
          <w:highlight w:val="yellow"/>
        </w:rPr>
        <w:t>e</w:t>
      </w:r>
      <w:r>
        <w:t xml:space="preserve"> interaction between hyperandrogenism and environmental toxicant exposure at the level of the ovarian stroma (Chen et al., 2025; Pan et al., 2024).</w:t>
      </w:r>
    </w:p>
    <w:p w14:paraId="67D74C63" w14:textId="77777777" w:rsidR="008D2CDF" w:rsidRPr="00961886" w:rsidRDefault="008D2CDF" w:rsidP="008D2CDF">
      <w:pPr>
        <w:spacing w:after="160"/>
        <w:rPr>
          <w:b/>
          <w:bCs/>
        </w:rPr>
      </w:pPr>
      <w:r w:rsidRPr="00961886">
        <w:rPr>
          <w:b/>
          <w:bCs/>
        </w:rPr>
        <w:t xml:space="preserve">Possible mechanisms underlying </w:t>
      </w:r>
      <w:proofErr w:type="spellStart"/>
      <w:r w:rsidRPr="00961886">
        <w:rPr>
          <w:b/>
          <w:bCs/>
        </w:rPr>
        <w:t>BaP</w:t>
      </w:r>
      <w:proofErr w:type="spellEnd"/>
      <w:r w:rsidRPr="00961886">
        <w:rPr>
          <w:b/>
          <w:bCs/>
        </w:rPr>
        <w:t>-associated stromal alterations</w:t>
      </w:r>
    </w:p>
    <w:p w14:paraId="499A6EDF" w14:textId="77777777" w:rsidR="008D2CDF" w:rsidRPr="00961886" w:rsidRDefault="008D2CDF" w:rsidP="008D2CDF">
      <w:pPr>
        <w:spacing w:after="160"/>
      </w:pPr>
      <w:r w:rsidRPr="00961886">
        <w:lastRenderedPageBreak/>
        <w:t xml:space="preserve">The present study was not designed to directly investigate the molecular mechanisms responsible for the increased reticular </w:t>
      </w:r>
      <w:proofErr w:type="spellStart"/>
      <w:r w:rsidRPr="00961886">
        <w:t>fibre</w:t>
      </w:r>
      <w:proofErr w:type="spellEnd"/>
      <w:r w:rsidRPr="00961886">
        <w:t xml:space="preserve"> deposition. Therefore, the mechanisms discussed below should be regarded as biologically plausible explanations rather than direct demonstrations from the present experiment.</w:t>
      </w:r>
    </w:p>
    <w:p w14:paraId="449C32FC" w14:textId="77777777" w:rsidR="008D2CDF" w:rsidRPr="00961886" w:rsidRDefault="008D2CDF" w:rsidP="008D2CDF">
      <w:pPr>
        <w:spacing w:after="160"/>
      </w:pPr>
      <w:proofErr w:type="spellStart"/>
      <w:r w:rsidRPr="00961886">
        <w:t>BaP</w:t>
      </w:r>
      <w:proofErr w:type="spellEnd"/>
      <w:r w:rsidRPr="00961886">
        <w:t xml:space="preserve"> is a polycyclic aromatic hydrocarbon that is widely </w:t>
      </w:r>
      <w:proofErr w:type="spellStart"/>
      <w:r w:rsidRPr="00961886">
        <w:t>recognised</w:t>
      </w:r>
      <w:proofErr w:type="spellEnd"/>
      <w:r w:rsidRPr="00961886">
        <w:t xml:space="preserve"> for its toxicological effects. Following exposure, </w:t>
      </w:r>
      <w:proofErr w:type="spellStart"/>
      <w:r w:rsidRPr="00961886">
        <w:t>BaP</w:t>
      </w:r>
      <w:proofErr w:type="spellEnd"/>
      <w:r w:rsidRPr="00961886">
        <w:t xml:space="preserve"> undergoes metabolic activation and can generate reactive intermediates capable of producing oxidative stress, DNA damage, and cellular injury. Experimental studies have also demonstrated adverse effects of </w:t>
      </w:r>
      <w:proofErr w:type="spellStart"/>
      <w:r w:rsidRPr="00961886">
        <w:t>BaP</w:t>
      </w:r>
      <w:proofErr w:type="spellEnd"/>
      <w:r w:rsidRPr="00961886">
        <w:t xml:space="preserve"> on different components of the female reproductive system, including the developing ovary, ovarian germ cells, granulosa cells, and steroidogenic processes (Bukowska et al., 2022; Lim et al., 2023; Malott et al., 2022; </w:t>
      </w:r>
      <w:proofErr w:type="spellStart"/>
      <w:r w:rsidRPr="00961886">
        <w:t>Perono</w:t>
      </w:r>
      <w:proofErr w:type="spellEnd"/>
      <w:r w:rsidRPr="00961886">
        <w:t xml:space="preserve"> et al., 2022; Stefansdottir et al., 2023; Xu et al., 2024).</w:t>
      </w:r>
    </w:p>
    <w:p w14:paraId="375CBC72" w14:textId="77777777" w:rsidR="008D2CDF" w:rsidRPr="00961886" w:rsidRDefault="008D2CDF" w:rsidP="008D2CDF">
      <w:pPr>
        <w:spacing w:after="160"/>
      </w:pPr>
      <w:r>
        <w:t xml:space="preserve">One possible pathway through which </w:t>
      </w:r>
      <w:proofErr w:type="spellStart"/>
      <w:r>
        <w:t>BaP</w:t>
      </w:r>
      <w:proofErr w:type="spellEnd"/>
      <w:r>
        <w:t xml:space="preserve"> may influence ovarian stromal </w:t>
      </w:r>
      <w:proofErr w:type="spellStart"/>
      <w:r>
        <w:t>remodel</w:t>
      </w:r>
      <w:r>
        <w:rPr>
          <w:highlight w:val="yellow"/>
        </w:rPr>
        <w:t>l</w:t>
      </w:r>
      <w:r>
        <w:t>ing</w:t>
      </w:r>
      <w:proofErr w:type="spellEnd"/>
      <w:r>
        <w:t xml:space="preserve"> is activation of the aryl hydrocarbon receptor (</w:t>
      </w:r>
      <w:proofErr w:type="spellStart"/>
      <w:r>
        <w:t>AhR</w:t>
      </w:r>
      <w:proofErr w:type="spellEnd"/>
      <w:r>
        <w:t xml:space="preserve">). </w:t>
      </w:r>
      <w:proofErr w:type="spellStart"/>
      <w:r>
        <w:t>BaP</w:t>
      </w:r>
      <w:proofErr w:type="spellEnd"/>
      <w:r>
        <w:t xml:space="preserve"> is a </w:t>
      </w:r>
      <w:proofErr w:type="spellStart"/>
      <w:r>
        <w:t>recognised</w:t>
      </w:r>
      <w:proofErr w:type="spellEnd"/>
      <w:r>
        <w:t xml:space="preserve"> ligand of </w:t>
      </w:r>
      <w:proofErr w:type="spellStart"/>
      <w:r>
        <w:t>AhR</w:t>
      </w:r>
      <w:proofErr w:type="spellEnd"/>
      <w:r>
        <w:t xml:space="preserve">, and activation of this receptor can alter cellular transcriptional activity and influence pathways involved in xenobiotic metabolism, inflammation, and tissue </w:t>
      </w:r>
      <w:proofErr w:type="spellStart"/>
      <w:r>
        <w:t>remodel</w:t>
      </w:r>
      <w:r>
        <w:rPr>
          <w:highlight w:val="yellow"/>
        </w:rPr>
        <w:t>l</w:t>
      </w:r>
      <w:r>
        <w:t>ing</w:t>
      </w:r>
      <w:proofErr w:type="spellEnd"/>
      <w:r>
        <w:t xml:space="preserve">. </w:t>
      </w:r>
      <w:proofErr w:type="spellStart"/>
      <w:r>
        <w:t>AhR</w:t>
      </w:r>
      <w:proofErr w:type="spellEnd"/>
      <w:r>
        <w:t xml:space="preserve"> </w:t>
      </w:r>
      <w:proofErr w:type="spellStart"/>
      <w:r>
        <w:t>signalling</w:t>
      </w:r>
      <w:proofErr w:type="spellEnd"/>
      <w:r>
        <w:t xml:space="preserve"> has also been implicated in fibrotic processes in different tissues and may interact with profibrotic pathways, including TGF-β </w:t>
      </w:r>
      <w:proofErr w:type="spellStart"/>
      <w:r>
        <w:t>signalling</w:t>
      </w:r>
      <w:proofErr w:type="spellEnd"/>
      <w:r>
        <w:t xml:space="preserve"> (Kwong et al., 2024; Shi et al., 2020).</w:t>
      </w:r>
    </w:p>
    <w:p w14:paraId="7BB64584" w14:textId="77777777" w:rsidR="008D2CDF" w:rsidRPr="00961886" w:rsidRDefault="008D2CDF" w:rsidP="008D2CDF">
      <w:pPr>
        <w:spacing w:after="160"/>
      </w:pPr>
      <w:r w:rsidRPr="00961886">
        <w:t xml:space="preserve">Consequently, it is biologically plausible that </w:t>
      </w:r>
      <w:proofErr w:type="spellStart"/>
      <w:r w:rsidRPr="00961886">
        <w:t>BaP</w:t>
      </w:r>
      <w:proofErr w:type="spellEnd"/>
      <w:r w:rsidRPr="00961886">
        <w:t xml:space="preserve"> exposure may have contributed to increased extracellular matrix accumulation through mechanisms involving </w:t>
      </w:r>
      <w:proofErr w:type="spellStart"/>
      <w:r w:rsidRPr="00961886">
        <w:t>AhR</w:t>
      </w:r>
      <w:proofErr w:type="spellEnd"/>
      <w:r w:rsidRPr="00961886">
        <w:t xml:space="preserve">-dependent </w:t>
      </w:r>
      <w:proofErr w:type="spellStart"/>
      <w:r w:rsidRPr="00961886">
        <w:t>signalling</w:t>
      </w:r>
      <w:proofErr w:type="spellEnd"/>
      <w:r w:rsidRPr="00961886">
        <w:t>. Such an effect may be particularly important in an ovary already exposed to prolonged androgen stimulation, where pathways involved in inflammation and fibrosis may already be activated (Gu et al., 2024; Hopkins et al., 2026; Shi et al., 2020; Wang et al., 2020).</w:t>
      </w:r>
    </w:p>
    <w:p w14:paraId="1A95CC92" w14:textId="77777777" w:rsidR="008D2CDF" w:rsidRPr="00961886" w:rsidRDefault="008D2CDF" w:rsidP="008D2CDF">
      <w:pPr>
        <w:spacing w:after="160"/>
      </w:pPr>
      <w:r>
        <w:lastRenderedPageBreak/>
        <w:t xml:space="preserve">Oxidative stress represents another possible mechanism. </w:t>
      </w:r>
      <w:proofErr w:type="spellStart"/>
      <w:r>
        <w:t>BaP</w:t>
      </w:r>
      <w:proofErr w:type="spellEnd"/>
      <w:r>
        <w:t xml:space="preserve"> metabolism can generate reactive oxygen species and induce oxidative cellular damage. Oxidative stress has also been implicated in ovarian dysfunction and in the pathophysiology of PCOS. Increased oxidative stress may promote inflammatory responses and contribute to alterations in extracellular matrix turnover. Therefore, the combination of androgen-induced ovarian dysfunction and </w:t>
      </w:r>
      <w:proofErr w:type="spellStart"/>
      <w:r>
        <w:t>BaP</w:t>
      </w:r>
      <w:proofErr w:type="spellEnd"/>
      <w:r>
        <w:t xml:space="preserve">-associated oxidative stress may create a local environment </w:t>
      </w:r>
      <w:proofErr w:type="spellStart"/>
      <w:r>
        <w:t>favourable</w:t>
      </w:r>
      <w:proofErr w:type="spellEnd"/>
      <w:r>
        <w:t xml:space="preserve"> to progressive stromal </w:t>
      </w:r>
      <w:proofErr w:type="spellStart"/>
      <w:r>
        <w:t>remodel</w:t>
      </w:r>
      <w:r>
        <w:rPr>
          <w:highlight w:val="yellow"/>
        </w:rPr>
        <w:t>l</w:t>
      </w:r>
      <w:r>
        <w:t>ing</w:t>
      </w:r>
      <w:proofErr w:type="spellEnd"/>
      <w:r>
        <w:t xml:space="preserve"> (Bukowska et al., 2022; Gu et al., 2024; </w:t>
      </w:r>
      <w:proofErr w:type="spellStart"/>
      <w:r>
        <w:t>Perono</w:t>
      </w:r>
      <w:proofErr w:type="spellEnd"/>
      <w:r>
        <w:t xml:space="preserve"> et al., 2022; Siddiqui et al., 2022).</w:t>
      </w:r>
    </w:p>
    <w:p w14:paraId="7FD5BB00" w14:textId="77777777" w:rsidR="008D2CDF" w:rsidRPr="00961886" w:rsidRDefault="008D2CDF" w:rsidP="008D2CDF">
      <w:pPr>
        <w:spacing w:after="160"/>
      </w:pPr>
      <w:r>
        <w:t xml:space="preserve">Inflammation may provide an additional link between hyperandrogenism and </w:t>
      </w:r>
      <w:proofErr w:type="spellStart"/>
      <w:r>
        <w:t>BaP</w:t>
      </w:r>
      <w:proofErr w:type="spellEnd"/>
      <w:r>
        <w:t xml:space="preserve"> toxicity. Chronic low-grade inflammation has been implicated in PCOS, while hyperandrogenism has been associated with inflammatory </w:t>
      </w:r>
      <w:proofErr w:type="spellStart"/>
      <w:r>
        <w:t>signalling</w:t>
      </w:r>
      <w:proofErr w:type="spellEnd"/>
      <w:r>
        <w:t xml:space="preserve"> and activation of pathways capable of promoting tissue injury. Inflammatory mediators may stimulate fibroblast activity and increase the synthesis of extracellular matrix components while altering normal matrix degradation. Thus, the marked reticular </w:t>
      </w:r>
      <w:proofErr w:type="spellStart"/>
      <w:r>
        <w:t>fibre</w:t>
      </w:r>
      <w:proofErr w:type="spellEnd"/>
      <w:r>
        <w:t xml:space="preserve"> accumulation observed in the </w:t>
      </w:r>
      <w:proofErr w:type="spellStart"/>
      <w:r>
        <w:t>PCOS+BaP</w:t>
      </w:r>
      <w:proofErr w:type="spellEnd"/>
      <w:r>
        <w:t xml:space="preserve"> group may result from the combined effects of hyperandrogenism, toxicant-induced oxidative stress, inflammation, and altered extracellular matrix turnover (Gu et al., 2024; </w:t>
      </w:r>
      <w:proofErr w:type="spellStart"/>
      <w:r>
        <w:t>Orisaka</w:t>
      </w:r>
      <w:proofErr w:type="spellEnd"/>
      <w:r>
        <w:t xml:space="preserve"> et al., 2023; Wang et al., 2020).</w:t>
      </w:r>
    </w:p>
    <w:p w14:paraId="4573F785" w14:textId="77777777" w:rsidR="008D2CDF" w:rsidRPr="00961886" w:rsidRDefault="008D2CDF" w:rsidP="008D2CDF">
      <w:pPr>
        <w:spacing w:after="160"/>
        <w:rPr>
          <w:b/>
          <w:bCs/>
        </w:rPr>
      </w:pPr>
      <w:r w:rsidRPr="00961886">
        <w:rPr>
          <w:b/>
          <w:bCs/>
        </w:rPr>
        <w:t xml:space="preserve">Functional implications of increased reticular </w:t>
      </w:r>
      <w:proofErr w:type="spellStart"/>
      <w:r w:rsidRPr="00961886">
        <w:rPr>
          <w:b/>
          <w:bCs/>
        </w:rPr>
        <w:t>fibre</w:t>
      </w:r>
      <w:proofErr w:type="spellEnd"/>
      <w:r w:rsidRPr="00961886">
        <w:rPr>
          <w:b/>
          <w:bCs/>
        </w:rPr>
        <w:t xml:space="preserve"> deposition</w:t>
      </w:r>
    </w:p>
    <w:p w14:paraId="0CEB815C" w14:textId="77777777" w:rsidR="008D2CDF" w:rsidRPr="00961886" w:rsidRDefault="008D2CDF" w:rsidP="008D2CDF">
      <w:pPr>
        <w:spacing w:after="160"/>
      </w:pPr>
      <w:r w:rsidRPr="00961886">
        <w:t xml:space="preserve">The biological importance of increased reticular </w:t>
      </w:r>
      <w:proofErr w:type="spellStart"/>
      <w:r w:rsidRPr="00961886">
        <w:t>fibre</w:t>
      </w:r>
      <w:proofErr w:type="spellEnd"/>
      <w:r w:rsidRPr="00961886">
        <w:t xml:space="preserve"> deposition lies in the essential role of the ovarian extracellular matrix in supporting follicular development. Developing follicles require a dynamic stromal environment that can undergo structural modification as the follicles increase in size. During normal follicular maturation and ovulation, extracellular matrix components are continuously </w:t>
      </w:r>
      <w:proofErr w:type="spellStart"/>
      <w:r w:rsidRPr="00961886">
        <w:t>synthesised</w:t>
      </w:r>
      <w:proofErr w:type="spellEnd"/>
      <w:r w:rsidRPr="00961886">
        <w:t xml:space="preserve"> and degraded in a regulated manner (</w:t>
      </w:r>
      <w:proofErr w:type="spellStart"/>
      <w:r w:rsidRPr="00961886">
        <w:t>Grosbois</w:t>
      </w:r>
      <w:proofErr w:type="spellEnd"/>
      <w:r w:rsidRPr="00961886">
        <w:t xml:space="preserve"> et al., 2023; Kinnear et al., 2020; Lind et al., 2006).</w:t>
      </w:r>
    </w:p>
    <w:p w14:paraId="41CE6A4F" w14:textId="77777777" w:rsidR="008D2CDF" w:rsidRPr="00961886" w:rsidRDefault="008D2CDF" w:rsidP="008D2CDF">
      <w:pPr>
        <w:spacing w:after="160"/>
      </w:pPr>
      <w:r w:rsidRPr="00961886">
        <w:lastRenderedPageBreak/>
        <w:t xml:space="preserve">Excessive accumulation of extracellular matrix components may interfere with this process. A dense stromal network may alter the mechanical properties of ovarian tissue and reduce the flexibility required for normal follicular expansion. Increased ovarian stiffness and abnormal collagen deposition have previously been associated with impaired follicular development. Therefore, the increased reticular </w:t>
      </w:r>
      <w:proofErr w:type="spellStart"/>
      <w:r w:rsidRPr="00961886">
        <w:t>fibre</w:t>
      </w:r>
      <w:proofErr w:type="spellEnd"/>
      <w:r w:rsidRPr="00961886">
        <w:t xml:space="preserve"> deposition observed in the present study may contribute to the persistence of follicular arrest and cystic follicular morphology (</w:t>
      </w:r>
      <w:proofErr w:type="spellStart"/>
      <w:r w:rsidRPr="00961886">
        <w:t>Amargant</w:t>
      </w:r>
      <w:proofErr w:type="spellEnd"/>
      <w:r w:rsidRPr="00961886">
        <w:t xml:space="preserve"> et al., 2020; Liu et al., 2025; West et al., 2007; Zhou et al., 2017).</w:t>
      </w:r>
    </w:p>
    <w:p w14:paraId="26D121E8" w14:textId="77777777" w:rsidR="008D2CDF" w:rsidRPr="00961886" w:rsidRDefault="008D2CDF" w:rsidP="008D2CDF">
      <w:pPr>
        <w:spacing w:after="160"/>
      </w:pPr>
      <w:r>
        <w:t xml:space="preserve">The coexistence of increased stromal reticular </w:t>
      </w:r>
      <w:proofErr w:type="spellStart"/>
      <w:r>
        <w:t>fibres</w:t>
      </w:r>
      <w:proofErr w:type="spellEnd"/>
      <w:r>
        <w:t xml:space="preserve"> and cystic follicles in the PCOS and </w:t>
      </w:r>
      <w:proofErr w:type="spellStart"/>
      <w:r>
        <w:t>PCOS+BaP</w:t>
      </w:r>
      <w:proofErr w:type="spellEnd"/>
      <w:r>
        <w:t xml:space="preserve"> groups supports the possibility that abnormal stromal </w:t>
      </w:r>
      <w:proofErr w:type="spellStart"/>
      <w:r>
        <w:t>remode</w:t>
      </w:r>
      <w:r>
        <w:rPr>
          <w:highlight w:val="yellow"/>
        </w:rPr>
        <w:t>l</w:t>
      </w:r>
      <w:r>
        <w:t>ling</w:t>
      </w:r>
      <w:proofErr w:type="spellEnd"/>
      <w:r>
        <w:t xml:space="preserve"> contributes to the pathological ovarian phenotype. Although the present study did not directly assess ovulation or fertility, the structural abnormalities observed suggest that excessive extracellular matrix accumulation could create an ovarian microenvironment that is less </w:t>
      </w:r>
      <w:proofErr w:type="spellStart"/>
      <w:r>
        <w:t>favourable</w:t>
      </w:r>
      <w:proofErr w:type="spellEnd"/>
      <w:r>
        <w:t xml:space="preserve"> for normal follicular maturation and ovulation (Kinnear et al., 2020; Liu et al., 2025).</w:t>
      </w:r>
    </w:p>
    <w:p w14:paraId="400E8684" w14:textId="77777777" w:rsidR="008D2CDF" w:rsidRPr="00961886" w:rsidRDefault="008D2CDF" w:rsidP="008D2CDF">
      <w:pPr>
        <w:spacing w:after="160"/>
      </w:pPr>
      <w:r>
        <w:t xml:space="preserve">This relationship may also represent a self-perpetuating pathological process. Hyperandrogenism may contribute to inflammation and extracellular matrix deposition, while progressive stromal </w:t>
      </w:r>
      <w:proofErr w:type="spellStart"/>
      <w:r>
        <w:t>remode</w:t>
      </w:r>
      <w:r>
        <w:rPr>
          <w:highlight w:val="yellow"/>
        </w:rPr>
        <w:t>l</w:t>
      </w:r>
      <w:r>
        <w:t>ling</w:t>
      </w:r>
      <w:proofErr w:type="spellEnd"/>
      <w:r>
        <w:t xml:space="preserve"> may subsequently alter the physical and biochemical environment required for normal follicular development. </w:t>
      </w:r>
      <w:proofErr w:type="spellStart"/>
      <w:r>
        <w:t>BaP</w:t>
      </w:r>
      <w:proofErr w:type="spellEnd"/>
      <w:r>
        <w:t xml:space="preserve"> exposure may further intensify this process by introducing additional toxic, oxidative, and inflammatory stress (Gu et al., 2024; </w:t>
      </w:r>
      <w:proofErr w:type="spellStart"/>
      <w:r>
        <w:t>Orisaka</w:t>
      </w:r>
      <w:proofErr w:type="spellEnd"/>
      <w:r>
        <w:t xml:space="preserve"> et al., 2023; </w:t>
      </w:r>
      <w:proofErr w:type="spellStart"/>
      <w:r>
        <w:t>Perono</w:t>
      </w:r>
      <w:proofErr w:type="spellEnd"/>
      <w:r>
        <w:t xml:space="preserve"> et al., 2022; Wang et al., 2020).</w:t>
      </w:r>
    </w:p>
    <w:p w14:paraId="084B4980" w14:textId="77777777" w:rsidR="008D2CDF" w:rsidRPr="00961886" w:rsidRDefault="008D2CDF" w:rsidP="008D2CDF">
      <w:pPr>
        <w:spacing w:after="160"/>
        <w:rPr>
          <w:b/>
          <w:bCs/>
        </w:rPr>
      </w:pPr>
      <w:r w:rsidRPr="00961886">
        <w:rPr>
          <w:b/>
          <w:bCs/>
        </w:rPr>
        <w:t>Environmental toxicants and the broader relevance to PCOS</w:t>
      </w:r>
    </w:p>
    <w:p w14:paraId="4B4F7B48" w14:textId="77777777" w:rsidR="008D2CDF" w:rsidRPr="00961886" w:rsidRDefault="008D2CDF" w:rsidP="008D2CDF">
      <w:pPr>
        <w:spacing w:after="160"/>
      </w:pPr>
      <w:r>
        <w:t xml:space="preserve">The findings of the present study have broader implications for understanding the possible contribution of environmental pollutants to reproductive disorders. </w:t>
      </w:r>
      <w:proofErr w:type="spellStart"/>
      <w:r>
        <w:t>BaP</w:t>
      </w:r>
      <w:proofErr w:type="spellEnd"/>
      <w:r>
        <w:t xml:space="preserve"> is a widespread </w:t>
      </w:r>
      <w:r>
        <w:lastRenderedPageBreak/>
        <w:t xml:space="preserve">environmental contaminant, and exposure can occur through several routes, including inhalation of combustion products and </w:t>
      </w:r>
      <w:r>
        <w:rPr>
          <w:highlight w:val="yellow"/>
        </w:rPr>
        <w:t>c</w:t>
      </w:r>
      <w:r>
        <w:t>o</w:t>
      </w:r>
      <w:r>
        <w:rPr>
          <w:highlight w:val="yellow"/>
        </w:rPr>
        <w:t>n</w:t>
      </w:r>
      <w:r>
        <w:t>su</w:t>
      </w:r>
      <w:r>
        <w:rPr>
          <w:highlight w:val="yellow"/>
        </w:rPr>
        <w:t>mption</w:t>
      </w:r>
      <w:r>
        <w:t xml:space="preserve"> o</w:t>
      </w:r>
      <w:r>
        <w:rPr>
          <w:highlight w:val="yellow"/>
        </w:rPr>
        <w:t>f</w:t>
      </w:r>
      <w:r>
        <w:t xml:space="preserve"> contaminated food</w:t>
      </w:r>
      <w:r>
        <w:rPr>
          <w:highlight w:val="yellow"/>
        </w:rPr>
        <w:t>,</w:t>
      </w:r>
      <w:r>
        <w:t xml:space="preserve"> a</w:t>
      </w:r>
      <w:r>
        <w:rPr>
          <w:highlight w:val="yellow"/>
        </w:rPr>
        <w:t>s well as through</w:t>
      </w:r>
      <w:r>
        <w:t xml:space="preserve"> other environmental sources (Bukowska et al., 2022; Montano et al., 2025; </w:t>
      </w:r>
      <w:proofErr w:type="spellStart"/>
      <w:r>
        <w:t>Sombiri</w:t>
      </w:r>
      <w:proofErr w:type="spellEnd"/>
      <w:r>
        <w:t xml:space="preserve"> et al., 2024).</w:t>
      </w:r>
    </w:p>
    <w:p w14:paraId="43395372" w14:textId="77777777" w:rsidR="008D2CDF" w:rsidRPr="00961886" w:rsidRDefault="008D2CDF" w:rsidP="008D2CDF">
      <w:pPr>
        <w:spacing w:after="160"/>
      </w:pPr>
      <w:r w:rsidRPr="00961886">
        <w:t xml:space="preserve">PCOS is a complex and multifactorial disorder in which genetic susceptibility, endocrine disturbances, metabolic factors, and environmental influences may interact. The present findings support the possibility that environmental toxicants such as </w:t>
      </w:r>
      <w:proofErr w:type="spellStart"/>
      <w:r w:rsidRPr="00961886">
        <w:t>BaP</w:t>
      </w:r>
      <w:proofErr w:type="spellEnd"/>
      <w:r w:rsidRPr="00961886">
        <w:t xml:space="preserve"> may act as modifiers of ovarian pathology rather than necessarily serving as independent causes of PCOS (Chen et al., 2025; Ozga &amp; Jurewicz, 2025; Pan et al., 2024; Siddiqui et al., 2022).</w:t>
      </w:r>
    </w:p>
    <w:p w14:paraId="09431189" w14:textId="77777777" w:rsidR="008D2CDF" w:rsidRPr="00961886" w:rsidRDefault="008D2CDF" w:rsidP="008D2CDF">
      <w:pPr>
        <w:spacing w:after="160"/>
      </w:pPr>
      <w:r>
        <w:t>This concept is particularly important because individuals with pre-existing endocrine or reproductive abnormalities may be more susceptible to the adverse effects of environmental exposures. In the present model, testosterone</w:t>
      </w:r>
      <w:r>
        <w:rPr>
          <w:highlight w:val="yellow"/>
        </w:rPr>
        <w:t xml:space="preserve"> a</w:t>
      </w:r>
      <w:r>
        <w:t xml:space="preserve">nd </w:t>
      </w:r>
      <w:proofErr w:type="spellStart"/>
      <w:r>
        <w:t>BaP</w:t>
      </w:r>
      <w:proofErr w:type="spellEnd"/>
      <w:r>
        <w:rPr>
          <w:highlight w:val="yellow"/>
        </w:rPr>
        <w:t xml:space="preserve"> were administered concurrently to the</w:t>
      </w:r>
      <w:r>
        <w:t xml:space="preserve"> co-expos</w:t>
      </w:r>
      <w:r>
        <w:rPr>
          <w:highlight w:val="yellow"/>
        </w:rPr>
        <w:t>ed gro</w:t>
      </w:r>
      <w:r>
        <w:t>u</w:t>
      </w:r>
      <w:r>
        <w:rPr>
          <w:highlight w:val="yellow"/>
        </w:rPr>
        <w:t>p</w:t>
      </w:r>
      <w:r>
        <w:t>. The more marked stromal changes observed in th</w:t>
      </w:r>
      <w:r>
        <w:rPr>
          <w:highlight w:val="yellow"/>
        </w:rPr>
        <w:t>i</w:t>
      </w:r>
      <w:r>
        <w:t xml:space="preserve">s group </w:t>
      </w:r>
      <w:r>
        <w:rPr>
          <w:highlight w:val="yellow"/>
        </w:rPr>
        <w:t>a</w:t>
      </w:r>
      <w:r>
        <w:t xml:space="preserve">re </w:t>
      </w:r>
      <w:r>
        <w:rPr>
          <w:highlight w:val="yellow"/>
        </w:rPr>
        <w:t>con</w:t>
      </w:r>
      <w:r>
        <w:t>s</w:t>
      </w:r>
      <w:r>
        <w:rPr>
          <w:highlight w:val="yellow"/>
        </w:rPr>
        <w:t>istent with, b</w:t>
      </w:r>
      <w:r>
        <w:t>u</w:t>
      </w:r>
      <w:r>
        <w:rPr>
          <w:highlight w:val="yellow"/>
        </w:rPr>
        <w:t>t d</w:t>
      </w:r>
      <w:r>
        <w:t>o</w:t>
      </w:r>
      <w:r>
        <w:rPr>
          <w:highlight w:val="yellow"/>
        </w:rPr>
        <w:t xml:space="preserve"> no</w:t>
      </w:r>
      <w:r>
        <w:t>t</w:t>
      </w:r>
      <w:r>
        <w:rPr>
          <w:highlight w:val="yellow"/>
        </w:rPr>
        <w:t xml:space="preserve"> establish,</w:t>
      </w:r>
      <w:r>
        <w:t xml:space="preserve"> the po</w:t>
      </w:r>
      <w:r>
        <w:rPr>
          <w:highlight w:val="yellow"/>
        </w:rPr>
        <w:t>s</w:t>
      </w:r>
      <w:r>
        <w:t>si</w:t>
      </w:r>
      <w:r>
        <w:rPr>
          <w:highlight w:val="yellow"/>
        </w:rPr>
        <w:t>bility</w:t>
      </w:r>
      <w:r>
        <w:t xml:space="preserve"> that environmental toxicants may aggravate pathological processes occurring within an already vulnerable ovarian microenvironment (Chen et al., 2025; Pan et al., 2024; Yang et al., 2015).</w:t>
      </w:r>
    </w:p>
    <w:p w14:paraId="6D04756E" w14:textId="77777777" w:rsidR="008D2CDF" w:rsidRPr="00961886" w:rsidRDefault="008D2CDF" w:rsidP="008D2CDF">
      <w:pPr>
        <w:spacing w:after="160"/>
      </w:pPr>
      <w:r>
        <w:t xml:space="preserve">Most previous investigations of </w:t>
      </w:r>
      <w:proofErr w:type="spellStart"/>
      <w:r>
        <w:t>BaP</w:t>
      </w:r>
      <w:proofErr w:type="spellEnd"/>
      <w:r>
        <w:t xml:space="preserve"> reproductive toxicity have focused on its effects on ovarian germ cells, granulosa cells, follicular reserve, apoptosis, and steroidogenesis. The present findings add to this area of research by highlighting the ovarian stroma and its extracellular matrix as potential targets of </w:t>
      </w:r>
      <w:proofErr w:type="spellStart"/>
      <w:r>
        <w:t>BaP</w:t>
      </w:r>
      <w:proofErr w:type="spellEnd"/>
      <w:r>
        <w:t xml:space="preserve">-associated toxicity. This is important because stromal abnormalities may have consequences for follicular development (Lim et al., 2023; Malott et al., 2022; </w:t>
      </w:r>
      <w:proofErr w:type="spellStart"/>
      <w:r>
        <w:t>Perono</w:t>
      </w:r>
      <w:proofErr w:type="spellEnd"/>
      <w:r>
        <w:t xml:space="preserve"> et al., 2022; Stefansdottir et al., 2023; Xu et al., 2024).</w:t>
      </w:r>
    </w:p>
    <w:p w14:paraId="5F19F3CC" w14:textId="77777777" w:rsidR="008D2CDF" w:rsidRPr="00961886" w:rsidRDefault="008D2CDF" w:rsidP="008D2CDF">
      <w:pPr>
        <w:spacing w:after="160"/>
        <w:rPr>
          <w:b/>
          <w:bCs/>
        </w:rPr>
      </w:pPr>
      <w:r w:rsidRPr="00961886">
        <w:rPr>
          <w:b/>
          <w:bCs/>
        </w:rPr>
        <w:t>Study limitations and future directions</w:t>
      </w:r>
    </w:p>
    <w:p w14:paraId="01AAB640" w14:textId="77777777" w:rsidR="008D2CDF" w:rsidRPr="00961886" w:rsidRDefault="008D2CDF" w:rsidP="008D2CDF">
      <w:pPr>
        <w:spacing w:after="160"/>
      </w:pPr>
      <w:r>
        <w:lastRenderedPageBreak/>
        <w:t>The present findings should be interpreted in the context of se</w:t>
      </w:r>
      <w:r>
        <w:rPr>
          <w:highlight w:val="yellow"/>
        </w:rPr>
        <w:t>veral</w:t>
      </w:r>
      <w:r>
        <w:t xml:space="preserve"> limitations. First, the number of animals in each experimental group was relatively small, which may have limited the statistical power to detect differences between groups. This is particularly relevant to the comparison between the PCOS and </w:t>
      </w:r>
      <w:proofErr w:type="spellStart"/>
      <w:r>
        <w:t>PCOS+BaP</w:t>
      </w:r>
      <w:proofErr w:type="spellEnd"/>
      <w:r>
        <w:t xml:space="preserve"> groups, in which the mean reticular </w:t>
      </w:r>
      <w:proofErr w:type="spellStart"/>
      <w:r>
        <w:t>fibre</w:t>
      </w:r>
      <w:proofErr w:type="spellEnd"/>
      <w:r>
        <w:t xml:space="preserve"> area was considerably higher in the co-exposed group</w:t>
      </w:r>
      <w:r>
        <w:rPr>
          <w:highlight w:val="yellow"/>
        </w:rPr>
        <w:t>,</w:t>
      </w:r>
      <w:r>
        <w:t xml:space="preserve"> but the difference did not reach statistical significance.</w:t>
      </w:r>
    </w:p>
    <w:p w14:paraId="0D1E6043" w14:textId="77777777" w:rsidR="008D2CDF" w:rsidRPr="00961886" w:rsidRDefault="008D2CDF" w:rsidP="008D2CDF">
      <w:pPr>
        <w:spacing w:after="160"/>
      </w:pPr>
      <w:r>
        <w:t xml:space="preserve">Second, ovarian stromal </w:t>
      </w:r>
      <w:proofErr w:type="spellStart"/>
      <w:r>
        <w:t>remode</w:t>
      </w:r>
      <w:r>
        <w:rPr>
          <w:highlight w:val="yellow"/>
        </w:rPr>
        <w:t>l</w:t>
      </w:r>
      <w:r>
        <w:t>ling</w:t>
      </w:r>
      <w:proofErr w:type="spellEnd"/>
      <w:r>
        <w:t xml:space="preserve"> was evaluated primarily by histological examination and quantitative analysis of reticular </w:t>
      </w:r>
      <w:proofErr w:type="spellStart"/>
      <w:r>
        <w:t>fibre</w:t>
      </w:r>
      <w:proofErr w:type="spellEnd"/>
      <w:r>
        <w:t xml:space="preserve"> deposition. Although this provided important structural evidence, additional molecular markers would strengthen the interpretation of the observed changes. Future studies could assess collagen types, TGF-β, connective tissue growth factor, alpha-smooth muscle actin, matrix metalloproteinases, and tissue inhibitors of matrix metalloproteinases to determine whether the histological changes are accompanied by activation of established molecular pathways associated with fibrosis (Gu et al., 2024; Liu et al., 2025; Wang et al., 2018; Zhou et al., 2017).</w:t>
      </w:r>
    </w:p>
    <w:p w14:paraId="615FA7DB" w14:textId="77777777" w:rsidR="008D2CDF" w:rsidRPr="00961886" w:rsidRDefault="008D2CDF" w:rsidP="008D2CDF">
      <w:pPr>
        <w:spacing w:after="160"/>
      </w:pPr>
      <w:r>
        <w:t xml:space="preserve">Third, the present study did not directly measure oxidative stress, inflammatory mediators, </w:t>
      </w:r>
      <w:proofErr w:type="spellStart"/>
      <w:r>
        <w:t>AhR</w:t>
      </w:r>
      <w:proofErr w:type="spellEnd"/>
      <w:r>
        <w:t xml:space="preserve"> activation, or other molecular pathways that may contribute to </w:t>
      </w:r>
      <w:proofErr w:type="spellStart"/>
      <w:r>
        <w:t>BaP</w:t>
      </w:r>
      <w:proofErr w:type="spellEnd"/>
      <w:r>
        <w:t xml:space="preserve">-associated ovarian </w:t>
      </w:r>
      <w:proofErr w:type="spellStart"/>
      <w:r>
        <w:t>remode</w:t>
      </w:r>
      <w:r>
        <w:rPr>
          <w:highlight w:val="yellow"/>
        </w:rPr>
        <w:t>l</w:t>
      </w:r>
      <w:r>
        <w:t>ling</w:t>
      </w:r>
      <w:proofErr w:type="spellEnd"/>
      <w:r>
        <w:t>. Therefore, the proposed involvement of these mechanisms remains hypothetical and requires direct experimental confirmation (Bukowska et al., 2022; Kwong et al., 2024; Shi et al., 2020).</w:t>
      </w:r>
    </w:p>
    <w:p w14:paraId="2DB77243" w14:textId="77777777" w:rsidR="008D2CDF" w:rsidRPr="00961886" w:rsidRDefault="008D2CDF" w:rsidP="008D2CDF">
      <w:pPr>
        <w:spacing w:after="160"/>
      </w:pPr>
      <w:r>
        <w:t>Fourth, the study did not include functional measures of reproductive performance</w:t>
      </w:r>
      <w:r>
        <w:rPr>
          <w:highlight w:val="yellow"/>
        </w:rPr>
        <w:t>,</w:t>
      </w:r>
      <w:r>
        <w:t xml:space="preserve"> such as </w:t>
      </w:r>
      <w:proofErr w:type="spellStart"/>
      <w:r>
        <w:rPr>
          <w:highlight w:val="yellow"/>
        </w:rPr>
        <w:t>o</w:t>
      </w:r>
      <w:r>
        <w:t>estrous</w:t>
      </w:r>
      <w:proofErr w:type="spellEnd"/>
      <w:r>
        <w:t xml:space="preserve"> cyclicity, ovulation, corpora lutea formation, fertility, or pregnancy outcome. Incorporation of these parameters in future investigations would help establish the functional consequences of the stromal alterations observed.</w:t>
      </w:r>
    </w:p>
    <w:p w14:paraId="71A74C9A" w14:textId="77777777" w:rsidR="008D2CDF" w:rsidRPr="00961886" w:rsidRDefault="008D2CDF" w:rsidP="008D2CDF">
      <w:pPr>
        <w:spacing w:after="160"/>
      </w:pPr>
      <w:r>
        <w:lastRenderedPageBreak/>
        <w:t xml:space="preserve">Finally, the absence of a </w:t>
      </w:r>
      <w:proofErr w:type="spellStart"/>
      <w:r>
        <w:t>BaP</w:t>
      </w:r>
      <w:proofErr w:type="spellEnd"/>
      <w:r>
        <w:t xml:space="preserve">-only experimental group limits the ability to distinguish the independent effects of </w:t>
      </w:r>
      <w:proofErr w:type="spellStart"/>
      <w:r>
        <w:t>BaP</w:t>
      </w:r>
      <w:proofErr w:type="spellEnd"/>
      <w:r>
        <w:t xml:space="preserve"> on the normal ovary from its effects in the testosterone-induced PCOS model. Inclusion of a </w:t>
      </w:r>
      <w:proofErr w:type="spellStart"/>
      <w:r>
        <w:t>BaP</w:t>
      </w:r>
      <w:proofErr w:type="spellEnd"/>
      <w:r>
        <w:t xml:space="preserve">-only group in future studies would provide additional information regarding whether the stromal changes observed result primarily from an interaction between </w:t>
      </w:r>
      <w:proofErr w:type="spellStart"/>
      <w:r>
        <w:t>BaP</w:t>
      </w:r>
      <w:proofErr w:type="spellEnd"/>
      <w:r>
        <w:t xml:space="preserve"> and hyperandrogenism or whether </w:t>
      </w:r>
      <w:proofErr w:type="spellStart"/>
      <w:r>
        <w:t>BaP</w:t>
      </w:r>
      <w:proofErr w:type="spellEnd"/>
      <w:r>
        <w:t xml:space="preserve"> independently induces similar alterations.</w:t>
      </w:r>
    </w:p>
    <w:p w14:paraId="3A32AF19" w14:textId="76FE223E" w:rsidR="00FF4031" w:rsidRPr="00226C54" w:rsidRDefault="00FF4031" w:rsidP="00FF4031">
      <w:pPr>
        <w:pStyle w:val="Heading1"/>
        <w:jc w:val="both"/>
      </w:pPr>
      <w:r w:rsidRPr="00226C54">
        <w:rPr>
          <w:color w:val="000000"/>
        </w:rPr>
        <w:t>CONCLUSION</w:t>
      </w:r>
      <w:r w:rsidR="00ED4422">
        <w:rPr>
          <w:color w:val="000000"/>
        </w:rPr>
        <w:t>S</w:t>
      </w:r>
    </w:p>
    <w:p w14:paraId="49AB8FF9" w14:textId="77777777" w:rsidR="00ED4422" w:rsidRDefault="00ED4422" w:rsidP="00ED4422">
      <w:pPr>
        <w:pStyle w:val="pdq2pgselectionanchorcontainer"/>
        <w:jc w:val="both"/>
      </w:pPr>
      <w:r>
        <w:t xml:space="preserve">This study indicates that concurrent </w:t>
      </w:r>
      <w:proofErr w:type="spellStart"/>
      <w:r>
        <w:t>BaP</w:t>
      </w:r>
      <w:proofErr w:type="spellEnd"/>
      <w:r>
        <w:t xml:space="preserve"> exposure in a testosterone-induced rat model of PCOS was associated with more pronounced ovarian structural abnormalities and the highest mean reticular </w:t>
      </w:r>
      <w:proofErr w:type="spellStart"/>
      <w:r>
        <w:t>fibre</w:t>
      </w:r>
      <w:proofErr w:type="spellEnd"/>
      <w:r>
        <w:t xml:space="preserve"> deposition within the theca externa. The </w:t>
      </w:r>
      <w:proofErr w:type="spellStart"/>
      <w:r>
        <w:t>PCOS+BaP</w:t>
      </w:r>
      <w:proofErr w:type="spellEnd"/>
      <w:r>
        <w:t xml:space="preserve"> group showed a significant increase in reticular </w:t>
      </w:r>
      <w:proofErr w:type="spellStart"/>
      <w:r>
        <w:t>fibre</w:t>
      </w:r>
      <w:proofErr w:type="spellEnd"/>
      <w:r>
        <w:t xml:space="preserve"> area compared with the control group, whereas the difference between </w:t>
      </w:r>
      <w:proofErr w:type="spellStart"/>
      <w:r>
        <w:t>PCOS+BaP</w:t>
      </w:r>
      <w:proofErr w:type="spellEnd"/>
      <w:r>
        <w:t xml:space="preserve"> and PCOS alone was not statistically significant. Body weight, LH, and FSH also did not differ significantly among groups, while terminal serum testosterone was lower in both testosterone-treated groups than in controls. Collectively, the findings suggest that ovarian stromal architecture may be particularly responsive to combined androgen and </w:t>
      </w:r>
      <w:proofErr w:type="spellStart"/>
      <w:r>
        <w:t>BaP</w:t>
      </w:r>
      <w:proofErr w:type="spellEnd"/>
      <w:r>
        <w:t xml:space="preserve"> exposure, but they do not establish an independent or synergistic effect of </w:t>
      </w:r>
      <w:proofErr w:type="spellStart"/>
      <w:r>
        <w:t>BaP.</w:t>
      </w:r>
      <w:proofErr w:type="spellEnd"/>
      <w:r>
        <w:t xml:space="preserve"> The coexistence of cystic follicles and increased reticular </w:t>
      </w:r>
      <w:proofErr w:type="spellStart"/>
      <w:r>
        <w:t>fibre</w:t>
      </w:r>
      <w:proofErr w:type="spellEnd"/>
      <w:r>
        <w:t xml:space="preserve"> deposition supports further investigation of the ovarian extracellular matrix as a structural component of PCOS-associated pathology. Larger studies incorporating a </w:t>
      </w:r>
      <w:proofErr w:type="spellStart"/>
      <w:r>
        <w:t>BaP</w:t>
      </w:r>
      <w:proofErr w:type="spellEnd"/>
      <w:r>
        <w:t xml:space="preserve">-only group and functional and mechanistic endpoints are required to clarify the independent and interactive contributions of </w:t>
      </w:r>
      <w:proofErr w:type="spellStart"/>
      <w:r>
        <w:t>BaP</w:t>
      </w:r>
      <w:proofErr w:type="spellEnd"/>
      <w:r>
        <w:t xml:space="preserve"> and androgen exposure.</w:t>
      </w:r>
    </w:p>
    <w:p w14:paraId="162FFE1D" w14:textId="77777777" w:rsidR="005034A2" w:rsidRPr="005034A2" w:rsidRDefault="005034A2" w:rsidP="005034A2">
      <w:pPr>
        <w:spacing w:line="276" w:lineRule="auto"/>
        <w:rPr>
          <w:b/>
        </w:rPr>
      </w:pPr>
      <w:r w:rsidRPr="005034A2">
        <w:rPr>
          <w:b/>
        </w:rPr>
        <w:t xml:space="preserve">Ethical approval </w:t>
      </w:r>
    </w:p>
    <w:p w14:paraId="4A346365" w14:textId="77777777" w:rsidR="005034A2" w:rsidRDefault="005034A2" w:rsidP="005034A2">
      <w:pPr>
        <w:spacing w:after="240" w:line="276" w:lineRule="auto"/>
        <w:rPr>
          <w:bCs/>
        </w:rPr>
      </w:pPr>
      <w:r w:rsidRPr="00E82CA0">
        <w:rPr>
          <w:bCs/>
        </w:rPr>
        <w:t>The study was</w:t>
      </w:r>
      <w:r>
        <w:rPr>
          <w:b/>
        </w:rPr>
        <w:t xml:space="preserve"> </w:t>
      </w:r>
      <w:r>
        <w:t xml:space="preserve">approved by the </w:t>
      </w:r>
      <w:r w:rsidRPr="00C53F1F">
        <w:rPr>
          <w:bCs/>
        </w:rPr>
        <w:t xml:space="preserve">Ethical Review Committee </w:t>
      </w:r>
      <w:r>
        <w:rPr>
          <w:bCs/>
        </w:rPr>
        <w:t>of the University of Ilorin (</w:t>
      </w:r>
      <w:r>
        <w:t>approval number: UERC/ASN/202</w:t>
      </w:r>
      <w:r w:rsidR="00114FC8">
        <w:t>5</w:t>
      </w:r>
      <w:r>
        <w:t>/</w:t>
      </w:r>
      <w:r w:rsidR="00114FC8">
        <w:t>3142</w:t>
      </w:r>
      <w:r>
        <w:rPr>
          <w:bCs/>
        </w:rPr>
        <w:t>).</w:t>
      </w:r>
    </w:p>
    <w:p w14:paraId="3577E7A0" w14:textId="77777777" w:rsidR="00062D92" w:rsidRDefault="00062D92" w:rsidP="005034A2">
      <w:pPr>
        <w:spacing w:after="240" w:line="276" w:lineRule="auto"/>
        <w:rPr>
          <w:bCs/>
        </w:rPr>
      </w:pPr>
    </w:p>
    <w:p w14:paraId="56D5F0C2" w14:textId="77777777" w:rsidR="005034A2" w:rsidRPr="00B25DDE" w:rsidRDefault="005034A2" w:rsidP="005034A2">
      <w:pPr>
        <w:spacing w:line="276" w:lineRule="auto"/>
        <w:rPr>
          <w:bCs/>
        </w:rPr>
      </w:pPr>
      <w:r w:rsidRPr="005034A2">
        <w:rPr>
          <w:b/>
        </w:rPr>
        <w:t>Conflict of interest</w:t>
      </w:r>
      <w:r w:rsidRPr="00B25DDE">
        <w:rPr>
          <w:bCs/>
        </w:rPr>
        <w:t xml:space="preserve"> </w:t>
      </w:r>
    </w:p>
    <w:p w14:paraId="68821EDC" w14:textId="77777777" w:rsidR="005034A2" w:rsidRDefault="005034A2" w:rsidP="005034A2">
      <w:pPr>
        <w:spacing w:after="240" w:line="276" w:lineRule="auto"/>
        <w:rPr>
          <w:bCs/>
        </w:rPr>
      </w:pPr>
      <w:r w:rsidRPr="00E82CA0">
        <w:rPr>
          <w:bCs/>
        </w:rPr>
        <w:t>Authors declare no competing interest</w:t>
      </w:r>
      <w:r>
        <w:rPr>
          <w:bCs/>
        </w:rPr>
        <w:t xml:space="preserve"> to declare</w:t>
      </w:r>
      <w:r w:rsidRPr="00E82CA0">
        <w:rPr>
          <w:bCs/>
        </w:rPr>
        <w:t>.</w:t>
      </w:r>
    </w:p>
    <w:p w14:paraId="62E6DCB3" w14:textId="77777777" w:rsidR="002A75D9" w:rsidRDefault="002A75D9" w:rsidP="002A75D9">
      <w:pPr>
        <w:shd w:val="clear" w:color="auto" w:fill="FFFFFF"/>
        <w:spacing w:line="240" w:lineRule="auto"/>
        <w:rPr>
          <w:rFonts w:ascii="Arial" w:hAnsi="Arial" w:cs="Arial"/>
          <w:color w:val="222222"/>
          <w:lang w:val="en-IN" w:eastAsia="en-IN"/>
        </w:rPr>
      </w:pPr>
      <w:bookmarkStart w:id="28" w:name="_Hlk236661275"/>
      <w:bookmarkStart w:id="29" w:name="_Hlk236654576"/>
      <w:bookmarkStart w:id="30" w:name="_Hlk237964440"/>
      <w:bookmarkStart w:id="31" w:name="_Hlk237949335"/>
    </w:p>
    <w:p w14:paraId="4DADA5C1" w14:textId="77777777" w:rsidR="002A75D9" w:rsidRDefault="002A75D9" w:rsidP="002A75D9">
      <w:pPr>
        <w:shd w:val="clear" w:color="auto" w:fill="FFFFFF"/>
        <w:spacing w:line="240" w:lineRule="auto"/>
        <w:rPr>
          <w:rFonts w:ascii="Arial" w:hAnsi="Arial" w:cs="Arial"/>
          <w:color w:val="222222"/>
          <w:lang w:val="en-IN" w:eastAsia="en-IN"/>
        </w:rPr>
      </w:pPr>
      <w:bookmarkStart w:id="32" w:name="_Hlk232854992"/>
      <w:bookmarkStart w:id="33" w:name="_Hlk238909442"/>
      <w:bookmarkStart w:id="34" w:name="_Hlk237857116"/>
    </w:p>
    <w:p w14:paraId="19BCB814" w14:textId="77777777" w:rsidR="002A75D9" w:rsidRPr="002D08AC" w:rsidRDefault="002A75D9" w:rsidP="002A75D9">
      <w:pPr>
        <w:spacing w:line="240" w:lineRule="auto"/>
        <w:rPr>
          <w:rFonts w:ascii="Arial" w:hAnsi="Arial" w:cs="Arial"/>
          <w:b/>
          <w:sz w:val="20"/>
          <w:szCs w:val="20"/>
        </w:rPr>
      </w:pPr>
      <w:bookmarkStart w:id="35" w:name="_Hlk238550938"/>
      <w:bookmarkStart w:id="36" w:name="_Hlk237856463"/>
      <w:bookmarkEnd w:id="28"/>
      <w:bookmarkEnd w:id="29"/>
      <w:bookmarkEnd w:id="32"/>
      <w:r w:rsidRPr="002D08AC">
        <w:rPr>
          <w:rFonts w:ascii="Arial" w:hAnsi="Arial" w:cs="Arial"/>
          <w:b/>
          <w:sz w:val="20"/>
          <w:szCs w:val="20"/>
        </w:rPr>
        <w:t>Declaration of AI Use</w:t>
      </w:r>
    </w:p>
    <w:p w14:paraId="77EE9E5F" w14:textId="77777777" w:rsidR="002A75D9" w:rsidRPr="002D08AC" w:rsidRDefault="002A75D9" w:rsidP="002A75D9">
      <w:pPr>
        <w:spacing w:line="240" w:lineRule="auto"/>
        <w:rPr>
          <w:rFonts w:ascii="Arial" w:hAnsi="Arial" w:cs="Arial"/>
          <w:sz w:val="20"/>
          <w:szCs w:val="20"/>
        </w:rPr>
      </w:pPr>
    </w:p>
    <w:p w14:paraId="183E8AD1" w14:textId="77777777" w:rsidR="002A75D9" w:rsidRPr="002D08AC" w:rsidRDefault="002A75D9" w:rsidP="002A75D9">
      <w:pPr>
        <w:spacing w:line="240" w:lineRule="auto"/>
        <w:rPr>
          <w:rFonts w:ascii="Arial" w:hAnsi="Arial" w:cs="Arial"/>
          <w:sz w:val="20"/>
          <w:szCs w:val="20"/>
        </w:rPr>
      </w:pPr>
      <w:bookmarkStart w:id="37"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3"/>
      <w:bookmarkEnd w:id="35"/>
      <w:r w:rsidRPr="002D08AC">
        <w:rPr>
          <w:rFonts w:ascii="Arial" w:hAnsi="Arial" w:cs="Arial"/>
          <w:sz w:val="20"/>
          <w:szCs w:val="20"/>
        </w:rPr>
        <w:t>.</w:t>
      </w:r>
    </w:p>
    <w:bookmarkEnd w:id="30"/>
    <w:bookmarkEnd w:id="31"/>
    <w:bookmarkEnd w:id="34"/>
    <w:bookmarkEnd w:id="36"/>
    <w:bookmarkEnd w:id="37"/>
    <w:p w14:paraId="32602169" w14:textId="77777777" w:rsidR="002A75D9" w:rsidRPr="00C53F1F" w:rsidRDefault="002A75D9" w:rsidP="005034A2">
      <w:pPr>
        <w:spacing w:line="276" w:lineRule="auto"/>
        <w:rPr>
          <w:bCs/>
        </w:rPr>
      </w:pPr>
    </w:p>
    <w:p w14:paraId="2CEE7670" w14:textId="77777777" w:rsidR="002412F4" w:rsidRDefault="00A12C15" w:rsidP="00046F05">
      <w:pPr>
        <w:pStyle w:val="Heading2"/>
      </w:pPr>
      <w:r w:rsidRPr="00660043">
        <w:lastRenderedPageBreak/>
        <w:t>REFERENCES</w:t>
      </w:r>
      <w:bookmarkEnd w:id="27"/>
    </w:p>
    <w:p w14:paraId="19DE1F01" w14:textId="77777777" w:rsidR="00676F46" w:rsidRPr="00676F46" w:rsidRDefault="00676F46" w:rsidP="00676F46">
      <w:pPr>
        <w:spacing w:before="100" w:beforeAutospacing="1" w:after="100" w:afterAutospacing="1" w:line="240" w:lineRule="auto"/>
        <w:jc w:val="left"/>
        <w:rPr>
          <w:lang w:val="en-US"/>
        </w:rPr>
      </w:pPr>
      <w:proofErr w:type="spellStart"/>
      <w:r w:rsidRPr="00676F46">
        <w:rPr>
          <w:lang w:val="en-US"/>
        </w:rPr>
        <w:t>Amargant</w:t>
      </w:r>
      <w:proofErr w:type="spellEnd"/>
      <w:r w:rsidRPr="00676F46">
        <w:rPr>
          <w:lang w:val="en-US"/>
        </w:rPr>
        <w:t xml:space="preserve">, F., Manuel, S. L., Tu, Q., Parkes, W. S., Rivas, F., Zhou, L. T., Rowley, J. E., Villanueva, C. E., Hornick, J. E., Shekhawat, G. S., Wei, J.-J., Pavone, M. E., Hall, A. R., Pritchard, M. T., &amp; Duncan, F. E. (2020). Ovarian stiffness increases with age in the mammalian ovary and depends on collagen and hyaluronan matrices. </w:t>
      </w:r>
      <w:r w:rsidRPr="00676F46">
        <w:rPr>
          <w:i/>
          <w:iCs/>
          <w:lang w:val="en-US"/>
        </w:rPr>
        <w:t>Aging Cell, 19</w:t>
      </w:r>
      <w:r w:rsidRPr="00676F46">
        <w:rPr>
          <w:lang w:val="en-US"/>
        </w:rPr>
        <w:t>(11), Article e13259. https://doi.org/10.1111/acel.13259</w:t>
      </w:r>
    </w:p>
    <w:p w14:paraId="79583902"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Bukowska, B., </w:t>
      </w:r>
      <w:proofErr w:type="spellStart"/>
      <w:r w:rsidRPr="00676F46">
        <w:rPr>
          <w:lang w:val="en-US"/>
        </w:rPr>
        <w:t>Mokra</w:t>
      </w:r>
      <w:proofErr w:type="spellEnd"/>
      <w:r w:rsidRPr="00676F46">
        <w:rPr>
          <w:lang w:val="en-US"/>
        </w:rPr>
        <w:t xml:space="preserve">, K., &amp; </w:t>
      </w:r>
      <w:proofErr w:type="spellStart"/>
      <w:r w:rsidRPr="00676F46">
        <w:rPr>
          <w:lang w:val="en-US"/>
        </w:rPr>
        <w:t>Michałowicz</w:t>
      </w:r>
      <w:proofErr w:type="spellEnd"/>
      <w:r w:rsidRPr="00676F46">
        <w:rPr>
          <w:lang w:val="en-US"/>
        </w:rPr>
        <w:t xml:space="preserve">, J. (2022). Benzo[a]pyrene—Environmental occurrence, human exposure, and mechanisms of toxicity. </w:t>
      </w:r>
      <w:r w:rsidRPr="00676F46">
        <w:rPr>
          <w:i/>
          <w:iCs/>
          <w:lang w:val="en-US"/>
        </w:rPr>
        <w:t>International Journal of Molecular Sciences, 23</w:t>
      </w:r>
      <w:r w:rsidRPr="00676F46">
        <w:rPr>
          <w:lang w:val="en-US"/>
        </w:rPr>
        <w:t xml:space="preserve">(11), Article 6348. </w:t>
      </w:r>
      <w:hyperlink r:id="rId13" w:tgtFrame="_new" w:history="1">
        <w:r w:rsidRPr="00676F46">
          <w:rPr>
            <w:color w:val="0000FF"/>
            <w:u w:val="single"/>
            <w:lang w:val="en-US"/>
          </w:rPr>
          <w:t>https://doi.org/10.3390/ijms23116348</w:t>
        </w:r>
      </w:hyperlink>
    </w:p>
    <w:p w14:paraId="48900527"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Chen, J., Song, P., Li, C., Liu, H., Zhang, L., Zhou, Y., Zhou, Z., &amp; Yan, W. (2025). Endocrine disrupting chemicals exposure and health: An umbrella review. </w:t>
      </w:r>
      <w:r w:rsidRPr="00676F46">
        <w:rPr>
          <w:i/>
          <w:iCs/>
          <w:lang w:val="en-US"/>
        </w:rPr>
        <w:t>Ecotoxicology and Environmental Safety, 302</w:t>
      </w:r>
      <w:r w:rsidRPr="00676F46">
        <w:rPr>
          <w:lang w:val="en-US"/>
        </w:rPr>
        <w:t xml:space="preserve">, Article 118574. </w:t>
      </w:r>
      <w:hyperlink r:id="rId14" w:tgtFrame="_new" w:history="1">
        <w:r w:rsidRPr="00676F46">
          <w:rPr>
            <w:color w:val="0000FF"/>
            <w:u w:val="single"/>
            <w:lang w:val="en-US"/>
          </w:rPr>
          <w:t>https://doi.org/10.1016/j.ecoenv.2025.118574</w:t>
        </w:r>
      </w:hyperlink>
    </w:p>
    <w:p w14:paraId="582273B8"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Christ, J. P., &amp; Cedars, M. I. (2023). Current guidelines for diagnosing PCOS. </w:t>
      </w:r>
      <w:r w:rsidRPr="00676F46">
        <w:rPr>
          <w:i/>
          <w:iCs/>
          <w:lang w:val="en-US"/>
        </w:rPr>
        <w:t>Diagnostics, 13</w:t>
      </w:r>
      <w:r w:rsidRPr="00676F46">
        <w:rPr>
          <w:lang w:val="en-US"/>
        </w:rPr>
        <w:t>(6), Article 1113. https://doi.org/10.3390/diagnostics13061113</w:t>
      </w:r>
    </w:p>
    <w:p w14:paraId="3CBE4FC8"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Esan, W. S., Akintayo, C. O., Sanya, O., Oluwaseun, O. A., Olubayo, G., &amp; Adelekan, A. L. (2023). Induction and treatment of polycystic ovary syndrome with plant extract in rats: A systematic review. </w:t>
      </w:r>
      <w:r w:rsidRPr="00676F46">
        <w:rPr>
          <w:i/>
          <w:iCs/>
          <w:lang w:val="en-US"/>
        </w:rPr>
        <w:t>European Journal of Medicinal Plants, 34</w:t>
      </w:r>
      <w:r w:rsidRPr="00676F46">
        <w:rPr>
          <w:lang w:val="en-US"/>
        </w:rPr>
        <w:t>(2), 34–48. https://doi.org/10.9734/ejmp/2023/v34i21124</w:t>
      </w:r>
    </w:p>
    <w:p w14:paraId="6C0781BF"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Foecking, E. M., &amp; Levine, J. E. (2005). Effects of experimental hyperandrogenemia on the female rat reproductive axis: Suppression of progesterone-receptor messenger RNA expression in the brain and blockade of luteinizing hormone surges. </w:t>
      </w:r>
      <w:r w:rsidRPr="00676F46">
        <w:rPr>
          <w:i/>
          <w:iCs/>
          <w:lang w:val="en-US"/>
        </w:rPr>
        <w:t>Gender Medicine, 2</w:t>
      </w:r>
      <w:r w:rsidRPr="00676F46">
        <w:rPr>
          <w:lang w:val="en-US"/>
        </w:rPr>
        <w:t>(3), 155–165. https://doi.org/10.1016/S1550-8579(05)80044-0</w:t>
      </w:r>
    </w:p>
    <w:p w14:paraId="77097146"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Foecking, E. M., McDevitt, M. A., Acosta-Martínez, M., Horton, T. H., &amp; Levine, J. E. (2008). Neuroendocrine consequences of androgen excess in female rodents. </w:t>
      </w:r>
      <w:r w:rsidRPr="00676F46">
        <w:rPr>
          <w:i/>
          <w:iCs/>
          <w:lang w:val="en-US"/>
        </w:rPr>
        <w:t>Hormones and Behavior, 53</w:t>
      </w:r>
      <w:r w:rsidRPr="00676F46">
        <w:rPr>
          <w:lang w:val="en-US"/>
        </w:rPr>
        <w:t>(5), 673–692. https://doi.org/10.1016/j.yhbeh.2007.12.013</w:t>
      </w:r>
    </w:p>
    <w:p w14:paraId="404B720E"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Gibson, E., &amp; Mahdy, H. (2023). Anatomy, abdomen and pelvis, ovary. In </w:t>
      </w:r>
      <w:proofErr w:type="spellStart"/>
      <w:r w:rsidRPr="00676F46">
        <w:rPr>
          <w:i/>
          <w:iCs/>
          <w:lang w:val="en-US"/>
        </w:rPr>
        <w:t>StatPearls</w:t>
      </w:r>
      <w:proofErr w:type="spellEnd"/>
      <w:r w:rsidRPr="00676F46">
        <w:rPr>
          <w:lang w:val="en-US"/>
        </w:rPr>
        <w:t xml:space="preserve">. </w:t>
      </w:r>
      <w:proofErr w:type="spellStart"/>
      <w:r w:rsidRPr="00676F46">
        <w:rPr>
          <w:lang w:val="en-US"/>
        </w:rPr>
        <w:t>StatPearls</w:t>
      </w:r>
      <w:proofErr w:type="spellEnd"/>
      <w:r w:rsidRPr="00676F46">
        <w:rPr>
          <w:lang w:val="en-US"/>
        </w:rPr>
        <w:t xml:space="preserve"> Publishing. </w:t>
      </w:r>
      <w:hyperlink r:id="rId15" w:tgtFrame="_new" w:history="1">
        <w:r w:rsidRPr="00676F46">
          <w:rPr>
            <w:color w:val="0000FF"/>
            <w:u w:val="single"/>
            <w:lang w:val="en-US"/>
          </w:rPr>
          <w:t>https://www.ncbi.nlm.nih.gov/books/NBK545187/</w:t>
        </w:r>
      </w:hyperlink>
    </w:p>
    <w:p w14:paraId="29636505" w14:textId="77777777" w:rsidR="00676F46" w:rsidRPr="00676F46" w:rsidRDefault="00676F46" w:rsidP="00676F46">
      <w:pPr>
        <w:spacing w:before="100" w:beforeAutospacing="1" w:after="100" w:afterAutospacing="1" w:line="240" w:lineRule="auto"/>
        <w:jc w:val="left"/>
        <w:rPr>
          <w:lang w:val="en-US"/>
        </w:rPr>
      </w:pPr>
      <w:proofErr w:type="spellStart"/>
      <w:r w:rsidRPr="00676F46">
        <w:rPr>
          <w:lang w:val="en-US"/>
        </w:rPr>
        <w:t>Grosbois</w:t>
      </w:r>
      <w:proofErr w:type="spellEnd"/>
      <w:r w:rsidRPr="00676F46">
        <w:rPr>
          <w:lang w:val="en-US"/>
        </w:rPr>
        <w:t xml:space="preserve">, J., </w:t>
      </w:r>
      <w:proofErr w:type="spellStart"/>
      <w:r w:rsidRPr="00676F46">
        <w:rPr>
          <w:lang w:val="en-US"/>
        </w:rPr>
        <w:t>Bailie</w:t>
      </w:r>
      <w:proofErr w:type="spellEnd"/>
      <w:r w:rsidRPr="00676F46">
        <w:rPr>
          <w:lang w:val="en-US"/>
        </w:rPr>
        <w:t xml:space="preserve">, E. C., Kelsey, T. W., Anderson, R. A., &amp; Telfer, E. E. (2023). </w:t>
      </w:r>
      <w:proofErr w:type="spellStart"/>
      <w:r w:rsidRPr="00676F46">
        <w:rPr>
          <w:lang w:val="en-US"/>
        </w:rPr>
        <w:t>Spatio</w:t>
      </w:r>
      <w:proofErr w:type="spellEnd"/>
      <w:r w:rsidRPr="00676F46">
        <w:rPr>
          <w:lang w:val="en-US"/>
        </w:rPr>
        <w:t xml:space="preserve">-temporal </w:t>
      </w:r>
      <w:proofErr w:type="spellStart"/>
      <w:r w:rsidRPr="00676F46">
        <w:rPr>
          <w:lang w:val="en-US"/>
        </w:rPr>
        <w:t>remodelling</w:t>
      </w:r>
      <w:proofErr w:type="spellEnd"/>
      <w:r w:rsidRPr="00676F46">
        <w:rPr>
          <w:lang w:val="en-US"/>
        </w:rPr>
        <w:t xml:space="preserve"> of the composition and architecture of the human ovarian cortical extracellular matrix during in vitro culture. </w:t>
      </w:r>
      <w:r w:rsidRPr="00676F46">
        <w:rPr>
          <w:i/>
          <w:iCs/>
          <w:lang w:val="en-US"/>
        </w:rPr>
        <w:t>Human Reproduction, 38</w:t>
      </w:r>
      <w:r w:rsidRPr="00676F46">
        <w:rPr>
          <w:lang w:val="en-US"/>
        </w:rPr>
        <w:t>(3), 444–458. https://doi.org/10.1093/humrep/dead008</w:t>
      </w:r>
    </w:p>
    <w:p w14:paraId="652733CD"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Gu, M., Wang, Y., &amp; Yu, Y. (2024). Ovarian fibrosis: Molecular mechanisms and potential therapeutic targets. </w:t>
      </w:r>
      <w:r w:rsidRPr="00676F46">
        <w:rPr>
          <w:i/>
          <w:iCs/>
          <w:lang w:val="en-US"/>
        </w:rPr>
        <w:t>Journal of Ovarian Research, 17</w:t>
      </w:r>
      <w:r w:rsidRPr="00676F46">
        <w:rPr>
          <w:lang w:val="en-US"/>
        </w:rPr>
        <w:t>(1), Article 139. https://doi.org/10.1186/s13048-024-01448-7</w:t>
      </w:r>
    </w:p>
    <w:p w14:paraId="2BFB2826" w14:textId="77777777" w:rsidR="00676F46" w:rsidRPr="00676F46" w:rsidRDefault="00676F46" w:rsidP="00676F46">
      <w:pPr>
        <w:spacing w:before="100" w:beforeAutospacing="1" w:after="100" w:afterAutospacing="1" w:line="240" w:lineRule="auto"/>
        <w:jc w:val="left"/>
        <w:rPr>
          <w:lang w:val="en-US"/>
        </w:rPr>
      </w:pPr>
      <w:r w:rsidRPr="00676F46">
        <w:rPr>
          <w:lang w:val="en-US"/>
        </w:rPr>
        <w:lastRenderedPageBreak/>
        <w:t xml:space="preserve">Hopkins, T. I. R., Lerner, A., Dunlop, I. E., Franks, S., &amp; Hardy, K. (2026). Androgen dysregulates the follicular extracellular matrix and increases pro-fibrotic gene expression in the mouse ovary. </w:t>
      </w:r>
      <w:r w:rsidRPr="00676F46">
        <w:rPr>
          <w:i/>
          <w:iCs/>
          <w:lang w:val="en-US"/>
        </w:rPr>
        <w:t>Scientific Reports, 16</w:t>
      </w:r>
      <w:r w:rsidRPr="00676F46">
        <w:rPr>
          <w:lang w:val="en-US"/>
        </w:rPr>
        <w:t>(1), Article 8974. https://doi.org/10.1038/s41598-025-32927-6</w:t>
      </w:r>
    </w:p>
    <w:p w14:paraId="5D400A20"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Kinnear, H. M., Tomaszewski, C. E., Chang, A. L., Moravek, M. B., Xu, M., Padmanabhan, V., &amp; Shikanov, A. (2020). The ovarian stroma as a new frontier. </w:t>
      </w:r>
      <w:r w:rsidRPr="00676F46">
        <w:rPr>
          <w:i/>
          <w:iCs/>
          <w:lang w:val="en-US"/>
        </w:rPr>
        <w:t>Reproduction, 160</w:t>
      </w:r>
      <w:r w:rsidRPr="00676F46">
        <w:rPr>
          <w:lang w:val="en-US"/>
        </w:rPr>
        <w:t>(3), R25–R39. https://doi.org/10.1530/REP-19-0501</w:t>
      </w:r>
    </w:p>
    <w:p w14:paraId="7CD16309"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Kwong, H. S., </w:t>
      </w:r>
      <w:proofErr w:type="spellStart"/>
      <w:r w:rsidRPr="00676F46">
        <w:rPr>
          <w:lang w:val="en-US"/>
        </w:rPr>
        <w:t>Paloni</w:t>
      </w:r>
      <w:proofErr w:type="spellEnd"/>
      <w:r w:rsidRPr="00676F46">
        <w:rPr>
          <w:lang w:val="en-US"/>
        </w:rPr>
        <w:t xml:space="preserve">, M., </w:t>
      </w:r>
      <w:proofErr w:type="spellStart"/>
      <w:r w:rsidRPr="00676F46">
        <w:rPr>
          <w:lang w:val="en-US"/>
        </w:rPr>
        <w:t>Grandvuillemin</w:t>
      </w:r>
      <w:proofErr w:type="spellEnd"/>
      <w:r w:rsidRPr="00676F46">
        <w:rPr>
          <w:lang w:val="en-US"/>
        </w:rPr>
        <w:t xml:space="preserve">, L., Sirounian, S., Ancelin, A., Lai-Kee-Him, J., Grimaldi, M., </w:t>
      </w:r>
      <w:proofErr w:type="spellStart"/>
      <w:r w:rsidRPr="00676F46">
        <w:rPr>
          <w:lang w:val="en-US"/>
        </w:rPr>
        <w:t>Carivenc</w:t>
      </w:r>
      <w:proofErr w:type="spellEnd"/>
      <w:r w:rsidRPr="00676F46">
        <w:rPr>
          <w:lang w:val="en-US"/>
        </w:rPr>
        <w:t xml:space="preserve">, C., Lancey, C., Ragan, T. J., Hesketh, E. L., Balaguer, P., Barducci, A., </w:t>
      </w:r>
      <w:proofErr w:type="spellStart"/>
      <w:r w:rsidRPr="00676F46">
        <w:rPr>
          <w:lang w:val="en-US"/>
        </w:rPr>
        <w:t>Gruszczyk</w:t>
      </w:r>
      <w:proofErr w:type="spellEnd"/>
      <w:r w:rsidRPr="00676F46">
        <w:rPr>
          <w:lang w:val="en-US"/>
        </w:rPr>
        <w:t xml:space="preserve">, J., &amp; Bourguet, W. (2024). Structural insights into the activation of human aryl hydrocarbon receptor by the environmental contaminant benzo[a]pyrene and structurally related compounds. </w:t>
      </w:r>
      <w:r w:rsidRPr="00676F46">
        <w:rPr>
          <w:i/>
          <w:iCs/>
          <w:lang w:val="en-US"/>
        </w:rPr>
        <w:t>Journal of Molecular Biology, 436</w:t>
      </w:r>
      <w:r w:rsidRPr="00676F46">
        <w:rPr>
          <w:lang w:val="en-US"/>
        </w:rPr>
        <w:t>(3), Article 168411. https://doi.org/10.1016/j.jmb.2023.168411</w:t>
      </w:r>
    </w:p>
    <w:p w14:paraId="07D14250"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Lim, J., Shioda, T., Malott, K. F., Shioda, K., Odajima, J., Leon Parada, K. N., Nguyen, J., </w:t>
      </w:r>
      <w:proofErr w:type="spellStart"/>
      <w:r w:rsidRPr="00676F46">
        <w:rPr>
          <w:lang w:val="en-US"/>
        </w:rPr>
        <w:t>Getze</w:t>
      </w:r>
      <w:proofErr w:type="spellEnd"/>
      <w:r w:rsidRPr="00676F46">
        <w:rPr>
          <w:lang w:val="en-US"/>
        </w:rPr>
        <w:t xml:space="preserve">, S., Lee, M., Nguyen, J., Reshel Blakeley, S., Trinh, V., Truong, H. A., &amp; </w:t>
      </w:r>
      <w:proofErr w:type="spellStart"/>
      <w:r w:rsidRPr="00676F46">
        <w:rPr>
          <w:lang w:val="en-US"/>
        </w:rPr>
        <w:t>Luderer</w:t>
      </w:r>
      <w:proofErr w:type="spellEnd"/>
      <w:r w:rsidRPr="00676F46">
        <w:rPr>
          <w:lang w:val="en-US"/>
        </w:rPr>
        <w:t xml:space="preserve">, U. (2023). Prenatal exposure to benzo[a]pyrene depletes ovarian reserve and masculinizes embryonic ovarian germ cell transcriptome </w:t>
      </w:r>
      <w:proofErr w:type="spellStart"/>
      <w:r w:rsidRPr="00676F46">
        <w:rPr>
          <w:lang w:val="en-US"/>
        </w:rPr>
        <w:t>transgenerationally</w:t>
      </w:r>
      <w:proofErr w:type="spellEnd"/>
      <w:r w:rsidRPr="00676F46">
        <w:rPr>
          <w:lang w:val="en-US"/>
        </w:rPr>
        <w:t xml:space="preserve">. </w:t>
      </w:r>
      <w:r w:rsidRPr="00676F46">
        <w:rPr>
          <w:i/>
          <w:iCs/>
          <w:lang w:val="en-US"/>
        </w:rPr>
        <w:t>Scientific Reports, 13</w:t>
      </w:r>
      <w:r w:rsidRPr="00676F46">
        <w:rPr>
          <w:lang w:val="en-US"/>
        </w:rPr>
        <w:t xml:space="preserve">(1), Article 8671. </w:t>
      </w:r>
      <w:hyperlink r:id="rId16" w:tgtFrame="_new" w:history="1">
        <w:r w:rsidRPr="00676F46">
          <w:rPr>
            <w:color w:val="0000FF"/>
            <w:u w:val="single"/>
            <w:lang w:val="en-US"/>
          </w:rPr>
          <w:t>https://doi.org/10.1038/s41598-023-35494-w</w:t>
        </w:r>
      </w:hyperlink>
    </w:p>
    <w:p w14:paraId="01E9BC3A"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Lind, A. K., Weijdegård, B., Dahm-Kähler, P., </w:t>
      </w:r>
      <w:proofErr w:type="spellStart"/>
      <w:r w:rsidRPr="00676F46">
        <w:rPr>
          <w:lang w:val="en-US"/>
        </w:rPr>
        <w:t>Mölne</w:t>
      </w:r>
      <w:proofErr w:type="spellEnd"/>
      <w:r w:rsidRPr="00676F46">
        <w:rPr>
          <w:lang w:val="en-US"/>
        </w:rPr>
        <w:t xml:space="preserve">, J., </w:t>
      </w:r>
      <w:proofErr w:type="spellStart"/>
      <w:r w:rsidRPr="00676F46">
        <w:rPr>
          <w:lang w:val="en-US"/>
        </w:rPr>
        <w:t>Sundfeldt</w:t>
      </w:r>
      <w:proofErr w:type="spellEnd"/>
      <w:r w:rsidRPr="00676F46">
        <w:rPr>
          <w:lang w:val="en-US"/>
        </w:rPr>
        <w:t xml:space="preserve">, K., &amp; Brännström, M. (2006). Collagens in the human ovary and their changes in the perifollicular stroma during ovulation. </w:t>
      </w:r>
      <w:r w:rsidRPr="00676F46">
        <w:rPr>
          <w:i/>
          <w:iCs/>
          <w:lang w:val="en-US"/>
        </w:rPr>
        <w:t xml:space="preserve">Acta </w:t>
      </w:r>
      <w:proofErr w:type="spellStart"/>
      <w:r w:rsidRPr="00676F46">
        <w:rPr>
          <w:i/>
          <w:iCs/>
          <w:lang w:val="en-US"/>
        </w:rPr>
        <w:t>Obstetricia</w:t>
      </w:r>
      <w:proofErr w:type="spellEnd"/>
      <w:r w:rsidRPr="00676F46">
        <w:rPr>
          <w:i/>
          <w:iCs/>
          <w:lang w:val="en-US"/>
        </w:rPr>
        <w:t xml:space="preserve"> et </w:t>
      </w:r>
      <w:proofErr w:type="spellStart"/>
      <w:r w:rsidRPr="00676F46">
        <w:rPr>
          <w:i/>
          <w:iCs/>
          <w:lang w:val="en-US"/>
        </w:rPr>
        <w:t>Gynecologica</w:t>
      </w:r>
      <w:proofErr w:type="spellEnd"/>
      <w:r w:rsidRPr="00676F46">
        <w:rPr>
          <w:i/>
          <w:iCs/>
          <w:lang w:val="en-US"/>
        </w:rPr>
        <w:t xml:space="preserve"> Scandinavica, 85</w:t>
      </w:r>
      <w:r w:rsidRPr="00676F46">
        <w:rPr>
          <w:lang w:val="en-US"/>
        </w:rPr>
        <w:t>(12), 1476–1484. https://doi.org/10.1080/00016340601033741</w:t>
      </w:r>
    </w:p>
    <w:p w14:paraId="7EE6A348"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Liu, Y., Zhu, J., Yang, Y., Chen, Z., Zhou, Y., Fei, W., Zhang, X., &amp; Zheng, Y. (2025). Extracellular matrix dysregulation in PCOS: Pathogenesis, therapeutic strategies, and innovative technologies. </w:t>
      </w:r>
      <w:r w:rsidRPr="00676F46">
        <w:rPr>
          <w:i/>
          <w:iCs/>
          <w:lang w:val="en-US"/>
        </w:rPr>
        <w:t>Journal of Biological Engineering, 19</w:t>
      </w:r>
      <w:r w:rsidRPr="00676F46">
        <w:rPr>
          <w:lang w:val="en-US"/>
        </w:rPr>
        <w:t>(1), Article 61. https://doi.org/10.1186/s13036-025-00533-9</w:t>
      </w:r>
    </w:p>
    <w:p w14:paraId="7112F36C"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Malott, K. F., Parada, K. L. L., Lee, M., Swanson, E. E., &amp; </w:t>
      </w:r>
      <w:proofErr w:type="spellStart"/>
      <w:r w:rsidRPr="00676F46">
        <w:rPr>
          <w:lang w:val="en-US"/>
        </w:rPr>
        <w:t>Luderer</w:t>
      </w:r>
      <w:proofErr w:type="spellEnd"/>
      <w:r w:rsidRPr="00676F46">
        <w:rPr>
          <w:lang w:val="en-US"/>
        </w:rPr>
        <w:t xml:space="preserve">, U. (2022). Gestational benzo[a]pyrene exposure destroys F1 ovarian germ cells through mitochondrial apoptosis pathway and diminishes surviving oocyte quality. </w:t>
      </w:r>
      <w:r w:rsidRPr="00676F46">
        <w:rPr>
          <w:i/>
          <w:iCs/>
          <w:lang w:val="en-US"/>
        </w:rPr>
        <w:t>Toxicological Sciences, 190</w:t>
      </w:r>
      <w:r w:rsidRPr="00676F46">
        <w:rPr>
          <w:lang w:val="en-US"/>
        </w:rPr>
        <w:t>(1), 23–40. https://doi.org/10.1093/toxsci/kfac086</w:t>
      </w:r>
    </w:p>
    <w:p w14:paraId="7F116726"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McCartney, C. R., &amp; Marshall, J. C. (2016). Polycystic ovary syndrome. </w:t>
      </w:r>
      <w:r w:rsidRPr="00676F46">
        <w:rPr>
          <w:i/>
          <w:iCs/>
          <w:lang w:val="en-US"/>
        </w:rPr>
        <w:t>New England Journal of Medicine, 375</w:t>
      </w:r>
      <w:r w:rsidRPr="00676F46">
        <w:rPr>
          <w:lang w:val="en-US"/>
        </w:rPr>
        <w:t>(1), 54–64. https://doi.org/10.1056/NEJMcp1514916</w:t>
      </w:r>
    </w:p>
    <w:p w14:paraId="59AF12D1"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Montano, L., Baldini, G. M., Piscopo, M., Liguori, G., Lombardi, R., Ricciardi, M., Esposito, G., Pinto, G., Fontanarosa, C., Spinelli, M., Palmieri, I., Sofia, D., Brogna, C., </w:t>
      </w:r>
      <w:proofErr w:type="spellStart"/>
      <w:r w:rsidRPr="00676F46">
        <w:rPr>
          <w:lang w:val="en-US"/>
        </w:rPr>
        <w:t>Carati</w:t>
      </w:r>
      <w:proofErr w:type="spellEnd"/>
      <w:r w:rsidRPr="00676F46">
        <w:rPr>
          <w:lang w:val="en-US"/>
        </w:rPr>
        <w:t xml:space="preserve">, C., Esposito, M., Gallo, P., </w:t>
      </w:r>
      <w:proofErr w:type="spellStart"/>
      <w:r w:rsidRPr="00676F46">
        <w:rPr>
          <w:lang w:val="en-US"/>
        </w:rPr>
        <w:t>Amoresano</w:t>
      </w:r>
      <w:proofErr w:type="spellEnd"/>
      <w:r w:rsidRPr="00676F46">
        <w:rPr>
          <w:lang w:val="en-US"/>
        </w:rPr>
        <w:t xml:space="preserve">, A., &amp; Motta, O. (2025). Polycyclic aromatic hydrocarbons (PAHs) in the environment: Occupational exposure, health risks and fertility implications. </w:t>
      </w:r>
      <w:r w:rsidRPr="00676F46">
        <w:rPr>
          <w:i/>
          <w:iCs/>
          <w:lang w:val="en-US"/>
        </w:rPr>
        <w:t>Toxics, 13</w:t>
      </w:r>
      <w:r w:rsidRPr="00676F46">
        <w:rPr>
          <w:lang w:val="en-US"/>
        </w:rPr>
        <w:t xml:space="preserve">(3), Article 151. </w:t>
      </w:r>
      <w:hyperlink r:id="rId17" w:tgtFrame="_new" w:history="1">
        <w:r w:rsidRPr="00676F46">
          <w:rPr>
            <w:color w:val="0000FF"/>
            <w:u w:val="single"/>
            <w:lang w:val="en-US"/>
          </w:rPr>
          <w:t>https://doi.org/10.3390/toxics13030151</w:t>
        </w:r>
      </w:hyperlink>
    </w:p>
    <w:p w14:paraId="2C71B910" w14:textId="77777777" w:rsidR="00676F46" w:rsidRPr="00676F46" w:rsidRDefault="00676F46" w:rsidP="00676F46">
      <w:pPr>
        <w:spacing w:before="100" w:beforeAutospacing="1" w:after="100" w:afterAutospacing="1" w:line="240" w:lineRule="auto"/>
        <w:jc w:val="left"/>
        <w:rPr>
          <w:lang w:val="en-US"/>
        </w:rPr>
      </w:pPr>
      <w:proofErr w:type="spellStart"/>
      <w:r w:rsidRPr="00676F46">
        <w:rPr>
          <w:lang w:val="en-US"/>
        </w:rPr>
        <w:lastRenderedPageBreak/>
        <w:t>Nalkande</w:t>
      </w:r>
      <w:proofErr w:type="spellEnd"/>
      <w:r w:rsidRPr="00676F46">
        <w:rPr>
          <w:lang w:val="en-US"/>
        </w:rPr>
        <w:t xml:space="preserve">, S., Patil, M., Nakhate, K., &amp; Goyal, S. (2026). Ovarian fibrosis in polycystic ovary syndrome: Mechanisms, evidences, and clinical implications. </w:t>
      </w:r>
      <w:r w:rsidRPr="00676F46">
        <w:rPr>
          <w:i/>
          <w:iCs/>
          <w:lang w:val="en-US"/>
        </w:rPr>
        <w:t>Differentiation, 150</w:t>
      </w:r>
      <w:r w:rsidRPr="00676F46">
        <w:rPr>
          <w:lang w:val="en-US"/>
        </w:rPr>
        <w:t>, Article 100976. https://doi.org/10.1016/j.diff.2026.100976</w:t>
      </w:r>
    </w:p>
    <w:p w14:paraId="21D56C30"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Negi, K., &amp; Chaudhary, P. (2024). Benzo[a]pyrene: A carcinogen, its sources, adverse effects, and preventions. </w:t>
      </w:r>
      <w:r w:rsidRPr="00676F46">
        <w:rPr>
          <w:i/>
          <w:iCs/>
          <w:lang w:val="en-US"/>
        </w:rPr>
        <w:t>The Applied Biology &amp; Chemistry Journal, 5</w:t>
      </w:r>
      <w:r w:rsidRPr="00676F46">
        <w:rPr>
          <w:lang w:val="en-US"/>
        </w:rPr>
        <w:t xml:space="preserve">(3), 44–56. </w:t>
      </w:r>
      <w:hyperlink r:id="rId18" w:tgtFrame="_new" w:history="1">
        <w:r w:rsidRPr="00676F46">
          <w:rPr>
            <w:color w:val="0000FF"/>
            <w:u w:val="single"/>
            <w:lang w:val="en-US"/>
          </w:rPr>
          <w:t>https://doi.org/10.52679/tabcj.2024.0007</w:t>
        </w:r>
      </w:hyperlink>
    </w:p>
    <w:p w14:paraId="13A42AF5" w14:textId="77777777" w:rsidR="00676F46" w:rsidRPr="00676F46" w:rsidRDefault="00676F46" w:rsidP="00676F46">
      <w:pPr>
        <w:spacing w:before="100" w:beforeAutospacing="1" w:after="100" w:afterAutospacing="1" w:line="240" w:lineRule="auto"/>
        <w:jc w:val="left"/>
        <w:rPr>
          <w:lang w:val="en-US"/>
        </w:rPr>
      </w:pPr>
      <w:proofErr w:type="spellStart"/>
      <w:r w:rsidRPr="00676F46">
        <w:rPr>
          <w:lang w:val="en-US"/>
        </w:rPr>
        <w:t>Nikanfar</w:t>
      </w:r>
      <w:proofErr w:type="spellEnd"/>
      <w:r w:rsidRPr="00676F46">
        <w:rPr>
          <w:lang w:val="en-US"/>
        </w:rPr>
        <w:t xml:space="preserve">, S., &amp; Amorim, C. A. (2025). The potential role of matrix metalloproteinase in polycystic ovary syndrome: Implications for extracellular matrix remodeling. </w:t>
      </w:r>
      <w:proofErr w:type="spellStart"/>
      <w:r w:rsidRPr="00676F46">
        <w:rPr>
          <w:i/>
          <w:iCs/>
          <w:lang w:val="en-US"/>
        </w:rPr>
        <w:t>BioFactors</w:t>
      </w:r>
      <w:proofErr w:type="spellEnd"/>
      <w:r w:rsidRPr="00676F46">
        <w:rPr>
          <w:i/>
          <w:iCs/>
          <w:lang w:val="en-US"/>
        </w:rPr>
        <w:t>, 51</w:t>
      </w:r>
      <w:r w:rsidRPr="00676F46">
        <w:rPr>
          <w:lang w:val="en-US"/>
        </w:rPr>
        <w:t>(3), Article e70026. https://doi.org/10.1002/biof.70026</w:t>
      </w:r>
    </w:p>
    <w:p w14:paraId="1C10B15A" w14:textId="77777777" w:rsidR="00676F46" w:rsidRPr="00676F46" w:rsidRDefault="00676F46" w:rsidP="00676F46">
      <w:pPr>
        <w:spacing w:before="100" w:beforeAutospacing="1" w:after="100" w:afterAutospacing="1" w:line="240" w:lineRule="auto"/>
        <w:jc w:val="left"/>
        <w:rPr>
          <w:lang w:val="en-US"/>
        </w:rPr>
      </w:pPr>
      <w:proofErr w:type="spellStart"/>
      <w:r w:rsidRPr="00676F46">
        <w:rPr>
          <w:lang w:val="en-US"/>
        </w:rPr>
        <w:t>Orisaka</w:t>
      </w:r>
      <w:proofErr w:type="spellEnd"/>
      <w:r w:rsidRPr="00676F46">
        <w:rPr>
          <w:lang w:val="en-US"/>
        </w:rPr>
        <w:t xml:space="preserve">, M., Mizutani, T., Miyazaki, Y., </w:t>
      </w:r>
      <w:proofErr w:type="spellStart"/>
      <w:r w:rsidRPr="00676F46">
        <w:rPr>
          <w:lang w:val="en-US"/>
        </w:rPr>
        <w:t>Shirafuji</w:t>
      </w:r>
      <w:proofErr w:type="spellEnd"/>
      <w:r w:rsidRPr="00676F46">
        <w:rPr>
          <w:lang w:val="en-US"/>
        </w:rPr>
        <w:t xml:space="preserve">, A., </w:t>
      </w:r>
      <w:proofErr w:type="spellStart"/>
      <w:r w:rsidRPr="00676F46">
        <w:rPr>
          <w:lang w:val="en-US"/>
        </w:rPr>
        <w:t>Tamamura</w:t>
      </w:r>
      <w:proofErr w:type="spellEnd"/>
      <w:r w:rsidRPr="00676F46">
        <w:rPr>
          <w:lang w:val="en-US"/>
        </w:rPr>
        <w:t xml:space="preserve">, C., Fujita, M., Tsuyoshi, H., &amp; Yoshida, Y. (2023). Chronic low-grade inflammation and ovarian dysfunction in women with polycystic ovarian syndrome, endometriosis, and aging. </w:t>
      </w:r>
      <w:r w:rsidRPr="00676F46">
        <w:rPr>
          <w:i/>
          <w:iCs/>
          <w:lang w:val="en-US"/>
        </w:rPr>
        <w:t>Frontiers in Endocrinology, 14</w:t>
      </w:r>
      <w:r w:rsidRPr="00676F46">
        <w:rPr>
          <w:lang w:val="en-US"/>
        </w:rPr>
        <w:t>, Article 1324429. https://doi.org/10.3389/fendo.2023.1324429</w:t>
      </w:r>
    </w:p>
    <w:p w14:paraId="477093F3"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Ozga, M., &amp; Jurewicz, J. (2025). Environmental exposure to selected non-persistent endocrine disrupting chemicals and polycystic ovary syndrome: A systematic review. </w:t>
      </w:r>
      <w:r w:rsidRPr="00676F46">
        <w:rPr>
          <w:i/>
          <w:iCs/>
          <w:lang w:val="en-US"/>
        </w:rPr>
        <w:t>International Journal of Occupational Medicine and Environmental Health, 38</w:t>
      </w:r>
      <w:r w:rsidRPr="00676F46">
        <w:rPr>
          <w:lang w:val="en-US"/>
        </w:rPr>
        <w:t>(2), 98–121. https://doi.org/10.13075/ijomeh.1896.02551</w:t>
      </w:r>
    </w:p>
    <w:p w14:paraId="44E8AB57"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Pan, J., Liu, P., Yu, X., Zhang, Z., &amp; Liu, J. (2024). The adverse role of endocrine disrupting chemicals in the reproductive system. </w:t>
      </w:r>
      <w:r w:rsidRPr="00676F46">
        <w:rPr>
          <w:i/>
          <w:iCs/>
          <w:lang w:val="en-US"/>
        </w:rPr>
        <w:t>Frontiers in Endocrinology, 14</w:t>
      </w:r>
      <w:r w:rsidRPr="00676F46">
        <w:rPr>
          <w:lang w:val="en-US"/>
        </w:rPr>
        <w:t xml:space="preserve">, Article 1324993. </w:t>
      </w:r>
      <w:hyperlink r:id="rId19" w:tgtFrame="_new" w:history="1">
        <w:r w:rsidRPr="00676F46">
          <w:rPr>
            <w:color w:val="0000FF"/>
            <w:u w:val="single"/>
            <w:lang w:val="en-US"/>
          </w:rPr>
          <w:t>https://doi.org/10.3389/fendo.2023.1324993</w:t>
        </w:r>
      </w:hyperlink>
    </w:p>
    <w:p w14:paraId="2D020F2F" w14:textId="77777777" w:rsidR="00676F46" w:rsidRPr="00676F46" w:rsidRDefault="00676F46" w:rsidP="00676F46">
      <w:pPr>
        <w:spacing w:before="100" w:beforeAutospacing="1" w:after="100" w:afterAutospacing="1" w:line="240" w:lineRule="auto"/>
        <w:jc w:val="left"/>
        <w:rPr>
          <w:lang w:val="en-US"/>
        </w:rPr>
      </w:pPr>
      <w:proofErr w:type="spellStart"/>
      <w:r w:rsidRPr="00676F46">
        <w:rPr>
          <w:lang w:val="en-US"/>
        </w:rPr>
        <w:t>Perono</w:t>
      </w:r>
      <w:proofErr w:type="spellEnd"/>
      <w:r w:rsidRPr="00676F46">
        <w:rPr>
          <w:lang w:val="en-US"/>
        </w:rPr>
        <w:t xml:space="preserve">, G. A., Petrik, J. J., Thomas, P. J., &amp; Holloway, A. C. (2022). The effects of polycyclic aromatic compounds (PACs) on mammalian ovarian function. </w:t>
      </w:r>
      <w:r w:rsidRPr="00676F46">
        <w:rPr>
          <w:i/>
          <w:iCs/>
          <w:lang w:val="en-US"/>
        </w:rPr>
        <w:t>Current Research in Toxicology, 3</w:t>
      </w:r>
      <w:r w:rsidRPr="00676F46">
        <w:rPr>
          <w:lang w:val="en-US"/>
        </w:rPr>
        <w:t>, Article 100070. https://doi.org/10.1016/j.crtox.2022.100070</w:t>
      </w:r>
    </w:p>
    <w:p w14:paraId="430D4B1A"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Shi, Y., Zeng, Z., Yu, J., Tang, B., Tang, R., &amp; Xiao, R. (2020). The aryl hydrocarbon receptor: An environmental effector in the pathogenesis of fibrosis. </w:t>
      </w:r>
      <w:r w:rsidRPr="00676F46">
        <w:rPr>
          <w:i/>
          <w:iCs/>
          <w:lang w:val="en-US"/>
        </w:rPr>
        <w:t>Pharmacological Research, 160</w:t>
      </w:r>
      <w:r w:rsidRPr="00676F46">
        <w:rPr>
          <w:lang w:val="en-US"/>
        </w:rPr>
        <w:t>, Article 105180. https://doi.org/10.1016/j.phrs.2020.105180</w:t>
      </w:r>
    </w:p>
    <w:p w14:paraId="7006F3CB" w14:textId="77777777" w:rsidR="00676F46" w:rsidRPr="00676F46" w:rsidRDefault="00676F46" w:rsidP="00676F46">
      <w:pPr>
        <w:spacing w:before="100" w:beforeAutospacing="1" w:after="100" w:afterAutospacing="1" w:line="240" w:lineRule="auto"/>
        <w:jc w:val="left"/>
        <w:rPr>
          <w:lang w:val="en-US"/>
        </w:rPr>
      </w:pPr>
      <w:r w:rsidRPr="00676F46">
        <w:rPr>
          <w:lang w:val="en-US"/>
        </w:rPr>
        <w:t>Shaheen, A. A., Hussain, K. A. M., &amp; Al-</w:t>
      </w:r>
      <w:proofErr w:type="spellStart"/>
      <w:r w:rsidRPr="00676F46">
        <w:rPr>
          <w:lang w:val="en-US"/>
        </w:rPr>
        <w:t>Safy</w:t>
      </w:r>
      <w:proofErr w:type="spellEnd"/>
      <w:r w:rsidRPr="00676F46">
        <w:rPr>
          <w:lang w:val="en-US"/>
        </w:rPr>
        <w:t xml:space="preserve">, A. H. (2024). Study of the effect of fresh green </w:t>
      </w:r>
      <w:r w:rsidRPr="00676F46">
        <w:rPr>
          <w:i/>
          <w:iCs/>
          <w:lang w:val="en-US"/>
        </w:rPr>
        <w:t>Asparagus officinalis L.</w:t>
      </w:r>
      <w:r w:rsidRPr="00676F46">
        <w:rPr>
          <w:lang w:val="en-US"/>
        </w:rPr>
        <w:t xml:space="preserve"> stems extract and metformin drug on induced polycystic ovary syndrome (PCOS) in female albino rats. </w:t>
      </w:r>
      <w:r w:rsidRPr="00676F46">
        <w:rPr>
          <w:i/>
          <w:iCs/>
          <w:lang w:val="en-US"/>
        </w:rPr>
        <w:t>Uttar Pradesh Journal of Zoology, 45</w:t>
      </w:r>
      <w:r w:rsidRPr="00676F46">
        <w:rPr>
          <w:lang w:val="en-US"/>
        </w:rPr>
        <w:t>(17), 607–618. https://doi.org/10.56557/upjoz/2024/v45i174406</w:t>
      </w:r>
    </w:p>
    <w:p w14:paraId="55C39A4C"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Siddiqui, S., Mateen, S., Ahmad, R., &amp; Moin, S. (2022). A brief insight into the etiology, genetics, and immunology of polycystic ovarian syndrome (PCOS). </w:t>
      </w:r>
      <w:r w:rsidRPr="00676F46">
        <w:rPr>
          <w:i/>
          <w:iCs/>
          <w:lang w:val="en-US"/>
        </w:rPr>
        <w:t>Journal of Assisted Reproduction and Genetics, 39</w:t>
      </w:r>
      <w:r w:rsidRPr="00676F46">
        <w:rPr>
          <w:lang w:val="en-US"/>
        </w:rPr>
        <w:t>(11), 2439–2473. https://doi.org/10.1007/s10815-022-02625-7</w:t>
      </w:r>
    </w:p>
    <w:p w14:paraId="4C0330A6"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Singh, S., Pal, N., Shubham, S., Sarma, D. K., Verma, V., Marotta, F., &amp; Kumar, M. (2023). Polycystic ovary syndrome: Etiology, current management, and future therapeutics. </w:t>
      </w:r>
      <w:r w:rsidRPr="00676F46">
        <w:rPr>
          <w:i/>
          <w:iCs/>
          <w:lang w:val="en-US"/>
        </w:rPr>
        <w:t>Journal of Clinical Medicine, 12</w:t>
      </w:r>
      <w:r w:rsidRPr="00676F46">
        <w:rPr>
          <w:lang w:val="en-US"/>
        </w:rPr>
        <w:t xml:space="preserve">(4), Article 1454. </w:t>
      </w:r>
      <w:hyperlink r:id="rId20" w:tgtFrame="_new" w:history="1">
        <w:r w:rsidRPr="00676F46">
          <w:rPr>
            <w:color w:val="0000FF"/>
            <w:u w:val="single"/>
            <w:lang w:val="en-US"/>
          </w:rPr>
          <w:t>https://doi.org/10.3390/jcm12041454</w:t>
        </w:r>
      </w:hyperlink>
    </w:p>
    <w:p w14:paraId="316E1E62" w14:textId="77777777" w:rsidR="00676F46" w:rsidRPr="00676F46" w:rsidRDefault="00676F46" w:rsidP="00676F46">
      <w:pPr>
        <w:spacing w:before="100" w:beforeAutospacing="1" w:after="100" w:afterAutospacing="1" w:line="240" w:lineRule="auto"/>
        <w:jc w:val="left"/>
        <w:rPr>
          <w:lang w:val="en-US"/>
        </w:rPr>
      </w:pPr>
      <w:proofErr w:type="spellStart"/>
      <w:r w:rsidRPr="00676F46">
        <w:rPr>
          <w:lang w:val="en-US"/>
        </w:rPr>
        <w:lastRenderedPageBreak/>
        <w:t>Sombiri</w:t>
      </w:r>
      <w:proofErr w:type="spellEnd"/>
      <w:r w:rsidRPr="00676F46">
        <w:rPr>
          <w:lang w:val="en-US"/>
        </w:rPr>
        <w:t xml:space="preserve">, S., Balhara, N., </w:t>
      </w:r>
      <w:proofErr w:type="spellStart"/>
      <w:r w:rsidRPr="00676F46">
        <w:rPr>
          <w:lang w:val="en-US"/>
        </w:rPr>
        <w:t>Attri</w:t>
      </w:r>
      <w:proofErr w:type="spellEnd"/>
      <w:r w:rsidRPr="00676F46">
        <w:rPr>
          <w:lang w:val="en-US"/>
        </w:rPr>
        <w:t xml:space="preserve">, D., Kharb, I., &amp; Giri, A. (2024). An overview on occurrence of polycyclic aromatic hydrocarbons in food chain with special emphasis on human health ailments. </w:t>
      </w:r>
      <w:r w:rsidRPr="00676F46">
        <w:rPr>
          <w:i/>
          <w:iCs/>
          <w:lang w:val="en-US"/>
        </w:rPr>
        <w:t>Discover Environment, 2</w:t>
      </w:r>
      <w:r w:rsidRPr="00676F46">
        <w:rPr>
          <w:lang w:val="en-US"/>
        </w:rPr>
        <w:t xml:space="preserve">, Article 87. </w:t>
      </w:r>
      <w:hyperlink r:id="rId21" w:tgtFrame="_new" w:history="1">
        <w:r w:rsidRPr="00676F46">
          <w:rPr>
            <w:color w:val="0000FF"/>
            <w:u w:val="single"/>
            <w:lang w:val="en-US"/>
          </w:rPr>
          <w:t>https://doi.org/10.1007/s44274-024-00121-6</w:t>
        </w:r>
      </w:hyperlink>
    </w:p>
    <w:p w14:paraId="6890536A"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Stefansdottir, A., Marečková, M., Matkovic, M., Allen, C. M., &amp; Spears, N. (2023). In vitro exposure to benzo[a]pyrene damages the developing mouse ovary. </w:t>
      </w:r>
      <w:r w:rsidRPr="00676F46">
        <w:rPr>
          <w:i/>
          <w:iCs/>
          <w:lang w:val="en-US"/>
        </w:rPr>
        <w:t>Reproduction and Fertility, 4</w:t>
      </w:r>
      <w:r w:rsidRPr="00676F46">
        <w:rPr>
          <w:lang w:val="en-US"/>
        </w:rPr>
        <w:t>(2), Article e220071. https://doi.org/10.1530/RAF-22-0071</w:t>
      </w:r>
    </w:p>
    <w:p w14:paraId="03DD0418"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Stener-Victorin, E., Padmanabhan, V., Walters, K. A., Campbell, R. E., Benrick, A., </w:t>
      </w:r>
      <w:proofErr w:type="spellStart"/>
      <w:r w:rsidRPr="00676F46">
        <w:rPr>
          <w:lang w:val="en-US"/>
        </w:rPr>
        <w:t>Giacobini</w:t>
      </w:r>
      <w:proofErr w:type="spellEnd"/>
      <w:r w:rsidRPr="00676F46">
        <w:rPr>
          <w:lang w:val="en-US"/>
        </w:rPr>
        <w:t xml:space="preserve">, P., </w:t>
      </w:r>
      <w:proofErr w:type="spellStart"/>
      <w:r w:rsidRPr="00676F46">
        <w:rPr>
          <w:lang w:val="en-US"/>
        </w:rPr>
        <w:t>Dumesic</w:t>
      </w:r>
      <w:proofErr w:type="spellEnd"/>
      <w:r w:rsidRPr="00676F46">
        <w:rPr>
          <w:lang w:val="en-US"/>
        </w:rPr>
        <w:t xml:space="preserve">, D. A., &amp; Abbott, D. H. (2020). Animal models to understand the etiology and pathophysiology of polycystic ovary syndrome. </w:t>
      </w:r>
      <w:r w:rsidRPr="00676F46">
        <w:rPr>
          <w:i/>
          <w:iCs/>
          <w:lang w:val="en-US"/>
        </w:rPr>
        <w:t>Endocrine Reviews, 41</w:t>
      </w:r>
      <w:r w:rsidRPr="00676F46">
        <w:rPr>
          <w:lang w:val="en-US"/>
        </w:rPr>
        <w:t xml:space="preserve">(4), Article bnaa010. </w:t>
      </w:r>
      <w:hyperlink r:id="rId22" w:tgtFrame="_new" w:history="1">
        <w:r w:rsidRPr="00676F46">
          <w:rPr>
            <w:color w:val="0000FF"/>
            <w:u w:val="single"/>
            <w:lang w:val="en-US"/>
          </w:rPr>
          <w:t>https://doi.org/10.1210/endrev/bnaa010</w:t>
        </w:r>
      </w:hyperlink>
    </w:p>
    <w:p w14:paraId="50F2C67D"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Wang, D., Wang, W., Liang, Q., He, X., Xia, Y., Shen, S., Wang, H., Gao, Q., &amp; Wang, Y. (2018). DHEA-induced ovarian </w:t>
      </w:r>
      <w:proofErr w:type="spellStart"/>
      <w:r w:rsidRPr="00676F46">
        <w:rPr>
          <w:lang w:val="en-US"/>
        </w:rPr>
        <w:t>hyperfibrosis</w:t>
      </w:r>
      <w:proofErr w:type="spellEnd"/>
      <w:r w:rsidRPr="00676F46">
        <w:rPr>
          <w:lang w:val="en-US"/>
        </w:rPr>
        <w:t xml:space="preserve"> is mediated by TGF-β signaling pathway. </w:t>
      </w:r>
      <w:r w:rsidRPr="00676F46">
        <w:rPr>
          <w:i/>
          <w:iCs/>
          <w:lang w:val="en-US"/>
        </w:rPr>
        <w:t>Journal of Ovarian Research, 11</w:t>
      </w:r>
      <w:r w:rsidRPr="00676F46">
        <w:rPr>
          <w:lang w:val="en-US"/>
        </w:rPr>
        <w:t>(1), Article 6. https://doi.org/10.1186/s13048-017-0375-7</w:t>
      </w:r>
    </w:p>
    <w:p w14:paraId="0CB584FA"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Wang, D., Weng, Y., Zhang, Y., Wang, R., Wang, T., Zhou, J., Shen, S., Wang, H., &amp; Wang, Y. (2020). Exposure to </w:t>
      </w:r>
      <w:proofErr w:type="spellStart"/>
      <w:r w:rsidRPr="00676F46">
        <w:rPr>
          <w:lang w:val="en-US"/>
        </w:rPr>
        <w:t>hyperandrogen</w:t>
      </w:r>
      <w:proofErr w:type="spellEnd"/>
      <w:r w:rsidRPr="00676F46">
        <w:rPr>
          <w:lang w:val="en-US"/>
        </w:rPr>
        <w:t xml:space="preserve"> drives ovarian dysfunction and fibrosis by activating the NLRP3 inflammasome in mice. </w:t>
      </w:r>
      <w:r w:rsidRPr="00676F46">
        <w:rPr>
          <w:i/>
          <w:iCs/>
          <w:lang w:val="en-US"/>
        </w:rPr>
        <w:t>Science of the Total Environment, 745</w:t>
      </w:r>
      <w:r w:rsidRPr="00676F46">
        <w:rPr>
          <w:lang w:val="en-US"/>
        </w:rPr>
        <w:t>, Article 141049. https://doi.org/10.1016/j.scitotenv.2020.141049</w:t>
      </w:r>
    </w:p>
    <w:p w14:paraId="2ABB1CF3"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Wang, P.-X., Wu, S.-L., Ju, J.-Q., Jiao, L., Zou, Y.-J., Zhang, K.-H., Sun, S.-C., Hu, L.-L., &amp; Zheng, X.-B. (2024). Benzo[a]pyrene exposure disrupts the organelle distribution and function of mouse oocytes. </w:t>
      </w:r>
      <w:r w:rsidRPr="00676F46">
        <w:rPr>
          <w:i/>
          <w:iCs/>
          <w:lang w:val="en-US"/>
        </w:rPr>
        <w:t>Ecotoxicology and Environmental Safety, 281</w:t>
      </w:r>
      <w:r w:rsidRPr="00676F46">
        <w:rPr>
          <w:lang w:val="en-US"/>
        </w:rPr>
        <w:t>, Article 116630. https://doi.org/10.1016/j.ecoenv.2024.116630</w:t>
      </w:r>
    </w:p>
    <w:p w14:paraId="67525D9B"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West, E. R., Xu, M., Woodruff, T. K., &amp; Shea, L. D. (2007). Physical properties of alginate hydrogels and their effects on in vitro follicle development. </w:t>
      </w:r>
      <w:r w:rsidRPr="00676F46">
        <w:rPr>
          <w:i/>
          <w:iCs/>
          <w:lang w:val="en-US"/>
        </w:rPr>
        <w:t>Biomaterials, 28</w:t>
      </w:r>
      <w:r w:rsidRPr="00676F46">
        <w:rPr>
          <w:lang w:val="en-US"/>
        </w:rPr>
        <w:t>(30), 4439–4448. https://doi.org/10.1016/j.biomaterials.2007.07.001</w:t>
      </w:r>
    </w:p>
    <w:p w14:paraId="5DDE0083"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Xu, H., Chen, F., Liu, Z., Gao, R., He, J., Li, F., Li, N., Mu, X., Liu, T., Wang, Y., &amp; Chen, X. (2024). B(a)P induces ovarian granulosa cell apoptosis via TRAF2-NFκB-Caspase1 axis during early pregnancy. </w:t>
      </w:r>
      <w:r w:rsidRPr="00676F46">
        <w:rPr>
          <w:i/>
          <w:iCs/>
          <w:lang w:val="en-US"/>
        </w:rPr>
        <w:t>Environmental Research, 252</w:t>
      </w:r>
      <w:r w:rsidRPr="00676F46">
        <w:rPr>
          <w:lang w:val="en-US"/>
        </w:rPr>
        <w:t>, Article 118865. https://doi.org/10.1016/j.envres.2024.118865</w:t>
      </w:r>
    </w:p>
    <w:p w14:paraId="28C68F70"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Yang, Q., Zhao, Y., Qiu, X., Zhang, C., Li, R., &amp; Qiao, J. (2015). Association of serum levels of typical organic pollutants with polycystic ovary syndrome (PCOS): A case–control study. </w:t>
      </w:r>
      <w:r w:rsidRPr="00676F46">
        <w:rPr>
          <w:i/>
          <w:iCs/>
          <w:lang w:val="en-US"/>
        </w:rPr>
        <w:t>Human Reproduction, 30</w:t>
      </w:r>
      <w:r w:rsidRPr="00676F46">
        <w:rPr>
          <w:lang w:val="en-US"/>
        </w:rPr>
        <w:t>(8), 1964–1973. https://doi.org/10.1093/humrep/dev123</w:t>
      </w:r>
    </w:p>
    <w:p w14:paraId="64797A1A" w14:textId="77777777" w:rsidR="00676F46" w:rsidRPr="00676F46" w:rsidRDefault="00676F46" w:rsidP="00676F46">
      <w:pPr>
        <w:spacing w:before="100" w:beforeAutospacing="1" w:after="100" w:afterAutospacing="1" w:line="240" w:lineRule="auto"/>
        <w:jc w:val="left"/>
        <w:rPr>
          <w:lang w:val="en-US"/>
        </w:rPr>
      </w:pPr>
      <w:r w:rsidRPr="00676F46">
        <w:rPr>
          <w:lang w:val="en-US"/>
        </w:rPr>
        <w:t xml:space="preserve">Zhou, F., Shi, L.-B., &amp; Zhang, S.-Y. (2017). Ovarian fibrosis: A phenomenon of concern. </w:t>
      </w:r>
      <w:r w:rsidRPr="00676F46">
        <w:rPr>
          <w:i/>
          <w:iCs/>
          <w:lang w:val="en-US"/>
        </w:rPr>
        <w:t>Chinese Medical Journal, 130</w:t>
      </w:r>
      <w:r w:rsidRPr="00676F46">
        <w:rPr>
          <w:lang w:val="en-US"/>
        </w:rPr>
        <w:t>(3), 365–371. https://doi.org/10.4103/0366-6999.198931</w:t>
      </w:r>
    </w:p>
    <w:p w14:paraId="073B39EE" w14:textId="77777777" w:rsidR="00B276D9" w:rsidRPr="00ED4422" w:rsidRDefault="00B276D9" w:rsidP="00B276D9"/>
    <w:sectPr w:rsidR="00B276D9" w:rsidRPr="00ED4422">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BEC58" w14:textId="77777777" w:rsidR="005C3766" w:rsidRDefault="005C3766" w:rsidP="00617BDC">
      <w:pPr>
        <w:spacing w:line="240" w:lineRule="auto"/>
      </w:pPr>
      <w:r>
        <w:separator/>
      </w:r>
    </w:p>
  </w:endnote>
  <w:endnote w:type="continuationSeparator" w:id="0">
    <w:p w14:paraId="69CED089" w14:textId="77777777" w:rsidR="005C3766" w:rsidRDefault="005C3766" w:rsidP="00617B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7FBD1906-A794-491D-A8CE-9C0AE063EBD7}"/>
    <w:embedBold r:id="rId2" w:fontKey="{16FC16BD-5627-4E18-8B25-BBF9DA7D6F33}"/>
  </w:font>
  <w:font w:name="Georgia">
    <w:panose1 w:val="02040502050405020303"/>
    <w:charset w:val="00"/>
    <w:family w:val="roman"/>
    <w:pitch w:val="variable"/>
    <w:sig w:usb0="00000287" w:usb1="00000000" w:usb2="00000000" w:usb3="00000000" w:csb0="0000009F" w:csb1="00000000"/>
    <w:embedItalic r:id="rId3" w:fontKey="{78468CF8-61E7-4CF5-AD9A-015206E8DE63}"/>
  </w:font>
  <w:font w:name="Calibri">
    <w:panose1 w:val="020F0502020204030204"/>
    <w:charset w:val="00"/>
    <w:family w:val="swiss"/>
    <w:pitch w:val="variable"/>
    <w:sig w:usb0="E4002EFF" w:usb1="C000247B" w:usb2="00000009" w:usb3="00000000" w:csb0="000001FF" w:csb1="00000000"/>
    <w:embedRegular r:id="rId4" w:fontKey="{62BA452A-0ECB-45C5-9906-4DABBEB2BAE6}"/>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5" w:fontKey="{5F83948B-2AF5-4B7F-9B8B-780F506399F8}"/>
    <w:embedBold r:id="rId6" w:fontKey="{E03A8560-D67A-4EB2-95B6-4CBC4550D3FA}"/>
    <w:embedItalic r:id="rId7" w:fontKey="{0902C611-0FCE-4E8D-A4DE-2304C5785D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2549B" w14:textId="77777777" w:rsidR="0023348A" w:rsidRDefault="002334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593720"/>
      <w:docPartObj>
        <w:docPartGallery w:val="Page Numbers (Bottom of Page)"/>
        <w:docPartUnique/>
      </w:docPartObj>
    </w:sdtPr>
    <w:sdtEndPr>
      <w:rPr>
        <w:noProof/>
      </w:rPr>
    </w:sdtEndPr>
    <w:sdtContent>
      <w:p w14:paraId="1F9ACCF4" w14:textId="77777777" w:rsidR="00A014E5" w:rsidRDefault="00A014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B57998" w14:textId="77777777" w:rsidR="00A014E5" w:rsidRDefault="00A014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E2A5" w14:textId="77777777" w:rsidR="0023348A" w:rsidRDefault="00233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1254A" w14:textId="77777777" w:rsidR="005C3766" w:rsidRDefault="005C3766" w:rsidP="00617BDC">
      <w:pPr>
        <w:spacing w:line="240" w:lineRule="auto"/>
      </w:pPr>
      <w:r>
        <w:separator/>
      </w:r>
    </w:p>
  </w:footnote>
  <w:footnote w:type="continuationSeparator" w:id="0">
    <w:p w14:paraId="5B97605C" w14:textId="77777777" w:rsidR="005C3766" w:rsidRDefault="005C3766" w:rsidP="00617B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42757" w14:textId="77777777" w:rsidR="0023348A" w:rsidRDefault="00000000">
    <w:pPr>
      <w:pStyle w:val="Header"/>
    </w:pPr>
    <w:r>
      <w:rPr>
        <w:noProof/>
      </w:rPr>
      <w:pict w14:anchorId="0932AF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149891" o:spid="_x0000_s1026" type="#_x0000_t136" style="position:absolute;left:0;text-align:left;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A5100" w14:textId="77777777" w:rsidR="0023348A" w:rsidRDefault="00000000">
    <w:pPr>
      <w:pStyle w:val="Header"/>
    </w:pPr>
    <w:r>
      <w:rPr>
        <w:noProof/>
      </w:rPr>
      <w:pict w14:anchorId="550B0D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149892"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9CD42" w14:textId="77777777" w:rsidR="0023348A" w:rsidRDefault="00000000">
    <w:pPr>
      <w:pStyle w:val="Header"/>
    </w:pPr>
    <w:r>
      <w:rPr>
        <w:noProof/>
      </w:rPr>
      <w:pict w14:anchorId="218AC7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149890" o:spid="_x0000_s1025" type="#_x0000_t136" style="position:absolute;left:0;text-align:left;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607C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AD954C8"/>
    <w:multiLevelType w:val="multilevel"/>
    <w:tmpl w:val="9FF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1619E"/>
    <w:multiLevelType w:val="multilevel"/>
    <w:tmpl w:val="6584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056C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BD931EC"/>
    <w:multiLevelType w:val="multilevel"/>
    <w:tmpl w:val="DBF2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107F3C"/>
    <w:multiLevelType w:val="multilevel"/>
    <w:tmpl w:val="D596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11553A"/>
    <w:multiLevelType w:val="multilevel"/>
    <w:tmpl w:val="C06A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F78D6"/>
    <w:multiLevelType w:val="multilevel"/>
    <w:tmpl w:val="FE68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855FB2"/>
    <w:multiLevelType w:val="multilevel"/>
    <w:tmpl w:val="F794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900641"/>
    <w:multiLevelType w:val="multilevel"/>
    <w:tmpl w:val="3BF8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ED6A71"/>
    <w:multiLevelType w:val="multilevel"/>
    <w:tmpl w:val="963CE890"/>
    <w:lvl w:ilvl="0">
      <w:start w:val="1"/>
      <w:numFmt w:val="upperRoman"/>
      <w:lvlText w:val="%1."/>
      <w:lvlJc w:val="right"/>
      <w:pPr>
        <w:ind w:left="720" w:hanging="360"/>
      </w:pPr>
    </w:lvl>
    <w:lvl w:ilvl="1">
      <w:start w:val="1"/>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8F973CD"/>
    <w:multiLevelType w:val="multilevel"/>
    <w:tmpl w:val="B7BAF5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87395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48F34D8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4A3179E8"/>
    <w:multiLevelType w:val="multilevel"/>
    <w:tmpl w:val="196C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BE1997"/>
    <w:multiLevelType w:val="multilevel"/>
    <w:tmpl w:val="D554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92617C"/>
    <w:multiLevelType w:val="hybridMultilevel"/>
    <w:tmpl w:val="25E67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687E09"/>
    <w:multiLevelType w:val="multilevel"/>
    <w:tmpl w:val="EE8A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234715"/>
    <w:multiLevelType w:val="multilevel"/>
    <w:tmpl w:val="6A2A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4572B7"/>
    <w:multiLevelType w:val="multilevel"/>
    <w:tmpl w:val="45600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8742BA"/>
    <w:multiLevelType w:val="hybridMultilevel"/>
    <w:tmpl w:val="12824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275B19"/>
    <w:multiLevelType w:val="multilevel"/>
    <w:tmpl w:val="1D4A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0B65AA"/>
    <w:multiLevelType w:val="multilevel"/>
    <w:tmpl w:val="987C4A98"/>
    <w:lvl w:ilvl="0">
      <w:start w:val="1"/>
      <w:numFmt w:val="upp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15:restartNumberingAfterBreak="0">
    <w:nsid w:val="750D4AC4"/>
    <w:multiLevelType w:val="multilevel"/>
    <w:tmpl w:val="6D0E480A"/>
    <w:lvl w:ilvl="0">
      <w:start w:val="1"/>
      <w:numFmt w:val="upp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7A9B647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012680145">
    <w:abstractNumId w:val="1"/>
  </w:num>
  <w:num w:numId="2" w16cid:durableId="1721900365">
    <w:abstractNumId w:val="23"/>
  </w:num>
  <w:num w:numId="3" w16cid:durableId="1684430418">
    <w:abstractNumId w:val="22"/>
  </w:num>
  <w:num w:numId="4" w16cid:durableId="173502298">
    <w:abstractNumId w:val="10"/>
  </w:num>
  <w:num w:numId="5" w16cid:durableId="1262370868">
    <w:abstractNumId w:val="5"/>
  </w:num>
  <w:num w:numId="6" w16cid:durableId="37047291">
    <w:abstractNumId w:val="21"/>
  </w:num>
  <w:num w:numId="7" w16cid:durableId="1152673997">
    <w:abstractNumId w:val="8"/>
  </w:num>
  <w:num w:numId="8" w16cid:durableId="2016299777">
    <w:abstractNumId w:val="9"/>
  </w:num>
  <w:num w:numId="9" w16cid:durableId="1640647401">
    <w:abstractNumId w:val="18"/>
  </w:num>
  <w:num w:numId="10" w16cid:durableId="1313407544">
    <w:abstractNumId w:val="16"/>
  </w:num>
  <w:num w:numId="11" w16cid:durableId="2061584994">
    <w:abstractNumId w:val="0"/>
  </w:num>
  <w:num w:numId="12" w16cid:durableId="784619992">
    <w:abstractNumId w:val="24"/>
  </w:num>
  <w:num w:numId="13" w16cid:durableId="1363170261">
    <w:abstractNumId w:val="12"/>
  </w:num>
  <w:num w:numId="14" w16cid:durableId="114256658">
    <w:abstractNumId w:val="3"/>
  </w:num>
  <w:num w:numId="15" w16cid:durableId="283270631">
    <w:abstractNumId w:val="13"/>
  </w:num>
  <w:num w:numId="16" w16cid:durableId="764425083">
    <w:abstractNumId w:val="4"/>
  </w:num>
  <w:num w:numId="17" w16cid:durableId="2011834770">
    <w:abstractNumId w:val="6"/>
  </w:num>
  <w:num w:numId="18" w16cid:durableId="1298536688">
    <w:abstractNumId w:val="19"/>
  </w:num>
  <w:num w:numId="19" w16cid:durableId="915700014">
    <w:abstractNumId w:val="7"/>
  </w:num>
  <w:num w:numId="20" w16cid:durableId="1498884340">
    <w:abstractNumId w:val="17"/>
  </w:num>
  <w:num w:numId="21" w16cid:durableId="883446418">
    <w:abstractNumId w:val="2"/>
  </w:num>
  <w:num w:numId="22" w16cid:durableId="1879001295">
    <w:abstractNumId w:val="15"/>
  </w:num>
  <w:num w:numId="23" w16cid:durableId="42170753">
    <w:abstractNumId w:val="11"/>
  </w:num>
  <w:num w:numId="24" w16cid:durableId="2052537076">
    <w:abstractNumId w:val="20"/>
  </w:num>
  <w:num w:numId="25" w16cid:durableId="7221451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K3NDE2MDIDUpam5ko6SsGpxcWZ+XkgBUa1AOF5ZBAsAAAA"/>
  </w:docVars>
  <w:rsids>
    <w:rsidRoot w:val="00A92A8D"/>
    <w:rsid w:val="0000092B"/>
    <w:rsid w:val="00000D52"/>
    <w:rsid w:val="00001EA7"/>
    <w:rsid w:val="0000268E"/>
    <w:rsid w:val="000074DB"/>
    <w:rsid w:val="0001270A"/>
    <w:rsid w:val="0001390D"/>
    <w:rsid w:val="000162D6"/>
    <w:rsid w:val="00016905"/>
    <w:rsid w:val="0002022F"/>
    <w:rsid w:val="0003747E"/>
    <w:rsid w:val="000411EF"/>
    <w:rsid w:val="000436E7"/>
    <w:rsid w:val="00044B03"/>
    <w:rsid w:val="00046F05"/>
    <w:rsid w:val="0004720D"/>
    <w:rsid w:val="00051557"/>
    <w:rsid w:val="00051B9C"/>
    <w:rsid w:val="00061B40"/>
    <w:rsid w:val="00062D92"/>
    <w:rsid w:val="00065F18"/>
    <w:rsid w:val="0006670F"/>
    <w:rsid w:val="000758F4"/>
    <w:rsid w:val="000831D5"/>
    <w:rsid w:val="00092649"/>
    <w:rsid w:val="00094A3C"/>
    <w:rsid w:val="00094E24"/>
    <w:rsid w:val="000A27D4"/>
    <w:rsid w:val="000A40A2"/>
    <w:rsid w:val="000A6E2A"/>
    <w:rsid w:val="000A79C9"/>
    <w:rsid w:val="000B6BDF"/>
    <w:rsid w:val="000C27B2"/>
    <w:rsid w:val="000C28B2"/>
    <w:rsid w:val="000C4613"/>
    <w:rsid w:val="000D2237"/>
    <w:rsid w:val="000D5CEE"/>
    <w:rsid w:val="000D663C"/>
    <w:rsid w:val="000D7C72"/>
    <w:rsid w:val="000E22DB"/>
    <w:rsid w:val="000E4249"/>
    <w:rsid w:val="000F069B"/>
    <w:rsid w:val="000F0D60"/>
    <w:rsid w:val="000F2D82"/>
    <w:rsid w:val="000F4E8F"/>
    <w:rsid w:val="00103FFB"/>
    <w:rsid w:val="00105C96"/>
    <w:rsid w:val="0010764A"/>
    <w:rsid w:val="00114FC8"/>
    <w:rsid w:val="0011573B"/>
    <w:rsid w:val="00115A00"/>
    <w:rsid w:val="00125E1D"/>
    <w:rsid w:val="00130B8E"/>
    <w:rsid w:val="00130EF0"/>
    <w:rsid w:val="00131E3E"/>
    <w:rsid w:val="001328D3"/>
    <w:rsid w:val="001356EC"/>
    <w:rsid w:val="00136D2E"/>
    <w:rsid w:val="001374A7"/>
    <w:rsid w:val="001376D1"/>
    <w:rsid w:val="00140F2E"/>
    <w:rsid w:val="0014420D"/>
    <w:rsid w:val="0014556F"/>
    <w:rsid w:val="001566E4"/>
    <w:rsid w:val="00162DF2"/>
    <w:rsid w:val="00165550"/>
    <w:rsid w:val="00166271"/>
    <w:rsid w:val="001669E4"/>
    <w:rsid w:val="00166C4E"/>
    <w:rsid w:val="001729C1"/>
    <w:rsid w:val="00173D66"/>
    <w:rsid w:val="001802CF"/>
    <w:rsid w:val="001829CA"/>
    <w:rsid w:val="00190D11"/>
    <w:rsid w:val="00191AE7"/>
    <w:rsid w:val="00193C2A"/>
    <w:rsid w:val="00193F71"/>
    <w:rsid w:val="001A6162"/>
    <w:rsid w:val="001A7EDD"/>
    <w:rsid w:val="001B0325"/>
    <w:rsid w:val="001B1685"/>
    <w:rsid w:val="001B2090"/>
    <w:rsid w:val="001B50B1"/>
    <w:rsid w:val="001B5114"/>
    <w:rsid w:val="001B5793"/>
    <w:rsid w:val="001B7FA5"/>
    <w:rsid w:val="001C12BD"/>
    <w:rsid w:val="001C14BC"/>
    <w:rsid w:val="001C1EDD"/>
    <w:rsid w:val="001C3E8D"/>
    <w:rsid w:val="001C59D6"/>
    <w:rsid w:val="001C7F9C"/>
    <w:rsid w:val="001D4D1D"/>
    <w:rsid w:val="001D5A68"/>
    <w:rsid w:val="001D64B3"/>
    <w:rsid w:val="001E20E5"/>
    <w:rsid w:val="001E7FC0"/>
    <w:rsid w:val="001F0A20"/>
    <w:rsid w:val="001F24CF"/>
    <w:rsid w:val="001F3673"/>
    <w:rsid w:val="001F7553"/>
    <w:rsid w:val="00200AD2"/>
    <w:rsid w:val="00200F0A"/>
    <w:rsid w:val="00215688"/>
    <w:rsid w:val="00220BEC"/>
    <w:rsid w:val="00223252"/>
    <w:rsid w:val="00231F0C"/>
    <w:rsid w:val="00232E69"/>
    <w:rsid w:val="0023348A"/>
    <w:rsid w:val="00236FB6"/>
    <w:rsid w:val="00237ABA"/>
    <w:rsid w:val="002412F4"/>
    <w:rsid w:val="00245277"/>
    <w:rsid w:val="00252DD3"/>
    <w:rsid w:val="00260A0C"/>
    <w:rsid w:val="0026410D"/>
    <w:rsid w:val="002643EC"/>
    <w:rsid w:val="0026647F"/>
    <w:rsid w:val="00271551"/>
    <w:rsid w:val="00276F01"/>
    <w:rsid w:val="002776D5"/>
    <w:rsid w:val="00280B72"/>
    <w:rsid w:val="002919C7"/>
    <w:rsid w:val="002A6033"/>
    <w:rsid w:val="002A75D9"/>
    <w:rsid w:val="002C1F98"/>
    <w:rsid w:val="002C21A1"/>
    <w:rsid w:val="002C7868"/>
    <w:rsid w:val="002D0BD7"/>
    <w:rsid w:val="002E4A24"/>
    <w:rsid w:val="002E60FF"/>
    <w:rsid w:val="002F4188"/>
    <w:rsid w:val="00314A7A"/>
    <w:rsid w:val="0032199D"/>
    <w:rsid w:val="00331BEB"/>
    <w:rsid w:val="0033226E"/>
    <w:rsid w:val="00337907"/>
    <w:rsid w:val="00337F1D"/>
    <w:rsid w:val="003423AB"/>
    <w:rsid w:val="00345847"/>
    <w:rsid w:val="00346C12"/>
    <w:rsid w:val="00347365"/>
    <w:rsid w:val="00350F6F"/>
    <w:rsid w:val="003563F1"/>
    <w:rsid w:val="003606D2"/>
    <w:rsid w:val="00361E07"/>
    <w:rsid w:val="003629D4"/>
    <w:rsid w:val="0037626C"/>
    <w:rsid w:val="003821BC"/>
    <w:rsid w:val="003864BC"/>
    <w:rsid w:val="00391023"/>
    <w:rsid w:val="00391E65"/>
    <w:rsid w:val="00395132"/>
    <w:rsid w:val="00396DC9"/>
    <w:rsid w:val="003A54AB"/>
    <w:rsid w:val="003A5783"/>
    <w:rsid w:val="003A67F9"/>
    <w:rsid w:val="003A7B09"/>
    <w:rsid w:val="003A7F7B"/>
    <w:rsid w:val="003B3722"/>
    <w:rsid w:val="003B3848"/>
    <w:rsid w:val="003B3917"/>
    <w:rsid w:val="003B5ABC"/>
    <w:rsid w:val="003C3E71"/>
    <w:rsid w:val="003C4074"/>
    <w:rsid w:val="003D3228"/>
    <w:rsid w:val="003D6786"/>
    <w:rsid w:val="003E03C6"/>
    <w:rsid w:val="003F0ADB"/>
    <w:rsid w:val="003F3F37"/>
    <w:rsid w:val="00401ED8"/>
    <w:rsid w:val="00405BBC"/>
    <w:rsid w:val="0040613F"/>
    <w:rsid w:val="0041404F"/>
    <w:rsid w:val="004205CB"/>
    <w:rsid w:val="004212C1"/>
    <w:rsid w:val="00432495"/>
    <w:rsid w:val="00432A08"/>
    <w:rsid w:val="00435D61"/>
    <w:rsid w:val="004362FE"/>
    <w:rsid w:val="00440F67"/>
    <w:rsid w:val="0044466A"/>
    <w:rsid w:val="00446FA6"/>
    <w:rsid w:val="00447398"/>
    <w:rsid w:val="00450BC0"/>
    <w:rsid w:val="004547DF"/>
    <w:rsid w:val="004569B1"/>
    <w:rsid w:val="004619AB"/>
    <w:rsid w:val="0046226F"/>
    <w:rsid w:val="0046260E"/>
    <w:rsid w:val="004634DB"/>
    <w:rsid w:val="00464095"/>
    <w:rsid w:val="00464178"/>
    <w:rsid w:val="00465C00"/>
    <w:rsid w:val="00466E49"/>
    <w:rsid w:val="0046774A"/>
    <w:rsid w:val="00472897"/>
    <w:rsid w:val="0047345B"/>
    <w:rsid w:val="00474729"/>
    <w:rsid w:val="004761FE"/>
    <w:rsid w:val="0048197B"/>
    <w:rsid w:val="00491B3D"/>
    <w:rsid w:val="004967F5"/>
    <w:rsid w:val="0049694A"/>
    <w:rsid w:val="004A3AC4"/>
    <w:rsid w:val="004B643B"/>
    <w:rsid w:val="004C1C65"/>
    <w:rsid w:val="004C1DBE"/>
    <w:rsid w:val="004D68E7"/>
    <w:rsid w:val="004E1047"/>
    <w:rsid w:val="004E1464"/>
    <w:rsid w:val="004F1EDE"/>
    <w:rsid w:val="004F381D"/>
    <w:rsid w:val="005034A2"/>
    <w:rsid w:val="00505198"/>
    <w:rsid w:val="00505FE1"/>
    <w:rsid w:val="005067AA"/>
    <w:rsid w:val="00506DF5"/>
    <w:rsid w:val="005074AC"/>
    <w:rsid w:val="00511C03"/>
    <w:rsid w:val="005159C6"/>
    <w:rsid w:val="00516FB2"/>
    <w:rsid w:val="00520BEE"/>
    <w:rsid w:val="00520E6D"/>
    <w:rsid w:val="00521EEF"/>
    <w:rsid w:val="0053268A"/>
    <w:rsid w:val="005344F4"/>
    <w:rsid w:val="00534FC0"/>
    <w:rsid w:val="0054356D"/>
    <w:rsid w:val="00543AE0"/>
    <w:rsid w:val="005458B5"/>
    <w:rsid w:val="0054628B"/>
    <w:rsid w:val="00550ABB"/>
    <w:rsid w:val="00552C9B"/>
    <w:rsid w:val="00574AF8"/>
    <w:rsid w:val="00576B71"/>
    <w:rsid w:val="005801E4"/>
    <w:rsid w:val="0058030D"/>
    <w:rsid w:val="005807E0"/>
    <w:rsid w:val="0059176B"/>
    <w:rsid w:val="0059365E"/>
    <w:rsid w:val="005956B1"/>
    <w:rsid w:val="0059727A"/>
    <w:rsid w:val="005A5F1A"/>
    <w:rsid w:val="005C24AB"/>
    <w:rsid w:val="005C3766"/>
    <w:rsid w:val="005C54EE"/>
    <w:rsid w:val="005C6244"/>
    <w:rsid w:val="005C6D98"/>
    <w:rsid w:val="005D6F39"/>
    <w:rsid w:val="005F1C5F"/>
    <w:rsid w:val="005F3508"/>
    <w:rsid w:val="005F7D3B"/>
    <w:rsid w:val="00601AFC"/>
    <w:rsid w:val="00602171"/>
    <w:rsid w:val="0060509A"/>
    <w:rsid w:val="0061219B"/>
    <w:rsid w:val="00615836"/>
    <w:rsid w:val="00617BDC"/>
    <w:rsid w:val="006216BE"/>
    <w:rsid w:val="00634B37"/>
    <w:rsid w:val="00641673"/>
    <w:rsid w:val="00642C4C"/>
    <w:rsid w:val="00642D9D"/>
    <w:rsid w:val="00657C61"/>
    <w:rsid w:val="00660043"/>
    <w:rsid w:val="006608CF"/>
    <w:rsid w:val="00662413"/>
    <w:rsid w:val="0066362E"/>
    <w:rsid w:val="006642DB"/>
    <w:rsid w:val="00672D83"/>
    <w:rsid w:val="0067506C"/>
    <w:rsid w:val="0067578E"/>
    <w:rsid w:val="00676F46"/>
    <w:rsid w:val="00677953"/>
    <w:rsid w:val="00677FDF"/>
    <w:rsid w:val="00680815"/>
    <w:rsid w:val="00682198"/>
    <w:rsid w:val="00683F05"/>
    <w:rsid w:val="00685C67"/>
    <w:rsid w:val="00687C4F"/>
    <w:rsid w:val="00691A11"/>
    <w:rsid w:val="00693E6A"/>
    <w:rsid w:val="006947EE"/>
    <w:rsid w:val="00696D4A"/>
    <w:rsid w:val="0069741C"/>
    <w:rsid w:val="006974A2"/>
    <w:rsid w:val="006A5E1A"/>
    <w:rsid w:val="006A6814"/>
    <w:rsid w:val="006A733B"/>
    <w:rsid w:val="006B05A0"/>
    <w:rsid w:val="006B0DF4"/>
    <w:rsid w:val="006B0E07"/>
    <w:rsid w:val="006B214C"/>
    <w:rsid w:val="006B743C"/>
    <w:rsid w:val="006C40E7"/>
    <w:rsid w:val="006C53B4"/>
    <w:rsid w:val="006C75C0"/>
    <w:rsid w:val="006D4DC0"/>
    <w:rsid w:val="006E2993"/>
    <w:rsid w:val="006E317D"/>
    <w:rsid w:val="006F6A10"/>
    <w:rsid w:val="0070155A"/>
    <w:rsid w:val="00705DDD"/>
    <w:rsid w:val="0071016C"/>
    <w:rsid w:val="007120CC"/>
    <w:rsid w:val="00713533"/>
    <w:rsid w:val="0071362A"/>
    <w:rsid w:val="0071751E"/>
    <w:rsid w:val="00725117"/>
    <w:rsid w:val="007260BB"/>
    <w:rsid w:val="00726F44"/>
    <w:rsid w:val="00740F82"/>
    <w:rsid w:val="00741C7E"/>
    <w:rsid w:val="00743788"/>
    <w:rsid w:val="00745BB4"/>
    <w:rsid w:val="0075240B"/>
    <w:rsid w:val="00762AE8"/>
    <w:rsid w:val="00763FAC"/>
    <w:rsid w:val="00764BF7"/>
    <w:rsid w:val="00770C2C"/>
    <w:rsid w:val="0077635A"/>
    <w:rsid w:val="00786B61"/>
    <w:rsid w:val="0078726F"/>
    <w:rsid w:val="007904D4"/>
    <w:rsid w:val="00795A21"/>
    <w:rsid w:val="007A2FBA"/>
    <w:rsid w:val="007A536F"/>
    <w:rsid w:val="007A6128"/>
    <w:rsid w:val="007A6919"/>
    <w:rsid w:val="007B16F8"/>
    <w:rsid w:val="007B6AA7"/>
    <w:rsid w:val="007B6DC8"/>
    <w:rsid w:val="007E1D67"/>
    <w:rsid w:val="007F1598"/>
    <w:rsid w:val="00801A1C"/>
    <w:rsid w:val="00804694"/>
    <w:rsid w:val="00804974"/>
    <w:rsid w:val="00806046"/>
    <w:rsid w:val="00812C7D"/>
    <w:rsid w:val="00820924"/>
    <w:rsid w:val="0082119F"/>
    <w:rsid w:val="008241B7"/>
    <w:rsid w:val="0083140C"/>
    <w:rsid w:val="00832CB2"/>
    <w:rsid w:val="0083304C"/>
    <w:rsid w:val="00835005"/>
    <w:rsid w:val="0083506A"/>
    <w:rsid w:val="00837014"/>
    <w:rsid w:val="00842199"/>
    <w:rsid w:val="00842658"/>
    <w:rsid w:val="00850F92"/>
    <w:rsid w:val="008549F4"/>
    <w:rsid w:val="00856654"/>
    <w:rsid w:val="00857417"/>
    <w:rsid w:val="008617FF"/>
    <w:rsid w:val="008717AB"/>
    <w:rsid w:val="00874BDD"/>
    <w:rsid w:val="008750D3"/>
    <w:rsid w:val="00881A20"/>
    <w:rsid w:val="00882056"/>
    <w:rsid w:val="0088287D"/>
    <w:rsid w:val="00891355"/>
    <w:rsid w:val="00891BA5"/>
    <w:rsid w:val="0089620B"/>
    <w:rsid w:val="008A341A"/>
    <w:rsid w:val="008A6400"/>
    <w:rsid w:val="008B0C6C"/>
    <w:rsid w:val="008B4EFF"/>
    <w:rsid w:val="008B506C"/>
    <w:rsid w:val="008D2CDF"/>
    <w:rsid w:val="008D74F5"/>
    <w:rsid w:val="008E4CE4"/>
    <w:rsid w:val="00900478"/>
    <w:rsid w:val="00910D46"/>
    <w:rsid w:val="00916716"/>
    <w:rsid w:val="009168CD"/>
    <w:rsid w:val="0091699A"/>
    <w:rsid w:val="0092059F"/>
    <w:rsid w:val="00921740"/>
    <w:rsid w:val="009310C2"/>
    <w:rsid w:val="009419C3"/>
    <w:rsid w:val="00944792"/>
    <w:rsid w:val="00946E90"/>
    <w:rsid w:val="009641AC"/>
    <w:rsid w:val="009670C9"/>
    <w:rsid w:val="00975974"/>
    <w:rsid w:val="00977BA7"/>
    <w:rsid w:val="00984435"/>
    <w:rsid w:val="00986922"/>
    <w:rsid w:val="00991750"/>
    <w:rsid w:val="009A2F88"/>
    <w:rsid w:val="009C3BA6"/>
    <w:rsid w:val="009C7291"/>
    <w:rsid w:val="009C785A"/>
    <w:rsid w:val="009E3E57"/>
    <w:rsid w:val="009E40F3"/>
    <w:rsid w:val="009E6612"/>
    <w:rsid w:val="009F0DBE"/>
    <w:rsid w:val="009F320B"/>
    <w:rsid w:val="009F4FDA"/>
    <w:rsid w:val="009F61C4"/>
    <w:rsid w:val="009F636F"/>
    <w:rsid w:val="00A014E5"/>
    <w:rsid w:val="00A059E7"/>
    <w:rsid w:val="00A078AB"/>
    <w:rsid w:val="00A1016D"/>
    <w:rsid w:val="00A12C15"/>
    <w:rsid w:val="00A15874"/>
    <w:rsid w:val="00A20A61"/>
    <w:rsid w:val="00A20C3E"/>
    <w:rsid w:val="00A21CA4"/>
    <w:rsid w:val="00A22AE5"/>
    <w:rsid w:val="00A23DC2"/>
    <w:rsid w:val="00A411D4"/>
    <w:rsid w:val="00A4551C"/>
    <w:rsid w:val="00A53045"/>
    <w:rsid w:val="00A6082B"/>
    <w:rsid w:val="00A62454"/>
    <w:rsid w:val="00A66558"/>
    <w:rsid w:val="00A727FF"/>
    <w:rsid w:val="00A77A84"/>
    <w:rsid w:val="00A80ABA"/>
    <w:rsid w:val="00A82369"/>
    <w:rsid w:val="00A83DF7"/>
    <w:rsid w:val="00A906C8"/>
    <w:rsid w:val="00A92A8D"/>
    <w:rsid w:val="00A93723"/>
    <w:rsid w:val="00A93ED0"/>
    <w:rsid w:val="00A97D23"/>
    <w:rsid w:val="00AA0AE9"/>
    <w:rsid w:val="00AA24DF"/>
    <w:rsid w:val="00AA48F4"/>
    <w:rsid w:val="00AA6561"/>
    <w:rsid w:val="00AB2706"/>
    <w:rsid w:val="00AC2619"/>
    <w:rsid w:val="00AC3702"/>
    <w:rsid w:val="00AC62A3"/>
    <w:rsid w:val="00AD0B0D"/>
    <w:rsid w:val="00AD4B9C"/>
    <w:rsid w:val="00AD71BD"/>
    <w:rsid w:val="00AE3D66"/>
    <w:rsid w:val="00AE6485"/>
    <w:rsid w:val="00AF4935"/>
    <w:rsid w:val="00B01806"/>
    <w:rsid w:val="00B04BA7"/>
    <w:rsid w:val="00B114B0"/>
    <w:rsid w:val="00B240C8"/>
    <w:rsid w:val="00B25ADD"/>
    <w:rsid w:val="00B276D9"/>
    <w:rsid w:val="00B3455E"/>
    <w:rsid w:val="00B35C53"/>
    <w:rsid w:val="00B4084E"/>
    <w:rsid w:val="00B45D55"/>
    <w:rsid w:val="00B47EC8"/>
    <w:rsid w:val="00B52C9B"/>
    <w:rsid w:val="00B6034D"/>
    <w:rsid w:val="00B6300E"/>
    <w:rsid w:val="00B66043"/>
    <w:rsid w:val="00B67528"/>
    <w:rsid w:val="00B71A82"/>
    <w:rsid w:val="00B72DDB"/>
    <w:rsid w:val="00B77437"/>
    <w:rsid w:val="00B82D28"/>
    <w:rsid w:val="00B854A7"/>
    <w:rsid w:val="00B85C7C"/>
    <w:rsid w:val="00B90231"/>
    <w:rsid w:val="00B911BC"/>
    <w:rsid w:val="00B924C9"/>
    <w:rsid w:val="00B976A2"/>
    <w:rsid w:val="00BA09EC"/>
    <w:rsid w:val="00BA548E"/>
    <w:rsid w:val="00BA77D7"/>
    <w:rsid w:val="00BB0D8E"/>
    <w:rsid w:val="00BB6098"/>
    <w:rsid w:val="00BB63B3"/>
    <w:rsid w:val="00BB6FFB"/>
    <w:rsid w:val="00BC3C48"/>
    <w:rsid w:val="00BD12A7"/>
    <w:rsid w:val="00BD1FC3"/>
    <w:rsid w:val="00BD30D7"/>
    <w:rsid w:val="00BD52A8"/>
    <w:rsid w:val="00BE1656"/>
    <w:rsid w:val="00BE7099"/>
    <w:rsid w:val="00BF3AE7"/>
    <w:rsid w:val="00C00E24"/>
    <w:rsid w:val="00C0119C"/>
    <w:rsid w:val="00C01FFE"/>
    <w:rsid w:val="00C1039F"/>
    <w:rsid w:val="00C131FE"/>
    <w:rsid w:val="00C152C9"/>
    <w:rsid w:val="00C2286C"/>
    <w:rsid w:val="00C24D99"/>
    <w:rsid w:val="00C26922"/>
    <w:rsid w:val="00C3011A"/>
    <w:rsid w:val="00C34D5B"/>
    <w:rsid w:val="00C352A0"/>
    <w:rsid w:val="00C377CD"/>
    <w:rsid w:val="00C4366B"/>
    <w:rsid w:val="00C54464"/>
    <w:rsid w:val="00C72BA5"/>
    <w:rsid w:val="00C73D75"/>
    <w:rsid w:val="00C740A9"/>
    <w:rsid w:val="00C75094"/>
    <w:rsid w:val="00C76899"/>
    <w:rsid w:val="00C806ED"/>
    <w:rsid w:val="00C84C7E"/>
    <w:rsid w:val="00C940BB"/>
    <w:rsid w:val="00C976BC"/>
    <w:rsid w:val="00CA0EE9"/>
    <w:rsid w:val="00CA3807"/>
    <w:rsid w:val="00CA5D6C"/>
    <w:rsid w:val="00CA6081"/>
    <w:rsid w:val="00CB0DBC"/>
    <w:rsid w:val="00CB125A"/>
    <w:rsid w:val="00CC01C2"/>
    <w:rsid w:val="00CC4AA0"/>
    <w:rsid w:val="00CD03B9"/>
    <w:rsid w:val="00CD12C3"/>
    <w:rsid w:val="00CD28D4"/>
    <w:rsid w:val="00CD3438"/>
    <w:rsid w:val="00CD3782"/>
    <w:rsid w:val="00CD54C0"/>
    <w:rsid w:val="00CE1094"/>
    <w:rsid w:val="00CE1E0A"/>
    <w:rsid w:val="00CE7AA6"/>
    <w:rsid w:val="00CF1FAA"/>
    <w:rsid w:val="00CF3357"/>
    <w:rsid w:val="00CF3A38"/>
    <w:rsid w:val="00CF7EF5"/>
    <w:rsid w:val="00D02B76"/>
    <w:rsid w:val="00D02CF7"/>
    <w:rsid w:val="00D22EC3"/>
    <w:rsid w:val="00D317D9"/>
    <w:rsid w:val="00D31F6A"/>
    <w:rsid w:val="00D47A82"/>
    <w:rsid w:val="00D519FD"/>
    <w:rsid w:val="00D526B7"/>
    <w:rsid w:val="00D54015"/>
    <w:rsid w:val="00D61E96"/>
    <w:rsid w:val="00D63BED"/>
    <w:rsid w:val="00D64C08"/>
    <w:rsid w:val="00D67F5E"/>
    <w:rsid w:val="00D71767"/>
    <w:rsid w:val="00D71E28"/>
    <w:rsid w:val="00D7533C"/>
    <w:rsid w:val="00D7594B"/>
    <w:rsid w:val="00D81E57"/>
    <w:rsid w:val="00D85E51"/>
    <w:rsid w:val="00D85F10"/>
    <w:rsid w:val="00D877A5"/>
    <w:rsid w:val="00D94F5E"/>
    <w:rsid w:val="00D960ED"/>
    <w:rsid w:val="00DA2AC0"/>
    <w:rsid w:val="00DB3A12"/>
    <w:rsid w:val="00DB5C67"/>
    <w:rsid w:val="00DD21B3"/>
    <w:rsid w:val="00DD2BFA"/>
    <w:rsid w:val="00DD68BD"/>
    <w:rsid w:val="00DE2038"/>
    <w:rsid w:val="00DE2BA3"/>
    <w:rsid w:val="00DE413F"/>
    <w:rsid w:val="00DE4E3B"/>
    <w:rsid w:val="00DE5A0A"/>
    <w:rsid w:val="00DF5D6A"/>
    <w:rsid w:val="00DF7053"/>
    <w:rsid w:val="00E05079"/>
    <w:rsid w:val="00E120D8"/>
    <w:rsid w:val="00E135B3"/>
    <w:rsid w:val="00E224A2"/>
    <w:rsid w:val="00E247FF"/>
    <w:rsid w:val="00E252E5"/>
    <w:rsid w:val="00E30279"/>
    <w:rsid w:val="00E30FEE"/>
    <w:rsid w:val="00E41947"/>
    <w:rsid w:val="00E42CAC"/>
    <w:rsid w:val="00E44D14"/>
    <w:rsid w:val="00E46613"/>
    <w:rsid w:val="00E51AB5"/>
    <w:rsid w:val="00E57F04"/>
    <w:rsid w:val="00E60294"/>
    <w:rsid w:val="00E61E67"/>
    <w:rsid w:val="00E6516C"/>
    <w:rsid w:val="00E660D8"/>
    <w:rsid w:val="00E66968"/>
    <w:rsid w:val="00E71D3D"/>
    <w:rsid w:val="00E75579"/>
    <w:rsid w:val="00E77C77"/>
    <w:rsid w:val="00E8488C"/>
    <w:rsid w:val="00E84F99"/>
    <w:rsid w:val="00E8718B"/>
    <w:rsid w:val="00E87222"/>
    <w:rsid w:val="00E9282F"/>
    <w:rsid w:val="00E95B84"/>
    <w:rsid w:val="00EA25BF"/>
    <w:rsid w:val="00EA3C58"/>
    <w:rsid w:val="00EB0AF5"/>
    <w:rsid w:val="00EB4377"/>
    <w:rsid w:val="00EC2CCA"/>
    <w:rsid w:val="00EC6948"/>
    <w:rsid w:val="00ED4422"/>
    <w:rsid w:val="00ED5AAF"/>
    <w:rsid w:val="00EE001D"/>
    <w:rsid w:val="00EE0090"/>
    <w:rsid w:val="00EE0641"/>
    <w:rsid w:val="00EE1A10"/>
    <w:rsid w:val="00EE1DC8"/>
    <w:rsid w:val="00EF3609"/>
    <w:rsid w:val="00F02B97"/>
    <w:rsid w:val="00F06C67"/>
    <w:rsid w:val="00F13A3F"/>
    <w:rsid w:val="00F1474B"/>
    <w:rsid w:val="00F15CCE"/>
    <w:rsid w:val="00F161DD"/>
    <w:rsid w:val="00F17750"/>
    <w:rsid w:val="00F20E3C"/>
    <w:rsid w:val="00F25E9D"/>
    <w:rsid w:val="00F25FBA"/>
    <w:rsid w:val="00F26520"/>
    <w:rsid w:val="00F26983"/>
    <w:rsid w:val="00F36214"/>
    <w:rsid w:val="00F4142D"/>
    <w:rsid w:val="00F451FE"/>
    <w:rsid w:val="00F45EF0"/>
    <w:rsid w:val="00F50634"/>
    <w:rsid w:val="00F529EC"/>
    <w:rsid w:val="00F532E6"/>
    <w:rsid w:val="00F54B5E"/>
    <w:rsid w:val="00F55354"/>
    <w:rsid w:val="00F5547A"/>
    <w:rsid w:val="00F66B9B"/>
    <w:rsid w:val="00F6772A"/>
    <w:rsid w:val="00F715F4"/>
    <w:rsid w:val="00F73EB5"/>
    <w:rsid w:val="00F75C37"/>
    <w:rsid w:val="00F76657"/>
    <w:rsid w:val="00F8359D"/>
    <w:rsid w:val="00F83AC5"/>
    <w:rsid w:val="00F977C8"/>
    <w:rsid w:val="00FA20CC"/>
    <w:rsid w:val="00FB3E7E"/>
    <w:rsid w:val="00FB7689"/>
    <w:rsid w:val="00FC689C"/>
    <w:rsid w:val="00FC6956"/>
    <w:rsid w:val="00FC698B"/>
    <w:rsid w:val="00FD0C3E"/>
    <w:rsid w:val="00FD5895"/>
    <w:rsid w:val="00FF3C52"/>
    <w:rsid w:val="00FF4031"/>
    <w:rsid w:val="00FF4169"/>
    <w:rsid w:val="00FF4ECA"/>
    <w:rsid w:val="00FF50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4E9BF"/>
  <w15:docId w15:val="{8C84EC40-42DD-4551-B0A2-C7EB56424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AC"/>
  </w:style>
  <w:style w:type="paragraph" w:styleId="Heading1">
    <w:name w:val="heading 1"/>
    <w:basedOn w:val="Normal"/>
    <w:next w:val="Normal"/>
    <w:uiPriority w:val="9"/>
    <w:qFormat/>
    <w:rsid w:val="00AF4935"/>
    <w:pPr>
      <w:jc w:val="center"/>
      <w:outlineLvl w:val="0"/>
    </w:pPr>
    <w:rPr>
      <w:b/>
      <w:bCs/>
    </w:rPr>
  </w:style>
  <w:style w:type="paragraph" w:styleId="Heading2">
    <w:name w:val="heading 2"/>
    <w:basedOn w:val="Normal"/>
    <w:next w:val="Normal"/>
    <w:link w:val="Heading2Char"/>
    <w:uiPriority w:val="9"/>
    <w:unhideWhenUsed/>
    <w:qFormat/>
    <w:rsid w:val="00B66043"/>
    <w:pPr>
      <w:keepNext/>
      <w:keepLines/>
      <w:spacing w:before="200"/>
      <w:outlineLvl w:val="1"/>
    </w:pPr>
    <w:rPr>
      <w:rFonts w:eastAsia="Cambria" w:cs="Cambria"/>
      <w:b/>
      <w:bCs/>
      <w:color w:val="000000" w:themeColor="text1"/>
      <w:szCs w:val="26"/>
    </w:rPr>
  </w:style>
  <w:style w:type="paragraph" w:styleId="Heading3">
    <w:name w:val="heading 3"/>
    <w:basedOn w:val="Normal"/>
    <w:next w:val="Normal"/>
    <w:link w:val="Heading3Char"/>
    <w:uiPriority w:val="9"/>
    <w:unhideWhenUsed/>
    <w:qFormat/>
    <w:rsid w:val="003A7F7B"/>
    <w:pPr>
      <w:spacing w:line="240" w:lineRule="auto"/>
      <w:outlineLvl w:val="2"/>
    </w:pPr>
    <w:rPr>
      <w:b/>
      <w:bCs/>
      <w:color w:val="000000" w:themeColor="text1"/>
      <w:szCs w:val="27"/>
    </w:rPr>
  </w:style>
  <w:style w:type="paragraph" w:styleId="Heading4">
    <w:name w:val="heading 4"/>
    <w:basedOn w:val="Normal"/>
    <w:next w:val="Normal"/>
    <w:uiPriority w:val="9"/>
    <w:unhideWhenUsed/>
    <w:qFormat/>
    <w:rsid w:val="00B4084E"/>
    <w:pPr>
      <w:keepNext/>
      <w:keepLines/>
      <w:spacing w:before="120" w:after="120"/>
      <w:outlineLvl w:val="3"/>
    </w:pPr>
    <w:rPr>
      <w:b/>
      <w:bCs/>
      <w:color w:val="000000" w:themeColor="text1"/>
    </w:rPr>
  </w:style>
  <w:style w:type="paragraph" w:styleId="Heading5">
    <w:name w:val="heading 5"/>
    <w:basedOn w:val="Normal"/>
    <w:next w:val="Normal"/>
    <w:uiPriority w:val="9"/>
    <w:semiHidden/>
    <w:unhideWhenUsed/>
    <w:qFormat/>
    <w:pPr>
      <w:keepNext/>
      <w:keepLines/>
      <w:spacing w:before="200"/>
      <w:outlineLvl w:val="4"/>
    </w:pPr>
    <w:rPr>
      <w:color w:val="000000"/>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3">
    <w:name w:val="3"/>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2">
    <w:name w:val="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1">
    <w:name w:val="1"/>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396DC9"/>
  </w:style>
  <w:style w:type="character" w:styleId="Strong">
    <w:name w:val="Strong"/>
    <w:basedOn w:val="DefaultParagraphFont"/>
    <w:uiPriority w:val="22"/>
    <w:qFormat/>
    <w:rsid w:val="00A12C15"/>
    <w:rPr>
      <w:b/>
      <w:bCs/>
    </w:rPr>
  </w:style>
  <w:style w:type="character" w:customStyle="1" w:styleId="Heading3Char">
    <w:name w:val="Heading 3 Char"/>
    <w:basedOn w:val="DefaultParagraphFont"/>
    <w:link w:val="Heading3"/>
    <w:uiPriority w:val="9"/>
    <w:rsid w:val="003A7F7B"/>
    <w:rPr>
      <w:b/>
      <w:bCs/>
      <w:color w:val="000000" w:themeColor="text1"/>
      <w:szCs w:val="27"/>
    </w:rPr>
  </w:style>
  <w:style w:type="paragraph" w:styleId="ListParagraph">
    <w:name w:val="List Paragraph"/>
    <w:basedOn w:val="Normal"/>
    <w:uiPriority w:val="34"/>
    <w:qFormat/>
    <w:rsid w:val="00A12C15"/>
    <w:pPr>
      <w:ind w:left="720"/>
      <w:contextualSpacing/>
    </w:pPr>
  </w:style>
  <w:style w:type="paragraph" w:styleId="Header">
    <w:name w:val="header"/>
    <w:basedOn w:val="Normal"/>
    <w:link w:val="HeaderChar"/>
    <w:uiPriority w:val="99"/>
    <w:unhideWhenUsed/>
    <w:rsid w:val="00617BDC"/>
    <w:pPr>
      <w:tabs>
        <w:tab w:val="center" w:pos="4680"/>
        <w:tab w:val="right" w:pos="9360"/>
      </w:tabs>
      <w:spacing w:line="240" w:lineRule="auto"/>
    </w:pPr>
  </w:style>
  <w:style w:type="character" w:customStyle="1" w:styleId="HeaderChar">
    <w:name w:val="Header Char"/>
    <w:basedOn w:val="DefaultParagraphFont"/>
    <w:link w:val="Header"/>
    <w:uiPriority w:val="99"/>
    <w:rsid w:val="00617BDC"/>
  </w:style>
  <w:style w:type="paragraph" w:styleId="Footer">
    <w:name w:val="footer"/>
    <w:basedOn w:val="Normal"/>
    <w:link w:val="FooterChar"/>
    <w:uiPriority w:val="99"/>
    <w:unhideWhenUsed/>
    <w:rsid w:val="00617BDC"/>
    <w:pPr>
      <w:tabs>
        <w:tab w:val="center" w:pos="4680"/>
        <w:tab w:val="right" w:pos="9360"/>
      </w:tabs>
      <w:spacing w:line="240" w:lineRule="auto"/>
    </w:pPr>
  </w:style>
  <w:style w:type="character" w:customStyle="1" w:styleId="FooterChar">
    <w:name w:val="Footer Char"/>
    <w:basedOn w:val="DefaultParagraphFont"/>
    <w:link w:val="Footer"/>
    <w:uiPriority w:val="99"/>
    <w:rsid w:val="00617BDC"/>
  </w:style>
  <w:style w:type="paragraph" w:styleId="TOCHeading">
    <w:name w:val="TOC Heading"/>
    <w:basedOn w:val="Heading1"/>
    <w:next w:val="Normal"/>
    <w:uiPriority w:val="39"/>
    <w:unhideWhenUsed/>
    <w:qFormat/>
    <w:rsid w:val="002643EC"/>
    <w:pPr>
      <w:keepNext/>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2643EC"/>
    <w:pPr>
      <w:spacing w:after="100"/>
    </w:pPr>
  </w:style>
  <w:style w:type="paragraph" w:styleId="TOC2">
    <w:name w:val="toc 2"/>
    <w:basedOn w:val="Normal"/>
    <w:next w:val="Normal"/>
    <w:autoRedefine/>
    <w:uiPriority w:val="39"/>
    <w:unhideWhenUsed/>
    <w:rsid w:val="002643EC"/>
    <w:pPr>
      <w:spacing w:after="100"/>
      <w:ind w:left="240"/>
    </w:pPr>
  </w:style>
  <w:style w:type="paragraph" w:styleId="TOC3">
    <w:name w:val="toc 3"/>
    <w:basedOn w:val="Normal"/>
    <w:next w:val="Normal"/>
    <w:autoRedefine/>
    <w:uiPriority w:val="39"/>
    <w:unhideWhenUsed/>
    <w:rsid w:val="002643EC"/>
    <w:pPr>
      <w:spacing w:after="100"/>
      <w:ind w:left="480"/>
    </w:pPr>
  </w:style>
  <w:style w:type="paragraph" w:styleId="TOC4">
    <w:name w:val="toc 4"/>
    <w:basedOn w:val="Normal"/>
    <w:next w:val="Normal"/>
    <w:autoRedefine/>
    <w:uiPriority w:val="39"/>
    <w:unhideWhenUsed/>
    <w:rsid w:val="002643EC"/>
    <w:pPr>
      <w:spacing w:after="100" w:line="278" w:lineRule="auto"/>
      <w:ind w:left="720"/>
      <w:jc w:val="left"/>
    </w:pPr>
    <w:rPr>
      <w:rFonts w:asciiTheme="minorHAnsi" w:eastAsiaTheme="minorEastAsia" w:hAnsiTheme="minorHAnsi" w:cstheme="minorBidi"/>
      <w:kern w:val="2"/>
      <w:lang w:val="en-US"/>
      <w14:ligatures w14:val="standardContextual"/>
    </w:rPr>
  </w:style>
  <w:style w:type="paragraph" w:styleId="TOC5">
    <w:name w:val="toc 5"/>
    <w:basedOn w:val="Normal"/>
    <w:next w:val="Normal"/>
    <w:autoRedefine/>
    <w:uiPriority w:val="39"/>
    <w:unhideWhenUsed/>
    <w:rsid w:val="002643EC"/>
    <w:pPr>
      <w:spacing w:after="100" w:line="278" w:lineRule="auto"/>
      <w:ind w:left="960"/>
      <w:jc w:val="left"/>
    </w:pPr>
    <w:rPr>
      <w:rFonts w:asciiTheme="minorHAnsi" w:eastAsiaTheme="minorEastAsia" w:hAnsiTheme="minorHAnsi" w:cstheme="minorBidi"/>
      <w:kern w:val="2"/>
      <w:lang w:val="en-US"/>
      <w14:ligatures w14:val="standardContextual"/>
    </w:rPr>
  </w:style>
  <w:style w:type="paragraph" w:styleId="TOC6">
    <w:name w:val="toc 6"/>
    <w:basedOn w:val="Normal"/>
    <w:next w:val="Normal"/>
    <w:autoRedefine/>
    <w:uiPriority w:val="39"/>
    <w:unhideWhenUsed/>
    <w:rsid w:val="002643EC"/>
    <w:pPr>
      <w:spacing w:after="100" w:line="278" w:lineRule="auto"/>
      <w:ind w:left="1200"/>
      <w:jc w:val="left"/>
    </w:pPr>
    <w:rPr>
      <w:rFonts w:asciiTheme="minorHAnsi" w:eastAsiaTheme="minorEastAsia" w:hAnsiTheme="minorHAnsi" w:cstheme="minorBidi"/>
      <w:kern w:val="2"/>
      <w:lang w:val="en-US"/>
      <w14:ligatures w14:val="standardContextual"/>
    </w:rPr>
  </w:style>
  <w:style w:type="paragraph" w:styleId="TOC7">
    <w:name w:val="toc 7"/>
    <w:basedOn w:val="Normal"/>
    <w:next w:val="Normal"/>
    <w:autoRedefine/>
    <w:uiPriority w:val="39"/>
    <w:unhideWhenUsed/>
    <w:rsid w:val="002643EC"/>
    <w:pPr>
      <w:spacing w:after="100" w:line="278" w:lineRule="auto"/>
      <w:ind w:left="1440"/>
      <w:jc w:val="left"/>
    </w:pPr>
    <w:rPr>
      <w:rFonts w:asciiTheme="minorHAnsi" w:eastAsiaTheme="minorEastAsia" w:hAnsiTheme="minorHAnsi" w:cstheme="minorBidi"/>
      <w:kern w:val="2"/>
      <w:lang w:val="en-US"/>
      <w14:ligatures w14:val="standardContextual"/>
    </w:rPr>
  </w:style>
  <w:style w:type="paragraph" w:styleId="TOC8">
    <w:name w:val="toc 8"/>
    <w:basedOn w:val="Normal"/>
    <w:next w:val="Normal"/>
    <w:autoRedefine/>
    <w:uiPriority w:val="39"/>
    <w:unhideWhenUsed/>
    <w:rsid w:val="002643EC"/>
    <w:pPr>
      <w:spacing w:after="100" w:line="278" w:lineRule="auto"/>
      <w:ind w:left="1680"/>
      <w:jc w:val="left"/>
    </w:pPr>
    <w:rPr>
      <w:rFonts w:asciiTheme="minorHAnsi" w:eastAsiaTheme="minorEastAsia" w:hAnsiTheme="minorHAnsi" w:cstheme="minorBidi"/>
      <w:kern w:val="2"/>
      <w:lang w:val="en-US"/>
      <w14:ligatures w14:val="standardContextual"/>
    </w:rPr>
  </w:style>
  <w:style w:type="paragraph" w:styleId="TOC9">
    <w:name w:val="toc 9"/>
    <w:basedOn w:val="Normal"/>
    <w:next w:val="Normal"/>
    <w:autoRedefine/>
    <w:uiPriority w:val="39"/>
    <w:unhideWhenUsed/>
    <w:rsid w:val="002643EC"/>
    <w:pPr>
      <w:spacing w:after="100" w:line="278" w:lineRule="auto"/>
      <w:ind w:left="1920"/>
      <w:jc w:val="left"/>
    </w:pPr>
    <w:rPr>
      <w:rFonts w:asciiTheme="minorHAnsi" w:eastAsiaTheme="minorEastAsia" w:hAnsiTheme="minorHAnsi" w:cstheme="minorBidi"/>
      <w:kern w:val="2"/>
      <w:lang w:val="en-US"/>
      <w14:ligatures w14:val="standardContextual"/>
    </w:rPr>
  </w:style>
  <w:style w:type="character" w:styleId="Hyperlink">
    <w:name w:val="Hyperlink"/>
    <w:basedOn w:val="DefaultParagraphFont"/>
    <w:uiPriority w:val="99"/>
    <w:unhideWhenUsed/>
    <w:rsid w:val="002643EC"/>
    <w:rPr>
      <w:color w:val="0000FF" w:themeColor="hyperlink"/>
      <w:u w:val="single"/>
    </w:rPr>
  </w:style>
  <w:style w:type="character" w:styleId="UnresolvedMention">
    <w:name w:val="Unresolved Mention"/>
    <w:basedOn w:val="DefaultParagraphFont"/>
    <w:uiPriority w:val="99"/>
    <w:semiHidden/>
    <w:unhideWhenUsed/>
    <w:rsid w:val="002643EC"/>
    <w:rPr>
      <w:color w:val="605E5C"/>
      <w:shd w:val="clear" w:color="auto" w:fill="E1DFDD"/>
    </w:rPr>
  </w:style>
  <w:style w:type="paragraph" w:styleId="Caption">
    <w:name w:val="caption"/>
    <w:basedOn w:val="Normal"/>
    <w:next w:val="Normal"/>
    <w:uiPriority w:val="35"/>
    <w:unhideWhenUsed/>
    <w:qFormat/>
    <w:rsid w:val="00391023"/>
    <w:pPr>
      <w:spacing w:after="200" w:line="240" w:lineRule="auto"/>
    </w:pPr>
    <w:rPr>
      <w:iCs/>
      <w:color w:val="000000" w:themeColor="text1"/>
      <w:szCs w:val="18"/>
    </w:rPr>
  </w:style>
  <w:style w:type="paragraph" w:styleId="TableofFigures">
    <w:name w:val="table of figures"/>
    <w:basedOn w:val="Normal"/>
    <w:next w:val="Normal"/>
    <w:uiPriority w:val="99"/>
    <w:unhideWhenUsed/>
    <w:rsid w:val="00842658"/>
  </w:style>
  <w:style w:type="paragraph" w:styleId="NoSpacing">
    <w:name w:val="No Spacing"/>
    <w:uiPriority w:val="1"/>
    <w:qFormat/>
    <w:rsid w:val="0059365E"/>
    <w:pPr>
      <w:spacing w:line="240" w:lineRule="auto"/>
    </w:pPr>
  </w:style>
  <w:style w:type="character" w:customStyle="1" w:styleId="Heading2Char">
    <w:name w:val="Heading 2 Char"/>
    <w:basedOn w:val="DefaultParagraphFont"/>
    <w:link w:val="Heading2"/>
    <w:uiPriority w:val="9"/>
    <w:rsid w:val="00B240C8"/>
    <w:rPr>
      <w:rFonts w:eastAsia="Cambria" w:cs="Cambria"/>
      <w:b/>
      <w:bCs/>
      <w:color w:val="000000" w:themeColor="text1"/>
      <w:szCs w:val="26"/>
    </w:rPr>
  </w:style>
  <w:style w:type="table" w:styleId="ListTable5Dark-Accent3">
    <w:name w:val="List Table 5 Dark Accent 3"/>
    <w:basedOn w:val="TableNormal"/>
    <w:uiPriority w:val="50"/>
    <w:rsid w:val="005344F4"/>
    <w:pPr>
      <w:spacing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
    <w:name w:val="Grid Table 2"/>
    <w:basedOn w:val="TableNormal"/>
    <w:uiPriority w:val="47"/>
    <w:rsid w:val="005344F4"/>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EC6948"/>
    <w:pPr>
      <w:spacing w:line="240" w:lineRule="auto"/>
      <w:jc w:val="left"/>
    </w:pPr>
  </w:style>
  <w:style w:type="character" w:styleId="CommentReference">
    <w:name w:val="annotation reference"/>
    <w:basedOn w:val="DefaultParagraphFont"/>
    <w:uiPriority w:val="99"/>
    <w:semiHidden/>
    <w:unhideWhenUsed/>
    <w:rsid w:val="00EC6948"/>
    <w:rPr>
      <w:sz w:val="16"/>
      <w:szCs w:val="16"/>
    </w:rPr>
  </w:style>
  <w:style w:type="paragraph" w:styleId="CommentText">
    <w:name w:val="annotation text"/>
    <w:basedOn w:val="Normal"/>
    <w:link w:val="CommentTextChar"/>
    <w:uiPriority w:val="99"/>
    <w:semiHidden/>
    <w:unhideWhenUsed/>
    <w:rsid w:val="00EC6948"/>
    <w:pPr>
      <w:spacing w:line="240" w:lineRule="auto"/>
    </w:pPr>
    <w:rPr>
      <w:sz w:val="20"/>
      <w:szCs w:val="20"/>
    </w:rPr>
  </w:style>
  <w:style w:type="character" w:customStyle="1" w:styleId="CommentTextChar">
    <w:name w:val="Comment Text Char"/>
    <w:basedOn w:val="DefaultParagraphFont"/>
    <w:link w:val="CommentText"/>
    <w:uiPriority w:val="99"/>
    <w:semiHidden/>
    <w:rsid w:val="00EC6948"/>
    <w:rPr>
      <w:sz w:val="20"/>
      <w:szCs w:val="20"/>
    </w:rPr>
  </w:style>
  <w:style w:type="paragraph" w:styleId="CommentSubject">
    <w:name w:val="annotation subject"/>
    <w:basedOn w:val="CommentText"/>
    <w:next w:val="CommentText"/>
    <w:link w:val="CommentSubjectChar"/>
    <w:uiPriority w:val="99"/>
    <w:semiHidden/>
    <w:unhideWhenUsed/>
    <w:rsid w:val="00EC6948"/>
    <w:rPr>
      <w:b/>
      <w:bCs/>
    </w:rPr>
  </w:style>
  <w:style w:type="character" w:customStyle="1" w:styleId="CommentSubjectChar">
    <w:name w:val="Comment Subject Char"/>
    <w:basedOn w:val="CommentTextChar"/>
    <w:link w:val="CommentSubject"/>
    <w:uiPriority w:val="99"/>
    <w:semiHidden/>
    <w:rsid w:val="00EC6948"/>
    <w:rPr>
      <w:b/>
      <w:bCs/>
      <w:sz w:val="20"/>
      <w:szCs w:val="20"/>
    </w:rPr>
  </w:style>
  <w:style w:type="paragraph" w:customStyle="1" w:styleId="pdq2pgselectionanchorcontainer">
    <w:name w:val="pdq2pg_selectionanchorcontainer"/>
    <w:basedOn w:val="Normal"/>
    <w:rsid w:val="00ED4422"/>
    <w:pPr>
      <w:spacing w:before="100" w:beforeAutospacing="1" w:after="100" w:afterAutospacing="1" w:line="240" w:lineRule="auto"/>
      <w:jc w:val="left"/>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3390/ijms23116348?utm_source=chatgpt.com" TargetMode="External"/><Relationship Id="rId18" Type="http://schemas.openxmlformats.org/officeDocument/2006/relationships/hyperlink" Target="https://doi.org/10.52679/tabcj.2024.0007"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https://doi.org/10.1007/s44274-024-00121-6?utm_source=chatgpt.com"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doi.org/10.3390/toxics13030151"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oi.org/10.1038/s41598-023-35494-w?utm_source=chatgpt.com" TargetMode="External"/><Relationship Id="rId20" Type="http://schemas.openxmlformats.org/officeDocument/2006/relationships/hyperlink" Target="https://doi.org/10.3390/jcm1204145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ncbi.nlm.nih.gov/books/NBK545187/?utm_source=chatgpt.co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yperlink" Target="https://doi.org/10.3389/fendo.2023.1324993"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doi.org/10.1016/j.ecoenv.2025.118574" TargetMode="External"/><Relationship Id="rId22" Type="http://schemas.openxmlformats.org/officeDocument/2006/relationships/hyperlink" Target="https://doi.org/10.1210/endrev/bnaa010" TargetMode="External"/><Relationship Id="rId27" Type="http://schemas.openxmlformats.org/officeDocument/2006/relationships/header" Target="head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3Lu1e19Fkv3A7mxZvZyaaspbQ==">CgMxLjAaJQoBMBIgCh4IB0IaCg9UaW1lcyBOZXcgUm9tYW4SB0d1bmdzdWg4AHIhMThLejF2VWRxMzYxWmhSVzN6N2xBd1pBeklnT2FOUFNs</go:docsCustomData>
</go:gDocsCustomXmlDataStorage>
</file>

<file path=customXml/itemProps1.xml><?xml version="1.0" encoding="utf-8"?>
<ds:datastoreItem xmlns:ds="http://schemas.openxmlformats.org/officeDocument/2006/customXml" ds:itemID="{0DF82F96-6B12-44EC-8BD6-C900659FB1F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856</TotalTime>
  <Pages>27</Pages>
  <Words>7752</Words>
  <Characters>44193</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1087</cp:lastModifiedBy>
  <cp:revision>84</cp:revision>
  <cp:lastPrinted>2026-06-11T08:26:00Z</cp:lastPrinted>
  <dcterms:created xsi:type="dcterms:W3CDTF">2026-07-25T06:54:00Z</dcterms:created>
  <dcterms:modified xsi:type="dcterms:W3CDTF">2026-09-05T11:39:00Z</dcterms:modified>
</cp:coreProperties>
</file>