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5778B" w14:textId="77777777" w:rsidR="00641D40" w:rsidRPr="00641D40" w:rsidRDefault="00641D40" w:rsidP="007129CC">
      <w:pPr>
        <w:spacing w:after="0" w:line="240" w:lineRule="auto"/>
        <w:rPr>
          <w:rFonts w:ascii="Cambria" w:eastAsia="Times New Roman" w:hAnsi="Cambria" w:cs="Calibri"/>
          <w:color w:val="000000"/>
          <w:kern w:val="0"/>
          <w:sz w:val="20"/>
          <w:szCs w:val="20"/>
          <w:lang w:eastAsia="en-IN"/>
          <w14:ligatures w14:val="none"/>
        </w:rPr>
      </w:pPr>
    </w:p>
    <w:p w14:paraId="18D7FC72" w14:textId="77777777" w:rsidR="00641D40" w:rsidRDefault="00641D40" w:rsidP="00F638C0">
      <w:pPr>
        <w:jc w:val="center"/>
        <w:rPr>
          <w:rFonts w:ascii="Times New Roman" w:hAnsi="Times New Roman" w:cs="Times New Roman"/>
          <w:b/>
          <w:bCs/>
          <w:color w:val="153D63" w:themeColor="text2" w:themeTint="E6"/>
          <w:sz w:val="30"/>
          <w:szCs w:val="30"/>
        </w:rPr>
      </w:pPr>
    </w:p>
    <w:p w14:paraId="30FC5916" w14:textId="77777777" w:rsidR="00F638C0" w:rsidRDefault="00E96CC9" w:rsidP="00F638C0">
      <w:pPr>
        <w:jc w:val="center"/>
        <w:rPr>
          <w:rFonts w:ascii="Times New Roman" w:hAnsi="Times New Roman" w:cs="Times New Roman"/>
          <w:b/>
          <w:bCs/>
          <w:color w:val="153D63" w:themeColor="text2" w:themeTint="E6"/>
          <w:sz w:val="30"/>
          <w:szCs w:val="30"/>
        </w:rPr>
      </w:pPr>
      <w:r w:rsidRPr="00F638C0">
        <w:rPr>
          <w:rFonts w:ascii="Times New Roman" w:hAnsi="Times New Roman" w:cs="Times New Roman"/>
          <w:b/>
          <w:bCs/>
          <w:color w:val="153D63" w:themeColor="text2" w:themeTint="E6"/>
          <w:sz w:val="30"/>
          <w:szCs w:val="30"/>
        </w:rPr>
        <w:t xml:space="preserve">Gestational Trophoblastic Disease </w:t>
      </w:r>
      <w:proofErr w:type="gramStart"/>
      <w:r w:rsidRPr="00F638C0">
        <w:rPr>
          <w:rFonts w:ascii="Times New Roman" w:hAnsi="Times New Roman" w:cs="Times New Roman"/>
          <w:b/>
          <w:bCs/>
          <w:color w:val="153D63" w:themeColor="text2" w:themeTint="E6"/>
          <w:sz w:val="30"/>
          <w:szCs w:val="30"/>
        </w:rPr>
        <w:t>With</w:t>
      </w:r>
      <w:proofErr w:type="gramEnd"/>
      <w:r w:rsidRPr="00F638C0">
        <w:rPr>
          <w:rFonts w:ascii="Times New Roman" w:hAnsi="Times New Roman" w:cs="Times New Roman"/>
          <w:b/>
          <w:bCs/>
          <w:color w:val="153D63" w:themeColor="text2" w:themeTint="E6"/>
          <w:sz w:val="30"/>
          <w:szCs w:val="30"/>
        </w:rPr>
        <w:t xml:space="preserve"> Bilateral Internal Iliac Artery Arteriovenous Malformation: A Rare Association</w:t>
      </w:r>
    </w:p>
    <w:p w14:paraId="5BF27942" w14:textId="77777777" w:rsidR="007129CC" w:rsidRDefault="007129CC" w:rsidP="00F638C0">
      <w:pPr>
        <w:jc w:val="center"/>
        <w:rPr>
          <w:rFonts w:ascii="Times New Roman" w:hAnsi="Times New Roman" w:cs="Times New Roman"/>
          <w:b/>
          <w:bCs/>
          <w:color w:val="153D63" w:themeColor="text2" w:themeTint="E6"/>
          <w:sz w:val="30"/>
          <w:szCs w:val="30"/>
        </w:rPr>
      </w:pPr>
    </w:p>
    <w:p w14:paraId="0022B1C5" w14:textId="77777777" w:rsidR="007129CC" w:rsidRDefault="007129CC" w:rsidP="00F638C0">
      <w:pPr>
        <w:jc w:val="center"/>
        <w:rPr>
          <w:rFonts w:ascii="Times New Roman" w:hAnsi="Times New Roman" w:cs="Times New Roman"/>
          <w:b/>
          <w:bCs/>
          <w:color w:val="153D63" w:themeColor="text2" w:themeTint="E6"/>
          <w:sz w:val="30"/>
          <w:szCs w:val="30"/>
        </w:rPr>
      </w:pPr>
    </w:p>
    <w:p w14:paraId="4E0A8F68" w14:textId="77777777" w:rsidR="00BD38B9" w:rsidRDefault="00BD38B9" w:rsidP="00F638C0">
      <w:pPr>
        <w:rPr>
          <w:rFonts w:ascii="Times New Roman" w:hAnsi="Times New Roman" w:cs="Times New Roman"/>
          <w:b/>
          <w:bCs/>
        </w:rPr>
      </w:pPr>
    </w:p>
    <w:p w14:paraId="062C7582" w14:textId="77777777" w:rsidR="00BD38B9" w:rsidRPr="00F638C0" w:rsidRDefault="00BD38B9" w:rsidP="00BD38B9">
      <w:pPr>
        <w:rPr>
          <w:rFonts w:ascii="Times New Roman" w:hAnsi="Times New Roman" w:cs="Times New Roman"/>
          <w:b/>
          <w:bCs/>
          <w:color w:val="215E99" w:themeColor="text2" w:themeTint="BF"/>
          <w:sz w:val="28"/>
          <w:szCs w:val="28"/>
        </w:rPr>
      </w:pPr>
      <w:r w:rsidRPr="00F638C0">
        <w:rPr>
          <w:rFonts w:ascii="Times New Roman" w:hAnsi="Times New Roman" w:cs="Times New Roman"/>
          <w:b/>
          <w:bCs/>
          <w:color w:val="153D63" w:themeColor="text2" w:themeTint="E6"/>
          <w:sz w:val="28"/>
          <w:szCs w:val="28"/>
        </w:rPr>
        <w:t>ABSTRACT</w:t>
      </w:r>
    </w:p>
    <w:p w14:paraId="72A4AD3A"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Background</w:t>
      </w:r>
      <w:r w:rsidRPr="00F638C0">
        <w:rPr>
          <w:rFonts w:ascii="Times New Roman" w:hAnsi="Times New Roman" w:cs="Times New Roman"/>
        </w:rPr>
        <w:t xml:space="preserve">: Gestational trophoblastic disease (GTD) represents a spectrum of disorders arising from abnormal trophoblastic proliferation. Although GTD is relatively uncommon, it is clinically significant due to its potential for aggressive invasion, distant metastasis, and systemic complications. Arteriovenous malformations (AVMs) of the pelvis, particularly those involving the internal iliac arteries, are exceedingly rare vascular anomalies. Pelvic congestion syndrome (PCS) is another </w:t>
      </w:r>
      <w:r>
        <w:rPr>
          <w:rFonts w:ascii="Times New Roman" w:hAnsi="Times New Roman" w:cs="Times New Roman"/>
          <w:highlight w:val="yellow"/>
        </w:rPr>
        <w:t>under-recognised</w:t>
      </w:r>
      <w:r>
        <w:rPr>
          <w:rFonts w:ascii="Times New Roman" w:hAnsi="Times New Roman" w:cs="Times New Roman"/>
        </w:rPr>
        <w:t xml:space="preserve"> condition </w:t>
      </w:r>
      <w:r>
        <w:rPr>
          <w:rFonts w:ascii="Times New Roman" w:hAnsi="Times New Roman" w:cs="Times New Roman"/>
          <w:highlight w:val="yellow"/>
        </w:rPr>
        <w:t>characterised</w:t>
      </w:r>
      <w:r>
        <w:rPr>
          <w:rFonts w:ascii="Times New Roman" w:hAnsi="Times New Roman" w:cs="Times New Roman"/>
        </w:rPr>
        <w:t xml:space="preserve"> by chronic pelvic pain due to venous insufficiency. The coexistence of GTD with bilateral internal iliac AVMs has not been previously documented.</w:t>
      </w:r>
    </w:p>
    <w:p w14:paraId="32968255"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Case Presentation</w:t>
      </w:r>
      <w:r w:rsidRPr="00F638C0">
        <w:rPr>
          <w:rFonts w:ascii="Times New Roman" w:hAnsi="Times New Roman" w:cs="Times New Roman"/>
        </w:rPr>
        <w:t xml:space="preserve">: We report the case of a 30-year-old female, gravida 2 para 1, who presented with four months of </w:t>
      </w:r>
      <w:r>
        <w:rPr>
          <w:rFonts w:ascii="Times New Roman" w:hAnsi="Times New Roman" w:cs="Times New Roman"/>
          <w:highlight w:val="yellow"/>
        </w:rPr>
        <w:t>amenorrhoea</w:t>
      </w:r>
      <w:r>
        <w:rPr>
          <w:rFonts w:ascii="Times New Roman" w:hAnsi="Times New Roman" w:cs="Times New Roman"/>
        </w:rPr>
        <w:t xml:space="preserve"> and pelvic pain. On admission, she was conscious, oriented, and </w:t>
      </w:r>
      <w:r>
        <w:rPr>
          <w:rFonts w:ascii="Times New Roman" w:hAnsi="Times New Roman" w:cs="Times New Roman"/>
          <w:highlight w:val="yellow"/>
        </w:rPr>
        <w:t>haemodynamically</w:t>
      </w:r>
      <w:r>
        <w:rPr>
          <w:rFonts w:ascii="Times New Roman" w:hAnsi="Times New Roman" w:cs="Times New Roman"/>
        </w:rPr>
        <w:t xml:space="preserve"> stable. Pelvic angiography revealed bilateral internal iliac artery AVMs, more pronounced on the left side. Laboratory evaluation showed mild anaemia (Hb 11.8 g/dL), normal ejection fraction (60%), and non-reactive serology. </w:t>
      </w:r>
      <w:r>
        <w:rPr>
          <w:rFonts w:ascii="Times New Roman" w:hAnsi="Times New Roman" w:cs="Times New Roman"/>
          <w:highlight w:val="yellow"/>
        </w:rPr>
        <w:t>β-hCG</w:t>
      </w:r>
      <w:r>
        <w:rPr>
          <w:rFonts w:ascii="Times New Roman" w:hAnsi="Times New Roman" w:cs="Times New Roman"/>
        </w:rPr>
        <w:t xml:space="preserve"> and CBC were ordered for confirmation of GTD.</w:t>
      </w:r>
    </w:p>
    <w:p w14:paraId="5312BEE2" w14:textId="77777777" w:rsidR="00BD38B9" w:rsidRPr="00F638C0" w:rsidRDefault="00BD38B9" w:rsidP="00BD38B9">
      <w:pPr>
        <w:rPr>
          <w:rFonts w:ascii="Times New Roman" w:hAnsi="Times New Roman" w:cs="Times New Roman"/>
        </w:rPr>
      </w:pPr>
      <w:r w:rsidRPr="00F638C0">
        <w:rPr>
          <w:rFonts w:ascii="Times New Roman" w:hAnsi="Times New Roman" w:cs="Times New Roman"/>
          <w:b/>
          <w:bCs/>
        </w:rPr>
        <w:t>Management and Outcome</w:t>
      </w:r>
      <w:r w:rsidRPr="00F638C0">
        <w:rPr>
          <w:rFonts w:ascii="Times New Roman" w:hAnsi="Times New Roman" w:cs="Times New Roman"/>
        </w:rPr>
        <w:t xml:space="preserve">: The patient </w:t>
      </w:r>
      <w:r>
        <w:rPr>
          <w:rFonts w:ascii="Times New Roman" w:hAnsi="Times New Roman" w:cs="Times New Roman"/>
          <w:highlight w:val="yellow"/>
        </w:rPr>
        <w:t>was stabilised, and embolisation of the AVM was planned</w:t>
      </w:r>
      <w:r>
        <w:rPr>
          <w:rFonts w:ascii="Times New Roman" w:hAnsi="Times New Roman" w:cs="Times New Roman"/>
        </w:rPr>
        <w:t xml:space="preserve">. She was discharged with antibiotics, analgesics, and a proton pump inhibitor. At discharge, her </w:t>
      </w:r>
      <w:r>
        <w:rPr>
          <w:rFonts w:ascii="Times New Roman" w:hAnsi="Times New Roman" w:cs="Times New Roman"/>
          <w:highlight w:val="yellow"/>
        </w:rPr>
        <w:t>vital signs</w:t>
      </w:r>
      <w:r>
        <w:rPr>
          <w:rFonts w:ascii="Times New Roman" w:hAnsi="Times New Roman" w:cs="Times New Roman"/>
        </w:rPr>
        <w:t xml:space="preserve"> were stable, and she was advised to follow up with cardiology after one week. She was instructed to seek urgent care if she developed chest pain, shortness of breath, or gum bleeding.</w:t>
      </w:r>
    </w:p>
    <w:p w14:paraId="1131D34C" w14:textId="77777777" w:rsidR="00BD38B9" w:rsidRPr="003C2FDA" w:rsidRDefault="00BD38B9" w:rsidP="00BD38B9">
      <w:pPr>
        <w:rPr>
          <w:rFonts w:ascii="Times New Roman" w:hAnsi="Times New Roman" w:cs="Times New Roman"/>
          <w:b/>
          <w:bCs/>
        </w:rPr>
      </w:pPr>
      <w:r w:rsidRPr="00F638C0">
        <w:rPr>
          <w:rFonts w:ascii="Times New Roman" w:hAnsi="Times New Roman" w:cs="Times New Roman"/>
          <w:b/>
          <w:bCs/>
        </w:rPr>
        <w:t>Conclusion</w:t>
      </w:r>
      <w:r w:rsidRPr="00F638C0">
        <w:rPr>
          <w:rFonts w:ascii="Times New Roman" w:hAnsi="Times New Roman" w:cs="Times New Roman"/>
        </w:rPr>
        <w:t>: This case illustrates a rare and previously unreported association between GTD and bilateral internal iliac artery AVMs. It highlights the importance of considering vascular malformations in patients with GTD who present with atypical pelvic symptoms. Early recognition, angiographic evaluation, and multidisciplinary management are crucial to prevent potentially life-threatening complications.</w:t>
      </w:r>
    </w:p>
    <w:p w14:paraId="3F83D35D" w14:textId="77777777" w:rsidR="00F638C0" w:rsidRPr="00F638C0" w:rsidRDefault="00F638C0" w:rsidP="00F638C0">
      <w:pPr>
        <w:rPr>
          <w:rFonts w:ascii="Times New Roman" w:hAnsi="Times New Roman" w:cs="Times New Roman"/>
          <w:b/>
          <w:bCs/>
        </w:rPr>
      </w:pPr>
      <w:r w:rsidRPr="00F638C0">
        <w:rPr>
          <w:rFonts w:ascii="Times New Roman" w:hAnsi="Times New Roman" w:cs="Times New Roman"/>
          <w:b/>
          <w:bCs/>
        </w:rPr>
        <w:t>Keywords</w:t>
      </w:r>
      <w:r w:rsidRPr="00F638C0">
        <w:rPr>
          <w:rFonts w:ascii="Times New Roman" w:hAnsi="Times New Roman" w:cs="Times New Roman"/>
        </w:rPr>
        <w:t xml:space="preserve">: </w:t>
      </w:r>
      <w:r w:rsidRPr="00F638C0">
        <w:rPr>
          <w:rFonts w:ascii="Times New Roman" w:hAnsi="Times New Roman" w:cs="Times New Roman"/>
          <w:i/>
          <w:iCs/>
        </w:rPr>
        <w:t xml:space="preserve">Gestational trophoblastic disease; Arteriovenous malformation; Internal iliac artery; Pelvic congestion syndrome; </w:t>
      </w:r>
      <w:r>
        <w:rPr>
          <w:rFonts w:ascii="Times New Roman" w:hAnsi="Times New Roman" w:cs="Times New Roman"/>
          <w:i/>
          <w:iCs/>
          <w:highlight w:val="yellow"/>
        </w:rPr>
        <w:t>Embolisation</w:t>
      </w:r>
      <w:r>
        <w:rPr>
          <w:rFonts w:ascii="Times New Roman" w:hAnsi="Times New Roman" w:cs="Times New Roman"/>
          <w:i/>
          <w:iCs/>
        </w:rPr>
        <w:t>; Case report</w:t>
      </w:r>
    </w:p>
    <w:p w14:paraId="3F507EF0" w14:textId="77777777" w:rsidR="00F638C0" w:rsidRPr="00F638C0" w:rsidRDefault="00F638C0" w:rsidP="00F638C0">
      <w:pPr>
        <w:rPr>
          <w:rFonts w:ascii="Times New Roman" w:hAnsi="Times New Roman" w:cs="Times New Roman"/>
          <w:b/>
          <w:bCs/>
        </w:rPr>
      </w:pPr>
    </w:p>
    <w:p w14:paraId="0E228319" w14:textId="77777777" w:rsidR="00F638C0" w:rsidRPr="00F638C0" w:rsidRDefault="00F638C0" w:rsidP="00F638C0">
      <w:pPr>
        <w:rPr>
          <w:rFonts w:ascii="Times New Roman" w:hAnsi="Times New Roman" w:cs="Times New Roman"/>
          <w:b/>
          <w:bCs/>
          <w:color w:val="153D63" w:themeColor="text2" w:themeTint="E6"/>
          <w:sz w:val="28"/>
          <w:szCs w:val="28"/>
        </w:rPr>
      </w:pPr>
      <w:r w:rsidRPr="00F638C0">
        <w:rPr>
          <w:rFonts w:ascii="Times New Roman" w:hAnsi="Times New Roman" w:cs="Times New Roman"/>
          <w:b/>
          <w:bCs/>
          <w:color w:val="153D63" w:themeColor="text2" w:themeTint="E6"/>
          <w:sz w:val="28"/>
          <w:szCs w:val="28"/>
        </w:rPr>
        <w:t>INTRODUCTION</w:t>
      </w:r>
    </w:p>
    <w:p w14:paraId="5D0C1B9D" w14:textId="77777777" w:rsidR="00F638C0" w:rsidRDefault="00F638C0" w:rsidP="00F638C0">
      <w:pPr>
        <w:rPr>
          <w:rFonts w:ascii="Times New Roman" w:hAnsi="Times New Roman" w:cs="Times New Roman"/>
        </w:rPr>
      </w:pPr>
      <w:r w:rsidRPr="00F638C0">
        <w:rPr>
          <w:rFonts w:ascii="Times New Roman" w:hAnsi="Times New Roman" w:cs="Times New Roman"/>
        </w:rPr>
        <w:lastRenderedPageBreak/>
        <w:t xml:space="preserve">Gestational trophoblastic disease (GTD) encompasses a heterogeneous group of disorders that arise from abnormal proliferation of trophoblastic tissue. The spectrum includes benign hydatidiform mole, invasive mole, choriocarcinoma, placental site trophoblastic </w:t>
      </w:r>
      <w:r>
        <w:rPr>
          <w:rFonts w:ascii="Times New Roman" w:hAnsi="Times New Roman" w:cs="Times New Roman"/>
          <w:highlight w:val="yellow"/>
        </w:rPr>
        <w:t>tumour</w:t>
      </w:r>
      <w:r w:rsidRPr="00F638C0">
        <w:rPr>
          <w:rFonts w:ascii="Times New Roman" w:hAnsi="Times New Roman" w:cs="Times New Roman"/>
        </w:rPr>
        <w:t xml:space="preserve">, and epithelioid trophoblastic </w:t>
      </w:r>
      <w:r>
        <w:rPr>
          <w:rFonts w:ascii="Times New Roman" w:hAnsi="Times New Roman" w:cs="Times New Roman"/>
          <w:highlight w:val="yellow"/>
        </w:rPr>
        <w:t>tumour</w:t>
      </w:r>
      <w:r w:rsidRPr="00F638C0">
        <w:rPr>
          <w:rFonts w:ascii="Times New Roman" w:hAnsi="Times New Roman" w:cs="Times New Roman"/>
        </w:rPr>
        <w:t xml:space="preserve"> </w:t>
      </w:r>
      <w:r>
        <w:rPr>
          <w:rFonts w:ascii="Times New Roman" w:hAnsi="Times New Roman" w:cs="Times New Roman"/>
          <w:highlight w:val="yellow"/>
        </w:rPr>
        <w:t>(Lehto et al., 2018)</w:t>
      </w:r>
      <w:r>
        <w:rPr>
          <w:rFonts w:ascii="Times New Roman" w:hAnsi="Times New Roman" w:cs="Times New Roman"/>
        </w:rPr>
        <w:t>. Although GTD is relatively rare, with an incidence varying geographically, it remains clinically important due to its potential for aggressive invasion, distant metastasis, and systemic complications. The hallmark of GTD is elevated serum β-</w:t>
      </w:r>
      <w:proofErr w:type="spellStart"/>
      <w:r w:rsidRPr="00F638C0">
        <w:rPr>
          <w:rFonts w:ascii="Times New Roman" w:hAnsi="Times New Roman" w:cs="Times New Roman"/>
        </w:rPr>
        <w:t>hCG</w:t>
      </w:r>
      <w:proofErr w:type="spellEnd"/>
      <w:r w:rsidRPr="00F638C0">
        <w:rPr>
          <w:rFonts w:ascii="Times New Roman" w:hAnsi="Times New Roman" w:cs="Times New Roman"/>
        </w:rPr>
        <w:t xml:space="preserve"> levels, which serve as both a diagnostic and monitoring tool. Clinical manifestations may include abnormal uterine bleeding, uterine enlargement disproportionate to gestational age, and systemic features such as hyperemesis gravidarum or thyrotoxicosis </w:t>
      </w:r>
      <w:r>
        <w:rPr>
          <w:rFonts w:ascii="Times New Roman" w:hAnsi="Times New Roman" w:cs="Times New Roman"/>
          <w:highlight w:val="yellow"/>
        </w:rPr>
        <w:t>(Gizaw et al., 2025; Ting, 2026)</w:t>
      </w:r>
      <w:r>
        <w:rPr>
          <w:rFonts w:ascii="Times New Roman" w:hAnsi="Times New Roman" w:cs="Times New Roman"/>
        </w:rPr>
        <w:t xml:space="preserve">. </w:t>
      </w:r>
      <w:r w:rsidRPr="00F638C0">
        <w:rPr>
          <w:rFonts w:ascii="Times New Roman" w:hAnsi="Times New Roman" w:cs="Times New Roman"/>
        </w:rPr>
        <w:t xml:space="preserve">Rare subtypes such as placental site trophoblastic </w:t>
      </w:r>
      <w:r>
        <w:rPr>
          <w:rFonts w:ascii="Times New Roman" w:hAnsi="Times New Roman" w:cs="Times New Roman"/>
          <w:highlight w:val="yellow"/>
        </w:rPr>
        <w:t>tumour</w:t>
      </w:r>
      <w:r w:rsidRPr="00F638C0">
        <w:rPr>
          <w:rFonts w:ascii="Times New Roman" w:hAnsi="Times New Roman" w:cs="Times New Roman"/>
        </w:rPr>
        <w:t xml:space="preserve"> and epithelioid trophoblastic </w:t>
      </w:r>
      <w:r>
        <w:rPr>
          <w:rFonts w:ascii="Times New Roman" w:hAnsi="Times New Roman" w:cs="Times New Roman"/>
          <w:highlight w:val="yellow"/>
        </w:rPr>
        <w:t>tumour</w:t>
      </w:r>
      <w:r w:rsidRPr="00F638C0">
        <w:rPr>
          <w:rFonts w:ascii="Times New Roman" w:hAnsi="Times New Roman" w:cs="Times New Roman"/>
        </w:rPr>
        <w:t xml:space="preserve"> have been documented in isolated reports, further </w:t>
      </w:r>
      <w:r>
        <w:rPr>
          <w:rFonts w:ascii="Times New Roman" w:hAnsi="Times New Roman" w:cs="Times New Roman"/>
          <w:highlight w:val="yellow"/>
        </w:rPr>
        <w:t>emphasising</w:t>
      </w:r>
      <w:r>
        <w:rPr>
          <w:rFonts w:ascii="Times New Roman" w:hAnsi="Times New Roman" w:cs="Times New Roman"/>
        </w:rPr>
        <w:t xml:space="preserve"> the diversity of GTD presentations </w:t>
      </w:r>
      <w:r>
        <w:rPr>
          <w:rFonts w:ascii="Times New Roman" w:hAnsi="Times New Roman" w:cs="Times New Roman"/>
          <w:highlight w:val="yellow"/>
        </w:rPr>
        <w:t>(Guan et al., 2026)</w:t>
      </w:r>
      <w:r>
        <w:rPr>
          <w:rFonts w:ascii="Times New Roman" w:hAnsi="Times New Roman" w:cs="Times New Roman"/>
        </w:rPr>
        <w:t xml:space="preserve">. These </w:t>
      </w:r>
      <w:r>
        <w:rPr>
          <w:rFonts w:ascii="Times New Roman" w:hAnsi="Times New Roman" w:cs="Times New Roman"/>
          <w:highlight w:val="yellow"/>
        </w:rPr>
        <w:t>tumour</w:t>
      </w:r>
      <w:r>
        <w:rPr>
          <w:rFonts w:ascii="Times New Roman" w:hAnsi="Times New Roman" w:cs="Times New Roman"/>
        </w:rPr>
        <w:t>s</w:t>
      </w:r>
      <w:r w:rsidRPr="00F638C0">
        <w:rPr>
          <w:rFonts w:ascii="Times New Roman" w:hAnsi="Times New Roman" w:cs="Times New Roman"/>
        </w:rPr>
        <w:t xml:space="preserve"> often present diagnostic challenges due to their atypical clinical and histopathological features. The management of GTD typically involves chemotherapy, surgical intervention, or a combination of both, depending on the subtype and extent of disease. Prognosis is generally </w:t>
      </w:r>
      <w:r>
        <w:rPr>
          <w:rFonts w:ascii="Times New Roman" w:hAnsi="Times New Roman" w:cs="Times New Roman"/>
          <w:highlight w:val="yellow"/>
        </w:rPr>
        <w:t>favourable</w:t>
      </w:r>
      <w:r w:rsidRPr="00F638C0">
        <w:rPr>
          <w:rFonts w:ascii="Times New Roman" w:hAnsi="Times New Roman" w:cs="Times New Roman"/>
        </w:rPr>
        <w:t xml:space="preserve"> with appropriate treatment, but delayed diagnosis or unusual presentations can complicate management.</w:t>
      </w:r>
      <w:r>
        <w:rPr>
          <w:rFonts w:ascii="Times New Roman" w:hAnsi="Times New Roman"/>
          <w:b/>
          <w:highlight w:val="yellow"/>
        </w:rPr>
        <w:t xml:space="preserve"> Recent guidance continues to emphasise serum β-hCG measurement, histopathological assessment, and risk-adapted management as central components of GTD diagnosis and follow-up (Ngan et al., 2025). Placental mesenchymal dysplasia may resemble hydatidiform mole because of overlapping placental appearances, illustrating the importance of careful differential diagnosis when placental findings are atypical (Aramabi et al., 2023).</w:t>
      </w:r>
      <w:r>
        <w:rPr>
          <w:rFonts w:ascii="Times New Roman" w:hAnsi="Times New Roman" w:cs="Times New Roman"/>
        </w:rPr>
        <w:t xml:space="preserve"> </w:t>
      </w:r>
      <w:r w:rsidRPr="00F638C0">
        <w:rPr>
          <w:rFonts w:ascii="Times New Roman" w:hAnsi="Times New Roman" w:cs="Times New Roman"/>
        </w:rPr>
        <w:t xml:space="preserve">Pelvic congestion syndrome (PCS) is another distinct but </w:t>
      </w:r>
      <w:r>
        <w:rPr>
          <w:rFonts w:ascii="Times New Roman" w:hAnsi="Times New Roman" w:cs="Times New Roman"/>
          <w:highlight w:val="yellow"/>
        </w:rPr>
        <w:t>under-recognised</w:t>
      </w:r>
      <w:r>
        <w:rPr>
          <w:rFonts w:ascii="Times New Roman" w:hAnsi="Times New Roman" w:cs="Times New Roman"/>
        </w:rPr>
        <w:t xml:space="preserve"> condition, </w:t>
      </w:r>
      <w:r>
        <w:rPr>
          <w:rFonts w:ascii="Times New Roman" w:hAnsi="Times New Roman" w:cs="Times New Roman"/>
          <w:highlight w:val="yellow"/>
        </w:rPr>
        <w:t>characterised</w:t>
      </w:r>
      <w:r>
        <w:rPr>
          <w:rFonts w:ascii="Times New Roman" w:hAnsi="Times New Roman" w:cs="Times New Roman"/>
        </w:rPr>
        <w:t xml:space="preserve"> by chronic pelvic pain due to venous insufficiency and varicosities in the pelvic region </w:t>
      </w:r>
      <w:r>
        <w:rPr>
          <w:rFonts w:ascii="Times New Roman" w:hAnsi="Times New Roman" w:cs="Times New Roman"/>
          <w:highlight w:val="yellow"/>
        </w:rPr>
        <w:t>(Mpourazanis et al., 2024; Potla et al., 2021)</w:t>
      </w:r>
      <w:r>
        <w:rPr>
          <w:rFonts w:ascii="Times New Roman" w:hAnsi="Times New Roman" w:cs="Times New Roman"/>
        </w:rPr>
        <w:t>. PCS is more prevalent in multiparous women and is often misdiagnosed because of nonspecific symptoms such as dull pelvic pain, dyspareunia, or urinary complaints. The pathophysiology involves retrograde flow through incompetent ovarian veins, leading to venous engorgement and varices. Diagnosis often requires imaging modalities such as Doppler ultrasonography, CT, or MR venography. PCS contributes significantly to morbidity in affected women, yet remains underdiagnosed in clinical practice</w:t>
      </w:r>
      <w:r>
        <w:rPr>
          <w:rFonts w:ascii="Times New Roman" w:hAnsi="Times New Roman" w:cs="Times New Roman"/>
          <w:highlight w:val="yellow"/>
        </w:rPr>
        <w:t xml:space="preserve"> (Bendek et al., 2020)</w:t>
      </w:r>
      <w:r>
        <w:rPr>
          <w:rFonts w:ascii="Times New Roman" w:hAnsi="Times New Roman" w:cs="Times New Roman"/>
        </w:rPr>
        <w:t>.</w:t>
      </w:r>
      <w:r>
        <w:rPr>
          <w:rFonts w:ascii="Times New Roman" w:hAnsi="Times New Roman"/>
          <w:b/>
          <w:highlight w:val="yellow"/>
        </w:rPr>
        <w:t xml:space="preserve"> Earlier and contemporary reviews of pelvic venous disorders describe chronic pelvic pain in association with pelvic venous reflux and varicosities and emphasise the role of targeted imaging in diagnostic evaluation (Khilnani et al., 2024; Miao et al., 2015).</w:t>
      </w:r>
      <w:r>
        <w:rPr>
          <w:rFonts w:ascii="Times New Roman" w:hAnsi="Times New Roman" w:cs="Times New Roman"/>
        </w:rPr>
        <w:t xml:space="preserve"> </w:t>
      </w:r>
      <w:r w:rsidRPr="00F638C0">
        <w:rPr>
          <w:rFonts w:ascii="Times New Roman" w:hAnsi="Times New Roman" w:cs="Times New Roman"/>
        </w:rPr>
        <w:t xml:space="preserve">Arteriovenous malformations (AVMs) of the internal iliac arteries are exceptionally rare vascular anomalies. They may be congenital, resulting from abnormal embryological development, or acquired following trauma, surgery, or abnormal angiogenesis </w:t>
      </w:r>
      <w:r>
        <w:rPr>
          <w:rFonts w:ascii="Times New Roman" w:hAnsi="Times New Roman" w:cs="Times New Roman"/>
          <w:highlight w:val="yellow"/>
        </w:rPr>
        <w:t>(Miyagawa et al., 2025; Yokota et al., 2002)</w:t>
      </w:r>
      <w:r>
        <w:rPr>
          <w:rFonts w:ascii="Times New Roman" w:hAnsi="Times New Roman" w:cs="Times New Roman"/>
        </w:rPr>
        <w:t xml:space="preserve">. AVMs in this location can present with pelvic pain, </w:t>
      </w:r>
      <w:r>
        <w:rPr>
          <w:rFonts w:ascii="Times New Roman" w:hAnsi="Times New Roman" w:cs="Times New Roman"/>
          <w:highlight w:val="yellow"/>
        </w:rPr>
        <w:t>haematuria</w:t>
      </w:r>
      <w:r w:rsidRPr="00F638C0">
        <w:rPr>
          <w:rFonts w:ascii="Times New Roman" w:hAnsi="Times New Roman" w:cs="Times New Roman"/>
        </w:rPr>
        <w:t xml:space="preserve">, venous varices, or even life-threatening </w:t>
      </w:r>
      <w:r>
        <w:rPr>
          <w:rFonts w:ascii="Times New Roman" w:hAnsi="Times New Roman" w:cs="Times New Roman"/>
          <w:highlight w:val="yellow"/>
        </w:rPr>
        <w:t>haemorrhage</w:t>
      </w:r>
      <w:r w:rsidRPr="00F638C0">
        <w:rPr>
          <w:rFonts w:ascii="Times New Roman" w:hAnsi="Times New Roman" w:cs="Times New Roman"/>
        </w:rPr>
        <w:t xml:space="preserve"> </w:t>
      </w:r>
      <w:r>
        <w:rPr>
          <w:rFonts w:ascii="Times New Roman" w:hAnsi="Times New Roman" w:cs="Times New Roman"/>
          <w:highlight w:val="yellow"/>
        </w:rPr>
        <w:t>(Chen et al., 2025; Miyagawa et al., 2025)</w:t>
      </w:r>
      <w:r>
        <w:rPr>
          <w:rFonts w:ascii="Times New Roman" w:hAnsi="Times New Roman" w:cs="Times New Roman"/>
        </w:rPr>
        <w:t xml:space="preserve">. Case reports have documented diverse presentations, including massive bladder bleeding, severe </w:t>
      </w:r>
      <w:r>
        <w:rPr>
          <w:rFonts w:ascii="Times New Roman" w:hAnsi="Times New Roman" w:cs="Times New Roman"/>
          <w:highlight w:val="yellow"/>
        </w:rPr>
        <w:t>haemorrhagic</w:t>
      </w:r>
      <w:r w:rsidRPr="00F638C0">
        <w:rPr>
          <w:rFonts w:ascii="Times New Roman" w:hAnsi="Times New Roman" w:cs="Times New Roman"/>
        </w:rPr>
        <w:t xml:space="preserve"> shock, and fatal rupture of iliac artery aneurysms associated with AVMs </w:t>
      </w:r>
      <w:r>
        <w:rPr>
          <w:rFonts w:ascii="Times New Roman" w:hAnsi="Times New Roman" w:cs="Times New Roman"/>
          <w:highlight w:val="yellow"/>
        </w:rPr>
        <w:t>(Chen et al., 2025; Miyagawa et al., 2025; Yang et al., 2024)</w:t>
      </w:r>
      <w:r>
        <w:rPr>
          <w:rFonts w:ascii="Times New Roman" w:hAnsi="Times New Roman" w:cs="Times New Roman"/>
        </w:rPr>
        <w:t>. Diagnosis typically requires angiography, which remains the gold standard for identifying vascular malformations and guiding therapeutic intervention.</w:t>
      </w:r>
      <w:r>
        <w:rPr>
          <w:rFonts w:ascii="Times New Roman" w:hAnsi="Times New Roman"/>
          <w:b/>
          <w:highlight w:val="yellow"/>
        </w:rPr>
        <w:t xml:space="preserve"> Recent literature </w:t>
      </w:r>
      <w:r>
        <w:rPr>
          <w:rFonts w:ascii="Times New Roman" w:hAnsi="Times New Roman"/>
          <w:b/>
          <w:highlight w:val="yellow"/>
        </w:rPr>
        <w:lastRenderedPageBreak/>
        <w:t>on uterine arteriovenous malformations similarly highlights Doppler ultrasonography in diagnosis and imaging-guided planning for intervention (Clavero Bertomeu et al., 2024).</w:t>
      </w:r>
      <w:r>
        <w:rPr>
          <w:rFonts w:ascii="Times New Roman" w:hAnsi="Times New Roman" w:cs="Times New Roman"/>
        </w:rPr>
        <w:t xml:space="preserve"> </w:t>
      </w:r>
      <w:r w:rsidRPr="00F638C0">
        <w:rPr>
          <w:rFonts w:ascii="Times New Roman" w:hAnsi="Times New Roman" w:cs="Times New Roman"/>
        </w:rPr>
        <w:t xml:space="preserve">The coexistence of GTD with bilateral internal iliac AVMs has not been documented in existing literature. This case therefore represents a unique clinical scenario, highlighting the importance of considering vascular malformations in patients with GTD who present with atypical pelvic symptoms. The rarity of this association underscores the need for clinicians to maintain a high index of suspicion, </w:t>
      </w:r>
      <w:r>
        <w:rPr>
          <w:rFonts w:ascii="Times New Roman" w:hAnsi="Times New Roman" w:cs="Times New Roman"/>
          <w:highlight w:val="yellow"/>
        </w:rPr>
        <w:t>utilise</w:t>
      </w:r>
      <w:r>
        <w:rPr>
          <w:rFonts w:ascii="Times New Roman" w:hAnsi="Times New Roman" w:cs="Times New Roman"/>
        </w:rPr>
        <w:t xml:space="preserve"> appropriate imaging modalities, and adopt a multidisciplinary approach to management. By reporting this case, we aim to contribute to the limited body of literature on iliac AVMs, expand the understanding of GTD complications, and </w:t>
      </w:r>
      <w:r>
        <w:rPr>
          <w:rFonts w:ascii="Times New Roman" w:hAnsi="Times New Roman" w:cs="Times New Roman"/>
          <w:highlight w:val="yellow"/>
        </w:rPr>
        <w:t>emphasise</w:t>
      </w:r>
      <w:r>
        <w:rPr>
          <w:rFonts w:ascii="Times New Roman" w:hAnsi="Times New Roman" w:cs="Times New Roman"/>
        </w:rPr>
        <w:t xml:space="preserve"> the importance of early recognition and timely intervention in preventing potentially life-threatening outcomes.</w:t>
      </w:r>
    </w:p>
    <w:p w14:paraId="348C4574" w14:textId="77777777" w:rsidR="006C4A1B" w:rsidRPr="00F638C0" w:rsidRDefault="006C4A1B" w:rsidP="00F638C0">
      <w:pPr>
        <w:rPr>
          <w:rFonts w:ascii="Times New Roman" w:hAnsi="Times New Roman" w:cs="Times New Roman"/>
        </w:rPr>
      </w:pPr>
    </w:p>
    <w:p w14:paraId="045150CE" w14:textId="77777777" w:rsidR="00F638C0" w:rsidRDefault="00F638C0" w:rsidP="00F638C0">
      <w:pPr>
        <w:rPr>
          <w:rFonts w:ascii="Times New Roman" w:hAnsi="Times New Roman" w:cs="Times New Roman"/>
          <w:b/>
          <w:bCs/>
          <w:color w:val="153D63" w:themeColor="text2" w:themeTint="E6"/>
          <w:sz w:val="28"/>
          <w:szCs w:val="28"/>
        </w:rPr>
      </w:pPr>
      <w:r w:rsidRPr="00F638C0">
        <w:rPr>
          <w:rFonts w:ascii="Times New Roman" w:hAnsi="Times New Roman" w:cs="Times New Roman"/>
          <w:b/>
          <w:bCs/>
          <w:color w:val="153D63" w:themeColor="text2" w:themeTint="E6"/>
          <w:sz w:val="28"/>
          <w:szCs w:val="28"/>
        </w:rPr>
        <w:t>CASE PRESENTATION</w:t>
      </w:r>
    </w:p>
    <w:p w14:paraId="3E95A443" w14:textId="77777777" w:rsidR="00F638C0" w:rsidRDefault="00F638C0" w:rsidP="00F638C0">
      <w:pPr>
        <w:rPr>
          <w:rFonts w:ascii="Times New Roman" w:hAnsi="Times New Roman" w:cs="Times New Roman"/>
        </w:rPr>
      </w:pPr>
      <w:r w:rsidRPr="00F638C0">
        <w:rPr>
          <w:rFonts w:ascii="Times New Roman" w:hAnsi="Times New Roman" w:cs="Times New Roman"/>
        </w:rPr>
        <w:t xml:space="preserve">A 30-year-old female, gravida 2 para 1, presented with four months of </w:t>
      </w:r>
      <w:r>
        <w:rPr>
          <w:rFonts w:ascii="Times New Roman" w:hAnsi="Times New Roman" w:cs="Times New Roman"/>
          <w:highlight w:val="yellow"/>
        </w:rPr>
        <w:t>amenorrhoea</w:t>
      </w:r>
      <w:r>
        <w:rPr>
          <w:rFonts w:ascii="Times New Roman" w:hAnsi="Times New Roman" w:cs="Times New Roman"/>
        </w:rPr>
        <w:t xml:space="preserve"> accompanied by pelvic pain and features suggestive of pelvic congestion syndrome. On admission, she was conscious, oriented, and </w:t>
      </w:r>
      <w:r>
        <w:rPr>
          <w:rFonts w:ascii="Times New Roman" w:hAnsi="Times New Roman" w:cs="Times New Roman"/>
          <w:highlight w:val="yellow"/>
        </w:rPr>
        <w:t>haemodynamically</w:t>
      </w:r>
      <w:r>
        <w:rPr>
          <w:rFonts w:ascii="Times New Roman" w:hAnsi="Times New Roman" w:cs="Times New Roman"/>
        </w:rPr>
        <w:t xml:space="preserve"> stable.</w:t>
      </w:r>
    </w:p>
    <w:p w14:paraId="0DCB6560" w14:textId="77777777" w:rsidR="00F638C0" w:rsidRPr="00F638C0" w:rsidRDefault="00F638C0" w:rsidP="00F638C0">
      <w:pPr>
        <w:rPr>
          <w:rFonts w:ascii="Times New Roman" w:hAnsi="Times New Roman" w:cs="Times New Roman"/>
        </w:rPr>
      </w:pPr>
    </w:p>
    <w:p w14:paraId="4EFCCED8" w14:textId="77777777" w:rsidR="00F638C0" w:rsidRPr="006C4A1B" w:rsidRDefault="001C00E9" w:rsidP="00F638C0">
      <w:pPr>
        <w:rPr>
          <w:rFonts w:ascii="Times New Roman" w:hAnsi="Times New Roman" w:cs="Times New Roman"/>
          <w:b/>
          <w:bCs/>
        </w:rPr>
      </w:pPr>
      <w:r>
        <w:rPr>
          <w:rFonts w:ascii="Times New Roman" w:hAnsi="Times New Roman" w:cs="Times New Roman"/>
          <w:b/>
          <w:bCs/>
        </w:rPr>
        <w:t>Table 1-</w:t>
      </w:r>
      <w:r w:rsidR="00F638C0" w:rsidRPr="006C4A1B">
        <w:rPr>
          <w:rFonts w:ascii="Times New Roman" w:hAnsi="Times New Roman" w:cs="Times New Roman"/>
          <w:b/>
          <w:bCs/>
        </w:rPr>
        <w:t>Vitals and Laboratory Values</w:t>
      </w:r>
    </w:p>
    <w:tbl>
      <w:tblPr>
        <w:tblStyle w:val="TableGrid"/>
        <w:tblW w:w="0" w:type="auto"/>
        <w:tblLook w:val="04A0" w:firstRow="1" w:lastRow="0" w:firstColumn="1" w:lastColumn="0" w:noHBand="0" w:noVBand="1"/>
      </w:tblPr>
      <w:tblGrid>
        <w:gridCol w:w="2376"/>
        <w:gridCol w:w="1601"/>
        <w:gridCol w:w="1610"/>
        <w:gridCol w:w="2163"/>
      </w:tblGrid>
      <w:tr w:rsidR="00F638C0" w:rsidRPr="00F638C0" w14:paraId="40E4BDF8" w14:textId="77777777" w:rsidTr="00F638C0">
        <w:tc>
          <w:tcPr>
            <w:tcW w:w="0" w:type="auto"/>
            <w:hideMark/>
          </w:tcPr>
          <w:p w14:paraId="53980C6F"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Parameter</w:t>
            </w:r>
          </w:p>
        </w:tc>
        <w:tc>
          <w:tcPr>
            <w:tcW w:w="0" w:type="auto"/>
            <w:hideMark/>
          </w:tcPr>
          <w:p w14:paraId="0B21E19C"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On Admission</w:t>
            </w:r>
          </w:p>
        </w:tc>
        <w:tc>
          <w:tcPr>
            <w:tcW w:w="0" w:type="auto"/>
            <w:hideMark/>
          </w:tcPr>
          <w:p w14:paraId="2DD8C4A3"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On Discharge</w:t>
            </w:r>
          </w:p>
        </w:tc>
        <w:tc>
          <w:tcPr>
            <w:tcW w:w="0" w:type="auto"/>
            <w:hideMark/>
          </w:tcPr>
          <w:p w14:paraId="6FFC6612"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Notes</w:t>
            </w:r>
          </w:p>
        </w:tc>
      </w:tr>
      <w:tr w:rsidR="00F638C0" w:rsidRPr="00F638C0" w14:paraId="444BF01A" w14:textId="77777777" w:rsidTr="00F638C0">
        <w:tc>
          <w:tcPr>
            <w:tcW w:w="0" w:type="auto"/>
            <w:hideMark/>
          </w:tcPr>
          <w:p w14:paraId="2258AFA2"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Pulse Rate</w:t>
            </w:r>
          </w:p>
        </w:tc>
        <w:tc>
          <w:tcPr>
            <w:tcW w:w="0" w:type="auto"/>
            <w:hideMark/>
          </w:tcPr>
          <w:p w14:paraId="3F5699D7"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96 bpm</w:t>
            </w:r>
          </w:p>
        </w:tc>
        <w:tc>
          <w:tcPr>
            <w:tcW w:w="0" w:type="auto"/>
            <w:hideMark/>
          </w:tcPr>
          <w:p w14:paraId="7858AB96"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84 bpm</w:t>
            </w:r>
          </w:p>
        </w:tc>
        <w:tc>
          <w:tcPr>
            <w:tcW w:w="0" w:type="auto"/>
            <w:hideMark/>
          </w:tcPr>
          <w:p w14:paraId="7CBB9B90"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Stable</w:t>
            </w:r>
          </w:p>
        </w:tc>
      </w:tr>
      <w:tr w:rsidR="00F638C0" w:rsidRPr="00F638C0" w14:paraId="042745DD" w14:textId="77777777" w:rsidTr="00F638C0">
        <w:tc>
          <w:tcPr>
            <w:tcW w:w="0" w:type="auto"/>
            <w:hideMark/>
          </w:tcPr>
          <w:p w14:paraId="3046FAF9"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Blood Pressure</w:t>
            </w:r>
          </w:p>
        </w:tc>
        <w:tc>
          <w:tcPr>
            <w:tcW w:w="0" w:type="auto"/>
            <w:hideMark/>
          </w:tcPr>
          <w:p w14:paraId="2E170105"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112/73 mmHg</w:t>
            </w:r>
          </w:p>
        </w:tc>
        <w:tc>
          <w:tcPr>
            <w:tcW w:w="0" w:type="auto"/>
            <w:hideMark/>
          </w:tcPr>
          <w:p w14:paraId="438ED922"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100/70 mmHg</w:t>
            </w:r>
          </w:p>
        </w:tc>
        <w:tc>
          <w:tcPr>
            <w:tcW w:w="0" w:type="auto"/>
            <w:hideMark/>
          </w:tcPr>
          <w:p w14:paraId="5A2CCFA8"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Mild drop</w:t>
            </w:r>
          </w:p>
        </w:tc>
      </w:tr>
      <w:tr w:rsidR="00F638C0" w:rsidRPr="00F638C0" w14:paraId="26EE9E61" w14:textId="77777777" w:rsidTr="00F638C0">
        <w:tc>
          <w:tcPr>
            <w:tcW w:w="0" w:type="auto"/>
            <w:hideMark/>
          </w:tcPr>
          <w:p w14:paraId="71AFDCFD"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SpO₂ (Room Air)</w:t>
            </w:r>
          </w:p>
        </w:tc>
        <w:tc>
          <w:tcPr>
            <w:tcW w:w="0" w:type="auto"/>
            <w:hideMark/>
          </w:tcPr>
          <w:p w14:paraId="02BDCE79"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97%</w:t>
            </w:r>
          </w:p>
        </w:tc>
        <w:tc>
          <w:tcPr>
            <w:tcW w:w="0" w:type="auto"/>
            <w:hideMark/>
          </w:tcPr>
          <w:p w14:paraId="46A6B579"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98%</w:t>
            </w:r>
          </w:p>
        </w:tc>
        <w:tc>
          <w:tcPr>
            <w:tcW w:w="0" w:type="auto"/>
            <w:hideMark/>
          </w:tcPr>
          <w:p w14:paraId="048CC1AC"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Normal</w:t>
            </w:r>
          </w:p>
        </w:tc>
      </w:tr>
      <w:tr w:rsidR="00F638C0" w:rsidRPr="00F638C0" w14:paraId="2FDA3E7C" w14:textId="77777777" w:rsidTr="00F638C0">
        <w:tc>
          <w:tcPr>
            <w:tcW w:w="0" w:type="auto"/>
            <w:hideMark/>
          </w:tcPr>
          <w:p w14:paraId="2B3EC03D"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Haemoglobin (Hb)</w:t>
            </w:r>
          </w:p>
        </w:tc>
        <w:tc>
          <w:tcPr>
            <w:tcW w:w="0" w:type="auto"/>
            <w:hideMark/>
          </w:tcPr>
          <w:p w14:paraId="2161A533"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11.8 g/dL</w:t>
            </w:r>
          </w:p>
        </w:tc>
        <w:tc>
          <w:tcPr>
            <w:tcW w:w="0" w:type="auto"/>
            <w:hideMark/>
          </w:tcPr>
          <w:p w14:paraId="3A0B627B"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61CDD110"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Mild anaemia</w:t>
            </w:r>
          </w:p>
        </w:tc>
      </w:tr>
      <w:tr w:rsidR="00F638C0" w:rsidRPr="00F638C0" w14:paraId="72B6236A" w14:textId="77777777" w:rsidTr="00F638C0">
        <w:tc>
          <w:tcPr>
            <w:tcW w:w="0" w:type="auto"/>
            <w:hideMark/>
          </w:tcPr>
          <w:p w14:paraId="629BF58F"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Ejection Fraction (EF)</w:t>
            </w:r>
          </w:p>
        </w:tc>
        <w:tc>
          <w:tcPr>
            <w:tcW w:w="0" w:type="auto"/>
            <w:hideMark/>
          </w:tcPr>
          <w:p w14:paraId="142858FA"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60%</w:t>
            </w:r>
          </w:p>
        </w:tc>
        <w:tc>
          <w:tcPr>
            <w:tcW w:w="0" w:type="auto"/>
            <w:hideMark/>
          </w:tcPr>
          <w:p w14:paraId="6AEA231E"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33522DDC"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Normal LV function</w:t>
            </w:r>
          </w:p>
        </w:tc>
      </w:tr>
      <w:tr w:rsidR="00F638C0" w:rsidRPr="00F638C0" w14:paraId="33CD22B4" w14:textId="77777777" w:rsidTr="00F638C0">
        <w:tc>
          <w:tcPr>
            <w:tcW w:w="0" w:type="auto"/>
            <w:hideMark/>
          </w:tcPr>
          <w:p w14:paraId="5079992F"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Serology</w:t>
            </w:r>
          </w:p>
        </w:tc>
        <w:tc>
          <w:tcPr>
            <w:tcW w:w="0" w:type="auto"/>
            <w:hideMark/>
          </w:tcPr>
          <w:p w14:paraId="63F68DB1"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Non-reactive</w:t>
            </w:r>
          </w:p>
        </w:tc>
        <w:tc>
          <w:tcPr>
            <w:tcW w:w="0" w:type="auto"/>
            <w:hideMark/>
          </w:tcPr>
          <w:p w14:paraId="04A6B58B"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w:t>
            </w:r>
          </w:p>
        </w:tc>
        <w:tc>
          <w:tcPr>
            <w:tcW w:w="0" w:type="auto"/>
            <w:hideMark/>
          </w:tcPr>
          <w:p w14:paraId="0A8F3ABD" w14:textId="77777777" w:rsidR="00F638C0" w:rsidRPr="00F638C0" w:rsidRDefault="00F638C0" w:rsidP="00F638C0">
            <w:pPr>
              <w:spacing w:after="160" w:line="278" w:lineRule="auto"/>
              <w:rPr>
                <w:rFonts w:ascii="Times New Roman" w:hAnsi="Times New Roman" w:cs="Times New Roman"/>
              </w:rPr>
            </w:pPr>
            <w:r w:rsidRPr="00F638C0">
              <w:rPr>
                <w:rFonts w:ascii="Times New Roman" w:hAnsi="Times New Roman" w:cs="Times New Roman"/>
              </w:rPr>
              <w:t>Negative</w:t>
            </w:r>
          </w:p>
        </w:tc>
      </w:tr>
    </w:tbl>
    <w:p w14:paraId="5FB91626" w14:textId="77777777" w:rsidR="00F638C0" w:rsidRDefault="00F638C0" w:rsidP="00F638C0">
      <w:pPr>
        <w:rPr>
          <w:rFonts w:ascii="Times New Roman" w:hAnsi="Times New Roman" w:cs="Times New Roman"/>
        </w:rPr>
      </w:pPr>
    </w:p>
    <w:p w14:paraId="5A93A9F0" w14:textId="77777777" w:rsidR="006C4A1B" w:rsidRDefault="00EC6367" w:rsidP="00F638C0">
      <w:pPr>
        <w:rPr>
          <w:rFonts w:ascii="Times New Roman" w:hAnsi="Times New Roman" w:cs="Times New Roman"/>
        </w:rPr>
      </w:pPr>
      <w:r w:rsidRPr="00EC6367">
        <w:rPr>
          <w:rFonts w:ascii="Times New Roman" w:hAnsi="Times New Roman" w:cs="Times New Roman"/>
        </w:rPr>
        <w:t>Pelvic angiography performed on 22 June 2026 demonstrated bilateral internal iliac artery arteriovenous malformations, with more prominent involvement on the left side. Representative angiographic images were not available for inclusion in this case report</w:t>
      </w:r>
      <w:r>
        <w:rPr>
          <w:rFonts w:ascii="Times New Roman" w:hAnsi="Times New Roman" w:cs="Times New Roman"/>
        </w:rPr>
        <w:t xml:space="preserve">. </w:t>
      </w:r>
      <w:r w:rsidR="00F638C0" w:rsidRPr="00F638C0">
        <w:rPr>
          <w:rFonts w:ascii="Times New Roman" w:hAnsi="Times New Roman" w:cs="Times New Roman"/>
        </w:rPr>
        <w:t>Echocardiography demonstrated normal left ventricular function. Systemic examination revealed no abnormalities in the cardiovascular, respiratory, gastrointestinal, or neurological systems.</w:t>
      </w:r>
      <w:r w:rsidR="00F638C0">
        <w:rPr>
          <w:rFonts w:ascii="Times New Roman" w:hAnsi="Times New Roman" w:cs="Times New Roman"/>
        </w:rPr>
        <w:t xml:space="preserve"> </w:t>
      </w:r>
      <w:r>
        <w:rPr>
          <w:rFonts w:ascii="Times New Roman" w:hAnsi="Times New Roman" w:cs="Times New Roman"/>
          <w:highlight w:val="yellow"/>
        </w:rPr>
        <w:t>She was stabilised, and embolisation of the AVM was planned.</w:t>
      </w:r>
      <w:r>
        <w:rPr>
          <w:rFonts w:ascii="Times New Roman" w:hAnsi="Times New Roman" w:cs="Times New Roman"/>
        </w:rPr>
        <w:t xml:space="preserve"> At discharge, her </w:t>
      </w:r>
      <w:r>
        <w:rPr>
          <w:rFonts w:ascii="Times New Roman" w:hAnsi="Times New Roman" w:cs="Times New Roman"/>
          <w:highlight w:val="yellow"/>
        </w:rPr>
        <w:t>vital signs</w:t>
      </w:r>
      <w:r>
        <w:rPr>
          <w:rFonts w:ascii="Times New Roman" w:hAnsi="Times New Roman" w:cs="Times New Roman"/>
        </w:rPr>
        <w:t xml:space="preserve"> were stable, and she was prescribed antibiotics (Augmentin Duo 625 mg twice daily for three days), analgesics (</w:t>
      </w:r>
      <w:proofErr w:type="spellStart"/>
      <w:r w:rsidR="00F638C0" w:rsidRPr="00F638C0">
        <w:rPr>
          <w:rFonts w:ascii="Times New Roman" w:hAnsi="Times New Roman" w:cs="Times New Roman"/>
        </w:rPr>
        <w:t>Lyser</w:t>
      </w:r>
      <w:proofErr w:type="spellEnd"/>
      <w:r w:rsidR="00F638C0" w:rsidRPr="00F638C0">
        <w:rPr>
          <w:rFonts w:ascii="Times New Roman" w:hAnsi="Times New Roman" w:cs="Times New Roman"/>
        </w:rPr>
        <w:t xml:space="preserve"> D twice daily for three days), and a proton pump inhibitor (Pan 40 mg once daily before food for ten days). She was advised to follow up with </w:t>
      </w:r>
      <w:r w:rsidR="00F638C0" w:rsidRPr="00F638C0">
        <w:rPr>
          <w:rFonts w:ascii="Times New Roman" w:hAnsi="Times New Roman" w:cs="Times New Roman"/>
        </w:rPr>
        <w:lastRenderedPageBreak/>
        <w:t>cardiology after one week and to seek urgent care if she developed chest pain, shortness of breath, or gum bleeding.</w:t>
      </w:r>
    </w:p>
    <w:p w14:paraId="6DEB38DF" w14:textId="77777777" w:rsidR="006C4A1B" w:rsidRPr="006C4A1B" w:rsidRDefault="006C4A1B" w:rsidP="00F638C0">
      <w:pPr>
        <w:rPr>
          <w:rFonts w:ascii="Times New Roman" w:hAnsi="Times New Roman" w:cs="Times New Roman"/>
        </w:rPr>
      </w:pPr>
    </w:p>
    <w:p w14:paraId="73F1B74C" w14:textId="77777777" w:rsidR="00F638C0" w:rsidRPr="006C4A1B" w:rsidRDefault="006C4A1B" w:rsidP="00F638C0">
      <w:pPr>
        <w:rPr>
          <w:rFonts w:ascii="Times New Roman" w:hAnsi="Times New Roman" w:cs="Times New Roman"/>
          <w:b/>
          <w:bCs/>
          <w:color w:val="153D63" w:themeColor="text2" w:themeTint="E6"/>
          <w:sz w:val="28"/>
          <w:szCs w:val="28"/>
        </w:rPr>
      </w:pPr>
      <w:r w:rsidRPr="006C4A1B">
        <w:rPr>
          <w:rFonts w:ascii="Times New Roman" w:hAnsi="Times New Roman" w:cs="Times New Roman"/>
          <w:b/>
          <w:bCs/>
          <w:color w:val="153D63" w:themeColor="text2" w:themeTint="E6"/>
          <w:sz w:val="28"/>
          <w:szCs w:val="28"/>
        </w:rPr>
        <w:t>DISCUSSION</w:t>
      </w:r>
    </w:p>
    <w:p w14:paraId="1B11DB38" w14:textId="77777777" w:rsidR="006C4A1B" w:rsidRPr="006C4A1B" w:rsidRDefault="006C4A1B" w:rsidP="006C4A1B">
      <w:pPr>
        <w:rPr>
          <w:rFonts w:ascii="Times New Roman" w:hAnsi="Times New Roman" w:cs="Times New Roman"/>
        </w:rPr>
      </w:pPr>
      <w:r w:rsidRPr="006C4A1B">
        <w:rPr>
          <w:rFonts w:ascii="Times New Roman" w:hAnsi="Times New Roman" w:cs="Times New Roman"/>
        </w:rPr>
        <w:t xml:space="preserve">This case illustrates an unusual and clinically significant association between GTD and bilateral internal iliac artery AVMs. GTD itself is known to cause systemic complications due to abnormal trophoblastic proliferation, including </w:t>
      </w:r>
      <w:r>
        <w:rPr>
          <w:rFonts w:ascii="Times New Roman" w:hAnsi="Times New Roman" w:cs="Times New Roman"/>
          <w:highlight w:val="yellow"/>
        </w:rPr>
        <w:t>haemorrhage</w:t>
      </w:r>
      <w:r w:rsidRPr="006C4A1B">
        <w:rPr>
          <w:rFonts w:ascii="Times New Roman" w:hAnsi="Times New Roman" w:cs="Times New Roman"/>
        </w:rPr>
        <w:t xml:space="preserve">, thyroid storm, and metastatic spread </w:t>
      </w:r>
      <w:r>
        <w:rPr>
          <w:rFonts w:ascii="Times New Roman" w:hAnsi="Times New Roman" w:cs="Times New Roman"/>
          <w:highlight w:val="yellow"/>
        </w:rPr>
        <w:t>(Gizaw et al., 2025; Lehto et al., 2018; Ting, 2026)</w:t>
      </w:r>
      <w:r>
        <w:rPr>
          <w:rFonts w:ascii="Times New Roman" w:hAnsi="Times New Roman" w:cs="Times New Roman"/>
        </w:rPr>
        <w:t xml:space="preserve">. However, its coexistence with vascular malformations is exceedingly rare. AVMs of the internal iliac arteries are </w:t>
      </w:r>
      <w:r>
        <w:rPr>
          <w:rFonts w:ascii="Times New Roman" w:hAnsi="Times New Roman" w:cs="Times New Roman"/>
          <w:highlight w:val="yellow"/>
        </w:rPr>
        <w:t>sparsely reported in the literature</w:t>
      </w:r>
      <w:r>
        <w:rPr>
          <w:rFonts w:ascii="Times New Roman" w:hAnsi="Times New Roman" w:cs="Times New Roman"/>
        </w:rPr>
        <w:t xml:space="preserve">. </w:t>
      </w:r>
      <w:r>
        <w:rPr>
          <w:rFonts w:ascii="Times New Roman" w:hAnsi="Times New Roman" w:cs="Times New Roman"/>
          <w:highlight w:val="yellow"/>
        </w:rPr>
        <w:t>Yokota et al. (2002)</w:t>
      </w:r>
      <w:r>
        <w:rPr>
          <w:rFonts w:ascii="Times New Roman" w:hAnsi="Times New Roman" w:cs="Times New Roman"/>
        </w:rPr>
        <w:t xml:space="preserve"> described the use of Doppler ultrasonography in diagnosing iliac AVMs, while </w:t>
      </w:r>
      <w:r>
        <w:rPr>
          <w:rFonts w:ascii="Times New Roman" w:hAnsi="Times New Roman" w:cs="Times New Roman"/>
          <w:highlight w:val="yellow"/>
        </w:rPr>
        <w:t>Miyagawa et al. (2025)</w:t>
      </w:r>
      <w:r>
        <w:rPr>
          <w:rFonts w:ascii="Times New Roman" w:hAnsi="Times New Roman" w:cs="Times New Roman"/>
        </w:rPr>
        <w:t xml:space="preserve"> reported a case of pelvic AVM presenting with massive bladder bleeding and haemorrhagic shock. </w:t>
      </w:r>
      <w:r>
        <w:rPr>
          <w:rFonts w:ascii="Times New Roman" w:hAnsi="Times New Roman" w:cs="Times New Roman"/>
          <w:highlight w:val="yellow"/>
        </w:rPr>
        <w:t>Yang et al. (2024)</w:t>
      </w:r>
      <w:r>
        <w:rPr>
          <w:rFonts w:ascii="Times New Roman" w:hAnsi="Times New Roman" w:cs="Times New Roman"/>
        </w:rPr>
        <w:t xml:space="preserve"> documented an iliac AVM associated with trisomy 21, further </w:t>
      </w:r>
      <w:r>
        <w:rPr>
          <w:rFonts w:ascii="Times New Roman" w:hAnsi="Times New Roman" w:cs="Times New Roman"/>
          <w:highlight w:val="yellow"/>
        </w:rPr>
        <w:t>emphasising</w:t>
      </w:r>
      <w:r>
        <w:rPr>
          <w:rFonts w:ascii="Times New Roman" w:hAnsi="Times New Roman" w:cs="Times New Roman"/>
        </w:rPr>
        <w:t xml:space="preserve"> the rarity of such vascular anomalies. </w:t>
      </w:r>
      <w:r>
        <w:rPr>
          <w:rFonts w:ascii="Times New Roman" w:hAnsi="Times New Roman" w:cs="Times New Roman"/>
          <w:highlight w:val="yellow"/>
        </w:rPr>
        <w:t>Chen et al. (2025)</w:t>
      </w:r>
      <w:r>
        <w:rPr>
          <w:rFonts w:ascii="Times New Roman" w:hAnsi="Times New Roman" w:cs="Times New Roman"/>
        </w:rPr>
        <w:t xml:space="preserve"> described a fatal rupture of an iliac artery aneurysm associated with AVM, underscoring the potential severity of these </w:t>
      </w:r>
      <w:r w:rsidRPr="006C4A1B">
        <w:rPr>
          <w:rFonts w:ascii="Times New Roman" w:hAnsi="Times New Roman" w:cs="Times New Roman"/>
        </w:rPr>
        <w:t>lesions</w:t>
      </w:r>
      <w:r>
        <w:rPr>
          <w:rFonts w:ascii="Times New Roman" w:hAnsi="Times New Roman" w:cs="Times New Roman"/>
        </w:rPr>
        <w:t xml:space="preserve">. PCS, which was suspected in our patient, is often overlooked as a cause of chronic pelvic pain. Case reports have highlighted its occurrence even in postmenopausal women, underscoring its diagnostic complexity </w:t>
      </w:r>
      <w:r>
        <w:rPr>
          <w:rFonts w:ascii="Times New Roman" w:hAnsi="Times New Roman" w:cs="Times New Roman"/>
          <w:highlight w:val="yellow"/>
        </w:rPr>
        <w:t>(Bartl et al., 2021; Potla et al., 2021)</w:t>
      </w:r>
      <w:r>
        <w:rPr>
          <w:rFonts w:ascii="Times New Roman" w:hAnsi="Times New Roman" w:cs="Times New Roman"/>
        </w:rPr>
        <w:t xml:space="preserve">. In this case, PCS was likely exacerbated by the presence of bilateral iliac AVMs, leading to venous varices and pelvic discomfort. The pathophysiological link between GTD and AVMs remains speculative. One possible mechanism is abnormal angiogenesis triggered by trophoblastic proliferation, which may predispose to vascular malformations. Another possibility is that the </w:t>
      </w:r>
      <w:r>
        <w:rPr>
          <w:rFonts w:ascii="Times New Roman" w:hAnsi="Times New Roman" w:cs="Times New Roman"/>
          <w:highlight w:val="yellow"/>
        </w:rPr>
        <w:t>haemodynamic</w:t>
      </w:r>
      <w:r>
        <w:rPr>
          <w:rFonts w:ascii="Times New Roman" w:hAnsi="Times New Roman" w:cs="Times New Roman"/>
        </w:rPr>
        <w:t xml:space="preserve"> changes associated with PCS and GTD together contributed to the development or unmasking of the AVMs. Management of pelvic AVMs typically involves </w:t>
      </w:r>
      <w:r>
        <w:rPr>
          <w:rFonts w:ascii="Times New Roman" w:hAnsi="Times New Roman" w:cs="Times New Roman"/>
          <w:highlight w:val="yellow"/>
        </w:rPr>
        <w:t>embolisation</w:t>
      </w:r>
      <w:r>
        <w:rPr>
          <w:rFonts w:ascii="Times New Roman" w:hAnsi="Times New Roman" w:cs="Times New Roman"/>
        </w:rPr>
        <w:t xml:space="preserve">, which has been shown to be safe and effective in controlling bleeding and alleviating symptoms </w:t>
      </w:r>
      <w:r>
        <w:rPr>
          <w:rFonts w:ascii="Times New Roman" w:hAnsi="Times New Roman" w:cs="Times New Roman"/>
          <w:highlight w:val="yellow"/>
        </w:rPr>
        <w:t>(Chen et al., 2025; Maleux et al., 2000; Miyagawa et al., 2025)</w:t>
      </w:r>
      <w:r>
        <w:rPr>
          <w:rFonts w:ascii="Times New Roman" w:hAnsi="Times New Roman" w:cs="Times New Roman"/>
        </w:rPr>
        <w:t xml:space="preserve">. In our patient, </w:t>
      </w:r>
      <w:r>
        <w:rPr>
          <w:rFonts w:ascii="Times New Roman" w:hAnsi="Times New Roman" w:cs="Times New Roman"/>
          <w:highlight w:val="yellow"/>
        </w:rPr>
        <w:t>embolisation</w:t>
      </w:r>
      <w:r>
        <w:rPr>
          <w:rFonts w:ascii="Times New Roman" w:hAnsi="Times New Roman" w:cs="Times New Roman"/>
        </w:rPr>
        <w:t xml:space="preserve"> was planned as the definitive treatment. The case underscores the importance of multidisciplinary care, involving gynaecology, cardiology, and interventional radiology, in managing such complex presentations.</w:t>
      </w:r>
    </w:p>
    <w:p w14:paraId="1713A985" w14:textId="77777777" w:rsidR="006C4A1B" w:rsidRDefault="006C4A1B" w:rsidP="006C4A1B">
      <w:pPr>
        <w:rPr>
          <w:rFonts w:ascii="Times New Roman" w:hAnsi="Times New Roman" w:cs="Times New Roman"/>
        </w:rPr>
      </w:pPr>
      <w:r w:rsidRPr="006C4A1B">
        <w:rPr>
          <w:rFonts w:ascii="Times New Roman" w:hAnsi="Times New Roman" w:cs="Times New Roman"/>
        </w:rPr>
        <w:t xml:space="preserve">This case adds to the limited body of literature on iliac AVMs and highlights a previously unreported association with GTD. It </w:t>
      </w:r>
      <w:r>
        <w:rPr>
          <w:rFonts w:ascii="Times New Roman" w:hAnsi="Times New Roman" w:cs="Times New Roman"/>
          <w:highlight w:val="yellow"/>
        </w:rPr>
        <w:t>emphasises</w:t>
      </w:r>
      <w:r>
        <w:rPr>
          <w:rFonts w:ascii="Times New Roman" w:hAnsi="Times New Roman" w:cs="Times New Roman"/>
        </w:rPr>
        <w:t xml:space="preserve"> the need for clinicians to maintain a high index of suspicion for vascular anomalies when evaluating patients with GTD and atypical pelvic symptoms. Early recognition and timely intervention are crucial to prevent potentially life-threatening complications.</w:t>
      </w:r>
    </w:p>
    <w:p w14:paraId="0E4A8764" w14:textId="4B8C11B4" w:rsidR="00124C79" w:rsidRPr="00124C79" w:rsidRDefault="00124C79" w:rsidP="006C4A1B">
      <w:pPr>
        <w:rPr>
          <w:rFonts w:ascii="Times New Roman" w:hAnsi="Times New Roman" w:cs="Times New Roman"/>
          <w:b/>
          <w:bCs/>
        </w:rPr>
      </w:pPr>
      <w:r w:rsidRPr="00124C79">
        <w:rPr>
          <w:rFonts w:ascii="Times New Roman" w:hAnsi="Times New Roman" w:cs="Times New Roman"/>
          <w:b/>
          <w:bCs/>
        </w:rPr>
        <w:t xml:space="preserve">Conclusion: </w:t>
      </w:r>
    </w:p>
    <w:p w14:paraId="06D948B8" w14:textId="6AAA9E4B" w:rsidR="00124C79" w:rsidRDefault="00124C79" w:rsidP="006C4A1B">
      <w:pPr>
        <w:rPr>
          <w:rFonts w:ascii="Times New Roman" w:hAnsi="Times New Roman" w:cs="Times New Roman"/>
        </w:rPr>
      </w:pPr>
      <w:r w:rsidRPr="00124C79">
        <w:rPr>
          <w:rFonts w:ascii="Times New Roman" w:hAnsi="Times New Roman" w:cs="Times New Roman"/>
        </w:rPr>
        <w:t xml:space="preserve">This case describes gestational trophoblastic disease occurring with bilateral internal iliac artery arteriovenous malformations, with greater angiographic involvement on the left side. The presentation with amenorrhoea, pelvic pain, and features suggestive of pelvic venous congestion illustrates the diagnostic complexity of coexisting trophoblastic and vascular abnormalities. Pelvic angiography provided the principal vascular finding, while </w:t>
      </w:r>
      <w:r w:rsidRPr="00124C79">
        <w:rPr>
          <w:rFonts w:ascii="Times New Roman" w:hAnsi="Times New Roman" w:cs="Times New Roman"/>
        </w:rPr>
        <w:lastRenderedPageBreak/>
        <w:t xml:space="preserve">echocardiography showed preserved left ventricular function and laboratory assessment identified mild anaemia. The patient remained haemodynamically stable, and </w:t>
      </w:r>
      <w:proofErr w:type="spellStart"/>
      <w:r w:rsidRPr="00124C79">
        <w:rPr>
          <w:rFonts w:ascii="Times New Roman" w:hAnsi="Times New Roman" w:cs="Times New Roman"/>
        </w:rPr>
        <w:t>embolisation</w:t>
      </w:r>
      <w:proofErr w:type="spellEnd"/>
      <w:r w:rsidRPr="00124C79">
        <w:rPr>
          <w:rFonts w:ascii="Times New Roman" w:hAnsi="Times New Roman" w:cs="Times New Roman"/>
        </w:rPr>
        <w:t xml:space="preserve"> was planned as definitive management of the arteriovenous malformation. Because β-</w:t>
      </w:r>
      <w:proofErr w:type="spellStart"/>
      <w:r w:rsidRPr="00124C79">
        <w:rPr>
          <w:rFonts w:ascii="Times New Roman" w:hAnsi="Times New Roman" w:cs="Times New Roman"/>
        </w:rPr>
        <w:t>hCG</w:t>
      </w:r>
      <w:proofErr w:type="spellEnd"/>
      <w:r w:rsidRPr="00124C79">
        <w:rPr>
          <w:rFonts w:ascii="Times New Roman" w:hAnsi="Times New Roman" w:cs="Times New Roman"/>
        </w:rPr>
        <w:t xml:space="preserve"> and complete blood count results were still pending at discharge, histopathological confirmation was unavailable, and post-</w:t>
      </w:r>
      <w:proofErr w:type="spellStart"/>
      <w:r w:rsidRPr="00124C79">
        <w:rPr>
          <w:rFonts w:ascii="Times New Roman" w:hAnsi="Times New Roman" w:cs="Times New Roman"/>
        </w:rPr>
        <w:t>embolisation</w:t>
      </w:r>
      <w:proofErr w:type="spellEnd"/>
      <w:r w:rsidRPr="00124C79">
        <w:rPr>
          <w:rFonts w:ascii="Times New Roman" w:hAnsi="Times New Roman" w:cs="Times New Roman"/>
        </w:rPr>
        <w:t xml:space="preserve"> follow-up was not reported, the findings should be interpreted within the limits of a single case. Nevertheless, the report supports careful vascular evaluation and multidisciplinary coordination when unusual pelvic symptoms occur in the setting of suspected or diagnosed gestational trophoblastic disease, while avoiding assumptions about a causal relationship between these conditions.</w:t>
      </w:r>
    </w:p>
    <w:p w14:paraId="4AC764B5" w14:textId="77777777" w:rsidR="00124C79" w:rsidRPr="00124C79" w:rsidRDefault="00124C79" w:rsidP="006C4A1B">
      <w:pPr>
        <w:rPr>
          <w:rFonts w:ascii="Times New Roman" w:hAnsi="Times New Roman" w:cs="Times New Roman"/>
          <w:b/>
          <w:bCs/>
        </w:rPr>
      </w:pPr>
    </w:p>
    <w:p w14:paraId="326AF249" w14:textId="5115A5EE" w:rsidR="00124C79" w:rsidRPr="00124C79" w:rsidRDefault="00124C79" w:rsidP="00124C79">
      <w:pPr>
        <w:rPr>
          <w:rFonts w:ascii="Times New Roman" w:hAnsi="Times New Roman" w:cs="Times New Roman"/>
          <w:b/>
          <w:bCs/>
        </w:rPr>
      </w:pPr>
      <w:r w:rsidRPr="00124C79">
        <w:rPr>
          <w:rFonts w:ascii="Times New Roman" w:hAnsi="Times New Roman" w:cs="Times New Roman"/>
          <w:b/>
          <w:bCs/>
        </w:rPr>
        <w:t>Limitation</w:t>
      </w:r>
    </w:p>
    <w:p w14:paraId="4BDDB58F" w14:textId="77777777" w:rsidR="00124C79" w:rsidRPr="00124C79" w:rsidRDefault="00124C79" w:rsidP="00124C79">
      <w:pPr>
        <w:rPr>
          <w:rFonts w:ascii="Times New Roman" w:hAnsi="Times New Roman" w:cs="Times New Roman"/>
        </w:rPr>
      </w:pPr>
    </w:p>
    <w:p w14:paraId="70EEFBA5" w14:textId="138AFD07" w:rsidR="00124C79" w:rsidRPr="006C4A1B" w:rsidRDefault="00124C79" w:rsidP="00124C79">
      <w:pPr>
        <w:rPr>
          <w:rFonts w:ascii="Times New Roman" w:hAnsi="Times New Roman" w:cs="Times New Roman"/>
        </w:rPr>
      </w:pPr>
      <w:r w:rsidRPr="00124C79">
        <w:rPr>
          <w:rFonts w:ascii="Times New Roman" w:hAnsi="Times New Roman" w:cs="Times New Roman"/>
        </w:rPr>
        <w:t>This report is limited by its single-patient design, absence of histopathological confirmation, and incomplete laboratory data because serum β-</w:t>
      </w:r>
      <w:proofErr w:type="spellStart"/>
      <w:r w:rsidRPr="00124C79">
        <w:rPr>
          <w:rFonts w:ascii="Times New Roman" w:hAnsi="Times New Roman" w:cs="Times New Roman"/>
        </w:rPr>
        <w:t>hCG</w:t>
      </w:r>
      <w:proofErr w:type="spellEnd"/>
      <w:r w:rsidRPr="00124C79">
        <w:rPr>
          <w:rFonts w:ascii="Times New Roman" w:hAnsi="Times New Roman" w:cs="Times New Roman"/>
        </w:rPr>
        <w:t xml:space="preserve"> and complete blood count results were pending at discharge. Angiographic and histopathological images were unavailable for inclusion, limiting visual documentation. In addition, long-term outcomes following the planned </w:t>
      </w:r>
      <w:proofErr w:type="spellStart"/>
      <w:r w:rsidRPr="00124C79">
        <w:rPr>
          <w:rFonts w:ascii="Times New Roman" w:hAnsi="Times New Roman" w:cs="Times New Roman"/>
        </w:rPr>
        <w:t>embolisation</w:t>
      </w:r>
      <w:proofErr w:type="spellEnd"/>
      <w:r w:rsidRPr="00124C79">
        <w:rPr>
          <w:rFonts w:ascii="Times New Roman" w:hAnsi="Times New Roman" w:cs="Times New Roman"/>
        </w:rPr>
        <w:t xml:space="preserve"> were not available. These limitations restrict assessment of diagnostic certainty, treatment durability, recurrence, and any causal relationship between gestational trophoblastic disease and bilateral internal iliac artery arteriovenous malformations.</w:t>
      </w:r>
    </w:p>
    <w:p w14:paraId="685B134E" w14:textId="77777777" w:rsidR="00F638C0" w:rsidRPr="00F638C0" w:rsidRDefault="00F638C0" w:rsidP="00F638C0">
      <w:pPr>
        <w:rPr>
          <w:rFonts w:ascii="Times New Roman" w:hAnsi="Times New Roman" w:cs="Times New Roman"/>
        </w:rPr>
      </w:pPr>
    </w:p>
    <w:p w14:paraId="44879547" w14:textId="77777777" w:rsidR="006C4A1B" w:rsidRDefault="006C4A1B" w:rsidP="006C4A1B">
      <w:pPr>
        <w:rPr>
          <w:rFonts w:ascii="Times New Roman" w:hAnsi="Times New Roman" w:cs="Times New Roman"/>
        </w:rPr>
      </w:pPr>
    </w:p>
    <w:p w14:paraId="2076A8AD" w14:textId="77777777" w:rsidR="00D67113" w:rsidRPr="00D67113" w:rsidRDefault="00D67113" w:rsidP="00D67113">
      <w:pPr>
        <w:spacing w:after="200" w:line="276" w:lineRule="auto"/>
        <w:rPr>
          <w:rFonts w:ascii="Calibri" w:eastAsia="Calibri" w:hAnsi="Calibri" w:cs="Times New Roman"/>
          <w:b/>
          <w:kern w:val="0"/>
          <w:sz w:val="28"/>
          <w:szCs w:val="22"/>
          <w:lang w:val="en-US"/>
          <w14:ligatures w14:val="none"/>
        </w:rPr>
      </w:pPr>
      <w:r w:rsidRPr="00D67113">
        <w:rPr>
          <w:rFonts w:ascii="Calibri" w:eastAsia="Calibri" w:hAnsi="Calibri" w:cs="Times New Roman"/>
          <w:b/>
          <w:kern w:val="0"/>
          <w:sz w:val="28"/>
          <w:szCs w:val="22"/>
          <w:lang w:val="en-US"/>
          <w14:ligatures w14:val="none"/>
        </w:rPr>
        <w:t>Ethical Approval:</w:t>
      </w:r>
    </w:p>
    <w:p w14:paraId="0331AD33" w14:textId="77777777" w:rsidR="00D67113" w:rsidRPr="00D67113" w:rsidRDefault="00D67113" w:rsidP="00D67113">
      <w:pPr>
        <w:spacing w:after="200" w:line="276" w:lineRule="auto"/>
        <w:rPr>
          <w:rFonts w:ascii="Calibri" w:eastAsia="Times New Roman" w:hAnsi="Calibri" w:cs="Times New Roman"/>
          <w:kern w:val="0"/>
          <w:sz w:val="22"/>
          <w:szCs w:val="22"/>
          <w:lang w:val="en-US"/>
          <w14:ligatures w14:val="none"/>
        </w:rPr>
      </w:pPr>
    </w:p>
    <w:p w14:paraId="23CE216C" w14:textId="77777777" w:rsidR="00D67113" w:rsidRPr="00D67113" w:rsidRDefault="00D67113" w:rsidP="00D67113">
      <w:pPr>
        <w:spacing w:after="200" w:line="276" w:lineRule="auto"/>
        <w:rPr>
          <w:rFonts w:ascii="Calibri" w:eastAsia="Times New Roman" w:hAnsi="Calibri" w:cs="Times New Roman"/>
          <w:kern w:val="0"/>
          <w:sz w:val="22"/>
          <w:szCs w:val="22"/>
          <w:lang w:val="en-US"/>
          <w14:ligatures w14:val="none"/>
        </w:rPr>
      </w:pPr>
      <w:r w:rsidRPr="00D67113">
        <w:rPr>
          <w:rFonts w:ascii="Calibri" w:eastAsia="Times New Roman" w:hAnsi="Calibri" w:cs="Times New Roman"/>
          <w:kern w:val="0"/>
          <w:sz w:val="22"/>
          <w:szCs w:val="22"/>
          <w:lang w:val="en-US"/>
          <w14:ligatures w14:val="none"/>
        </w:rPr>
        <w:t>As per international standards or university standards written ethical approval has been collected and preserved by the author(s)</w:t>
      </w:r>
      <w:r w:rsidR="006C4A1B" w:rsidRPr="006C4A1B">
        <w:rPr>
          <w:rFonts w:ascii="Times New Roman" w:hAnsi="Times New Roman" w:cs="Times New Roman"/>
        </w:rPr>
        <w:br/>
      </w:r>
    </w:p>
    <w:p w14:paraId="35E4DFF0" w14:textId="77777777" w:rsidR="00E96CC9" w:rsidRDefault="006C4A1B" w:rsidP="006C4A1B">
      <w:pPr>
        <w:spacing w:after="280"/>
        <w:rPr>
          <w:rFonts w:ascii="Times New Roman" w:hAnsi="Times New Roman" w:cs="Times New Roman"/>
        </w:rPr>
      </w:pPr>
      <w:r w:rsidRPr="00D67113">
        <w:rPr>
          <w:rFonts w:ascii="Times New Roman" w:hAnsi="Times New Roman" w:cs="Times New Roman"/>
          <w:b/>
          <w:bCs/>
        </w:rPr>
        <w:t>Consent</w:t>
      </w:r>
      <w:r w:rsidR="00D67113">
        <w:rPr>
          <w:rFonts w:ascii="Times New Roman" w:hAnsi="Times New Roman" w:cs="Times New Roman"/>
        </w:rPr>
        <w:t xml:space="preserve">: </w:t>
      </w:r>
      <w:r w:rsidRPr="006C4A1B">
        <w:rPr>
          <w:rFonts w:ascii="Times New Roman" w:hAnsi="Times New Roman" w:cs="Times New Roman"/>
        </w:rPr>
        <w:t>Written informed consent was obtained from the patient for publication of this case report and any accompanying images.</w:t>
      </w:r>
      <w:r w:rsidRPr="006C4A1B">
        <w:rPr>
          <w:rFonts w:ascii="Times New Roman" w:hAnsi="Times New Roman" w:cs="Times New Roman"/>
        </w:rPr>
        <w:br/>
      </w:r>
    </w:p>
    <w:p w14:paraId="286FD168" w14:textId="77777777" w:rsidR="006C4A1B" w:rsidRPr="006C4A1B" w:rsidRDefault="006C4A1B" w:rsidP="006C4A1B">
      <w:pPr>
        <w:spacing w:after="280"/>
        <w:rPr>
          <w:rFonts w:ascii="Times New Roman" w:hAnsi="Times New Roman" w:cs="Times New Roman"/>
        </w:rPr>
      </w:pPr>
      <w:r w:rsidRPr="00E96CC9">
        <w:rPr>
          <w:rFonts w:ascii="Times New Roman" w:hAnsi="Times New Roman" w:cs="Times New Roman"/>
          <w:b/>
          <w:bCs/>
        </w:rPr>
        <w:t>Competing Interests:</w:t>
      </w:r>
      <w:r w:rsidRPr="006C4A1B">
        <w:rPr>
          <w:rFonts w:ascii="Times New Roman" w:hAnsi="Times New Roman" w:cs="Times New Roman"/>
        </w:rPr>
        <w:t xml:space="preserve"> The authors declare that they have no competing financial or non-financial interests.</w:t>
      </w:r>
    </w:p>
    <w:p w14:paraId="64C146BD" w14:textId="77777777" w:rsidR="00641D40" w:rsidRPr="002D08AC" w:rsidRDefault="00641D40" w:rsidP="00641D40">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65C3B732" w14:textId="77777777" w:rsidR="00641D40" w:rsidRPr="002D08AC" w:rsidRDefault="00641D40" w:rsidP="00641D40">
      <w:pPr>
        <w:spacing w:after="0" w:line="240" w:lineRule="auto"/>
        <w:rPr>
          <w:rFonts w:ascii="Arial" w:hAnsi="Arial" w:cs="Arial"/>
          <w:sz w:val="20"/>
          <w:szCs w:val="20"/>
        </w:rPr>
      </w:pPr>
      <w:bookmarkStart w:id="2" w:name="_Hlk239068730"/>
    </w:p>
    <w:p w14:paraId="2057E0A4" w14:textId="77777777" w:rsidR="00641D40" w:rsidRPr="002D08AC" w:rsidRDefault="00641D40" w:rsidP="00641D40">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6651C77F" w14:textId="77777777" w:rsidR="006C4A1B" w:rsidRPr="006C4A1B" w:rsidRDefault="006C4A1B" w:rsidP="006C4A1B">
      <w:pPr>
        <w:rPr>
          <w:rFonts w:ascii="Times New Roman" w:hAnsi="Times New Roman" w:cs="Times New Roman"/>
        </w:rPr>
      </w:pPr>
    </w:p>
    <w:p w14:paraId="6A5F3DC2" w14:textId="77777777" w:rsidR="006C4A1B" w:rsidRPr="006C4A1B" w:rsidRDefault="006C4A1B" w:rsidP="006C4A1B">
      <w:pPr>
        <w:rPr>
          <w:rFonts w:ascii="Times New Roman" w:hAnsi="Times New Roman" w:cs="Times New Roman"/>
        </w:rPr>
      </w:pPr>
    </w:p>
    <w:p w14:paraId="62D12785" w14:textId="77777777" w:rsidR="006C4A1B" w:rsidRPr="006C4A1B" w:rsidRDefault="006C4A1B" w:rsidP="00F638C0">
      <w:pPr>
        <w:rPr>
          <w:rFonts w:ascii="Times New Roman" w:hAnsi="Times New Roman" w:cs="Times New Roman"/>
        </w:rPr>
      </w:pPr>
    </w:p>
    <w:p w14:paraId="0CE616AD" w14:textId="77777777" w:rsidR="00F638C0" w:rsidRPr="006C4A1B" w:rsidRDefault="006C4A1B" w:rsidP="00F638C0">
      <w:pPr>
        <w:rPr>
          <w:rFonts w:ascii="Times New Roman" w:hAnsi="Times New Roman" w:cs="Times New Roman"/>
          <w:b/>
          <w:bCs/>
          <w:color w:val="153D63" w:themeColor="text2" w:themeTint="E6"/>
          <w:sz w:val="28"/>
          <w:szCs w:val="28"/>
        </w:rPr>
      </w:pPr>
      <w:r w:rsidRPr="006C4A1B">
        <w:rPr>
          <w:rFonts w:ascii="Times New Roman" w:hAnsi="Times New Roman" w:cs="Times New Roman"/>
          <w:b/>
          <w:bCs/>
          <w:color w:val="153D63" w:themeColor="text2" w:themeTint="E6"/>
          <w:sz w:val="28"/>
          <w:szCs w:val="28"/>
        </w:rPr>
        <w:t xml:space="preserve">REFERENCES </w:t>
      </w:r>
    </w:p>
    <w:p w14:paraId="0A93DD71"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15401">
        <w:rPr>
          <w:rFonts w:ascii="Times New Roman" w:eastAsia="Times New Roman" w:hAnsi="Times New Roman" w:cs="Times New Roman"/>
          <w:kern w:val="0"/>
          <w:lang w:val="en-US"/>
          <w14:ligatures w14:val="none"/>
        </w:rPr>
        <w:t>Aramabi</w:t>
      </w:r>
      <w:proofErr w:type="spellEnd"/>
      <w:r w:rsidRPr="00915401">
        <w:rPr>
          <w:rFonts w:ascii="Times New Roman" w:eastAsia="Times New Roman" w:hAnsi="Times New Roman" w:cs="Times New Roman"/>
          <w:kern w:val="0"/>
          <w:lang w:val="en-US"/>
          <w14:ligatures w14:val="none"/>
        </w:rPr>
        <w:t xml:space="preserve">, E., Rafi, J., &amp; </w:t>
      </w:r>
      <w:proofErr w:type="spellStart"/>
      <w:r w:rsidRPr="00915401">
        <w:rPr>
          <w:rFonts w:ascii="Times New Roman" w:eastAsia="Times New Roman" w:hAnsi="Times New Roman" w:cs="Times New Roman"/>
          <w:kern w:val="0"/>
          <w:lang w:val="en-US"/>
          <w14:ligatures w14:val="none"/>
        </w:rPr>
        <w:t>Deole</w:t>
      </w:r>
      <w:proofErr w:type="spellEnd"/>
      <w:r w:rsidRPr="00915401">
        <w:rPr>
          <w:rFonts w:ascii="Times New Roman" w:eastAsia="Times New Roman" w:hAnsi="Times New Roman" w:cs="Times New Roman"/>
          <w:kern w:val="0"/>
          <w:lang w:val="en-US"/>
          <w14:ligatures w14:val="none"/>
        </w:rPr>
        <w:t xml:space="preserve">, N. (2023). Placental mesenchymal dysplasia co-existing with high grade villitis of unknown </w:t>
      </w:r>
      <w:proofErr w:type="spellStart"/>
      <w:r w:rsidRPr="00915401">
        <w:rPr>
          <w:rFonts w:ascii="Times New Roman" w:eastAsia="Times New Roman" w:hAnsi="Times New Roman" w:cs="Times New Roman"/>
          <w:kern w:val="0"/>
          <w:lang w:val="en-US"/>
          <w14:ligatures w14:val="none"/>
        </w:rPr>
        <w:t>aetiology</w:t>
      </w:r>
      <w:proofErr w:type="spellEnd"/>
      <w:r w:rsidRPr="00915401">
        <w:rPr>
          <w:rFonts w:ascii="Times New Roman" w:eastAsia="Times New Roman" w:hAnsi="Times New Roman" w:cs="Times New Roman"/>
          <w:kern w:val="0"/>
          <w:lang w:val="en-US"/>
          <w14:ligatures w14:val="none"/>
        </w:rPr>
        <w:t xml:space="preserve"> (VUE): A very rare case report and literature review. </w:t>
      </w:r>
      <w:r w:rsidRPr="00915401">
        <w:rPr>
          <w:rFonts w:ascii="Times New Roman" w:eastAsia="Times New Roman" w:hAnsi="Times New Roman" w:cs="Times New Roman"/>
          <w:i/>
          <w:iCs/>
          <w:kern w:val="0"/>
          <w:lang w:val="en-US"/>
          <w14:ligatures w14:val="none"/>
        </w:rPr>
        <w:t>Journal of Case Reports in Medical Science, 9</w:t>
      </w:r>
      <w:r w:rsidRPr="00915401">
        <w:rPr>
          <w:rFonts w:ascii="Times New Roman" w:eastAsia="Times New Roman" w:hAnsi="Times New Roman" w:cs="Times New Roman"/>
          <w:kern w:val="0"/>
          <w:lang w:val="en-US"/>
          <w14:ligatures w14:val="none"/>
        </w:rPr>
        <w:t xml:space="preserve">(1), 16–20. </w:t>
      </w:r>
      <w:hyperlink r:id="rId7" w:history="1">
        <w:r w:rsidRPr="00915401">
          <w:rPr>
            <w:rFonts w:ascii="Times New Roman" w:eastAsia="Times New Roman" w:hAnsi="Times New Roman" w:cs="Times New Roman"/>
            <w:color w:val="0000FF"/>
            <w:kern w:val="0"/>
            <w:u w:val="single"/>
            <w:lang w:val="en-US"/>
            <w14:ligatures w14:val="none"/>
          </w:rPr>
          <w:t>https://doi.org/10.56557/jocrims/2023/v9i18211</w:t>
        </w:r>
      </w:hyperlink>
    </w:p>
    <w:p w14:paraId="65A2DE30"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Bartl, T., Wolf, F., &amp; </w:t>
      </w:r>
      <w:proofErr w:type="spellStart"/>
      <w:r w:rsidRPr="00915401">
        <w:rPr>
          <w:rFonts w:ascii="Times New Roman" w:eastAsia="Times New Roman" w:hAnsi="Times New Roman" w:cs="Times New Roman"/>
          <w:kern w:val="0"/>
          <w:lang w:val="en-US"/>
          <w14:ligatures w14:val="none"/>
        </w:rPr>
        <w:t>Dadak</w:t>
      </w:r>
      <w:proofErr w:type="spellEnd"/>
      <w:r w:rsidRPr="00915401">
        <w:rPr>
          <w:rFonts w:ascii="Times New Roman" w:eastAsia="Times New Roman" w:hAnsi="Times New Roman" w:cs="Times New Roman"/>
          <w:kern w:val="0"/>
          <w:lang w:val="en-US"/>
          <w14:ligatures w14:val="none"/>
        </w:rPr>
        <w:t xml:space="preserve">, C. (2021). Pelvic congestion syndrome (PCS) as a pathology of postmenopausal women: A case report with literature review. </w:t>
      </w:r>
      <w:r w:rsidRPr="00915401">
        <w:rPr>
          <w:rFonts w:ascii="Times New Roman" w:eastAsia="Times New Roman" w:hAnsi="Times New Roman" w:cs="Times New Roman"/>
          <w:i/>
          <w:iCs/>
          <w:kern w:val="0"/>
          <w:lang w:val="en-US"/>
          <w14:ligatures w14:val="none"/>
        </w:rPr>
        <w:t>BMC Women’s Health, 21</w:t>
      </w:r>
      <w:r w:rsidRPr="00915401">
        <w:rPr>
          <w:rFonts w:ascii="Times New Roman" w:eastAsia="Times New Roman" w:hAnsi="Times New Roman" w:cs="Times New Roman"/>
          <w:kern w:val="0"/>
          <w:lang w:val="en-US"/>
          <w14:ligatures w14:val="none"/>
        </w:rPr>
        <w:t xml:space="preserve">, 181. </w:t>
      </w:r>
      <w:hyperlink r:id="rId8" w:history="1">
        <w:r w:rsidRPr="00915401">
          <w:rPr>
            <w:rFonts w:ascii="Times New Roman" w:eastAsia="Times New Roman" w:hAnsi="Times New Roman" w:cs="Times New Roman"/>
            <w:color w:val="0000FF"/>
            <w:kern w:val="0"/>
            <w:u w:val="single"/>
            <w:lang w:val="en-US"/>
            <w14:ligatures w14:val="none"/>
          </w:rPr>
          <w:t>https://doi.org/10.1186/s12905-021-01323-3</w:t>
        </w:r>
      </w:hyperlink>
    </w:p>
    <w:p w14:paraId="3432C2BC"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Bendek, B., Afuape, N., Banks, E., &amp; Desai, N. A. (2020). Comprehensive review of pelvic congestion syndrome: Causes, symptoms, treatment options. </w:t>
      </w:r>
      <w:r w:rsidRPr="00915401">
        <w:rPr>
          <w:rFonts w:ascii="Times New Roman" w:eastAsia="Times New Roman" w:hAnsi="Times New Roman" w:cs="Times New Roman"/>
          <w:i/>
          <w:iCs/>
          <w:kern w:val="0"/>
          <w:lang w:val="en-US"/>
          <w14:ligatures w14:val="none"/>
        </w:rPr>
        <w:t>Current Opinion in Obstetrics &amp; Gynecology, 32</w:t>
      </w:r>
      <w:r w:rsidRPr="00915401">
        <w:rPr>
          <w:rFonts w:ascii="Times New Roman" w:eastAsia="Times New Roman" w:hAnsi="Times New Roman" w:cs="Times New Roman"/>
          <w:kern w:val="0"/>
          <w:lang w:val="en-US"/>
          <w14:ligatures w14:val="none"/>
        </w:rPr>
        <w:t xml:space="preserve">(4), 237–242. </w:t>
      </w:r>
      <w:hyperlink r:id="rId9" w:history="1">
        <w:r w:rsidRPr="00915401">
          <w:rPr>
            <w:rFonts w:ascii="Times New Roman" w:eastAsia="Times New Roman" w:hAnsi="Times New Roman" w:cs="Times New Roman"/>
            <w:color w:val="0000FF"/>
            <w:kern w:val="0"/>
            <w:u w:val="single"/>
            <w:lang w:val="en-US"/>
            <w14:ligatures w14:val="none"/>
          </w:rPr>
          <w:t>https://doi.org/10.1097/GCO.0000000000000637</w:t>
        </w:r>
      </w:hyperlink>
    </w:p>
    <w:p w14:paraId="1A658456"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Chen, Y., Zeng, W., &amp; He, C. (2025). Fatal rupture of a flow-related iliac artery aneurysm associated with an enormous arteriovenous malformation of abdominal wall and left thigh. </w:t>
      </w:r>
      <w:r w:rsidRPr="00915401">
        <w:rPr>
          <w:rFonts w:ascii="Times New Roman" w:eastAsia="Times New Roman" w:hAnsi="Times New Roman" w:cs="Times New Roman"/>
          <w:i/>
          <w:iCs/>
          <w:kern w:val="0"/>
          <w:lang w:val="en-US"/>
          <w14:ligatures w14:val="none"/>
        </w:rPr>
        <w:t>BMC Cardiovascular Disorders, 25</w:t>
      </w:r>
      <w:r w:rsidRPr="00915401">
        <w:rPr>
          <w:rFonts w:ascii="Times New Roman" w:eastAsia="Times New Roman" w:hAnsi="Times New Roman" w:cs="Times New Roman"/>
          <w:kern w:val="0"/>
          <w:lang w:val="en-US"/>
          <w14:ligatures w14:val="none"/>
        </w:rPr>
        <w:t xml:space="preserve">, 692. </w:t>
      </w:r>
      <w:hyperlink r:id="rId10" w:history="1">
        <w:r w:rsidRPr="00915401">
          <w:rPr>
            <w:rFonts w:ascii="Times New Roman" w:eastAsia="Times New Roman" w:hAnsi="Times New Roman" w:cs="Times New Roman"/>
            <w:color w:val="0000FF"/>
            <w:kern w:val="0"/>
            <w:u w:val="single"/>
            <w:lang w:val="en-US"/>
            <w14:ligatures w14:val="none"/>
          </w:rPr>
          <w:t>https://doi.org/10.1186/s12872-025-05179-5</w:t>
        </w:r>
      </w:hyperlink>
    </w:p>
    <w:p w14:paraId="43928925"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Clavero Bertomeu, L., Castro Portillo, L., &amp; Fernández-Conde de Paz, C. (2024). Uterine arteriovenous malformation: Diagnostic and therapeutic challenges. </w:t>
      </w:r>
      <w:r w:rsidRPr="00915401">
        <w:rPr>
          <w:rFonts w:ascii="Times New Roman" w:eastAsia="Times New Roman" w:hAnsi="Times New Roman" w:cs="Times New Roman"/>
          <w:i/>
          <w:iCs/>
          <w:kern w:val="0"/>
          <w:lang w:val="en-US"/>
          <w14:ligatures w14:val="none"/>
        </w:rPr>
        <w:t>Diagnostics, 14</w:t>
      </w:r>
      <w:r w:rsidRPr="00915401">
        <w:rPr>
          <w:rFonts w:ascii="Times New Roman" w:eastAsia="Times New Roman" w:hAnsi="Times New Roman" w:cs="Times New Roman"/>
          <w:kern w:val="0"/>
          <w:lang w:val="en-US"/>
          <w14:ligatures w14:val="none"/>
        </w:rPr>
        <w:t xml:space="preserve">(11), 1084. </w:t>
      </w:r>
      <w:hyperlink r:id="rId11" w:history="1">
        <w:r w:rsidRPr="00915401">
          <w:rPr>
            <w:rFonts w:ascii="Times New Roman" w:eastAsia="Times New Roman" w:hAnsi="Times New Roman" w:cs="Times New Roman"/>
            <w:color w:val="0000FF"/>
            <w:kern w:val="0"/>
            <w:u w:val="single"/>
            <w:lang w:val="en-US"/>
            <w14:ligatures w14:val="none"/>
          </w:rPr>
          <w:t>https://doi.org/10.3390/diagnostics14111084</w:t>
        </w:r>
      </w:hyperlink>
    </w:p>
    <w:p w14:paraId="67A4293B"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Gizaw, A. W., Belay, S. A., Tadesse, A., Babu, Y. K., Adisu, G. D., </w:t>
      </w:r>
      <w:proofErr w:type="spellStart"/>
      <w:r w:rsidRPr="00915401">
        <w:rPr>
          <w:rFonts w:ascii="Times New Roman" w:eastAsia="Times New Roman" w:hAnsi="Times New Roman" w:cs="Times New Roman"/>
          <w:kern w:val="0"/>
          <w:lang w:val="en-US"/>
          <w14:ligatures w14:val="none"/>
        </w:rPr>
        <w:t>Yehuala</w:t>
      </w:r>
      <w:proofErr w:type="spellEnd"/>
      <w:r w:rsidRPr="00915401">
        <w:rPr>
          <w:rFonts w:ascii="Times New Roman" w:eastAsia="Times New Roman" w:hAnsi="Times New Roman" w:cs="Times New Roman"/>
          <w:kern w:val="0"/>
          <w:lang w:val="en-US"/>
          <w14:ligatures w14:val="none"/>
        </w:rPr>
        <w:t xml:space="preserve">, Y., &amp; Mengistu, S. B. (2025). Gestational trophoblastic disease-induced thyroid storm: A case report. </w:t>
      </w:r>
      <w:r w:rsidRPr="00915401">
        <w:rPr>
          <w:rFonts w:ascii="Times New Roman" w:eastAsia="Times New Roman" w:hAnsi="Times New Roman" w:cs="Times New Roman"/>
          <w:i/>
          <w:iCs/>
          <w:kern w:val="0"/>
          <w:lang w:val="en-US"/>
          <w14:ligatures w14:val="none"/>
        </w:rPr>
        <w:t>Case Reports in Women’s Health, 48</w:t>
      </w:r>
      <w:r w:rsidRPr="00915401">
        <w:rPr>
          <w:rFonts w:ascii="Times New Roman" w:eastAsia="Times New Roman" w:hAnsi="Times New Roman" w:cs="Times New Roman"/>
          <w:kern w:val="0"/>
          <w:lang w:val="en-US"/>
          <w14:ligatures w14:val="none"/>
        </w:rPr>
        <w:t xml:space="preserve">, e00771. </w:t>
      </w:r>
      <w:hyperlink r:id="rId12" w:history="1">
        <w:r w:rsidRPr="00915401">
          <w:rPr>
            <w:rFonts w:ascii="Times New Roman" w:eastAsia="Times New Roman" w:hAnsi="Times New Roman" w:cs="Times New Roman"/>
            <w:color w:val="0000FF"/>
            <w:kern w:val="0"/>
            <w:u w:val="single"/>
            <w:lang w:val="en-US"/>
            <w14:ligatures w14:val="none"/>
          </w:rPr>
          <w:t>https://doi.org/10.1016/j.crwh.2025.e00771</w:t>
        </w:r>
      </w:hyperlink>
    </w:p>
    <w:p w14:paraId="1FCE9FA4"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nl-BE"/>
          <w14:ligatures w14:val="none"/>
        </w:rPr>
        <w:t xml:space="preserve">Guan, Y., Han, J., Zhang, K., &amp; Wang, Y. (2026). </w:t>
      </w:r>
      <w:r w:rsidRPr="00915401">
        <w:rPr>
          <w:rFonts w:ascii="Times New Roman" w:eastAsia="Times New Roman" w:hAnsi="Times New Roman" w:cs="Times New Roman"/>
          <w:kern w:val="0"/>
          <w:lang w:val="en-US"/>
          <w14:ligatures w14:val="none"/>
        </w:rPr>
        <w:t xml:space="preserve">Placental site trophoblastic tumor: Two rare case report and literature review within a decade. </w:t>
      </w:r>
      <w:r w:rsidRPr="00915401">
        <w:rPr>
          <w:rFonts w:ascii="Times New Roman" w:eastAsia="Times New Roman" w:hAnsi="Times New Roman" w:cs="Times New Roman"/>
          <w:i/>
          <w:iCs/>
          <w:kern w:val="0"/>
          <w:lang w:val="en-US"/>
          <w14:ligatures w14:val="none"/>
        </w:rPr>
        <w:t>Case Reports in Obstetrics and Gynecology, 2026</w:t>
      </w:r>
      <w:r w:rsidRPr="00915401">
        <w:rPr>
          <w:rFonts w:ascii="Times New Roman" w:eastAsia="Times New Roman" w:hAnsi="Times New Roman" w:cs="Times New Roman"/>
          <w:kern w:val="0"/>
          <w:lang w:val="en-US"/>
          <w14:ligatures w14:val="none"/>
        </w:rPr>
        <w:t xml:space="preserve">, 9928611. </w:t>
      </w:r>
      <w:hyperlink r:id="rId13" w:history="1">
        <w:r w:rsidRPr="00915401">
          <w:rPr>
            <w:rFonts w:ascii="Times New Roman" w:eastAsia="Times New Roman" w:hAnsi="Times New Roman" w:cs="Times New Roman"/>
            <w:color w:val="0000FF"/>
            <w:kern w:val="0"/>
            <w:u w:val="single"/>
            <w:lang w:val="en-US"/>
            <w14:ligatures w14:val="none"/>
          </w:rPr>
          <w:t>https://doi.org/10.1155/crog/9928611</w:t>
        </w:r>
      </w:hyperlink>
    </w:p>
    <w:p w14:paraId="54CF1CEF"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nl-BE"/>
          <w14:ligatures w14:val="none"/>
        </w:rPr>
        <w:t xml:space="preserve">Khilnani, N. M., Xia, J. J., Winokur, R. S., &amp; Meissner, M. H. (2024). </w:t>
      </w:r>
      <w:r w:rsidRPr="00915401">
        <w:rPr>
          <w:rFonts w:ascii="Times New Roman" w:eastAsia="Times New Roman" w:hAnsi="Times New Roman" w:cs="Times New Roman"/>
          <w:kern w:val="0"/>
          <w:lang w:val="en-US"/>
          <w14:ligatures w14:val="none"/>
        </w:rPr>
        <w:t xml:space="preserve">Diagnosis and management of pelvic venous disorders in women. </w:t>
      </w:r>
      <w:r w:rsidRPr="00915401">
        <w:rPr>
          <w:rFonts w:ascii="Times New Roman" w:eastAsia="Times New Roman" w:hAnsi="Times New Roman" w:cs="Times New Roman"/>
          <w:i/>
          <w:iCs/>
          <w:kern w:val="0"/>
          <w:lang w:val="en-US"/>
          <w14:ligatures w14:val="none"/>
        </w:rPr>
        <w:t>Cardiovascular and Interventional Radiology, 47</w:t>
      </w:r>
      <w:r w:rsidRPr="00915401">
        <w:rPr>
          <w:rFonts w:ascii="Times New Roman" w:eastAsia="Times New Roman" w:hAnsi="Times New Roman" w:cs="Times New Roman"/>
          <w:kern w:val="0"/>
          <w:lang w:val="en-US"/>
          <w14:ligatures w14:val="none"/>
        </w:rPr>
        <w:t xml:space="preserve">(12), 1650–1668. </w:t>
      </w:r>
      <w:hyperlink r:id="rId14" w:history="1">
        <w:r w:rsidRPr="00915401">
          <w:rPr>
            <w:rFonts w:ascii="Times New Roman" w:eastAsia="Times New Roman" w:hAnsi="Times New Roman" w:cs="Times New Roman"/>
            <w:color w:val="0000FF"/>
            <w:kern w:val="0"/>
            <w:u w:val="single"/>
            <w:lang w:val="en-US"/>
            <w14:ligatures w14:val="none"/>
          </w:rPr>
          <w:t>https://doi.org/10.1007/s00270-024-03782-1</w:t>
        </w:r>
      </w:hyperlink>
    </w:p>
    <w:p w14:paraId="2895EC2B"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Lehto, A., </w:t>
      </w:r>
      <w:proofErr w:type="spellStart"/>
      <w:r w:rsidRPr="00915401">
        <w:rPr>
          <w:rFonts w:ascii="Times New Roman" w:eastAsia="Times New Roman" w:hAnsi="Times New Roman" w:cs="Times New Roman"/>
          <w:kern w:val="0"/>
          <w:lang w:val="en-US"/>
          <w14:ligatures w14:val="none"/>
        </w:rPr>
        <w:t>Hitscherich</w:t>
      </w:r>
      <w:proofErr w:type="spellEnd"/>
      <w:r w:rsidRPr="00915401">
        <w:rPr>
          <w:rFonts w:ascii="Times New Roman" w:eastAsia="Times New Roman" w:hAnsi="Times New Roman" w:cs="Times New Roman"/>
          <w:kern w:val="0"/>
          <w:lang w:val="en-US"/>
          <w14:ligatures w14:val="none"/>
        </w:rPr>
        <w:t xml:space="preserve">, K., &amp; Argeros, O. (2018). Advanced gestational trophoblastic disease: A case report of medical management prior to surgical intervention. </w:t>
      </w:r>
      <w:r w:rsidRPr="00915401">
        <w:rPr>
          <w:rFonts w:ascii="Times New Roman" w:eastAsia="Times New Roman" w:hAnsi="Times New Roman" w:cs="Times New Roman"/>
          <w:i/>
          <w:iCs/>
          <w:kern w:val="0"/>
          <w:lang w:val="en-US"/>
          <w14:ligatures w14:val="none"/>
        </w:rPr>
        <w:t>Case Reports in Women’s Health, 19</w:t>
      </w:r>
      <w:r w:rsidRPr="00915401">
        <w:rPr>
          <w:rFonts w:ascii="Times New Roman" w:eastAsia="Times New Roman" w:hAnsi="Times New Roman" w:cs="Times New Roman"/>
          <w:kern w:val="0"/>
          <w:lang w:val="en-US"/>
          <w14:ligatures w14:val="none"/>
        </w:rPr>
        <w:t xml:space="preserve">, e00072. </w:t>
      </w:r>
      <w:hyperlink r:id="rId15" w:history="1">
        <w:r w:rsidRPr="00915401">
          <w:rPr>
            <w:rFonts w:ascii="Times New Roman" w:eastAsia="Times New Roman" w:hAnsi="Times New Roman" w:cs="Times New Roman"/>
            <w:color w:val="0000FF"/>
            <w:kern w:val="0"/>
            <w:u w:val="single"/>
            <w:lang w:val="en-US"/>
            <w14:ligatures w14:val="none"/>
          </w:rPr>
          <w:t>https://doi.org/10.1016/j.crwh.2018.e00072</w:t>
        </w:r>
      </w:hyperlink>
    </w:p>
    <w:p w14:paraId="1A920451"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15401">
        <w:rPr>
          <w:rFonts w:ascii="Times New Roman" w:eastAsia="Times New Roman" w:hAnsi="Times New Roman" w:cs="Times New Roman"/>
          <w:kern w:val="0"/>
          <w:lang w:val="en-US"/>
          <w14:ligatures w14:val="none"/>
        </w:rPr>
        <w:t>Maleux</w:t>
      </w:r>
      <w:proofErr w:type="spellEnd"/>
      <w:r w:rsidRPr="00915401">
        <w:rPr>
          <w:rFonts w:ascii="Times New Roman" w:eastAsia="Times New Roman" w:hAnsi="Times New Roman" w:cs="Times New Roman"/>
          <w:kern w:val="0"/>
          <w:lang w:val="en-US"/>
          <w14:ligatures w14:val="none"/>
        </w:rPr>
        <w:t xml:space="preserve">, G., Stockx, L., Wilms, G., &amp; Marchal, G. (2000). Ovarian vein embolization for the treatment of pelvic congestion syndrome: Long-term technical and clinical results. </w:t>
      </w:r>
      <w:r w:rsidRPr="00915401">
        <w:rPr>
          <w:rFonts w:ascii="Times New Roman" w:eastAsia="Times New Roman" w:hAnsi="Times New Roman" w:cs="Times New Roman"/>
          <w:i/>
          <w:iCs/>
          <w:kern w:val="0"/>
          <w:lang w:val="en-US"/>
          <w14:ligatures w14:val="none"/>
        </w:rPr>
        <w:lastRenderedPageBreak/>
        <w:t>Journal of Vascular and Interventional Radiology, 11</w:t>
      </w:r>
      <w:r w:rsidRPr="00915401">
        <w:rPr>
          <w:rFonts w:ascii="Times New Roman" w:eastAsia="Times New Roman" w:hAnsi="Times New Roman" w:cs="Times New Roman"/>
          <w:kern w:val="0"/>
          <w:lang w:val="en-US"/>
          <w14:ligatures w14:val="none"/>
        </w:rPr>
        <w:t xml:space="preserve">(7), 859–864. </w:t>
      </w:r>
      <w:hyperlink r:id="rId16" w:history="1">
        <w:r w:rsidRPr="00915401">
          <w:rPr>
            <w:rFonts w:ascii="Times New Roman" w:eastAsia="Times New Roman" w:hAnsi="Times New Roman" w:cs="Times New Roman"/>
            <w:color w:val="0000FF"/>
            <w:kern w:val="0"/>
            <w:u w:val="single"/>
            <w:lang w:val="en-US"/>
            <w14:ligatures w14:val="none"/>
          </w:rPr>
          <w:t>https://doi.org/10.1016/S1051-0443(07)61801-6</w:t>
        </w:r>
      </w:hyperlink>
    </w:p>
    <w:p w14:paraId="6EBC50F8"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Miao, Y., Dalpiaz, A., Schwamb, R., Ebrahim, M., Warren, K., &amp; Khan, S. A. (2015). Pelvic congestion syndrome: Current diagnosis and management. </w:t>
      </w:r>
      <w:r w:rsidRPr="00915401">
        <w:rPr>
          <w:rFonts w:ascii="Times New Roman" w:eastAsia="Times New Roman" w:hAnsi="Times New Roman" w:cs="Times New Roman"/>
          <w:i/>
          <w:iCs/>
          <w:kern w:val="0"/>
          <w:lang w:val="en-US"/>
          <w14:ligatures w14:val="none"/>
        </w:rPr>
        <w:t>Journal of Applied Life Sciences International, 2</w:t>
      </w:r>
      <w:r w:rsidRPr="00915401">
        <w:rPr>
          <w:rFonts w:ascii="Times New Roman" w:eastAsia="Times New Roman" w:hAnsi="Times New Roman" w:cs="Times New Roman"/>
          <w:kern w:val="0"/>
          <w:lang w:val="en-US"/>
          <w14:ligatures w14:val="none"/>
        </w:rPr>
        <w:t xml:space="preserve">(1), 9–17. </w:t>
      </w:r>
      <w:hyperlink r:id="rId17" w:history="1">
        <w:r w:rsidRPr="00915401">
          <w:rPr>
            <w:rFonts w:ascii="Times New Roman" w:eastAsia="Times New Roman" w:hAnsi="Times New Roman" w:cs="Times New Roman"/>
            <w:color w:val="0000FF"/>
            <w:kern w:val="0"/>
            <w:u w:val="single"/>
            <w:lang w:val="en-US"/>
            <w14:ligatures w14:val="none"/>
          </w:rPr>
          <w:t>https://doi.org/10.9734/JALSI/2015/12029</w:t>
        </w:r>
      </w:hyperlink>
    </w:p>
    <w:p w14:paraId="497B271D"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Miyagawa, T., Kita, Y., Kani, N., Tanaka, W., Yamaguchi, T., Hama, Y., Sugiyama, K., Iguchi, R., Terai, N., &amp; Inoue, K. (2025). A case of pelvic arteriovenous malformation in a male with massive bladder bleeding which caused severe hemorrhagic hypovolemic shock. </w:t>
      </w:r>
      <w:proofErr w:type="spellStart"/>
      <w:r w:rsidRPr="00915401">
        <w:rPr>
          <w:rFonts w:ascii="Times New Roman" w:eastAsia="Times New Roman" w:hAnsi="Times New Roman" w:cs="Times New Roman"/>
          <w:i/>
          <w:iCs/>
          <w:kern w:val="0"/>
          <w:lang w:val="en-US"/>
          <w14:ligatures w14:val="none"/>
        </w:rPr>
        <w:t>Hinyokika</w:t>
      </w:r>
      <w:proofErr w:type="spellEnd"/>
      <w:r w:rsidRPr="00915401">
        <w:rPr>
          <w:rFonts w:ascii="Times New Roman" w:eastAsia="Times New Roman" w:hAnsi="Times New Roman" w:cs="Times New Roman"/>
          <w:i/>
          <w:iCs/>
          <w:kern w:val="0"/>
          <w:lang w:val="en-US"/>
          <w14:ligatures w14:val="none"/>
        </w:rPr>
        <w:t xml:space="preserve"> Kiyo, 71</w:t>
      </w:r>
      <w:r w:rsidRPr="00915401">
        <w:rPr>
          <w:rFonts w:ascii="Times New Roman" w:eastAsia="Times New Roman" w:hAnsi="Times New Roman" w:cs="Times New Roman"/>
          <w:kern w:val="0"/>
          <w:lang w:val="en-US"/>
          <w14:ligatures w14:val="none"/>
        </w:rPr>
        <w:t xml:space="preserve">(1), 17–19. </w:t>
      </w:r>
      <w:hyperlink r:id="rId18" w:history="1">
        <w:r w:rsidRPr="00915401">
          <w:rPr>
            <w:rFonts w:ascii="Times New Roman" w:eastAsia="Times New Roman" w:hAnsi="Times New Roman" w:cs="Times New Roman"/>
            <w:color w:val="0000FF"/>
            <w:kern w:val="0"/>
            <w:u w:val="single"/>
            <w:lang w:val="en-US"/>
            <w14:ligatures w14:val="none"/>
          </w:rPr>
          <w:t>https://doi.org/10.14989/ActaUrolJap_71_1_17</w:t>
        </w:r>
      </w:hyperlink>
    </w:p>
    <w:p w14:paraId="14986877"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15401">
        <w:rPr>
          <w:rFonts w:ascii="Times New Roman" w:eastAsia="Times New Roman" w:hAnsi="Times New Roman" w:cs="Times New Roman"/>
          <w:kern w:val="0"/>
          <w:lang w:val="en-US"/>
          <w14:ligatures w14:val="none"/>
        </w:rPr>
        <w:t>Mpourazanis</w:t>
      </w:r>
      <w:proofErr w:type="spellEnd"/>
      <w:r w:rsidRPr="00915401">
        <w:rPr>
          <w:rFonts w:ascii="Times New Roman" w:eastAsia="Times New Roman" w:hAnsi="Times New Roman" w:cs="Times New Roman"/>
          <w:kern w:val="0"/>
          <w:lang w:val="en-US"/>
          <w14:ligatures w14:val="none"/>
        </w:rPr>
        <w:t xml:space="preserve">, G., Laganà, A. S., </w:t>
      </w:r>
      <w:proofErr w:type="spellStart"/>
      <w:r w:rsidRPr="00915401">
        <w:rPr>
          <w:rFonts w:ascii="Times New Roman" w:eastAsia="Times New Roman" w:hAnsi="Times New Roman" w:cs="Times New Roman"/>
          <w:kern w:val="0"/>
          <w:lang w:val="en-US"/>
          <w14:ligatures w14:val="none"/>
        </w:rPr>
        <w:t>Tepelenis</w:t>
      </w:r>
      <w:proofErr w:type="spellEnd"/>
      <w:r w:rsidRPr="00915401">
        <w:rPr>
          <w:rFonts w:ascii="Times New Roman" w:eastAsia="Times New Roman" w:hAnsi="Times New Roman" w:cs="Times New Roman"/>
          <w:kern w:val="0"/>
          <w:lang w:val="en-US"/>
          <w14:ligatures w14:val="none"/>
        </w:rPr>
        <w:t xml:space="preserve">, K., </w:t>
      </w:r>
      <w:proofErr w:type="spellStart"/>
      <w:r w:rsidRPr="00915401">
        <w:rPr>
          <w:rFonts w:ascii="Times New Roman" w:eastAsia="Times New Roman" w:hAnsi="Times New Roman" w:cs="Times New Roman"/>
          <w:kern w:val="0"/>
          <w:lang w:val="en-US"/>
          <w14:ligatures w14:val="none"/>
        </w:rPr>
        <w:t>Tsirkas</w:t>
      </w:r>
      <w:proofErr w:type="spellEnd"/>
      <w:r w:rsidRPr="00915401">
        <w:rPr>
          <w:rFonts w:ascii="Times New Roman" w:eastAsia="Times New Roman" w:hAnsi="Times New Roman" w:cs="Times New Roman"/>
          <w:kern w:val="0"/>
          <w:lang w:val="en-US"/>
          <w14:ligatures w14:val="none"/>
        </w:rPr>
        <w:t xml:space="preserve">, P., Gkrozou, F., </w:t>
      </w:r>
      <w:proofErr w:type="spellStart"/>
      <w:r w:rsidRPr="00915401">
        <w:rPr>
          <w:rFonts w:ascii="Times New Roman" w:eastAsia="Times New Roman" w:hAnsi="Times New Roman" w:cs="Times New Roman"/>
          <w:kern w:val="0"/>
          <w:lang w:val="en-US"/>
          <w14:ligatures w14:val="none"/>
        </w:rPr>
        <w:t>Paschopoulos</w:t>
      </w:r>
      <w:proofErr w:type="spellEnd"/>
      <w:r w:rsidRPr="00915401">
        <w:rPr>
          <w:rFonts w:ascii="Times New Roman" w:eastAsia="Times New Roman" w:hAnsi="Times New Roman" w:cs="Times New Roman"/>
          <w:kern w:val="0"/>
          <w:lang w:val="en-US"/>
          <w14:ligatures w14:val="none"/>
        </w:rPr>
        <w:t xml:space="preserve">, M., Schulz-Wendtland, R., </w:t>
      </w:r>
      <w:proofErr w:type="spellStart"/>
      <w:r w:rsidRPr="00915401">
        <w:rPr>
          <w:rFonts w:ascii="Times New Roman" w:eastAsia="Times New Roman" w:hAnsi="Times New Roman" w:cs="Times New Roman"/>
          <w:kern w:val="0"/>
          <w:lang w:val="en-US"/>
          <w14:ligatures w14:val="none"/>
        </w:rPr>
        <w:t>Ntanasis</w:t>
      </w:r>
      <w:proofErr w:type="spellEnd"/>
      <w:r w:rsidRPr="00915401">
        <w:rPr>
          <w:rFonts w:ascii="Times New Roman" w:eastAsia="Times New Roman" w:hAnsi="Times New Roman" w:cs="Times New Roman"/>
          <w:kern w:val="0"/>
          <w:lang w:val="en-US"/>
          <w14:ligatures w14:val="none"/>
        </w:rPr>
        <w:t xml:space="preserve">, A., </w:t>
      </w:r>
      <w:proofErr w:type="spellStart"/>
      <w:r w:rsidRPr="00915401">
        <w:rPr>
          <w:rFonts w:ascii="Times New Roman" w:eastAsia="Times New Roman" w:hAnsi="Times New Roman" w:cs="Times New Roman"/>
          <w:kern w:val="0"/>
          <w:lang w:val="en-US"/>
          <w14:ligatures w14:val="none"/>
        </w:rPr>
        <w:t>Korkontzelou</w:t>
      </w:r>
      <w:proofErr w:type="spellEnd"/>
      <w:r w:rsidRPr="00915401">
        <w:rPr>
          <w:rFonts w:ascii="Times New Roman" w:eastAsia="Times New Roman" w:hAnsi="Times New Roman" w:cs="Times New Roman"/>
          <w:kern w:val="0"/>
          <w:lang w:val="en-US"/>
          <w14:ligatures w14:val="none"/>
        </w:rPr>
        <w:t xml:space="preserve">, P.-D., &amp; </w:t>
      </w:r>
      <w:proofErr w:type="spellStart"/>
      <w:r w:rsidRPr="00915401">
        <w:rPr>
          <w:rFonts w:ascii="Times New Roman" w:eastAsia="Times New Roman" w:hAnsi="Times New Roman" w:cs="Times New Roman"/>
          <w:kern w:val="0"/>
          <w:lang w:val="en-US"/>
          <w14:ligatures w14:val="none"/>
        </w:rPr>
        <w:t>Korkontzelos</w:t>
      </w:r>
      <w:proofErr w:type="spellEnd"/>
      <w:r w:rsidRPr="00915401">
        <w:rPr>
          <w:rFonts w:ascii="Times New Roman" w:eastAsia="Times New Roman" w:hAnsi="Times New Roman" w:cs="Times New Roman"/>
          <w:kern w:val="0"/>
          <w:lang w:val="en-US"/>
          <w14:ligatures w14:val="none"/>
        </w:rPr>
        <w:t xml:space="preserve">, I. (2024). An unusual case of pelvic congestion syndrome: A case report. </w:t>
      </w:r>
      <w:r w:rsidRPr="00915401">
        <w:rPr>
          <w:rFonts w:ascii="Times New Roman" w:eastAsia="Times New Roman" w:hAnsi="Times New Roman" w:cs="Times New Roman"/>
          <w:i/>
          <w:iCs/>
          <w:kern w:val="0"/>
          <w:lang w:val="en-US"/>
          <w14:ligatures w14:val="none"/>
        </w:rPr>
        <w:t>Cureus, 16</w:t>
      </w:r>
      <w:r w:rsidRPr="00915401">
        <w:rPr>
          <w:rFonts w:ascii="Times New Roman" w:eastAsia="Times New Roman" w:hAnsi="Times New Roman" w:cs="Times New Roman"/>
          <w:kern w:val="0"/>
          <w:lang w:val="en-US"/>
          <w14:ligatures w14:val="none"/>
        </w:rPr>
        <w:t xml:space="preserve">(12), e75502. </w:t>
      </w:r>
      <w:hyperlink r:id="rId19" w:history="1">
        <w:r w:rsidRPr="00915401">
          <w:rPr>
            <w:rFonts w:ascii="Times New Roman" w:eastAsia="Times New Roman" w:hAnsi="Times New Roman" w:cs="Times New Roman"/>
            <w:color w:val="0000FF"/>
            <w:kern w:val="0"/>
            <w:u w:val="single"/>
            <w:lang w:val="en-US"/>
            <w14:ligatures w14:val="none"/>
          </w:rPr>
          <w:t>https://doi.org/10.7759/cureus.75502</w:t>
        </w:r>
      </w:hyperlink>
    </w:p>
    <w:p w14:paraId="35EC6A68"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Ngan, H. Y. S., </w:t>
      </w:r>
      <w:proofErr w:type="spellStart"/>
      <w:r w:rsidRPr="00915401">
        <w:rPr>
          <w:rFonts w:ascii="Times New Roman" w:eastAsia="Times New Roman" w:hAnsi="Times New Roman" w:cs="Times New Roman"/>
          <w:kern w:val="0"/>
          <w:lang w:val="en-US"/>
          <w14:ligatures w14:val="none"/>
        </w:rPr>
        <w:t>Seckl</w:t>
      </w:r>
      <w:proofErr w:type="spellEnd"/>
      <w:r w:rsidRPr="00915401">
        <w:rPr>
          <w:rFonts w:ascii="Times New Roman" w:eastAsia="Times New Roman" w:hAnsi="Times New Roman" w:cs="Times New Roman"/>
          <w:kern w:val="0"/>
          <w:lang w:val="en-US"/>
          <w14:ligatures w14:val="none"/>
        </w:rPr>
        <w:t xml:space="preserve">, M. J., Berkowitz, R. S., Xiang, Y., </w:t>
      </w:r>
      <w:proofErr w:type="spellStart"/>
      <w:r w:rsidRPr="00915401">
        <w:rPr>
          <w:rFonts w:ascii="Times New Roman" w:eastAsia="Times New Roman" w:hAnsi="Times New Roman" w:cs="Times New Roman"/>
          <w:kern w:val="0"/>
          <w:lang w:val="en-US"/>
          <w14:ligatures w14:val="none"/>
        </w:rPr>
        <w:t>Golfier</w:t>
      </w:r>
      <w:proofErr w:type="spellEnd"/>
      <w:r w:rsidRPr="00915401">
        <w:rPr>
          <w:rFonts w:ascii="Times New Roman" w:eastAsia="Times New Roman" w:hAnsi="Times New Roman" w:cs="Times New Roman"/>
          <w:kern w:val="0"/>
          <w:lang w:val="en-US"/>
          <w14:ligatures w14:val="none"/>
        </w:rPr>
        <w:t xml:space="preserve">, F., Sekharan, P. K., Braga, A., &amp; Garrett, A. (2025). Diagnosis and management of gestational trophoblastic disease: 2025 update. </w:t>
      </w:r>
      <w:r w:rsidRPr="00915401">
        <w:rPr>
          <w:rFonts w:ascii="Times New Roman" w:eastAsia="Times New Roman" w:hAnsi="Times New Roman" w:cs="Times New Roman"/>
          <w:i/>
          <w:iCs/>
          <w:kern w:val="0"/>
          <w:lang w:val="en-US"/>
          <w14:ligatures w14:val="none"/>
        </w:rPr>
        <w:t>International Journal of Gynecology &amp; Obstetrics, 171</w:t>
      </w:r>
      <w:r w:rsidRPr="00915401">
        <w:rPr>
          <w:rFonts w:ascii="Times New Roman" w:eastAsia="Times New Roman" w:hAnsi="Times New Roman" w:cs="Times New Roman"/>
          <w:kern w:val="0"/>
          <w:lang w:val="en-US"/>
          <w14:ligatures w14:val="none"/>
        </w:rPr>
        <w:t xml:space="preserve">(S1), 78–86. </w:t>
      </w:r>
      <w:hyperlink r:id="rId20" w:history="1">
        <w:r w:rsidRPr="00915401">
          <w:rPr>
            <w:rFonts w:ascii="Times New Roman" w:eastAsia="Times New Roman" w:hAnsi="Times New Roman" w:cs="Times New Roman"/>
            <w:color w:val="0000FF"/>
            <w:kern w:val="0"/>
            <w:u w:val="single"/>
            <w:lang w:val="en-US"/>
            <w14:ligatures w14:val="none"/>
          </w:rPr>
          <w:t>https://doi.org/10.1002/ijgo.70275</w:t>
        </w:r>
      </w:hyperlink>
    </w:p>
    <w:p w14:paraId="49BAF511"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Potla, N., </w:t>
      </w:r>
      <w:proofErr w:type="spellStart"/>
      <w:r w:rsidRPr="00915401">
        <w:rPr>
          <w:rFonts w:ascii="Times New Roman" w:eastAsia="Times New Roman" w:hAnsi="Times New Roman" w:cs="Times New Roman"/>
          <w:kern w:val="0"/>
          <w:lang w:val="en-US"/>
          <w14:ligatures w14:val="none"/>
        </w:rPr>
        <w:t>Veluri</w:t>
      </w:r>
      <w:proofErr w:type="spellEnd"/>
      <w:r w:rsidRPr="00915401">
        <w:rPr>
          <w:rFonts w:ascii="Times New Roman" w:eastAsia="Times New Roman" w:hAnsi="Times New Roman" w:cs="Times New Roman"/>
          <w:kern w:val="0"/>
          <w:lang w:val="en-US"/>
          <w14:ligatures w14:val="none"/>
        </w:rPr>
        <w:t xml:space="preserve">, S.-C., Stead, T. S., Dubey, J., &amp; Ganti, L. (2021). Pelvic congestion syndrome in a postmenopausal female. </w:t>
      </w:r>
      <w:r w:rsidRPr="00915401">
        <w:rPr>
          <w:rFonts w:ascii="Times New Roman" w:eastAsia="Times New Roman" w:hAnsi="Times New Roman" w:cs="Times New Roman"/>
          <w:i/>
          <w:iCs/>
          <w:kern w:val="0"/>
          <w:lang w:val="en-US"/>
          <w14:ligatures w14:val="none"/>
        </w:rPr>
        <w:t>Cureus, 13</w:t>
      </w:r>
      <w:r w:rsidRPr="00915401">
        <w:rPr>
          <w:rFonts w:ascii="Times New Roman" w:eastAsia="Times New Roman" w:hAnsi="Times New Roman" w:cs="Times New Roman"/>
          <w:kern w:val="0"/>
          <w:lang w:val="en-US"/>
          <w14:ligatures w14:val="none"/>
        </w:rPr>
        <w:t xml:space="preserve">(8), e17444. </w:t>
      </w:r>
      <w:hyperlink r:id="rId21" w:history="1">
        <w:r w:rsidRPr="00915401">
          <w:rPr>
            <w:rFonts w:ascii="Times New Roman" w:eastAsia="Times New Roman" w:hAnsi="Times New Roman" w:cs="Times New Roman"/>
            <w:color w:val="0000FF"/>
            <w:kern w:val="0"/>
            <w:u w:val="single"/>
            <w:lang w:val="en-US"/>
            <w14:ligatures w14:val="none"/>
          </w:rPr>
          <w:t>https://doi.org/10.7759/cureus.17444</w:t>
        </w:r>
      </w:hyperlink>
    </w:p>
    <w:p w14:paraId="24586C7D"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Ting, R. (2026). Metastatic epithelioid trophoblastic tumor following incomplete methotrexate therapy for ectopic pregnancy: A case report and multimodal management. </w:t>
      </w:r>
      <w:r w:rsidRPr="00915401">
        <w:rPr>
          <w:rFonts w:ascii="Times New Roman" w:eastAsia="Times New Roman" w:hAnsi="Times New Roman" w:cs="Times New Roman"/>
          <w:i/>
          <w:iCs/>
          <w:kern w:val="0"/>
          <w:lang w:val="en-US"/>
          <w14:ligatures w14:val="none"/>
        </w:rPr>
        <w:t>Cureus, 18</w:t>
      </w:r>
      <w:r w:rsidRPr="00915401">
        <w:rPr>
          <w:rFonts w:ascii="Times New Roman" w:eastAsia="Times New Roman" w:hAnsi="Times New Roman" w:cs="Times New Roman"/>
          <w:kern w:val="0"/>
          <w:lang w:val="en-US"/>
          <w14:ligatures w14:val="none"/>
        </w:rPr>
        <w:t xml:space="preserve">(3), e105635. </w:t>
      </w:r>
      <w:hyperlink r:id="rId22" w:history="1">
        <w:r w:rsidRPr="00915401">
          <w:rPr>
            <w:rFonts w:ascii="Times New Roman" w:eastAsia="Times New Roman" w:hAnsi="Times New Roman" w:cs="Times New Roman"/>
            <w:color w:val="0000FF"/>
            <w:kern w:val="0"/>
            <w:u w:val="single"/>
            <w:lang w:val="en-US"/>
            <w14:ligatures w14:val="none"/>
          </w:rPr>
          <w:t>https://doi.org/10.7759/cureus.105635</w:t>
        </w:r>
      </w:hyperlink>
    </w:p>
    <w:p w14:paraId="6F46ACAE"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Yang, J., Zhao, W., Liang, L., &amp; Chi, G. (2024). Treatment of iliac arteriovenous malformation associated with trisomy 21: A case report. </w:t>
      </w:r>
      <w:r w:rsidRPr="00915401">
        <w:rPr>
          <w:rFonts w:ascii="Times New Roman" w:eastAsia="Times New Roman" w:hAnsi="Times New Roman" w:cs="Times New Roman"/>
          <w:i/>
          <w:iCs/>
          <w:kern w:val="0"/>
          <w:lang w:val="en-US"/>
          <w14:ligatures w14:val="none"/>
        </w:rPr>
        <w:t>Journal of Cardiothoracic Surgery, 19</w:t>
      </w:r>
      <w:r w:rsidRPr="00915401">
        <w:rPr>
          <w:rFonts w:ascii="Times New Roman" w:eastAsia="Times New Roman" w:hAnsi="Times New Roman" w:cs="Times New Roman"/>
          <w:kern w:val="0"/>
          <w:lang w:val="en-US"/>
          <w14:ligatures w14:val="none"/>
        </w:rPr>
        <w:t xml:space="preserve">, 594. </w:t>
      </w:r>
      <w:hyperlink r:id="rId23" w:history="1">
        <w:r w:rsidRPr="00915401">
          <w:rPr>
            <w:rFonts w:ascii="Times New Roman" w:eastAsia="Times New Roman" w:hAnsi="Times New Roman" w:cs="Times New Roman"/>
            <w:color w:val="0000FF"/>
            <w:kern w:val="0"/>
            <w:u w:val="single"/>
            <w:lang w:val="en-US"/>
            <w14:ligatures w14:val="none"/>
          </w:rPr>
          <w:t>https://doi.org/10.1186/s13019-024-03062-6</w:t>
        </w:r>
      </w:hyperlink>
    </w:p>
    <w:p w14:paraId="055B9509" w14:textId="77777777" w:rsidR="00915401" w:rsidRPr="00915401" w:rsidRDefault="00915401" w:rsidP="00915401">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15401">
        <w:rPr>
          <w:rFonts w:ascii="Times New Roman" w:eastAsia="Times New Roman" w:hAnsi="Times New Roman" w:cs="Times New Roman"/>
          <w:kern w:val="0"/>
          <w:lang w:val="en-US"/>
          <w14:ligatures w14:val="none"/>
        </w:rPr>
        <w:t xml:space="preserve">Yokota, K., Omoto, K., Ono, T., Wang, Y., Nakamura, M., Taniguchi, N., Itoh, K., Matsumoto, A., Kikuchi, Y., Shiraishi, H., Momoi, M., </w:t>
      </w:r>
      <w:proofErr w:type="spellStart"/>
      <w:r w:rsidRPr="00915401">
        <w:rPr>
          <w:rFonts w:ascii="Times New Roman" w:eastAsia="Times New Roman" w:hAnsi="Times New Roman" w:cs="Times New Roman"/>
          <w:kern w:val="0"/>
          <w:lang w:val="en-US"/>
          <w14:ligatures w14:val="none"/>
        </w:rPr>
        <w:t>Hyodoh</w:t>
      </w:r>
      <w:proofErr w:type="spellEnd"/>
      <w:r w:rsidRPr="00915401">
        <w:rPr>
          <w:rFonts w:ascii="Times New Roman" w:eastAsia="Times New Roman" w:hAnsi="Times New Roman" w:cs="Times New Roman"/>
          <w:kern w:val="0"/>
          <w:lang w:val="en-US"/>
          <w14:ligatures w14:val="none"/>
        </w:rPr>
        <w:t xml:space="preserve">, H., &amp; </w:t>
      </w:r>
      <w:proofErr w:type="spellStart"/>
      <w:r w:rsidRPr="00915401">
        <w:rPr>
          <w:rFonts w:ascii="Times New Roman" w:eastAsia="Times New Roman" w:hAnsi="Times New Roman" w:cs="Times New Roman"/>
          <w:kern w:val="0"/>
          <w:lang w:val="en-US"/>
          <w14:ligatures w14:val="none"/>
        </w:rPr>
        <w:t>Kamisawa</w:t>
      </w:r>
      <w:proofErr w:type="spellEnd"/>
      <w:r w:rsidRPr="00915401">
        <w:rPr>
          <w:rFonts w:ascii="Times New Roman" w:eastAsia="Times New Roman" w:hAnsi="Times New Roman" w:cs="Times New Roman"/>
          <w:kern w:val="0"/>
          <w:lang w:val="en-US"/>
          <w14:ligatures w14:val="none"/>
        </w:rPr>
        <w:t xml:space="preserve">, O. (2002). Diagnosis of arteriovenous malformation of the internal iliac vessels by color Doppler ultrasonography: A case report. </w:t>
      </w:r>
      <w:r w:rsidRPr="00915401">
        <w:rPr>
          <w:rFonts w:ascii="Times New Roman" w:eastAsia="Times New Roman" w:hAnsi="Times New Roman" w:cs="Times New Roman"/>
          <w:i/>
          <w:iCs/>
          <w:kern w:val="0"/>
          <w:lang w:val="en-US"/>
          <w14:ligatures w14:val="none"/>
        </w:rPr>
        <w:t>Journal of Medical Ultrasonics, 29</w:t>
      </w:r>
      <w:r w:rsidRPr="00915401">
        <w:rPr>
          <w:rFonts w:ascii="Times New Roman" w:eastAsia="Times New Roman" w:hAnsi="Times New Roman" w:cs="Times New Roman"/>
          <w:kern w:val="0"/>
          <w:lang w:val="en-US"/>
          <w14:ligatures w14:val="none"/>
        </w:rPr>
        <w:t xml:space="preserve">(1), 23–28. </w:t>
      </w:r>
      <w:hyperlink r:id="rId24" w:history="1">
        <w:r w:rsidRPr="00915401">
          <w:rPr>
            <w:rFonts w:ascii="Times New Roman" w:eastAsia="Times New Roman" w:hAnsi="Times New Roman" w:cs="Times New Roman"/>
            <w:color w:val="0000FF"/>
            <w:kern w:val="0"/>
            <w:u w:val="single"/>
            <w:lang w:val="en-US"/>
            <w14:ligatures w14:val="none"/>
          </w:rPr>
          <w:t>https://doi.org/10.1007/BF02481448</w:t>
        </w:r>
      </w:hyperlink>
    </w:p>
    <w:p w14:paraId="495E6B84" w14:textId="77777777" w:rsidR="00D255C6" w:rsidRPr="00F638C0" w:rsidRDefault="00D255C6">
      <w:pPr>
        <w:rPr>
          <w:rFonts w:ascii="Times New Roman" w:hAnsi="Times New Roman" w:cs="Times New Roman"/>
        </w:rPr>
      </w:pPr>
    </w:p>
    <w:sectPr w:rsidR="00D255C6" w:rsidRPr="00F638C0">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AA80" w14:textId="77777777" w:rsidR="0050349F" w:rsidRDefault="0050349F" w:rsidP="00980A30">
      <w:pPr>
        <w:spacing w:after="0" w:line="240" w:lineRule="auto"/>
      </w:pPr>
      <w:r>
        <w:separator/>
      </w:r>
    </w:p>
  </w:endnote>
  <w:endnote w:type="continuationSeparator" w:id="0">
    <w:p w14:paraId="2DF9CC48" w14:textId="77777777" w:rsidR="0050349F" w:rsidRDefault="0050349F" w:rsidP="00980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120C9" w14:textId="77777777" w:rsidR="00651B99" w:rsidRDefault="00651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F51F" w14:textId="77777777" w:rsidR="00651B99" w:rsidRDefault="00651B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91CF" w14:textId="77777777" w:rsidR="00651B99" w:rsidRDefault="00651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E348" w14:textId="77777777" w:rsidR="0050349F" w:rsidRDefault="0050349F" w:rsidP="00980A30">
      <w:pPr>
        <w:spacing w:after="0" w:line="240" w:lineRule="auto"/>
      </w:pPr>
      <w:r>
        <w:separator/>
      </w:r>
    </w:p>
  </w:footnote>
  <w:footnote w:type="continuationSeparator" w:id="0">
    <w:p w14:paraId="6A770DA2" w14:textId="77777777" w:rsidR="0050349F" w:rsidRDefault="0050349F" w:rsidP="00980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73AA" w14:textId="77777777" w:rsidR="00651B99" w:rsidRDefault="00000000">
    <w:pPr>
      <w:pStyle w:val="Header"/>
    </w:pPr>
    <w:r>
      <w:rPr>
        <w:noProof/>
      </w:rPr>
      <w:pict w14:anchorId="0C3B84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EAFA" w14:textId="77777777" w:rsidR="00651B99" w:rsidRDefault="00000000">
    <w:pPr>
      <w:pStyle w:val="Header"/>
    </w:pPr>
    <w:r>
      <w:rPr>
        <w:noProof/>
      </w:rPr>
      <w:pict w14:anchorId="79E9E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C947" w14:textId="77777777" w:rsidR="00651B99" w:rsidRDefault="00000000">
    <w:pPr>
      <w:pStyle w:val="Header"/>
    </w:pPr>
    <w:r>
      <w:rPr>
        <w:noProof/>
      </w:rPr>
      <w:pict w14:anchorId="7ED70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8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F59"/>
    <w:multiLevelType w:val="multilevel"/>
    <w:tmpl w:val="06D6B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225C2F"/>
    <w:multiLevelType w:val="multilevel"/>
    <w:tmpl w:val="75BE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2756022">
    <w:abstractNumId w:val="1"/>
  </w:num>
  <w:num w:numId="2" w16cid:durableId="2006978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C0"/>
    <w:rsid w:val="000467E0"/>
    <w:rsid w:val="00067F20"/>
    <w:rsid w:val="00124C79"/>
    <w:rsid w:val="001C00E9"/>
    <w:rsid w:val="00211BC9"/>
    <w:rsid w:val="00262B60"/>
    <w:rsid w:val="00295282"/>
    <w:rsid w:val="00296099"/>
    <w:rsid w:val="002E0EAB"/>
    <w:rsid w:val="003864D6"/>
    <w:rsid w:val="00396249"/>
    <w:rsid w:val="003F2CAD"/>
    <w:rsid w:val="0050349F"/>
    <w:rsid w:val="00641D40"/>
    <w:rsid w:val="00651B99"/>
    <w:rsid w:val="006B4A58"/>
    <w:rsid w:val="006C4A1B"/>
    <w:rsid w:val="007129CC"/>
    <w:rsid w:val="00736E99"/>
    <w:rsid w:val="00737ACA"/>
    <w:rsid w:val="00767FF7"/>
    <w:rsid w:val="00871610"/>
    <w:rsid w:val="008D4B2D"/>
    <w:rsid w:val="00915401"/>
    <w:rsid w:val="009276E2"/>
    <w:rsid w:val="00931B75"/>
    <w:rsid w:val="00934AE3"/>
    <w:rsid w:val="00977F4A"/>
    <w:rsid w:val="00980A30"/>
    <w:rsid w:val="00A91D9D"/>
    <w:rsid w:val="00AE4CD2"/>
    <w:rsid w:val="00AE5EE7"/>
    <w:rsid w:val="00B0692E"/>
    <w:rsid w:val="00BD38B9"/>
    <w:rsid w:val="00BD4B5F"/>
    <w:rsid w:val="00C55717"/>
    <w:rsid w:val="00C665F5"/>
    <w:rsid w:val="00C846C1"/>
    <w:rsid w:val="00CC52A4"/>
    <w:rsid w:val="00D255C6"/>
    <w:rsid w:val="00D67113"/>
    <w:rsid w:val="00E96CC9"/>
    <w:rsid w:val="00EC6367"/>
    <w:rsid w:val="00F57E23"/>
    <w:rsid w:val="00F638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4A81D"/>
  <w15:chartTrackingRefBased/>
  <w15:docId w15:val="{6335BCFE-0514-40A3-BE36-FEAF58595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8C0"/>
    <w:rPr>
      <w:rFonts w:eastAsiaTheme="majorEastAsia" w:cstheme="majorBidi"/>
      <w:color w:val="272727" w:themeColor="text1" w:themeTint="D8"/>
    </w:rPr>
  </w:style>
  <w:style w:type="paragraph" w:styleId="Title">
    <w:name w:val="Title"/>
    <w:basedOn w:val="Normal"/>
    <w:next w:val="Normal"/>
    <w:link w:val="TitleChar"/>
    <w:uiPriority w:val="10"/>
    <w:qFormat/>
    <w:rsid w:val="00F63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8C0"/>
    <w:pPr>
      <w:spacing w:before="160"/>
      <w:jc w:val="center"/>
    </w:pPr>
    <w:rPr>
      <w:i/>
      <w:iCs/>
      <w:color w:val="404040" w:themeColor="text1" w:themeTint="BF"/>
    </w:rPr>
  </w:style>
  <w:style w:type="character" w:customStyle="1" w:styleId="QuoteChar">
    <w:name w:val="Quote Char"/>
    <w:basedOn w:val="DefaultParagraphFont"/>
    <w:link w:val="Quote"/>
    <w:uiPriority w:val="29"/>
    <w:rsid w:val="00F638C0"/>
    <w:rPr>
      <w:i/>
      <w:iCs/>
      <w:color w:val="404040" w:themeColor="text1" w:themeTint="BF"/>
    </w:rPr>
  </w:style>
  <w:style w:type="paragraph" w:styleId="ListParagraph">
    <w:name w:val="List Paragraph"/>
    <w:basedOn w:val="Normal"/>
    <w:uiPriority w:val="34"/>
    <w:qFormat/>
    <w:rsid w:val="00F638C0"/>
    <w:pPr>
      <w:ind w:left="720"/>
      <w:contextualSpacing/>
    </w:pPr>
  </w:style>
  <w:style w:type="character" w:styleId="IntenseEmphasis">
    <w:name w:val="Intense Emphasis"/>
    <w:basedOn w:val="DefaultParagraphFont"/>
    <w:uiPriority w:val="21"/>
    <w:qFormat/>
    <w:rsid w:val="00F638C0"/>
    <w:rPr>
      <w:i/>
      <w:iCs/>
      <w:color w:val="0F4761" w:themeColor="accent1" w:themeShade="BF"/>
    </w:rPr>
  </w:style>
  <w:style w:type="paragraph" w:styleId="IntenseQuote">
    <w:name w:val="Intense Quote"/>
    <w:basedOn w:val="Normal"/>
    <w:next w:val="Normal"/>
    <w:link w:val="IntenseQuoteChar"/>
    <w:uiPriority w:val="30"/>
    <w:qFormat/>
    <w:rsid w:val="00F63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8C0"/>
    <w:rPr>
      <w:i/>
      <w:iCs/>
      <w:color w:val="0F4761" w:themeColor="accent1" w:themeShade="BF"/>
    </w:rPr>
  </w:style>
  <w:style w:type="character" w:styleId="IntenseReference">
    <w:name w:val="Intense Reference"/>
    <w:basedOn w:val="DefaultParagraphFont"/>
    <w:uiPriority w:val="32"/>
    <w:qFormat/>
    <w:rsid w:val="00F638C0"/>
    <w:rPr>
      <w:b/>
      <w:bCs/>
      <w:smallCaps/>
      <w:color w:val="0F4761" w:themeColor="accent1" w:themeShade="BF"/>
      <w:spacing w:val="5"/>
    </w:rPr>
  </w:style>
  <w:style w:type="table" w:styleId="TableGrid">
    <w:name w:val="Table Grid"/>
    <w:basedOn w:val="TableNormal"/>
    <w:uiPriority w:val="39"/>
    <w:rsid w:val="00F6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4A1B"/>
    <w:rPr>
      <w:color w:val="467886" w:themeColor="hyperlink"/>
      <w:u w:val="single"/>
    </w:rPr>
  </w:style>
  <w:style w:type="paragraph" w:styleId="Header">
    <w:name w:val="header"/>
    <w:basedOn w:val="Normal"/>
    <w:link w:val="HeaderChar"/>
    <w:uiPriority w:val="99"/>
    <w:unhideWhenUsed/>
    <w:rsid w:val="00980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A30"/>
  </w:style>
  <w:style w:type="paragraph" w:styleId="Footer">
    <w:name w:val="footer"/>
    <w:basedOn w:val="Normal"/>
    <w:link w:val="FooterChar"/>
    <w:uiPriority w:val="99"/>
    <w:unhideWhenUsed/>
    <w:rsid w:val="00980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91457">
      <w:bodyDiv w:val="1"/>
      <w:marLeft w:val="0"/>
      <w:marRight w:val="0"/>
      <w:marTop w:val="0"/>
      <w:marBottom w:val="0"/>
      <w:divBdr>
        <w:top w:val="none" w:sz="0" w:space="0" w:color="auto"/>
        <w:left w:val="none" w:sz="0" w:space="0" w:color="auto"/>
        <w:bottom w:val="none" w:sz="0" w:space="0" w:color="auto"/>
        <w:right w:val="none" w:sz="0" w:space="0" w:color="auto"/>
      </w:divBdr>
    </w:div>
    <w:div w:id="200612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05-021-01323-3" TargetMode="External"/><Relationship Id="rId13" Type="http://schemas.openxmlformats.org/officeDocument/2006/relationships/hyperlink" Target="https://doi.org/10.1155/crog/9928611" TargetMode="External"/><Relationship Id="rId18" Type="http://schemas.openxmlformats.org/officeDocument/2006/relationships/hyperlink" Target="https://doi.org/10.14989/ActaUrolJap_71_1_17"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doi.org/10.7759/cureus.17444" TargetMode="External"/><Relationship Id="rId7" Type="http://schemas.openxmlformats.org/officeDocument/2006/relationships/hyperlink" Target="https://doi.org/10.56557/jocrims/2023/v9i18211" TargetMode="External"/><Relationship Id="rId12" Type="http://schemas.openxmlformats.org/officeDocument/2006/relationships/hyperlink" Target="https://doi.org/10.1016/j.crwh.2025.e00771" TargetMode="External"/><Relationship Id="rId17" Type="http://schemas.openxmlformats.org/officeDocument/2006/relationships/hyperlink" Target="https://doi.org/10.9734/JALSI/2015/12029"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S1051-0443(07)61801-6" TargetMode="External"/><Relationship Id="rId20" Type="http://schemas.openxmlformats.org/officeDocument/2006/relationships/hyperlink" Target="https://doi.org/10.1002/ijgo.70275"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diagnostics14111084" TargetMode="External"/><Relationship Id="rId24" Type="http://schemas.openxmlformats.org/officeDocument/2006/relationships/hyperlink" Target="https://doi.org/10.1007/BF0248144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6/j.crwh.2018.e00072" TargetMode="External"/><Relationship Id="rId23" Type="http://schemas.openxmlformats.org/officeDocument/2006/relationships/hyperlink" Target="https://doi.org/10.1186/s13019-024-03062-6" TargetMode="External"/><Relationship Id="rId28" Type="http://schemas.openxmlformats.org/officeDocument/2006/relationships/footer" Target="footer2.xml"/><Relationship Id="rId10" Type="http://schemas.openxmlformats.org/officeDocument/2006/relationships/hyperlink" Target="https://doi.org/10.1186/s12872-025-05179-5" TargetMode="External"/><Relationship Id="rId19" Type="http://schemas.openxmlformats.org/officeDocument/2006/relationships/hyperlink" Target="https://doi.org/10.7759/cureus.7550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97/GCO.0000000000000637" TargetMode="External"/><Relationship Id="rId14" Type="http://schemas.openxmlformats.org/officeDocument/2006/relationships/hyperlink" Target="https://doi.org/10.1007/s00270-024-03782-1" TargetMode="External"/><Relationship Id="rId22" Type="http://schemas.openxmlformats.org/officeDocument/2006/relationships/hyperlink" Target="https://doi.org/10.7759/cureus.10563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2912</Words>
  <Characters>16601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Shashank N Pastay</dc:creator>
  <cp:keywords/>
  <dc:description/>
  <cp:lastModifiedBy>Editor-90</cp:lastModifiedBy>
  <cp:revision>10</cp:revision>
  <dcterms:created xsi:type="dcterms:W3CDTF">2026-09-14T17:04:00Z</dcterms:created>
  <dcterms:modified xsi:type="dcterms:W3CDTF">2026-09-16T10:38:00Z</dcterms:modified>
</cp:coreProperties>
</file>