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BA987" w14:textId="77777777" w:rsidR="008D7072" w:rsidRPr="007D3F25" w:rsidRDefault="008D7072" w:rsidP="001C4F23">
      <w:pPr>
        <w:jc w:val="both"/>
        <w:rPr>
          <w:rFonts w:ascii="Times New Roman" w:hAnsi="Times New Roman" w:cs="Times New Roman"/>
          <w:b/>
          <w:i/>
          <w:sz w:val="28"/>
          <w:szCs w:val="28"/>
        </w:rPr>
      </w:pPr>
    </w:p>
    <w:p w14:paraId="2AF3614F" w14:textId="77777777" w:rsidR="001C4F23" w:rsidRPr="00757181" w:rsidRDefault="001C4F23" w:rsidP="001C4F23">
      <w:pPr>
        <w:jc w:val="both"/>
        <w:rPr>
          <w:rFonts w:ascii="Times New Roman" w:hAnsi="Times New Roman" w:cs="Times New Roman"/>
          <w:b/>
          <w:i/>
          <w:sz w:val="28"/>
          <w:szCs w:val="28"/>
        </w:rPr>
      </w:pPr>
      <w:r w:rsidRPr="00757181">
        <w:rPr>
          <w:rFonts w:ascii="Times New Roman" w:hAnsi="Times New Roman" w:cs="Times New Roman"/>
          <w:b/>
          <w:i/>
          <w:sz w:val="28"/>
          <w:szCs w:val="28"/>
        </w:rPr>
        <w:t>Original Research article</w:t>
      </w:r>
    </w:p>
    <w:p w14:paraId="55E8CF31" w14:textId="77777777" w:rsidR="008D7072" w:rsidRPr="00757181" w:rsidRDefault="008D7072" w:rsidP="001C4F23">
      <w:pPr>
        <w:jc w:val="both"/>
        <w:rPr>
          <w:rFonts w:ascii="Times New Roman" w:hAnsi="Times New Roman" w:cs="Times New Roman"/>
          <w:b/>
          <w:sz w:val="28"/>
          <w:szCs w:val="28"/>
        </w:rPr>
      </w:pPr>
    </w:p>
    <w:p w14:paraId="5F616D2E" w14:textId="1A1E6284" w:rsidR="001C4F23" w:rsidRPr="00757181" w:rsidRDefault="001C4F23" w:rsidP="001C4F23">
      <w:pPr>
        <w:jc w:val="both"/>
        <w:rPr>
          <w:rFonts w:ascii="Times New Roman" w:hAnsi="Times New Roman" w:cs="Times New Roman"/>
          <w:b/>
          <w:sz w:val="28"/>
          <w:szCs w:val="28"/>
        </w:rPr>
      </w:pPr>
      <w:r w:rsidRPr="00757181">
        <w:rPr>
          <w:rFonts w:ascii="Times New Roman" w:hAnsi="Times New Roman" w:cs="Times New Roman"/>
          <w:b/>
          <w:sz w:val="28"/>
          <w:szCs w:val="28"/>
        </w:rPr>
        <w:t>Anthropometric Features of Cardiovascular Disease Subjects attending Federal Teaching Hospital Owerri, Nigeria</w:t>
      </w:r>
      <w:r w:rsidR="00410DC8" w:rsidRPr="00757181">
        <w:rPr>
          <w:rFonts w:ascii="Times New Roman" w:hAnsi="Times New Roman" w:cs="Times New Roman"/>
          <w:b/>
          <w:sz w:val="28"/>
          <w:szCs w:val="28"/>
        </w:rPr>
        <w:t xml:space="preserve">: </w:t>
      </w:r>
      <w:r w:rsidR="005D760E">
        <w:rPr>
          <w:rFonts w:ascii="Times New Roman" w:hAnsi="Times New Roman" w:cs="Times New Roman"/>
          <w:b/>
          <w:sz w:val="28"/>
          <w:szCs w:val="28"/>
        </w:rPr>
        <w:t>A</w:t>
      </w:r>
      <w:r w:rsidR="00410DC8" w:rsidRPr="00757181">
        <w:rPr>
          <w:rFonts w:ascii="Times New Roman" w:hAnsi="Times New Roman" w:cs="Times New Roman"/>
          <w:b/>
          <w:sz w:val="28"/>
          <w:szCs w:val="28"/>
        </w:rPr>
        <w:t xml:space="preserve"> case–control study</w:t>
      </w:r>
    </w:p>
    <w:p w14:paraId="37A66A82" w14:textId="77777777" w:rsidR="001C4F23" w:rsidRPr="00757181" w:rsidRDefault="001C4F23" w:rsidP="001C4F23">
      <w:pPr>
        <w:spacing w:after="0"/>
        <w:jc w:val="both"/>
        <w:rPr>
          <w:rFonts w:ascii="Times New Roman" w:hAnsi="Times New Roman" w:cs="Times New Roman"/>
          <w:b/>
          <w:i/>
          <w:sz w:val="28"/>
          <w:szCs w:val="28"/>
        </w:rPr>
      </w:pPr>
    </w:p>
    <w:p w14:paraId="0650CD2E" w14:textId="77777777" w:rsidR="00A10836" w:rsidRPr="00757181" w:rsidRDefault="00A10836" w:rsidP="001C4F23">
      <w:pPr>
        <w:spacing w:after="0"/>
        <w:jc w:val="both"/>
        <w:rPr>
          <w:rFonts w:ascii="Times New Roman" w:hAnsi="Times New Roman" w:cs="Times New Roman"/>
          <w:b/>
          <w:i/>
          <w:sz w:val="28"/>
          <w:szCs w:val="28"/>
        </w:rPr>
      </w:pPr>
    </w:p>
    <w:p w14:paraId="64DC09EB" w14:textId="77777777" w:rsidR="008D7072" w:rsidRPr="00757181" w:rsidRDefault="008D7072" w:rsidP="00FF7032">
      <w:pPr>
        <w:rPr>
          <w:rFonts w:ascii="Times New Roman" w:hAnsi="Times New Roman" w:cs="Times New Roman"/>
          <w:b/>
          <w:i/>
          <w:sz w:val="28"/>
          <w:szCs w:val="28"/>
        </w:rPr>
      </w:pPr>
    </w:p>
    <w:p w14:paraId="68755CA7" w14:textId="77777777" w:rsidR="00FF7032" w:rsidRPr="00757181" w:rsidRDefault="00FF7032" w:rsidP="002C4D57">
      <w:pPr>
        <w:jc w:val="both"/>
        <w:rPr>
          <w:rFonts w:ascii="Times New Roman" w:hAnsi="Times New Roman" w:cs="Times New Roman"/>
          <w:b/>
          <w:sz w:val="28"/>
          <w:szCs w:val="28"/>
        </w:rPr>
      </w:pPr>
      <w:r w:rsidRPr="00757181">
        <w:rPr>
          <w:rFonts w:ascii="Times New Roman" w:hAnsi="Times New Roman" w:cs="Times New Roman"/>
          <w:b/>
          <w:sz w:val="28"/>
          <w:szCs w:val="28"/>
        </w:rPr>
        <w:t>Abstract</w:t>
      </w:r>
    </w:p>
    <w:p w14:paraId="4A047B05" w14:textId="77777777" w:rsidR="00757181" w:rsidRPr="00757181" w:rsidRDefault="00E925F6" w:rsidP="002C4D57">
      <w:pPr>
        <w:jc w:val="both"/>
        <w:rPr>
          <w:rFonts w:ascii="Times New Roman" w:eastAsia="Times New Roman" w:hAnsi="Times New Roman" w:cs="Times New Roman"/>
          <w:sz w:val="28"/>
        </w:rPr>
      </w:pPr>
      <w:r w:rsidRPr="00757181">
        <w:rPr>
          <w:rFonts w:ascii="Times New Roman" w:eastAsia="Times New Roman" w:hAnsi="Times New Roman" w:cs="Times New Roman"/>
          <w:b/>
          <w:sz w:val="28"/>
        </w:rPr>
        <w:t>Background:</w:t>
      </w:r>
      <w:r w:rsidRPr="00757181">
        <w:rPr>
          <w:rFonts w:ascii="Times New Roman" w:eastAsia="Times New Roman" w:hAnsi="Times New Roman" w:cs="Times New Roman"/>
          <w:sz w:val="28"/>
        </w:rPr>
        <w:t xml:space="preserve"> Cardiovascular disease (CVD) remains the leading cause of death globally. CVD is strongly influenced by modifiable cardiometabolic risk factors, including elevated blood pressure and excess adiposity. </w:t>
      </w:r>
    </w:p>
    <w:p w14:paraId="2456EFC2" w14:textId="77777777" w:rsidR="00757181" w:rsidRPr="00757181" w:rsidRDefault="00E925F6" w:rsidP="002C4D57">
      <w:pPr>
        <w:jc w:val="both"/>
        <w:rPr>
          <w:rFonts w:ascii="Times New Roman" w:eastAsia="Times New Roman" w:hAnsi="Times New Roman" w:cs="Times New Roman"/>
          <w:sz w:val="28"/>
        </w:rPr>
      </w:pPr>
      <w:r w:rsidRPr="00757181">
        <w:rPr>
          <w:rFonts w:ascii="Times New Roman" w:eastAsia="Times New Roman" w:hAnsi="Times New Roman" w:cs="Times New Roman"/>
          <w:b/>
          <w:sz w:val="28"/>
        </w:rPr>
        <w:t>Aims and Objectives:</w:t>
      </w:r>
      <w:r w:rsidRPr="00757181">
        <w:rPr>
          <w:rFonts w:ascii="Times New Roman" w:eastAsia="Times New Roman" w:hAnsi="Times New Roman" w:cs="Times New Roman"/>
          <w:sz w:val="28"/>
        </w:rPr>
        <w:t xml:space="preserve"> This study aimed to compare selected clinical and anthropometric markers between CVD patients and apparently healthy controls. </w:t>
      </w:r>
      <w:r w:rsidRPr="00757181">
        <w:rPr>
          <w:rFonts w:ascii="Times New Roman" w:eastAsia="Times New Roman" w:hAnsi="Times New Roman" w:cs="Times New Roman"/>
          <w:b/>
          <w:sz w:val="28"/>
        </w:rPr>
        <w:t>Materials and Methods:</w:t>
      </w:r>
      <w:r w:rsidRPr="00757181">
        <w:rPr>
          <w:rFonts w:ascii="Times New Roman" w:eastAsia="Times New Roman" w:hAnsi="Times New Roman" w:cs="Times New Roman"/>
          <w:sz w:val="28"/>
        </w:rPr>
        <w:t xml:space="preserve"> The study included 200 participants, comprising 100 CVD subjects and 100 controls attending Federal Teaching Hospital, Owerri. The variables measured were systolic blood pressure (SBP), diastolic blood pressure (DBP), body mass index (BMI), and waist circumference (WC). Results were presented as mean ± standard deviation (SD) and compared between groups using an independent-samples t-test when the assumptions for parametric analysis were satisfied. Statistical significance was set at p &lt; 0.05. </w:t>
      </w:r>
    </w:p>
    <w:p w14:paraId="373BF8B0" w14:textId="77777777" w:rsidR="00757181" w:rsidRPr="00757181" w:rsidRDefault="00E925F6" w:rsidP="002C4D57">
      <w:pPr>
        <w:jc w:val="both"/>
        <w:rPr>
          <w:rFonts w:ascii="Times New Roman" w:eastAsia="Times New Roman" w:hAnsi="Times New Roman" w:cs="Times New Roman"/>
          <w:sz w:val="28"/>
        </w:rPr>
      </w:pPr>
      <w:r w:rsidRPr="00757181">
        <w:rPr>
          <w:rFonts w:ascii="Times New Roman" w:eastAsia="Times New Roman" w:hAnsi="Times New Roman" w:cs="Times New Roman"/>
          <w:b/>
          <w:sz w:val="28"/>
        </w:rPr>
        <w:t>Results:</w:t>
      </w:r>
      <w:r w:rsidRPr="00757181">
        <w:rPr>
          <w:rFonts w:ascii="Times New Roman" w:eastAsia="Times New Roman" w:hAnsi="Times New Roman" w:cs="Times New Roman"/>
          <w:sz w:val="28"/>
        </w:rPr>
        <w:t xml:space="preserve"> There was no significant difference in age between the groups (p = 0.395). However, CVD patients had significantly higher SBP (159.03 ± 11.79 mmHg versus 123.79 ± 20.36 mmHg), DBP (91.01 ± 7.50 mmHg versus 75.68 ± 3.42 mmHg), BMI (31.04 ± 2.50 kg/m</w:t>
      </w:r>
      <w:r w:rsidRPr="00757181">
        <w:rPr>
          <w:rFonts w:ascii="Times New Roman" w:eastAsia="Times New Roman" w:hAnsi="Times New Roman" w:cs="Times New Roman"/>
          <w:sz w:val="28"/>
          <w:vertAlign w:val="superscript"/>
        </w:rPr>
        <w:t>2</w:t>
      </w:r>
      <w:r w:rsidRPr="00757181">
        <w:rPr>
          <w:rFonts w:ascii="Times New Roman" w:eastAsia="Times New Roman" w:hAnsi="Times New Roman" w:cs="Times New Roman"/>
          <w:sz w:val="28"/>
        </w:rPr>
        <w:t xml:space="preserve"> versus 23.28 ± 1.02 kg/m</w:t>
      </w:r>
      <w:r w:rsidRPr="00757181">
        <w:rPr>
          <w:rFonts w:ascii="Times New Roman" w:eastAsia="Times New Roman" w:hAnsi="Times New Roman" w:cs="Times New Roman"/>
          <w:sz w:val="28"/>
          <w:vertAlign w:val="superscript"/>
        </w:rPr>
        <w:t>2</w:t>
      </w:r>
      <w:r w:rsidRPr="00757181">
        <w:rPr>
          <w:rFonts w:ascii="Times New Roman" w:eastAsia="Times New Roman" w:hAnsi="Times New Roman" w:cs="Times New Roman"/>
          <w:sz w:val="28"/>
        </w:rPr>
        <w:t xml:space="preserve">), and WC (106.03 ± 6.94 cm versus 84.81 ± 3.01 cm) than controls (p = 0.001 for each comparison). CVD patients therefore demonstrated higher blood pressure, BMI, and waist circumference than apparently healthy subjects. </w:t>
      </w:r>
    </w:p>
    <w:p w14:paraId="79705C2A" w14:textId="3638AC6F" w:rsidR="00FF7032" w:rsidRPr="00757181" w:rsidRDefault="00E925F6" w:rsidP="002C4D57">
      <w:pPr>
        <w:jc w:val="both"/>
        <w:rPr>
          <w:rFonts w:ascii="Times New Roman" w:eastAsiaTheme="minorEastAsia" w:hAnsi="Times New Roman" w:cs="Times New Roman"/>
          <w:sz w:val="28"/>
          <w:szCs w:val="28"/>
        </w:rPr>
      </w:pPr>
      <w:r w:rsidRPr="00757181">
        <w:rPr>
          <w:rFonts w:ascii="Times New Roman" w:eastAsia="Times New Roman" w:hAnsi="Times New Roman" w:cs="Times New Roman"/>
          <w:b/>
          <w:sz w:val="28"/>
        </w:rPr>
        <w:t>Conclusion:</w:t>
      </w:r>
      <w:r w:rsidRPr="00757181">
        <w:rPr>
          <w:rFonts w:ascii="Times New Roman" w:eastAsia="Times New Roman" w:hAnsi="Times New Roman" w:cs="Times New Roman"/>
          <w:sz w:val="28"/>
        </w:rPr>
        <w:t xml:space="preserve"> SBP, DBP, BMI, and WC were significantly higher in CVD subjects than in controls. Pearson correlation analysis showed significant positive correlations among age, SBP, DBP, BMI, and waist circumference in CVD subjects. These findings emphasise the importance of blood pressure and adiposity assessment in cardiovascular risk evaluation. Further studies using multivariable </w:t>
      </w:r>
      <w:r w:rsidRPr="00757181">
        <w:rPr>
          <w:rFonts w:ascii="Times New Roman" w:eastAsia="Times New Roman" w:hAnsi="Times New Roman" w:cs="Times New Roman"/>
          <w:sz w:val="28"/>
        </w:rPr>
        <w:lastRenderedPageBreak/>
        <w:t>analyses are warranted to determine the independent contribution of these factors to CVD.</w:t>
      </w:r>
    </w:p>
    <w:p w14:paraId="668CADDE" w14:textId="77777777" w:rsidR="00E7554C" w:rsidRPr="00757181" w:rsidRDefault="00E7554C" w:rsidP="002C4D57">
      <w:pPr>
        <w:jc w:val="both"/>
        <w:rPr>
          <w:rFonts w:ascii="Times New Roman" w:eastAsiaTheme="minorEastAsia" w:hAnsi="Times New Roman" w:cs="Times New Roman"/>
          <w:sz w:val="28"/>
          <w:szCs w:val="28"/>
        </w:rPr>
      </w:pPr>
    </w:p>
    <w:p w14:paraId="3DF70C2B" w14:textId="12C05407" w:rsidR="007F20AC" w:rsidRPr="00757181" w:rsidRDefault="00E029BA" w:rsidP="002C4D57">
      <w:pPr>
        <w:jc w:val="both"/>
        <w:rPr>
          <w:rFonts w:ascii="Times New Roman" w:eastAsiaTheme="minorEastAsia" w:hAnsi="Times New Roman" w:cs="Times New Roman"/>
          <w:sz w:val="28"/>
          <w:szCs w:val="28"/>
        </w:rPr>
      </w:pPr>
      <w:r w:rsidRPr="00757181">
        <w:rPr>
          <w:rFonts w:ascii="Times New Roman" w:eastAsiaTheme="minorEastAsia" w:hAnsi="Times New Roman" w:cs="Times New Roman"/>
          <w:b/>
          <w:sz w:val="28"/>
          <w:szCs w:val="28"/>
        </w:rPr>
        <w:t xml:space="preserve">Keywords: </w:t>
      </w:r>
      <w:r w:rsidRPr="00757181">
        <w:rPr>
          <w:rFonts w:ascii="Times New Roman" w:eastAsiaTheme="minorEastAsia" w:hAnsi="Times New Roman" w:cs="Times New Roman"/>
          <w:sz w:val="28"/>
          <w:szCs w:val="28"/>
        </w:rPr>
        <w:t>Cardiovascular disease</w:t>
      </w:r>
      <w:r w:rsidR="00C768BF" w:rsidRPr="00757181">
        <w:rPr>
          <w:rFonts w:ascii="Times New Roman" w:eastAsiaTheme="minorEastAsia" w:hAnsi="Times New Roman" w:cs="Times New Roman"/>
          <w:sz w:val="28"/>
          <w:szCs w:val="28"/>
        </w:rPr>
        <w:t xml:space="preserve"> (CVD)</w:t>
      </w:r>
      <w:r w:rsidRPr="00757181">
        <w:rPr>
          <w:rFonts w:ascii="Times New Roman" w:eastAsiaTheme="minorEastAsia" w:hAnsi="Times New Roman" w:cs="Times New Roman"/>
          <w:sz w:val="28"/>
          <w:szCs w:val="28"/>
        </w:rPr>
        <w:t>,</w:t>
      </w:r>
      <w:r w:rsidR="00AF0F30" w:rsidRPr="00757181">
        <w:rPr>
          <w:rFonts w:ascii="Times New Roman" w:eastAsiaTheme="minorEastAsia" w:hAnsi="Times New Roman" w:cs="Times New Roman"/>
          <w:sz w:val="28"/>
          <w:szCs w:val="28"/>
        </w:rPr>
        <w:t xml:space="preserve"> Anthropometric features, Blood pre</w:t>
      </w:r>
      <w:r w:rsidR="00261AA6" w:rsidRPr="00757181">
        <w:rPr>
          <w:rFonts w:ascii="Times New Roman" w:eastAsiaTheme="minorEastAsia" w:hAnsi="Times New Roman" w:cs="Times New Roman"/>
          <w:sz w:val="28"/>
          <w:szCs w:val="28"/>
        </w:rPr>
        <w:t>ssure, BMI, Waist circumference, Nigeria</w:t>
      </w:r>
    </w:p>
    <w:p w14:paraId="5DEE15D7" w14:textId="77777777" w:rsidR="00757181" w:rsidRPr="00757181" w:rsidRDefault="00757181" w:rsidP="002C4D57">
      <w:pPr>
        <w:jc w:val="both"/>
        <w:rPr>
          <w:rFonts w:ascii="Times New Roman" w:eastAsiaTheme="minorEastAsia" w:hAnsi="Times New Roman" w:cs="Times New Roman"/>
          <w:sz w:val="28"/>
          <w:szCs w:val="28"/>
        </w:rPr>
      </w:pPr>
    </w:p>
    <w:p w14:paraId="499AA463" w14:textId="77777777" w:rsidR="007F20AC" w:rsidRPr="00757181" w:rsidRDefault="007F20AC" w:rsidP="002F5245">
      <w:pPr>
        <w:jc w:val="both"/>
        <w:rPr>
          <w:rFonts w:ascii="Times New Roman" w:eastAsiaTheme="minorEastAsia" w:hAnsi="Times New Roman" w:cs="Times New Roman"/>
          <w:b/>
          <w:sz w:val="28"/>
          <w:szCs w:val="28"/>
        </w:rPr>
      </w:pPr>
      <w:r w:rsidRPr="00757181">
        <w:rPr>
          <w:rFonts w:ascii="Times New Roman" w:eastAsiaTheme="minorEastAsia" w:hAnsi="Times New Roman" w:cs="Times New Roman"/>
          <w:b/>
          <w:sz w:val="28"/>
          <w:szCs w:val="28"/>
        </w:rPr>
        <w:t>INTRODUCTION</w:t>
      </w:r>
    </w:p>
    <w:p w14:paraId="4CA150D7" w14:textId="77777777" w:rsidR="00A1483A" w:rsidRPr="00757181" w:rsidRDefault="007F20AC" w:rsidP="002F5245">
      <w:pPr>
        <w:jc w:val="both"/>
        <w:rPr>
          <w:rFonts w:ascii="Times New Roman" w:eastAsiaTheme="minorEastAsia" w:hAnsi="Times New Roman" w:cs="Times New Roman"/>
          <w:sz w:val="28"/>
          <w:szCs w:val="28"/>
        </w:rPr>
      </w:pPr>
      <w:r w:rsidRPr="00757181">
        <w:rPr>
          <w:rFonts w:ascii="Times New Roman" w:eastAsia="Times New Roman" w:hAnsi="Times New Roman" w:cs="Times New Roman"/>
          <w:sz w:val="28"/>
        </w:rPr>
        <w:t>Cardiovascular diseases (CVDs) are the leading cause of death globally, accounting for an estimated 19.8 million deaths in 2022 (World Health Organization [WHO], 2025a). High blood pressure (HBP) and obesity are major modifiable risk factors associated with adverse vascular and metabolic outcomes.</w:t>
      </w:r>
    </w:p>
    <w:p w14:paraId="200FD898" w14:textId="5B7A401A" w:rsidR="00E514DB" w:rsidRPr="00757181" w:rsidRDefault="00A1483A">
      <w:pPr>
        <w:jc w:val="both"/>
        <w:rPr>
          <w:rFonts w:ascii="Times New Roman" w:eastAsiaTheme="minorEastAsia" w:hAnsi="Times New Roman" w:cs="Times New Roman"/>
          <w:sz w:val="28"/>
          <w:szCs w:val="28"/>
        </w:rPr>
      </w:pPr>
      <w:r w:rsidRPr="00757181">
        <w:rPr>
          <w:rFonts w:ascii="Times New Roman" w:eastAsia="Times New Roman" w:hAnsi="Times New Roman" w:cs="Times New Roman"/>
          <w:sz w:val="28"/>
        </w:rPr>
        <w:t xml:space="preserve">High blood pressure is one of the most important modifiable risk factors for the development of cardiovascular disease (CVD). The association between blood pressure and CVD risk is continuous and graded rather than restricted to severe hypertension. The 2025 AHA/ACC guideline notes that cardiovascular risk increases with increasing SBP and DBP, and that higher blood pressure is associated with coronary heart disease, heart failure, stroke, and other vascular outcomes (Jones </w:t>
      </w:r>
      <w:r w:rsidRPr="00757181">
        <w:rPr>
          <w:rFonts w:ascii="Times New Roman" w:eastAsia="Times New Roman" w:hAnsi="Times New Roman" w:cs="Times New Roman"/>
          <w:i/>
          <w:sz w:val="28"/>
        </w:rPr>
        <w:t>et al.</w:t>
      </w:r>
      <w:r w:rsidRPr="00757181">
        <w:rPr>
          <w:rFonts w:ascii="Times New Roman" w:eastAsia="Times New Roman" w:hAnsi="Times New Roman" w:cs="Times New Roman"/>
          <w:sz w:val="28"/>
        </w:rPr>
        <w:t>, 2025).</w:t>
      </w:r>
      <w:r w:rsidR="00757181" w:rsidRPr="00757181">
        <w:rPr>
          <w:rFonts w:ascii="Times New Roman" w:eastAsiaTheme="minorEastAsia" w:hAnsi="Times New Roman" w:cs="Times New Roman"/>
          <w:sz w:val="28"/>
          <w:szCs w:val="28"/>
        </w:rPr>
        <w:t xml:space="preserve"> </w:t>
      </w:r>
      <w:r w:rsidRPr="00757181">
        <w:rPr>
          <w:rFonts w:ascii="Times New Roman" w:hAnsi="Times New Roman"/>
          <w:bCs/>
          <w:sz w:val="28"/>
        </w:rPr>
        <w:t>Recent Nigerian evidence has further highlighted the contribution of hypertension to cardiovascular disease burden, while body mass index has been examined in relation to blood-pressure control among adults with hypertension, supporting the concurrent consideration of haemodynamic and adiposity measures (Ojo et al., 2024; Elegbede et al., 2026).</w:t>
      </w:r>
    </w:p>
    <w:p w14:paraId="55F87C6F" w14:textId="28764B6B" w:rsidR="00E514DB" w:rsidRPr="00757181" w:rsidRDefault="009E5B3F">
      <w:pPr>
        <w:jc w:val="both"/>
        <w:rPr>
          <w:rFonts w:ascii="Times New Roman" w:eastAsiaTheme="minorEastAsia" w:hAnsi="Times New Roman" w:cs="Times New Roman"/>
          <w:sz w:val="28"/>
          <w:szCs w:val="28"/>
        </w:rPr>
      </w:pPr>
      <w:r w:rsidRPr="00757181">
        <w:rPr>
          <w:rFonts w:ascii="Times New Roman" w:eastAsia="Times New Roman" w:hAnsi="Times New Roman" w:cs="Times New Roman"/>
          <w:sz w:val="28"/>
        </w:rPr>
        <w:t>Obesity, especially abdominal obesity, is a modifiable CVD risk factor that is increasingly prevalent worldwide (WHO, 2025a). Common anthropometric indices used to assess overweight and obesity are body mass index (BMI), calculated as weight in kilograms (kg) divided by height in metres squared (m</w:t>
      </w:r>
      <w:r w:rsidRPr="00757181">
        <w:rPr>
          <w:rFonts w:ascii="Times New Roman" w:eastAsia="Times New Roman" w:hAnsi="Times New Roman" w:cs="Times New Roman"/>
          <w:sz w:val="28"/>
          <w:vertAlign w:val="superscript"/>
        </w:rPr>
        <w:t>2</w:t>
      </w:r>
      <w:r w:rsidRPr="00757181">
        <w:rPr>
          <w:rFonts w:ascii="Times New Roman" w:eastAsia="Times New Roman" w:hAnsi="Times New Roman" w:cs="Times New Roman"/>
          <w:sz w:val="28"/>
        </w:rPr>
        <w:t>) (kg/m</w:t>
      </w:r>
      <w:r w:rsidRPr="00757181">
        <w:rPr>
          <w:rFonts w:ascii="Times New Roman" w:eastAsia="Times New Roman" w:hAnsi="Times New Roman" w:cs="Times New Roman"/>
          <w:sz w:val="28"/>
          <w:vertAlign w:val="superscript"/>
        </w:rPr>
        <w:t>2</w:t>
      </w:r>
      <w:r w:rsidRPr="00757181">
        <w:rPr>
          <w:rFonts w:ascii="Times New Roman" w:eastAsia="Times New Roman" w:hAnsi="Times New Roman" w:cs="Times New Roman"/>
          <w:sz w:val="28"/>
        </w:rPr>
        <w:t xml:space="preserve">), and waist circumference (WC), measured in centimetres (cm). BMI is a simple and widely used measure of general adiposity, whereas waist circumference provides an accessible measure of central/abdominal adiposity and may provide additional cardiovascular risk information beyond BMI (Powell-Wiley </w:t>
      </w:r>
      <w:r w:rsidRPr="00757181">
        <w:rPr>
          <w:rFonts w:ascii="Times New Roman" w:eastAsia="Times New Roman" w:hAnsi="Times New Roman" w:cs="Times New Roman"/>
          <w:i/>
          <w:sz w:val="28"/>
        </w:rPr>
        <w:t>et al.</w:t>
      </w:r>
      <w:r w:rsidRPr="00757181">
        <w:rPr>
          <w:rFonts w:ascii="Times New Roman" w:eastAsia="Times New Roman" w:hAnsi="Times New Roman" w:cs="Times New Roman"/>
          <w:sz w:val="28"/>
        </w:rPr>
        <w:t xml:space="preserve">, 2021; Darbandi </w:t>
      </w:r>
      <w:r w:rsidRPr="00757181">
        <w:rPr>
          <w:rFonts w:ascii="Times New Roman" w:eastAsia="Times New Roman" w:hAnsi="Times New Roman" w:cs="Times New Roman"/>
          <w:i/>
          <w:sz w:val="28"/>
        </w:rPr>
        <w:t>et al.</w:t>
      </w:r>
      <w:r w:rsidRPr="00757181">
        <w:rPr>
          <w:rFonts w:ascii="Times New Roman" w:eastAsia="Times New Roman" w:hAnsi="Times New Roman" w:cs="Times New Roman"/>
          <w:sz w:val="28"/>
        </w:rPr>
        <w:t xml:space="preserve">, 2020; Koskinas </w:t>
      </w:r>
      <w:r w:rsidRPr="00757181">
        <w:rPr>
          <w:rFonts w:ascii="Times New Roman" w:eastAsia="Times New Roman" w:hAnsi="Times New Roman" w:cs="Times New Roman"/>
          <w:i/>
          <w:sz w:val="28"/>
        </w:rPr>
        <w:t>et al.</w:t>
      </w:r>
      <w:r w:rsidRPr="00757181">
        <w:rPr>
          <w:rFonts w:ascii="Times New Roman" w:eastAsia="Times New Roman" w:hAnsi="Times New Roman" w:cs="Times New Roman"/>
          <w:sz w:val="28"/>
        </w:rPr>
        <w:t>, 2024).</w:t>
      </w:r>
      <w:r w:rsidR="00757181" w:rsidRPr="00757181">
        <w:rPr>
          <w:rFonts w:ascii="Times New Roman" w:eastAsiaTheme="minorEastAsia" w:hAnsi="Times New Roman" w:cs="Times New Roman"/>
          <w:sz w:val="28"/>
          <w:szCs w:val="28"/>
        </w:rPr>
        <w:t xml:space="preserve"> </w:t>
      </w:r>
      <w:r w:rsidRPr="00757181">
        <w:rPr>
          <w:rFonts w:ascii="Times New Roman" w:hAnsi="Times New Roman"/>
          <w:sz w:val="28"/>
        </w:rPr>
        <w:t xml:space="preserve">Recent Nigerian studies have also incorporated anthropometric and blood-pressure indices when characterising cardiometabolic and cardiovascular risk profiles, reinforcing the practical relevance of these readily obtainable measures in clinical risk assessment (Sunday et al., 2024; Pius et al., </w:t>
      </w:r>
      <w:r w:rsidRPr="00757181">
        <w:rPr>
          <w:rFonts w:ascii="Times New Roman" w:hAnsi="Times New Roman"/>
          <w:sz w:val="28"/>
        </w:rPr>
        <w:lastRenderedPageBreak/>
        <w:t>2025).</w:t>
      </w:r>
      <w:r w:rsidR="00757181" w:rsidRPr="00757181">
        <w:rPr>
          <w:rFonts w:ascii="Times New Roman" w:eastAsiaTheme="minorEastAsia" w:hAnsi="Times New Roman" w:cs="Times New Roman"/>
          <w:sz w:val="28"/>
          <w:szCs w:val="28"/>
        </w:rPr>
        <w:t xml:space="preserve"> </w:t>
      </w:r>
      <w:r w:rsidRPr="00757181">
        <w:rPr>
          <w:rFonts w:ascii="Times New Roman" w:hAnsi="Times New Roman"/>
          <w:sz w:val="28"/>
        </w:rPr>
        <w:t>Contemporary Nigerian literature on obesity management similarly recognises excess body weight as an important cardiometabolic concern (Ojedokun et al., 2025).</w:t>
      </w:r>
    </w:p>
    <w:p w14:paraId="38CAA23D" w14:textId="77777777" w:rsidR="00E514DB" w:rsidRPr="00757181" w:rsidRDefault="00000000">
      <w:pPr>
        <w:jc w:val="both"/>
        <w:rPr>
          <w:rFonts w:ascii="Times New Roman" w:eastAsiaTheme="minorEastAsia" w:hAnsi="Times New Roman" w:cs="Times New Roman"/>
          <w:sz w:val="28"/>
          <w:szCs w:val="28"/>
        </w:rPr>
      </w:pPr>
      <w:r w:rsidRPr="00757181">
        <w:rPr>
          <w:rFonts w:ascii="Times New Roman" w:hAnsi="Times New Roman"/>
          <w:sz w:val="28"/>
        </w:rPr>
        <w:t>Accordingly, there is a need for setting-specific comparative evidence on SBP, DBP, BMI, and WC between patients with established CVD and apparently healthy controls attending Federal Teaching Hospital, Owerri. Addressing this need may clarify the pattern of differences in these routinely measurable clinical and anthropometric indices within the study population.</w:t>
      </w:r>
    </w:p>
    <w:p w14:paraId="50BED7EC" w14:textId="77777777" w:rsidR="004543F8" w:rsidRPr="00757181" w:rsidRDefault="00EE4768" w:rsidP="002F5245">
      <w:pPr>
        <w:jc w:val="both"/>
        <w:rPr>
          <w:rFonts w:ascii="Times New Roman" w:eastAsiaTheme="minorEastAsia" w:hAnsi="Times New Roman" w:cs="Times New Roman"/>
          <w:sz w:val="28"/>
          <w:szCs w:val="28"/>
        </w:rPr>
      </w:pPr>
      <w:r w:rsidRPr="00757181">
        <w:rPr>
          <w:rFonts w:ascii="Times New Roman" w:eastAsia="Times New Roman" w:hAnsi="Times New Roman" w:cs="Times New Roman"/>
          <w:sz w:val="28"/>
        </w:rPr>
        <w:t>Given the established relationships between elevated BP, excess adiposity, and cardiovascular risk, assessment of haemodynamic and anthropometric indices may provide useful information for characterising cardiovascular risk among individuals with established CVD. Therefore, this study compared SBP, DBP, BMI, and WC between patients with CVD and apparently healthy controls to determine whether these clinical and anthropometric measures differed significantly between groups.</w:t>
      </w:r>
    </w:p>
    <w:p w14:paraId="446E69CD" w14:textId="77777777" w:rsidR="003A4754" w:rsidRPr="00757181" w:rsidRDefault="003A4754" w:rsidP="002F5245">
      <w:pPr>
        <w:jc w:val="both"/>
        <w:rPr>
          <w:rFonts w:ascii="Times New Roman" w:eastAsiaTheme="minorEastAsia" w:hAnsi="Times New Roman" w:cs="Times New Roman"/>
          <w:sz w:val="28"/>
          <w:szCs w:val="28"/>
        </w:rPr>
      </w:pPr>
    </w:p>
    <w:p w14:paraId="5ADDBAFB" w14:textId="77777777" w:rsidR="00A00F9F" w:rsidRPr="00757181" w:rsidRDefault="00A00F9F" w:rsidP="002F5245">
      <w:pPr>
        <w:jc w:val="both"/>
        <w:rPr>
          <w:rFonts w:ascii="Times New Roman" w:eastAsiaTheme="minorEastAsia" w:hAnsi="Times New Roman" w:cs="Times New Roman"/>
          <w:sz w:val="28"/>
          <w:szCs w:val="28"/>
        </w:rPr>
      </w:pPr>
    </w:p>
    <w:p w14:paraId="075B2367" w14:textId="77777777" w:rsidR="004543F8" w:rsidRPr="00757181" w:rsidRDefault="004543F8" w:rsidP="002F5245">
      <w:pPr>
        <w:jc w:val="both"/>
        <w:rPr>
          <w:rFonts w:ascii="Times New Roman" w:eastAsiaTheme="minorEastAsia" w:hAnsi="Times New Roman" w:cs="Times New Roman"/>
          <w:b/>
          <w:sz w:val="28"/>
          <w:szCs w:val="28"/>
        </w:rPr>
      </w:pPr>
      <w:r w:rsidRPr="00757181">
        <w:rPr>
          <w:rFonts w:ascii="Times New Roman" w:eastAsiaTheme="minorEastAsia" w:hAnsi="Times New Roman" w:cs="Times New Roman"/>
          <w:b/>
          <w:sz w:val="28"/>
          <w:szCs w:val="28"/>
        </w:rPr>
        <w:t>MATERIALS AND METHODS</w:t>
      </w:r>
    </w:p>
    <w:p w14:paraId="5AE16017" w14:textId="77777777" w:rsidR="006F540A" w:rsidRPr="00757181" w:rsidRDefault="006F540A" w:rsidP="002F5245">
      <w:pPr>
        <w:jc w:val="both"/>
        <w:rPr>
          <w:rFonts w:ascii="Times New Roman" w:hAnsi="Times New Roman" w:cs="Times New Roman"/>
          <w:b/>
          <w:sz w:val="28"/>
          <w:szCs w:val="28"/>
        </w:rPr>
      </w:pPr>
      <w:r w:rsidRPr="00757181">
        <w:rPr>
          <w:rFonts w:ascii="Times New Roman" w:hAnsi="Times New Roman" w:cs="Times New Roman"/>
          <w:b/>
          <w:sz w:val="28"/>
          <w:szCs w:val="28"/>
        </w:rPr>
        <w:t>Study design</w:t>
      </w:r>
    </w:p>
    <w:p w14:paraId="1330387C" w14:textId="77777777" w:rsidR="006F540A" w:rsidRPr="00757181" w:rsidRDefault="006F540A" w:rsidP="006F540A">
      <w:pPr>
        <w:jc w:val="both"/>
        <w:rPr>
          <w:rFonts w:ascii="Times New Roman" w:hAnsi="Times New Roman" w:cs="Times New Roman"/>
          <w:sz w:val="28"/>
          <w:szCs w:val="28"/>
        </w:rPr>
      </w:pPr>
      <w:r w:rsidRPr="00757181">
        <w:rPr>
          <w:rFonts w:ascii="Times New Roman" w:eastAsia="Times New Roman" w:hAnsi="Times New Roman" w:cs="Times New Roman"/>
          <w:sz w:val="28"/>
        </w:rPr>
        <w:t>A hospital-based case-control study was conducted among adult participants at the Cardiology Clinic of Federal Teaching Hospital, Owerri, Nigeria. A purposive sampling technique was used to enrol 100 eligible cardiovascular disease patients attending the cardiology and outpatient clinic. In addition, 100 healthy individuals (controls) were selected through systematic random sampling from staff and patients’ relatives who met the inclusion criteria. The recruitment procedures were applied consistently throughout the study period.</w:t>
      </w:r>
    </w:p>
    <w:p w14:paraId="3BF3B6A1" w14:textId="77777777" w:rsidR="00640C5F" w:rsidRPr="00757181" w:rsidRDefault="00640C5F" w:rsidP="00FF7032">
      <w:pPr>
        <w:rPr>
          <w:rFonts w:ascii="Times New Roman" w:eastAsiaTheme="minorEastAsia" w:hAnsi="Times New Roman" w:cs="Times New Roman"/>
          <w:sz w:val="28"/>
          <w:szCs w:val="28"/>
        </w:rPr>
      </w:pPr>
    </w:p>
    <w:p w14:paraId="0FB20034" w14:textId="77777777" w:rsidR="00C01CA0" w:rsidRPr="00757181" w:rsidRDefault="00C01CA0" w:rsidP="0016042B">
      <w:pPr>
        <w:jc w:val="both"/>
        <w:rPr>
          <w:rFonts w:ascii="Times New Roman" w:hAnsi="Times New Roman" w:cs="Times New Roman"/>
          <w:b/>
          <w:sz w:val="28"/>
          <w:szCs w:val="28"/>
        </w:rPr>
      </w:pPr>
      <w:r w:rsidRPr="00757181">
        <w:rPr>
          <w:rFonts w:ascii="Times New Roman" w:hAnsi="Times New Roman" w:cs="Times New Roman"/>
          <w:b/>
          <w:sz w:val="28"/>
          <w:szCs w:val="28"/>
        </w:rPr>
        <w:t>Inclusion Criteria</w:t>
      </w:r>
    </w:p>
    <w:p w14:paraId="3ABE89D5" w14:textId="77777777" w:rsidR="00CC469E" w:rsidRPr="00757181" w:rsidRDefault="0016042B" w:rsidP="0016042B">
      <w:pPr>
        <w:jc w:val="both"/>
        <w:rPr>
          <w:rFonts w:ascii="Times New Roman" w:eastAsiaTheme="minorEastAsia" w:hAnsi="Times New Roman" w:cs="Times New Roman"/>
          <w:sz w:val="28"/>
          <w:szCs w:val="28"/>
        </w:rPr>
      </w:pPr>
      <w:r w:rsidRPr="00757181">
        <w:rPr>
          <w:rFonts w:ascii="Times New Roman" w:eastAsia="Times New Roman" w:hAnsi="Times New Roman" w:cs="Times New Roman"/>
          <w:b/>
          <w:i/>
          <w:sz w:val="28"/>
        </w:rPr>
        <w:t>Eligible CVD Subjects</w:t>
      </w:r>
      <w:r w:rsidRPr="00757181">
        <w:rPr>
          <w:rFonts w:ascii="Times New Roman" w:eastAsia="Times New Roman" w:hAnsi="Times New Roman" w:cs="Times New Roman"/>
          <w:sz w:val="28"/>
        </w:rPr>
        <w:t xml:space="preserve"> were adults aged ≥ 40 years with a documented clinical diagnosis of cardiovascular disease made by the attending physician and supported by relevant clinical findings and, where applicable, electrocardiographic, echocardiographic, or laboratory investigations. Eligible cardiovascular conditions </w:t>
      </w:r>
      <w:r w:rsidRPr="00757181">
        <w:rPr>
          <w:rFonts w:ascii="Times New Roman" w:eastAsia="Times New Roman" w:hAnsi="Times New Roman" w:cs="Times New Roman"/>
          <w:sz w:val="28"/>
        </w:rPr>
        <w:lastRenderedPageBreak/>
        <w:t>included a documented diagnosis of essential hypertension according to the 2024 ESC guidelines (</w:t>
      </w:r>
      <w:r w:rsidRPr="00757181">
        <w:rPr>
          <w:rFonts w:ascii="Times New Roman" w:eastAsia="Times New Roman" w:hAnsi="Times New Roman" w:cs="Times New Roman"/>
          <w:i/>
          <w:sz w:val="28"/>
        </w:rPr>
        <w:t>based on an office blood pressure of ≥</w:t>
      </w:r>
      <w:r w:rsidRPr="00757181">
        <w:rPr>
          <w:rFonts w:ascii="Times New Roman" w:eastAsia="Times New Roman" w:hAnsi="Times New Roman" w:cs="Times New Roman"/>
          <w:sz w:val="28"/>
        </w:rPr>
        <w:t xml:space="preserve"> 140/90 mmHg) (McEvoy </w:t>
      </w:r>
      <w:r w:rsidRPr="00757181">
        <w:rPr>
          <w:rFonts w:ascii="Times New Roman" w:eastAsia="Times New Roman" w:hAnsi="Times New Roman" w:cs="Times New Roman"/>
          <w:i/>
          <w:sz w:val="28"/>
        </w:rPr>
        <w:t>et al.</w:t>
      </w:r>
      <w:r w:rsidRPr="00757181">
        <w:rPr>
          <w:rFonts w:ascii="Times New Roman" w:eastAsia="Times New Roman" w:hAnsi="Times New Roman" w:cs="Times New Roman"/>
          <w:sz w:val="28"/>
        </w:rPr>
        <w:t xml:space="preserve">, 2024); diagnosed cases of heart failure according to the Framingham criteria (McKee </w:t>
      </w:r>
      <w:r w:rsidRPr="00757181">
        <w:rPr>
          <w:rFonts w:ascii="Times New Roman" w:eastAsia="Times New Roman" w:hAnsi="Times New Roman" w:cs="Times New Roman"/>
          <w:i/>
          <w:sz w:val="28"/>
        </w:rPr>
        <w:t>et al.</w:t>
      </w:r>
      <w:r w:rsidRPr="00757181">
        <w:rPr>
          <w:rFonts w:ascii="Times New Roman" w:eastAsia="Times New Roman" w:hAnsi="Times New Roman" w:cs="Times New Roman"/>
          <w:sz w:val="28"/>
        </w:rPr>
        <w:t xml:space="preserve">, 1971; McDonagh </w:t>
      </w:r>
      <w:r w:rsidRPr="00757181">
        <w:rPr>
          <w:rFonts w:ascii="Times New Roman" w:eastAsia="Times New Roman" w:hAnsi="Times New Roman" w:cs="Times New Roman"/>
          <w:i/>
          <w:sz w:val="28"/>
        </w:rPr>
        <w:t>et al.</w:t>
      </w:r>
      <w:r w:rsidRPr="00757181">
        <w:rPr>
          <w:rFonts w:ascii="Times New Roman" w:eastAsia="Times New Roman" w:hAnsi="Times New Roman" w:cs="Times New Roman"/>
          <w:sz w:val="28"/>
        </w:rPr>
        <w:t>, 2021); stroke (defined as a sudden neurological deficit attributable to a focal vascular cause, with the diagnosis established by the attending physician and supported, where indicated, by neuroimaging); peripheral arterial disease (based on a documented physician diagnosis supported by clinical assessment); and myocardial infarction (according to the Fourth Universal Definition of Myocardial Infarction as acute myocardial injury, evidenced by a rise and/or fall in cardiac troponin with at least one value above the 99</w:t>
      </w:r>
      <w:r w:rsidRPr="00757181">
        <w:rPr>
          <w:rFonts w:ascii="Times New Roman" w:eastAsia="Times New Roman" w:hAnsi="Times New Roman" w:cs="Times New Roman"/>
          <w:sz w:val="28"/>
          <w:vertAlign w:val="superscript"/>
        </w:rPr>
        <w:t>th</w:t>
      </w:r>
      <w:r w:rsidRPr="00757181">
        <w:rPr>
          <w:rFonts w:ascii="Times New Roman" w:eastAsia="Times New Roman" w:hAnsi="Times New Roman" w:cs="Times New Roman"/>
          <w:sz w:val="28"/>
        </w:rPr>
        <w:t xml:space="preserve"> percentile, in the presence of clinical evidence of acute myocardial ischaemia) (Thygesen </w:t>
      </w:r>
      <w:r w:rsidRPr="00757181">
        <w:rPr>
          <w:rFonts w:ascii="Times New Roman" w:eastAsia="Times New Roman" w:hAnsi="Times New Roman" w:cs="Times New Roman"/>
          <w:i/>
          <w:sz w:val="28"/>
        </w:rPr>
        <w:t>et al.</w:t>
      </w:r>
      <w:r w:rsidRPr="00757181">
        <w:rPr>
          <w:rFonts w:ascii="Times New Roman" w:eastAsia="Times New Roman" w:hAnsi="Times New Roman" w:cs="Times New Roman"/>
          <w:sz w:val="28"/>
        </w:rPr>
        <w:t>, 2019). Apparently healthy controls comprised adults aged ≥ 40 years without a documented history or clinical evidence of cardiovascular disease.</w:t>
      </w:r>
    </w:p>
    <w:p w14:paraId="3ABA7A09" w14:textId="77777777" w:rsidR="0016042B" w:rsidRPr="00757181" w:rsidRDefault="0016042B" w:rsidP="0016042B">
      <w:pPr>
        <w:jc w:val="both"/>
        <w:rPr>
          <w:rFonts w:ascii="Times New Roman" w:hAnsi="Times New Roman" w:cs="Times New Roman"/>
          <w:sz w:val="28"/>
          <w:szCs w:val="28"/>
        </w:rPr>
      </w:pPr>
      <w:r w:rsidRPr="00757181">
        <w:rPr>
          <w:rFonts w:ascii="Times New Roman" w:eastAsia="Times New Roman" w:hAnsi="Times New Roman" w:cs="Times New Roman"/>
          <w:b/>
          <w:i/>
          <w:sz w:val="28"/>
        </w:rPr>
        <w:t>Controls</w:t>
      </w:r>
      <w:r w:rsidRPr="00757181">
        <w:rPr>
          <w:rFonts w:ascii="Times New Roman" w:eastAsia="Times New Roman" w:hAnsi="Times New Roman" w:cs="Times New Roman"/>
          <w:sz w:val="28"/>
        </w:rPr>
        <w:t xml:space="preserve"> were recruited from the predefined source population and underwent the same eligibility assessment as the cases, except for the presence of the qualifying cardiovascular condition. Apparently healthy individuals without clinical or laboratory evidence of chronic illness, such as metabolic or renal disease, systemic disease, or CVD, were eligible. Participants with SBP &lt; 120 mmHg and DBP &lt; 80 mmHg were eligible for inclusion in the control group.</w:t>
      </w:r>
    </w:p>
    <w:p w14:paraId="1EE873F4" w14:textId="77777777" w:rsidR="00F21768" w:rsidRPr="00757181" w:rsidRDefault="00F21768" w:rsidP="0016042B">
      <w:pPr>
        <w:jc w:val="both"/>
        <w:rPr>
          <w:rFonts w:ascii="Times New Roman" w:eastAsiaTheme="minorEastAsia" w:hAnsi="Times New Roman" w:cs="Times New Roman"/>
          <w:b/>
          <w:sz w:val="28"/>
          <w:szCs w:val="28"/>
        </w:rPr>
      </w:pPr>
      <w:r w:rsidRPr="00757181">
        <w:rPr>
          <w:rFonts w:ascii="Times New Roman" w:eastAsiaTheme="minorEastAsia" w:hAnsi="Times New Roman" w:cs="Times New Roman"/>
          <w:b/>
          <w:sz w:val="28"/>
          <w:szCs w:val="28"/>
        </w:rPr>
        <w:t>Exclusion criteria</w:t>
      </w:r>
    </w:p>
    <w:p w14:paraId="56B51275" w14:textId="77777777" w:rsidR="0016042B" w:rsidRPr="00757181" w:rsidRDefault="0016042B" w:rsidP="0016042B">
      <w:pPr>
        <w:jc w:val="both"/>
        <w:rPr>
          <w:rFonts w:ascii="Times New Roman" w:eastAsiaTheme="minorEastAsia" w:hAnsi="Times New Roman" w:cs="Times New Roman"/>
          <w:sz w:val="28"/>
          <w:szCs w:val="28"/>
        </w:rPr>
      </w:pPr>
      <w:r w:rsidRPr="00757181">
        <w:rPr>
          <w:rFonts w:ascii="Times New Roman" w:eastAsia="Times New Roman" w:hAnsi="Times New Roman" w:cs="Times New Roman"/>
          <w:sz w:val="28"/>
        </w:rPr>
        <w:t>Participants were excluded from the CVD case group if they were aged &lt; 40 years, had no documented physician diagnosis of CVD, had insufficient clinical or diagnostic evidence to establish the reported cardiovascular diagnosis, had an acute illness or systemic condition likely to substantially influence the study biomarkers or lifestyle factors, were unable to provide the required socio-demographic or lifestyle information, or declined or withdrew informed consent.</w:t>
      </w:r>
    </w:p>
    <w:p w14:paraId="7B9202E5" w14:textId="77777777" w:rsidR="0016042B" w:rsidRPr="00757181" w:rsidRDefault="0016042B" w:rsidP="00FF7032">
      <w:pPr>
        <w:rPr>
          <w:rFonts w:ascii="Times New Roman" w:eastAsiaTheme="minorEastAsia" w:hAnsi="Times New Roman" w:cs="Times New Roman"/>
          <w:sz w:val="28"/>
          <w:szCs w:val="28"/>
        </w:rPr>
      </w:pPr>
    </w:p>
    <w:p w14:paraId="2B85F6B7" w14:textId="77777777" w:rsidR="00A04BCF" w:rsidRPr="00757181" w:rsidRDefault="00A04BCF" w:rsidP="00FF7032">
      <w:pPr>
        <w:rPr>
          <w:rFonts w:ascii="Times New Roman" w:eastAsiaTheme="minorEastAsia" w:hAnsi="Times New Roman" w:cs="Times New Roman"/>
          <w:b/>
          <w:i/>
          <w:sz w:val="28"/>
          <w:szCs w:val="28"/>
        </w:rPr>
      </w:pPr>
      <w:r w:rsidRPr="00757181">
        <w:rPr>
          <w:rFonts w:ascii="Times New Roman" w:eastAsiaTheme="minorEastAsia" w:hAnsi="Times New Roman" w:cs="Times New Roman"/>
          <w:b/>
          <w:i/>
          <w:sz w:val="28"/>
          <w:szCs w:val="28"/>
        </w:rPr>
        <w:t>Measurements</w:t>
      </w:r>
    </w:p>
    <w:p w14:paraId="4D569722" w14:textId="77777777" w:rsidR="00782E7E" w:rsidRPr="00757181" w:rsidRDefault="00A04BCF" w:rsidP="00FF7032">
      <w:pPr>
        <w:rPr>
          <w:rFonts w:ascii="Times New Roman" w:eastAsiaTheme="minorEastAsia" w:hAnsi="Times New Roman" w:cs="Times New Roman"/>
          <w:sz w:val="28"/>
          <w:szCs w:val="28"/>
        </w:rPr>
      </w:pPr>
      <w:r w:rsidRPr="00757181">
        <w:rPr>
          <w:rFonts w:ascii="Times New Roman" w:eastAsia="Times New Roman" w:hAnsi="Times New Roman" w:cs="Times New Roman"/>
          <w:sz w:val="28"/>
        </w:rPr>
        <w:t xml:space="preserve">Participants’ blood pressure was measured using a calibrated sphygmomanometer while they were seated calmly, with no distractions, for 5 minutes before readings were taken. An appropriately sized cuff was applied to the upper arm, which was supported at heart level. Participants were instructed to remain silent during measurement. Two readings were obtained at an appropriate interval, and the </w:t>
      </w:r>
      <w:r w:rsidRPr="00757181">
        <w:rPr>
          <w:rFonts w:ascii="Times New Roman" w:eastAsia="Times New Roman" w:hAnsi="Times New Roman" w:cs="Times New Roman"/>
          <w:sz w:val="28"/>
        </w:rPr>
        <w:lastRenderedPageBreak/>
        <w:t>average reading was recorded for analysis. BMI was calculated as weight (kg)/height (m</w:t>
      </w:r>
      <w:r w:rsidRPr="00757181">
        <w:rPr>
          <w:rFonts w:ascii="Times New Roman" w:eastAsia="Times New Roman" w:hAnsi="Times New Roman" w:cs="Times New Roman"/>
          <w:sz w:val="28"/>
          <w:vertAlign w:val="superscript"/>
        </w:rPr>
        <w:t>2</w:t>
      </w:r>
      <w:r w:rsidRPr="00757181">
        <w:rPr>
          <w:rFonts w:ascii="Times New Roman" w:eastAsia="Times New Roman" w:hAnsi="Times New Roman" w:cs="Times New Roman"/>
          <w:sz w:val="28"/>
        </w:rPr>
        <w:t>), and WC was measured to the nearest 0.1 cm at the midpoint between the lower rib and the iliac crest using a non-stretchable measuring tape, with participants standing upright and breathing normally.</w:t>
      </w:r>
    </w:p>
    <w:p w14:paraId="0DF0C63A" w14:textId="77777777" w:rsidR="009F3E52" w:rsidRPr="00757181" w:rsidRDefault="009F3E52" w:rsidP="00FF7032">
      <w:pPr>
        <w:rPr>
          <w:rFonts w:ascii="Times New Roman" w:eastAsiaTheme="minorEastAsia" w:hAnsi="Times New Roman" w:cs="Times New Roman"/>
          <w:b/>
          <w:i/>
          <w:sz w:val="28"/>
          <w:szCs w:val="28"/>
        </w:rPr>
      </w:pPr>
      <w:r w:rsidRPr="00757181">
        <w:rPr>
          <w:rFonts w:ascii="Times New Roman" w:eastAsiaTheme="minorEastAsia" w:hAnsi="Times New Roman" w:cs="Times New Roman"/>
          <w:b/>
          <w:i/>
          <w:sz w:val="28"/>
          <w:szCs w:val="28"/>
        </w:rPr>
        <w:t>Statistical analysis</w:t>
      </w:r>
    </w:p>
    <w:p w14:paraId="68F14E7F" w14:textId="77777777" w:rsidR="003A4754" w:rsidRPr="00757181" w:rsidRDefault="00782E7E" w:rsidP="00FF7032">
      <w:pPr>
        <w:rPr>
          <w:rFonts w:ascii="Times New Roman" w:hAnsi="Times New Roman" w:cs="Times New Roman"/>
          <w:b/>
          <w:sz w:val="28"/>
          <w:szCs w:val="28"/>
        </w:rPr>
      </w:pPr>
      <w:r w:rsidRPr="00757181">
        <w:rPr>
          <w:rFonts w:ascii="Times New Roman" w:eastAsia="Times New Roman" w:hAnsi="Times New Roman" w:cs="Times New Roman"/>
          <w:sz w:val="28"/>
        </w:rPr>
        <w:t>Data were analysed using IBM SPSS Statistics, version 23, with Student’s t-test and Pearson’s correlation. Normally distributed continuous variables were summarised as mean ± standard deviation (SD). All tests were two-sided, and p &lt; 0.05 was considered statistically significant.</w:t>
      </w:r>
    </w:p>
    <w:p w14:paraId="0C5D5D85" w14:textId="77777777" w:rsidR="00AD67F7" w:rsidRPr="00757181" w:rsidRDefault="00AD67F7" w:rsidP="00FF7032">
      <w:pPr>
        <w:rPr>
          <w:rFonts w:ascii="Times New Roman" w:hAnsi="Times New Roman" w:cs="Times New Roman"/>
          <w:b/>
          <w:sz w:val="28"/>
          <w:szCs w:val="28"/>
        </w:rPr>
      </w:pPr>
    </w:p>
    <w:p w14:paraId="74D962B2" w14:textId="77777777" w:rsidR="009F3E52" w:rsidRPr="00757181" w:rsidRDefault="00DD1E23" w:rsidP="00FF7032">
      <w:pPr>
        <w:rPr>
          <w:rFonts w:ascii="Times New Roman" w:hAnsi="Times New Roman" w:cs="Times New Roman"/>
          <w:sz w:val="28"/>
          <w:szCs w:val="28"/>
        </w:rPr>
      </w:pPr>
      <w:r w:rsidRPr="00757181">
        <w:rPr>
          <w:rFonts w:ascii="Times New Roman" w:hAnsi="Times New Roman" w:cs="Times New Roman"/>
          <w:b/>
          <w:sz w:val="28"/>
          <w:szCs w:val="28"/>
        </w:rPr>
        <w:t>RESULTS</w:t>
      </w:r>
    </w:p>
    <w:p w14:paraId="52AC4D62" w14:textId="77777777" w:rsidR="00425DF0" w:rsidRPr="00757181" w:rsidRDefault="00DD1E23" w:rsidP="00425DF0">
      <w:pPr>
        <w:spacing w:after="0" w:line="360" w:lineRule="auto"/>
        <w:jc w:val="both"/>
        <w:rPr>
          <w:rFonts w:ascii="Times New Roman" w:hAnsi="Times New Roman" w:cs="Times New Roman"/>
          <w:b/>
          <w:sz w:val="28"/>
          <w:szCs w:val="28"/>
        </w:rPr>
      </w:pPr>
      <w:r w:rsidRPr="00757181">
        <w:rPr>
          <w:rFonts w:ascii="Times New Roman" w:hAnsi="Times New Roman" w:cs="Times New Roman"/>
          <w:b/>
          <w:sz w:val="28"/>
          <w:szCs w:val="28"/>
        </w:rPr>
        <w:t xml:space="preserve">Table 1: </w:t>
      </w:r>
      <w:r w:rsidR="00F42B90" w:rsidRPr="00757181">
        <w:rPr>
          <w:rFonts w:ascii="Times New Roman" w:hAnsi="Times New Roman" w:cs="Times New Roman"/>
          <w:b/>
          <w:sz w:val="28"/>
          <w:szCs w:val="28"/>
        </w:rPr>
        <w:t>Comparison</w:t>
      </w:r>
      <w:r w:rsidR="00425DF0" w:rsidRPr="00757181">
        <w:rPr>
          <w:rFonts w:ascii="Times New Roman" w:hAnsi="Times New Roman" w:cs="Times New Roman"/>
          <w:b/>
          <w:sz w:val="28"/>
          <w:szCs w:val="28"/>
        </w:rPr>
        <w:t xml:space="preserve"> of Age, SBP, DBP, BMI and Waist Circumference in Cardio</w:t>
      </w:r>
      <w:r w:rsidR="008E6529" w:rsidRPr="00757181">
        <w:rPr>
          <w:rFonts w:ascii="Times New Roman" w:hAnsi="Times New Roman" w:cs="Times New Roman"/>
          <w:b/>
          <w:sz w:val="28"/>
          <w:szCs w:val="28"/>
        </w:rPr>
        <w:t>vascular Disease subjects versus</w:t>
      </w:r>
      <w:r w:rsidR="00DC4483" w:rsidRPr="00757181">
        <w:rPr>
          <w:rFonts w:ascii="Times New Roman" w:hAnsi="Times New Roman" w:cs="Times New Roman"/>
          <w:b/>
          <w:sz w:val="28"/>
          <w:szCs w:val="28"/>
        </w:rPr>
        <w:t xml:space="preserve"> </w:t>
      </w:r>
      <w:r w:rsidR="008E6529" w:rsidRPr="00757181">
        <w:rPr>
          <w:rFonts w:ascii="Times New Roman" w:hAnsi="Times New Roman" w:cs="Times New Roman"/>
          <w:b/>
          <w:sz w:val="28"/>
          <w:szCs w:val="28"/>
        </w:rPr>
        <w:t>control subjects</w:t>
      </w:r>
    </w:p>
    <w:p w14:paraId="37219938" w14:textId="77777777" w:rsidR="00425DF0" w:rsidRPr="00757181" w:rsidRDefault="00425DF0" w:rsidP="00425DF0">
      <w:pPr>
        <w:spacing w:line="360" w:lineRule="auto"/>
        <w:rPr>
          <w:rFonts w:ascii="Times New Roman" w:hAnsi="Times New Roman" w:cs="Times New Roman"/>
          <w:sz w:val="28"/>
          <w:szCs w:val="28"/>
        </w:rPr>
      </w:pPr>
      <w:r w:rsidRPr="00757181">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4A8C44DF" wp14:editId="023AEB72">
                <wp:simplePos x="0" y="0"/>
                <wp:positionH relativeFrom="column">
                  <wp:posOffset>-38100</wp:posOffset>
                </wp:positionH>
                <wp:positionV relativeFrom="paragraph">
                  <wp:posOffset>85090</wp:posOffset>
                </wp:positionV>
                <wp:extent cx="6162675" cy="9525"/>
                <wp:effectExtent l="0" t="0" r="9525" b="28575"/>
                <wp:wrapNone/>
                <wp:docPr id="1005850203" name="Straight Connector 1"/>
                <wp:cNvGraphicFramePr/>
                <a:graphic xmlns:a="http://schemas.openxmlformats.org/drawingml/2006/main">
                  <a:graphicData uri="http://schemas.microsoft.com/office/word/2010/wordprocessingShape">
                    <wps:wsp>
                      <wps:cNvCnPr/>
                      <wps:spPr>
                        <a:xfrm>
                          <a:off x="0" y="0"/>
                          <a:ext cx="6162675" cy="9525"/>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6817E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6.7pt" to="482.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" strokecolor="black [3213]">
                <v:stroke joinstyle="miter"/>
              </v:line>
            </w:pict>
          </mc:Fallback>
        </mc:AlternateContent>
      </w:r>
    </w:p>
    <w:p w14:paraId="1EFFD369" w14:textId="77777777" w:rsidR="00425DF0" w:rsidRPr="00757181" w:rsidRDefault="00425DF0" w:rsidP="00425DF0">
      <w:pPr>
        <w:spacing w:after="0" w:line="360" w:lineRule="auto"/>
        <w:rPr>
          <w:rFonts w:ascii="Times New Roman" w:hAnsi="Times New Roman" w:cs="Times New Roman"/>
          <w:b/>
          <w:sz w:val="28"/>
          <w:szCs w:val="28"/>
        </w:rPr>
      </w:pPr>
      <w:r w:rsidRPr="00757181">
        <w:rPr>
          <w:rFonts w:ascii="Times New Roman" w:hAnsi="Times New Roman" w:cs="Times New Roman"/>
          <w:b/>
          <w:sz w:val="28"/>
          <w:szCs w:val="28"/>
        </w:rPr>
        <w:t>Variables</w:t>
      </w:r>
      <w:r w:rsidRPr="00757181">
        <w:rPr>
          <w:rFonts w:ascii="Times New Roman" w:hAnsi="Times New Roman" w:cs="Times New Roman"/>
          <w:b/>
          <w:sz w:val="28"/>
          <w:szCs w:val="28"/>
        </w:rPr>
        <w:tab/>
      </w:r>
      <w:r w:rsidRPr="00757181">
        <w:rPr>
          <w:rFonts w:ascii="Times New Roman" w:hAnsi="Times New Roman" w:cs="Times New Roman"/>
          <w:b/>
          <w:sz w:val="28"/>
          <w:szCs w:val="28"/>
        </w:rPr>
        <w:tab/>
        <w:t>CVD patients</w:t>
      </w:r>
      <w:r w:rsidR="00893392" w:rsidRPr="00757181">
        <w:rPr>
          <w:rFonts w:ascii="Times New Roman" w:hAnsi="Times New Roman" w:cs="Times New Roman"/>
          <w:b/>
          <w:sz w:val="28"/>
          <w:szCs w:val="28"/>
        </w:rPr>
        <w:t xml:space="preserve"> </w:t>
      </w:r>
      <w:proofErr w:type="gramStart"/>
      <w:r w:rsidRPr="00757181">
        <w:rPr>
          <w:rFonts w:ascii="Times New Roman" w:hAnsi="Times New Roman" w:cs="Times New Roman"/>
          <w:b/>
          <w:sz w:val="28"/>
          <w:szCs w:val="28"/>
        </w:rPr>
        <w:t>controls</w:t>
      </w:r>
      <w:proofErr w:type="gramEnd"/>
      <w:r w:rsidRPr="00757181">
        <w:rPr>
          <w:rFonts w:ascii="Times New Roman" w:hAnsi="Times New Roman" w:cs="Times New Roman"/>
          <w:b/>
          <w:sz w:val="28"/>
          <w:szCs w:val="28"/>
        </w:rPr>
        <w:tab/>
      </w:r>
      <w:r w:rsidRPr="00757181">
        <w:rPr>
          <w:rFonts w:ascii="Times New Roman" w:hAnsi="Times New Roman" w:cs="Times New Roman"/>
          <w:b/>
          <w:sz w:val="28"/>
          <w:szCs w:val="28"/>
        </w:rPr>
        <w:tab/>
        <w:t xml:space="preserve">T-value </w:t>
      </w:r>
      <w:r w:rsidRPr="00757181">
        <w:rPr>
          <w:rFonts w:ascii="Times New Roman" w:hAnsi="Times New Roman" w:cs="Times New Roman"/>
          <w:b/>
          <w:sz w:val="28"/>
          <w:szCs w:val="28"/>
        </w:rPr>
        <w:tab/>
        <w:t>P-value</w:t>
      </w:r>
    </w:p>
    <w:p w14:paraId="575E235B" w14:textId="77777777" w:rsidR="00425DF0" w:rsidRPr="00757181" w:rsidRDefault="00425DF0" w:rsidP="00425DF0">
      <w:pPr>
        <w:spacing w:after="0" w:line="360" w:lineRule="auto"/>
        <w:rPr>
          <w:rFonts w:ascii="Times New Roman" w:hAnsi="Times New Roman" w:cs="Times New Roman"/>
          <w:b/>
          <w:sz w:val="28"/>
          <w:szCs w:val="28"/>
        </w:rPr>
      </w:pPr>
      <w:r w:rsidRPr="00757181">
        <w:rPr>
          <w:rFonts w:ascii="Times New Roman" w:hAnsi="Times New Roman" w:cs="Times New Roman"/>
          <w:b/>
          <w:sz w:val="28"/>
          <w:szCs w:val="28"/>
        </w:rPr>
        <w:t>(Units)</w:t>
      </w:r>
      <w:r w:rsidRPr="00757181">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462B3ADD" wp14:editId="037E08EE">
                <wp:simplePos x="0" y="0"/>
                <wp:positionH relativeFrom="column">
                  <wp:posOffset>-19050</wp:posOffset>
                </wp:positionH>
                <wp:positionV relativeFrom="paragraph">
                  <wp:posOffset>282749</wp:posOffset>
                </wp:positionV>
                <wp:extent cx="6143625" cy="0"/>
                <wp:effectExtent l="0" t="0" r="28575" b="19050"/>
                <wp:wrapNone/>
                <wp:docPr id="1175411913" name="Straight Connector 1"/>
                <wp:cNvGraphicFramePr/>
                <a:graphic xmlns:a="http://schemas.openxmlformats.org/drawingml/2006/main">
                  <a:graphicData uri="http://schemas.microsoft.com/office/word/2010/wordprocessingShape">
                    <wps:wsp>
                      <wps:cNvCnPr/>
                      <wps:spPr>
                        <a:xfrm>
                          <a:off x="0" y="0"/>
                          <a:ext cx="6143625"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605338"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2.25pt" to="482.2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" strokecolor="black [3213]">
                <v:stroke joinstyle="miter"/>
              </v:line>
            </w:pict>
          </mc:Fallback>
        </mc:AlternateContent>
      </w:r>
      <w:r w:rsidRPr="00757181">
        <w:rPr>
          <w:rFonts w:ascii="Times New Roman" w:hAnsi="Times New Roman" w:cs="Times New Roman"/>
          <w:b/>
          <w:sz w:val="28"/>
          <w:szCs w:val="28"/>
        </w:rPr>
        <w:tab/>
      </w:r>
      <w:r w:rsidRPr="00757181">
        <w:rPr>
          <w:rFonts w:ascii="Times New Roman" w:hAnsi="Times New Roman" w:cs="Times New Roman"/>
          <w:b/>
          <w:sz w:val="28"/>
          <w:szCs w:val="28"/>
        </w:rPr>
        <w:tab/>
      </w:r>
      <w:r w:rsidRPr="00757181">
        <w:rPr>
          <w:rFonts w:ascii="Times New Roman" w:hAnsi="Times New Roman" w:cs="Times New Roman"/>
          <w:b/>
          <w:sz w:val="28"/>
          <w:szCs w:val="28"/>
        </w:rPr>
        <w:tab/>
        <w:t>n = 100</w:t>
      </w:r>
      <w:r w:rsidRPr="00757181">
        <w:rPr>
          <w:rFonts w:ascii="Times New Roman" w:hAnsi="Times New Roman" w:cs="Times New Roman"/>
          <w:b/>
          <w:sz w:val="28"/>
          <w:szCs w:val="28"/>
        </w:rPr>
        <w:tab/>
      </w:r>
      <w:r w:rsidRPr="00757181">
        <w:rPr>
          <w:rFonts w:ascii="Times New Roman" w:hAnsi="Times New Roman" w:cs="Times New Roman"/>
          <w:b/>
          <w:sz w:val="28"/>
          <w:szCs w:val="28"/>
        </w:rPr>
        <w:tab/>
      </w:r>
      <w:r w:rsidRPr="00757181">
        <w:rPr>
          <w:rFonts w:ascii="Times New Roman" w:hAnsi="Times New Roman" w:cs="Times New Roman"/>
          <w:b/>
          <w:sz w:val="28"/>
          <w:szCs w:val="28"/>
        </w:rPr>
        <w:tab/>
        <w:t>n = 100</w:t>
      </w:r>
    </w:p>
    <w:p w14:paraId="517F4D73" w14:textId="77777777" w:rsidR="00425DF0" w:rsidRPr="00757181" w:rsidRDefault="00425DF0" w:rsidP="00425DF0">
      <w:pPr>
        <w:spacing w:after="0"/>
        <w:jc w:val="both"/>
        <w:rPr>
          <w:rFonts w:ascii="Times New Roman" w:hAnsi="Times New Roman" w:cs="Times New Roman"/>
          <w:b/>
          <w:sz w:val="28"/>
          <w:szCs w:val="28"/>
        </w:rPr>
      </w:pPr>
      <w:r w:rsidRPr="00757181">
        <w:rPr>
          <w:rFonts w:ascii="Times New Roman" w:hAnsi="Times New Roman" w:cs="Times New Roman"/>
          <w:b/>
          <w:sz w:val="28"/>
          <w:szCs w:val="28"/>
        </w:rPr>
        <w:t>Age (years)</w:t>
      </w:r>
      <w:r w:rsidR="00E87E14" w:rsidRPr="00757181">
        <w:rPr>
          <w:rFonts w:ascii="Times New Roman" w:hAnsi="Times New Roman" w:cs="Times New Roman"/>
          <w:b/>
          <w:sz w:val="28"/>
          <w:szCs w:val="28"/>
        </w:rPr>
        <w:tab/>
      </w:r>
      <w:r w:rsidR="00E87E14" w:rsidRPr="00757181">
        <w:rPr>
          <w:rFonts w:ascii="Times New Roman" w:hAnsi="Times New Roman" w:cs="Times New Roman"/>
          <w:b/>
          <w:sz w:val="28"/>
          <w:szCs w:val="28"/>
        </w:rPr>
        <w:tab/>
      </w:r>
      <w:r w:rsidRPr="00757181">
        <w:rPr>
          <w:rFonts w:ascii="Times New Roman" w:hAnsi="Times New Roman" w:cs="Times New Roman"/>
          <w:sz w:val="28"/>
          <w:szCs w:val="28"/>
        </w:rPr>
        <w:t>58.47 ± 7.79</w:t>
      </w:r>
      <w:r w:rsidRPr="00757181">
        <w:rPr>
          <w:rFonts w:ascii="Times New Roman" w:hAnsi="Times New Roman" w:cs="Times New Roman"/>
          <w:sz w:val="28"/>
          <w:szCs w:val="28"/>
        </w:rPr>
        <w:tab/>
      </w:r>
      <w:r w:rsidRPr="00757181">
        <w:rPr>
          <w:rFonts w:ascii="Times New Roman" w:hAnsi="Times New Roman" w:cs="Times New Roman"/>
          <w:sz w:val="28"/>
          <w:szCs w:val="28"/>
        </w:rPr>
        <w:tab/>
      </w:r>
      <w:r w:rsidRPr="00757181">
        <w:rPr>
          <w:rFonts w:ascii="Times New Roman" w:hAnsi="Times New Roman" w:cs="Times New Roman"/>
          <w:sz w:val="28"/>
          <w:szCs w:val="28"/>
        </w:rPr>
        <w:tab/>
        <w:t>57.98 ± 5.71</w:t>
      </w:r>
      <w:r w:rsidRPr="00757181">
        <w:rPr>
          <w:rFonts w:ascii="Times New Roman" w:hAnsi="Times New Roman" w:cs="Times New Roman"/>
          <w:sz w:val="28"/>
          <w:szCs w:val="28"/>
        </w:rPr>
        <w:tab/>
      </w:r>
      <w:r w:rsidRPr="00757181">
        <w:rPr>
          <w:rFonts w:ascii="Times New Roman" w:hAnsi="Times New Roman" w:cs="Times New Roman"/>
          <w:sz w:val="28"/>
          <w:szCs w:val="28"/>
        </w:rPr>
        <w:tab/>
        <w:t>0.854</w:t>
      </w:r>
      <w:r w:rsidRPr="00757181">
        <w:rPr>
          <w:rFonts w:ascii="Times New Roman" w:hAnsi="Times New Roman" w:cs="Times New Roman"/>
          <w:sz w:val="28"/>
          <w:szCs w:val="28"/>
        </w:rPr>
        <w:tab/>
      </w:r>
      <w:r w:rsidRPr="00757181">
        <w:rPr>
          <w:rFonts w:ascii="Times New Roman" w:hAnsi="Times New Roman" w:cs="Times New Roman"/>
          <w:sz w:val="28"/>
          <w:szCs w:val="28"/>
        </w:rPr>
        <w:tab/>
        <w:t>0.395</w:t>
      </w:r>
    </w:p>
    <w:p w14:paraId="1BCB0421" w14:textId="77777777" w:rsidR="00425DF0" w:rsidRPr="00757181" w:rsidRDefault="00DC4483" w:rsidP="00425DF0">
      <w:pPr>
        <w:spacing w:after="0"/>
        <w:jc w:val="both"/>
        <w:rPr>
          <w:rFonts w:ascii="Times New Roman" w:hAnsi="Times New Roman" w:cs="Times New Roman"/>
          <w:sz w:val="28"/>
          <w:szCs w:val="28"/>
        </w:rPr>
      </w:pPr>
      <w:r w:rsidRPr="00757181">
        <w:rPr>
          <w:rFonts w:ascii="Times New Roman" w:hAnsi="Times New Roman" w:cs="Times New Roman"/>
          <w:sz w:val="28"/>
          <w:szCs w:val="28"/>
        </w:rPr>
        <w:t xml:space="preserve">Lower 95% </w:t>
      </w:r>
      <w:proofErr w:type="gramStart"/>
      <w:r w:rsidRPr="00757181">
        <w:rPr>
          <w:rFonts w:ascii="Times New Roman" w:hAnsi="Times New Roman" w:cs="Times New Roman"/>
          <w:sz w:val="28"/>
          <w:szCs w:val="28"/>
        </w:rPr>
        <w:t>C</w:t>
      </w:r>
      <w:r w:rsidR="00425DF0" w:rsidRPr="00757181">
        <w:rPr>
          <w:rFonts w:ascii="Times New Roman" w:hAnsi="Times New Roman" w:cs="Times New Roman"/>
          <w:sz w:val="28"/>
          <w:szCs w:val="28"/>
        </w:rPr>
        <w:t>.I</w:t>
      </w:r>
      <w:proofErr w:type="gramEnd"/>
      <w:r w:rsidR="00425DF0" w:rsidRPr="00757181">
        <w:rPr>
          <w:rFonts w:ascii="Times New Roman" w:hAnsi="Times New Roman" w:cs="Times New Roman"/>
          <w:sz w:val="28"/>
          <w:szCs w:val="28"/>
        </w:rPr>
        <w:tab/>
      </w:r>
      <w:r w:rsidR="00425DF0" w:rsidRPr="00757181">
        <w:rPr>
          <w:rFonts w:ascii="Times New Roman" w:hAnsi="Times New Roman" w:cs="Times New Roman"/>
          <w:sz w:val="28"/>
          <w:szCs w:val="28"/>
        </w:rPr>
        <w:tab/>
        <w:t>56.92</w:t>
      </w:r>
      <w:r w:rsidR="00425DF0" w:rsidRPr="00757181">
        <w:rPr>
          <w:rFonts w:ascii="Times New Roman" w:hAnsi="Times New Roman" w:cs="Times New Roman"/>
          <w:sz w:val="28"/>
          <w:szCs w:val="28"/>
        </w:rPr>
        <w:tab/>
      </w:r>
      <w:r w:rsidR="00425DF0" w:rsidRPr="00757181">
        <w:rPr>
          <w:rFonts w:ascii="Times New Roman" w:hAnsi="Times New Roman" w:cs="Times New Roman"/>
          <w:sz w:val="28"/>
          <w:szCs w:val="28"/>
        </w:rPr>
        <w:tab/>
      </w:r>
      <w:r w:rsidR="00425DF0" w:rsidRPr="00757181">
        <w:rPr>
          <w:rFonts w:ascii="Times New Roman" w:hAnsi="Times New Roman" w:cs="Times New Roman"/>
          <w:sz w:val="28"/>
          <w:szCs w:val="28"/>
        </w:rPr>
        <w:tab/>
      </w:r>
      <w:r w:rsidR="00425DF0" w:rsidRPr="00757181">
        <w:rPr>
          <w:rFonts w:ascii="Times New Roman" w:hAnsi="Times New Roman" w:cs="Times New Roman"/>
          <w:sz w:val="28"/>
          <w:szCs w:val="28"/>
        </w:rPr>
        <w:tab/>
        <w:t>56.84</w:t>
      </w:r>
    </w:p>
    <w:p w14:paraId="566A272D" w14:textId="77777777" w:rsidR="00425DF0" w:rsidRPr="00757181" w:rsidRDefault="00425DF0" w:rsidP="00425DF0">
      <w:pPr>
        <w:spacing w:after="0"/>
        <w:jc w:val="both"/>
        <w:rPr>
          <w:rFonts w:ascii="Times New Roman" w:hAnsi="Times New Roman" w:cs="Times New Roman"/>
          <w:sz w:val="28"/>
          <w:szCs w:val="28"/>
        </w:rPr>
      </w:pPr>
      <w:r w:rsidRPr="00757181">
        <w:rPr>
          <w:rFonts w:ascii="Times New Roman" w:hAnsi="Times New Roman" w:cs="Times New Roman"/>
          <w:sz w:val="28"/>
          <w:szCs w:val="28"/>
        </w:rPr>
        <w:t>Upper 95% C. I</w:t>
      </w:r>
      <w:r w:rsidRPr="00757181">
        <w:rPr>
          <w:rFonts w:ascii="Times New Roman" w:hAnsi="Times New Roman" w:cs="Times New Roman"/>
          <w:sz w:val="28"/>
          <w:szCs w:val="28"/>
        </w:rPr>
        <w:tab/>
      </w:r>
      <w:r w:rsidRPr="00757181">
        <w:rPr>
          <w:rFonts w:ascii="Times New Roman" w:hAnsi="Times New Roman" w:cs="Times New Roman"/>
          <w:sz w:val="28"/>
          <w:szCs w:val="28"/>
        </w:rPr>
        <w:tab/>
        <w:t>60.01</w:t>
      </w:r>
      <w:r w:rsidRPr="00757181">
        <w:rPr>
          <w:rFonts w:ascii="Times New Roman" w:hAnsi="Times New Roman" w:cs="Times New Roman"/>
          <w:sz w:val="28"/>
          <w:szCs w:val="28"/>
        </w:rPr>
        <w:tab/>
      </w:r>
      <w:r w:rsidRPr="00757181">
        <w:rPr>
          <w:rFonts w:ascii="Times New Roman" w:hAnsi="Times New Roman" w:cs="Times New Roman"/>
          <w:sz w:val="28"/>
          <w:szCs w:val="28"/>
        </w:rPr>
        <w:tab/>
      </w:r>
      <w:r w:rsidRPr="00757181">
        <w:rPr>
          <w:rFonts w:ascii="Times New Roman" w:hAnsi="Times New Roman" w:cs="Times New Roman"/>
          <w:sz w:val="28"/>
          <w:szCs w:val="28"/>
        </w:rPr>
        <w:tab/>
      </w:r>
      <w:r w:rsidRPr="00757181">
        <w:rPr>
          <w:rFonts w:ascii="Times New Roman" w:hAnsi="Times New Roman" w:cs="Times New Roman"/>
          <w:sz w:val="28"/>
          <w:szCs w:val="28"/>
        </w:rPr>
        <w:tab/>
        <w:t>59.11</w:t>
      </w:r>
    </w:p>
    <w:p w14:paraId="416DC43C" w14:textId="77777777" w:rsidR="00893392" w:rsidRPr="00757181" w:rsidRDefault="00893392" w:rsidP="00425DF0">
      <w:pPr>
        <w:spacing w:after="0" w:line="240" w:lineRule="auto"/>
        <w:jc w:val="both"/>
        <w:rPr>
          <w:rFonts w:ascii="Times New Roman" w:hAnsi="Times New Roman" w:cs="Times New Roman"/>
          <w:sz w:val="28"/>
          <w:szCs w:val="28"/>
        </w:rPr>
      </w:pPr>
    </w:p>
    <w:p w14:paraId="2B0E184D" w14:textId="77777777" w:rsidR="00425DF0" w:rsidRPr="00757181" w:rsidRDefault="00425DF0" w:rsidP="00425DF0">
      <w:pPr>
        <w:spacing w:after="0"/>
        <w:jc w:val="both"/>
        <w:rPr>
          <w:rFonts w:ascii="Times New Roman" w:hAnsi="Times New Roman" w:cs="Times New Roman"/>
          <w:b/>
          <w:sz w:val="28"/>
          <w:szCs w:val="28"/>
        </w:rPr>
      </w:pPr>
      <w:r w:rsidRPr="00757181">
        <w:rPr>
          <w:rFonts w:ascii="Times New Roman" w:hAnsi="Times New Roman" w:cs="Times New Roman"/>
          <w:b/>
          <w:sz w:val="28"/>
          <w:szCs w:val="28"/>
        </w:rPr>
        <w:t>Systolic Blood</w:t>
      </w:r>
    </w:p>
    <w:p w14:paraId="56C70808" w14:textId="77777777" w:rsidR="00425DF0" w:rsidRPr="00757181" w:rsidRDefault="00425DF0" w:rsidP="00425DF0">
      <w:pPr>
        <w:spacing w:after="0"/>
        <w:jc w:val="both"/>
        <w:rPr>
          <w:rFonts w:ascii="Times New Roman" w:hAnsi="Times New Roman" w:cs="Times New Roman"/>
          <w:b/>
          <w:sz w:val="28"/>
          <w:szCs w:val="28"/>
        </w:rPr>
      </w:pPr>
      <w:r w:rsidRPr="00757181">
        <w:rPr>
          <w:rFonts w:ascii="Times New Roman" w:hAnsi="Times New Roman" w:cs="Times New Roman"/>
          <w:b/>
          <w:sz w:val="28"/>
          <w:szCs w:val="28"/>
        </w:rPr>
        <w:t>Pressure (mmHg)</w:t>
      </w:r>
      <w:r w:rsidR="00893392" w:rsidRPr="00757181">
        <w:rPr>
          <w:rFonts w:ascii="Times New Roman" w:hAnsi="Times New Roman" w:cs="Times New Roman"/>
          <w:b/>
          <w:sz w:val="28"/>
          <w:szCs w:val="28"/>
        </w:rPr>
        <w:tab/>
      </w:r>
      <w:r w:rsidR="0064775A" w:rsidRPr="00757181">
        <w:rPr>
          <w:rFonts w:ascii="Times New Roman" w:hAnsi="Times New Roman" w:cs="Times New Roman"/>
          <w:b/>
          <w:sz w:val="28"/>
          <w:szCs w:val="28"/>
        </w:rPr>
        <w:t xml:space="preserve">   </w:t>
      </w:r>
      <w:r w:rsidRPr="00757181">
        <w:rPr>
          <w:rFonts w:ascii="Times New Roman" w:hAnsi="Times New Roman" w:cs="Times New Roman"/>
          <w:sz w:val="28"/>
          <w:szCs w:val="28"/>
        </w:rPr>
        <w:t>159.03 ± 11</w:t>
      </w:r>
      <w:r w:rsidR="00CD48FD" w:rsidRPr="00757181">
        <w:rPr>
          <w:rFonts w:ascii="Times New Roman" w:hAnsi="Times New Roman" w:cs="Times New Roman"/>
          <w:sz w:val="28"/>
          <w:szCs w:val="28"/>
        </w:rPr>
        <w:t>.79</w:t>
      </w:r>
      <w:r w:rsidR="00CD48FD" w:rsidRPr="00757181">
        <w:rPr>
          <w:rFonts w:ascii="Times New Roman" w:hAnsi="Times New Roman" w:cs="Times New Roman"/>
          <w:sz w:val="28"/>
          <w:szCs w:val="28"/>
        </w:rPr>
        <w:tab/>
      </w:r>
      <w:r w:rsidR="00CD48FD" w:rsidRPr="00757181">
        <w:rPr>
          <w:rFonts w:ascii="Times New Roman" w:hAnsi="Times New Roman" w:cs="Times New Roman"/>
          <w:sz w:val="28"/>
          <w:szCs w:val="28"/>
        </w:rPr>
        <w:tab/>
        <w:t>123.79 ± 20.36</w:t>
      </w:r>
      <w:r w:rsidR="00CD48FD" w:rsidRPr="00757181">
        <w:rPr>
          <w:rFonts w:ascii="Times New Roman" w:hAnsi="Times New Roman" w:cs="Times New Roman"/>
          <w:sz w:val="28"/>
          <w:szCs w:val="28"/>
        </w:rPr>
        <w:tab/>
        <w:t>16.187</w:t>
      </w:r>
      <w:r w:rsidR="00CD48FD" w:rsidRPr="00757181">
        <w:rPr>
          <w:rFonts w:ascii="Times New Roman" w:hAnsi="Times New Roman" w:cs="Times New Roman"/>
          <w:sz w:val="28"/>
          <w:szCs w:val="28"/>
        </w:rPr>
        <w:tab/>
        <w:t>0.001</w:t>
      </w:r>
    </w:p>
    <w:p w14:paraId="2C8BEE61" w14:textId="77777777" w:rsidR="00425DF0" w:rsidRPr="00757181" w:rsidRDefault="00425DF0" w:rsidP="00425DF0">
      <w:pPr>
        <w:spacing w:after="0"/>
        <w:jc w:val="both"/>
        <w:rPr>
          <w:rFonts w:ascii="Times New Roman" w:hAnsi="Times New Roman" w:cs="Times New Roman"/>
          <w:sz w:val="28"/>
          <w:szCs w:val="28"/>
        </w:rPr>
      </w:pPr>
      <w:r w:rsidRPr="00757181">
        <w:rPr>
          <w:rFonts w:ascii="Times New Roman" w:hAnsi="Times New Roman" w:cs="Times New Roman"/>
          <w:sz w:val="28"/>
          <w:szCs w:val="28"/>
        </w:rPr>
        <w:t xml:space="preserve">Lower 95% </w:t>
      </w:r>
      <w:proofErr w:type="gramStart"/>
      <w:r w:rsidRPr="00757181">
        <w:rPr>
          <w:rFonts w:ascii="Times New Roman" w:hAnsi="Times New Roman" w:cs="Times New Roman"/>
          <w:sz w:val="28"/>
          <w:szCs w:val="28"/>
        </w:rPr>
        <w:t>C.I</w:t>
      </w:r>
      <w:proofErr w:type="gramEnd"/>
      <w:r w:rsidRPr="00757181">
        <w:rPr>
          <w:rFonts w:ascii="Times New Roman" w:hAnsi="Times New Roman" w:cs="Times New Roman"/>
          <w:sz w:val="28"/>
          <w:szCs w:val="28"/>
        </w:rPr>
        <w:tab/>
      </w:r>
      <w:r w:rsidRPr="00757181">
        <w:rPr>
          <w:rFonts w:ascii="Times New Roman" w:hAnsi="Times New Roman" w:cs="Times New Roman"/>
          <w:sz w:val="28"/>
          <w:szCs w:val="28"/>
        </w:rPr>
        <w:tab/>
        <w:t>156.68</w:t>
      </w:r>
      <w:r w:rsidRPr="00757181">
        <w:rPr>
          <w:rFonts w:ascii="Times New Roman" w:hAnsi="Times New Roman" w:cs="Times New Roman"/>
          <w:sz w:val="28"/>
          <w:szCs w:val="28"/>
        </w:rPr>
        <w:tab/>
      </w:r>
      <w:r w:rsidRPr="00757181">
        <w:rPr>
          <w:rFonts w:ascii="Times New Roman" w:hAnsi="Times New Roman" w:cs="Times New Roman"/>
          <w:sz w:val="28"/>
          <w:szCs w:val="28"/>
        </w:rPr>
        <w:tab/>
      </w:r>
      <w:r w:rsidRPr="00757181">
        <w:rPr>
          <w:rFonts w:ascii="Times New Roman" w:hAnsi="Times New Roman" w:cs="Times New Roman"/>
          <w:sz w:val="28"/>
          <w:szCs w:val="28"/>
        </w:rPr>
        <w:tab/>
        <w:t>119.74</w:t>
      </w:r>
    </w:p>
    <w:p w14:paraId="0F44C00E" w14:textId="77777777" w:rsidR="00425DF0" w:rsidRPr="00757181" w:rsidRDefault="00DC4483" w:rsidP="00425DF0">
      <w:pPr>
        <w:spacing w:after="0"/>
        <w:jc w:val="both"/>
        <w:rPr>
          <w:rFonts w:ascii="Times New Roman" w:hAnsi="Times New Roman" w:cs="Times New Roman"/>
          <w:sz w:val="28"/>
          <w:szCs w:val="28"/>
        </w:rPr>
      </w:pPr>
      <w:r w:rsidRPr="00757181">
        <w:rPr>
          <w:rFonts w:ascii="Times New Roman" w:hAnsi="Times New Roman" w:cs="Times New Roman"/>
          <w:sz w:val="28"/>
          <w:szCs w:val="28"/>
        </w:rPr>
        <w:t xml:space="preserve">Upper </w:t>
      </w:r>
      <w:r w:rsidR="00425DF0" w:rsidRPr="00757181">
        <w:rPr>
          <w:rFonts w:ascii="Times New Roman" w:hAnsi="Times New Roman" w:cs="Times New Roman"/>
          <w:sz w:val="28"/>
          <w:szCs w:val="28"/>
        </w:rPr>
        <w:t>95% C. I</w:t>
      </w:r>
      <w:r w:rsidR="00425DF0" w:rsidRPr="00757181">
        <w:rPr>
          <w:rFonts w:ascii="Times New Roman" w:hAnsi="Times New Roman" w:cs="Times New Roman"/>
          <w:sz w:val="28"/>
          <w:szCs w:val="28"/>
        </w:rPr>
        <w:tab/>
      </w:r>
      <w:r w:rsidR="00425DF0" w:rsidRPr="00757181">
        <w:rPr>
          <w:rFonts w:ascii="Times New Roman" w:hAnsi="Times New Roman" w:cs="Times New Roman"/>
          <w:sz w:val="28"/>
          <w:szCs w:val="28"/>
        </w:rPr>
        <w:tab/>
        <w:t>161.37</w:t>
      </w:r>
      <w:r w:rsidR="00425DF0" w:rsidRPr="00757181">
        <w:rPr>
          <w:rFonts w:ascii="Times New Roman" w:hAnsi="Times New Roman" w:cs="Times New Roman"/>
          <w:sz w:val="28"/>
          <w:szCs w:val="28"/>
        </w:rPr>
        <w:tab/>
      </w:r>
      <w:r w:rsidR="00425DF0" w:rsidRPr="00757181">
        <w:rPr>
          <w:rFonts w:ascii="Times New Roman" w:hAnsi="Times New Roman" w:cs="Times New Roman"/>
          <w:sz w:val="28"/>
          <w:szCs w:val="28"/>
        </w:rPr>
        <w:tab/>
      </w:r>
      <w:r w:rsidR="00425DF0" w:rsidRPr="00757181">
        <w:rPr>
          <w:rFonts w:ascii="Times New Roman" w:hAnsi="Times New Roman" w:cs="Times New Roman"/>
          <w:sz w:val="28"/>
          <w:szCs w:val="28"/>
        </w:rPr>
        <w:tab/>
        <w:t>127.83</w:t>
      </w:r>
    </w:p>
    <w:p w14:paraId="5B889122" w14:textId="77777777" w:rsidR="00425DF0" w:rsidRPr="00757181" w:rsidRDefault="00425DF0" w:rsidP="00425DF0">
      <w:pPr>
        <w:spacing w:after="0" w:line="360" w:lineRule="auto"/>
        <w:jc w:val="both"/>
        <w:rPr>
          <w:rFonts w:ascii="Times New Roman" w:hAnsi="Times New Roman" w:cs="Times New Roman"/>
          <w:sz w:val="28"/>
          <w:szCs w:val="28"/>
        </w:rPr>
      </w:pPr>
    </w:p>
    <w:p w14:paraId="21349A19" w14:textId="77777777" w:rsidR="00425DF0" w:rsidRPr="00757181" w:rsidRDefault="00425DF0" w:rsidP="00425DF0">
      <w:pPr>
        <w:spacing w:after="0"/>
        <w:jc w:val="both"/>
        <w:rPr>
          <w:rFonts w:ascii="Times New Roman" w:hAnsi="Times New Roman" w:cs="Times New Roman"/>
          <w:b/>
          <w:sz w:val="28"/>
          <w:szCs w:val="28"/>
        </w:rPr>
      </w:pPr>
      <w:r w:rsidRPr="00757181">
        <w:rPr>
          <w:rFonts w:ascii="Times New Roman" w:hAnsi="Times New Roman" w:cs="Times New Roman"/>
          <w:b/>
          <w:sz w:val="28"/>
          <w:szCs w:val="28"/>
        </w:rPr>
        <w:t>Diastolic Blood</w:t>
      </w:r>
    </w:p>
    <w:p w14:paraId="7A087543" w14:textId="77777777" w:rsidR="00425DF0" w:rsidRPr="00757181" w:rsidRDefault="00425DF0" w:rsidP="00425DF0">
      <w:pPr>
        <w:spacing w:after="0"/>
        <w:jc w:val="both"/>
        <w:rPr>
          <w:rFonts w:ascii="Times New Roman" w:hAnsi="Times New Roman" w:cs="Times New Roman"/>
          <w:sz w:val="28"/>
          <w:szCs w:val="28"/>
        </w:rPr>
      </w:pPr>
      <w:r w:rsidRPr="00757181">
        <w:rPr>
          <w:rFonts w:ascii="Times New Roman" w:hAnsi="Times New Roman" w:cs="Times New Roman"/>
          <w:b/>
          <w:sz w:val="28"/>
          <w:szCs w:val="28"/>
        </w:rPr>
        <w:t>Pressure (</w:t>
      </w:r>
      <w:proofErr w:type="gramStart"/>
      <w:r w:rsidRPr="00757181">
        <w:rPr>
          <w:rFonts w:ascii="Times New Roman" w:hAnsi="Times New Roman" w:cs="Times New Roman"/>
          <w:b/>
          <w:sz w:val="28"/>
          <w:szCs w:val="28"/>
        </w:rPr>
        <w:t>mmHg)</w:t>
      </w:r>
      <w:r w:rsidR="0064775A" w:rsidRPr="00757181">
        <w:rPr>
          <w:rFonts w:ascii="Times New Roman" w:hAnsi="Times New Roman" w:cs="Times New Roman"/>
          <w:b/>
          <w:sz w:val="28"/>
          <w:szCs w:val="28"/>
        </w:rPr>
        <w:t xml:space="preserve">   </w:t>
      </w:r>
      <w:proofErr w:type="gramEnd"/>
      <w:r w:rsidR="0064775A" w:rsidRPr="00757181">
        <w:rPr>
          <w:rFonts w:ascii="Times New Roman" w:hAnsi="Times New Roman" w:cs="Times New Roman"/>
          <w:sz w:val="28"/>
          <w:szCs w:val="28"/>
        </w:rPr>
        <w:t>91.01 ± 7.50</w:t>
      </w:r>
      <w:r w:rsidR="0064775A" w:rsidRPr="00757181">
        <w:rPr>
          <w:rFonts w:ascii="Times New Roman" w:hAnsi="Times New Roman" w:cs="Times New Roman"/>
          <w:sz w:val="28"/>
          <w:szCs w:val="28"/>
        </w:rPr>
        <w:tab/>
      </w:r>
      <w:r w:rsidR="00CD48FD" w:rsidRPr="00757181">
        <w:rPr>
          <w:rFonts w:ascii="Times New Roman" w:hAnsi="Times New Roman" w:cs="Times New Roman"/>
          <w:sz w:val="28"/>
          <w:szCs w:val="28"/>
        </w:rPr>
        <w:tab/>
        <w:t>75.68 ± 3.42</w:t>
      </w:r>
      <w:r w:rsidR="00CD48FD" w:rsidRPr="00757181">
        <w:rPr>
          <w:rFonts w:ascii="Times New Roman" w:hAnsi="Times New Roman" w:cs="Times New Roman"/>
          <w:sz w:val="28"/>
          <w:szCs w:val="28"/>
        </w:rPr>
        <w:tab/>
      </w:r>
      <w:r w:rsidR="00CD48FD" w:rsidRPr="00757181">
        <w:rPr>
          <w:rFonts w:ascii="Times New Roman" w:hAnsi="Times New Roman" w:cs="Times New Roman"/>
          <w:sz w:val="28"/>
          <w:szCs w:val="28"/>
        </w:rPr>
        <w:tab/>
        <w:t>18.462</w:t>
      </w:r>
      <w:r w:rsidR="00CD48FD" w:rsidRPr="00757181">
        <w:rPr>
          <w:rFonts w:ascii="Times New Roman" w:hAnsi="Times New Roman" w:cs="Times New Roman"/>
          <w:sz w:val="28"/>
          <w:szCs w:val="28"/>
        </w:rPr>
        <w:tab/>
        <w:t>0.001</w:t>
      </w:r>
    </w:p>
    <w:p w14:paraId="318796C8" w14:textId="77777777" w:rsidR="00425DF0" w:rsidRPr="00757181" w:rsidRDefault="00425DF0" w:rsidP="00425DF0">
      <w:pPr>
        <w:spacing w:after="0"/>
        <w:jc w:val="both"/>
        <w:rPr>
          <w:rFonts w:ascii="Times New Roman" w:hAnsi="Times New Roman" w:cs="Times New Roman"/>
          <w:sz w:val="28"/>
          <w:szCs w:val="28"/>
        </w:rPr>
      </w:pPr>
      <w:r w:rsidRPr="00757181">
        <w:rPr>
          <w:rFonts w:ascii="Times New Roman" w:hAnsi="Times New Roman" w:cs="Times New Roman"/>
          <w:sz w:val="28"/>
          <w:szCs w:val="28"/>
        </w:rPr>
        <w:t xml:space="preserve">Lower 95% </w:t>
      </w:r>
      <w:proofErr w:type="gramStart"/>
      <w:r w:rsidRPr="00757181">
        <w:rPr>
          <w:rFonts w:ascii="Times New Roman" w:hAnsi="Times New Roman" w:cs="Times New Roman"/>
          <w:sz w:val="28"/>
          <w:szCs w:val="28"/>
        </w:rPr>
        <w:t>C.I</w:t>
      </w:r>
      <w:proofErr w:type="gramEnd"/>
      <w:r w:rsidRPr="00757181">
        <w:rPr>
          <w:rFonts w:ascii="Times New Roman" w:hAnsi="Times New Roman" w:cs="Times New Roman"/>
          <w:sz w:val="28"/>
          <w:szCs w:val="28"/>
        </w:rPr>
        <w:tab/>
      </w:r>
      <w:r w:rsidRPr="00757181">
        <w:rPr>
          <w:rFonts w:ascii="Times New Roman" w:hAnsi="Times New Roman" w:cs="Times New Roman"/>
          <w:sz w:val="28"/>
          <w:szCs w:val="28"/>
        </w:rPr>
        <w:tab/>
        <w:t>89.52</w:t>
      </w:r>
      <w:r w:rsidRPr="00757181">
        <w:rPr>
          <w:rFonts w:ascii="Times New Roman" w:hAnsi="Times New Roman" w:cs="Times New Roman"/>
          <w:sz w:val="28"/>
          <w:szCs w:val="28"/>
        </w:rPr>
        <w:tab/>
      </w:r>
      <w:r w:rsidRPr="00757181">
        <w:rPr>
          <w:rFonts w:ascii="Times New Roman" w:hAnsi="Times New Roman" w:cs="Times New Roman"/>
          <w:sz w:val="28"/>
          <w:szCs w:val="28"/>
        </w:rPr>
        <w:tab/>
      </w:r>
      <w:r w:rsidRPr="00757181">
        <w:rPr>
          <w:rFonts w:ascii="Times New Roman" w:hAnsi="Times New Roman" w:cs="Times New Roman"/>
          <w:sz w:val="28"/>
          <w:szCs w:val="28"/>
        </w:rPr>
        <w:tab/>
      </w:r>
      <w:r w:rsidRPr="00757181">
        <w:rPr>
          <w:rFonts w:ascii="Times New Roman" w:hAnsi="Times New Roman" w:cs="Times New Roman"/>
          <w:sz w:val="28"/>
          <w:szCs w:val="28"/>
        </w:rPr>
        <w:tab/>
        <w:t>75.00</w:t>
      </w:r>
    </w:p>
    <w:p w14:paraId="39B051D8" w14:textId="77777777" w:rsidR="00425DF0" w:rsidRPr="00757181" w:rsidRDefault="00425DF0" w:rsidP="00425DF0">
      <w:pPr>
        <w:spacing w:after="0"/>
        <w:jc w:val="both"/>
        <w:rPr>
          <w:rFonts w:ascii="Times New Roman" w:hAnsi="Times New Roman" w:cs="Times New Roman"/>
          <w:sz w:val="28"/>
          <w:szCs w:val="28"/>
        </w:rPr>
      </w:pPr>
      <w:r w:rsidRPr="00757181">
        <w:rPr>
          <w:rFonts w:ascii="Times New Roman" w:hAnsi="Times New Roman" w:cs="Times New Roman"/>
          <w:sz w:val="28"/>
          <w:szCs w:val="28"/>
        </w:rPr>
        <w:t xml:space="preserve">Upper 95% C.I </w:t>
      </w:r>
      <w:r w:rsidRPr="00757181">
        <w:rPr>
          <w:rFonts w:ascii="Times New Roman" w:hAnsi="Times New Roman" w:cs="Times New Roman"/>
          <w:sz w:val="28"/>
          <w:szCs w:val="28"/>
        </w:rPr>
        <w:tab/>
      </w:r>
      <w:r w:rsidRPr="00757181">
        <w:rPr>
          <w:rFonts w:ascii="Times New Roman" w:hAnsi="Times New Roman" w:cs="Times New Roman"/>
          <w:sz w:val="28"/>
          <w:szCs w:val="28"/>
        </w:rPr>
        <w:tab/>
        <w:t>92.49</w:t>
      </w:r>
      <w:r w:rsidRPr="00757181">
        <w:rPr>
          <w:rFonts w:ascii="Times New Roman" w:hAnsi="Times New Roman" w:cs="Times New Roman"/>
          <w:sz w:val="28"/>
          <w:szCs w:val="28"/>
        </w:rPr>
        <w:tab/>
      </w:r>
      <w:r w:rsidRPr="00757181">
        <w:rPr>
          <w:rFonts w:ascii="Times New Roman" w:hAnsi="Times New Roman" w:cs="Times New Roman"/>
          <w:sz w:val="28"/>
          <w:szCs w:val="28"/>
        </w:rPr>
        <w:tab/>
      </w:r>
      <w:r w:rsidRPr="00757181">
        <w:rPr>
          <w:rFonts w:ascii="Times New Roman" w:hAnsi="Times New Roman" w:cs="Times New Roman"/>
          <w:sz w:val="28"/>
          <w:szCs w:val="28"/>
        </w:rPr>
        <w:tab/>
      </w:r>
      <w:r w:rsidRPr="00757181">
        <w:rPr>
          <w:rFonts w:ascii="Times New Roman" w:hAnsi="Times New Roman" w:cs="Times New Roman"/>
          <w:sz w:val="28"/>
          <w:szCs w:val="28"/>
        </w:rPr>
        <w:tab/>
        <w:t>76.35</w:t>
      </w:r>
    </w:p>
    <w:p w14:paraId="3C40A77B" w14:textId="77777777" w:rsidR="00BF414D" w:rsidRPr="00757181" w:rsidRDefault="00BF414D" w:rsidP="00425DF0">
      <w:pPr>
        <w:spacing w:after="0"/>
        <w:jc w:val="both"/>
        <w:rPr>
          <w:rFonts w:ascii="Times New Roman" w:hAnsi="Times New Roman" w:cs="Times New Roman"/>
          <w:sz w:val="28"/>
          <w:szCs w:val="28"/>
        </w:rPr>
      </w:pPr>
    </w:p>
    <w:p w14:paraId="1765F5A0" w14:textId="77777777" w:rsidR="00BF414D" w:rsidRPr="00757181" w:rsidRDefault="0064775A" w:rsidP="00425DF0">
      <w:pPr>
        <w:spacing w:after="0"/>
        <w:jc w:val="both"/>
        <w:rPr>
          <w:rFonts w:ascii="Times New Roman" w:hAnsi="Times New Roman" w:cs="Times New Roman"/>
          <w:b/>
          <w:sz w:val="28"/>
          <w:szCs w:val="28"/>
        </w:rPr>
      </w:pPr>
      <w:r w:rsidRPr="00757181">
        <w:rPr>
          <w:rFonts w:ascii="Times New Roman" w:hAnsi="Times New Roman" w:cs="Times New Roman"/>
          <w:b/>
          <w:sz w:val="28"/>
          <w:szCs w:val="28"/>
        </w:rPr>
        <w:t>Body Mass Index</w:t>
      </w:r>
    </w:p>
    <w:p w14:paraId="3D8CA9BB" w14:textId="77777777" w:rsidR="0064775A" w:rsidRPr="00757181" w:rsidRDefault="0064775A" w:rsidP="00425DF0">
      <w:pPr>
        <w:spacing w:after="0"/>
        <w:jc w:val="both"/>
        <w:rPr>
          <w:rFonts w:ascii="Times New Roman" w:hAnsi="Times New Roman" w:cs="Times New Roman"/>
          <w:sz w:val="28"/>
          <w:szCs w:val="28"/>
        </w:rPr>
      </w:pPr>
      <w:r w:rsidRPr="00757181">
        <w:rPr>
          <w:rFonts w:ascii="Times New Roman" w:hAnsi="Times New Roman" w:cs="Times New Roman"/>
          <w:b/>
          <w:sz w:val="28"/>
          <w:szCs w:val="28"/>
        </w:rPr>
        <w:t>(Kg/m</w:t>
      </w:r>
      <w:r w:rsidRPr="00757181">
        <w:rPr>
          <w:rFonts w:ascii="Times New Roman" w:hAnsi="Times New Roman" w:cs="Times New Roman"/>
          <w:b/>
          <w:sz w:val="28"/>
          <w:szCs w:val="28"/>
          <w:vertAlign w:val="superscript"/>
        </w:rPr>
        <w:t>2</w:t>
      </w:r>
      <w:r w:rsidRPr="00757181">
        <w:rPr>
          <w:rFonts w:ascii="Times New Roman" w:hAnsi="Times New Roman" w:cs="Times New Roman"/>
          <w:b/>
          <w:sz w:val="28"/>
          <w:szCs w:val="28"/>
        </w:rPr>
        <w:t xml:space="preserve">)                     </w:t>
      </w:r>
      <w:r w:rsidRPr="00757181">
        <w:rPr>
          <w:rFonts w:ascii="Times New Roman" w:hAnsi="Times New Roman" w:cs="Times New Roman"/>
          <w:sz w:val="28"/>
          <w:szCs w:val="28"/>
        </w:rPr>
        <w:t>31.04 ± 2.50                23.28 ± 1.02</w:t>
      </w:r>
      <w:r w:rsidR="00CD48FD" w:rsidRPr="00757181">
        <w:rPr>
          <w:rFonts w:ascii="Times New Roman" w:hAnsi="Times New Roman" w:cs="Times New Roman"/>
          <w:sz w:val="28"/>
          <w:szCs w:val="28"/>
        </w:rPr>
        <w:t xml:space="preserve">             29.120        0.001</w:t>
      </w:r>
    </w:p>
    <w:p w14:paraId="58584406" w14:textId="77777777" w:rsidR="0064775A" w:rsidRPr="00757181" w:rsidRDefault="0064775A" w:rsidP="00425DF0">
      <w:pPr>
        <w:spacing w:after="0"/>
        <w:jc w:val="both"/>
        <w:rPr>
          <w:rFonts w:ascii="Times New Roman" w:hAnsi="Times New Roman" w:cs="Times New Roman"/>
          <w:sz w:val="28"/>
          <w:szCs w:val="28"/>
        </w:rPr>
      </w:pPr>
      <w:r w:rsidRPr="00757181">
        <w:rPr>
          <w:rFonts w:ascii="Times New Roman" w:hAnsi="Times New Roman" w:cs="Times New Roman"/>
          <w:sz w:val="28"/>
          <w:szCs w:val="28"/>
        </w:rPr>
        <w:lastRenderedPageBreak/>
        <w:t xml:space="preserve"> Lower</w:t>
      </w:r>
      <w:r w:rsidR="00057955" w:rsidRPr="00757181">
        <w:rPr>
          <w:rFonts w:ascii="Times New Roman" w:hAnsi="Times New Roman" w:cs="Times New Roman"/>
          <w:sz w:val="28"/>
          <w:szCs w:val="28"/>
        </w:rPr>
        <w:t xml:space="preserve"> 95% C.I</w:t>
      </w:r>
      <w:r w:rsidRPr="00757181">
        <w:rPr>
          <w:rFonts w:ascii="Times New Roman" w:hAnsi="Times New Roman" w:cs="Times New Roman"/>
          <w:b/>
          <w:sz w:val="28"/>
          <w:szCs w:val="28"/>
        </w:rPr>
        <w:t xml:space="preserve">               </w:t>
      </w:r>
      <w:r w:rsidR="004C7ADF" w:rsidRPr="00757181">
        <w:rPr>
          <w:rFonts w:ascii="Times New Roman" w:hAnsi="Times New Roman" w:cs="Times New Roman"/>
          <w:sz w:val="28"/>
          <w:szCs w:val="28"/>
        </w:rPr>
        <w:t>30.55</w:t>
      </w:r>
      <w:r w:rsidR="00057955" w:rsidRPr="00757181">
        <w:rPr>
          <w:rFonts w:ascii="Times New Roman" w:hAnsi="Times New Roman" w:cs="Times New Roman"/>
          <w:sz w:val="28"/>
          <w:szCs w:val="28"/>
        </w:rPr>
        <w:t xml:space="preserve">                           23.08</w:t>
      </w:r>
    </w:p>
    <w:p w14:paraId="4D3672E5" w14:textId="77777777" w:rsidR="00057955" w:rsidRPr="00757181" w:rsidRDefault="00057955" w:rsidP="00425DF0">
      <w:pPr>
        <w:spacing w:after="0"/>
        <w:jc w:val="both"/>
        <w:rPr>
          <w:rFonts w:ascii="Times New Roman" w:hAnsi="Times New Roman" w:cs="Times New Roman"/>
          <w:sz w:val="28"/>
          <w:szCs w:val="28"/>
        </w:rPr>
      </w:pPr>
      <w:r w:rsidRPr="00757181">
        <w:rPr>
          <w:rFonts w:ascii="Times New Roman" w:hAnsi="Times New Roman" w:cs="Times New Roman"/>
          <w:sz w:val="28"/>
          <w:szCs w:val="28"/>
        </w:rPr>
        <w:t xml:space="preserve"> Upper 95% C.I               31.54                           23.48</w:t>
      </w:r>
    </w:p>
    <w:p w14:paraId="3CE2976E" w14:textId="77777777" w:rsidR="00057955" w:rsidRPr="00757181" w:rsidRDefault="00057955" w:rsidP="00425DF0">
      <w:pPr>
        <w:spacing w:after="0"/>
        <w:jc w:val="both"/>
        <w:rPr>
          <w:rFonts w:ascii="Times New Roman" w:hAnsi="Times New Roman" w:cs="Times New Roman"/>
          <w:sz w:val="28"/>
          <w:szCs w:val="28"/>
        </w:rPr>
      </w:pPr>
    </w:p>
    <w:p w14:paraId="5BD82170" w14:textId="77777777" w:rsidR="00BF414D" w:rsidRPr="00757181" w:rsidRDefault="00BF414D" w:rsidP="00BF414D">
      <w:pPr>
        <w:spacing w:after="0"/>
        <w:jc w:val="both"/>
        <w:rPr>
          <w:rFonts w:ascii="Times New Roman" w:hAnsi="Times New Roman" w:cs="Times New Roman"/>
          <w:b/>
          <w:sz w:val="28"/>
          <w:szCs w:val="28"/>
        </w:rPr>
      </w:pPr>
      <w:r w:rsidRPr="00757181">
        <w:rPr>
          <w:rFonts w:ascii="Times New Roman" w:hAnsi="Times New Roman" w:cs="Times New Roman"/>
          <w:b/>
          <w:sz w:val="28"/>
          <w:szCs w:val="28"/>
        </w:rPr>
        <w:t xml:space="preserve">Waist Circumference </w:t>
      </w:r>
    </w:p>
    <w:p w14:paraId="0D87B4A9" w14:textId="77777777" w:rsidR="00BF414D" w:rsidRPr="00757181" w:rsidRDefault="00BF414D" w:rsidP="00BF414D">
      <w:pPr>
        <w:spacing w:after="0"/>
        <w:jc w:val="both"/>
        <w:rPr>
          <w:rFonts w:ascii="Times New Roman" w:hAnsi="Times New Roman" w:cs="Times New Roman"/>
          <w:sz w:val="28"/>
          <w:szCs w:val="28"/>
        </w:rPr>
      </w:pPr>
      <w:r w:rsidRPr="00757181">
        <w:rPr>
          <w:rFonts w:ascii="Times New Roman" w:hAnsi="Times New Roman" w:cs="Times New Roman"/>
          <w:b/>
          <w:sz w:val="28"/>
          <w:szCs w:val="28"/>
        </w:rPr>
        <w:t>(cm)</w:t>
      </w:r>
      <w:r w:rsidRPr="00757181">
        <w:rPr>
          <w:rFonts w:ascii="Times New Roman" w:hAnsi="Times New Roman" w:cs="Times New Roman"/>
          <w:b/>
          <w:sz w:val="28"/>
          <w:szCs w:val="28"/>
        </w:rPr>
        <w:tab/>
      </w:r>
      <w:r w:rsidRPr="00757181">
        <w:rPr>
          <w:rFonts w:ascii="Times New Roman" w:hAnsi="Times New Roman" w:cs="Times New Roman"/>
          <w:b/>
          <w:sz w:val="28"/>
          <w:szCs w:val="28"/>
        </w:rPr>
        <w:tab/>
      </w:r>
      <w:r w:rsidRPr="00757181">
        <w:rPr>
          <w:rFonts w:ascii="Times New Roman" w:hAnsi="Times New Roman" w:cs="Times New Roman"/>
          <w:b/>
          <w:sz w:val="28"/>
          <w:szCs w:val="28"/>
        </w:rPr>
        <w:tab/>
      </w:r>
      <w:r w:rsidR="0064775A" w:rsidRPr="00757181">
        <w:rPr>
          <w:rFonts w:ascii="Times New Roman" w:hAnsi="Times New Roman" w:cs="Times New Roman"/>
          <w:b/>
          <w:sz w:val="28"/>
          <w:szCs w:val="28"/>
        </w:rPr>
        <w:t xml:space="preserve">   </w:t>
      </w:r>
      <w:r w:rsidRPr="00757181">
        <w:rPr>
          <w:rFonts w:ascii="Times New Roman" w:hAnsi="Times New Roman" w:cs="Times New Roman"/>
          <w:sz w:val="28"/>
          <w:szCs w:val="28"/>
        </w:rPr>
        <w:t xml:space="preserve">106.03 ± </w:t>
      </w:r>
      <w:r w:rsidR="00CD48FD" w:rsidRPr="00757181">
        <w:rPr>
          <w:rFonts w:ascii="Times New Roman" w:hAnsi="Times New Roman" w:cs="Times New Roman"/>
          <w:sz w:val="28"/>
          <w:szCs w:val="28"/>
        </w:rPr>
        <w:t>6.94</w:t>
      </w:r>
      <w:r w:rsidR="00CD48FD" w:rsidRPr="00757181">
        <w:rPr>
          <w:rFonts w:ascii="Times New Roman" w:hAnsi="Times New Roman" w:cs="Times New Roman"/>
          <w:sz w:val="28"/>
          <w:szCs w:val="28"/>
        </w:rPr>
        <w:tab/>
      </w:r>
      <w:r w:rsidR="00CD48FD" w:rsidRPr="00757181">
        <w:rPr>
          <w:rFonts w:ascii="Times New Roman" w:hAnsi="Times New Roman" w:cs="Times New Roman"/>
          <w:sz w:val="28"/>
          <w:szCs w:val="28"/>
        </w:rPr>
        <w:tab/>
        <w:t>84.81 ± 3.01</w:t>
      </w:r>
      <w:r w:rsidR="00CD48FD" w:rsidRPr="00757181">
        <w:rPr>
          <w:rFonts w:ascii="Times New Roman" w:hAnsi="Times New Roman" w:cs="Times New Roman"/>
          <w:sz w:val="28"/>
          <w:szCs w:val="28"/>
        </w:rPr>
        <w:tab/>
      </w:r>
      <w:r w:rsidR="00CD48FD" w:rsidRPr="00757181">
        <w:rPr>
          <w:rFonts w:ascii="Times New Roman" w:hAnsi="Times New Roman" w:cs="Times New Roman"/>
          <w:sz w:val="28"/>
          <w:szCs w:val="28"/>
        </w:rPr>
        <w:tab/>
        <w:t>29.868</w:t>
      </w:r>
      <w:r w:rsidR="00CD48FD" w:rsidRPr="00757181">
        <w:rPr>
          <w:rFonts w:ascii="Times New Roman" w:hAnsi="Times New Roman" w:cs="Times New Roman"/>
          <w:sz w:val="28"/>
          <w:szCs w:val="28"/>
        </w:rPr>
        <w:tab/>
        <w:t>0.001</w:t>
      </w:r>
    </w:p>
    <w:p w14:paraId="2A2A6B3F" w14:textId="77777777" w:rsidR="00BF414D" w:rsidRPr="00757181" w:rsidRDefault="00A655E4" w:rsidP="00BF414D">
      <w:pPr>
        <w:spacing w:after="0"/>
        <w:jc w:val="both"/>
        <w:rPr>
          <w:rFonts w:ascii="Times New Roman" w:hAnsi="Times New Roman" w:cs="Times New Roman"/>
          <w:sz w:val="28"/>
          <w:szCs w:val="28"/>
        </w:rPr>
      </w:pPr>
      <w:r w:rsidRPr="00757181">
        <w:rPr>
          <w:rFonts w:ascii="Times New Roman" w:hAnsi="Times New Roman" w:cs="Times New Roman"/>
          <w:sz w:val="28"/>
          <w:szCs w:val="28"/>
        </w:rPr>
        <w:t xml:space="preserve">Lower 95% </w:t>
      </w:r>
      <w:proofErr w:type="gramStart"/>
      <w:r w:rsidRPr="00757181">
        <w:rPr>
          <w:rFonts w:ascii="Times New Roman" w:hAnsi="Times New Roman" w:cs="Times New Roman"/>
          <w:sz w:val="28"/>
          <w:szCs w:val="28"/>
        </w:rPr>
        <w:t>C.I</w:t>
      </w:r>
      <w:proofErr w:type="gramEnd"/>
      <w:r w:rsidRPr="00757181">
        <w:rPr>
          <w:rFonts w:ascii="Times New Roman" w:hAnsi="Times New Roman" w:cs="Times New Roman"/>
          <w:sz w:val="28"/>
          <w:szCs w:val="28"/>
        </w:rPr>
        <w:tab/>
      </w:r>
      <w:r w:rsidRPr="00757181">
        <w:rPr>
          <w:rFonts w:ascii="Times New Roman" w:hAnsi="Times New Roman" w:cs="Times New Roman"/>
          <w:sz w:val="28"/>
          <w:szCs w:val="28"/>
        </w:rPr>
        <w:tab/>
        <w:t>104.65</w:t>
      </w:r>
      <w:r w:rsidRPr="00757181">
        <w:rPr>
          <w:rFonts w:ascii="Times New Roman" w:hAnsi="Times New Roman" w:cs="Times New Roman"/>
          <w:sz w:val="28"/>
          <w:szCs w:val="28"/>
        </w:rPr>
        <w:tab/>
      </w:r>
      <w:r w:rsidRPr="00757181">
        <w:rPr>
          <w:rFonts w:ascii="Times New Roman" w:hAnsi="Times New Roman" w:cs="Times New Roman"/>
          <w:sz w:val="28"/>
          <w:szCs w:val="28"/>
        </w:rPr>
        <w:tab/>
        <w:t>84.21</w:t>
      </w:r>
    </w:p>
    <w:p w14:paraId="38611E0A" w14:textId="77777777" w:rsidR="00BF414D" w:rsidRPr="00757181" w:rsidRDefault="00DC4483" w:rsidP="00BF414D">
      <w:pPr>
        <w:spacing w:after="0"/>
        <w:jc w:val="both"/>
        <w:rPr>
          <w:rFonts w:ascii="Times New Roman" w:hAnsi="Times New Roman" w:cs="Times New Roman"/>
          <w:sz w:val="28"/>
          <w:szCs w:val="28"/>
        </w:rPr>
      </w:pPr>
      <w:r w:rsidRPr="00757181">
        <w:rPr>
          <w:rFonts w:ascii="Times New Roman" w:hAnsi="Times New Roman" w:cs="Times New Roman"/>
          <w:sz w:val="28"/>
          <w:szCs w:val="28"/>
        </w:rPr>
        <w:t xml:space="preserve">Upper 95% </w:t>
      </w:r>
      <w:r w:rsidR="00A655E4" w:rsidRPr="00757181">
        <w:rPr>
          <w:rFonts w:ascii="Times New Roman" w:hAnsi="Times New Roman" w:cs="Times New Roman"/>
          <w:sz w:val="28"/>
          <w:szCs w:val="28"/>
        </w:rPr>
        <w:t>C. I</w:t>
      </w:r>
      <w:r w:rsidR="00A655E4" w:rsidRPr="00757181">
        <w:rPr>
          <w:rFonts w:ascii="Times New Roman" w:hAnsi="Times New Roman" w:cs="Times New Roman"/>
          <w:sz w:val="28"/>
          <w:szCs w:val="28"/>
        </w:rPr>
        <w:tab/>
      </w:r>
      <w:r w:rsidR="00A655E4" w:rsidRPr="00757181">
        <w:rPr>
          <w:rFonts w:ascii="Times New Roman" w:hAnsi="Times New Roman" w:cs="Times New Roman"/>
          <w:sz w:val="28"/>
          <w:szCs w:val="28"/>
        </w:rPr>
        <w:tab/>
        <w:t>107.40</w:t>
      </w:r>
      <w:r w:rsidR="00A655E4" w:rsidRPr="00757181">
        <w:rPr>
          <w:rFonts w:ascii="Times New Roman" w:hAnsi="Times New Roman" w:cs="Times New Roman"/>
          <w:sz w:val="28"/>
          <w:szCs w:val="28"/>
        </w:rPr>
        <w:tab/>
      </w:r>
      <w:r w:rsidR="00A655E4" w:rsidRPr="00757181">
        <w:rPr>
          <w:rFonts w:ascii="Times New Roman" w:hAnsi="Times New Roman" w:cs="Times New Roman"/>
          <w:sz w:val="28"/>
          <w:szCs w:val="28"/>
        </w:rPr>
        <w:tab/>
        <w:t>85.40</w:t>
      </w:r>
    </w:p>
    <w:p w14:paraId="00CA2A6C" w14:textId="77777777" w:rsidR="00BF414D" w:rsidRPr="00757181" w:rsidRDefault="00BF414D" w:rsidP="005D11E0">
      <w:pPr>
        <w:spacing w:after="0" w:line="240" w:lineRule="auto"/>
        <w:jc w:val="both"/>
        <w:rPr>
          <w:rFonts w:ascii="Times New Roman" w:hAnsi="Times New Roman" w:cs="Times New Roman"/>
          <w:sz w:val="28"/>
          <w:szCs w:val="28"/>
        </w:rPr>
      </w:pPr>
      <w:r w:rsidRPr="00757181">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14:anchorId="464DB874" wp14:editId="2EAA213E">
                <wp:simplePos x="0" y="0"/>
                <wp:positionH relativeFrom="column">
                  <wp:posOffset>-38100</wp:posOffset>
                </wp:positionH>
                <wp:positionV relativeFrom="paragraph">
                  <wp:posOffset>207010</wp:posOffset>
                </wp:positionV>
                <wp:extent cx="6143625" cy="0"/>
                <wp:effectExtent l="0" t="0" r="9525" b="19050"/>
                <wp:wrapNone/>
                <wp:docPr id="2" name="Straight Connector 1"/>
                <wp:cNvGraphicFramePr/>
                <a:graphic xmlns:a="http://schemas.openxmlformats.org/drawingml/2006/main">
                  <a:graphicData uri="http://schemas.microsoft.com/office/word/2010/wordprocessingShape">
                    <wps:wsp>
                      <wps:cNvCnPr/>
                      <wps:spPr>
                        <a:xfrm>
                          <a:off x="0" y="0"/>
                          <a:ext cx="6143625"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922624"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6.3pt" to="480.7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" strokecolor="black [3213]">
                <v:stroke joinstyle="miter"/>
              </v:line>
            </w:pict>
          </mc:Fallback>
        </mc:AlternateContent>
      </w:r>
    </w:p>
    <w:p w14:paraId="66CA1AF8" w14:textId="77777777" w:rsidR="00BF414D" w:rsidRPr="00757181" w:rsidRDefault="00BF414D" w:rsidP="00BF414D">
      <w:pPr>
        <w:rPr>
          <w:rFonts w:ascii="Times New Roman" w:hAnsi="Times New Roman" w:cs="Times New Roman"/>
          <w:sz w:val="28"/>
          <w:szCs w:val="28"/>
        </w:rPr>
      </w:pPr>
      <w:r w:rsidRPr="00757181">
        <w:rPr>
          <w:rFonts w:ascii="Times New Roman" w:hAnsi="Times New Roman" w:cs="Times New Roman"/>
          <w:sz w:val="28"/>
          <w:szCs w:val="28"/>
        </w:rPr>
        <w:t>Value is statistically significant at p &lt; 0.05</w:t>
      </w:r>
    </w:p>
    <w:p w14:paraId="72797C9A" w14:textId="77777777" w:rsidR="003A4754" w:rsidRPr="00757181" w:rsidRDefault="003A4754" w:rsidP="00057955">
      <w:pPr>
        <w:rPr>
          <w:rFonts w:ascii="Times New Roman" w:hAnsi="Times New Roman" w:cs="Times New Roman"/>
          <w:sz w:val="28"/>
          <w:szCs w:val="28"/>
        </w:rPr>
      </w:pPr>
    </w:p>
    <w:p w14:paraId="39AE0373" w14:textId="77777777" w:rsidR="003A4754" w:rsidRPr="00757181" w:rsidRDefault="003A4754" w:rsidP="00057955">
      <w:pPr>
        <w:rPr>
          <w:rFonts w:ascii="Times New Roman" w:hAnsi="Times New Roman" w:cs="Times New Roman"/>
          <w:sz w:val="28"/>
          <w:szCs w:val="28"/>
        </w:rPr>
      </w:pPr>
    </w:p>
    <w:p w14:paraId="63C73502" w14:textId="77777777" w:rsidR="00153F6A" w:rsidRPr="00757181" w:rsidRDefault="00153F6A" w:rsidP="004B7EF7">
      <w:pPr>
        <w:rPr>
          <w:rFonts w:ascii="Times New Roman" w:eastAsiaTheme="minorEastAsia" w:hAnsi="Times New Roman" w:cs="Times New Roman"/>
          <w:i/>
          <w:sz w:val="28"/>
          <w:szCs w:val="28"/>
        </w:rPr>
      </w:pPr>
      <w:r w:rsidRPr="00757181">
        <w:rPr>
          <w:rFonts w:ascii="Times New Roman" w:hAnsi="Times New Roman" w:cs="Times New Roman"/>
          <w:b/>
          <w:i/>
          <w:sz w:val="28"/>
          <w:szCs w:val="28"/>
        </w:rPr>
        <w:t>Comparison of Age, SBP, DBP, BMI and Waist Circumference in Cardiovascular Disease subjects versus control subjects</w:t>
      </w:r>
      <w:r w:rsidRPr="00757181">
        <w:rPr>
          <w:rFonts w:ascii="Times New Roman" w:eastAsiaTheme="minorEastAsia" w:hAnsi="Times New Roman" w:cs="Times New Roman"/>
          <w:i/>
          <w:sz w:val="28"/>
          <w:szCs w:val="28"/>
        </w:rPr>
        <w:t xml:space="preserve"> </w:t>
      </w:r>
    </w:p>
    <w:p w14:paraId="6C496C95" w14:textId="77777777" w:rsidR="00F862A1" w:rsidRPr="00757181" w:rsidRDefault="00B34754" w:rsidP="004B7EF7">
      <w:pPr>
        <w:rPr>
          <w:rFonts w:ascii="Times New Roman" w:hAnsi="Times New Roman" w:cs="Times New Roman"/>
          <w:sz w:val="28"/>
          <w:szCs w:val="28"/>
        </w:rPr>
      </w:pPr>
      <w:r w:rsidRPr="00757181">
        <w:rPr>
          <w:rFonts w:ascii="Times New Roman" w:eastAsia="Times New Roman" w:hAnsi="Times New Roman" w:cs="Times New Roman"/>
          <w:sz w:val="28"/>
        </w:rPr>
        <w:t>SBP (159.03 ± 11.79 versus 123.79 ± 20.36 mmHg), DBP (91.01 ± 7.50 versus 75.68 ± 3.42 mmHg), BMI (31.04 ± 2.50 versus 23.28 ± 1.02 kg/m</w:t>
      </w:r>
      <w:r w:rsidRPr="00757181">
        <w:rPr>
          <w:rFonts w:ascii="Times New Roman" w:eastAsia="Times New Roman" w:hAnsi="Times New Roman" w:cs="Times New Roman"/>
          <w:sz w:val="28"/>
          <w:vertAlign w:val="superscript"/>
        </w:rPr>
        <w:t>2</w:t>
      </w:r>
      <w:r w:rsidRPr="00757181">
        <w:rPr>
          <w:rFonts w:ascii="Times New Roman" w:eastAsia="Times New Roman" w:hAnsi="Times New Roman" w:cs="Times New Roman"/>
          <w:sz w:val="28"/>
        </w:rPr>
        <w:t>), and WC (106.03 ± 6.94 versus 84.81 ± 3.01 cm) were significantly higher in CVD subjects than in controls (p = 0.001 for each comparison). There was no significant difference in age between CVD subjects and controls (58.47 ± 7.79 versus 57.98 ± 5.71 years, p = 0.395) (Table 1).</w:t>
      </w:r>
    </w:p>
    <w:p w14:paraId="57D78EAF" w14:textId="77777777" w:rsidR="004B7EF7" w:rsidRPr="00757181" w:rsidRDefault="004B7EF7" w:rsidP="00F862A1">
      <w:pPr>
        <w:autoSpaceDE w:val="0"/>
        <w:autoSpaceDN w:val="0"/>
        <w:adjustRightInd w:val="0"/>
        <w:spacing w:after="0" w:line="240" w:lineRule="auto"/>
        <w:rPr>
          <w:rFonts w:ascii="Times New Roman" w:hAnsi="Times New Roman" w:cs="Times New Roman"/>
          <w:b/>
          <w:sz w:val="28"/>
          <w:szCs w:val="28"/>
        </w:rPr>
      </w:pPr>
    </w:p>
    <w:p w14:paraId="0389A17A" w14:textId="77777777" w:rsidR="004B7EF7" w:rsidRPr="00757181" w:rsidRDefault="004B7EF7" w:rsidP="00F862A1">
      <w:pPr>
        <w:autoSpaceDE w:val="0"/>
        <w:autoSpaceDN w:val="0"/>
        <w:adjustRightInd w:val="0"/>
        <w:spacing w:after="0" w:line="240" w:lineRule="auto"/>
        <w:rPr>
          <w:rFonts w:ascii="Times New Roman" w:hAnsi="Times New Roman" w:cs="Times New Roman"/>
          <w:b/>
          <w:sz w:val="28"/>
          <w:szCs w:val="28"/>
        </w:rPr>
      </w:pPr>
    </w:p>
    <w:p w14:paraId="520466E3" w14:textId="77777777" w:rsidR="004B7EF7" w:rsidRPr="00757181" w:rsidRDefault="004B7EF7" w:rsidP="00F862A1">
      <w:pPr>
        <w:autoSpaceDE w:val="0"/>
        <w:autoSpaceDN w:val="0"/>
        <w:adjustRightInd w:val="0"/>
        <w:spacing w:after="0" w:line="240" w:lineRule="auto"/>
        <w:rPr>
          <w:rFonts w:ascii="Times New Roman" w:hAnsi="Times New Roman" w:cs="Times New Roman"/>
          <w:b/>
          <w:sz w:val="28"/>
          <w:szCs w:val="28"/>
        </w:rPr>
      </w:pPr>
    </w:p>
    <w:p w14:paraId="0DEBFAB2" w14:textId="77777777" w:rsidR="00F862A1" w:rsidRPr="00757181" w:rsidRDefault="008E6529" w:rsidP="00F862A1">
      <w:pPr>
        <w:autoSpaceDE w:val="0"/>
        <w:autoSpaceDN w:val="0"/>
        <w:adjustRightInd w:val="0"/>
        <w:spacing w:after="0" w:line="240" w:lineRule="auto"/>
        <w:rPr>
          <w:rFonts w:ascii="Times New Roman" w:hAnsi="Times New Roman" w:cs="Times New Roman"/>
          <w:b/>
          <w:sz w:val="28"/>
          <w:szCs w:val="28"/>
        </w:rPr>
      </w:pPr>
      <w:r w:rsidRPr="00757181">
        <w:rPr>
          <w:rFonts w:ascii="Times New Roman" w:hAnsi="Times New Roman" w:cs="Times New Roman"/>
          <w:b/>
          <w:sz w:val="28"/>
          <w:szCs w:val="28"/>
        </w:rPr>
        <w:t>Table 2: Pearson correlation of Age, SBP, DBP, BMI and Waist Circumference in Cardiovascular Disease subjects</w:t>
      </w:r>
    </w:p>
    <w:p w14:paraId="30FD252E" w14:textId="77777777" w:rsidR="00192805" w:rsidRPr="00757181" w:rsidRDefault="00192805" w:rsidP="00F862A1">
      <w:pPr>
        <w:autoSpaceDE w:val="0"/>
        <w:autoSpaceDN w:val="0"/>
        <w:adjustRightInd w:val="0"/>
        <w:spacing w:after="0" w:line="240" w:lineRule="auto"/>
        <w:rPr>
          <w:rFonts w:ascii="Times New Roman" w:hAnsi="Times New Roman" w:cs="Times New Roman"/>
          <w:sz w:val="28"/>
          <w:szCs w:val="28"/>
        </w:rPr>
      </w:pPr>
    </w:p>
    <w:tbl>
      <w:tblPr>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61"/>
        <w:gridCol w:w="1099"/>
        <w:gridCol w:w="1170"/>
        <w:gridCol w:w="1170"/>
        <w:gridCol w:w="1170"/>
        <w:gridCol w:w="1260"/>
        <w:gridCol w:w="1350"/>
      </w:tblGrid>
      <w:tr w:rsidR="007D3F25" w:rsidRPr="00757181" w14:paraId="51EBF00E" w14:textId="77777777" w:rsidTr="00330D39">
        <w:trPr>
          <w:cantSplit/>
        </w:trPr>
        <w:tc>
          <w:tcPr>
            <w:tcW w:w="9180" w:type="dxa"/>
            <w:gridSpan w:val="7"/>
            <w:tcBorders>
              <w:top w:val="nil"/>
              <w:left w:val="nil"/>
              <w:bottom w:val="nil"/>
              <w:right w:val="nil"/>
            </w:tcBorders>
            <w:shd w:val="clear" w:color="auto" w:fill="FFFFFF"/>
            <w:vAlign w:val="center"/>
          </w:tcPr>
          <w:p w14:paraId="7A88171F" w14:textId="77777777" w:rsidR="00F862A1" w:rsidRPr="00757181" w:rsidRDefault="00F862A1" w:rsidP="00980310">
            <w:pPr>
              <w:autoSpaceDE w:val="0"/>
              <w:autoSpaceDN w:val="0"/>
              <w:adjustRightInd w:val="0"/>
              <w:spacing w:after="0" w:line="320" w:lineRule="atLeast"/>
              <w:ind w:left="60" w:right="60"/>
              <w:jc w:val="center"/>
              <w:rPr>
                <w:rFonts w:ascii="Times New Roman" w:hAnsi="Times New Roman" w:cs="Times New Roman"/>
                <w:sz w:val="28"/>
                <w:szCs w:val="28"/>
              </w:rPr>
            </w:pPr>
            <w:r w:rsidRPr="00757181">
              <w:rPr>
                <w:rFonts w:ascii="Times New Roman" w:hAnsi="Times New Roman" w:cs="Times New Roman"/>
                <w:b/>
                <w:bCs/>
                <w:sz w:val="28"/>
                <w:szCs w:val="28"/>
              </w:rPr>
              <w:t>Correlations</w:t>
            </w:r>
          </w:p>
        </w:tc>
      </w:tr>
      <w:tr w:rsidR="007D3F25" w:rsidRPr="00757181" w14:paraId="7A880201" w14:textId="77777777" w:rsidTr="00330D39">
        <w:trPr>
          <w:cantSplit/>
        </w:trPr>
        <w:tc>
          <w:tcPr>
            <w:tcW w:w="3060" w:type="dxa"/>
            <w:gridSpan w:val="2"/>
            <w:tcBorders>
              <w:top w:val="single" w:sz="16" w:space="0" w:color="000000"/>
              <w:left w:val="single" w:sz="16" w:space="0" w:color="000000"/>
              <w:bottom w:val="single" w:sz="16" w:space="0" w:color="000000"/>
              <w:right w:val="nil"/>
            </w:tcBorders>
            <w:shd w:val="clear" w:color="auto" w:fill="FFFFFF"/>
            <w:vAlign w:val="bottom"/>
          </w:tcPr>
          <w:p w14:paraId="63652339"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170" w:type="dxa"/>
            <w:tcBorders>
              <w:top w:val="single" w:sz="16" w:space="0" w:color="000000"/>
              <w:left w:val="single" w:sz="16" w:space="0" w:color="000000"/>
              <w:bottom w:val="single" w:sz="16" w:space="0" w:color="000000"/>
            </w:tcBorders>
            <w:shd w:val="clear" w:color="auto" w:fill="FFFFFF"/>
            <w:vAlign w:val="bottom"/>
          </w:tcPr>
          <w:p w14:paraId="3A052F41" w14:textId="77777777" w:rsidR="00F862A1" w:rsidRPr="00757181"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57181">
              <w:rPr>
                <w:rFonts w:ascii="Times New Roman" w:hAnsi="Times New Roman" w:cs="Times New Roman"/>
                <w:sz w:val="28"/>
                <w:szCs w:val="28"/>
              </w:rPr>
              <w:t xml:space="preserve">Age </w:t>
            </w:r>
          </w:p>
        </w:tc>
        <w:tc>
          <w:tcPr>
            <w:tcW w:w="1170" w:type="dxa"/>
            <w:tcBorders>
              <w:top w:val="single" w:sz="16" w:space="0" w:color="000000"/>
              <w:bottom w:val="single" w:sz="16" w:space="0" w:color="000000"/>
            </w:tcBorders>
            <w:shd w:val="clear" w:color="auto" w:fill="FFFFFF"/>
            <w:vAlign w:val="bottom"/>
          </w:tcPr>
          <w:p w14:paraId="73F29984" w14:textId="77777777" w:rsidR="00F862A1" w:rsidRPr="00757181"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57181">
              <w:rPr>
                <w:rFonts w:ascii="Times New Roman" w:hAnsi="Times New Roman" w:cs="Times New Roman"/>
                <w:sz w:val="28"/>
                <w:szCs w:val="28"/>
              </w:rPr>
              <w:t>SBP</w:t>
            </w:r>
          </w:p>
        </w:tc>
        <w:tc>
          <w:tcPr>
            <w:tcW w:w="1170" w:type="dxa"/>
            <w:tcBorders>
              <w:top w:val="single" w:sz="16" w:space="0" w:color="000000"/>
              <w:bottom w:val="single" w:sz="16" w:space="0" w:color="000000"/>
            </w:tcBorders>
            <w:shd w:val="clear" w:color="auto" w:fill="FFFFFF"/>
            <w:vAlign w:val="bottom"/>
          </w:tcPr>
          <w:p w14:paraId="3CF8530A" w14:textId="77777777" w:rsidR="00F862A1" w:rsidRPr="00757181"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57181">
              <w:rPr>
                <w:rFonts w:ascii="Times New Roman" w:hAnsi="Times New Roman" w:cs="Times New Roman"/>
                <w:sz w:val="28"/>
                <w:szCs w:val="28"/>
              </w:rPr>
              <w:t>DBP</w:t>
            </w:r>
          </w:p>
        </w:tc>
        <w:tc>
          <w:tcPr>
            <w:tcW w:w="1260" w:type="dxa"/>
            <w:tcBorders>
              <w:top w:val="single" w:sz="16" w:space="0" w:color="000000"/>
              <w:bottom w:val="single" w:sz="16" w:space="0" w:color="000000"/>
            </w:tcBorders>
            <w:shd w:val="clear" w:color="auto" w:fill="FFFFFF"/>
            <w:vAlign w:val="bottom"/>
          </w:tcPr>
          <w:p w14:paraId="1D968AAA"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BMI</w:t>
            </w:r>
          </w:p>
        </w:tc>
        <w:tc>
          <w:tcPr>
            <w:tcW w:w="1350" w:type="dxa"/>
            <w:tcBorders>
              <w:top w:val="single" w:sz="16" w:space="0" w:color="000000"/>
              <w:bottom w:val="single" w:sz="16" w:space="0" w:color="000000"/>
              <w:right w:val="single" w:sz="16" w:space="0" w:color="000000"/>
            </w:tcBorders>
            <w:shd w:val="clear" w:color="auto" w:fill="FFFFFF"/>
            <w:vAlign w:val="bottom"/>
          </w:tcPr>
          <w:p w14:paraId="3352620B" w14:textId="77777777" w:rsidR="00F862A1" w:rsidRPr="00757181"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57181">
              <w:rPr>
                <w:rFonts w:ascii="Times New Roman" w:hAnsi="Times New Roman" w:cs="Times New Roman"/>
                <w:sz w:val="28"/>
                <w:szCs w:val="28"/>
              </w:rPr>
              <w:t xml:space="preserve">WC </w:t>
            </w:r>
          </w:p>
        </w:tc>
      </w:tr>
      <w:tr w:rsidR="007D3F25" w:rsidRPr="00757181" w14:paraId="02B1CF0B" w14:textId="77777777" w:rsidTr="00330D39">
        <w:trPr>
          <w:cantSplit/>
        </w:trPr>
        <w:tc>
          <w:tcPr>
            <w:tcW w:w="1961" w:type="dxa"/>
            <w:vMerge w:val="restart"/>
            <w:tcBorders>
              <w:top w:val="single" w:sz="16" w:space="0" w:color="000000"/>
              <w:left w:val="single" w:sz="16" w:space="0" w:color="000000"/>
              <w:right w:val="nil"/>
            </w:tcBorders>
            <w:shd w:val="clear" w:color="auto" w:fill="FFFFFF"/>
          </w:tcPr>
          <w:p w14:paraId="4EC1E18A" w14:textId="77777777" w:rsidR="00F862A1" w:rsidRPr="00757181" w:rsidRDefault="00F862A1" w:rsidP="00980310">
            <w:pPr>
              <w:tabs>
                <w:tab w:val="right" w:pos="1881"/>
              </w:tabs>
              <w:autoSpaceDE w:val="0"/>
              <w:autoSpaceDN w:val="0"/>
              <w:adjustRightInd w:val="0"/>
              <w:spacing w:after="0" w:line="320" w:lineRule="atLeast"/>
              <w:ind w:left="60" w:right="60"/>
              <w:rPr>
                <w:rFonts w:ascii="Times New Roman" w:hAnsi="Times New Roman" w:cs="Times New Roman"/>
                <w:sz w:val="28"/>
                <w:szCs w:val="28"/>
              </w:rPr>
            </w:pPr>
            <w:r w:rsidRPr="00757181">
              <w:rPr>
                <w:rFonts w:ascii="Times New Roman" w:hAnsi="Times New Roman" w:cs="Times New Roman"/>
                <w:sz w:val="28"/>
                <w:szCs w:val="28"/>
              </w:rPr>
              <w:t>Age</w:t>
            </w:r>
          </w:p>
        </w:tc>
        <w:tc>
          <w:tcPr>
            <w:tcW w:w="1099" w:type="dxa"/>
            <w:tcBorders>
              <w:top w:val="single" w:sz="16" w:space="0" w:color="000000"/>
              <w:left w:val="nil"/>
              <w:bottom w:val="nil"/>
              <w:right w:val="single" w:sz="16" w:space="0" w:color="000000"/>
            </w:tcBorders>
            <w:shd w:val="clear" w:color="auto" w:fill="FFFFFF"/>
          </w:tcPr>
          <w:p w14:paraId="7EF64AAA"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r- value</w:t>
            </w:r>
          </w:p>
        </w:tc>
        <w:tc>
          <w:tcPr>
            <w:tcW w:w="1170" w:type="dxa"/>
            <w:tcBorders>
              <w:top w:val="single" w:sz="16" w:space="0" w:color="000000"/>
              <w:left w:val="single" w:sz="16" w:space="0" w:color="000000"/>
              <w:bottom w:val="nil"/>
            </w:tcBorders>
            <w:shd w:val="clear" w:color="auto" w:fill="FFFFFF"/>
            <w:vAlign w:val="center"/>
          </w:tcPr>
          <w:p w14:paraId="499B4C4D"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w:t>
            </w:r>
          </w:p>
        </w:tc>
        <w:tc>
          <w:tcPr>
            <w:tcW w:w="1170" w:type="dxa"/>
            <w:tcBorders>
              <w:top w:val="single" w:sz="16" w:space="0" w:color="000000"/>
              <w:bottom w:val="nil"/>
            </w:tcBorders>
            <w:shd w:val="clear" w:color="auto" w:fill="FFFFFF"/>
            <w:vAlign w:val="center"/>
          </w:tcPr>
          <w:p w14:paraId="65CAF937"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0.633</w:t>
            </w:r>
            <w:r w:rsidRPr="00757181">
              <w:rPr>
                <w:rFonts w:ascii="Times New Roman" w:hAnsi="Times New Roman" w:cs="Times New Roman"/>
                <w:sz w:val="28"/>
                <w:szCs w:val="28"/>
                <w:vertAlign w:val="superscript"/>
              </w:rPr>
              <w:t>**</w:t>
            </w:r>
          </w:p>
        </w:tc>
        <w:tc>
          <w:tcPr>
            <w:tcW w:w="1170" w:type="dxa"/>
            <w:tcBorders>
              <w:top w:val="single" w:sz="16" w:space="0" w:color="000000"/>
              <w:bottom w:val="nil"/>
            </w:tcBorders>
            <w:shd w:val="clear" w:color="auto" w:fill="FFFFFF"/>
            <w:vAlign w:val="center"/>
          </w:tcPr>
          <w:p w14:paraId="36C7AB9E"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0.332</w:t>
            </w:r>
            <w:r w:rsidRPr="00757181">
              <w:rPr>
                <w:rFonts w:ascii="Times New Roman" w:hAnsi="Times New Roman" w:cs="Times New Roman"/>
                <w:sz w:val="28"/>
                <w:szCs w:val="28"/>
                <w:vertAlign w:val="superscript"/>
              </w:rPr>
              <w:t>**</w:t>
            </w:r>
          </w:p>
        </w:tc>
        <w:tc>
          <w:tcPr>
            <w:tcW w:w="1260" w:type="dxa"/>
            <w:tcBorders>
              <w:top w:val="single" w:sz="16" w:space="0" w:color="000000"/>
              <w:bottom w:val="nil"/>
            </w:tcBorders>
            <w:shd w:val="clear" w:color="auto" w:fill="FFFFFF"/>
            <w:vAlign w:val="center"/>
          </w:tcPr>
          <w:p w14:paraId="250F90CF"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0.286</w:t>
            </w:r>
            <w:r w:rsidRPr="00757181">
              <w:rPr>
                <w:rFonts w:ascii="Times New Roman" w:hAnsi="Times New Roman" w:cs="Times New Roman"/>
                <w:sz w:val="28"/>
                <w:szCs w:val="28"/>
                <w:vertAlign w:val="superscript"/>
              </w:rPr>
              <w:t>**</w:t>
            </w:r>
          </w:p>
        </w:tc>
        <w:tc>
          <w:tcPr>
            <w:tcW w:w="1350" w:type="dxa"/>
            <w:tcBorders>
              <w:top w:val="single" w:sz="16" w:space="0" w:color="000000"/>
              <w:bottom w:val="nil"/>
              <w:right w:val="single" w:sz="16" w:space="0" w:color="000000"/>
            </w:tcBorders>
            <w:shd w:val="clear" w:color="auto" w:fill="FFFFFF"/>
            <w:vAlign w:val="center"/>
          </w:tcPr>
          <w:p w14:paraId="613328D1"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0.376</w:t>
            </w:r>
            <w:r w:rsidRPr="00757181">
              <w:rPr>
                <w:rFonts w:ascii="Times New Roman" w:hAnsi="Times New Roman" w:cs="Times New Roman"/>
                <w:sz w:val="28"/>
                <w:szCs w:val="28"/>
                <w:vertAlign w:val="superscript"/>
              </w:rPr>
              <w:t>**</w:t>
            </w:r>
          </w:p>
        </w:tc>
      </w:tr>
      <w:tr w:rsidR="007D3F25" w:rsidRPr="00757181" w14:paraId="2FA07724" w14:textId="77777777" w:rsidTr="00330D39">
        <w:trPr>
          <w:cantSplit/>
        </w:trPr>
        <w:tc>
          <w:tcPr>
            <w:tcW w:w="1961" w:type="dxa"/>
            <w:vMerge/>
            <w:tcBorders>
              <w:top w:val="single" w:sz="16" w:space="0" w:color="000000"/>
              <w:left w:val="single" w:sz="16" w:space="0" w:color="000000"/>
              <w:right w:val="nil"/>
            </w:tcBorders>
            <w:shd w:val="clear" w:color="auto" w:fill="FFFFFF"/>
          </w:tcPr>
          <w:p w14:paraId="7A6088CC"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bottom w:val="nil"/>
              <w:right w:val="single" w:sz="16" w:space="0" w:color="000000"/>
            </w:tcBorders>
            <w:shd w:val="clear" w:color="auto" w:fill="FFFFFF"/>
          </w:tcPr>
          <w:p w14:paraId="646CF5F7"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p - value</w:t>
            </w:r>
          </w:p>
        </w:tc>
        <w:tc>
          <w:tcPr>
            <w:tcW w:w="1170" w:type="dxa"/>
            <w:tcBorders>
              <w:top w:val="nil"/>
              <w:left w:val="single" w:sz="16" w:space="0" w:color="000000"/>
              <w:bottom w:val="nil"/>
            </w:tcBorders>
            <w:shd w:val="clear" w:color="auto" w:fill="FFFFFF"/>
            <w:vAlign w:val="center"/>
          </w:tcPr>
          <w:p w14:paraId="4324FF3D"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170" w:type="dxa"/>
            <w:tcBorders>
              <w:top w:val="nil"/>
              <w:bottom w:val="nil"/>
            </w:tcBorders>
            <w:shd w:val="clear" w:color="auto" w:fill="FFFFFF"/>
            <w:vAlign w:val="center"/>
          </w:tcPr>
          <w:p w14:paraId="7D60A052"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c>
          <w:tcPr>
            <w:tcW w:w="1170" w:type="dxa"/>
            <w:tcBorders>
              <w:top w:val="nil"/>
              <w:bottom w:val="nil"/>
            </w:tcBorders>
            <w:shd w:val="clear" w:color="auto" w:fill="FFFFFF"/>
            <w:vAlign w:val="center"/>
          </w:tcPr>
          <w:p w14:paraId="7EF36FD5"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0.001</w:t>
            </w:r>
          </w:p>
        </w:tc>
        <w:tc>
          <w:tcPr>
            <w:tcW w:w="1260" w:type="dxa"/>
            <w:tcBorders>
              <w:top w:val="nil"/>
              <w:bottom w:val="nil"/>
            </w:tcBorders>
            <w:shd w:val="clear" w:color="auto" w:fill="FFFFFF"/>
            <w:vAlign w:val="center"/>
          </w:tcPr>
          <w:p w14:paraId="5C163CEE"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0.004</w:t>
            </w:r>
          </w:p>
        </w:tc>
        <w:tc>
          <w:tcPr>
            <w:tcW w:w="1350" w:type="dxa"/>
            <w:tcBorders>
              <w:top w:val="nil"/>
              <w:bottom w:val="nil"/>
              <w:right w:val="single" w:sz="16" w:space="0" w:color="000000"/>
            </w:tcBorders>
            <w:shd w:val="clear" w:color="auto" w:fill="FFFFFF"/>
            <w:vAlign w:val="center"/>
          </w:tcPr>
          <w:p w14:paraId="5C2C6EB8"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r>
      <w:tr w:rsidR="007D3F25" w:rsidRPr="00757181" w14:paraId="301A4B08" w14:textId="77777777" w:rsidTr="00330D39">
        <w:trPr>
          <w:cantSplit/>
        </w:trPr>
        <w:tc>
          <w:tcPr>
            <w:tcW w:w="1961" w:type="dxa"/>
            <w:vMerge/>
            <w:tcBorders>
              <w:top w:val="single" w:sz="16" w:space="0" w:color="000000"/>
              <w:left w:val="single" w:sz="16" w:space="0" w:color="000000"/>
              <w:right w:val="nil"/>
            </w:tcBorders>
            <w:shd w:val="clear" w:color="auto" w:fill="FFFFFF"/>
          </w:tcPr>
          <w:p w14:paraId="3A0761F1"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right w:val="single" w:sz="16" w:space="0" w:color="000000"/>
            </w:tcBorders>
            <w:shd w:val="clear" w:color="auto" w:fill="FFFFFF"/>
          </w:tcPr>
          <w:p w14:paraId="4845276D"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N</w:t>
            </w:r>
          </w:p>
        </w:tc>
        <w:tc>
          <w:tcPr>
            <w:tcW w:w="1170" w:type="dxa"/>
            <w:tcBorders>
              <w:top w:val="nil"/>
              <w:left w:val="single" w:sz="16" w:space="0" w:color="000000"/>
            </w:tcBorders>
            <w:shd w:val="clear" w:color="auto" w:fill="FFFFFF"/>
            <w:vAlign w:val="center"/>
          </w:tcPr>
          <w:p w14:paraId="20066860"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170" w:type="dxa"/>
            <w:tcBorders>
              <w:top w:val="nil"/>
            </w:tcBorders>
            <w:shd w:val="clear" w:color="auto" w:fill="FFFFFF"/>
            <w:vAlign w:val="center"/>
          </w:tcPr>
          <w:p w14:paraId="30DEF44E"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170" w:type="dxa"/>
            <w:tcBorders>
              <w:top w:val="nil"/>
            </w:tcBorders>
            <w:shd w:val="clear" w:color="auto" w:fill="FFFFFF"/>
            <w:vAlign w:val="center"/>
          </w:tcPr>
          <w:p w14:paraId="744F2E79"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260" w:type="dxa"/>
            <w:tcBorders>
              <w:top w:val="nil"/>
            </w:tcBorders>
            <w:shd w:val="clear" w:color="auto" w:fill="FFFFFF"/>
            <w:vAlign w:val="center"/>
          </w:tcPr>
          <w:p w14:paraId="1CB6C581"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350" w:type="dxa"/>
            <w:tcBorders>
              <w:top w:val="nil"/>
              <w:right w:val="single" w:sz="16" w:space="0" w:color="000000"/>
            </w:tcBorders>
            <w:shd w:val="clear" w:color="auto" w:fill="FFFFFF"/>
            <w:vAlign w:val="center"/>
          </w:tcPr>
          <w:p w14:paraId="2AC3AEEC"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r>
      <w:tr w:rsidR="007D3F25" w:rsidRPr="00757181" w14:paraId="00EEE514" w14:textId="77777777" w:rsidTr="00330D39">
        <w:trPr>
          <w:cantSplit/>
        </w:trPr>
        <w:tc>
          <w:tcPr>
            <w:tcW w:w="1961" w:type="dxa"/>
            <w:vMerge w:val="restart"/>
            <w:tcBorders>
              <w:top w:val="nil"/>
              <w:left w:val="single" w:sz="16" w:space="0" w:color="000000"/>
              <w:right w:val="nil"/>
            </w:tcBorders>
            <w:shd w:val="clear" w:color="auto" w:fill="FFFFFF"/>
          </w:tcPr>
          <w:p w14:paraId="7BBD4DB1" w14:textId="77777777" w:rsidR="00F862A1" w:rsidRPr="00757181"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57181">
              <w:rPr>
                <w:rFonts w:ascii="Times New Roman" w:hAnsi="Times New Roman" w:cs="Times New Roman"/>
                <w:sz w:val="28"/>
                <w:szCs w:val="28"/>
              </w:rPr>
              <w:t>SBP</w:t>
            </w:r>
          </w:p>
        </w:tc>
        <w:tc>
          <w:tcPr>
            <w:tcW w:w="1099" w:type="dxa"/>
            <w:tcBorders>
              <w:top w:val="nil"/>
              <w:left w:val="nil"/>
              <w:bottom w:val="nil"/>
              <w:right w:val="single" w:sz="16" w:space="0" w:color="000000"/>
            </w:tcBorders>
            <w:shd w:val="clear" w:color="auto" w:fill="FFFFFF"/>
          </w:tcPr>
          <w:p w14:paraId="285A6CB3"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r- value</w:t>
            </w:r>
          </w:p>
        </w:tc>
        <w:tc>
          <w:tcPr>
            <w:tcW w:w="1170" w:type="dxa"/>
            <w:tcBorders>
              <w:top w:val="nil"/>
              <w:left w:val="single" w:sz="16" w:space="0" w:color="000000"/>
              <w:bottom w:val="nil"/>
            </w:tcBorders>
            <w:shd w:val="clear" w:color="auto" w:fill="FFFFFF"/>
            <w:vAlign w:val="center"/>
          </w:tcPr>
          <w:p w14:paraId="3008C9FF"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0.633</w:t>
            </w:r>
            <w:r w:rsidRPr="00757181">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5C3A139A"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w:t>
            </w:r>
          </w:p>
        </w:tc>
        <w:tc>
          <w:tcPr>
            <w:tcW w:w="1170" w:type="dxa"/>
            <w:tcBorders>
              <w:top w:val="nil"/>
              <w:bottom w:val="nil"/>
            </w:tcBorders>
            <w:shd w:val="clear" w:color="auto" w:fill="FFFFFF"/>
            <w:vAlign w:val="center"/>
          </w:tcPr>
          <w:p w14:paraId="3B0EDE3A"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0.625</w:t>
            </w:r>
            <w:r w:rsidRPr="00757181">
              <w:rPr>
                <w:rFonts w:ascii="Times New Roman" w:hAnsi="Times New Roman" w:cs="Times New Roman"/>
                <w:sz w:val="28"/>
                <w:szCs w:val="28"/>
                <w:vertAlign w:val="superscript"/>
              </w:rPr>
              <w:t>**</w:t>
            </w:r>
          </w:p>
        </w:tc>
        <w:tc>
          <w:tcPr>
            <w:tcW w:w="1260" w:type="dxa"/>
            <w:tcBorders>
              <w:top w:val="nil"/>
              <w:bottom w:val="nil"/>
            </w:tcBorders>
            <w:shd w:val="clear" w:color="auto" w:fill="FFFFFF"/>
            <w:vAlign w:val="center"/>
          </w:tcPr>
          <w:p w14:paraId="44702465"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0.504</w:t>
            </w:r>
            <w:r w:rsidRPr="00757181">
              <w:rPr>
                <w:rFonts w:ascii="Times New Roman" w:hAnsi="Times New Roman" w:cs="Times New Roman"/>
                <w:sz w:val="28"/>
                <w:szCs w:val="28"/>
                <w:vertAlign w:val="superscript"/>
              </w:rPr>
              <w:t>**</w:t>
            </w:r>
          </w:p>
        </w:tc>
        <w:tc>
          <w:tcPr>
            <w:tcW w:w="1350" w:type="dxa"/>
            <w:tcBorders>
              <w:top w:val="nil"/>
              <w:bottom w:val="nil"/>
              <w:right w:val="single" w:sz="16" w:space="0" w:color="000000"/>
            </w:tcBorders>
            <w:shd w:val="clear" w:color="auto" w:fill="FFFFFF"/>
            <w:vAlign w:val="center"/>
          </w:tcPr>
          <w:p w14:paraId="1D3121EB"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0.540</w:t>
            </w:r>
            <w:r w:rsidRPr="00757181">
              <w:rPr>
                <w:rFonts w:ascii="Times New Roman" w:hAnsi="Times New Roman" w:cs="Times New Roman"/>
                <w:sz w:val="28"/>
                <w:szCs w:val="28"/>
                <w:vertAlign w:val="superscript"/>
              </w:rPr>
              <w:t>**</w:t>
            </w:r>
          </w:p>
        </w:tc>
      </w:tr>
      <w:tr w:rsidR="007D3F25" w:rsidRPr="00757181" w14:paraId="390B7210" w14:textId="77777777" w:rsidTr="00330D39">
        <w:trPr>
          <w:cantSplit/>
        </w:trPr>
        <w:tc>
          <w:tcPr>
            <w:tcW w:w="1961" w:type="dxa"/>
            <w:vMerge/>
            <w:tcBorders>
              <w:top w:val="nil"/>
              <w:left w:val="single" w:sz="16" w:space="0" w:color="000000"/>
              <w:right w:val="nil"/>
            </w:tcBorders>
            <w:shd w:val="clear" w:color="auto" w:fill="FFFFFF"/>
          </w:tcPr>
          <w:p w14:paraId="67D6E649"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bottom w:val="nil"/>
              <w:right w:val="single" w:sz="16" w:space="0" w:color="000000"/>
            </w:tcBorders>
            <w:shd w:val="clear" w:color="auto" w:fill="FFFFFF"/>
          </w:tcPr>
          <w:p w14:paraId="3A4D7D4D"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p - value</w:t>
            </w:r>
          </w:p>
        </w:tc>
        <w:tc>
          <w:tcPr>
            <w:tcW w:w="1170" w:type="dxa"/>
            <w:tcBorders>
              <w:top w:val="nil"/>
              <w:left w:val="single" w:sz="16" w:space="0" w:color="000000"/>
              <w:bottom w:val="nil"/>
            </w:tcBorders>
            <w:shd w:val="clear" w:color="auto" w:fill="FFFFFF"/>
            <w:vAlign w:val="center"/>
          </w:tcPr>
          <w:p w14:paraId="49CCBECD"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c>
          <w:tcPr>
            <w:tcW w:w="1170" w:type="dxa"/>
            <w:tcBorders>
              <w:top w:val="nil"/>
              <w:bottom w:val="nil"/>
            </w:tcBorders>
            <w:shd w:val="clear" w:color="auto" w:fill="FFFFFF"/>
            <w:vAlign w:val="center"/>
          </w:tcPr>
          <w:p w14:paraId="4EC0916B"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170" w:type="dxa"/>
            <w:tcBorders>
              <w:top w:val="nil"/>
              <w:bottom w:val="nil"/>
            </w:tcBorders>
            <w:shd w:val="clear" w:color="auto" w:fill="FFFFFF"/>
            <w:vAlign w:val="center"/>
          </w:tcPr>
          <w:p w14:paraId="4C9792A2"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c>
          <w:tcPr>
            <w:tcW w:w="1260" w:type="dxa"/>
            <w:tcBorders>
              <w:top w:val="nil"/>
              <w:bottom w:val="nil"/>
            </w:tcBorders>
            <w:shd w:val="clear" w:color="auto" w:fill="FFFFFF"/>
            <w:vAlign w:val="center"/>
          </w:tcPr>
          <w:p w14:paraId="6DE125BE"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c>
          <w:tcPr>
            <w:tcW w:w="1350" w:type="dxa"/>
            <w:tcBorders>
              <w:top w:val="nil"/>
              <w:bottom w:val="nil"/>
              <w:right w:val="single" w:sz="16" w:space="0" w:color="000000"/>
            </w:tcBorders>
            <w:shd w:val="clear" w:color="auto" w:fill="FFFFFF"/>
            <w:vAlign w:val="center"/>
          </w:tcPr>
          <w:p w14:paraId="7171E281"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r>
      <w:tr w:rsidR="007D3F25" w:rsidRPr="00757181" w14:paraId="400F6252" w14:textId="77777777" w:rsidTr="00330D39">
        <w:trPr>
          <w:cantSplit/>
        </w:trPr>
        <w:tc>
          <w:tcPr>
            <w:tcW w:w="1961" w:type="dxa"/>
            <w:vMerge/>
            <w:tcBorders>
              <w:top w:val="nil"/>
              <w:left w:val="single" w:sz="16" w:space="0" w:color="000000"/>
              <w:right w:val="nil"/>
            </w:tcBorders>
            <w:shd w:val="clear" w:color="auto" w:fill="FFFFFF"/>
          </w:tcPr>
          <w:p w14:paraId="0723ABC1"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right w:val="single" w:sz="16" w:space="0" w:color="000000"/>
            </w:tcBorders>
            <w:shd w:val="clear" w:color="auto" w:fill="FFFFFF"/>
          </w:tcPr>
          <w:p w14:paraId="7E80B9B7"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N</w:t>
            </w:r>
          </w:p>
        </w:tc>
        <w:tc>
          <w:tcPr>
            <w:tcW w:w="1170" w:type="dxa"/>
            <w:tcBorders>
              <w:top w:val="nil"/>
              <w:left w:val="single" w:sz="16" w:space="0" w:color="000000"/>
            </w:tcBorders>
            <w:shd w:val="clear" w:color="auto" w:fill="FFFFFF"/>
            <w:vAlign w:val="center"/>
          </w:tcPr>
          <w:p w14:paraId="2B61A0EF"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170" w:type="dxa"/>
            <w:tcBorders>
              <w:top w:val="nil"/>
            </w:tcBorders>
            <w:shd w:val="clear" w:color="auto" w:fill="FFFFFF"/>
            <w:vAlign w:val="center"/>
          </w:tcPr>
          <w:p w14:paraId="5B67C99D"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170" w:type="dxa"/>
            <w:tcBorders>
              <w:top w:val="nil"/>
            </w:tcBorders>
            <w:shd w:val="clear" w:color="auto" w:fill="FFFFFF"/>
            <w:vAlign w:val="center"/>
          </w:tcPr>
          <w:p w14:paraId="37AE6F3E"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260" w:type="dxa"/>
            <w:tcBorders>
              <w:top w:val="nil"/>
            </w:tcBorders>
            <w:shd w:val="clear" w:color="auto" w:fill="FFFFFF"/>
            <w:vAlign w:val="center"/>
          </w:tcPr>
          <w:p w14:paraId="39EE63E2"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350" w:type="dxa"/>
            <w:tcBorders>
              <w:top w:val="nil"/>
              <w:right w:val="single" w:sz="16" w:space="0" w:color="000000"/>
            </w:tcBorders>
            <w:shd w:val="clear" w:color="auto" w:fill="FFFFFF"/>
            <w:vAlign w:val="center"/>
          </w:tcPr>
          <w:p w14:paraId="097A9E16"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r>
      <w:tr w:rsidR="007D3F25" w:rsidRPr="00757181" w14:paraId="1212D020" w14:textId="77777777" w:rsidTr="00330D39">
        <w:trPr>
          <w:cantSplit/>
        </w:trPr>
        <w:tc>
          <w:tcPr>
            <w:tcW w:w="1961" w:type="dxa"/>
            <w:vMerge w:val="restart"/>
            <w:tcBorders>
              <w:top w:val="nil"/>
              <w:left w:val="single" w:sz="16" w:space="0" w:color="000000"/>
              <w:right w:val="nil"/>
            </w:tcBorders>
            <w:shd w:val="clear" w:color="auto" w:fill="FFFFFF"/>
          </w:tcPr>
          <w:p w14:paraId="293BC3B3" w14:textId="77777777" w:rsidR="00F862A1" w:rsidRPr="00757181"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57181">
              <w:rPr>
                <w:rFonts w:ascii="Times New Roman" w:hAnsi="Times New Roman" w:cs="Times New Roman"/>
                <w:sz w:val="28"/>
                <w:szCs w:val="28"/>
              </w:rPr>
              <w:t>DBP</w:t>
            </w:r>
          </w:p>
        </w:tc>
        <w:tc>
          <w:tcPr>
            <w:tcW w:w="1099" w:type="dxa"/>
            <w:tcBorders>
              <w:top w:val="nil"/>
              <w:left w:val="nil"/>
              <w:bottom w:val="nil"/>
              <w:right w:val="single" w:sz="16" w:space="0" w:color="000000"/>
            </w:tcBorders>
            <w:shd w:val="clear" w:color="auto" w:fill="FFFFFF"/>
          </w:tcPr>
          <w:p w14:paraId="74CF70AF"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r- value</w:t>
            </w:r>
          </w:p>
        </w:tc>
        <w:tc>
          <w:tcPr>
            <w:tcW w:w="1170" w:type="dxa"/>
            <w:tcBorders>
              <w:top w:val="nil"/>
              <w:left w:val="single" w:sz="16" w:space="0" w:color="000000"/>
              <w:bottom w:val="nil"/>
            </w:tcBorders>
            <w:shd w:val="clear" w:color="auto" w:fill="FFFFFF"/>
            <w:vAlign w:val="center"/>
          </w:tcPr>
          <w:p w14:paraId="5522CE6D"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0.332</w:t>
            </w:r>
            <w:r w:rsidRPr="00757181">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33561852"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0.625</w:t>
            </w:r>
            <w:r w:rsidRPr="00757181">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08EFCAC6"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w:t>
            </w:r>
          </w:p>
        </w:tc>
        <w:tc>
          <w:tcPr>
            <w:tcW w:w="1260" w:type="dxa"/>
            <w:tcBorders>
              <w:top w:val="nil"/>
              <w:bottom w:val="nil"/>
            </w:tcBorders>
            <w:shd w:val="clear" w:color="auto" w:fill="FFFFFF"/>
            <w:vAlign w:val="center"/>
          </w:tcPr>
          <w:p w14:paraId="7242BE41"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0.380</w:t>
            </w:r>
            <w:r w:rsidRPr="00757181">
              <w:rPr>
                <w:rFonts w:ascii="Times New Roman" w:hAnsi="Times New Roman" w:cs="Times New Roman"/>
                <w:sz w:val="28"/>
                <w:szCs w:val="28"/>
                <w:vertAlign w:val="superscript"/>
              </w:rPr>
              <w:t>**</w:t>
            </w:r>
          </w:p>
        </w:tc>
        <w:tc>
          <w:tcPr>
            <w:tcW w:w="1350" w:type="dxa"/>
            <w:tcBorders>
              <w:top w:val="nil"/>
              <w:bottom w:val="nil"/>
              <w:right w:val="single" w:sz="16" w:space="0" w:color="000000"/>
            </w:tcBorders>
            <w:shd w:val="clear" w:color="auto" w:fill="FFFFFF"/>
            <w:vAlign w:val="center"/>
          </w:tcPr>
          <w:p w14:paraId="0589C9E3"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0.400</w:t>
            </w:r>
            <w:r w:rsidRPr="00757181">
              <w:rPr>
                <w:rFonts w:ascii="Times New Roman" w:hAnsi="Times New Roman" w:cs="Times New Roman"/>
                <w:sz w:val="28"/>
                <w:szCs w:val="28"/>
                <w:vertAlign w:val="superscript"/>
              </w:rPr>
              <w:t>**</w:t>
            </w:r>
          </w:p>
        </w:tc>
      </w:tr>
      <w:tr w:rsidR="007D3F25" w:rsidRPr="00757181" w14:paraId="1F53FF38" w14:textId="77777777" w:rsidTr="00330D39">
        <w:trPr>
          <w:cantSplit/>
        </w:trPr>
        <w:tc>
          <w:tcPr>
            <w:tcW w:w="1961" w:type="dxa"/>
            <w:vMerge/>
            <w:tcBorders>
              <w:top w:val="nil"/>
              <w:left w:val="single" w:sz="16" w:space="0" w:color="000000"/>
              <w:right w:val="nil"/>
            </w:tcBorders>
            <w:shd w:val="clear" w:color="auto" w:fill="FFFFFF"/>
          </w:tcPr>
          <w:p w14:paraId="76C71A1D"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bottom w:val="nil"/>
              <w:right w:val="single" w:sz="16" w:space="0" w:color="000000"/>
            </w:tcBorders>
            <w:shd w:val="clear" w:color="auto" w:fill="FFFFFF"/>
          </w:tcPr>
          <w:p w14:paraId="4F41B71B"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p - value</w:t>
            </w:r>
          </w:p>
        </w:tc>
        <w:tc>
          <w:tcPr>
            <w:tcW w:w="1170" w:type="dxa"/>
            <w:tcBorders>
              <w:top w:val="nil"/>
              <w:left w:val="single" w:sz="16" w:space="0" w:color="000000"/>
              <w:bottom w:val="nil"/>
            </w:tcBorders>
            <w:shd w:val="clear" w:color="auto" w:fill="FFFFFF"/>
            <w:vAlign w:val="center"/>
          </w:tcPr>
          <w:p w14:paraId="271A684B"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0.001</w:t>
            </w:r>
          </w:p>
        </w:tc>
        <w:tc>
          <w:tcPr>
            <w:tcW w:w="1170" w:type="dxa"/>
            <w:tcBorders>
              <w:top w:val="nil"/>
              <w:bottom w:val="nil"/>
            </w:tcBorders>
            <w:shd w:val="clear" w:color="auto" w:fill="FFFFFF"/>
            <w:vAlign w:val="center"/>
          </w:tcPr>
          <w:p w14:paraId="3B1FC4C9"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c>
          <w:tcPr>
            <w:tcW w:w="1170" w:type="dxa"/>
            <w:tcBorders>
              <w:top w:val="nil"/>
              <w:bottom w:val="nil"/>
            </w:tcBorders>
            <w:shd w:val="clear" w:color="auto" w:fill="FFFFFF"/>
            <w:vAlign w:val="center"/>
          </w:tcPr>
          <w:p w14:paraId="4CCD2E0F"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260" w:type="dxa"/>
            <w:tcBorders>
              <w:top w:val="nil"/>
              <w:bottom w:val="nil"/>
            </w:tcBorders>
            <w:shd w:val="clear" w:color="auto" w:fill="FFFFFF"/>
            <w:vAlign w:val="center"/>
          </w:tcPr>
          <w:p w14:paraId="766CC386"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c>
          <w:tcPr>
            <w:tcW w:w="1350" w:type="dxa"/>
            <w:tcBorders>
              <w:top w:val="nil"/>
              <w:bottom w:val="nil"/>
              <w:right w:val="single" w:sz="16" w:space="0" w:color="000000"/>
            </w:tcBorders>
            <w:shd w:val="clear" w:color="auto" w:fill="FFFFFF"/>
            <w:vAlign w:val="center"/>
          </w:tcPr>
          <w:p w14:paraId="4595CFDC"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r>
      <w:tr w:rsidR="007D3F25" w:rsidRPr="00757181" w14:paraId="0EDDF84D" w14:textId="77777777" w:rsidTr="00330D39">
        <w:trPr>
          <w:cantSplit/>
        </w:trPr>
        <w:tc>
          <w:tcPr>
            <w:tcW w:w="1961" w:type="dxa"/>
            <w:vMerge/>
            <w:tcBorders>
              <w:top w:val="nil"/>
              <w:left w:val="single" w:sz="16" w:space="0" w:color="000000"/>
              <w:right w:val="nil"/>
            </w:tcBorders>
            <w:shd w:val="clear" w:color="auto" w:fill="FFFFFF"/>
          </w:tcPr>
          <w:p w14:paraId="7472C814"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right w:val="single" w:sz="16" w:space="0" w:color="000000"/>
            </w:tcBorders>
            <w:shd w:val="clear" w:color="auto" w:fill="FFFFFF"/>
          </w:tcPr>
          <w:p w14:paraId="7272A511"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N</w:t>
            </w:r>
          </w:p>
        </w:tc>
        <w:tc>
          <w:tcPr>
            <w:tcW w:w="1170" w:type="dxa"/>
            <w:tcBorders>
              <w:top w:val="nil"/>
              <w:left w:val="single" w:sz="16" w:space="0" w:color="000000"/>
            </w:tcBorders>
            <w:shd w:val="clear" w:color="auto" w:fill="FFFFFF"/>
            <w:vAlign w:val="center"/>
          </w:tcPr>
          <w:p w14:paraId="33337C7B"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170" w:type="dxa"/>
            <w:tcBorders>
              <w:top w:val="nil"/>
            </w:tcBorders>
            <w:shd w:val="clear" w:color="auto" w:fill="FFFFFF"/>
            <w:vAlign w:val="center"/>
          </w:tcPr>
          <w:p w14:paraId="593B4589"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170" w:type="dxa"/>
            <w:tcBorders>
              <w:top w:val="nil"/>
            </w:tcBorders>
            <w:shd w:val="clear" w:color="auto" w:fill="FFFFFF"/>
            <w:vAlign w:val="center"/>
          </w:tcPr>
          <w:p w14:paraId="51E78437"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260" w:type="dxa"/>
            <w:tcBorders>
              <w:top w:val="nil"/>
            </w:tcBorders>
            <w:shd w:val="clear" w:color="auto" w:fill="FFFFFF"/>
            <w:vAlign w:val="center"/>
          </w:tcPr>
          <w:p w14:paraId="39C81DF4"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350" w:type="dxa"/>
            <w:tcBorders>
              <w:top w:val="nil"/>
              <w:right w:val="single" w:sz="16" w:space="0" w:color="000000"/>
            </w:tcBorders>
            <w:shd w:val="clear" w:color="auto" w:fill="FFFFFF"/>
            <w:vAlign w:val="center"/>
          </w:tcPr>
          <w:p w14:paraId="4D31E9AA"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r>
      <w:tr w:rsidR="007D3F25" w:rsidRPr="00757181" w14:paraId="6C88E05C" w14:textId="77777777" w:rsidTr="00330D39">
        <w:trPr>
          <w:cantSplit/>
        </w:trPr>
        <w:tc>
          <w:tcPr>
            <w:tcW w:w="1961" w:type="dxa"/>
            <w:vMerge w:val="restart"/>
            <w:tcBorders>
              <w:top w:val="nil"/>
              <w:left w:val="single" w:sz="16" w:space="0" w:color="000000"/>
              <w:right w:val="nil"/>
            </w:tcBorders>
            <w:shd w:val="clear" w:color="auto" w:fill="FFFFFF"/>
          </w:tcPr>
          <w:p w14:paraId="748B57C5" w14:textId="77777777" w:rsidR="00F862A1" w:rsidRPr="00757181"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57181">
              <w:rPr>
                <w:rFonts w:ascii="Times New Roman" w:hAnsi="Times New Roman" w:cs="Times New Roman"/>
                <w:sz w:val="28"/>
                <w:szCs w:val="28"/>
              </w:rPr>
              <w:t>BMI</w:t>
            </w:r>
          </w:p>
        </w:tc>
        <w:tc>
          <w:tcPr>
            <w:tcW w:w="1099" w:type="dxa"/>
            <w:tcBorders>
              <w:top w:val="nil"/>
              <w:left w:val="nil"/>
              <w:bottom w:val="nil"/>
              <w:right w:val="single" w:sz="16" w:space="0" w:color="000000"/>
            </w:tcBorders>
            <w:shd w:val="clear" w:color="auto" w:fill="FFFFFF"/>
          </w:tcPr>
          <w:p w14:paraId="20B30A71"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r- value</w:t>
            </w:r>
          </w:p>
        </w:tc>
        <w:tc>
          <w:tcPr>
            <w:tcW w:w="1170" w:type="dxa"/>
            <w:tcBorders>
              <w:top w:val="nil"/>
              <w:left w:val="single" w:sz="16" w:space="0" w:color="000000"/>
              <w:bottom w:val="nil"/>
            </w:tcBorders>
            <w:shd w:val="clear" w:color="auto" w:fill="FFFFFF"/>
            <w:vAlign w:val="center"/>
          </w:tcPr>
          <w:p w14:paraId="0FA45DDB"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0.286</w:t>
            </w:r>
            <w:r w:rsidRPr="00757181">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2FB15501"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0.504</w:t>
            </w:r>
            <w:r w:rsidRPr="00757181">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4116D4EA"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0.380</w:t>
            </w:r>
            <w:r w:rsidRPr="00757181">
              <w:rPr>
                <w:rFonts w:ascii="Times New Roman" w:hAnsi="Times New Roman" w:cs="Times New Roman"/>
                <w:sz w:val="28"/>
                <w:szCs w:val="28"/>
                <w:vertAlign w:val="superscript"/>
              </w:rPr>
              <w:t>**</w:t>
            </w:r>
          </w:p>
        </w:tc>
        <w:tc>
          <w:tcPr>
            <w:tcW w:w="1260" w:type="dxa"/>
            <w:tcBorders>
              <w:top w:val="nil"/>
              <w:bottom w:val="nil"/>
            </w:tcBorders>
            <w:shd w:val="clear" w:color="auto" w:fill="FFFFFF"/>
            <w:vAlign w:val="center"/>
          </w:tcPr>
          <w:p w14:paraId="23F2EEC6"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w:t>
            </w:r>
          </w:p>
        </w:tc>
        <w:tc>
          <w:tcPr>
            <w:tcW w:w="1350" w:type="dxa"/>
            <w:tcBorders>
              <w:top w:val="nil"/>
              <w:bottom w:val="nil"/>
              <w:right w:val="single" w:sz="16" w:space="0" w:color="000000"/>
            </w:tcBorders>
            <w:shd w:val="clear" w:color="auto" w:fill="FFFFFF"/>
            <w:vAlign w:val="center"/>
          </w:tcPr>
          <w:p w14:paraId="39BEECA2"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0.894</w:t>
            </w:r>
            <w:r w:rsidRPr="00757181">
              <w:rPr>
                <w:rFonts w:ascii="Times New Roman" w:hAnsi="Times New Roman" w:cs="Times New Roman"/>
                <w:sz w:val="28"/>
                <w:szCs w:val="28"/>
                <w:vertAlign w:val="superscript"/>
              </w:rPr>
              <w:t>**</w:t>
            </w:r>
          </w:p>
        </w:tc>
      </w:tr>
      <w:tr w:rsidR="007D3F25" w:rsidRPr="00757181" w14:paraId="77B8A3FC" w14:textId="77777777" w:rsidTr="00330D39">
        <w:trPr>
          <w:cantSplit/>
        </w:trPr>
        <w:tc>
          <w:tcPr>
            <w:tcW w:w="1961" w:type="dxa"/>
            <w:vMerge/>
            <w:tcBorders>
              <w:top w:val="nil"/>
              <w:left w:val="single" w:sz="16" w:space="0" w:color="000000"/>
              <w:right w:val="nil"/>
            </w:tcBorders>
            <w:shd w:val="clear" w:color="auto" w:fill="FFFFFF"/>
          </w:tcPr>
          <w:p w14:paraId="5A141DA2"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bottom w:val="nil"/>
              <w:right w:val="single" w:sz="16" w:space="0" w:color="000000"/>
            </w:tcBorders>
            <w:shd w:val="clear" w:color="auto" w:fill="FFFFFF"/>
          </w:tcPr>
          <w:p w14:paraId="50C1C590"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p - value</w:t>
            </w:r>
          </w:p>
        </w:tc>
        <w:tc>
          <w:tcPr>
            <w:tcW w:w="1170" w:type="dxa"/>
            <w:tcBorders>
              <w:top w:val="nil"/>
              <w:left w:val="single" w:sz="16" w:space="0" w:color="000000"/>
              <w:bottom w:val="nil"/>
            </w:tcBorders>
            <w:shd w:val="clear" w:color="auto" w:fill="FFFFFF"/>
            <w:vAlign w:val="center"/>
          </w:tcPr>
          <w:p w14:paraId="34C50CDD"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0.004</w:t>
            </w:r>
          </w:p>
        </w:tc>
        <w:tc>
          <w:tcPr>
            <w:tcW w:w="1170" w:type="dxa"/>
            <w:tcBorders>
              <w:top w:val="nil"/>
              <w:bottom w:val="nil"/>
            </w:tcBorders>
            <w:shd w:val="clear" w:color="auto" w:fill="FFFFFF"/>
            <w:vAlign w:val="center"/>
          </w:tcPr>
          <w:p w14:paraId="068B552D"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c>
          <w:tcPr>
            <w:tcW w:w="1170" w:type="dxa"/>
            <w:tcBorders>
              <w:top w:val="nil"/>
              <w:bottom w:val="nil"/>
            </w:tcBorders>
            <w:shd w:val="clear" w:color="auto" w:fill="FFFFFF"/>
            <w:vAlign w:val="center"/>
          </w:tcPr>
          <w:p w14:paraId="2A4F5F7D"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c>
          <w:tcPr>
            <w:tcW w:w="1260" w:type="dxa"/>
            <w:tcBorders>
              <w:top w:val="nil"/>
              <w:bottom w:val="nil"/>
            </w:tcBorders>
            <w:shd w:val="clear" w:color="auto" w:fill="FFFFFF"/>
            <w:vAlign w:val="center"/>
          </w:tcPr>
          <w:p w14:paraId="420F0478"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350" w:type="dxa"/>
            <w:tcBorders>
              <w:top w:val="nil"/>
              <w:bottom w:val="nil"/>
              <w:right w:val="single" w:sz="16" w:space="0" w:color="000000"/>
            </w:tcBorders>
            <w:shd w:val="clear" w:color="auto" w:fill="FFFFFF"/>
            <w:vAlign w:val="center"/>
          </w:tcPr>
          <w:p w14:paraId="552B4310"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r>
      <w:tr w:rsidR="007D3F25" w:rsidRPr="00757181" w14:paraId="7EA6C249" w14:textId="77777777" w:rsidTr="00330D39">
        <w:trPr>
          <w:cantSplit/>
        </w:trPr>
        <w:tc>
          <w:tcPr>
            <w:tcW w:w="1961" w:type="dxa"/>
            <w:vMerge/>
            <w:tcBorders>
              <w:top w:val="nil"/>
              <w:left w:val="single" w:sz="16" w:space="0" w:color="000000"/>
              <w:right w:val="nil"/>
            </w:tcBorders>
            <w:shd w:val="clear" w:color="auto" w:fill="FFFFFF"/>
          </w:tcPr>
          <w:p w14:paraId="0177FF53"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right w:val="single" w:sz="16" w:space="0" w:color="000000"/>
            </w:tcBorders>
            <w:shd w:val="clear" w:color="auto" w:fill="FFFFFF"/>
          </w:tcPr>
          <w:p w14:paraId="738AC188"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N</w:t>
            </w:r>
          </w:p>
        </w:tc>
        <w:tc>
          <w:tcPr>
            <w:tcW w:w="1170" w:type="dxa"/>
            <w:tcBorders>
              <w:top w:val="nil"/>
              <w:left w:val="single" w:sz="16" w:space="0" w:color="000000"/>
            </w:tcBorders>
            <w:shd w:val="clear" w:color="auto" w:fill="FFFFFF"/>
            <w:vAlign w:val="center"/>
          </w:tcPr>
          <w:p w14:paraId="2D2F68F5"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170" w:type="dxa"/>
            <w:tcBorders>
              <w:top w:val="nil"/>
            </w:tcBorders>
            <w:shd w:val="clear" w:color="auto" w:fill="FFFFFF"/>
            <w:vAlign w:val="center"/>
          </w:tcPr>
          <w:p w14:paraId="0EDA4943"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170" w:type="dxa"/>
            <w:tcBorders>
              <w:top w:val="nil"/>
            </w:tcBorders>
            <w:shd w:val="clear" w:color="auto" w:fill="FFFFFF"/>
            <w:vAlign w:val="center"/>
          </w:tcPr>
          <w:p w14:paraId="6739430A"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260" w:type="dxa"/>
            <w:tcBorders>
              <w:top w:val="nil"/>
            </w:tcBorders>
            <w:shd w:val="clear" w:color="auto" w:fill="FFFFFF"/>
            <w:vAlign w:val="center"/>
          </w:tcPr>
          <w:p w14:paraId="1ACDBD36"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350" w:type="dxa"/>
            <w:tcBorders>
              <w:top w:val="nil"/>
              <w:right w:val="single" w:sz="16" w:space="0" w:color="000000"/>
            </w:tcBorders>
            <w:shd w:val="clear" w:color="auto" w:fill="FFFFFF"/>
            <w:vAlign w:val="center"/>
          </w:tcPr>
          <w:p w14:paraId="61E08DA4"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r>
      <w:tr w:rsidR="007D3F25" w:rsidRPr="00757181" w14:paraId="61EA8A06" w14:textId="77777777" w:rsidTr="00330D39">
        <w:trPr>
          <w:cantSplit/>
        </w:trPr>
        <w:tc>
          <w:tcPr>
            <w:tcW w:w="1961" w:type="dxa"/>
            <w:vMerge w:val="restart"/>
            <w:tcBorders>
              <w:top w:val="nil"/>
              <w:left w:val="single" w:sz="16" w:space="0" w:color="000000"/>
              <w:bottom w:val="single" w:sz="16" w:space="0" w:color="000000"/>
              <w:right w:val="nil"/>
            </w:tcBorders>
            <w:shd w:val="clear" w:color="auto" w:fill="FFFFFF"/>
          </w:tcPr>
          <w:p w14:paraId="5E78786F" w14:textId="77777777" w:rsidR="00F862A1" w:rsidRPr="00757181"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57181">
              <w:rPr>
                <w:rFonts w:ascii="Times New Roman" w:hAnsi="Times New Roman" w:cs="Times New Roman"/>
                <w:sz w:val="28"/>
                <w:szCs w:val="28"/>
              </w:rPr>
              <w:t>WC</w:t>
            </w:r>
          </w:p>
        </w:tc>
        <w:tc>
          <w:tcPr>
            <w:tcW w:w="1099" w:type="dxa"/>
            <w:tcBorders>
              <w:top w:val="nil"/>
              <w:left w:val="nil"/>
              <w:bottom w:val="nil"/>
              <w:right w:val="single" w:sz="16" w:space="0" w:color="000000"/>
            </w:tcBorders>
            <w:shd w:val="clear" w:color="auto" w:fill="FFFFFF"/>
          </w:tcPr>
          <w:p w14:paraId="4EB1155D"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r- value</w:t>
            </w:r>
          </w:p>
        </w:tc>
        <w:tc>
          <w:tcPr>
            <w:tcW w:w="1170" w:type="dxa"/>
            <w:tcBorders>
              <w:top w:val="nil"/>
              <w:left w:val="single" w:sz="16" w:space="0" w:color="000000"/>
              <w:bottom w:val="nil"/>
            </w:tcBorders>
            <w:shd w:val="clear" w:color="auto" w:fill="FFFFFF"/>
            <w:vAlign w:val="center"/>
          </w:tcPr>
          <w:p w14:paraId="7A8D5EDB"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0.376</w:t>
            </w:r>
            <w:r w:rsidRPr="00757181">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1C7D021A"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0.540</w:t>
            </w:r>
            <w:r w:rsidRPr="00757181">
              <w:rPr>
                <w:rFonts w:ascii="Times New Roman" w:hAnsi="Times New Roman" w:cs="Times New Roman"/>
                <w:sz w:val="28"/>
                <w:szCs w:val="28"/>
                <w:vertAlign w:val="superscript"/>
              </w:rPr>
              <w:t>**</w:t>
            </w:r>
          </w:p>
        </w:tc>
        <w:tc>
          <w:tcPr>
            <w:tcW w:w="1170" w:type="dxa"/>
            <w:tcBorders>
              <w:top w:val="nil"/>
              <w:bottom w:val="nil"/>
            </w:tcBorders>
            <w:shd w:val="clear" w:color="auto" w:fill="FFFFFF"/>
            <w:vAlign w:val="center"/>
          </w:tcPr>
          <w:p w14:paraId="02C673BE"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0.400</w:t>
            </w:r>
            <w:r w:rsidRPr="00757181">
              <w:rPr>
                <w:rFonts w:ascii="Times New Roman" w:hAnsi="Times New Roman" w:cs="Times New Roman"/>
                <w:sz w:val="28"/>
                <w:szCs w:val="28"/>
                <w:vertAlign w:val="superscript"/>
              </w:rPr>
              <w:t>**</w:t>
            </w:r>
          </w:p>
        </w:tc>
        <w:tc>
          <w:tcPr>
            <w:tcW w:w="1260" w:type="dxa"/>
            <w:tcBorders>
              <w:top w:val="nil"/>
              <w:bottom w:val="nil"/>
            </w:tcBorders>
            <w:shd w:val="clear" w:color="auto" w:fill="FFFFFF"/>
            <w:vAlign w:val="center"/>
          </w:tcPr>
          <w:p w14:paraId="125300C4"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0.894</w:t>
            </w:r>
            <w:r w:rsidRPr="00757181">
              <w:rPr>
                <w:rFonts w:ascii="Times New Roman" w:hAnsi="Times New Roman" w:cs="Times New Roman"/>
                <w:sz w:val="28"/>
                <w:szCs w:val="28"/>
                <w:vertAlign w:val="superscript"/>
              </w:rPr>
              <w:t>**</w:t>
            </w:r>
          </w:p>
        </w:tc>
        <w:tc>
          <w:tcPr>
            <w:tcW w:w="1350" w:type="dxa"/>
            <w:tcBorders>
              <w:top w:val="nil"/>
              <w:bottom w:val="nil"/>
              <w:right w:val="single" w:sz="16" w:space="0" w:color="000000"/>
            </w:tcBorders>
            <w:shd w:val="clear" w:color="auto" w:fill="FFFFFF"/>
            <w:vAlign w:val="center"/>
          </w:tcPr>
          <w:p w14:paraId="15511049"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w:t>
            </w:r>
          </w:p>
        </w:tc>
      </w:tr>
      <w:tr w:rsidR="007D3F25" w:rsidRPr="00757181" w14:paraId="52BAE2A2" w14:textId="77777777" w:rsidTr="00330D39">
        <w:trPr>
          <w:cantSplit/>
        </w:trPr>
        <w:tc>
          <w:tcPr>
            <w:tcW w:w="1961" w:type="dxa"/>
            <w:vMerge/>
            <w:tcBorders>
              <w:top w:val="nil"/>
              <w:left w:val="single" w:sz="16" w:space="0" w:color="000000"/>
              <w:bottom w:val="single" w:sz="16" w:space="0" w:color="000000"/>
              <w:right w:val="nil"/>
            </w:tcBorders>
            <w:shd w:val="clear" w:color="auto" w:fill="FFFFFF"/>
          </w:tcPr>
          <w:p w14:paraId="7DBDE949"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bottom w:val="nil"/>
              <w:right w:val="single" w:sz="16" w:space="0" w:color="000000"/>
            </w:tcBorders>
            <w:shd w:val="clear" w:color="auto" w:fill="FFFFFF"/>
          </w:tcPr>
          <w:p w14:paraId="79AB7EF1"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p - value</w:t>
            </w:r>
          </w:p>
        </w:tc>
        <w:tc>
          <w:tcPr>
            <w:tcW w:w="1170" w:type="dxa"/>
            <w:tcBorders>
              <w:top w:val="nil"/>
              <w:left w:val="single" w:sz="16" w:space="0" w:color="000000"/>
              <w:bottom w:val="nil"/>
            </w:tcBorders>
            <w:shd w:val="clear" w:color="auto" w:fill="FFFFFF"/>
            <w:vAlign w:val="center"/>
          </w:tcPr>
          <w:p w14:paraId="4331D345"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c>
          <w:tcPr>
            <w:tcW w:w="1170" w:type="dxa"/>
            <w:tcBorders>
              <w:top w:val="nil"/>
              <w:bottom w:val="nil"/>
            </w:tcBorders>
            <w:shd w:val="clear" w:color="auto" w:fill="FFFFFF"/>
            <w:vAlign w:val="center"/>
          </w:tcPr>
          <w:p w14:paraId="6982D14F"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c>
          <w:tcPr>
            <w:tcW w:w="1170" w:type="dxa"/>
            <w:tcBorders>
              <w:top w:val="nil"/>
              <w:bottom w:val="nil"/>
            </w:tcBorders>
            <w:shd w:val="clear" w:color="auto" w:fill="FFFFFF"/>
            <w:vAlign w:val="center"/>
          </w:tcPr>
          <w:p w14:paraId="5AA4BC55"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c>
          <w:tcPr>
            <w:tcW w:w="1260" w:type="dxa"/>
            <w:tcBorders>
              <w:top w:val="nil"/>
              <w:bottom w:val="nil"/>
            </w:tcBorders>
            <w:shd w:val="clear" w:color="auto" w:fill="FFFFFF"/>
            <w:vAlign w:val="center"/>
          </w:tcPr>
          <w:p w14:paraId="7CD9F3A6"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0.000</w:t>
            </w:r>
          </w:p>
        </w:tc>
        <w:tc>
          <w:tcPr>
            <w:tcW w:w="1350" w:type="dxa"/>
            <w:tcBorders>
              <w:top w:val="nil"/>
              <w:bottom w:val="nil"/>
              <w:right w:val="single" w:sz="16" w:space="0" w:color="000000"/>
            </w:tcBorders>
            <w:shd w:val="clear" w:color="auto" w:fill="FFFFFF"/>
            <w:vAlign w:val="center"/>
          </w:tcPr>
          <w:p w14:paraId="5065214A"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r>
      <w:tr w:rsidR="007D3F25" w:rsidRPr="00757181" w14:paraId="015A3759" w14:textId="77777777" w:rsidTr="00330D39">
        <w:trPr>
          <w:cantSplit/>
        </w:trPr>
        <w:tc>
          <w:tcPr>
            <w:tcW w:w="1961" w:type="dxa"/>
            <w:vMerge/>
            <w:tcBorders>
              <w:top w:val="nil"/>
              <w:left w:val="single" w:sz="16" w:space="0" w:color="000000"/>
              <w:bottom w:val="single" w:sz="16" w:space="0" w:color="000000"/>
              <w:right w:val="nil"/>
            </w:tcBorders>
            <w:shd w:val="clear" w:color="auto" w:fill="FFFFFF"/>
          </w:tcPr>
          <w:p w14:paraId="66953704" w14:textId="77777777" w:rsidR="00F862A1" w:rsidRPr="00757181" w:rsidRDefault="00F862A1" w:rsidP="00980310">
            <w:pPr>
              <w:autoSpaceDE w:val="0"/>
              <w:autoSpaceDN w:val="0"/>
              <w:adjustRightInd w:val="0"/>
              <w:spacing w:after="0" w:line="240" w:lineRule="auto"/>
              <w:rPr>
                <w:rFonts w:ascii="Times New Roman" w:hAnsi="Times New Roman" w:cs="Times New Roman"/>
                <w:sz w:val="28"/>
                <w:szCs w:val="28"/>
              </w:rPr>
            </w:pPr>
          </w:p>
        </w:tc>
        <w:tc>
          <w:tcPr>
            <w:tcW w:w="1099" w:type="dxa"/>
            <w:tcBorders>
              <w:top w:val="nil"/>
              <w:left w:val="nil"/>
              <w:bottom w:val="single" w:sz="16" w:space="0" w:color="000000"/>
              <w:right w:val="single" w:sz="16" w:space="0" w:color="000000"/>
            </w:tcBorders>
            <w:shd w:val="clear" w:color="auto" w:fill="FFFFFF"/>
          </w:tcPr>
          <w:p w14:paraId="056C9050" w14:textId="77777777" w:rsidR="00F862A1" w:rsidRPr="00757181" w:rsidRDefault="00F862A1" w:rsidP="00980310">
            <w:pPr>
              <w:autoSpaceDE w:val="0"/>
              <w:autoSpaceDN w:val="0"/>
              <w:adjustRightInd w:val="0"/>
              <w:spacing w:after="0" w:line="320" w:lineRule="atLeast"/>
              <w:ind w:right="60"/>
              <w:rPr>
                <w:rFonts w:ascii="Times New Roman" w:hAnsi="Times New Roman" w:cs="Times New Roman"/>
                <w:sz w:val="28"/>
                <w:szCs w:val="28"/>
              </w:rPr>
            </w:pPr>
            <w:r w:rsidRPr="00757181">
              <w:rPr>
                <w:rFonts w:ascii="Times New Roman" w:hAnsi="Times New Roman" w:cs="Times New Roman"/>
                <w:sz w:val="28"/>
                <w:szCs w:val="28"/>
              </w:rPr>
              <w:t>N</w:t>
            </w:r>
          </w:p>
        </w:tc>
        <w:tc>
          <w:tcPr>
            <w:tcW w:w="1170" w:type="dxa"/>
            <w:tcBorders>
              <w:top w:val="nil"/>
              <w:left w:val="single" w:sz="16" w:space="0" w:color="000000"/>
              <w:bottom w:val="single" w:sz="16" w:space="0" w:color="000000"/>
            </w:tcBorders>
            <w:shd w:val="clear" w:color="auto" w:fill="FFFFFF"/>
            <w:vAlign w:val="center"/>
          </w:tcPr>
          <w:p w14:paraId="30E90A35"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170" w:type="dxa"/>
            <w:tcBorders>
              <w:top w:val="nil"/>
              <w:bottom w:val="single" w:sz="16" w:space="0" w:color="000000"/>
            </w:tcBorders>
            <w:shd w:val="clear" w:color="auto" w:fill="FFFFFF"/>
            <w:vAlign w:val="center"/>
          </w:tcPr>
          <w:p w14:paraId="77394F1E"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170" w:type="dxa"/>
            <w:tcBorders>
              <w:top w:val="nil"/>
              <w:bottom w:val="single" w:sz="16" w:space="0" w:color="000000"/>
            </w:tcBorders>
            <w:shd w:val="clear" w:color="auto" w:fill="FFFFFF"/>
            <w:vAlign w:val="center"/>
          </w:tcPr>
          <w:p w14:paraId="6C9D371E"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260" w:type="dxa"/>
            <w:tcBorders>
              <w:top w:val="nil"/>
              <w:bottom w:val="single" w:sz="16" w:space="0" w:color="000000"/>
            </w:tcBorders>
            <w:shd w:val="clear" w:color="auto" w:fill="FFFFFF"/>
            <w:vAlign w:val="center"/>
          </w:tcPr>
          <w:p w14:paraId="6658789A"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c>
          <w:tcPr>
            <w:tcW w:w="1350" w:type="dxa"/>
            <w:tcBorders>
              <w:top w:val="nil"/>
              <w:bottom w:val="single" w:sz="16" w:space="0" w:color="000000"/>
              <w:right w:val="single" w:sz="16" w:space="0" w:color="000000"/>
            </w:tcBorders>
            <w:shd w:val="clear" w:color="auto" w:fill="FFFFFF"/>
            <w:vAlign w:val="center"/>
          </w:tcPr>
          <w:p w14:paraId="6B178BC7" w14:textId="77777777" w:rsidR="00F862A1" w:rsidRPr="00757181" w:rsidRDefault="00F862A1" w:rsidP="00980310">
            <w:pPr>
              <w:autoSpaceDE w:val="0"/>
              <w:autoSpaceDN w:val="0"/>
              <w:adjustRightInd w:val="0"/>
              <w:spacing w:after="0" w:line="320" w:lineRule="atLeast"/>
              <w:ind w:left="60" w:right="60"/>
              <w:jc w:val="right"/>
              <w:rPr>
                <w:rFonts w:ascii="Times New Roman" w:hAnsi="Times New Roman" w:cs="Times New Roman"/>
                <w:sz w:val="28"/>
                <w:szCs w:val="28"/>
              </w:rPr>
            </w:pPr>
            <w:r w:rsidRPr="00757181">
              <w:rPr>
                <w:rFonts w:ascii="Times New Roman" w:hAnsi="Times New Roman" w:cs="Times New Roman"/>
                <w:sz w:val="28"/>
                <w:szCs w:val="28"/>
              </w:rPr>
              <w:t>100</w:t>
            </w:r>
          </w:p>
        </w:tc>
      </w:tr>
      <w:tr w:rsidR="007D3F25" w:rsidRPr="00757181" w14:paraId="06B1B07E" w14:textId="77777777" w:rsidTr="00330D39">
        <w:trPr>
          <w:cantSplit/>
        </w:trPr>
        <w:tc>
          <w:tcPr>
            <w:tcW w:w="9180" w:type="dxa"/>
            <w:gridSpan w:val="7"/>
            <w:tcBorders>
              <w:top w:val="nil"/>
              <w:left w:val="nil"/>
              <w:bottom w:val="nil"/>
              <w:right w:val="nil"/>
            </w:tcBorders>
            <w:shd w:val="clear" w:color="auto" w:fill="FFFFFF"/>
          </w:tcPr>
          <w:p w14:paraId="7D0A1417" w14:textId="77777777" w:rsidR="00F862A1" w:rsidRPr="00757181" w:rsidRDefault="00F862A1" w:rsidP="00980310">
            <w:pPr>
              <w:autoSpaceDE w:val="0"/>
              <w:autoSpaceDN w:val="0"/>
              <w:adjustRightInd w:val="0"/>
              <w:spacing w:after="0" w:line="320" w:lineRule="atLeast"/>
              <w:ind w:left="60" w:right="60"/>
              <w:rPr>
                <w:rFonts w:ascii="Times New Roman" w:hAnsi="Times New Roman" w:cs="Times New Roman"/>
                <w:sz w:val="28"/>
                <w:szCs w:val="28"/>
              </w:rPr>
            </w:pPr>
            <w:r w:rsidRPr="00757181">
              <w:rPr>
                <w:rFonts w:ascii="Times New Roman" w:hAnsi="Times New Roman" w:cs="Times New Roman"/>
                <w:sz w:val="28"/>
                <w:szCs w:val="28"/>
              </w:rPr>
              <w:t>**. Correlation is significant at the 0.01 level (2-tailed).</w:t>
            </w:r>
          </w:p>
        </w:tc>
      </w:tr>
    </w:tbl>
    <w:p w14:paraId="69CC93A2" w14:textId="77777777" w:rsidR="00F862A1" w:rsidRPr="00757181" w:rsidRDefault="00F862A1" w:rsidP="00F862A1">
      <w:pPr>
        <w:autoSpaceDE w:val="0"/>
        <w:autoSpaceDN w:val="0"/>
        <w:adjustRightInd w:val="0"/>
        <w:spacing w:after="0" w:line="400" w:lineRule="atLeast"/>
        <w:rPr>
          <w:rFonts w:ascii="Times New Roman" w:hAnsi="Times New Roman" w:cs="Times New Roman"/>
          <w:sz w:val="28"/>
          <w:szCs w:val="28"/>
        </w:rPr>
      </w:pPr>
    </w:p>
    <w:p w14:paraId="6848A117" w14:textId="77777777" w:rsidR="00F862A1" w:rsidRPr="00757181" w:rsidRDefault="00F862A1" w:rsidP="00F862A1">
      <w:pPr>
        <w:rPr>
          <w:rFonts w:ascii="Times New Roman" w:hAnsi="Times New Roman" w:cs="Times New Roman"/>
          <w:sz w:val="28"/>
          <w:szCs w:val="28"/>
        </w:rPr>
      </w:pPr>
    </w:p>
    <w:p w14:paraId="4558D722" w14:textId="77777777" w:rsidR="00153F6A" w:rsidRPr="00757181" w:rsidRDefault="00153F6A" w:rsidP="00057955">
      <w:pPr>
        <w:rPr>
          <w:rFonts w:ascii="Times New Roman" w:hAnsi="Times New Roman" w:cs="Times New Roman"/>
          <w:i/>
          <w:sz w:val="28"/>
          <w:szCs w:val="28"/>
        </w:rPr>
      </w:pPr>
      <w:r w:rsidRPr="00757181">
        <w:rPr>
          <w:rFonts w:ascii="Times New Roman" w:hAnsi="Times New Roman" w:cs="Times New Roman"/>
          <w:b/>
          <w:i/>
          <w:sz w:val="28"/>
          <w:szCs w:val="28"/>
        </w:rPr>
        <w:t>Pearson correlation of Age, SBP, DBP, BMI and Waist Circumference in Cardiovascular Disease subjects</w:t>
      </w:r>
      <w:r w:rsidRPr="00757181">
        <w:rPr>
          <w:rFonts w:ascii="Times New Roman" w:hAnsi="Times New Roman" w:cs="Times New Roman"/>
          <w:i/>
          <w:sz w:val="28"/>
          <w:szCs w:val="28"/>
        </w:rPr>
        <w:t xml:space="preserve"> </w:t>
      </w:r>
    </w:p>
    <w:p w14:paraId="7C41FCC7" w14:textId="77777777" w:rsidR="00F862A1" w:rsidRPr="00757181" w:rsidRDefault="00C02D0D" w:rsidP="00057955">
      <w:pPr>
        <w:rPr>
          <w:rFonts w:ascii="Times New Roman" w:hAnsi="Times New Roman" w:cs="Times New Roman"/>
          <w:sz w:val="28"/>
          <w:szCs w:val="28"/>
        </w:rPr>
      </w:pPr>
      <w:r w:rsidRPr="00757181">
        <w:rPr>
          <w:rFonts w:ascii="Times New Roman" w:eastAsia="Times New Roman" w:hAnsi="Times New Roman" w:cs="Times New Roman"/>
          <w:sz w:val="28"/>
        </w:rPr>
        <w:t>There were significant positive correlations of age with SBP (r = 0.633, p &lt; 0.001), DBP (r = 0.332, p = 0.001), BMI (r = 0.286, p = 0.004), and WC (r = 0.376, p &lt; 0.001).</w:t>
      </w:r>
    </w:p>
    <w:p w14:paraId="0A8B5ECC" w14:textId="77777777" w:rsidR="00696D61" w:rsidRPr="00757181" w:rsidRDefault="00696D61" w:rsidP="00057955">
      <w:pPr>
        <w:rPr>
          <w:rFonts w:ascii="Times New Roman" w:hAnsi="Times New Roman" w:cs="Times New Roman"/>
          <w:sz w:val="28"/>
          <w:szCs w:val="28"/>
        </w:rPr>
      </w:pPr>
      <w:r w:rsidRPr="00757181">
        <w:rPr>
          <w:rFonts w:ascii="Times New Roman" w:eastAsia="Times New Roman" w:hAnsi="Times New Roman" w:cs="Times New Roman"/>
          <w:sz w:val="28"/>
        </w:rPr>
        <w:t>There were significant positive correlations of SBP with DBP (r = 0.625, p &lt; 0.001), BMI (r = 0.504, p &lt; 0.001), and WC (r = 0.540, p &lt; 0.001).</w:t>
      </w:r>
    </w:p>
    <w:p w14:paraId="1FC07F5E" w14:textId="77777777" w:rsidR="00F11857" w:rsidRPr="00757181" w:rsidRDefault="00093C8D" w:rsidP="00057955">
      <w:pPr>
        <w:rPr>
          <w:rFonts w:ascii="Times New Roman" w:hAnsi="Times New Roman" w:cs="Times New Roman"/>
          <w:sz w:val="28"/>
          <w:szCs w:val="28"/>
        </w:rPr>
      </w:pPr>
      <w:r w:rsidRPr="00757181">
        <w:rPr>
          <w:rFonts w:ascii="Times New Roman" w:eastAsia="Times New Roman" w:hAnsi="Times New Roman" w:cs="Times New Roman"/>
          <w:sz w:val="28"/>
        </w:rPr>
        <w:t>There were significant positive correlations of DBP with BMI (r = 0.380, p &lt; 0.001) and WC (r = 0.400, p &lt; 0.001). There was also a significant positive correlation between BMI and WC (r = 0.894, p &lt; 0.001) (Table 2).</w:t>
      </w:r>
    </w:p>
    <w:p w14:paraId="36E30906" w14:textId="77777777" w:rsidR="00425DF0" w:rsidRPr="00757181" w:rsidRDefault="00057955" w:rsidP="00425DF0">
      <w:pPr>
        <w:spacing w:after="0"/>
        <w:jc w:val="both"/>
        <w:rPr>
          <w:rFonts w:ascii="Times New Roman" w:hAnsi="Times New Roman" w:cs="Times New Roman"/>
          <w:b/>
          <w:sz w:val="28"/>
          <w:szCs w:val="28"/>
        </w:rPr>
      </w:pPr>
      <w:r w:rsidRPr="00757181">
        <w:rPr>
          <w:rFonts w:ascii="Times New Roman" w:hAnsi="Times New Roman" w:cs="Times New Roman"/>
          <w:b/>
          <w:sz w:val="28"/>
          <w:szCs w:val="28"/>
        </w:rPr>
        <w:t>Discussion</w:t>
      </w:r>
    </w:p>
    <w:p w14:paraId="3EDDF6C8" w14:textId="77777777" w:rsidR="00057955" w:rsidRPr="00757181" w:rsidRDefault="00057955" w:rsidP="00425DF0">
      <w:pPr>
        <w:spacing w:after="0"/>
        <w:jc w:val="both"/>
        <w:rPr>
          <w:rFonts w:ascii="Times New Roman" w:hAnsi="Times New Roman" w:cs="Times New Roman"/>
          <w:b/>
          <w:sz w:val="28"/>
          <w:szCs w:val="28"/>
        </w:rPr>
      </w:pPr>
    </w:p>
    <w:p w14:paraId="64513B0F" w14:textId="77777777" w:rsidR="00015111" w:rsidRPr="00757181" w:rsidRDefault="00015111" w:rsidP="00015111">
      <w:pPr>
        <w:pStyle w:val="NormalWeb"/>
        <w:widowControl/>
        <w:spacing w:after="180" w:line="480" w:lineRule="auto"/>
        <w:rPr>
          <w:rFonts w:ascii="Times New Roman" w:eastAsia="-webkit-standard" w:hAnsi="Times New Roman" w:cs="Times New Roman"/>
          <w:sz w:val="26"/>
          <w:szCs w:val="26"/>
        </w:rPr>
      </w:pPr>
      <w:r w:rsidRPr="00757181">
        <w:rPr>
          <w:rFonts w:ascii="Times New Roman" w:eastAsia="Times New Roman" w:hAnsi="Times New Roman" w:cs="Times New Roman"/>
          <w:sz w:val="26"/>
        </w:rPr>
        <w:t xml:space="preserve">The mean age of the CVD group was slightly higher than that of the control group, although this difference was not statistically significant. This suggests that age alone may not account for the observed differences in cardiovascular disorders within this population. The absence of a statistically significant age difference suggests that substantial age imbalance is unlikely to explain the between-group differences. Thus, the marked differences in SBP, DBP, BMI, and WC are unlikely to be attributable solely to differences in the age distribution between the groups. However, age-related alterations </w:t>
      </w:r>
      <w:r w:rsidRPr="00757181">
        <w:rPr>
          <w:rFonts w:ascii="Times New Roman" w:eastAsia="Times New Roman" w:hAnsi="Times New Roman" w:cs="Times New Roman"/>
          <w:sz w:val="26"/>
        </w:rPr>
        <w:lastRenderedPageBreak/>
        <w:t xml:space="preserve">that increase susceptibility to cardiovascular diseases have been documented in previous studies (S. Wang </w:t>
      </w:r>
      <w:r w:rsidRPr="00757181">
        <w:rPr>
          <w:rFonts w:ascii="Times New Roman" w:eastAsia="Times New Roman" w:hAnsi="Times New Roman" w:cs="Times New Roman"/>
          <w:i/>
          <w:sz w:val="26"/>
        </w:rPr>
        <w:t>et al.</w:t>
      </w:r>
      <w:r w:rsidRPr="00757181">
        <w:rPr>
          <w:rFonts w:ascii="Times New Roman" w:eastAsia="Times New Roman" w:hAnsi="Times New Roman" w:cs="Times New Roman"/>
          <w:sz w:val="26"/>
        </w:rPr>
        <w:t xml:space="preserve">, 2021; T. Wang </w:t>
      </w:r>
      <w:r w:rsidRPr="00757181">
        <w:rPr>
          <w:rFonts w:ascii="Times New Roman" w:eastAsia="Times New Roman" w:hAnsi="Times New Roman" w:cs="Times New Roman"/>
          <w:i/>
          <w:sz w:val="26"/>
        </w:rPr>
        <w:t>et al.</w:t>
      </w:r>
      <w:r w:rsidRPr="00757181">
        <w:rPr>
          <w:rFonts w:ascii="Times New Roman" w:eastAsia="Times New Roman" w:hAnsi="Times New Roman" w:cs="Times New Roman"/>
          <w:sz w:val="26"/>
        </w:rPr>
        <w:t>, 2021).</w:t>
      </w:r>
    </w:p>
    <w:p w14:paraId="1B539794" w14:textId="77777777" w:rsidR="00015111" w:rsidRPr="00757181" w:rsidRDefault="00015111" w:rsidP="00015111">
      <w:pPr>
        <w:pStyle w:val="NormalWeb"/>
        <w:widowControl/>
        <w:spacing w:after="180" w:line="480" w:lineRule="auto"/>
        <w:rPr>
          <w:rFonts w:ascii="Times New Roman" w:eastAsia="-webkit-standard" w:hAnsi="Times New Roman" w:cs="Times New Roman"/>
          <w:sz w:val="26"/>
          <w:szCs w:val="26"/>
        </w:rPr>
      </w:pPr>
      <w:r w:rsidRPr="00757181">
        <w:rPr>
          <w:rFonts w:ascii="Times New Roman" w:eastAsia="Times New Roman" w:hAnsi="Times New Roman" w:cs="Times New Roman"/>
          <w:sz w:val="26"/>
        </w:rPr>
        <w:t xml:space="preserve">The systolic blood pressure (SBP) and diastolic blood pressure (DBP) in the CVD group were significantly higher than those of the controls in the cohort. The mean SBP and DBP values of the CVD cohort were within the range classified as stage 2 hypertension according to the updated AHA/ACC guidelines. Persistent hypertension induces left ventricular hypertrophy (LVH), affects ventricular compliance, and impairs diastolic filling (Shams </w:t>
      </w:r>
      <w:r w:rsidRPr="00757181">
        <w:rPr>
          <w:rFonts w:ascii="Times New Roman" w:eastAsia="Times New Roman" w:hAnsi="Times New Roman" w:cs="Times New Roman"/>
          <w:i/>
          <w:sz w:val="26"/>
        </w:rPr>
        <w:t>et al.</w:t>
      </w:r>
      <w:r w:rsidRPr="00757181">
        <w:rPr>
          <w:rFonts w:ascii="Times New Roman" w:eastAsia="Times New Roman" w:hAnsi="Times New Roman" w:cs="Times New Roman"/>
          <w:sz w:val="26"/>
        </w:rPr>
        <w:t xml:space="preserve">, 2025). A recent report from the World Health Organization (2025b) emphasised that high SBP remained a leading driver of disability-adjusted life years (DALYs) globally, often exacerbated by high sodium intake and sedentary lifestyles common in urbanised populations. The World Health Organization identifies uncontrolled hypertension as a major cause of premature death and reports that untreated hypertension can damage the heart and blood vessels, contributing to heart failure, myocardial infarction, and stroke (WHO, 2025c). These findings suggest a potential association between elevated blood pressure and cardiovascular disease (Nolan &amp; McEvoy, 2024). The 2025 American Heart Association/American College of Cardiology (AHA/ACC) guideline identifies high blood pressure as a prevalent modifiable risk factor for CVD and reports a graded relationship between increasing blood pressure and cardiovascular events (Jones </w:t>
      </w:r>
      <w:r w:rsidRPr="00757181">
        <w:rPr>
          <w:rFonts w:ascii="Times New Roman" w:eastAsia="Times New Roman" w:hAnsi="Times New Roman" w:cs="Times New Roman"/>
          <w:i/>
          <w:sz w:val="26"/>
        </w:rPr>
        <w:t>et al.</w:t>
      </w:r>
      <w:r w:rsidRPr="00757181">
        <w:rPr>
          <w:rFonts w:ascii="Times New Roman" w:eastAsia="Times New Roman" w:hAnsi="Times New Roman" w:cs="Times New Roman"/>
          <w:sz w:val="26"/>
        </w:rPr>
        <w:t>, 2025).</w:t>
      </w:r>
    </w:p>
    <w:p w14:paraId="70EAB62B" w14:textId="77777777" w:rsidR="00015111" w:rsidRPr="00757181" w:rsidRDefault="00015111" w:rsidP="00015111">
      <w:pPr>
        <w:pStyle w:val="NormalWeb"/>
        <w:widowControl/>
        <w:spacing w:after="180" w:line="480" w:lineRule="auto"/>
        <w:rPr>
          <w:rFonts w:ascii="Times New Roman" w:eastAsia="-webkit-standard" w:hAnsi="Times New Roman" w:cs="Times New Roman"/>
          <w:sz w:val="26"/>
          <w:szCs w:val="26"/>
        </w:rPr>
      </w:pPr>
      <w:r w:rsidRPr="00757181">
        <w:rPr>
          <w:rFonts w:ascii="Times New Roman" w:eastAsia="Times New Roman" w:hAnsi="Times New Roman" w:cs="Times New Roman"/>
          <w:sz w:val="26"/>
        </w:rPr>
        <w:t xml:space="preserve">The body mass index (BMI) and waist circumference (WC) in the CVD group were markedly higher than those of the controls. The BMI of the CVD group fell within the </w:t>
      </w:r>
      <w:r w:rsidRPr="00757181">
        <w:rPr>
          <w:rFonts w:ascii="Times New Roman" w:eastAsia="Times New Roman" w:hAnsi="Times New Roman" w:cs="Times New Roman"/>
          <w:sz w:val="26"/>
        </w:rPr>
        <w:lastRenderedPageBreak/>
        <w:t>obesity range (≥ 30 kg/m</w:t>
      </w:r>
      <w:r w:rsidRPr="00757181">
        <w:rPr>
          <w:rFonts w:ascii="Times New Roman" w:eastAsia="Times New Roman" w:hAnsi="Times New Roman" w:cs="Times New Roman"/>
          <w:sz w:val="26"/>
          <w:vertAlign w:val="superscript"/>
        </w:rPr>
        <w:t>2</w:t>
      </w:r>
      <w:r w:rsidRPr="00757181">
        <w:rPr>
          <w:rFonts w:ascii="Times New Roman" w:eastAsia="Times New Roman" w:hAnsi="Times New Roman" w:cs="Times New Roman"/>
          <w:sz w:val="26"/>
        </w:rPr>
        <w:t xml:space="preserve">), indicating a high burden of general adiposity, while the substantially greater WC suggests increased central adiposity. BMI is a widely used measure for classifying overweight and obesity, whereas WC provides complementary information on abdominal adiposity and may capture cardiometabolic risk that is not fully reflected by BMI alone (Laddu </w:t>
      </w:r>
      <w:r w:rsidRPr="00757181">
        <w:rPr>
          <w:rFonts w:ascii="Times New Roman" w:eastAsia="Times New Roman" w:hAnsi="Times New Roman" w:cs="Times New Roman"/>
          <w:i/>
          <w:sz w:val="26"/>
        </w:rPr>
        <w:t>et al.</w:t>
      </w:r>
      <w:r w:rsidRPr="00757181">
        <w:rPr>
          <w:rFonts w:ascii="Times New Roman" w:eastAsia="Times New Roman" w:hAnsi="Times New Roman" w:cs="Times New Roman"/>
          <w:sz w:val="26"/>
        </w:rPr>
        <w:t xml:space="preserve">, 2024; Virani </w:t>
      </w:r>
      <w:r w:rsidRPr="00757181">
        <w:rPr>
          <w:rFonts w:ascii="Times New Roman" w:eastAsia="Times New Roman" w:hAnsi="Times New Roman" w:cs="Times New Roman"/>
          <w:i/>
          <w:sz w:val="26"/>
        </w:rPr>
        <w:t>et al.</w:t>
      </w:r>
      <w:r w:rsidRPr="00757181">
        <w:rPr>
          <w:rFonts w:ascii="Times New Roman" w:eastAsia="Times New Roman" w:hAnsi="Times New Roman" w:cs="Times New Roman"/>
          <w:sz w:val="26"/>
        </w:rPr>
        <w:t xml:space="preserve">, 2023). Excess adiposity is associated with cardiovascular disease through several interrelated mechanisms, including hypertension, insulin resistance, dyslipidaemia, chronic low-grade inflammation, neurohormonal activation, and adverse cardiac and vascular remodelling (Powell-Wiley </w:t>
      </w:r>
      <w:r w:rsidRPr="00757181">
        <w:rPr>
          <w:rFonts w:ascii="Times New Roman" w:eastAsia="Times New Roman" w:hAnsi="Times New Roman" w:cs="Times New Roman"/>
          <w:i/>
          <w:sz w:val="26"/>
        </w:rPr>
        <w:t>et al.</w:t>
      </w:r>
      <w:r w:rsidRPr="00757181">
        <w:rPr>
          <w:rFonts w:ascii="Times New Roman" w:eastAsia="Times New Roman" w:hAnsi="Times New Roman" w:cs="Times New Roman"/>
          <w:sz w:val="26"/>
        </w:rPr>
        <w:t xml:space="preserve">, 2021). In addition, elevated BMI may be linked with poor socio-economic status, and each factor independently increases CVD risk (Bays </w:t>
      </w:r>
      <w:r w:rsidRPr="00757181">
        <w:rPr>
          <w:rFonts w:ascii="Times New Roman" w:eastAsia="Times New Roman" w:hAnsi="Times New Roman" w:cs="Times New Roman"/>
          <w:i/>
          <w:sz w:val="26"/>
        </w:rPr>
        <w:t>et al.</w:t>
      </w:r>
      <w:r w:rsidRPr="00757181">
        <w:rPr>
          <w:rFonts w:ascii="Times New Roman" w:eastAsia="Times New Roman" w:hAnsi="Times New Roman" w:cs="Times New Roman"/>
          <w:sz w:val="26"/>
        </w:rPr>
        <w:t xml:space="preserve">, 2021). The American Heart Association recognises obesity as an important contributor to CVD incidence and emphasises the clinical importance of identifying and managing excess adiposity (Hall </w:t>
      </w:r>
      <w:r w:rsidRPr="00757181">
        <w:rPr>
          <w:rFonts w:ascii="Times New Roman" w:eastAsia="Times New Roman" w:hAnsi="Times New Roman" w:cs="Times New Roman"/>
          <w:i/>
          <w:sz w:val="26"/>
        </w:rPr>
        <w:t>et al.</w:t>
      </w:r>
      <w:r w:rsidRPr="00757181">
        <w:rPr>
          <w:rFonts w:ascii="Times New Roman" w:eastAsia="Times New Roman" w:hAnsi="Times New Roman" w:cs="Times New Roman"/>
          <w:sz w:val="26"/>
        </w:rPr>
        <w:t xml:space="preserve">, 2021; Laddu </w:t>
      </w:r>
      <w:r w:rsidRPr="00757181">
        <w:rPr>
          <w:rFonts w:ascii="Times New Roman" w:eastAsia="Times New Roman" w:hAnsi="Times New Roman" w:cs="Times New Roman"/>
          <w:i/>
          <w:sz w:val="26"/>
        </w:rPr>
        <w:t>et al.</w:t>
      </w:r>
      <w:r w:rsidRPr="00757181">
        <w:rPr>
          <w:rFonts w:ascii="Times New Roman" w:eastAsia="Times New Roman" w:hAnsi="Times New Roman" w:cs="Times New Roman"/>
          <w:sz w:val="26"/>
        </w:rPr>
        <w:t xml:space="preserve">, 2024; Virani </w:t>
      </w:r>
      <w:r w:rsidRPr="00757181">
        <w:rPr>
          <w:rFonts w:ascii="Times New Roman" w:eastAsia="Times New Roman" w:hAnsi="Times New Roman" w:cs="Times New Roman"/>
          <w:i/>
          <w:sz w:val="26"/>
        </w:rPr>
        <w:t>et al.</w:t>
      </w:r>
      <w:r w:rsidRPr="00757181">
        <w:rPr>
          <w:rFonts w:ascii="Times New Roman" w:eastAsia="Times New Roman" w:hAnsi="Times New Roman" w:cs="Times New Roman"/>
          <w:sz w:val="26"/>
        </w:rPr>
        <w:t>, 2023).</w:t>
      </w:r>
    </w:p>
    <w:p w14:paraId="775B92AB" w14:textId="77777777" w:rsidR="00BE639F" w:rsidRPr="00757181" w:rsidRDefault="007C5409" w:rsidP="007C5409">
      <w:pPr>
        <w:pStyle w:val="NormalWeb"/>
        <w:widowControl/>
        <w:spacing w:after="180" w:line="480" w:lineRule="auto"/>
        <w:rPr>
          <w:rFonts w:ascii="Times New Roman" w:eastAsia="-webkit-standard" w:hAnsi="Times New Roman" w:cs="Times New Roman"/>
          <w:sz w:val="26"/>
          <w:szCs w:val="26"/>
        </w:rPr>
      </w:pPr>
      <w:r w:rsidRPr="00757181">
        <w:rPr>
          <w:rFonts w:ascii="Times New Roman" w:eastAsia="Times New Roman" w:hAnsi="Times New Roman" w:cs="Times New Roman"/>
          <w:sz w:val="26"/>
        </w:rPr>
        <w:t xml:space="preserve">Chronic high blood pressure induces left ventricular hypertrophy and vascular remodelling, which are central to the progression of clinical CVD. This pattern suggests that higher blood pressure and greater body mass/adiposity were associated with CVD status in the study population (McEvoy </w:t>
      </w:r>
      <w:r w:rsidRPr="00757181">
        <w:rPr>
          <w:rFonts w:ascii="Times New Roman" w:eastAsia="Times New Roman" w:hAnsi="Times New Roman" w:cs="Times New Roman"/>
          <w:i/>
          <w:sz w:val="26"/>
        </w:rPr>
        <w:t>et al.</w:t>
      </w:r>
      <w:r w:rsidRPr="00757181">
        <w:rPr>
          <w:rFonts w:ascii="Times New Roman" w:eastAsia="Times New Roman" w:hAnsi="Times New Roman" w:cs="Times New Roman"/>
          <w:sz w:val="26"/>
        </w:rPr>
        <w:t>, 2024).</w:t>
      </w:r>
    </w:p>
    <w:p w14:paraId="0F169E7D" w14:textId="77777777" w:rsidR="00272A18" w:rsidRPr="00757181" w:rsidRDefault="00272A18" w:rsidP="007C5409">
      <w:pPr>
        <w:pStyle w:val="NormalWeb"/>
        <w:widowControl/>
        <w:spacing w:after="180" w:line="480" w:lineRule="auto"/>
        <w:rPr>
          <w:rFonts w:ascii="Times New Roman" w:eastAsia="-webkit-standard" w:hAnsi="Times New Roman" w:cs="Times New Roman"/>
          <w:sz w:val="26"/>
          <w:szCs w:val="26"/>
        </w:rPr>
      </w:pPr>
      <w:r w:rsidRPr="00757181">
        <w:rPr>
          <w:rFonts w:ascii="Times New Roman" w:eastAsia="Times New Roman" w:hAnsi="Times New Roman" w:cs="Times New Roman"/>
          <w:sz w:val="26"/>
        </w:rPr>
        <w:t>Furthermore, Pearson correlation analysis of the present study data showed significant positive correlations among age, SBP, DBP, BMI, and waist circumference in CVD subjects, indicating interrelationships among these clinical and anthropometric measures.</w:t>
      </w:r>
    </w:p>
    <w:p w14:paraId="71CAD854" w14:textId="77777777" w:rsidR="005D11E0" w:rsidRPr="00757181" w:rsidRDefault="00671BFE" w:rsidP="00DD1E23">
      <w:pPr>
        <w:spacing w:line="360" w:lineRule="auto"/>
        <w:jc w:val="both"/>
        <w:rPr>
          <w:rFonts w:ascii="Times New Roman" w:hAnsi="Times New Roman" w:cs="Times New Roman"/>
          <w:sz w:val="28"/>
          <w:szCs w:val="28"/>
        </w:rPr>
      </w:pPr>
      <w:r w:rsidRPr="00757181">
        <w:rPr>
          <w:rFonts w:ascii="Times New Roman" w:hAnsi="Times New Roman" w:cs="Times New Roman"/>
          <w:sz w:val="28"/>
          <w:szCs w:val="28"/>
        </w:rPr>
        <w:lastRenderedPageBreak/>
        <w:t>The present</w:t>
      </w:r>
      <w:r w:rsidR="00B857EE" w:rsidRPr="00757181">
        <w:rPr>
          <w:rFonts w:ascii="Times New Roman" w:hAnsi="Times New Roman" w:cs="Times New Roman"/>
          <w:sz w:val="28"/>
          <w:szCs w:val="28"/>
        </w:rPr>
        <w:t xml:space="preserve"> </w:t>
      </w:r>
      <w:r w:rsidRPr="00757181">
        <w:rPr>
          <w:rFonts w:ascii="Times New Roman" w:hAnsi="Times New Roman" w:cs="Times New Roman"/>
          <w:sz w:val="28"/>
          <w:szCs w:val="28"/>
        </w:rPr>
        <w:t xml:space="preserve">study may </w:t>
      </w:r>
      <w:r w:rsidR="00024C9D" w:rsidRPr="00757181">
        <w:rPr>
          <w:rFonts w:ascii="Times New Roman" w:hAnsi="Times New Roman" w:cs="Times New Roman"/>
          <w:sz w:val="28"/>
          <w:szCs w:val="28"/>
        </w:rPr>
        <w:t xml:space="preserve">support the incorporation of routine BMI and WC assessment into cardiovascular evaluation, particularly in primary care settings. </w:t>
      </w:r>
    </w:p>
    <w:p w14:paraId="0DDA1431" w14:textId="77777777" w:rsidR="00C14A8E" w:rsidRPr="00757181" w:rsidRDefault="00C14A8E" w:rsidP="00C14A8E">
      <w:pPr>
        <w:rPr>
          <w:rFonts w:ascii="Times New Roman" w:hAnsi="Times New Roman" w:cs="Times New Roman"/>
          <w:b/>
          <w:sz w:val="28"/>
          <w:szCs w:val="28"/>
        </w:rPr>
      </w:pPr>
      <w:r w:rsidRPr="00757181">
        <w:rPr>
          <w:rFonts w:ascii="Times New Roman" w:hAnsi="Times New Roman" w:cs="Times New Roman"/>
          <w:b/>
          <w:sz w:val="28"/>
          <w:szCs w:val="28"/>
        </w:rPr>
        <w:t>Conclusion</w:t>
      </w:r>
    </w:p>
    <w:p w14:paraId="3844255D" w14:textId="1AE2251A" w:rsidR="00832A4C" w:rsidRPr="00757181" w:rsidRDefault="00757181" w:rsidP="00A00F9F">
      <w:pPr>
        <w:jc w:val="both"/>
        <w:rPr>
          <w:rFonts w:ascii="Times New Roman" w:hAnsi="Times New Roman" w:cs="Times New Roman"/>
          <w:b/>
          <w:sz w:val="32"/>
          <w:szCs w:val="32"/>
        </w:rPr>
      </w:pPr>
      <w:r w:rsidRPr="00757181">
        <w:rPr>
          <w:sz w:val="24"/>
          <w:szCs w:val="24"/>
        </w:rPr>
        <w:t xml:space="preserve">This case–control study found that systolic blood pressure, diastolic blood pressure, body mass index, and waist circumference were significantly higher in cardiovascular disease subjects than in apparently healthy controls attending Federal Teaching Hospital, Owerri. The groups did not differ significantly in age, reducing the likelihood that the observed between-group differences were explained solely by age distribution. Within the cardiovascular disease group, Pearson correlation analysis demonstrated significant positive relationships among age, systolic blood pressure, diastolic blood pressure, body mass index, and waist circumference. The strongest reported association was between body mass index and waist circumference, indicating close correspondence between general and central adiposity within the study population. Taken together, the findings show that elevated blood pressure and greater adiposity </w:t>
      </w:r>
      <w:proofErr w:type="spellStart"/>
      <w:r w:rsidRPr="00757181">
        <w:rPr>
          <w:sz w:val="24"/>
          <w:szCs w:val="24"/>
        </w:rPr>
        <w:t>characterised</w:t>
      </w:r>
      <w:proofErr w:type="spellEnd"/>
      <w:r w:rsidRPr="00757181">
        <w:rPr>
          <w:sz w:val="24"/>
          <w:szCs w:val="24"/>
        </w:rPr>
        <w:t xml:space="preserve"> the cardiovascular disease group and that these routinely measurable indices were interrelated. Routine assessment of blood pressure, body mass index, and waist circumference may therefore provide useful clinical information during cardiovascular evaluation. Further multivariable studies are warranted to determine the independent contribution of these factors to cardiovascular disease.</w:t>
      </w:r>
    </w:p>
    <w:p w14:paraId="295A2400" w14:textId="77777777" w:rsidR="00A00F9F" w:rsidRPr="00757181" w:rsidRDefault="00A00F9F" w:rsidP="00A00F9F">
      <w:pPr>
        <w:jc w:val="both"/>
        <w:rPr>
          <w:rFonts w:ascii="Times New Roman" w:hAnsi="Times New Roman" w:cs="Times New Roman"/>
          <w:b/>
          <w:sz w:val="28"/>
          <w:szCs w:val="28"/>
        </w:rPr>
      </w:pPr>
      <w:r w:rsidRPr="00757181">
        <w:rPr>
          <w:rFonts w:ascii="Times New Roman" w:hAnsi="Times New Roman" w:cs="Times New Roman"/>
          <w:b/>
          <w:sz w:val="28"/>
          <w:szCs w:val="28"/>
        </w:rPr>
        <w:t>Limitation</w:t>
      </w:r>
    </w:p>
    <w:p w14:paraId="64629B1F" w14:textId="364B005D" w:rsidR="001E1AE4" w:rsidRPr="00963880" w:rsidRDefault="00102DDD" w:rsidP="00963880">
      <w:pPr>
        <w:jc w:val="both"/>
        <w:rPr>
          <w:rFonts w:ascii="Times New Roman" w:hAnsi="Times New Roman" w:cs="Times New Roman"/>
          <w:b/>
          <w:sz w:val="28"/>
          <w:szCs w:val="28"/>
        </w:rPr>
      </w:pPr>
      <w:r w:rsidRPr="00757181">
        <w:rPr>
          <w:rFonts w:ascii="Times New Roman" w:eastAsia="Times New Roman" w:hAnsi="Times New Roman" w:cs="Times New Roman"/>
          <w:sz w:val="28"/>
        </w:rPr>
        <w:t>This study did not include longitudinal or interventional studies to determine whether changes in adiposity are associated with subsequent changes in blood pressure and cardiovascular outcomes.</w:t>
      </w:r>
    </w:p>
    <w:p w14:paraId="05E4C574" w14:textId="5A093117" w:rsidR="001E1AE4" w:rsidRPr="001E1AE4" w:rsidRDefault="001E1AE4" w:rsidP="001E1AE4">
      <w:pPr>
        <w:jc w:val="both"/>
        <w:rPr>
          <w:rFonts w:ascii="Times New Roman" w:eastAsiaTheme="minorEastAsia" w:hAnsi="Times New Roman" w:cs="Times New Roman"/>
          <w:b/>
          <w:bCs/>
          <w:sz w:val="28"/>
          <w:szCs w:val="28"/>
        </w:rPr>
      </w:pPr>
      <w:r w:rsidRPr="001E1AE4">
        <w:rPr>
          <w:rFonts w:ascii="Times New Roman" w:eastAsiaTheme="minorEastAsia" w:hAnsi="Times New Roman" w:cs="Times New Roman"/>
          <w:b/>
          <w:bCs/>
          <w:sz w:val="28"/>
          <w:szCs w:val="28"/>
        </w:rPr>
        <w:t>Consent</w:t>
      </w:r>
    </w:p>
    <w:p w14:paraId="3477B6A7" w14:textId="030D3FDA" w:rsidR="001E1AE4" w:rsidRPr="00757181" w:rsidRDefault="00963880" w:rsidP="001E1AE4">
      <w:pPr>
        <w:jc w:val="both"/>
        <w:rPr>
          <w:rFonts w:ascii="Times New Roman" w:eastAsiaTheme="minorEastAsia" w:hAnsi="Times New Roman" w:cs="Times New Roman"/>
          <w:sz w:val="28"/>
          <w:szCs w:val="28"/>
        </w:rPr>
      </w:pPr>
      <w:r w:rsidRPr="00963880">
        <w:rPr>
          <w:rFonts w:ascii="Times New Roman" w:eastAsiaTheme="minorEastAsia" w:hAnsi="Times New Roman" w:cs="Times New Roman"/>
          <w:sz w:val="28"/>
          <w:szCs w:val="28"/>
        </w:rPr>
        <w:t xml:space="preserve">Written informed consent was obtained from all participating </w:t>
      </w:r>
      <w:proofErr w:type="spellStart"/>
      <w:proofErr w:type="gramStart"/>
      <w:r w:rsidRPr="00963880">
        <w:rPr>
          <w:rFonts w:ascii="Times New Roman" w:eastAsiaTheme="minorEastAsia" w:hAnsi="Times New Roman" w:cs="Times New Roman"/>
          <w:sz w:val="28"/>
          <w:szCs w:val="28"/>
        </w:rPr>
        <w:t>subjects.</w:t>
      </w:r>
      <w:r w:rsidR="001E1AE4" w:rsidRPr="001E1AE4">
        <w:rPr>
          <w:rFonts w:ascii="Times New Roman" w:eastAsiaTheme="minorEastAsia" w:hAnsi="Times New Roman" w:cs="Times New Roman"/>
          <w:sz w:val="28"/>
          <w:szCs w:val="28"/>
        </w:rPr>
        <w:t>All</w:t>
      </w:r>
      <w:proofErr w:type="spellEnd"/>
      <w:proofErr w:type="gramEnd"/>
      <w:r w:rsidR="001E1AE4" w:rsidRPr="001E1AE4">
        <w:rPr>
          <w:rFonts w:ascii="Times New Roman" w:eastAsiaTheme="minorEastAsia" w:hAnsi="Times New Roman" w:cs="Times New Roman"/>
          <w:sz w:val="28"/>
          <w:szCs w:val="28"/>
        </w:rPr>
        <w:t xml:space="preserve"> patients were attending the Cardiology and Medical Outpatient Clinic of Federal Teaching Hospital, Owerri. </w:t>
      </w:r>
    </w:p>
    <w:p w14:paraId="4F0BEB7E" w14:textId="77777777" w:rsidR="001E1AE4" w:rsidRPr="00757181" w:rsidRDefault="001E1AE4" w:rsidP="00A00F9F">
      <w:pPr>
        <w:spacing w:line="360" w:lineRule="auto"/>
        <w:jc w:val="both"/>
        <w:rPr>
          <w:rFonts w:ascii="Times New Roman" w:eastAsiaTheme="minorEastAsia" w:hAnsi="Times New Roman" w:cs="Times New Roman"/>
          <w:sz w:val="28"/>
          <w:szCs w:val="28"/>
        </w:rPr>
      </w:pPr>
    </w:p>
    <w:p w14:paraId="6F638BF6" w14:textId="77777777" w:rsidR="00832A4C" w:rsidRPr="00757181" w:rsidRDefault="00832A4C" w:rsidP="00A00F9F">
      <w:pPr>
        <w:jc w:val="both"/>
        <w:rPr>
          <w:rFonts w:ascii="Times New Roman" w:hAnsi="Times New Roman" w:cs="Times New Roman"/>
          <w:b/>
          <w:sz w:val="28"/>
          <w:szCs w:val="28"/>
        </w:rPr>
      </w:pPr>
    </w:p>
    <w:p w14:paraId="58FD4C16" w14:textId="77777777" w:rsidR="00A00F9F" w:rsidRDefault="00A00F9F" w:rsidP="00A00F9F">
      <w:pPr>
        <w:jc w:val="both"/>
        <w:rPr>
          <w:rFonts w:ascii="Times New Roman" w:hAnsi="Times New Roman" w:cs="Times New Roman"/>
          <w:b/>
          <w:sz w:val="28"/>
          <w:szCs w:val="28"/>
        </w:rPr>
      </w:pPr>
      <w:r w:rsidRPr="00757181">
        <w:rPr>
          <w:rFonts w:ascii="Times New Roman" w:hAnsi="Times New Roman" w:cs="Times New Roman"/>
          <w:b/>
          <w:sz w:val="28"/>
          <w:szCs w:val="28"/>
        </w:rPr>
        <w:t>Ethical approval</w:t>
      </w:r>
    </w:p>
    <w:p w14:paraId="085CBB3E" w14:textId="00362F1E" w:rsidR="00A00F9F" w:rsidRPr="001E1AE4" w:rsidRDefault="001E1AE4" w:rsidP="00A00F9F">
      <w:pPr>
        <w:jc w:val="both"/>
        <w:rPr>
          <w:rFonts w:ascii="Times New Roman" w:hAnsi="Times New Roman" w:cs="Times New Roman"/>
          <w:b/>
          <w:sz w:val="28"/>
          <w:szCs w:val="28"/>
        </w:rPr>
      </w:pPr>
      <w:r w:rsidRPr="001E1AE4">
        <w:rPr>
          <w:rFonts w:ascii="Times New Roman" w:eastAsiaTheme="minorEastAsia" w:hAnsi="Times New Roman" w:cs="Times New Roman"/>
          <w:sz w:val="28"/>
          <w:szCs w:val="28"/>
        </w:rPr>
        <w:t xml:space="preserve">The study was approved by the Ethical Committee of the hospital </w:t>
      </w:r>
      <w:proofErr w:type="spellStart"/>
      <w:proofErr w:type="gramStart"/>
      <w:r w:rsidRPr="001E1AE4">
        <w:rPr>
          <w:rFonts w:ascii="Times New Roman" w:eastAsiaTheme="minorEastAsia" w:hAnsi="Times New Roman" w:cs="Times New Roman"/>
          <w:sz w:val="28"/>
          <w:szCs w:val="28"/>
        </w:rPr>
        <w:t>used.</w:t>
      </w:r>
      <w:r w:rsidR="00A00F9F" w:rsidRPr="00757181">
        <w:rPr>
          <w:rFonts w:ascii="Times New Roman" w:eastAsiaTheme="minorEastAsia" w:hAnsi="Times New Roman" w:cs="Times New Roman"/>
          <w:sz w:val="28"/>
          <w:szCs w:val="28"/>
        </w:rPr>
        <w:t>The</w:t>
      </w:r>
      <w:proofErr w:type="spellEnd"/>
      <w:proofErr w:type="gramEnd"/>
      <w:r w:rsidR="00A00F9F" w:rsidRPr="00757181">
        <w:rPr>
          <w:rFonts w:ascii="Times New Roman" w:eastAsiaTheme="minorEastAsia" w:hAnsi="Times New Roman" w:cs="Times New Roman"/>
          <w:sz w:val="28"/>
          <w:szCs w:val="28"/>
        </w:rPr>
        <w:t xml:space="preserve"> ethics and Research Committee of Federal Teaching Hospital, Owerri, Nigeria approved </w:t>
      </w:r>
      <w:r w:rsidR="00A00F9F" w:rsidRPr="00757181">
        <w:rPr>
          <w:rFonts w:ascii="Times New Roman" w:eastAsiaTheme="minorEastAsia" w:hAnsi="Times New Roman" w:cs="Times New Roman"/>
          <w:sz w:val="28"/>
          <w:szCs w:val="28"/>
        </w:rPr>
        <w:lastRenderedPageBreak/>
        <w:t xml:space="preserve">the protocol for the study (FTH/OW/HREC/VOL.I/207). The anonymity of the patients </w:t>
      </w:r>
      <w:proofErr w:type="gramStart"/>
      <w:r w:rsidR="00A00F9F" w:rsidRPr="00757181">
        <w:rPr>
          <w:rFonts w:ascii="Times New Roman" w:eastAsiaTheme="minorEastAsia" w:hAnsi="Times New Roman" w:cs="Times New Roman"/>
          <w:sz w:val="28"/>
          <w:szCs w:val="28"/>
        </w:rPr>
        <w:t>were</w:t>
      </w:r>
      <w:proofErr w:type="gramEnd"/>
      <w:r w:rsidR="00A00F9F" w:rsidRPr="00757181">
        <w:rPr>
          <w:rFonts w:ascii="Times New Roman" w:eastAsiaTheme="minorEastAsia" w:hAnsi="Times New Roman" w:cs="Times New Roman"/>
          <w:sz w:val="28"/>
          <w:szCs w:val="28"/>
        </w:rPr>
        <w:t xml:space="preserve"> maintained and the Helsinki guidelines were followed.</w:t>
      </w:r>
    </w:p>
    <w:p w14:paraId="54FAA7FB" w14:textId="77777777" w:rsidR="001E1AE4" w:rsidRDefault="001E1AE4" w:rsidP="00A00F9F">
      <w:pPr>
        <w:jc w:val="both"/>
        <w:rPr>
          <w:rFonts w:ascii="Times New Roman" w:eastAsiaTheme="minorEastAsia" w:hAnsi="Times New Roman" w:cs="Times New Roman"/>
          <w:sz w:val="28"/>
          <w:szCs w:val="28"/>
        </w:rPr>
      </w:pPr>
    </w:p>
    <w:p w14:paraId="6887E56E" w14:textId="77777777" w:rsidR="00832A4C" w:rsidRPr="00757181" w:rsidRDefault="00832A4C" w:rsidP="00A00F9F">
      <w:pPr>
        <w:spacing w:before="100" w:beforeAutospacing="1" w:after="100" w:afterAutospacing="1" w:line="360" w:lineRule="auto"/>
        <w:jc w:val="both"/>
        <w:outlineLvl w:val="0"/>
        <w:rPr>
          <w:rFonts w:ascii="Times New Roman" w:hAnsi="Times New Roman" w:cs="Times New Roman"/>
          <w:b/>
          <w:bCs/>
          <w:sz w:val="28"/>
          <w:szCs w:val="28"/>
        </w:rPr>
      </w:pPr>
    </w:p>
    <w:p w14:paraId="407997BC" w14:textId="77777777" w:rsidR="00A00F9F" w:rsidRPr="00757181" w:rsidRDefault="00A00F9F" w:rsidP="00A00F9F">
      <w:pPr>
        <w:spacing w:before="100" w:beforeAutospacing="1" w:after="100" w:afterAutospacing="1" w:line="360" w:lineRule="auto"/>
        <w:jc w:val="both"/>
        <w:outlineLvl w:val="0"/>
        <w:rPr>
          <w:rFonts w:ascii="Times New Roman" w:hAnsi="Times New Roman" w:cs="Times New Roman"/>
          <w:b/>
          <w:bCs/>
          <w:sz w:val="28"/>
          <w:szCs w:val="28"/>
        </w:rPr>
      </w:pPr>
      <w:r w:rsidRPr="00757181">
        <w:rPr>
          <w:rFonts w:ascii="Times New Roman" w:hAnsi="Times New Roman" w:cs="Times New Roman"/>
          <w:b/>
          <w:bCs/>
          <w:sz w:val="28"/>
          <w:szCs w:val="28"/>
        </w:rPr>
        <w:t>Competing Interests</w:t>
      </w:r>
    </w:p>
    <w:p w14:paraId="13BEDAEB" w14:textId="77777777" w:rsidR="00A00F9F" w:rsidRPr="00757181" w:rsidRDefault="00A00F9F" w:rsidP="00A00F9F">
      <w:pPr>
        <w:spacing w:before="100" w:beforeAutospacing="1" w:after="100" w:afterAutospacing="1" w:line="360" w:lineRule="auto"/>
        <w:jc w:val="both"/>
        <w:outlineLvl w:val="0"/>
        <w:rPr>
          <w:rFonts w:ascii="Times New Roman" w:hAnsi="Times New Roman" w:cs="Times New Roman"/>
          <w:sz w:val="28"/>
          <w:szCs w:val="28"/>
        </w:rPr>
      </w:pPr>
      <w:r w:rsidRPr="00757181">
        <w:rPr>
          <w:rFonts w:ascii="Times New Roman" w:hAnsi="Times New Roman" w:cs="Times New Roman"/>
          <w:sz w:val="28"/>
          <w:szCs w:val="28"/>
        </w:rPr>
        <w:t>Authors have declared that no competing interests exist.</w:t>
      </w:r>
    </w:p>
    <w:p w14:paraId="1BE13820" w14:textId="77777777" w:rsidR="000379A2" w:rsidRPr="00757181" w:rsidRDefault="000379A2" w:rsidP="000379A2">
      <w:pPr>
        <w:shd w:val="clear" w:color="auto" w:fill="FFFFFF"/>
        <w:spacing w:after="0" w:line="240" w:lineRule="auto"/>
        <w:rPr>
          <w:rFonts w:ascii="Arial" w:eastAsia="Times New Roman" w:hAnsi="Arial" w:cs="Arial"/>
          <w:color w:val="222222"/>
          <w:sz w:val="24"/>
          <w:szCs w:val="24"/>
          <w:lang w:val="en-IN" w:eastAsia="en-IN"/>
        </w:rPr>
      </w:pPr>
      <w:bookmarkStart w:id="0" w:name="_Hlk232854992"/>
    </w:p>
    <w:bookmarkEnd w:id="0"/>
    <w:p w14:paraId="2A32D36E" w14:textId="77777777" w:rsidR="000379A2" w:rsidRPr="00757181" w:rsidRDefault="000379A2" w:rsidP="000379A2">
      <w:pPr>
        <w:spacing w:after="0" w:line="240" w:lineRule="auto"/>
        <w:rPr>
          <w:rFonts w:ascii="Arial" w:hAnsi="Arial" w:cs="Arial"/>
          <w:b/>
          <w:sz w:val="20"/>
          <w:szCs w:val="20"/>
        </w:rPr>
      </w:pPr>
      <w:r w:rsidRPr="00757181">
        <w:rPr>
          <w:rFonts w:ascii="Arial" w:hAnsi="Arial" w:cs="Arial"/>
          <w:b/>
          <w:sz w:val="20"/>
          <w:szCs w:val="20"/>
        </w:rPr>
        <w:t>Declaration of AI Use</w:t>
      </w:r>
    </w:p>
    <w:p w14:paraId="7AE5F873" w14:textId="77777777" w:rsidR="000379A2" w:rsidRPr="00757181" w:rsidRDefault="000379A2" w:rsidP="000379A2">
      <w:pPr>
        <w:spacing w:after="0" w:line="240" w:lineRule="auto"/>
        <w:rPr>
          <w:rFonts w:ascii="Arial" w:hAnsi="Arial" w:cs="Arial"/>
          <w:sz w:val="20"/>
          <w:szCs w:val="20"/>
        </w:rPr>
      </w:pPr>
    </w:p>
    <w:p w14:paraId="63795DA5" w14:textId="77777777" w:rsidR="00A00F9F" w:rsidRPr="00757181" w:rsidRDefault="000379A2" w:rsidP="000379A2">
      <w:pPr>
        <w:jc w:val="both"/>
        <w:rPr>
          <w:rFonts w:ascii="Times New Roman" w:hAnsi="Times New Roman" w:cs="Times New Roman"/>
          <w:sz w:val="28"/>
          <w:szCs w:val="28"/>
        </w:rPr>
      </w:pPr>
      <w:r w:rsidRPr="00757181">
        <w:rPr>
          <w:rFonts w:ascii="Times New Roman" w:eastAsia="Times New Roman" w:hAnsi="Times New Roman" w:cs="Times New Roman"/>
          <w:sz w:val="28"/>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20A652C" w14:textId="77777777" w:rsidR="003A4754" w:rsidRPr="00757181" w:rsidRDefault="003A4754" w:rsidP="00DD1E23">
      <w:pPr>
        <w:spacing w:line="360" w:lineRule="auto"/>
        <w:jc w:val="both"/>
        <w:rPr>
          <w:rFonts w:ascii="Times New Roman" w:hAnsi="Times New Roman" w:cs="Times New Roman"/>
          <w:b/>
          <w:sz w:val="28"/>
          <w:szCs w:val="28"/>
        </w:rPr>
      </w:pPr>
    </w:p>
    <w:p w14:paraId="23D827D8" w14:textId="77777777" w:rsidR="00B40EAE" w:rsidRPr="00757181" w:rsidRDefault="00BE639F" w:rsidP="00DD1E23">
      <w:pPr>
        <w:spacing w:line="360" w:lineRule="auto"/>
        <w:jc w:val="both"/>
        <w:rPr>
          <w:rFonts w:ascii="Times New Roman" w:hAnsi="Times New Roman" w:cs="Times New Roman"/>
          <w:b/>
          <w:sz w:val="28"/>
          <w:szCs w:val="28"/>
        </w:rPr>
      </w:pPr>
      <w:r w:rsidRPr="00757181">
        <w:rPr>
          <w:rFonts w:ascii="Times New Roman" w:hAnsi="Times New Roman" w:cs="Times New Roman"/>
          <w:b/>
          <w:sz w:val="28"/>
          <w:szCs w:val="28"/>
        </w:rPr>
        <w:t>References</w:t>
      </w:r>
    </w:p>
    <w:p w14:paraId="5D573DE5" w14:textId="00001AC3"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Bays, H. E., Taub, P. R., Epstein, E., Michos, E. D., Ferraro, R. A., Bailey, A. L., Kelli, H. M., Ferdinand, K. C., Echols, M. R., Weintraub, H., Bostrom, J., Johnson, H. M., Hoppe, K. K., Shapiro, M. D., German, C. A., Virani, S. S., Hussain, A., Ballantyne, C. M., Agha, A. M., &amp; Toth, P. P. (2021). Ten things to know about ten cardiovascular disease risk factors. </w:t>
      </w:r>
      <w:r w:rsidRPr="000852D5">
        <w:rPr>
          <w:rFonts w:ascii="Times New Roman" w:eastAsia="Times New Roman" w:hAnsi="Times New Roman" w:cs="Times New Roman"/>
          <w:i/>
          <w:iCs/>
          <w:sz w:val="24"/>
          <w:szCs w:val="24"/>
        </w:rPr>
        <w:t>American Journal of Preventive Cardiology, 5</w:t>
      </w:r>
      <w:r w:rsidRPr="000852D5">
        <w:rPr>
          <w:rFonts w:ascii="Times New Roman" w:eastAsia="Times New Roman" w:hAnsi="Times New Roman" w:cs="Times New Roman"/>
          <w:sz w:val="24"/>
          <w:szCs w:val="24"/>
        </w:rPr>
        <w:t xml:space="preserve">, 100149. </w:t>
      </w:r>
      <w:hyperlink r:id="rId7" w:history="1">
        <w:r w:rsidRPr="000852D5">
          <w:rPr>
            <w:rFonts w:ascii="Times New Roman" w:eastAsia="Times New Roman" w:hAnsi="Times New Roman" w:cs="Times New Roman"/>
            <w:color w:val="0000FF"/>
            <w:sz w:val="24"/>
            <w:szCs w:val="24"/>
            <w:u w:val="single"/>
          </w:rPr>
          <w:t>https://doi.org/10.1016/j.ajpc.2021.100149</w:t>
        </w:r>
      </w:hyperlink>
    </w:p>
    <w:p w14:paraId="76EE56BA" w14:textId="2DDC90F4"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proofErr w:type="spellStart"/>
      <w:r w:rsidRPr="000852D5">
        <w:rPr>
          <w:rFonts w:ascii="Times New Roman" w:eastAsia="Times New Roman" w:hAnsi="Times New Roman" w:cs="Times New Roman"/>
          <w:sz w:val="24"/>
          <w:szCs w:val="24"/>
        </w:rPr>
        <w:t>Darbandi</w:t>
      </w:r>
      <w:proofErr w:type="spellEnd"/>
      <w:r w:rsidRPr="000852D5">
        <w:rPr>
          <w:rFonts w:ascii="Times New Roman" w:eastAsia="Times New Roman" w:hAnsi="Times New Roman" w:cs="Times New Roman"/>
          <w:sz w:val="24"/>
          <w:szCs w:val="24"/>
        </w:rPr>
        <w:t xml:space="preserve">, M., Pasdar, Y., Moradi, S., Mohamed, H. J. J., Hamzeh, B., &amp; Salimi, Y. (2020). Discriminatory capacity of anthropometric indices for cardiovascular disease in adults: A systematic review and meta-analysis. </w:t>
      </w:r>
      <w:r w:rsidRPr="000852D5">
        <w:rPr>
          <w:rFonts w:ascii="Times New Roman" w:eastAsia="Times New Roman" w:hAnsi="Times New Roman" w:cs="Times New Roman"/>
          <w:i/>
          <w:iCs/>
          <w:sz w:val="24"/>
          <w:szCs w:val="24"/>
        </w:rPr>
        <w:t>Preventing Chronic Disease, 17</w:t>
      </w:r>
      <w:r w:rsidRPr="000852D5">
        <w:rPr>
          <w:rFonts w:ascii="Times New Roman" w:eastAsia="Times New Roman" w:hAnsi="Times New Roman" w:cs="Times New Roman"/>
          <w:sz w:val="24"/>
          <w:szCs w:val="24"/>
        </w:rPr>
        <w:t xml:space="preserve">, E131. </w:t>
      </w:r>
      <w:hyperlink r:id="rId8" w:history="1">
        <w:r w:rsidRPr="000852D5">
          <w:rPr>
            <w:rFonts w:ascii="Times New Roman" w:eastAsia="Times New Roman" w:hAnsi="Times New Roman" w:cs="Times New Roman"/>
            <w:color w:val="0000FF"/>
            <w:sz w:val="24"/>
            <w:szCs w:val="24"/>
            <w:u w:val="single"/>
          </w:rPr>
          <w:t>https://doi.org/10.5888/pcd17.200112</w:t>
        </w:r>
      </w:hyperlink>
    </w:p>
    <w:p w14:paraId="308203EC" w14:textId="09E79B38"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proofErr w:type="spellStart"/>
      <w:r w:rsidRPr="000852D5">
        <w:rPr>
          <w:rFonts w:ascii="Times New Roman" w:eastAsia="Times New Roman" w:hAnsi="Times New Roman" w:cs="Times New Roman"/>
          <w:sz w:val="24"/>
          <w:szCs w:val="24"/>
        </w:rPr>
        <w:t>Elegbede</w:t>
      </w:r>
      <w:proofErr w:type="spellEnd"/>
      <w:r w:rsidRPr="000852D5">
        <w:rPr>
          <w:rFonts w:ascii="Times New Roman" w:eastAsia="Times New Roman" w:hAnsi="Times New Roman" w:cs="Times New Roman"/>
          <w:sz w:val="24"/>
          <w:szCs w:val="24"/>
        </w:rPr>
        <w:t>, O. T., Ibrahim, A. O., Ajetunmobi, O. A., Gabriel-</w:t>
      </w:r>
      <w:proofErr w:type="spellStart"/>
      <w:r w:rsidRPr="000852D5">
        <w:rPr>
          <w:rFonts w:ascii="Times New Roman" w:eastAsia="Times New Roman" w:hAnsi="Times New Roman" w:cs="Times New Roman"/>
          <w:sz w:val="24"/>
          <w:szCs w:val="24"/>
        </w:rPr>
        <w:t>Alayode</w:t>
      </w:r>
      <w:proofErr w:type="spellEnd"/>
      <w:r w:rsidRPr="000852D5">
        <w:rPr>
          <w:rFonts w:ascii="Times New Roman" w:eastAsia="Times New Roman" w:hAnsi="Times New Roman" w:cs="Times New Roman"/>
          <w:sz w:val="24"/>
          <w:szCs w:val="24"/>
        </w:rPr>
        <w:t xml:space="preserve">, O. E., Olusuyi, K. M., </w:t>
      </w:r>
      <w:proofErr w:type="spellStart"/>
      <w:r w:rsidRPr="000852D5">
        <w:rPr>
          <w:rFonts w:ascii="Times New Roman" w:eastAsia="Times New Roman" w:hAnsi="Times New Roman" w:cs="Times New Roman"/>
          <w:sz w:val="24"/>
          <w:szCs w:val="24"/>
        </w:rPr>
        <w:t>Elegbede</w:t>
      </w:r>
      <w:proofErr w:type="spellEnd"/>
      <w:r w:rsidRPr="000852D5">
        <w:rPr>
          <w:rFonts w:ascii="Times New Roman" w:eastAsia="Times New Roman" w:hAnsi="Times New Roman" w:cs="Times New Roman"/>
          <w:sz w:val="24"/>
          <w:szCs w:val="24"/>
        </w:rPr>
        <w:t xml:space="preserve">, A. O., </w:t>
      </w:r>
      <w:proofErr w:type="spellStart"/>
      <w:r w:rsidRPr="000852D5">
        <w:rPr>
          <w:rFonts w:ascii="Times New Roman" w:eastAsia="Times New Roman" w:hAnsi="Times New Roman" w:cs="Times New Roman"/>
          <w:sz w:val="24"/>
          <w:szCs w:val="24"/>
        </w:rPr>
        <w:t>Ariyibi</w:t>
      </w:r>
      <w:proofErr w:type="spellEnd"/>
      <w:r w:rsidRPr="000852D5">
        <w:rPr>
          <w:rFonts w:ascii="Times New Roman" w:eastAsia="Times New Roman" w:hAnsi="Times New Roman" w:cs="Times New Roman"/>
          <w:sz w:val="24"/>
          <w:szCs w:val="24"/>
        </w:rPr>
        <w:t xml:space="preserve">, K. E., Omolayo, T. A., &amp; Olanrewaju, T. M. (2026). Relationship between socio-demographics, body mass index, perceived stress level and blood pressure control among patients with hypertension attending a health facility in rural Southwest Nigeria. </w:t>
      </w:r>
      <w:r w:rsidRPr="000852D5">
        <w:rPr>
          <w:rFonts w:ascii="Times New Roman" w:eastAsia="Times New Roman" w:hAnsi="Times New Roman" w:cs="Times New Roman"/>
          <w:i/>
          <w:iCs/>
          <w:sz w:val="24"/>
          <w:szCs w:val="24"/>
        </w:rPr>
        <w:t>Journal of Advances in Medicine and Medical Research, 38</w:t>
      </w:r>
      <w:r w:rsidRPr="000852D5">
        <w:rPr>
          <w:rFonts w:ascii="Times New Roman" w:eastAsia="Times New Roman" w:hAnsi="Times New Roman" w:cs="Times New Roman"/>
          <w:sz w:val="24"/>
          <w:szCs w:val="24"/>
        </w:rPr>
        <w:t xml:space="preserve">(5), 80–91. </w:t>
      </w:r>
      <w:hyperlink r:id="rId9" w:history="1">
        <w:r w:rsidRPr="000852D5">
          <w:rPr>
            <w:rFonts w:ascii="Times New Roman" w:eastAsia="Times New Roman" w:hAnsi="Times New Roman" w:cs="Times New Roman"/>
            <w:color w:val="0000FF"/>
            <w:sz w:val="24"/>
            <w:szCs w:val="24"/>
            <w:u w:val="single"/>
          </w:rPr>
          <w:t>https://doi.org/10.9734/jammr/2026/v38i56136</w:t>
        </w:r>
      </w:hyperlink>
    </w:p>
    <w:p w14:paraId="06DD535F" w14:textId="40E1FD0E"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lastRenderedPageBreak/>
        <w:t xml:space="preserve">Hall, M. E., Cohen, J. B., Ard, J. D., Egan, B. M., Hall, J. E., Lavie, C. J., Ma, J., </w:t>
      </w:r>
      <w:proofErr w:type="spellStart"/>
      <w:r w:rsidRPr="000852D5">
        <w:rPr>
          <w:rFonts w:ascii="Times New Roman" w:eastAsia="Times New Roman" w:hAnsi="Times New Roman" w:cs="Times New Roman"/>
          <w:sz w:val="24"/>
          <w:szCs w:val="24"/>
        </w:rPr>
        <w:t>Ndumele</w:t>
      </w:r>
      <w:proofErr w:type="spellEnd"/>
      <w:r w:rsidRPr="000852D5">
        <w:rPr>
          <w:rFonts w:ascii="Times New Roman" w:eastAsia="Times New Roman" w:hAnsi="Times New Roman" w:cs="Times New Roman"/>
          <w:sz w:val="24"/>
          <w:szCs w:val="24"/>
        </w:rPr>
        <w:t xml:space="preserve">, C. E., Schauer, P. R., &amp; </w:t>
      </w:r>
      <w:proofErr w:type="spellStart"/>
      <w:r w:rsidRPr="000852D5">
        <w:rPr>
          <w:rFonts w:ascii="Times New Roman" w:eastAsia="Times New Roman" w:hAnsi="Times New Roman" w:cs="Times New Roman"/>
          <w:sz w:val="24"/>
          <w:szCs w:val="24"/>
        </w:rPr>
        <w:t>Shimbo</w:t>
      </w:r>
      <w:proofErr w:type="spellEnd"/>
      <w:r w:rsidRPr="000852D5">
        <w:rPr>
          <w:rFonts w:ascii="Times New Roman" w:eastAsia="Times New Roman" w:hAnsi="Times New Roman" w:cs="Times New Roman"/>
          <w:sz w:val="24"/>
          <w:szCs w:val="24"/>
        </w:rPr>
        <w:t xml:space="preserve">, D. (2021). Weight-loss strategies for prevention and treatment of hypertension: A scientific statement from the American Heart Association. </w:t>
      </w:r>
      <w:r w:rsidRPr="000852D5">
        <w:rPr>
          <w:rFonts w:ascii="Times New Roman" w:eastAsia="Times New Roman" w:hAnsi="Times New Roman" w:cs="Times New Roman"/>
          <w:i/>
          <w:iCs/>
          <w:sz w:val="24"/>
          <w:szCs w:val="24"/>
        </w:rPr>
        <w:t>Hypertension, 78</w:t>
      </w:r>
      <w:r w:rsidRPr="000852D5">
        <w:rPr>
          <w:rFonts w:ascii="Times New Roman" w:eastAsia="Times New Roman" w:hAnsi="Times New Roman" w:cs="Times New Roman"/>
          <w:sz w:val="24"/>
          <w:szCs w:val="24"/>
        </w:rPr>
        <w:t xml:space="preserve">(5), e38–e50. </w:t>
      </w:r>
      <w:hyperlink r:id="rId10" w:history="1">
        <w:r w:rsidRPr="000852D5">
          <w:rPr>
            <w:rFonts w:ascii="Times New Roman" w:eastAsia="Times New Roman" w:hAnsi="Times New Roman" w:cs="Times New Roman"/>
            <w:color w:val="0000FF"/>
            <w:sz w:val="24"/>
            <w:szCs w:val="24"/>
            <w:u w:val="single"/>
          </w:rPr>
          <w:t>https://doi.org/10.1161/HYP.0000000000000202</w:t>
        </w:r>
      </w:hyperlink>
    </w:p>
    <w:p w14:paraId="73D426CB" w14:textId="0EEC668E"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Jones, D. W., Ferdinand, K. C., Taler, S. J., Johnson, H. M., </w:t>
      </w:r>
      <w:proofErr w:type="spellStart"/>
      <w:r w:rsidRPr="000852D5">
        <w:rPr>
          <w:rFonts w:ascii="Times New Roman" w:eastAsia="Times New Roman" w:hAnsi="Times New Roman" w:cs="Times New Roman"/>
          <w:sz w:val="24"/>
          <w:szCs w:val="24"/>
        </w:rPr>
        <w:t>Shimbo</w:t>
      </w:r>
      <w:proofErr w:type="spellEnd"/>
      <w:r w:rsidRPr="000852D5">
        <w:rPr>
          <w:rFonts w:ascii="Times New Roman" w:eastAsia="Times New Roman" w:hAnsi="Times New Roman" w:cs="Times New Roman"/>
          <w:sz w:val="24"/>
          <w:szCs w:val="24"/>
        </w:rPr>
        <w:t xml:space="preserve">, D., Abdalla, M., Altieri, M. M., Bansal, N., Bello, N. A., Bress, A. P., Carter, J., Cohen, J. B., Collins, K. J., Commodore-Mensah, Y., Davis, L. L., Egan, B., Khan, S. S., Lloyd-Jones, D. M., Mazurek Melnyk, B., … Williamson, J. D. (2025). 2025 AHA/ACC/AANP/AAPA/ABC/ACCP/ACPM/AGS/AMA/ASPC/NMA/PCNA/SGIM guideline for the prevention, detection, evaluation, and management of high blood pressure in adults: A report of the American College of Cardiology/American Heart Association Joint Committee on Clinical Practice Guidelines. </w:t>
      </w:r>
      <w:r w:rsidRPr="000852D5">
        <w:rPr>
          <w:rFonts w:ascii="Times New Roman" w:eastAsia="Times New Roman" w:hAnsi="Times New Roman" w:cs="Times New Roman"/>
          <w:i/>
          <w:iCs/>
          <w:sz w:val="24"/>
          <w:szCs w:val="24"/>
        </w:rPr>
        <w:t>Circulation, 152</w:t>
      </w:r>
      <w:r w:rsidRPr="000852D5">
        <w:rPr>
          <w:rFonts w:ascii="Times New Roman" w:eastAsia="Times New Roman" w:hAnsi="Times New Roman" w:cs="Times New Roman"/>
          <w:sz w:val="24"/>
          <w:szCs w:val="24"/>
        </w:rPr>
        <w:t xml:space="preserve">(11), e114–e218. </w:t>
      </w:r>
      <w:hyperlink r:id="rId11" w:history="1">
        <w:r w:rsidRPr="000852D5">
          <w:rPr>
            <w:rFonts w:ascii="Times New Roman" w:eastAsia="Times New Roman" w:hAnsi="Times New Roman" w:cs="Times New Roman"/>
            <w:color w:val="0000FF"/>
            <w:sz w:val="24"/>
            <w:szCs w:val="24"/>
            <w:u w:val="single"/>
          </w:rPr>
          <w:t>https://doi.org/10.1161/CIR.0000000000001356</w:t>
        </w:r>
      </w:hyperlink>
    </w:p>
    <w:p w14:paraId="2CE13E4C" w14:textId="4BBB091B"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Koskinas, K. C., Van Craenenbroeck, E. M., Antoniades, C., </w:t>
      </w:r>
      <w:proofErr w:type="spellStart"/>
      <w:r w:rsidRPr="000852D5">
        <w:rPr>
          <w:rFonts w:ascii="Times New Roman" w:eastAsia="Times New Roman" w:hAnsi="Times New Roman" w:cs="Times New Roman"/>
          <w:sz w:val="24"/>
          <w:szCs w:val="24"/>
        </w:rPr>
        <w:t>Blüher</w:t>
      </w:r>
      <w:proofErr w:type="spellEnd"/>
      <w:r w:rsidRPr="000852D5">
        <w:rPr>
          <w:rFonts w:ascii="Times New Roman" w:eastAsia="Times New Roman" w:hAnsi="Times New Roman" w:cs="Times New Roman"/>
          <w:sz w:val="24"/>
          <w:szCs w:val="24"/>
        </w:rPr>
        <w:t xml:space="preserve">, M., Gorter, T. M., Hanssen, H., Marx, N., McDonagh, T. A., Mingrone, G., Rosengren, A., &amp; Prescott, E. B. (2024). Obesity and cardiovascular disease: An ESC clinical consensus statement. </w:t>
      </w:r>
      <w:r w:rsidRPr="000852D5">
        <w:rPr>
          <w:rFonts w:ascii="Times New Roman" w:eastAsia="Times New Roman" w:hAnsi="Times New Roman" w:cs="Times New Roman"/>
          <w:i/>
          <w:iCs/>
          <w:sz w:val="24"/>
          <w:szCs w:val="24"/>
        </w:rPr>
        <w:t>European Heart Journal, 45</w:t>
      </w:r>
      <w:r w:rsidRPr="000852D5">
        <w:rPr>
          <w:rFonts w:ascii="Times New Roman" w:eastAsia="Times New Roman" w:hAnsi="Times New Roman" w:cs="Times New Roman"/>
          <w:sz w:val="24"/>
          <w:szCs w:val="24"/>
        </w:rPr>
        <w:t xml:space="preserve">(38), 4063–4098. </w:t>
      </w:r>
      <w:hyperlink r:id="rId12" w:history="1">
        <w:r w:rsidRPr="000852D5">
          <w:rPr>
            <w:rFonts w:ascii="Times New Roman" w:eastAsia="Times New Roman" w:hAnsi="Times New Roman" w:cs="Times New Roman"/>
            <w:color w:val="0000FF"/>
            <w:sz w:val="24"/>
            <w:szCs w:val="24"/>
            <w:u w:val="single"/>
          </w:rPr>
          <w:t>https://doi.org/10.1093/eurheartj/ehae508</w:t>
        </w:r>
      </w:hyperlink>
    </w:p>
    <w:p w14:paraId="581FA986" w14:textId="1C49D944"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Laddu, D., Neeland, I. J., </w:t>
      </w:r>
      <w:proofErr w:type="spellStart"/>
      <w:r w:rsidRPr="000852D5">
        <w:rPr>
          <w:rFonts w:ascii="Times New Roman" w:eastAsia="Times New Roman" w:hAnsi="Times New Roman" w:cs="Times New Roman"/>
          <w:sz w:val="24"/>
          <w:szCs w:val="24"/>
        </w:rPr>
        <w:t>Carnethon</w:t>
      </w:r>
      <w:proofErr w:type="spellEnd"/>
      <w:r w:rsidRPr="000852D5">
        <w:rPr>
          <w:rFonts w:ascii="Times New Roman" w:eastAsia="Times New Roman" w:hAnsi="Times New Roman" w:cs="Times New Roman"/>
          <w:sz w:val="24"/>
          <w:szCs w:val="24"/>
        </w:rPr>
        <w:t xml:space="preserve">, M., Stanford, F. C., </w:t>
      </w:r>
      <w:proofErr w:type="spellStart"/>
      <w:r w:rsidRPr="000852D5">
        <w:rPr>
          <w:rFonts w:ascii="Times New Roman" w:eastAsia="Times New Roman" w:hAnsi="Times New Roman" w:cs="Times New Roman"/>
          <w:sz w:val="24"/>
          <w:szCs w:val="24"/>
        </w:rPr>
        <w:t>Mongraw</w:t>
      </w:r>
      <w:proofErr w:type="spellEnd"/>
      <w:r w:rsidRPr="000852D5">
        <w:rPr>
          <w:rFonts w:ascii="Times New Roman" w:eastAsia="Times New Roman" w:hAnsi="Times New Roman" w:cs="Times New Roman"/>
          <w:sz w:val="24"/>
          <w:szCs w:val="24"/>
        </w:rPr>
        <w:t xml:space="preserve">-Chaffin, M., Gibbs, B. B., </w:t>
      </w:r>
      <w:proofErr w:type="spellStart"/>
      <w:r w:rsidRPr="000852D5">
        <w:rPr>
          <w:rFonts w:ascii="Times New Roman" w:eastAsia="Times New Roman" w:hAnsi="Times New Roman" w:cs="Times New Roman"/>
          <w:sz w:val="24"/>
          <w:szCs w:val="24"/>
        </w:rPr>
        <w:t>Ndumele</w:t>
      </w:r>
      <w:proofErr w:type="spellEnd"/>
      <w:r w:rsidRPr="000852D5">
        <w:rPr>
          <w:rFonts w:ascii="Times New Roman" w:eastAsia="Times New Roman" w:hAnsi="Times New Roman" w:cs="Times New Roman"/>
          <w:sz w:val="24"/>
          <w:szCs w:val="24"/>
        </w:rPr>
        <w:t xml:space="preserve">, C. E., Longenecker, C. T., Chung, M. L., &amp; Rao, G. (2024). Implementation of obesity science into clinical practice: A scientific statement from the American Heart Association. </w:t>
      </w:r>
      <w:r w:rsidRPr="000852D5">
        <w:rPr>
          <w:rFonts w:ascii="Times New Roman" w:eastAsia="Times New Roman" w:hAnsi="Times New Roman" w:cs="Times New Roman"/>
          <w:i/>
          <w:iCs/>
          <w:sz w:val="24"/>
          <w:szCs w:val="24"/>
        </w:rPr>
        <w:t>Circulation, 150</w:t>
      </w:r>
      <w:r w:rsidRPr="000852D5">
        <w:rPr>
          <w:rFonts w:ascii="Times New Roman" w:eastAsia="Times New Roman" w:hAnsi="Times New Roman" w:cs="Times New Roman"/>
          <w:sz w:val="24"/>
          <w:szCs w:val="24"/>
        </w:rPr>
        <w:t xml:space="preserve">(1), e7–e19. </w:t>
      </w:r>
      <w:hyperlink r:id="rId13" w:history="1">
        <w:r w:rsidRPr="000852D5">
          <w:rPr>
            <w:rFonts w:ascii="Times New Roman" w:eastAsia="Times New Roman" w:hAnsi="Times New Roman" w:cs="Times New Roman"/>
            <w:color w:val="0000FF"/>
            <w:sz w:val="24"/>
            <w:szCs w:val="24"/>
            <w:u w:val="single"/>
          </w:rPr>
          <w:t>https://doi.org/10.1161/CIR.0000000000001221</w:t>
        </w:r>
      </w:hyperlink>
    </w:p>
    <w:p w14:paraId="51B75132" w14:textId="2FD42649"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McDonagh, T. A., Metra, M., Adamo, M., Gardner, R. S., Baumbach, A., Böhm, M., Burri, H., Butler, J., </w:t>
      </w:r>
      <w:proofErr w:type="spellStart"/>
      <w:r w:rsidRPr="000852D5">
        <w:rPr>
          <w:rFonts w:ascii="Times New Roman" w:eastAsia="Times New Roman" w:hAnsi="Times New Roman" w:cs="Times New Roman"/>
          <w:sz w:val="24"/>
          <w:szCs w:val="24"/>
        </w:rPr>
        <w:t>Čelutkienė</w:t>
      </w:r>
      <w:proofErr w:type="spellEnd"/>
      <w:r w:rsidRPr="000852D5">
        <w:rPr>
          <w:rFonts w:ascii="Times New Roman" w:eastAsia="Times New Roman" w:hAnsi="Times New Roman" w:cs="Times New Roman"/>
          <w:sz w:val="24"/>
          <w:szCs w:val="24"/>
        </w:rPr>
        <w:t xml:space="preserve">, J., </w:t>
      </w:r>
      <w:proofErr w:type="spellStart"/>
      <w:r w:rsidRPr="000852D5">
        <w:rPr>
          <w:rFonts w:ascii="Times New Roman" w:eastAsia="Times New Roman" w:hAnsi="Times New Roman" w:cs="Times New Roman"/>
          <w:sz w:val="24"/>
          <w:szCs w:val="24"/>
        </w:rPr>
        <w:t>Chioncel</w:t>
      </w:r>
      <w:proofErr w:type="spellEnd"/>
      <w:r w:rsidRPr="000852D5">
        <w:rPr>
          <w:rFonts w:ascii="Times New Roman" w:eastAsia="Times New Roman" w:hAnsi="Times New Roman" w:cs="Times New Roman"/>
          <w:sz w:val="24"/>
          <w:szCs w:val="24"/>
        </w:rPr>
        <w:t xml:space="preserve">, O., Cleland, J. G. F., Coats, A. J. S., Crespo-Leiro, M. G., Farmakis, D., </w:t>
      </w:r>
      <w:proofErr w:type="spellStart"/>
      <w:r w:rsidRPr="000852D5">
        <w:rPr>
          <w:rFonts w:ascii="Times New Roman" w:eastAsia="Times New Roman" w:hAnsi="Times New Roman" w:cs="Times New Roman"/>
          <w:sz w:val="24"/>
          <w:szCs w:val="24"/>
        </w:rPr>
        <w:t>Gilard</w:t>
      </w:r>
      <w:proofErr w:type="spellEnd"/>
      <w:r w:rsidRPr="000852D5">
        <w:rPr>
          <w:rFonts w:ascii="Times New Roman" w:eastAsia="Times New Roman" w:hAnsi="Times New Roman" w:cs="Times New Roman"/>
          <w:sz w:val="24"/>
          <w:szCs w:val="24"/>
        </w:rPr>
        <w:t xml:space="preserve">, M., Heymans, S., Hoes, A. W., Jaarsma, T., Jankowska, E. A., … Skibelund, A. K. (2021). 2021 ESC guidelines for the diagnosis and treatment of acute and chronic heart failure. </w:t>
      </w:r>
      <w:r w:rsidRPr="000852D5">
        <w:rPr>
          <w:rFonts w:ascii="Times New Roman" w:eastAsia="Times New Roman" w:hAnsi="Times New Roman" w:cs="Times New Roman"/>
          <w:i/>
          <w:iCs/>
          <w:sz w:val="24"/>
          <w:szCs w:val="24"/>
        </w:rPr>
        <w:t>European Heart Journal, 42</w:t>
      </w:r>
      <w:r w:rsidRPr="000852D5">
        <w:rPr>
          <w:rFonts w:ascii="Times New Roman" w:eastAsia="Times New Roman" w:hAnsi="Times New Roman" w:cs="Times New Roman"/>
          <w:sz w:val="24"/>
          <w:szCs w:val="24"/>
        </w:rPr>
        <w:t xml:space="preserve">(36), 3599–3726. </w:t>
      </w:r>
      <w:hyperlink r:id="rId14" w:history="1">
        <w:r w:rsidRPr="000852D5">
          <w:rPr>
            <w:rFonts w:ascii="Times New Roman" w:eastAsia="Times New Roman" w:hAnsi="Times New Roman" w:cs="Times New Roman"/>
            <w:color w:val="0000FF"/>
            <w:sz w:val="24"/>
            <w:szCs w:val="24"/>
            <w:u w:val="single"/>
          </w:rPr>
          <w:t>https://doi.org/10.1093/eurheartj/ehab368</w:t>
        </w:r>
      </w:hyperlink>
    </w:p>
    <w:p w14:paraId="00B2CB00" w14:textId="7FD00E0C"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McEvoy, J. W., McCarthy, C. P., Bruno, R. M., Brouwers, S., Canavan, M. D., Ceconi, C., Christodorescu, R. M., Daskalopoulou, S. S., Ferro, C. J., Gerdts, E., Hanssen, H., Harris, J., Lauder, L., McManus, R. J., Molloy, G. J., Rahimi, K., Regitz-</w:t>
      </w:r>
      <w:proofErr w:type="spellStart"/>
      <w:r w:rsidRPr="000852D5">
        <w:rPr>
          <w:rFonts w:ascii="Times New Roman" w:eastAsia="Times New Roman" w:hAnsi="Times New Roman" w:cs="Times New Roman"/>
          <w:sz w:val="24"/>
          <w:szCs w:val="24"/>
        </w:rPr>
        <w:t>Zagrosek</w:t>
      </w:r>
      <w:proofErr w:type="spellEnd"/>
      <w:r w:rsidRPr="000852D5">
        <w:rPr>
          <w:rFonts w:ascii="Times New Roman" w:eastAsia="Times New Roman" w:hAnsi="Times New Roman" w:cs="Times New Roman"/>
          <w:sz w:val="24"/>
          <w:szCs w:val="24"/>
        </w:rPr>
        <w:t xml:space="preserve">, V., Rossi, G. P., </w:t>
      </w:r>
      <w:proofErr w:type="spellStart"/>
      <w:r w:rsidRPr="000852D5">
        <w:rPr>
          <w:rFonts w:ascii="Times New Roman" w:eastAsia="Times New Roman" w:hAnsi="Times New Roman" w:cs="Times New Roman"/>
          <w:sz w:val="24"/>
          <w:szCs w:val="24"/>
        </w:rPr>
        <w:t>Sandset</w:t>
      </w:r>
      <w:proofErr w:type="spellEnd"/>
      <w:r w:rsidRPr="000852D5">
        <w:rPr>
          <w:rFonts w:ascii="Times New Roman" w:eastAsia="Times New Roman" w:hAnsi="Times New Roman" w:cs="Times New Roman"/>
          <w:sz w:val="24"/>
          <w:szCs w:val="24"/>
        </w:rPr>
        <w:t xml:space="preserve">, E. C., … </w:t>
      </w:r>
      <w:proofErr w:type="spellStart"/>
      <w:r w:rsidRPr="000852D5">
        <w:rPr>
          <w:rFonts w:ascii="Times New Roman" w:eastAsia="Times New Roman" w:hAnsi="Times New Roman" w:cs="Times New Roman"/>
          <w:sz w:val="24"/>
          <w:szCs w:val="24"/>
        </w:rPr>
        <w:t>Touyz</w:t>
      </w:r>
      <w:proofErr w:type="spellEnd"/>
      <w:r w:rsidRPr="000852D5">
        <w:rPr>
          <w:rFonts w:ascii="Times New Roman" w:eastAsia="Times New Roman" w:hAnsi="Times New Roman" w:cs="Times New Roman"/>
          <w:sz w:val="24"/>
          <w:szCs w:val="24"/>
        </w:rPr>
        <w:t xml:space="preserve">, R. M. (2024). 2024 ESC guidelines for the management of elevated blood pressure and hypertension. </w:t>
      </w:r>
      <w:r w:rsidRPr="000852D5">
        <w:rPr>
          <w:rFonts w:ascii="Times New Roman" w:eastAsia="Times New Roman" w:hAnsi="Times New Roman" w:cs="Times New Roman"/>
          <w:i/>
          <w:iCs/>
          <w:sz w:val="24"/>
          <w:szCs w:val="24"/>
        </w:rPr>
        <w:t>European Heart Journal, 45</w:t>
      </w:r>
      <w:r w:rsidRPr="000852D5">
        <w:rPr>
          <w:rFonts w:ascii="Times New Roman" w:eastAsia="Times New Roman" w:hAnsi="Times New Roman" w:cs="Times New Roman"/>
          <w:sz w:val="24"/>
          <w:szCs w:val="24"/>
        </w:rPr>
        <w:t xml:space="preserve">(38), 3912–4018. </w:t>
      </w:r>
      <w:hyperlink r:id="rId15" w:history="1">
        <w:r w:rsidRPr="000852D5">
          <w:rPr>
            <w:rFonts w:ascii="Times New Roman" w:eastAsia="Times New Roman" w:hAnsi="Times New Roman" w:cs="Times New Roman"/>
            <w:color w:val="0000FF"/>
            <w:sz w:val="24"/>
            <w:szCs w:val="24"/>
            <w:u w:val="single"/>
          </w:rPr>
          <w:t>https://doi.org/10.1093/eurheartj/ehae178</w:t>
        </w:r>
      </w:hyperlink>
    </w:p>
    <w:p w14:paraId="66227EB0" w14:textId="2347866D"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McKee, P. A., Castelli, W. P., McNamara, P. M., &amp; Kannel, W. B. (1971). The natural history of congestive heart failure: The Framingham study. </w:t>
      </w:r>
      <w:r w:rsidRPr="000852D5">
        <w:rPr>
          <w:rFonts w:ascii="Times New Roman" w:eastAsia="Times New Roman" w:hAnsi="Times New Roman" w:cs="Times New Roman"/>
          <w:i/>
          <w:iCs/>
          <w:sz w:val="24"/>
          <w:szCs w:val="24"/>
        </w:rPr>
        <w:t>New England Journal of Medicine, 285</w:t>
      </w:r>
      <w:r w:rsidRPr="000852D5">
        <w:rPr>
          <w:rFonts w:ascii="Times New Roman" w:eastAsia="Times New Roman" w:hAnsi="Times New Roman" w:cs="Times New Roman"/>
          <w:sz w:val="24"/>
          <w:szCs w:val="24"/>
        </w:rPr>
        <w:t xml:space="preserve">(26), 1441–1446. </w:t>
      </w:r>
      <w:hyperlink r:id="rId16" w:history="1">
        <w:r w:rsidRPr="000852D5">
          <w:rPr>
            <w:rFonts w:ascii="Times New Roman" w:eastAsia="Times New Roman" w:hAnsi="Times New Roman" w:cs="Times New Roman"/>
            <w:color w:val="0000FF"/>
            <w:sz w:val="24"/>
            <w:szCs w:val="24"/>
            <w:u w:val="single"/>
          </w:rPr>
          <w:t>https://doi.org/10.1056/NEJM197112232852601</w:t>
        </w:r>
      </w:hyperlink>
    </w:p>
    <w:p w14:paraId="54630EEA" w14:textId="167656DE"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lang w:val="nl-BE"/>
        </w:rPr>
        <w:t xml:space="preserve">Nolan, P., &amp; McEvoy, J. W. (2024). </w:t>
      </w:r>
      <w:r w:rsidRPr="000852D5">
        <w:rPr>
          <w:rFonts w:ascii="Times New Roman" w:eastAsia="Times New Roman" w:hAnsi="Times New Roman" w:cs="Times New Roman"/>
          <w:sz w:val="24"/>
          <w:szCs w:val="24"/>
        </w:rPr>
        <w:t xml:space="preserve">Salt restriction for treatment of hypertension—Current state and future directions. </w:t>
      </w:r>
      <w:r w:rsidRPr="000852D5">
        <w:rPr>
          <w:rFonts w:ascii="Times New Roman" w:eastAsia="Times New Roman" w:hAnsi="Times New Roman" w:cs="Times New Roman"/>
          <w:i/>
          <w:iCs/>
          <w:sz w:val="24"/>
          <w:szCs w:val="24"/>
        </w:rPr>
        <w:t>Current Opinion in Cardiology, 39</w:t>
      </w:r>
      <w:r w:rsidRPr="000852D5">
        <w:rPr>
          <w:rFonts w:ascii="Times New Roman" w:eastAsia="Times New Roman" w:hAnsi="Times New Roman" w:cs="Times New Roman"/>
          <w:sz w:val="24"/>
          <w:szCs w:val="24"/>
        </w:rPr>
        <w:t xml:space="preserve">(1), 61–67. </w:t>
      </w:r>
      <w:hyperlink r:id="rId17" w:history="1">
        <w:r w:rsidRPr="000852D5">
          <w:rPr>
            <w:rFonts w:ascii="Times New Roman" w:eastAsia="Times New Roman" w:hAnsi="Times New Roman" w:cs="Times New Roman"/>
            <w:color w:val="0000FF"/>
            <w:sz w:val="24"/>
            <w:szCs w:val="24"/>
            <w:u w:val="single"/>
          </w:rPr>
          <w:t>https://doi.org/10.1097/HCO.0000000000001098</w:t>
        </w:r>
      </w:hyperlink>
    </w:p>
    <w:p w14:paraId="773FF84D" w14:textId="63293C6D"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proofErr w:type="spellStart"/>
      <w:r w:rsidRPr="000852D5">
        <w:rPr>
          <w:rFonts w:ascii="Times New Roman" w:eastAsia="Times New Roman" w:hAnsi="Times New Roman" w:cs="Times New Roman"/>
          <w:sz w:val="24"/>
          <w:szCs w:val="24"/>
        </w:rPr>
        <w:t>Ojedokun</w:t>
      </w:r>
      <w:proofErr w:type="spellEnd"/>
      <w:r w:rsidRPr="000852D5">
        <w:rPr>
          <w:rFonts w:ascii="Times New Roman" w:eastAsia="Times New Roman" w:hAnsi="Times New Roman" w:cs="Times New Roman"/>
          <w:sz w:val="24"/>
          <w:szCs w:val="24"/>
        </w:rPr>
        <w:t xml:space="preserve">, S. A., </w:t>
      </w:r>
      <w:proofErr w:type="spellStart"/>
      <w:r w:rsidRPr="000852D5">
        <w:rPr>
          <w:rFonts w:ascii="Times New Roman" w:eastAsia="Times New Roman" w:hAnsi="Times New Roman" w:cs="Times New Roman"/>
          <w:sz w:val="24"/>
          <w:szCs w:val="24"/>
        </w:rPr>
        <w:t>Oladibu</w:t>
      </w:r>
      <w:proofErr w:type="spellEnd"/>
      <w:r w:rsidRPr="000852D5">
        <w:rPr>
          <w:rFonts w:ascii="Times New Roman" w:eastAsia="Times New Roman" w:hAnsi="Times New Roman" w:cs="Times New Roman"/>
          <w:sz w:val="24"/>
          <w:szCs w:val="24"/>
        </w:rPr>
        <w:t xml:space="preserve">, O. T., Oke, E. O., </w:t>
      </w:r>
      <w:proofErr w:type="spellStart"/>
      <w:r w:rsidRPr="000852D5">
        <w:rPr>
          <w:rFonts w:ascii="Times New Roman" w:eastAsia="Times New Roman" w:hAnsi="Times New Roman" w:cs="Times New Roman"/>
          <w:sz w:val="24"/>
          <w:szCs w:val="24"/>
        </w:rPr>
        <w:t>Oyediran</w:t>
      </w:r>
      <w:proofErr w:type="spellEnd"/>
      <w:r w:rsidRPr="000852D5">
        <w:rPr>
          <w:rFonts w:ascii="Times New Roman" w:eastAsia="Times New Roman" w:hAnsi="Times New Roman" w:cs="Times New Roman"/>
          <w:sz w:val="24"/>
          <w:szCs w:val="24"/>
        </w:rPr>
        <w:t xml:space="preserve">, P. I., Akande, Y. F., Ajayi, O. T., &amp; Oloyede, T. W. (2025). Weight loss drug therapies: Current evidence and prospects for use in metabolic clinics in Nigeria. </w:t>
      </w:r>
      <w:r w:rsidRPr="000852D5">
        <w:rPr>
          <w:rFonts w:ascii="Times New Roman" w:eastAsia="Times New Roman" w:hAnsi="Times New Roman" w:cs="Times New Roman"/>
          <w:i/>
          <w:iCs/>
          <w:sz w:val="24"/>
          <w:szCs w:val="24"/>
        </w:rPr>
        <w:t>Journal of Disease and Global Health, 18</w:t>
      </w:r>
      <w:r w:rsidRPr="000852D5">
        <w:rPr>
          <w:rFonts w:ascii="Times New Roman" w:eastAsia="Times New Roman" w:hAnsi="Times New Roman" w:cs="Times New Roman"/>
          <w:sz w:val="24"/>
          <w:szCs w:val="24"/>
        </w:rPr>
        <w:t xml:space="preserve">(2), 170–180. </w:t>
      </w:r>
      <w:hyperlink r:id="rId18" w:history="1">
        <w:r w:rsidRPr="000852D5">
          <w:rPr>
            <w:rFonts w:ascii="Times New Roman" w:eastAsia="Times New Roman" w:hAnsi="Times New Roman" w:cs="Times New Roman"/>
            <w:color w:val="0000FF"/>
            <w:sz w:val="24"/>
            <w:szCs w:val="24"/>
            <w:u w:val="single"/>
          </w:rPr>
          <w:t>https://doi.org/10.56557/jodagh/2025/v18i29636</w:t>
        </w:r>
      </w:hyperlink>
    </w:p>
    <w:p w14:paraId="6C25A53F" w14:textId="2E4B2E6C"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Ojo, A. E., </w:t>
      </w:r>
      <w:proofErr w:type="spellStart"/>
      <w:r w:rsidRPr="000852D5">
        <w:rPr>
          <w:rFonts w:ascii="Times New Roman" w:eastAsia="Times New Roman" w:hAnsi="Times New Roman" w:cs="Times New Roman"/>
          <w:sz w:val="24"/>
          <w:szCs w:val="24"/>
        </w:rPr>
        <w:t>Ojji</w:t>
      </w:r>
      <w:proofErr w:type="spellEnd"/>
      <w:r w:rsidRPr="000852D5">
        <w:rPr>
          <w:rFonts w:ascii="Times New Roman" w:eastAsia="Times New Roman" w:hAnsi="Times New Roman" w:cs="Times New Roman"/>
          <w:sz w:val="24"/>
          <w:szCs w:val="24"/>
        </w:rPr>
        <w:t xml:space="preserve">, D. B., </w:t>
      </w:r>
      <w:proofErr w:type="spellStart"/>
      <w:r w:rsidRPr="000852D5">
        <w:rPr>
          <w:rFonts w:ascii="Times New Roman" w:eastAsia="Times New Roman" w:hAnsi="Times New Roman" w:cs="Times New Roman"/>
          <w:sz w:val="24"/>
          <w:szCs w:val="24"/>
        </w:rPr>
        <w:t>Grobbee</w:t>
      </w:r>
      <w:proofErr w:type="spellEnd"/>
      <w:r w:rsidRPr="000852D5">
        <w:rPr>
          <w:rFonts w:ascii="Times New Roman" w:eastAsia="Times New Roman" w:hAnsi="Times New Roman" w:cs="Times New Roman"/>
          <w:sz w:val="24"/>
          <w:szCs w:val="24"/>
        </w:rPr>
        <w:t xml:space="preserve">, D. E., Huffman, M. D., &amp; Peters, S. A. E. (2024). The burden of cardiovascular disease attributable to hypertension in Nigeria: A modelling study using summary-level data. </w:t>
      </w:r>
      <w:r w:rsidRPr="000852D5">
        <w:rPr>
          <w:rFonts w:ascii="Times New Roman" w:eastAsia="Times New Roman" w:hAnsi="Times New Roman" w:cs="Times New Roman"/>
          <w:i/>
          <w:iCs/>
          <w:sz w:val="24"/>
          <w:szCs w:val="24"/>
        </w:rPr>
        <w:t>Global Heart, 19</w:t>
      </w:r>
      <w:r w:rsidRPr="000852D5">
        <w:rPr>
          <w:rFonts w:ascii="Times New Roman" w:eastAsia="Times New Roman" w:hAnsi="Times New Roman" w:cs="Times New Roman"/>
          <w:sz w:val="24"/>
          <w:szCs w:val="24"/>
        </w:rPr>
        <w:t xml:space="preserve">(1), 50. </w:t>
      </w:r>
      <w:hyperlink r:id="rId19" w:history="1">
        <w:r w:rsidRPr="000852D5">
          <w:rPr>
            <w:rFonts w:ascii="Times New Roman" w:eastAsia="Times New Roman" w:hAnsi="Times New Roman" w:cs="Times New Roman"/>
            <w:color w:val="0000FF"/>
            <w:sz w:val="24"/>
            <w:szCs w:val="24"/>
            <w:u w:val="single"/>
          </w:rPr>
          <w:t>https://doi.org/10.5334/gh.1332</w:t>
        </w:r>
      </w:hyperlink>
    </w:p>
    <w:p w14:paraId="7B4144B7" w14:textId="7AB7FF62"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lastRenderedPageBreak/>
        <w:t xml:space="preserve">Pius, R. E., </w:t>
      </w:r>
      <w:proofErr w:type="spellStart"/>
      <w:r w:rsidRPr="000852D5">
        <w:rPr>
          <w:rFonts w:ascii="Times New Roman" w:eastAsia="Times New Roman" w:hAnsi="Times New Roman" w:cs="Times New Roman"/>
          <w:sz w:val="24"/>
          <w:szCs w:val="24"/>
        </w:rPr>
        <w:t>Ajuluchukwu</w:t>
      </w:r>
      <w:proofErr w:type="spellEnd"/>
      <w:r w:rsidRPr="000852D5">
        <w:rPr>
          <w:rFonts w:ascii="Times New Roman" w:eastAsia="Times New Roman" w:hAnsi="Times New Roman" w:cs="Times New Roman"/>
          <w:sz w:val="24"/>
          <w:szCs w:val="24"/>
        </w:rPr>
        <w:t xml:space="preserve">, J. N., &amp; Roberts, A. A. (2025). Determinants of cardiovascular health indices among physicians in a tertiary </w:t>
      </w:r>
      <w:proofErr w:type="spellStart"/>
      <w:r w:rsidRPr="000852D5">
        <w:rPr>
          <w:rFonts w:ascii="Times New Roman" w:eastAsia="Times New Roman" w:hAnsi="Times New Roman" w:cs="Times New Roman"/>
          <w:sz w:val="24"/>
          <w:szCs w:val="24"/>
        </w:rPr>
        <w:t>centre</w:t>
      </w:r>
      <w:proofErr w:type="spellEnd"/>
      <w:r w:rsidRPr="000852D5">
        <w:rPr>
          <w:rFonts w:ascii="Times New Roman" w:eastAsia="Times New Roman" w:hAnsi="Times New Roman" w:cs="Times New Roman"/>
          <w:sz w:val="24"/>
          <w:szCs w:val="24"/>
        </w:rPr>
        <w:t xml:space="preserve">. </w:t>
      </w:r>
      <w:r w:rsidRPr="000852D5">
        <w:rPr>
          <w:rFonts w:ascii="Times New Roman" w:eastAsia="Times New Roman" w:hAnsi="Times New Roman" w:cs="Times New Roman"/>
          <w:i/>
          <w:iCs/>
          <w:sz w:val="24"/>
          <w:szCs w:val="24"/>
        </w:rPr>
        <w:t>Current Problems in Cardiology, 50</w:t>
      </w:r>
      <w:r w:rsidRPr="000852D5">
        <w:rPr>
          <w:rFonts w:ascii="Times New Roman" w:eastAsia="Times New Roman" w:hAnsi="Times New Roman" w:cs="Times New Roman"/>
          <w:sz w:val="24"/>
          <w:szCs w:val="24"/>
        </w:rPr>
        <w:t xml:space="preserve">(1), 102914. </w:t>
      </w:r>
      <w:hyperlink r:id="rId20" w:history="1">
        <w:r w:rsidRPr="000852D5">
          <w:rPr>
            <w:rFonts w:ascii="Times New Roman" w:eastAsia="Times New Roman" w:hAnsi="Times New Roman" w:cs="Times New Roman"/>
            <w:color w:val="0000FF"/>
            <w:sz w:val="24"/>
            <w:szCs w:val="24"/>
            <w:u w:val="single"/>
          </w:rPr>
          <w:t>https://doi.org/10.1016/j.cpcardiol.2024.102914</w:t>
        </w:r>
      </w:hyperlink>
    </w:p>
    <w:p w14:paraId="11F610CD" w14:textId="3B1310FF"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Powell-Wiley, T. M., Poirier, P., Burke, L. E., Després, J.-P., Gordon-Larsen, P., Lavie, C. J., Lear, S. A., </w:t>
      </w:r>
      <w:proofErr w:type="spellStart"/>
      <w:r w:rsidRPr="000852D5">
        <w:rPr>
          <w:rFonts w:ascii="Times New Roman" w:eastAsia="Times New Roman" w:hAnsi="Times New Roman" w:cs="Times New Roman"/>
          <w:sz w:val="24"/>
          <w:szCs w:val="24"/>
        </w:rPr>
        <w:t>Ndumele</w:t>
      </w:r>
      <w:proofErr w:type="spellEnd"/>
      <w:r w:rsidRPr="000852D5">
        <w:rPr>
          <w:rFonts w:ascii="Times New Roman" w:eastAsia="Times New Roman" w:hAnsi="Times New Roman" w:cs="Times New Roman"/>
          <w:sz w:val="24"/>
          <w:szCs w:val="24"/>
        </w:rPr>
        <w:t xml:space="preserve">, C. E., Neeland, I. J., Sanders, P., &amp; St-Onge, M.-P. (2021). Obesity and cardiovascular disease: A scientific statement from the American Heart Association. </w:t>
      </w:r>
      <w:r w:rsidRPr="000852D5">
        <w:rPr>
          <w:rFonts w:ascii="Times New Roman" w:eastAsia="Times New Roman" w:hAnsi="Times New Roman" w:cs="Times New Roman"/>
          <w:i/>
          <w:iCs/>
          <w:sz w:val="24"/>
          <w:szCs w:val="24"/>
        </w:rPr>
        <w:t>Circulation, 143</w:t>
      </w:r>
      <w:r w:rsidRPr="000852D5">
        <w:rPr>
          <w:rFonts w:ascii="Times New Roman" w:eastAsia="Times New Roman" w:hAnsi="Times New Roman" w:cs="Times New Roman"/>
          <w:sz w:val="24"/>
          <w:szCs w:val="24"/>
        </w:rPr>
        <w:t xml:space="preserve">(21), e984–e1010. </w:t>
      </w:r>
      <w:hyperlink r:id="rId21" w:history="1">
        <w:r w:rsidRPr="000852D5">
          <w:rPr>
            <w:rFonts w:ascii="Times New Roman" w:eastAsia="Times New Roman" w:hAnsi="Times New Roman" w:cs="Times New Roman"/>
            <w:color w:val="0000FF"/>
            <w:sz w:val="24"/>
            <w:szCs w:val="24"/>
            <w:u w:val="single"/>
          </w:rPr>
          <w:t>https://doi.org/10.1161/CIR.0000000000000973</w:t>
        </w:r>
      </w:hyperlink>
    </w:p>
    <w:p w14:paraId="27EF46BD" w14:textId="656EC1EE"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Shams, P., Tackling, G., &amp; </w:t>
      </w:r>
      <w:proofErr w:type="spellStart"/>
      <w:r w:rsidRPr="000852D5">
        <w:rPr>
          <w:rFonts w:ascii="Times New Roman" w:eastAsia="Times New Roman" w:hAnsi="Times New Roman" w:cs="Times New Roman"/>
          <w:sz w:val="24"/>
          <w:szCs w:val="24"/>
        </w:rPr>
        <w:t>Borhade</w:t>
      </w:r>
      <w:proofErr w:type="spellEnd"/>
      <w:r w:rsidRPr="000852D5">
        <w:rPr>
          <w:rFonts w:ascii="Times New Roman" w:eastAsia="Times New Roman" w:hAnsi="Times New Roman" w:cs="Times New Roman"/>
          <w:sz w:val="24"/>
          <w:szCs w:val="24"/>
        </w:rPr>
        <w:t xml:space="preserve">, M. B. (2025). Hypertensive heart disease. In </w:t>
      </w:r>
      <w:proofErr w:type="spellStart"/>
      <w:r w:rsidRPr="000852D5">
        <w:rPr>
          <w:rFonts w:ascii="Times New Roman" w:eastAsia="Times New Roman" w:hAnsi="Times New Roman" w:cs="Times New Roman"/>
          <w:i/>
          <w:iCs/>
          <w:sz w:val="24"/>
          <w:szCs w:val="24"/>
        </w:rPr>
        <w:t>StatPearls</w:t>
      </w:r>
      <w:proofErr w:type="spellEnd"/>
      <w:r w:rsidRPr="000852D5">
        <w:rPr>
          <w:rFonts w:ascii="Times New Roman" w:eastAsia="Times New Roman" w:hAnsi="Times New Roman" w:cs="Times New Roman"/>
          <w:sz w:val="24"/>
          <w:szCs w:val="24"/>
        </w:rPr>
        <w:t xml:space="preserve">. </w:t>
      </w:r>
      <w:proofErr w:type="spellStart"/>
      <w:r w:rsidRPr="000852D5">
        <w:rPr>
          <w:rFonts w:ascii="Times New Roman" w:eastAsia="Times New Roman" w:hAnsi="Times New Roman" w:cs="Times New Roman"/>
          <w:sz w:val="24"/>
          <w:szCs w:val="24"/>
        </w:rPr>
        <w:t>StatPearls</w:t>
      </w:r>
      <w:proofErr w:type="spellEnd"/>
      <w:r w:rsidRPr="000852D5">
        <w:rPr>
          <w:rFonts w:ascii="Times New Roman" w:eastAsia="Times New Roman" w:hAnsi="Times New Roman" w:cs="Times New Roman"/>
          <w:sz w:val="24"/>
          <w:szCs w:val="24"/>
        </w:rPr>
        <w:t xml:space="preserve"> Publishing. </w:t>
      </w:r>
      <w:hyperlink r:id="rId22" w:history="1">
        <w:r w:rsidRPr="000852D5">
          <w:rPr>
            <w:rFonts w:ascii="Times New Roman" w:eastAsia="Times New Roman" w:hAnsi="Times New Roman" w:cs="Times New Roman"/>
            <w:color w:val="0000FF"/>
            <w:sz w:val="24"/>
            <w:szCs w:val="24"/>
            <w:u w:val="single"/>
          </w:rPr>
          <w:t>https://www.ncbi.nlm.nih.gov/books/NBK539800/</w:t>
        </w:r>
      </w:hyperlink>
    </w:p>
    <w:p w14:paraId="21799854" w14:textId="2EC3D28B"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Sunday, O. G., Okorie, S.-L., </w:t>
      </w:r>
      <w:proofErr w:type="spellStart"/>
      <w:r w:rsidRPr="000852D5">
        <w:rPr>
          <w:rFonts w:ascii="Times New Roman" w:eastAsia="Times New Roman" w:hAnsi="Times New Roman" w:cs="Times New Roman"/>
          <w:sz w:val="24"/>
          <w:szCs w:val="24"/>
        </w:rPr>
        <w:t>Ogugua</w:t>
      </w:r>
      <w:proofErr w:type="spellEnd"/>
      <w:r w:rsidRPr="000852D5">
        <w:rPr>
          <w:rFonts w:ascii="Times New Roman" w:eastAsia="Times New Roman" w:hAnsi="Times New Roman" w:cs="Times New Roman"/>
          <w:sz w:val="24"/>
          <w:szCs w:val="24"/>
        </w:rPr>
        <w:t xml:space="preserve">, E. A., Muracki, J., </w:t>
      </w:r>
      <w:proofErr w:type="spellStart"/>
      <w:r w:rsidRPr="000852D5">
        <w:rPr>
          <w:rFonts w:ascii="Times New Roman" w:eastAsia="Times New Roman" w:hAnsi="Times New Roman" w:cs="Times New Roman"/>
          <w:sz w:val="24"/>
          <w:szCs w:val="24"/>
        </w:rPr>
        <w:t>Kurtoglu</w:t>
      </w:r>
      <w:proofErr w:type="spellEnd"/>
      <w:r w:rsidRPr="000852D5">
        <w:rPr>
          <w:rFonts w:ascii="Times New Roman" w:eastAsia="Times New Roman" w:hAnsi="Times New Roman" w:cs="Times New Roman"/>
          <w:sz w:val="24"/>
          <w:szCs w:val="24"/>
        </w:rPr>
        <w:t xml:space="preserve">, A., Alotaibi, M. H., &amp; </w:t>
      </w:r>
      <w:proofErr w:type="spellStart"/>
      <w:r w:rsidRPr="000852D5">
        <w:rPr>
          <w:rFonts w:ascii="Times New Roman" w:eastAsia="Times New Roman" w:hAnsi="Times New Roman" w:cs="Times New Roman"/>
          <w:sz w:val="24"/>
          <w:szCs w:val="24"/>
        </w:rPr>
        <w:t>Elkholi</w:t>
      </w:r>
      <w:proofErr w:type="spellEnd"/>
      <w:r w:rsidRPr="000852D5">
        <w:rPr>
          <w:rFonts w:ascii="Times New Roman" w:eastAsia="Times New Roman" w:hAnsi="Times New Roman" w:cs="Times New Roman"/>
          <w:sz w:val="24"/>
          <w:szCs w:val="24"/>
        </w:rPr>
        <w:t xml:space="preserve">, S. M. (2024). Relationship of anthropometrics and blood pressure to identify people at risk of hypertension and obesity-related conditions in Nigerian rural areas. </w:t>
      </w:r>
      <w:r w:rsidRPr="000852D5">
        <w:rPr>
          <w:rFonts w:ascii="Times New Roman" w:eastAsia="Times New Roman" w:hAnsi="Times New Roman" w:cs="Times New Roman"/>
          <w:i/>
          <w:iCs/>
          <w:sz w:val="24"/>
          <w:szCs w:val="24"/>
        </w:rPr>
        <w:t>Medicine, 103</w:t>
      </w:r>
      <w:r w:rsidRPr="000852D5">
        <w:rPr>
          <w:rFonts w:ascii="Times New Roman" w:eastAsia="Times New Roman" w:hAnsi="Times New Roman" w:cs="Times New Roman"/>
          <w:sz w:val="24"/>
          <w:szCs w:val="24"/>
        </w:rPr>
        <w:t xml:space="preserve">(29), e38880. </w:t>
      </w:r>
      <w:hyperlink r:id="rId23" w:history="1">
        <w:r w:rsidRPr="000852D5">
          <w:rPr>
            <w:rFonts w:ascii="Times New Roman" w:eastAsia="Times New Roman" w:hAnsi="Times New Roman" w:cs="Times New Roman"/>
            <w:color w:val="0000FF"/>
            <w:sz w:val="24"/>
            <w:szCs w:val="24"/>
            <w:u w:val="single"/>
          </w:rPr>
          <w:t>https://doi.org/10.1097/MD.0000000000038880</w:t>
        </w:r>
      </w:hyperlink>
    </w:p>
    <w:p w14:paraId="50D595EC" w14:textId="3A457160"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Thygesen, K., Alpert, J. S., Jaffe, A. S., </w:t>
      </w:r>
      <w:proofErr w:type="spellStart"/>
      <w:r w:rsidRPr="000852D5">
        <w:rPr>
          <w:rFonts w:ascii="Times New Roman" w:eastAsia="Times New Roman" w:hAnsi="Times New Roman" w:cs="Times New Roman"/>
          <w:sz w:val="24"/>
          <w:szCs w:val="24"/>
        </w:rPr>
        <w:t>Chaitman</w:t>
      </w:r>
      <w:proofErr w:type="spellEnd"/>
      <w:r w:rsidRPr="000852D5">
        <w:rPr>
          <w:rFonts w:ascii="Times New Roman" w:eastAsia="Times New Roman" w:hAnsi="Times New Roman" w:cs="Times New Roman"/>
          <w:sz w:val="24"/>
          <w:szCs w:val="24"/>
        </w:rPr>
        <w:t xml:space="preserve">, B. R., Bax, J. J., Morrow, D. A., White, H. D., &amp; ESC Scientific Document Group. (2019). Fourth universal definition of myocardial infarction (2018). </w:t>
      </w:r>
      <w:r w:rsidRPr="000852D5">
        <w:rPr>
          <w:rFonts w:ascii="Times New Roman" w:eastAsia="Times New Roman" w:hAnsi="Times New Roman" w:cs="Times New Roman"/>
          <w:i/>
          <w:iCs/>
          <w:sz w:val="24"/>
          <w:szCs w:val="24"/>
        </w:rPr>
        <w:t>European Heart Journal, 40</w:t>
      </w:r>
      <w:r w:rsidRPr="000852D5">
        <w:rPr>
          <w:rFonts w:ascii="Times New Roman" w:eastAsia="Times New Roman" w:hAnsi="Times New Roman" w:cs="Times New Roman"/>
          <w:sz w:val="24"/>
          <w:szCs w:val="24"/>
        </w:rPr>
        <w:t xml:space="preserve">(3), 237–269. </w:t>
      </w:r>
      <w:hyperlink r:id="rId24" w:history="1">
        <w:r w:rsidRPr="000852D5">
          <w:rPr>
            <w:rFonts w:ascii="Times New Roman" w:eastAsia="Times New Roman" w:hAnsi="Times New Roman" w:cs="Times New Roman"/>
            <w:color w:val="0000FF"/>
            <w:sz w:val="24"/>
            <w:szCs w:val="24"/>
            <w:u w:val="single"/>
          </w:rPr>
          <w:t>https://doi.org/10.1093/eurheartj/ehy462</w:t>
        </w:r>
      </w:hyperlink>
    </w:p>
    <w:p w14:paraId="2CE55C8C" w14:textId="265E8F3C"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Virani, S. S., Newby, L. K., Arnold, S. V., Bittner, V., Brewer, L. C., Demeter, S. H., Dixon, D. L., Fearon, W. F., Hess, B., Johnson, H. M., Kazi, D. S., Kolte, D., </w:t>
      </w:r>
      <w:proofErr w:type="spellStart"/>
      <w:r w:rsidRPr="000852D5">
        <w:rPr>
          <w:rFonts w:ascii="Times New Roman" w:eastAsia="Times New Roman" w:hAnsi="Times New Roman" w:cs="Times New Roman"/>
          <w:sz w:val="24"/>
          <w:szCs w:val="24"/>
        </w:rPr>
        <w:t>Kumbhani</w:t>
      </w:r>
      <w:proofErr w:type="spellEnd"/>
      <w:r w:rsidRPr="000852D5">
        <w:rPr>
          <w:rFonts w:ascii="Times New Roman" w:eastAsia="Times New Roman" w:hAnsi="Times New Roman" w:cs="Times New Roman"/>
          <w:sz w:val="24"/>
          <w:szCs w:val="24"/>
        </w:rPr>
        <w:t xml:space="preserve">, D. J., </w:t>
      </w:r>
      <w:proofErr w:type="spellStart"/>
      <w:r w:rsidRPr="000852D5">
        <w:rPr>
          <w:rFonts w:ascii="Times New Roman" w:eastAsia="Times New Roman" w:hAnsi="Times New Roman" w:cs="Times New Roman"/>
          <w:sz w:val="24"/>
          <w:szCs w:val="24"/>
        </w:rPr>
        <w:t>LoFaso</w:t>
      </w:r>
      <w:proofErr w:type="spellEnd"/>
      <w:r w:rsidRPr="000852D5">
        <w:rPr>
          <w:rFonts w:ascii="Times New Roman" w:eastAsia="Times New Roman" w:hAnsi="Times New Roman" w:cs="Times New Roman"/>
          <w:sz w:val="24"/>
          <w:szCs w:val="24"/>
        </w:rPr>
        <w:t xml:space="preserve">, J., </w:t>
      </w:r>
      <w:proofErr w:type="spellStart"/>
      <w:r w:rsidRPr="000852D5">
        <w:rPr>
          <w:rFonts w:ascii="Times New Roman" w:eastAsia="Times New Roman" w:hAnsi="Times New Roman" w:cs="Times New Roman"/>
          <w:sz w:val="24"/>
          <w:szCs w:val="24"/>
        </w:rPr>
        <w:t>Mahtta</w:t>
      </w:r>
      <w:proofErr w:type="spellEnd"/>
      <w:r w:rsidRPr="000852D5">
        <w:rPr>
          <w:rFonts w:ascii="Times New Roman" w:eastAsia="Times New Roman" w:hAnsi="Times New Roman" w:cs="Times New Roman"/>
          <w:sz w:val="24"/>
          <w:szCs w:val="24"/>
        </w:rPr>
        <w:t xml:space="preserve">, D., Mark, D. B., </w:t>
      </w:r>
      <w:proofErr w:type="spellStart"/>
      <w:r w:rsidRPr="000852D5">
        <w:rPr>
          <w:rFonts w:ascii="Times New Roman" w:eastAsia="Times New Roman" w:hAnsi="Times New Roman" w:cs="Times New Roman"/>
          <w:sz w:val="24"/>
          <w:szCs w:val="24"/>
        </w:rPr>
        <w:t>Minissian</w:t>
      </w:r>
      <w:proofErr w:type="spellEnd"/>
      <w:r w:rsidRPr="000852D5">
        <w:rPr>
          <w:rFonts w:ascii="Times New Roman" w:eastAsia="Times New Roman" w:hAnsi="Times New Roman" w:cs="Times New Roman"/>
          <w:sz w:val="24"/>
          <w:szCs w:val="24"/>
        </w:rPr>
        <w:t xml:space="preserve">, M., Navar, A. M., Patel, A. R., … Williams, M. S. (2023). 2023 AHA/ACC/ACCP/ASPC/NLA/PCNA guideline for the management of patients with chronic coronary disease: A report of the American Heart Association/American College of Cardiology Joint Committee on Clinical Practice Guidelines. </w:t>
      </w:r>
      <w:r w:rsidRPr="000852D5">
        <w:rPr>
          <w:rFonts w:ascii="Times New Roman" w:eastAsia="Times New Roman" w:hAnsi="Times New Roman" w:cs="Times New Roman"/>
          <w:i/>
          <w:iCs/>
          <w:sz w:val="24"/>
          <w:szCs w:val="24"/>
        </w:rPr>
        <w:t>Circulation, 148</w:t>
      </w:r>
      <w:r w:rsidRPr="000852D5">
        <w:rPr>
          <w:rFonts w:ascii="Times New Roman" w:eastAsia="Times New Roman" w:hAnsi="Times New Roman" w:cs="Times New Roman"/>
          <w:sz w:val="24"/>
          <w:szCs w:val="24"/>
        </w:rPr>
        <w:t xml:space="preserve">(9), e9–e119. </w:t>
      </w:r>
      <w:hyperlink r:id="rId25" w:history="1">
        <w:r w:rsidRPr="000852D5">
          <w:rPr>
            <w:rFonts w:ascii="Times New Roman" w:eastAsia="Times New Roman" w:hAnsi="Times New Roman" w:cs="Times New Roman"/>
            <w:color w:val="0000FF"/>
            <w:sz w:val="24"/>
            <w:szCs w:val="24"/>
            <w:u w:val="single"/>
          </w:rPr>
          <w:t>https://doi.org/10.1161/CIR.0000000000001168</w:t>
        </w:r>
      </w:hyperlink>
    </w:p>
    <w:p w14:paraId="761C2A38" w14:textId="47B342B6"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lang w:val="nl-BE"/>
        </w:rPr>
        <w:t xml:space="preserve">Wang, S., Hu, S., &amp; Mao, Y. (2021). </w:t>
      </w:r>
      <w:r w:rsidRPr="000852D5">
        <w:rPr>
          <w:rFonts w:ascii="Times New Roman" w:eastAsia="Times New Roman" w:hAnsi="Times New Roman" w:cs="Times New Roman"/>
          <w:sz w:val="24"/>
          <w:szCs w:val="24"/>
        </w:rPr>
        <w:t xml:space="preserve">The mechanisms of vascular aging. </w:t>
      </w:r>
      <w:r w:rsidRPr="000852D5">
        <w:rPr>
          <w:rFonts w:ascii="Times New Roman" w:eastAsia="Times New Roman" w:hAnsi="Times New Roman" w:cs="Times New Roman"/>
          <w:i/>
          <w:iCs/>
          <w:sz w:val="24"/>
          <w:szCs w:val="24"/>
        </w:rPr>
        <w:t>Aging Medicine, 4</w:t>
      </w:r>
      <w:r w:rsidRPr="000852D5">
        <w:rPr>
          <w:rFonts w:ascii="Times New Roman" w:eastAsia="Times New Roman" w:hAnsi="Times New Roman" w:cs="Times New Roman"/>
          <w:sz w:val="24"/>
          <w:szCs w:val="24"/>
        </w:rPr>
        <w:t xml:space="preserve">(2), 153–158. </w:t>
      </w:r>
      <w:hyperlink r:id="rId26" w:history="1">
        <w:r w:rsidRPr="000852D5">
          <w:rPr>
            <w:rFonts w:ascii="Times New Roman" w:eastAsia="Times New Roman" w:hAnsi="Times New Roman" w:cs="Times New Roman"/>
            <w:color w:val="0000FF"/>
            <w:sz w:val="24"/>
            <w:szCs w:val="24"/>
            <w:u w:val="single"/>
          </w:rPr>
          <w:t>https://doi.org/10.1002/agm2.12151</w:t>
        </w:r>
      </w:hyperlink>
    </w:p>
    <w:p w14:paraId="318C8B80" w14:textId="121FFB07"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Wang, T., Zhao, Z., Yu, X., Zeng, T., Xu, M., Xu, Y., Hu, R., Chen, G., Su, Q., Mu, Y., Chen, L., Tang, X., Yan, L., Qin, G., Wan, Q., Gao, Z., Wang, G., Shen, F., Luo, Z., … Wang, W. (2021). Age-specific modifiable risk factor profiles for cardiovascular disease and all-cause mortality: A nationwide, population-based, prospective cohort study. </w:t>
      </w:r>
      <w:r w:rsidRPr="000852D5">
        <w:rPr>
          <w:rFonts w:ascii="Times New Roman" w:eastAsia="Times New Roman" w:hAnsi="Times New Roman" w:cs="Times New Roman"/>
          <w:i/>
          <w:iCs/>
          <w:sz w:val="24"/>
          <w:szCs w:val="24"/>
        </w:rPr>
        <w:t>The Lancet Regional Health – Western Pacific, 17</w:t>
      </w:r>
      <w:r w:rsidRPr="000852D5">
        <w:rPr>
          <w:rFonts w:ascii="Times New Roman" w:eastAsia="Times New Roman" w:hAnsi="Times New Roman" w:cs="Times New Roman"/>
          <w:sz w:val="24"/>
          <w:szCs w:val="24"/>
        </w:rPr>
        <w:t xml:space="preserve">, 100277. </w:t>
      </w:r>
      <w:hyperlink r:id="rId27" w:history="1">
        <w:r w:rsidRPr="000852D5">
          <w:rPr>
            <w:rFonts w:ascii="Times New Roman" w:eastAsia="Times New Roman" w:hAnsi="Times New Roman" w:cs="Times New Roman"/>
            <w:color w:val="0000FF"/>
            <w:sz w:val="24"/>
            <w:szCs w:val="24"/>
            <w:u w:val="single"/>
          </w:rPr>
          <w:t>https://doi.org/10.1016/j.lanwpc.2021.100277</w:t>
        </w:r>
      </w:hyperlink>
    </w:p>
    <w:p w14:paraId="77D0695D" w14:textId="480C0007"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World Health Organization. (2025a). </w:t>
      </w:r>
      <w:r w:rsidRPr="000852D5">
        <w:rPr>
          <w:rFonts w:ascii="Times New Roman" w:eastAsia="Times New Roman" w:hAnsi="Times New Roman" w:cs="Times New Roman"/>
          <w:i/>
          <w:iCs/>
          <w:sz w:val="24"/>
          <w:szCs w:val="24"/>
        </w:rPr>
        <w:t>Cardiovascular diseases (CVDs)</w:t>
      </w:r>
      <w:r w:rsidRPr="000852D5">
        <w:rPr>
          <w:rFonts w:ascii="Times New Roman" w:eastAsia="Times New Roman" w:hAnsi="Times New Roman" w:cs="Times New Roman"/>
          <w:sz w:val="24"/>
          <w:szCs w:val="24"/>
        </w:rPr>
        <w:t xml:space="preserve">. </w:t>
      </w:r>
      <w:hyperlink r:id="rId28" w:history="1">
        <w:r w:rsidRPr="000852D5">
          <w:rPr>
            <w:rFonts w:ascii="Times New Roman" w:eastAsia="Times New Roman" w:hAnsi="Times New Roman" w:cs="Times New Roman"/>
            <w:color w:val="0000FF"/>
            <w:sz w:val="24"/>
            <w:szCs w:val="24"/>
            <w:u w:val="single"/>
          </w:rPr>
          <w:t>https://www.who.int/news-room/fact-sheets/detail/cardiovascular-diseases-%28cvds%29</w:t>
        </w:r>
      </w:hyperlink>
    </w:p>
    <w:p w14:paraId="11671A03" w14:textId="3CF30845" w:rsidR="000852D5" w:rsidRPr="000852D5" w:rsidRDefault="000852D5" w:rsidP="000852D5">
      <w:pPr>
        <w:spacing w:after="0" w:line="240" w:lineRule="auto"/>
        <w:ind w:left="540" w:hanging="540"/>
        <w:jc w:val="both"/>
        <w:rPr>
          <w:rFonts w:ascii="Times New Roman" w:eastAsia="Times New Roman" w:hAnsi="Times New Roman" w:cs="Times New Roman"/>
          <w:sz w:val="24"/>
          <w:szCs w:val="24"/>
        </w:rPr>
      </w:pPr>
      <w:r w:rsidRPr="000852D5">
        <w:rPr>
          <w:rFonts w:ascii="Times New Roman" w:eastAsia="Times New Roman" w:hAnsi="Times New Roman" w:cs="Times New Roman"/>
          <w:sz w:val="24"/>
          <w:szCs w:val="24"/>
        </w:rPr>
        <w:t xml:space="preserve">World Health Organization. (2025b). </w:t>
      </w:r>
      <w:r w:rsidRPr="000852D5">
        <w:rPr>
          <w:rFonts w:ascii="Times New Roman" w:eastAsia="Times New Roman" w:hAnsi="Times New Roman" w:cs="Times New Roman"/>
          <w:i/>
          <w:iCs/>
          <w:sz w:val="24"/>
          <w:szCs w:val="24"/>
        </w:rPr>
        <w:t>Global report on hypertension 2025: High stakes: Turning evidence into action</w:t>
      </w:r>
      <w:r w:rsidRPr="000852D5">
        <w:rPr>
          <w:rFonts w:ascii="Times New Roman" w:eastAsia="Times New Roman" w:hAnsi="Times New Roman" w:cs="Times New Roman"/>
          <w:sz w:val="24"/>
          <w:szCs w:val="24"/>
        </w:rPr>
        <w:t xml:space="preserve">. </w:t>
      </w:r>
      <w:hyperlink r:id="rId29" w:history="1">
        <w:r w:rsidRPr="000852D5">
          <w:rPr>
            <w:rFonts w:ascii="Times New Roman" w:eastAsia="Times New Roman" w:hAnsi="Times New Roman" w:cs="Times New Roman"/>
            <w:color w:val="0000FF"/>
            <w:sz w:val="24"/>
            <w:szCs w:val="24"/>
            <w:u w:val="single"/>
          </w:rPr>
          <w:t>https://www.who.int/publications/i/item/9789240115569</w:t>
        </w:r>
      </w:hyperlink>
    </w:p>
    <w:p w14:paraId="523F605E" w14:textId="0176772B" w:rsidR="00E514DB" w:rsidRDefault="000852D5" w:rsidP="000852D5">
      <w:pPr>
        <w:spacing w:after="0" w:line="360" w:lineRule="auto"/>
        <w:ind w:left="540" w:hanging="540"/>
        <w:jc w:val="both"/>
      </w:pPr>
      <w:r w:rsidRPr="000852D5">
        <w:rPr>
          <w:rFonts w:ascii="Times New Roman" w:eastAsia="Times New Roman" w:hAnsi="Times New Roman" w:cs="Times New Roman"/>
          <w:sz w:val="24"/>
          <w:szCs w:val="24"/>
        </w:rPr>
        <w:t xml:space="preserve">World Health Organization. (2025c). </w:t>
      </w:r>
      <w:r w:rsidRPr="000852D5">
        <w:rPr>
          <w:rFonts w:ascii="Times New Roman" w:eastAsia="Times New Roman" w:hAnsi="Times New Roman" w:cs="Times New Roman"/>
          <w:i/>
          <w:iCs/>
          <w:sz w:val="24"/>
          <w:szCs w:val="24"/>
        </w:rPr>
        <w:t>Hypertension</w:t>
      </w:r>
      <w:r w:rsidRPr="000852D5">
        <w:rPr>
          <w:rFonts w:ascii="Times New Roman" w:eastAsia="Times New Roman" w:hAnsi="Times New Roman" w:cs="Times New Roman"/>
          <w:sz w:val="24"/>
          <w:szCs w:val="24"/>
        </w:rPr>
        <w:t xml:space="preserve">. </w:t>
      </w:r>
      <w:hyperlink r:id="rId30" w:history="1">
        <w:r w:rsidRPr="000852D5">
          <w:rPr>
            <w:rFonts w:ascii="Times New Roman" w:eastAsia="Times New Roman" w:hAnsi="Times New Roman" w:cs="Times New Roman"/>
            <w:color w:val="0000FF"/>
            <w:sz w:val="24"/>
            <w:szCs w:val="24"/>
            <w:u w:val="single"/>
          </w:rPr>
          <w:t>https://www.who.int/news-room/fact-sheets/detail/hypertension</w:t>
        </w:r>
      </w:hyperlink>
    </w:p>
    <w:sectPr w:rsidR="00E514DB">
      <w:headerReference w:type="even" r:id="rId31"/>
      <w:headerReference w:type="default" r:id="rId32"/>
      <w:footerReference w:type="even" r:id="rId33"/>
      <w:footerReference w:type="default" r:id="rId34"/>
      <w:headerReference w:type="first" r:id="rId35"/>
      <w:footerReference w:type="firs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7D3D8" w14:textId="77777777" w:rsidR="00140870" w:rsidRDefault="00140870" w:rsidP="00AB1D92">
      <w:pPr>
        <w:spacing w:after="0" w:line="240" w:lineRule="auto"/>
      </w:pPr>
      <w:r>
        <w:separator/>
      </w:r>
    </w:p>
  </w:endnote>
  <w:endnote w:type="continuationSeparator" w:id="0">
    <w:p w14:paraId="7B092183" w14:textId="77777777" w:rsidR="00140870" w:rsidRDefault="00140870" w:rsidP="00AB1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kit-standard">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D5ADD" w14:textId="77777777" w:rsidR="00A10836" w:rsidRDefault="00A108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799203"/>
      <w:docPartObj>
        <w:docPartGallery w:val="Page Numbers (Bottom of Page)"/>
        <w:docPartUnique/>
      </w:docPartObj>
    </w:sdtPr>
    <w:sdtEndPr>
      <w:rPr>
        <w:noProof/>
      </w:rPr>
    </w:sdtEndPr>
    <w:sdtContent>
      <w:p w14:paraId="57393F0E" w14:textId="77777777" w:rsidR="005B7270" w:rsidRDefault="005B7270">
        <w:pPr>
          <w:pStyle w:val="Footer"/>
          <w:jc w:val="center"/>
        </w:pPr>
        <w:r>
          <w:fldChar w:fldCharType="begin"/>
        </w:r>
        <w:r>
          <w:instrText xml:space="preserve"> PAGE   \* MERGEFORMAT </w:instrText>
        </w:r>
        <w:r>
          <w:fldChar w:fldCharType="separate"/>
        </w:r>
        <w:r w:rsidR="005604AC">
          <w:rPr>
            <w:noProof/>
          </w:rPr>
          <w:t>1</w:t>
        </w:r>
        <w:r>
          <w:rPr>
            <w:noProof/>
          </w:rPr>
          <w:fldChar w:fldCharType="end"/>
        </w:r>
      </w:p>
    </w:sdtContent>
  </w:sdt>
  <w:p w14:paraId="4A34D3FA" w14:textId="77777777" w:rsidR="005B7270" w:rsidRDefault="005B72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7098" w14:textId="77777777" w:rsidR="00A10836" w:rsidRDefault="00A10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6DF3D" w14:textId="77777777" w:rsidR="00140870" w:rsidRDefault="00140870" w:rsidP="00AB1D92">
      <w:pPr>
        <w:spacing w:after="0" w:line="240" w:lineRule="auto"/>
      </w:pPr>
      <w:r>
        <w:separator/>
      </w:r>
    </w:p>
  </w:footnote>
  <w:footnote w:type="continuationSeparator" w:id="0">
    <w:p w14:paraId="0C5B2B92" w14:textId="77777777" w:rsidR="00140870" w:rsidRDefault="00140870" w:rsidP="00AB1D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9F33" w14:textId="77777777" w:rsidR="00A10836" w:rsidRDefault="00000000">
    <w:pPr>
      <w:pStyle w:val="Header"/>
    </w:pPr>
    <w:r>
      <w:rPr>
        <w:noProof/>
      </w:rPr>
      <w:pict w14:anchorId="0FDFBD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2900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FD27A" w14:textId="77777777" w:rsidR="00A10836" w:rsidRDefault="00000000">
    <w:pPr>
      <w:pStyle w:val="Header"/>
    </w:pPr>
    <w:r>
      <w:rPr>
        <w:noProof/>
      </w:rPr>
      <w:pict w14:anchorId="3C3C9B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2900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BBCD" w14:textId="77777777" w:rsidR="00A10836" w:rsidRDefault="00000000">
    <w:pPr>
      <w:pStyle w:val="Header"/>
    </w:pPr>
    <w:r>
      <w:rPr>
        <w:noProof/>
      </w:rPr>
      <w:pict w14:anchorId="14AA54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2900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86F8A"/>
    <w:multiLevelType w:val="hybridMultilevel"/>
    <w:tmpl w:val="67CC92A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363AED"/>
    <w:multiLevelType w:val="hybridMultilevel"/>
    <w:tmpl w:val="8CA63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6468680">
    <w:abstractNumId w:val="1"/>
  </w:num>
  <w:num w:numId="2" w16cid:durableId="335688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5576"/>
    <w:rsid w:val="000018F5"/>
    <w:rsid w:val="000019E5"/>
    <w:rsid w:val="00015111"/>
    <w:rsid w:val="00024C9D"/>
    <w:rsid w:val="00033C71"/>
    <w:rsid w:val="000379A2"/>
    <w:rsid w:val="00050E50"/>
    <w:rsid w:val="00057955"/>
    <w:rsid w:val="00074F8E"/>
    <w:rsid w:val="000852D5"/>
    <w:rsid w:val="00093C8D"/>
    <w:rsid w:val="00102DDD"/>
    <w:rsid w:val="001207D5"/>
    <w:rsid w:val="00127A7A"/>
    <w:rsid w:val="00140870"/>
    <w:rsid w:val="00153F6A"/>
    <w:rsid w:val="0016042B"/>
    <w:rsid w:val="001604EC"/>
    <w:rsid w:val="00161267"/>
    <w:rsid w:val="00164367"/>
    <w:rsid w:val="00192805"/>
    <w:rsid w:val="00194EF9"/>
    <w:rsid w:val="001C4F23"/>
    <w:rsid w:val="001D7389"/>
    <w:rsid w:val="001E1AE4"/>
    <w:rsid w:val="00207001"/>
    <w:rsid w:val="0022752F"/>
    <w:rsid w:val="00235534"/>
    <w:rsid w:val="002362A3"/>
    <w:rsid w:val="00236D6D"/>
    <w:rsid w:val="002513C4"/>
    <w:rsid w:val="00256B2F"/>
    <w:rsid w:val="00261AA6"/>
    <w:rsid w:val="00267E00"/>
    <w:rsid w:val="00272A18"/>
    <w:rsid w:val="00272E10"/>
    <w:rsid w:val="00294393"/>
    <w:rsid w:val="002A0CB1"/>
    <w:rsid w:val="002B7A9B"/>
    <w:rsid w:val="002C4D57"/>
    <w:rsid w:val="002E241F"/>
    <w:rsid w:val="002E646E"/>
    <w:rsid w:val="002F0827"/>
    <w:rsid w:val="002F19BC"/>
    <w:rsid w:val="002F5245"/>
    <w:rsid w:val="003068A4"/>
    <w:rsid w:val="00312EE3"/>
    <w:rsid w:val="00320F68"/>
    <w:rsid w:val="00330D39"/>
    <w:rsid w:val="00347328"/>
    <w:rsid w:val="00354824"/>
    <w:rsid w:val="00363436"/>
    <w:rsid w:val="00377838"/>
    <w:rsid w:val="00380DC7"/>
    <w:rsid w:val="00391CDA"/>
    <w:rsid w:val="003A4754"/>
    <w:rsid w:val="003B3907"/>
    <w:rsid w:val="003C4CBF"/>
    <w:rsid w:val="00410DC8"/>
    <w:rsid w:val="00425DF0"/>
    <w:rsid w:val="004543F8"/>
    <w:rsid w:val="00462309"/>
    <w:rsid w:val="004B195A"/>
    <w:rsid w:val="004B7EF7"/>
    <w:rsid w:val="004C7ADF"/>
    <w:rsid w:val="004D4ED4"/>
    <w:rsid w:val="004E7716"/>
    <w:rsid w:val="00501D95"/>
    <w:rsid w:val="00502EB6"/>
    <w:rsid w:val="00503EB0"/>
    <w:rsid w:val="005437ED"/>
    <w:rsid w:val="005604AC"/>
    <w:rsid w:val="005A6BF4"/>
    <w:rsid w:val="005A6DF3"/>
    <w:rsid w:val="005B7270"/>
    <w:rsid w:val="005C524D"/>
    <w:rsid w:val="005D11E0"/>
    <w:rsid w:val="005D760E"/>
    <w:rsid w:val="00626D49"/>
    <w:rsid w:val="00635B7A"/>
    <w:rsid w:val="00640C5F"/>
    <w:rsid w:val="0064775A"/>
    <w:rsid w:val="0066717E"/>
    <w:rsid w:val="00671BFE"/>
    <w:rsid w:val="00696D61"/>
    <w:rsid w:val="006A11D3"/>
    <w:rsid w:val="006B101B"/>
    <w:rsid w:val="006C5CC7"/>
    <w:rsid w:val="006D18A7"/>
    <w:rsid w:val="006E5667"/>
    <w:rsid w:val="006E7416"/>
    <w:rsid w:val="006F540A"/>
    <w:rsid w:val="0071624B"/>
    <w:rsid w:val="00726326"/>
    <w:rsid w:val="00757181"/>
    <w:rsid w:val="00765157"/>
    <w:rsid w:val="00782E7E"/>
    <w:rsid w:val="007A261C"/>
    <w:rsid w:val="007B3DD7"/>
    <w:rsid w:val="007C2D60"/>
    <w:rsid w:val="007C5409"/>
    <w:rsid w:val="007D0684"/>
    <w:rsid w:val="007D3F25"/>
    <w:rsid w:val="007F20AC"/>
    <w:rsid w:val="007F3903"/>
    <w:rsid w:val="008062F3"/>
    <w:rsid w:val="00815C74"/>
    <w:rsid w:val="008237FF"/>
    <w:rsid w:val="00826208"/>
    <w:rsid w:val="00832A4C"/>
    <w:rsid w:val="00875E69"/>
    <w:rsid w:val="00893392"/>
    <w:rsid w:val="008D7072"/>
    <w:rsid w:val="008E6529"/>
    <w:rsid w:val="008F3158"/>
    <w:rsid w:val="008F3897"/>
    <w:rsid w:val="00901299"/>
    <w:rsid w:val="009375E1"/>
    <w:rsid w:val="009500E9"/>
    <w:rsid w:val="009506B0"/>
    <w:rsid w:val="00963880"/>
    <w:rsid w:val="00966E4B"/>
    <w:rsid w:val="00970897"/>
    <w:rsid w:val="009A62A1"/>
    <w:rsid w:val="009C4153"/>
    <w:rsid w:val="009E5B3F"/>
    <w:rsid w:val="009F3E52"/>
    <w:rsid w:val="009F5576"/>
    <w:rsid w:val="00A00243"/>
    <w:rsid w:val="00A00F9F"/>
    <w:rsid w:val="00A04BCF"/>
    <w:rsid w:val="00A10836"/>
    <w:rsid w:val="00A1483A"/>
    <w:rsid w:val="00A5115E"/>
    <w:rsid w:val="00A51AF6"/>
    <w:rsid w:val="00A655E4"/>
    <w:rsid w:val="00A97C10"/>
    <w:rsid w:val="00AB1D92"/>
    <w:rsid w:val="00AC0CCC"/>
    <w:rsid w:val="00AD67F7"/>
    <w:rsid w:val="00AF0F30"/>
    <w:rsid w:val="00AF4BB0"/>
    <w:rsid w:val="00B028D2"/>
    <w:rsid w:val="00B2139B"/>
    <w:rsid w:val="00B34754"/>
    <w:rsid w:val="00B357C6"/>
    <w:rsid w:val="00B4061C"/>
    <w:rsid w:val="00B40EAE"/>
    <w:rsid w:val="00B7037C"/>
    <w:rsid w:val="00B83A13"/>
    <w:rsid w:val="00B857EE"/>
    <w:rsid w:val="00B96CCA"/>
    <w:rsid w:val="00BB090E"/>
    <w:rsid w:val="00BB1D39"/>
    <w:rsid w:val="00BD02E5"/>
    <w:rsid w:val="00BD3EB2"/>
    <w:rsid w:val="00BD6211"/>
    <w:rsid w:val="00BE639F"/>
    <w:rsid w:val="00BF1B3F"/>
    <w:rsid w:val="00BF414D"/>
    <w:rsid w:val="00C01CA0"/>
    <w:rsid w:val="00C02D0D"/>
    <w:rsid w:val="00C031CD"/>
    <w:rsid w:val="00C14A8E"/>
    <w:rsid w:val="00C14D2D"/>
    <w:rsid w:val="00C15576"/>
    <w:rsid w:val="00C1588D"/>
    <w:rsid w:val="00C52D21"/>
    <w:rsid w:val="00C768BF"/>
    <w:rsid w:val="00CA01BC"/>
    <w:rsid w:val="00CC469E"/>
    <w:rsid w:val="00CD48FD"/>
    <w:rsid w:val="00CF5BC5"/>
    <w:rsid w:val="00D464B2"/>
    <w:rsid w:val="00D727A2"/>
    <w:rsid w:val="00D862C1"/>
    <w:rsid w:val="00DA180A"/>
    <w:rsid w:val="00DA20C9"/>
    <w:rsid w:val="00DC4483"/>
    <w:rsid w:val="00DD1E23"/>
    <w:rsid w:val="00DD6431"/>
    <w:rsid w:val="00E029BA"/>
    <w:rsid w:val="00E07372"/>
    <w:rsid w:val="00E36B11"/>
    <w:rsid w:val="00E436DE"/>
    <w:rsid w:val="00E45BDA"/>
    <w:rsid w:val="00E514DB"/>
    <w:rsid w:val="00E51800"/>
    <w:rsid w:val="00E5678E"/>
    <w:rsid w:val="00E7554C"/>
    <w:rsid w:val="00E87E14"/>
    <w:rsid w:val="00E925F6"/>
    <w:rsid w:val="00ED42F6"/>
    <w:rsid w:val="00EE4768"/>
    <w:rsid w:val="00F11857"/>
    <w:rsid w:val="00F13050"/>
    <w:rsid w:val="00F150F3"/>
    <w:rsid w:val="00F157E8"/>
    <w:rsid w:val="00F20767"/>
    <w:rsid w:val="00F21768"/>
    <w:rsid w:val="00F42B90"/>
    <w:rsid w:val="00F53446"/>
    <w:rsid w:val="00F54AE0"/>
    <w:rsid w:val="00F66D16"/>
    <w:rsid w:val="00F80757"/>
    <w:rsid w:val="00F841EE"/>
    <w:rsid w:val="00F85E3D"/>
    <w:rsid w:val="00F862A1"/>
    <w:rsid w:val="00FA12D2"/>
    <w:rsid w:val="00FA4848"/>
    <w:rsid w:val="00FD3A54"/>
    <w:rsid w:val="00FF7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FF5E2"/>
  <w15:docId w15:val="{D238CF5D-5D6B-4BF2-9AB8-7A565DCD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20AC"/>
    <w:rPr>
      <w:color w:val="808080"/>
    </w:rPr>
  </w:style>
  <w:style w:type="paragraph" w:styleId="NormalWeb">
    <w:name w:val="Normal (Web)"/>
    <w:basedOn w:val="Normal"/>
    <w:rsid w:val="003C4CBF"/>
    <w:pPr>
      <w:widowControl w:val="0"/>
      <w:spacing w:after="200" w:line="276" w:lineRule="auto"/>
      <w:jc w:val="both"/>
    </w:pPr>
    <w:rPr>
      <w:rFonts w:eastAsiaTheme="minorEastAsia"/>
      <w:kern w:val="2"/>
      <w:sz w:val="24"/>
      <w:szCs w:val="24"/>
      <w:lang w:eastAsia="zh-CN"/>
    </w:rPr>
  </w:style>
  <w:style w:type="table" w:styleId="TableGrid">
    <w:name w:val="Table Grid"/>
    <w:basedOn w:val="TableNormal"/>
    <w:uiPriority w:val="39"/>
    <w:rsid w:val="00015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01511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AB1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D92"/>
  </w:style>
  <w:style w:type="paragraph" w:styleId="Footer">
    <w:name w:val="footer"/>
    <w:basedOn w:val="Normal"/>
    <w:link w:val="FooterChar"/>
    <w:uiPriority w:val="99"/>
    <w:unhideWhenUsed/>
    <w:rsid w:val="00AB1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D92"/>
  </w:style>
  <w:style w:type="character" w:styleId="Hyperlink">
    <w:name w:val="Hyperlink"/>
    <w:basedOn w:val="DefaultParagraphFont"/>
    <w:uiPriority w:val="99"/>
    <w:unhideWhenUsed/>
    <w:rsid w:val="007C2D60"/>
    <w:rPr>
      <w:color w:val="0563C1" w:themeColor="hyperlink"/>
      <w:u w:val="single"/>
    </w:rPr>
  </w:style>
  <w:style w:type="paragraph" w:styleId="BalloonText">
    <w:name w:val="Balloon Text"/>
    <w:basedOn w:val="Normal"/>
    <w:link w:val="BalloonTextChar"/>
    <w:uiPriority w:val="99"/>
    <w:semiHidden/>
    <w:unhideWhenUsed/>
    <w:rsid w:val="00A002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0243"/>
    <w:rPr>
      <w:rFonts w:ascii="Tahoma" w:hAnsi="Tahoma" w:cs="Tahoma"/>
      <w:sz w:val="16"/>
      <w:szCs w:val="16"/>
    </w:rPr>
  </w:style>
  <w:style w:type="character" w:customStyle="1" w:styleId="label">
    <w:name w:val="label"/>
    <w:basedOn w:val="DefaultParagraphFont"/>
    <w:rsid w:val="00ED42F6"/>
  </w:style>
  <w:style w:type="character" w:styleId="HTMLCite">
    <w:name w:val="HTML Cite"/>
    <w:basedOn w:val="DefaultParagraphFont"/>
    <w:uiPriority w:val="99"/>
    <w:semiHidden/>
    <w:unhideWhenUsed/>
    <w:rsid w:val="00ED42F6"/>
    <w:rPr>
      <w:i/>
      <w:iCs/>
    </w:rPr>
  </w:style>
  <w:style w:type="character" w:styleId="UnresolvedMention">
    <w:name w:val="Unresolved Mention"/>
    <w:basedOn w:val="DefaultParagraphFont"/>
    <w:uiPriority w:val="99"/>
    <w:semiHidden/>
    <w:unhideWhenUsed/>
    <w:rsid w:val="000379A2"/>
    <w:rPr>
      <w:color w:val="605E5C"/>
      <w:shd w:val="clear" w:color="auto" w:fill="E1DFDD"/>
    </w:rPr>
  </w:style>
  <w:style w:type="paragraph" w:styleId="ListParagraph">
    <w:name w:val="List Paragraph"/>
    <w:basedOn w:val="Normal"/>
    <w:uiPriority w:val="34"/>
    <w:qFormat/>
    <w:rsid w:val="000852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61/CIR.0000000000001221" TargetMode="External"/><Relationship Id="rId18" Type="http://schemas.openxmlformats.org/officeDocument/2006/relationships/hyperlink" Target="https://doi.org/10.56557/jodagh/2025/v18i29636" TargetMode="External"/><Relationship Id="rId26" Type="http://schemas.openxmlformats.org/officeDocument/2006/relationships/hyperlink" Target="https://doi.org/10.1002/agm2.12151" TargetMode="External"/><Relationship Id="rId21" Type="http://schemas.openxmlformats.org/officeDocument/2006/relationships/hyperlink" Target="https://doi.org/10.1161/CIR.0000000000000973" TargetMode="External"/><Relationship Id="rId34" Type="http://schemas.openxmlformats.org/officeDocument/2006/relationships/footer" Target="footer2.xml"/><Relationship Id="rId7" Type="http://schemas.openxmlformats.org/officeDocument/2006/relationships/hyperlink" Target="https://doi.org/10.1016/j.ajpc.2021.100149" TargetMode="External"/><Relationship Id="rId12" Type="http://schemas.openxmlformats.org/officeDocument/2006/relationships/hyperlink" Target="https://doi.org/10.1093/eurheartj/ehae508" TargetMode="External"/><Relationship Id="rId17" Type="http://schemas.openxmlformats.org/officeDocument/2006/relationships/hyperlink" Target="https://doi.org/10.1097/HCO.0000000000001098" TargetMode="External"/><Relationship Id="rId25" Type="http://schemas.openxmlformats.org/officeDocument/2006/relationships/hyperlink" Target="https://doi.org/10.1161/CIR.0000000000001168"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56/NEJM197112232852601" TargetMode="External"/><Relationship Id="rId20" Type="http://schemas.openxmlformats.org/officeDocument/2006/relationships/hyperlink" Target="https://doi.org/10.1016/j.cpcardiol.2024.102914" TargetMode="External"/><Relationship Id="rId29" Type="http://schemas.openxmlformats.org/officeDocument/2006/relationships/hyperlink" Target="https://www.who.int/publications/i/item/978924011556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61/CIR.0000000000001356" TargetMode="External"/><Relationship Id="rId24" Type="http://schemas.openxmlformats.org/officeDocument/2006/relationships/hyperlink" Target="https://doi.org/10.1093/eurheartj/ehy462"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93/eurheartj/ehae178" TargetMode="External"/><Relationship Id="rId23" Type="http://schemas.openxmlformats.org/officeDocument/2006/relationships/hyperlink" Target="https://doi.org/10.1097/MD.0000000000038880" TargetMode="External"/><Relationship Id="rId28" Type="http://schemas.openxmlformats.org/officeDocument/2006/relationships/hyperlink" Target="https://www.who.int/news-room/fact-sheets/detail/cardiovascular-diseases-%28cvds%29" TargetMode="External"/><Relationship Id="rId36" Type="http://schemas.openxmlformats.org/officeDocument/2006/relationships/footer" Target="footer3.xml"/><Relationship Id="rId10" Type="http://schemas.openxmlformats.org/officeDocument/2006/relationships/hyperlink" Target="https://doi.org/10.1161/HYP.0000000000000202" TargetMode="External"/><Relationship Id="rId19" Type="http://schemas.openxmlformats.org/officeDocument/2006/relationships/hyperlink" Target="https://doi.org/10.5334/gh.1332"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9734/jammr/2026/v38i56136" TargetMode="External"/><Relationship Id="rId14" Type="http://schemas.openxmlformats.org/officeDocument/2006/relationships/hyperlink" Target="https://doi.org/10.1093/eurheartj/ehab368" TargetMode="External"/><Relationship Id="rId22" Type="http://schemas.openxmlformats.org/officeDocument/2006/relationships/hyperlink" Target="https://www.ncbi.nlm.nih.gov/books/NBK539800/" TargetMode="External"/><Relationship Id="rId27" Type="http://schemas.openxmlformats.org/officeDocument/2006/relationships/hyperlink" Target="https://doi.org/10.1016/j.lanwpc.2021.100277" TargetMode="External"/><Relationship Id="rId30" Type="http://schemas.openxmlformats.org/officeDocument/2006/relationships/hyperlink" Target="https://www.who.int/news-room/fact-sheets/detail/hypertension" TargetMode="External"/><Relationship Id="rId35" Type="http://schemas.openxmlformats.org/officeDocument/2006/relationships/header" Target="header3.xml"/><Relationship Id="rId8" Type="http://schemas.openxmlformats.org/officeDocument/2006/relationships/hyperlink" Target="https://doi.org/10.5888/pcd17.200112"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13</Pages>
  <Words>4212</Words>
  <Characters>24015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Owner_PC</dc:creator>
  <cp:keywords/>
  <dc:description/>
  <cp:lastModifiedBy>Editor-90</cp:lastModifiedBy>
  <cp:revision>133</cp:revision>
  <dcterms:created xsi:type="dcterms:W3CDTF">2026-08-24T17:15:00Z</dcterms:created>
  <dcterms:modified xsi:type="dcterms:W3CDTF">2026-09-04T09:24:00Z</dcterms:modified>
</cp:coreProperties>
</file>