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02236" w14:textId="77777777" w:rsidR="002F6880" w:rsidRPr="00C12BBF" w:rsidRDefault="00000000">
      <w:pPr>
        <w:spacing w:after="40"/>
        <w:rPr>
          <w:color w:val="000000" w:themeColor="text1"/>
        </w:rPr>
      </w:pPr>
      <w:r w:rsidRPr="00C12BBF">
        <w:rPr>
          <w:rFonts w:ascii="Times New Roman" w:hAnsi="Times New Roman"/>
          <w:b/>
          <w:color w:val="000000" w:themeColor="text1"/>
          <w:sz w:val="20"/>
        </w:rPr>
        <w:t>Original Research Article</w:t>
      </w:r>
    </w:p>
    <w:p w14:paraId="775D6E25" w14:textId="77777777" w:rsidR="002F6880" w:rsidRPr="00C12BBF" w:rsidRDefault="00000000">
      <w:pPr>
        <w:spacing w:before="120" w:after="240"/>
        <w:rPr>
          <w:color w:val="000000" w:themeColor="text1"/>
        </w:rPr>
      </w:pPr>
      <w:r w:rsidRPr="00C12BBF">
        <w:rPr>
          <w:rFonts w:ascii="Times New Roman" w:hAnsi="Times New Roman"/>
          <w:b/>
          <w:color w:val="000000" w:themeColor="text1"/>
          <w:sz w:val="32"/>
        </w:rPr>
        <w:t>Comparison of Psychotropic Medication Usage in Surgical and Non-Surgical In-Patients: A Prospective Cross-Sectional Study</w:t>
      </w:r>
    </w:p>
    <w:p w14:paraId="326A0AA3" w14:textId="77777777" w:rsidR="002F6880" w:rsidRPr="00C12BBF" w:rsidRDefault="00000000">
      <w:pPr>
        <w:keepNext/>
        <w:spacing w:before="240" w:after="80"/>
        <w:rPr>
          <w:color w:val="000000" w:themeColor="text1"/>
        </w:rPr>
      </w:pPr>
      <w:r w:rsidRPr="00C12BBF">
        <w:rPr>
          <w:rFonts w:ascii="Times New Roman" w:hAnsi="Times New Roman"/>
          <w:b/>
          <w:color w:val="000000" w:themeColor="text1"/>
          <w:sz w:val="24"/>
        </w:rPr>
        <w:t>ABSTRACT</w:t>
      </w:r>
    </w:p>
    <w:p w14:paraId="2926E9F4" w14:textId="77777777" w:rsidR="002F6880" w:rsidRPr="00C12BBF" w:rsidRDefault="00000000">
      <w:pPr>
        <w:spacing w:after="80"/>
        <w:rPr>
          <w:rFonts w:ascii="Times New Roman" w:hAnsi="Times New Roman" w:cs="Times New Roman"/>
          <w:bCs/>
          <w:color w:val="000000" w:themeColor="text1"/>
          <w:lang w:val="en-IN"/>
        </w:rPr>
      </w:pPr>
      <w:r>
        <w:rPr>
          <w:b/>
        </w:rPr>
        <w:t xml:space="preserve">Background: </w:t>
      </w:r>
      <w:r>
        <w:rPr>
          <w:highlight w:val="yellow"/>
        </w:rPr>
        <w:t>Outside their classical use in psychiatric settings, psychotropic drugs have important indications in non-psychiatric settings, including the management of acute postoperative pain, situational preoperative anxiety, perioperative insomnia, neuropathies, postoperative delirium, and hyperemesis. The increasing clinical use of psychotropic drugs, sometimes off-label, for the treatment of different conditions in both surgical and medical wards highlights the need for close clinical monitoring of unjustified use, drug-drug interactions (DDIs), and adverse drug reactions (ADRs).</w:t>
      </w:r>
    </w:p>
    <w:p w14:paraId="54EA0E34" w14:textId="77777777" w:rsidR="002F6880" w:rsidRPr="007B6B60" w:rsidRDefault="00000000">
      <w:pPr>
        <w:spacing w:after="80"/>
        <w:rPr>
          <w:b/>
          <w:color w:val="000000" w:themeColor="text1"/>
          <w:lang w:val="en-IN"/>
        </w:rPr>
      </w:pPr>
      <w:r>
        <w:rPr>
          <w:b/>
        </w:rPr>
        <w:t xml:space="preserve">Objectives: </w:t>
      </w:r>
      <w:r>
        <w:rPr>
          <w:highlight w:val="yellow"/>
        </w:rPr>
        <w:t>The objective of the present study was to assess and compare patterns of psychotropic drug prescribing, co-existing drug-related problems (DRPs), including clinically significant DDIs, and documented ADRs among adult patients admitted to surgical and medical wards in a tertiary teaching hospital.</w:t>
      </w:r>
    </w:p>
    <w:p w14:paraId="322FD58E" w14:textId="77777777" w:rsidR="002F6880" w:rsidRPr="007B6B60" w:rsidRDefault="00000000">
      <w:pPr>
        <w:spacing w:after="80"/>
        <w:rPr>
          <w:rFonts w:ascii="Times New Roman" w:hAnsi="Times New Roman" w:cs="Times New Roman"/>
          <w:bCs/>
          <w:color w:val="000000" w:themeColor="text1"/>
          <w:lang w:val="en-IN"/>
        </w:rPr>
      </w:pPr>
      <w:r>
        <w:rPr>
          <w:b/>
        </w:rPr>
        <w:t xml:space="preserve">Methods: </w:t>
      </w:r>
      <w:r>
        <w:rPr>
          <w:highlight w:val="yellow"/>
        </w:rPr>
        <w:t>A prospective, cross-sectional, descriptive observational study was conducted over six months, from 1 October 2025 to 31 March 2026, at S.S. Institute of Medical Sciences and Research Centre (SSIMS &amp; RC), Davanagere, Karnataka, India. Using consecutive sampling, 110 consecutive patients of both sexes, aged 18 years or older, who were admitted to medical (n = 27) or surgical (n = 83) wards and received at least one psychotropic drug for an established non-psychiatric indication were included. Patients' sociodemographic data, clinical diagnoses, and prescribed medications were recorded in a structured proforma. Identified DRPs were classified using the Hepler-Strand classification. Potential DDIs were identified and validated using Lexicomp Online and Medscape Reference, and their severity was assessed using both databases. ADR causality and the probable relationship with the suspected drug were assessed using the Naranjo Probability Scale. Chi-square or Fisher's exact tests, as appropriate, were performed in SPSS version 28.0 to compare the surgical and medical groups.</w:t>
      </w:r>
    </w:p>
    <w:p w14:paraId="70207B4E" w14:textId="77777777" w:rsidR="002F6880" w:rsidRPr="007B6B60" w:rsidRDefault="00000000">
      <w:pPr>
        <w:spacing w:after="80"/>
        <w:rPr>
          <w:rFonts w:ascii="Times New Roman" w:hAnsi="Times New Roman" w:cs="Times New Roman"/>
          <w:bCs/>
          <w:color w:val="000000" w:themeColor="text1"/>
          <w:lang w:val="en-IN"/>
        </w:rPr>
      </w:pPr>
      <w:r>
        <w:rPr>
          <w:b/>
        </w:rPr>
        <w:t xml:space="preserve">Results: </w:t>
      </w:r>
      <w:r>
        <w:rPr>
          <w:highlight w:val="yellow"/>
        </w:rPr>
        <w:t>Among the 110 inpatients, 73 (66.4%) were male and 37 (33.6%) were female; 51.9% were aged 31-56 years. Psychotropic drug use was higher in surgical wards (75.5%, n = 83) than in general medicine wards (24.5%, n = 27). Of 153 psychotropic drug orders, alprazolam was the most frequently prescribed (44.5%, n = 68), followed by pregabalin (22.3%, n = 34) and nortriptyline (19.6%, n = 30). Overall, 74 patients (67.3%) received psychotropic monotherapy and 36 (32.7%) received combination therapy. Among the 52 patients with documented comorbidities, hypertension was the most common (48.1%, n = 25). A total of 126 potential DDI events were identified, of which 96 (76.2%) were classified as major, mainly involving combinations associated with central nervous system depression. The most frequent pairs included alprazolam with tramadol (n = 34) and pregabalin with tramadol (n = 20). Six ADRs were documented: excessive sedation associated with alprazolam (n = 3), dizziness associated with pregabalin (n = 1), and anticholinergic effects of nortriptyline, comprising dry mouth (xerostomia; n = 1) and constipation (n = 1). Causality was classified as probable in 50.0% and possible in 50.0% of ADRs.</w:t>
      </w:r>
    </w:p>
    <w:p w14:paraId="29274D8F" w14:textId="77777777" w:rsidR="002F6880" w:rsidRPr="007B6B60" w:rsidRDefault="00000000">
      <w:pPr>
        <w:spacing w:after="80"/>
        <w:rPr>
          <w:rFonts w:ascii="Times New Roman" w:hAnsi="Times New Roman" w:cs="Times New Roman"/>
          <w:bCs/>
          <w:color w:val="000000" w:themeColor="text1"/>
          <w:lang w:val="en-IN"/>
        </w:rPr>
      </w:pPr>
      <w:r>
        <w:rPr>
          <w:b/>
        </w:rPr>
        <w:lastRenderedPageBreak/>
        <w:t xml:space="preserve">Conclusion: </w:t>
      </w:r>
      <w:r>
        <w:rPr>
          <w:highlight w:val="yellow"/>
        </w:rPr>
        <w:t>Psychotropic drugs were commonly used in non-psychiatric inpatient care, with short-acting benzodiazepines used more frequently in surgical wards for perioperative anxiety and sedation, whereas neuromodulating drugs were used in medical wards for neuropathic pain. The high frequency of potentially major DDIs and the documented ADRs indicates the need for department-specific rational-prescribing guidance, standardised medication reconciliation, and direct ward-based involvement of clinical pharmacists.</w:t>
      </w:r>
    </w:p>
    <w:p w14:paraId="63D721EA" w14:textId="77777777" w:rsidR="002F6880" w:rsidRPr="00C12BBF" w:rsidRDefault="00000000">
      <w:pPr>
        <w:spacing w:after="240"/>
        <w:rPr>
          <w:color w:val="000000" w:themeColor="text1"/>
        </w:rPr>
      </w:pPr>
      <w:r w:rsidRPr="00C12BBF">
        <w:rPr>
          <w:rFonts w:ascii="Times New Roman" w:hAnsi="Times New Roman"/>
          <w:b/>
          <w:color w:val="000000" w:themeColor="text1"/>
        </w:rPr>
        <w:t xml:space="preserve">Keywords: </w:t>
      </w:r>
      <w:r w:rsidRPr="00C12BBF">
        <w:rPr>
          <w:rFonts w:ascii="Times New Roman" w:hAnsi="Times New Roman"/>
          <w:color w:val="000000" w:themeColor="text1"/>
        </w:rPr>
        <w:t>Psychopharmacology, Psychotropic drugs, Pharmacoepidemiology, Drug-drug interactions (DDIs), Adverse drug reactions (ADRs), Clinical pharmacy, Hepler-Strand framework.</w:t>
      </w:r>
    </w:p>
    <w:p w14:paraId="4F3D0C56" w14:textId="77777777" w:rsidR="002F6880" w:rsidRPr="00C12BBF" w:rsidRDefault="00000000">
      <w:pPr>
        <w:keepNext/>
        <w:spacing w:before="240" w:after="80"/>
        <w:rPr>
          <w:color w:val="000000" w:themeColor="text1"/>
        </w:rPr>
      </w:pPr>
      <w:r w:rsidRPr="00C12BBF">
        <w:rPr>
          <w:rFonts w:ascii="Times New Roman" w:hAnsi="Times New Roman"/>
          <w:b/>
          <w:color w:val="000000" w:themeColor="text1"/>
          <w:sz w:val="24"/>
        </w:rPr>
        <w:t>1. INTRODUCTION</w:t>
      </w:r>
    </w:p>
    <w:p w14:paraId="740F2285" w14:textId="77777777" w:rsidR="007B6B60" w:rsidRDefault="00000000" w:rsidP="007B6B60">
      <w:pPr>
        <w:spacing w:after="80"/>
        <w:rPr>
          <w:rFonts w:ascii="Times New Roman" w:hAnsi="Times New Roman" w:cs="Times New Roman"/>
          <w:color w:val="000000" w:themeColor="text1"/>
          <w:lang w:val="en-IN"/>
        </w:rPr>
      </w:pPr>
      <w:r>
        <w:rPr>
          <w:highlight w:val="yellow"/>
        </w:rPr>
        <w:t xml:space="preserve">A psychotropic drug is a chemical substance that crosses the blood-brain barrier (BBB) and whose primary pharmacological action occurs on the central nervous system (CNS), altering specific neurotransmitters as well as perception, mood, consciousness, cognition, and behaviour (Finnerup et al., 2015; Inouye et al., 2014). Historically classified into antidepressants, benzodiazepines, anticonvulsants (neuromodulators), and antipsychotics, these drugs are now used well beyond psychiatric wards and are common in non-psychiatric inpatient hospital settings (Finnerup et al., 2015; Lucca et al., 2019; Brunero et al., 2016; Salzman, 1981; Inouye et al., 2014). Psychotropic prescribing by physicians and surgeons is increasingly incorporated into multimodal approaches for several somatic and perioperative indications (Finnerup et al., 2015; Gan et al., 2020). In non-psychiatric practice, the rationale for psychotropic use is based on specific neuropharmacological actions. For example, tricyclic antidepressants (TCAs) modulate descending inhibitory serotonergic and noradrenergic pathways in the spinal dorsal horn that are involved in nociception (Finnerup et al., 2015; Sansone &amp; Sansone, 2009). Alpha-2-delta ligands (anticonvulsants) modulate presynaptic voltage-gated calcium channels, reducing excitatory neurotransmitter release and thereby relieving neuropathic pain and hyperalgesia (Finnerup et al., 2015). Benzodiazepines, which potentiate GABA-A receptor transmission, are rapid-acting anxiolytics, sedatives, and skeletal muscle relaxants (American Geriatrics Society Beers Criteria Update Expert Panel, 2023; Gan et al., 2020; Sateia et al., 2017). Subpsychiatric doses of alpha-2-delta ligands, dopamine-receptor antagonists, and atypical antipsychotics may also be used for refractory postoperative nausea, emesis, and acute hyperactive delirium (Gan et al., 2020; Inouye et al., 2014). In anaesthesia and surgery, particularly during perioperative care, benzodiazepines are frequently used as rapidly acting anxiolytics and sedatives and may form part of multidrug regimens intended to reduce preoperative anxiety, facilitate anaesthesia, or manage acute insomnia (Gan et al., 2020; Sateia et al., 2017). In medical and surgical wards, alprazolam, lorazepam, and clonazepam have been used for their skeletal muscle-relaxant and hypnotic effects (American Geriatrics Society Beers Criteria Update Expert Panel, 2023; Sateia et al., 2017). Unmonitored or unreconciled prescribing may increase the risk of cumulative medication toxicity, prolonged postoperative sedation, respiratory depression, motor incoordination, falls, and paradoxical reactions, particularly among older, frail, or acutely ill patients (Juurlink et al., 2003; Sateia et al., 2017; U.S. Food and Drug Administration, 2016). Similarly, traditional TCAs such as nortriptyline and amitriptyline remain treatment options for chronic pain conditions, including post-herpetic neuralgia, diabetic peripheral neuropathy, and painful musculoskeletal disorders (Finnerup et al., 2015; Sansone &amp; Sansone, 2009; Taylor et al., 2021). TCAs also have substantial anticholinergic, antihistaminic, and alpha-1-adrenergic blocking </w:t>
      </w:r>
      <w:r>
        <w:rPr>
          <w:highlight w:val="yellow"/>
        </w:rPr>
        <w:t xml:space="preserve">effects, which may be associated with dry mouth (xerostomia), constipation, urinary retention or hesitancy, blurred vision, and cardiac conduction disturbances (Sansone &amp; Sansone, 2009; Taylor et al., 2021; Vieweg, 2003). These secondary pharmacological effects may complicate acute drug therapy when TCAs are combined with medical and surgical regimens (Roden, 2004; Taylor et al., 2021). Studies of psychotropic use in medical and surgical settings generally indicate that these drugs are often initiated and prescribed by non-psychiatric physicians, with limited routine psychiatric evaluation or medication review (Lucca et al., 2019; Radley et al., 2006). Consequently, drug-related problems (DRPs), particularly drug-drug interactions (DDIs), are an important concern in hospital practice (Sinclair et al., 2010; Juurlink et al., 2003; Magro et al., 2012). A DDI occurs when the co-administration or prior administration of one medication produces a clinically relevant alteration in the response to or toxicity of another medication (Juurlink et al., 2003; Magro et al., 2012). A substantial proportion of DDIs in hospitalised patients may be major or moderate and may contribute to preventable adverse drug reactions (ADRs), defined as undesirable and harmful responses associated with drugs used at normal therapeutic doses (Classen et al., 1997; Juurlink et al., 2003; Lazarou et al., 1998; Moore et al., 1998; Naranjo et al., 1981; World Health Organization, 1969). Patients with multiple comorbidities, polypharmacy, age-related physiological changes, compromised organ function, and chronic disease may be at increased risk (Davies et al., 2020; Juurlink et al., 2003). Surgical events may further alter blood-brain barrier permeability, hepatic blood flow, plasma protein binding, fluid balance, and renal elimination, while stress may increase catabolic activity (American Society of Anesthesiologists, 2012; Naseralallah et al., 2025a). Perioperative care may also require psychotropic drugs to be combined with opioid analgesics and NSAIDs as part of pain-management protocols (Chou et al., 2016; Gan et al., 2020). The Hepler-Strand model provides a structured framework for identifying, classifying, and resolving DRPs (Hepler &amp; Strand, 1990). Hepler and Strand conceptualised pharmaceutical care as the responsible provision of drug therapy towards the achievement of definite outcomes that improve the quality of a patient's life. Their classification includes eight categories of DRPs: untreated indications, improper drug selection, subtherapeutic dosage, failure to receive medication, overdosage, ADRs, drug interactions, and drug use without a documented indication (Hepler &amp; Strand, 1990). Recent tertiary-care studies have similarly applied drug-utilisation and DRP-focused approaches to evaluate polypharmacy, potential DDIs, and other medication-related concerns (Panyala et al., 2025; Suhail et al., 2022). Recent work in surgical and psychiatric inpatients, together with an updated systematic review of inpatient DRP classification approaches, underscores continued clinical attention to medication review, structured DRP identification, and potential DDI assessment (Christiansen et al., 2025; Dal Paz et al., 2026; Rankovic et al., 2024). Structured chart review combined with interventions has an important role in reducing DRPs, thereby reducing avoidable ADRs and improving clinical outcomes (Dalton &amp; Byrne, 2017; Mohammed et al., 2017; Gillespie et al., 2009; Naseralallah et al., 2025b). However, prospective comparative studies characterising psychotropic use in surgical and non-surgical wards, together with concurrent medication-initiation drivers and the drug-safety profile at a tertiary referral hospital in India, remain limited. The purpose of this prospective cross-sectional study conducted at a tertiary-care teaching hospital in India was therefore to assess and </w:t>
      </w:r>
      <w:r>
        <w:rPr>
          <w:highlight w:val="yellow"/>
        </w:rPr>
        <w:lastRenderedPageBreak/>
        <w:t>compare patterns of psychotropic drug utilisation, drug-related problems (DRPs), potential DDIs, and ADRs between surgical and non-surgical wards.</w:t>
      </w:r>
    </w:p>
    <w:p w14:paraId="03AC3C02" w14:textId="77777777" w:rsidR="002F6880" w:rsidRPr="007B6B60" w:rsidRDefault="00000000" w:rsidP="007B6B60">
      <w:pPr>
        <w:spacing w:after="80"/>
        <w:rPr>
          <w:rFonts w:ascii="Times New Roman" w:hAnsi="Times New Roman" w:cs="Times New Roman"/>
          <w:color w:val="000000" w:themeColor="text1"/>
          <w:lang w:val="en-IN"/>
        </w:rPr>
      </w:pPr>
      <w:r w:rsidRPr="00C12BBF">
        <w:rPr>
          <w:rFonts w:ascii="Times New Roman" w:hAnsi="Times New Roman"/>
          <w:b/>
          <w:color w:val="000000" w:themeColor="text1"/>
          <w:sz w:val="24"/>
        </w:rPr>
        <w:t>2. METHODOLOGY</w:t>
      </w:r>
    </w:p>
    <w:p w14:paraId="0186DD97" w14:textId="77777777" w:rsidR="002F6880" w:rsidRDefault="00000000">
      <w:pPr>
        <w:keepNext/>
        <w:spacing w:before="160" w:after="40"/>
        <w:rPr>
          <w:rFonts w:ascii="Times New Roman" w:hAnsi="Times New Roman"/>
          <w:b/>
          <w:i/>
          <w:color w:val="000000" w:themeColor="text1"/>
        </w:rPr>
      </w:pPr>
      <w:r w:rsidRPr="00C12BBF">
        <w:rPr>
          <w:rFonts w:ascii="Times New Roman" w:hAnsi="Times New Roman"/>
          <w:b/>
          <w:i/>
          <w:color w:val="000000" w:themeColor="text1"/>
        </w:rPr>
        <w:t>2.1 Study Design and Setting</w:t>
      </w:r>
    </w:p>
    <w:p w14:paraId="2DEF9A8F" w14:textId="77777777" w:rsidR="007B6B60" w:rsidRPr="007B6B60" w:rsidRDefault="007B6B60">
      <w:pPr>
        <w:keepNext/>
        <w:spacing w:before="160" w:after="40"/>
        <w:rPr>
          <w:rFonts w:ascii="Times New Roman" w:hAnsi="Times New Roman" w:cs="Times New Roman"/>
          <w:color w:val="000000" w:themeColor="text1"/>
          <w:lang w:val="en-IN"/>
        </w:rPr>
      </w:pPr>
      <w:r>
        <w:rPr>
          <w:highlight w:val="yellow"/>
        </w:rPr>
        <w:t>A prospective, cross-sectional, descriptive observational study was designed for a duration of six months, from 1 October 2025 to 31 March 2026, and was conducted at S.S. Institute of Medical Sciences and Research Centre (SSIMS &amp; RC), Davanagere, Karnataka, India. SSIMS &amp; RC is a 1,000-bed tertiary teaching hospital serving rural, semi-urban, and urban populations in central Karnataka.</w:t>
      </w:r>
    </w:p>
    <w:p w14:paraId="5C093C56" w14:textId="77777777" w:rsidR="002F6880" w:rsidRDefault="00000000">
      <w:pPr>
        <w:keepNext/>
        <w:spacing w:before="160" w:after="40"/>
        <w:rPr>
          <w:rFonts w:ascii="Times New Roman" w:hAnsi="Times New Roman"/>
          <w:b/>
          <w:i/>
          <w:color w:val="000000" w:themeColor="text1"/>
        </w:rPr>
      </w:pPr>
      <w:r w:rsidRPr="00C12BBF">
        <w:rPr>
          <w:rFonts w:ascii="Times New Roman" w:hAnsi="Times New Roman"/>
          <w:b/>
          <w:i/>
          <w:color w:val="000000" w:themeColor="text1"/>
        </w:rPr>
        <w:t>2.2 Ethical Approval and Patient Consent</w:t>
      </w:r>
    </w:p>
    <w:p w14:paraId="695C9328" w14:textId="77777777" w:rsidR="007B6B60" w:rsidRPr="007B6B60" w:rsidRDefault="007B6B60">
      <w:pPr>
        <w:keepNext/>
        <w:spacing w:before="160" w:after="40"/>
        <w:rPr>
          <w:rFonts w:ascii="Times New Roman" w:hAnsi="Times New Roman" w:cs="Times New Roman"/>
          <w:color w:val="000000" w:themeColor="text1"/>
          <w:lang w:val="en-IN"/>
        </w:rPr>
      </w:pPr>
      <w:r w:rsidRPr="007B6B60">
        <w:rPr>
          <w:rFonts w:ascii="Times New Roman" w:hAnsi="Times New Roman" w:cs="Times New Roman"/>
          <w:color w:val="000000" w:themeColor="text1"/>
          <w:lang w:val="en-IN"/>
        </w:rPr>
        <w:t>Approval to carry out this protocol was obtained from the institutional ethical committee of SSIMS &amp; RC vide ethical clearance protocol number: SSIMS/ IEC /2025/104- R. The anonymity of patient's records (both medical information and personal identification) as well as his clinical history maintained was under ethical framework guided by Declaration of Helsinki (revised 2013), Indian Good Clinical Practice (GCP) guidelines respectively. Participants or legally authorized representatives where incapacity stated, will give informed consent in native language (after explaining aims of the study and the fact that it is observational) after they are been briefed about the same.</w:t>
      </w:r>
    </w:p>
    <w:p w14:paraId="1F865ADF" w14:textId="77777777" w:rsidR="002F6880" w:rsidRPr="00C12BBF" w:rsidRDefault="00000000">
      <w:pPr>
        <w:keepNext/>
        <w:spacing w:before="160" w:after="40"/>
        <w:rPr>
          <w:color w:val="000000" w:themeColor="text1"/>
        </w:rPr>
      </w:pPr>
      <w:r w:rsidRPr="00C12BBF">
        <w:rPr>
          <w:rFonts w:ascii="Times New Roman" w:hAnsi="Times New Roman"/>
          <w:b/>
          <w:i/>
          <w:color w:val="000000" w:themeColor="text1"/>
        </w:rPr>
        <w:t>2.3 Participant Selection and Sample Size</w:t>
      </w:r>
    </w:p>
    <w:p w14:paraId="0058E1BA" w14:textId="77777777" w:rsidR="007B6B60" w:rsidRDefault="007B6B60" w:rsidP="007B6B60">
      <w:pPr>
        <w:spacing w:after="80"/>
        <w:rPr>
          <w:rFonts w:ascii="Times New Roman" w:hAnsi="Times New Roman"/>
          <w:color w:val="000000" w:themeColor="text1"/>
          <w:lang w:val="en-IN"/>
        </w:rPr>
      </w:pPr>
      <w:r>
        <w:rPr>
          <w:highlight w:val="yellow"/>
        </w:rPr>
        <w:t>All patients studied were adults (age &gt;= 18 years) admitted to either surgical wards (general surgery, orthopaedics, and neurosurgery) or general medicine wards and were prescribed at least one psychotropic agent (benzodiazepine, antidepressant, anticonvulsant/neuromodulator, antipsychotic, and/or sedative-hypnotic) for a documented non-psychiatric indication. Patients were enrolled using consecutive sampling over a six-month prospective observation period designed to obtain the largest possible number of eligible admissions. The sample-size target was set considering institution-wide admission numbers and existing inpatient psychotropic-prescribing rates (estimated at 15-20% across medical and surgical wards). Using Cochran's formula with an estimated prevalence of 15%, an alpha value of 1.96 (95% CI), and an alpha interval of 7%, the required minimum sample size was calculated as 100. The sample size was increased to 110 to allow for possible documentation loss, resulting in a final sample of 110 fully evaluable patients.</w:t>
      </w:r>
    </w:p>
    <w:p w14:paraId="6CD83F56" w14:textId="77777777" w:rsidR="007B6B60" w:rsidRPr="007B6B60" w:rsidRDefault="007B6B60" w:rsidP="007B6B60">
      <w:pPr>
        <w:spacing w:after="80"/>
        <w:rPr>
          <w:rFonts w:ascii="Times New Roman" w:hAnsi="Times New Roman"/>
          <w:color w:val="000000" w:themeColor="text1"/>
          <w:lang w:val="en-IN"/>
        </w:rPr>
      </w:pPr>
      <w:r>
        <w:rPr>
          <w:highlight w:val="yellow"/>
        </w:rPr>
        <w:t>The exclusion criteria were: (i) patients diagnosed with a primary psychiatric illness, such as schizophrenia, bipolar affective disorder, or major depressive disorder, with psychiatric admission; (ii) patients aged less than 18 years; (iii) subjects who refused to provide written consent, were difficult to assess, or were non-cooperative; and (iv) incomplete, truncated, or missing medical records.</w:t>
      </w:r>
    </w:p>
    <w:p w14:paraId="3F02AADF" w14:textId="77777777" w:rsidR="002F6880" w:rsidRPr="00C12BBF" w:rsidRDefault="00000000">
      <w:pPr>
        <w:keepNext/>
        <w:spacing w:before="160" w:after="40"/>
        <w:rPr>
          <w:color w:val="000000" w:themeColor="text1"/>
        </w:rPr>
      </w:pPr>
      <w:r w:rsidRPr="00C12BBF">
        <w:rPr>
          <w:rFonts w:ascii="Times New Roman" w:hAnsi="Times New Roman"/>
          <w:b/>
          <w:i/>
          <w:color w:val="000000" w:themeColor="text1"/>
        </w:rPr>
        <w:t>2.4 Data Collection and Clinical Assessment</w:t>
      </w:r>
    </w:p>
    <w:p w14:paraId="64621323" w14:textId="77777777" w:rsidR="001A40AE" w:rsidRPr="001A40AE" w:rsidRDefault="001A40AE" w:rsidP="001A40AE">
      <w:pPr>
        <w:spacing w:after="80"/>
        <w:rPr>
          <w:rFonts w:ascii="Times New Roman" w:hAnsi="Times New Roman"/>
          <w:color w:val="000000" w:themeColor="text1"/>
          <w:lang w:val="en-IN"/>
        </w:rPr>
      </w:pPr>
      <w:r>
        <w:rPr>
          <w:highlight w:val="yellow"/>
        </w:rPr>
        <w:t xml:space="preserve">Data were abstracted daily using a pre-tested proforma by a suitably qualified clinical pharmacist through direct review of inpatient medical case sheets, Medication Administration Records (MARs), investigation profiles, physicians' order sheets, and nursing Kardex notes. The recorded parameters </w:t>
      </w:r>
      <w:r>
        <w:rPr>
          <w:highlight w:val="yellow"/>
        </w:rPr>
        <w:lastRenderedPageBreak/>
        <w:t>included sociodemographic characteristics (age, sex, lifestyle, and lifestyle risk factors), primary and secondary clinical conditions, surgical procedures, details of each medication (generic name, pharmacological class, route of administration, dose, frequency, administration schedule, and duration of treatment), and concomitantly administered non-psychotropic medications.</w:t>
      </w:r>
    </w:p>
    <w:p w14:paraId="218515A9" w14:textId="77777777" w:rsidR="001A40AE" w:rsidRDefault="001A40AE" w:rsidP="001A40AE">
      <w:pPr>
        <w:spacing w:after="80"/>
        <w:rPr>
          <w:rFonts w:ascii="Times New Roman" w:hAnsi="Times New Roman"/>
          <w:color w:val="000000" w:themeColor="text1"/>
          <w:lang w:val="en-IN"/>
        </w:rPr>
      </w:pPr>
      <w:r>
        <w:rPr>
          <w:highlight w:val="yellow"/>
        </w:rPr>
        <w:t>Drug-related problems (DRPs) were specifically identified, followed up, and recorded according to the Hepler-Strand classification system (Hepler &amp; Strand, 1990). Furthermore, potential drug-drug interactions (DDIs) were identified and cross-checked using established, evidence-based pharmacological databases, including Lexicomp Online (UpToDate Inc., Wolters Kluwer Health) and the Medscape Reference Drug Interaction Checker (WebMD LLC). According to the database definitions, DDIs were classified into three severity categories: Major (likely to cause life-threatening problems and require significant drug-therapy modification and/or close clinical monitoring to prevent these problems); Moderate (likely to lead to patient decompensation, exacerbation of the chronic disease state, or significant clinical changes, for which close clinical monitoring is often recommended to prevent clinical deterioration); and Minor (little or no clinical significance is expected from most interactions, and minimal or no modification of drug therapy may be required) (Juurlink et al., 2003; Magro et al., 2012).</w:t>
      </w:r>
    </w:p>
    <w:p w14:paraId="099CB61C" w14:textId="77777777" w:rsidR="001A40AE" w:rsidRPr="001A40AE" w:rsidRDefault="001A40AE" w:rsidP="001A40AE">
      <w:pPr>
        <w:spacing w:after="80"/>
        <w:rPr>
          <w:rFonts w:ascii="Times New Roman" w:hAnsi="Times New Roman"/>
          <w:color w:val="000000" w:themeColor="text1"/>
          <w:lang w:val="en-IN"/>
        </w:rPr>
      </w:pPr>
      <w:r>
        <w:rPr>
          <w:highlight w:val="yellow"/>
        </w:rPr>
        <w:t>Suspected adverse drug reactions (ADRs) occurring during hospitalisation were systematically recorded, and causality was assessed using the Naranjo Adverse Drug Reaction Probability Scale (Naranjo et al., 1981), which contains 10 questions addressing the temporal sequence, previous reports of causal relationships, dechallenge/rechallenge, the existence of alternative aetiology, and corroboration by objective evidence. The resulting scores range from -4 to +13, classifying an ADR as definite (score &gt;= 9), probable (score 5-8), possible (score 1-4), or doubtful (score &lt;= 0) (Naranjo et al., 1981).</w:t>
      </w:r>
    </w:p>
    <w:p w14:paraId="5C030F1C" w14:textId="77777777" w:rsidR="002F6880" w:rsidRDefault="00000000">
      <w:pPr>
        <w:keepNext/>
        <w:spacing w:before="160" w:after="40"/>
        <w:rPr>
          <w:rFonts w:ascii="Times New Roman" w:hAnsi="Times New Roman"/>
          <w:b/>
          <w:i/>
          <w:color w:val="000000" w:themeColor="text1"/>
        </w:rPr>
      </w:pPr>
      <w:r w:rsidRPr="00C12BBF">
        <w:rPr>
          <w:rFonts w:ascii="Times New Roman" w:hAnsi="Times New Roman"/>
          <w:b/>
          <w:i/>
          <w:color w:val="000000" w:themeColor="text1"/>
        </w:rPr>
        <w:t>2.5 Statistical Analysis</w:t>
      </w:r>
    </w:p>
    <w:p w14:paraId="7C679530" w14:textId="77777777" w:rsidR="001A40AE" w:rsidRPr="001A40AE" w:rsidRDefault="001A40AE">
      <w:pPr>
        <w:keepNext/>
        <w:spacing w:before="160" w:after="40"/>
        <w:rPr>
          <w:rFonts w:ascii="Times New Roman" w:hAnsi="Times New Roman" w:cs="Times New Roman"/>
          <w:color w:val="000000" w:themeColor="text1"/>
          <w:lang w:val="en-IN"/>
        </w:rPr>
      </w:pPr>
      <w:r>
        <w:rPr>
          <w:highlight w:val="yellow"/>
        </w:rPr>
        <w:t>All demographic and clinical data were collected, checked, and analysed using SPSS for Windows, Version 28.0 (IBM Corp., Armonk, NY, USA). Continuous demographic variables were presented as the mean (+/- standard deviation) or range, and categorical variables as numbers and percentages (n and %). For categorical comparisons between the surgical and non-surgical groups, such as sex, age group, presence of comorbidity, and regimen type, Pearson's chi-square test or Fisher's exact test was used, as appropriate. A p value less than or equal to 0.05 was considered statistically significant, and all tests were two-tailed.</w:t>
      </w:r>
    </w:p>
    <w:p w14:paraId="2CD3417C" w14:textId="77777777" w:rsidR="002F6880" w:rsidRPr="00C12BBF" w:rsidRDefault="00000000">
      <w:pPr>
        <w:keepNext/>
        <w:spacing w:before="240" w:after="80"/>
        <w:rPr>
          <w:color w:val="000000" w:themeColor="text1"/>
        </w:rPr>
      </w:pPr>
      <w:r w:rsidRPr="00C12BBF">
        <w:rPr>
          <w:rFonts w:ascii="Times New Roman" w:hAnsi="Times New Roman"/>
          <w:b/>
          <w:color w:val="000000" w:themeColor="text1"/>
          <w:sz w:val="24"/>
        </w:rPr>
        <w:t>3.3 RESULTS</w:t>
      </w:r>
    </w:p>
    <w:p w14:paraId="3F83ED04" w14:textId="77777777" w:rsidR="002F6880" w:rsidRPr="00C12BBF" w:rsidRDefault="00000000">
      <w:pPr>
        <w:keepNext/>
        <w:spacing w:before="160" w:after="40"/>
        <w:rPr>
          <w:color w:val="000000" w:themeColor="text1"/>
        </w:rPr>
      </w:pPr>
      <w:r w:rsidRPr="00C12BBF">
        <w:rPr>
          <w:rFonts w:ascii="Times New Roman" w:hAnsi="Times New Roman"/>
          <w:b/>
          <w:i/>
          <w:color w:val="000000" w:themeColor="text1"/>
        </w:rPr>
        <w:t>3.1 Baseline Demographic and Clinical Characteristics</w:t>
      </w:r>
    </w:p>
    <w:p w14:paraId="43288A6B" w14:textId="77777777" w:rsidR="002F6880" w:rsidRDefault="00000000">
      <w:pPr>
        <w:spacing w:after="80"/>
        <w:rPr>
          <w:rFonts w:ascii="Times New Roman" w:hAnsi="Times New Roman"/>
          <w:color w:val="000000" w:themeColor="text1"/>
        </w:rPr>
      </w:pPr>
      <w:r>
        <w:rPr>
          <w:highlight w:val="yellow"/>
        </w:rPr>
        <w:t xml:space="preserve">A total of 110 adult inpatients met all inclusion criteria during the prospective study period. The inpatient cohort predominantly comprised admissions to surgical departments (75.5%, n = 83; comprising general surgery, orthopaedics, and neurosurgery) compared with non-surgical general medicine wards (24.5%, n = 27). Males accounted for nearly two-thirds of the overall cohort (66.4%, n = 73), while females represented 33.6% (n = 37); the sex distribution did not differ significantly between surgical and non-surgical wards (chi^2 = 0.038, p = 0.845). Psychotropic </w:t>
      </w:r>
      <w:r>
        <w:rPr>
          <w:highlight w:val="yellow"/>
        </w:rPr>
        <w:lastRenderedPageBreak/>
        <w:t>prescribing was most prevalent among adults aged 31-43 years (26.4%, n = 29) and 44-56 years (25.5%, n = 28), with a comparable age distribution across specialties (chi^2 = 0.776, p = 0.854).</w:t>
      </w:r>
    </w:p>
    <w:p w14:paraId="05530E28" w14:textId="77777777" w:rsidR="0088613B" w:rsidRDefault="00AF0478" w:rsidP="0088613B">
      <w:pPr>
        <w:spacing w:after="80"/>
        <w:rPr>
          <w:rFonts w:ascii="Times New Roman" w:hAnsi="Times New Roman" w:cs="Times New Roman"/>
          <w:color w:val="000000" w:themeColor="text1"/>
          <w:lang w:val="en-IN"/>
        </w:rPr>
      </w:pPr>
      <w:r>
        <w:rPr>
          <w:highlight w:val="yellow"/>
        </w:rPr>
        <w:t>Among the 52 subjects with documented chronic comorbid illnesses, the most common condition was chronic systemic hypertension (48.1%, N = 25/52: 16 surgical and 9 non-surgical). This was followed by type 2 diabetes mellitus (34.6%, N = 18/52: 11 surgical and 7 non-surgical), cardiovascular disease (11.5%, N = 6/52), and chronic renal or respiratory disease (5.8%, N = 3/52). A full baseline demographic and clinical description of the cohort is presented in Table 1.</w:t>
      </w:r>
    </w:p>
    <w:p w14:paraId="5E52BB7E" w14:textId="77777777" w:rsidR="002F6880" w:rsidRPr="0088613B" w:rsidRDefault="00000000" w:rsidP="0088613B">
      <w:pPr>
        <w:spacing w:after="80"/>
        <w:rPr>
          <w:rFonts w:ascii="Times New Roman" w:hAnsi="Times New Roman" w:cs="Times New Roman"/>
          <w:color w:val="000000" w:themeColor="text1"/>
          <w:lang w:val="en-IN"/>
        </w:rPr>
      </w:pPr>
      <w:r w:rsidRPr="00C12BBF">
        <w:rPr>
          <w:rFonts w:ascii="Times New Roman" w:hAnsi="Times New Roman"/>
          <w:b/>
          <w:color w:val="000000" w:themeColor="text1"/>
        </w:rPr>
        <w:t xml:space="preserve">Table 1: </w:t>
      </w:r>
      <w:r w:rsidR="0088613B" w:rsidRPr="0088613B">
        <w:rPr>
          <w:rFonts w:ascii="Times New Roman" w:hAnsi="Times New Roman"/>
          <w:b/>
          <w:color w:val="000000" w:themeColor="text1"/>
        </w:rPr>
        <w:t>Sociodemographic and Comorbidity Profile of Inpatients Stratified by Clinical Department (N = 110)</w:t>
      </w:r>
    </w:p>
    <w:tbl>
      <w:tblPr>
        <w:tblW w:w="0" w:type="auto"/>
        <w:jc w:val="center"/>
        <w:tblBorders>
          <w:top w:val="single" w:sz="4" w:space="0" w:color="CCCCCC"/>
          <w:bottom w:val="single" w:sz="4" w:space="0" w:color="CCCCCC"/>
          <w:insideH w:val="single" w:sz="4" w:space="0" w:color="CCCCCC"/>
        </w:tblBorders>
        <w:tblLook w:val="04A0" w:firstRow="1" w:lastRow="0" w:firstColumn="1" w:lastColumn="0" w:noHBand="0" w:noVBand="1"/>
      </w:tblPr>
      <w:tblGrid>
        <w:gridCol w:w="1560"/>
        <w:gridCol w:w="1560"/>
        <w:gridCol w:w="1560"/>
        <w:gridCol w:w="1560"/>
        <w:gridCol w:w="1560"/>
        <w:gridCol w:w="1560"/>
      </w:tblGrid>
      <w:tr w:rsidR="002F6880" w:rsidRPr="00C12BBF" w14:paraId="7E396568" w14:textId="77777777">
        <w:trPr>
          <w:jc w:val="center"/>
        </w:trPr>
        <w:tc>
          <w:tcPr>
            <w:tcW w:w="1560" w:type="dxa"/>
            <w:shd w:val="clear" w:color="auto" w:fill="E8EEF5"/>
            <w:tcMar>
              <w:top w:w="100" w:type="dxa"/>
              <w:left w:w="120" w:type="dxa"/>
              <w:bottom w:w="100" w:type="dxa"/>
              <w:right w:w="120" w:type="dxa"/>
            </w:tcMar>
          </w:tcPr>
          <w:p w14:paraId="26EFBBFF" w14:textId="77777777" w:rsidR="002F6880" w:rsidRPr="00C12BBF" w:rsidRDefault="00000000">
            <w:pPr>
              <w:spacing w:after="0"/>
              <w:rPr>
                <w:color w:val="000000" w:themeColor="text1"/>
              </w:rPr>
            </w:pPr>
            <w:r w:rsidRPr="00C12BBF">
              <w:rPr>
                <w:rFonts w:ascii="Times New Roman" w:hAnsi="Times New Roman"/>
                <w:b/>
                <w:color w:val="000000" w:themeColor="text1"/>
                <w:sz w:val="19"/>
              </w:rPr>
              <w:t>Baseline Parameter</w:t>
            </w:r>
          </w:p>
        </w:tc>
        <w:tc>
          <w:tcPr>
            <w:tcW w:w="1560" w:type="dxa"/>
            <w:shd w:val="clear" w:color="auto" w:fill="E8EEF5"/>
            <w:tcMar>
              <w:top w:w="100" w:type="dxa"/>
              <w:left w:w="120" w:type="dxa"/>
              <w:bottom w:w="100" w:type="dxa"/>
              <w:right w:w="120" w:type="dxa"/>
            </w:tcMar>
          </w:tcPr>
          <w:p w14:paraId="560BFCB4"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9"/>
              </w:rPr>
              <w:t>Surgical Wards</w:t>
            </w:r>
            <w:r w:rsidRPr="00C12BBF">
              <w:rPr>
                <w:rFonts w:ascii="Times New Roman" w:hAnsi="Times New Roman"/>
                <w:b/>
                <w:color w:val="000000" w:themeColor="text1"/>
                <w:sz w:val="19"/>
              </w:rPr>
              <w:br/>
              <w:t>(n = 83)</w:t>
            </w:r>
          </w:p>
        </w:tc>
        <w:tc>
          <w:tcPr>
            <w:tcW w:w="1560" w:type="dxa"/>
            <w:shd w:val="clear" w:color="auto" w:fill="E8EEF5"/>
            <w:tcMar>
              <w:top w:w="100" w:type="dxa"/>
              <w:left w:w="120" w:type="dxa"/>
              <w:bottom w:w="100" w:type="dxa"/>
              <w:right w:w="120" w:type="dxa"/>
            </w:tcMar>
          </w:tcPr>
          <w:p w14:paraId="24EA61C7"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9"/>
              </w:rPr>
              <w:t>Non-Surgical Wards</w:t>
            </w:r>
            <w:r w:rsidRPr="00C12BBF">
              <w:rPr>
                <w:rFonts w:ascii="Times New Roman" w:hAnsi="Times New Roman"/>
                <w:b/>
                <w:color w:val="000000" w:themeColor="text1"/>
                <w:sz w:val="19"/>
              </w:rPr>
              <w:br/>
              <w:t>(n = 27)</w:t>
            </w:r>
          </w:p>
        </w:tc>
        <w:tc>
          <w:tcPr>
            <w:tcW w:w="1560" w:type="dxa"/>
            <w:shd w:val="clear" w:color="auto" w:fill="E8EEF5"/>
            <w:tcMar>
              <w:top w:w="100" w:type="dxa"/>
              <w:left w:w="120" w:type="dxa"/>
              <w:bottom w:w="100" w:type="dxa"/>
              <w:right w:w="120" w:type="dxa"/>
            </w:tcMar>
          </w:tcPr>
          <w:p w14:paraId="4EB5E7B5"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9"/>
              </w:rPr>
              <w:t>Combined Sample</w:t>
            </w:r>
            <w:r w:rsidRPr="00C12BBF">
              <w:rPr>
                <w:rFonts w:ascii="Times New Roman" w:hAnsi="Times New Roman"/>
                <w:b/>
                <w:color w:val="000000" w:themeColor="text1"/>
                <w:sz w:val="19"/>
              </w:rPr>
              <w:br/>
              <w:t>(N = 110)</w:t>
            </w:r>
          </w:p>
        </w:tc>
        <w:tc>
          <w:tcPr>
            <w:tcW w:w="1560" w:type="dxa"/>
            <w:shd w:val="clear" w:color="auto" w:fill="E8EEF5"/>
            <w:tcMar>
              <w:top w:w="100" w:type="dxa"/>
              <w:left w:w="120" w:type="dxa"/>
              <w:bottom w:w="100" w:type="dxa"/>
              <w:right w:w="120" w:type="dxa"/>
            </w:tcMar>
          </w:tcPr>
          <w:p w14:paraId="3386F17B"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9"/>
              </w:rPr>
              <w:t>Overall Sample</w:t>
            </w:r>
            <w:r w:rsidRPr="00C12BBF">
              <w:rPr>
                <w:rFonts w:ascii="Times New Roman" w:hAnsi="Times New Roman"/>
                <w:b/>
                <w:color w:val="000000" w:themeColor="text1"/>
                <w:sz w:val="19"/>
              </w:rPr>
              <w:br/>
              <w:t>(%)</w:t>
            </w:r>
          </w:p>
        </w:tc>
        <w:tc>
          <w:tcPr>
            <w:tcW w:w="1560" w:type="dxa"/>
            <w:shd w:val="clear" w:color="auto" w:fill="E8EEF5"/>
            <w:tcMar>
              <w:top w:w="100" w:type="dxa"/>
              <w:left w:w="120" w:type="dxa"/>
              <w:bottom w:w="100" w:type="dxa"/>
              <w:right w:w="120" w:type="dxa"/>
            </w:tcMar>
          </w:tcPr>
          <w:p w14:paraId="5AEAD6A5"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9"/>
              </w:rPr>
              <w:t>p-value*</w:t>
            </w:r>
          </w:p>
        </w:tc>
      </w:tr>
      <w:tr w:rsidR="002F6880" w:rsidRPr="00C12BBF" w14:paraId="298C6C09" w14:textId="77777777">
        <w:trPr>
          <w:jc w:val="center"/>
        </w:trPr>
        <w:tc>
          <w:tcPr>
            <w:tcW w:w="1560" w:type="dxa"/>
            <w:tcMar>
              <w:top w:w="80" w:type="dxa"/>
              <w:left w:w="120" w:type="dxa"/>
              <w:bottom w:w="80" w:type="dxa"/>
              <w:right w:w="120" w:type="dxa"/>
            </w:tcMar>
          </w:tcPr>
          <w:p w14:paraId="7AF45571" w14:textId="77777777" w:rsidR="002F6880" w:rsidRPr="00C12BBF" w:rsidRDefault="00000000">
            <w:pPr>
              <w:spacing w:after="0"/>
              <w:rPr>
                <w:color w:val="000000" w:themeColor="text1"/>
              </w:rPr>
            </w:pPr>
            <w:r w:rsidRPr="00C12BBF">
              <w:rPr>
                <w:rFonts w:ascii="Times New Roman" w:hAnsi="Times New Roman"/>
                <w:color w:val="000000" w:themeColor="text1"/>
                <w:sz w:val="19"/>
              </w:rPr>
              <w:t>Gender: Male</w:t>
            </w:r>
          </w:p>
        </w:tc>
        <w:tc>
          <w:tcPr>
            <w:tcW w:w="1560" w:type="dxa"/>
            <w:tcMar>
              <w:top w:w="80" w:type="dxa"/>
              <w:left w:w="120" w:type="dxa"/>
              <w:bottom w:w="80" w:type="dxa"/>
              <w:right w:w="120" w:type="dxa"/>
            </w:tcMar>
          </w:tcPr>
          <w:p w14:paraId="0A7ECA43"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56 (67.5%)</w:t>
            </w:r>
          </w:p>
        </w:tc>
        <w:tc>
          <w:tcPr>
            <w:tcW w:w="1560" w:type="dxa"/>
            <w:tcMar>
              <w:top w:w="80" w:type="dxa"/>
              <w:left w:w="120" w:type="dxa"/>
              <w:bottom w:w="80" w:type="dxa"/>
              <w:right w:w="120" w:type="dxa"/>
            </w:tcMar>
          </w:tcPr>
          <w:p w14:paraId="3D2229B5"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17 (63.0%)</w:t>
            </w:r>
          </w:p>
        </w:tc>
        <w:tc>
          <w:tcPr>
            <w:tcW w:w="1560" w:type="dxa"/>
            <w:tcMar>
              <w:top w:w="80" w:type="dxa"/>
              <w:left w:w="120" w:type="dxa"/>
              <w:bottom w:w="80" w:type="dxa"/>
              <w:right w:w="120" w:type="dxa"/>
            </w:tcMar>
          </w:tcPr>
          <w:p w14:paraId="62A6D586"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73</w:t>
            </w:r>
          </w:p>
        </w:tc>
        <w:tc>
          <w:tcPr>
            <w:tcW w:w="1560" w:type="dxa"/>
            <w:tcMar>
              <w:top w:w="80" w:type="dxa"/>
              <w:left w:w="120" w:type="dxa"/>
              <w:bottom w:w="80" w:type="dxa"/>
              <w:right w:w="120" w:type="dxa"/>
            </w:tcMar>
          </w:tcPr>
          <w:p w14:paraId="355A6E8A"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66.4%</w:t>
            </w:r>
          </w:p>
        </w:tc>
        <w:tc>
          <w:tcPr>
            <w:tcW w:w="1560" w:type="dxa"/>
            <w:tcMar>
              <w:top w:w="80" w:type="dxa"/>
              <w:left w:w="120" w:type="dxa"/>
              <w:bottom w:w="80" w:type="dxa"/>
              <w:right w:w="120" w:type="dxa"/>
            </w:tcMar>
          </w:tcPr>
          <w:p w14:paraId="694F7D72"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0.845</w:t>
            </w:r>
          </w:p>
        </w:tc>
      </w:tr>
      <w:tr w:rsidR="002F6880" w:rsidRPr="00C12BBF" w14:paraId="71A03753" w14:textId="77777777">
        <w:trPr>
          <w:jc w:val="center"/>
        </w:trPr>
        <w:tc>
          <w:tcPr>
            <w:tcW w:w="1560" w:type="dxa"/>
            <w:shd w:val="clear" w:color="auto" w:fill="F9FAFC"/>
            <w:tcMar>
              <w:top w:w="80" w:type="dxa"/>
              <w:left w:w="120" w:type="dxa"/>
              <w:bottom w:w="80" w:type="dxa"/>
              <w:right w:w="120" w:type="dxa"/>
            </w:tcMar>
          </w:tcPr>
          <w:p w14:paraId="0B196526" w14:textId="77777777" w:rsidR="002F6880" w:rsidRPr="00C12BBF" w:rsidRDefault="00000000">
            <w:pPr>
              <w:spacing w:after="0"/>
              <w:rPr>
                <w:color w:val="000000" w:themeColor="text1"/>
              </w:rPr>
            </w:pPr>
            <w:r w:rsidRPr="00C12BBF">
              <w:rPr>
                <w:rFonts w:ascii="Times New Roman" w:hAnsi="Times New Roman"/>
                <w:color w:val="000000" w:themeColor="text1"/>
                <w:sz w:val="19"/>
              </w:rPr>
              <w:t>Gender: Female</w:t>
            </w:r>
          </w:p>
        </w:tc>
        <w:tc>
          <w:tcPr>
            <w:tcW w:w="1560" w:type="dxa"/>
            <w:shd w:val="clear" w:color="auto" w:fill="F9FAFC"/>
            <w:tcMar>
              <w:top w:w="80" w:type="dxa"/>
              <w:left w:w="120" w:type="dxa"/>
              <w:bottom w:w="80" w:type="dxa"/>
              <w:right w:w="120" w:type="dxa"/>
            </w:tcMar>
          </w:tcPr>
          <w:p w14:paraId="684A080B"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27 (32.5%)</w:t>
            </w:r>
          </w:p>
        </w:tc>
        <w:tc>
          <w:tcPr>
            <w:tcW w:w="1560" w:type="dxa"/>
            <w:shd w:val="clear" w:color="auto" w:fill="F9FAFC"/>
            <w:tcMar>
              <w:top w:w="80" w:type="dxa"/>
              <w:left w:w="120" w:type="dxa"/>
              <w:bottom w:w="80" w:type="dxa"/>
              <w:right w:w="120" w:type="dxa"/>
            </w:tcMar>
          </w:tcPr>
          <w:p w14:paraId="7B237266"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10 (37.0%)</w:t>
            </w:r>
          </w:p>
        </w:tc>
        <w:tc>
          <w:tcPr>
            <w:tcW w:w="1560" w:type="dxa"/>
            <w:shd w:val="clear" w:color="auto" w:fill="F9FAFC"/>
            <w:tcMar>
              <w:top w:w="80" w:type="dxa"/>
              <w:left w:w="120" w:type="dxa"/>
              <w:bottom w:w="80" w:type="dxa"/>
              <w:right w:w="120" w:type="dxa"/>
            </w:tcMar>
          </w:tcPr>
          <w:p w14:paraId="19E89C2F"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37</w:t>
            </w:r>
          </w:p>
        </w:tc>
        <w:tc>
          <w:tcPr>
            <w:tcW w:w="1560" w:type="dxa"/>
            <w:shd w:val="clear" w:color="auto" w:fill="F9FAFC"/>
            <w:tcMar>
              <w:top w:w="80" w:type="dxa"/>
              <w:left w:w="120" w:type="dxa"/>
              <w:bottom w:w="80" w:type="dxa"/>
              <w:right w:w="120" w:type="dxa"/>
            </w:tcMar>
          </w:tcPr>
          <w:p w14:paraId="0BBC648F"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33.6%</w:t>
            </w:r>
          </w:p>
        </w:tc>
        <w:tc>
          <w:tcPr>
            <w:tcW w:w="1560" w:type="dxa"/>
            <w:shd w:val="clear" w:color="auto" w:fill="F9FAFC"/>
            <w:tcMar>
              <w:top w:w="80" w:type="dxa"/>
              <w:left w:w="120" w:type="dxa"/>
              <w:bottom w:w="80" w:type="dxa"/>
              <w:right w:w="120" w:type="dxa"/>
            </w:tcMar>
          </w:tcPr>
          <w:p w14:paraId="556A7F3D" w14:textId="77777777" w:rsidR="002F6880" w:rsidRPr="00C12BBF" w:rsidRDefault="002F6880">
            <w:pPr>
              <w:spacing w:after="0"/>
              <w:jc w:val="center"/>
              <w:rPr>
                <w:color w:val="000000" w:themeColor="text1"/>
              </w:rPr>
            </w:pPr>
          </w:p>
        </w:tc>
      </w:tr>
      <w:tr w:rsidR="002F6880" w:rsidRPr="00C12BBF" w14:paraId="76812D7D" w14:textId="77777777">
        <w:trPr>
          <w:jc w:val="center"/>
        </w:trPr>
        <w:tc>
          <w:tcPr>
            <w:tcW w:w="1560" w:type="dxa"/>
            <w:tcMar>
              <w:top w:w="80" w:type="dxa"/>
              <w:left w:w="120" w:type="dxa"/>
              <w:bottom w:w="80" w:type="dxa"/>
              <w:right w:w="120" w:type="dxa"/>
            </w:tcMar>
          </w:tcPr>
          <w:p w14:paraId="2A776822" w14:textId="77777777" w:rsidR="002F6880" w:rsidRPr="00C12BBF" w:rsidRDefault="00000000">
            <w:pPr>
              <w:spacing w:after="0"/>
              <w:rPr>
                <w:color w:val="000000" w:themeColor="text1"/>
              </w:rPr>
            </w:pPr>
            <w:r w:rsidRPr="00C12BBF">
              <w:rPr>
                <w:rFonts w:ascii="Times New Roman" w:hAnsi="Times New Roman"/>
                <w:color w:val="000000" w:themeColor="text1"/>
                <w:sz w:val="19"/>
              </w:rPr>
              <w:t>Age Tier: 18–30 Years</w:t>
            </w:r>
          </w:p>
        </w:tc>
        <w:tc>
          <w:tcPr>
            <w:tcW w:w="1560" w:type="dxa"/>
            <w:tcMar>
              <w:top w:w="80" w:type="dxa"/>
              <w:left w:w="120" w:type="dxa"/>
              <w:bottom w:w="80" w:type="dxa"/>
              <w:right w:w="120" w:type="dxa"/>
            </w:tcMar>
          </w:tcPr>
          <w:p w14:paraId="41E2B94B"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21 (25.3%)</w:t>
            </w:r>
          </w:p>
        </w:tc>
        <w:tc>
          <w:tcPr>
            <w:tcW w:w="1560" w:type="dxa"/>
            <w:tcMar>
              <w:top w:w="80" w:type="dxa"/>
              <w:left w:w="120" w:type="dxa"/>
              <w:bottom w:w="80" w:type="dxa"/>
              <w:right w:w="120" w:type="dxa"/>
            </w:tcMar>
          </w:tcPr>
          <w:p w14:paraId="31EB3D07"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5 (18.5%)</w:t>
            </w:r>
          </w:p>
        </w:tc>
        <w:tc>
          <w:tcPr>
            <w:tcW w:w="1560" w:type="dxa"/>
            <w:tcMar>
              <w:top w:w="80" w:type="dxa"/>
              <w:left w:w="120" w:type="dxa"/>
              <w:bottom w:w="80" w:type="dxa"/>
              <w:right w:w="120" w:type="dxa"/>
            </w:tcMar>
          </w:tcPr>
          <w:p w14:paraId="2890F3A9"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26</w:t>
            </w:r>
          </w:p>
        </w:tc>
        <w:tc>
          <w:tcPr>
            <w:tcW w:w="1560" w:type="dxa"/>
            <w:tcMar>
              <w:top w:w="80" w:type="dxa"/>
              <w:left w:w="120" w:type="dxa"/>
              <w:bottom w:w="80" w:type="dxa"/>
              <w:right w:w="120" w:type="dxa"/>
            </w:tcMar>
          </w:tcPr>
          <w:p w14:paraId="5BE0641F"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23.6%</w:t>
            </w:r>
          </w:p>
        </w:tc>
        <w:tc>
          <w:tcPr>
            <w:tcW w:w="1560" w:type="dxa"/>
            <w:tcMar>
              <w:top w:w="80" w:type="dxa"/>
              <w:left w:w="120" w:type="dxa"/>
              <w:bottom w:w="80" w:type="dxa"/>
              <w:right w:w="120" w:type="dxa"/>
            </w:tcMar>
          </w:tcPr>
          <w:p w14:paraId="4A6DEF46"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0.854</w:t>
            </w:r>
          </w:p>
        </w:tc>
      </w:tr>
      <w:tr w:rsidR="002F6880" w:rsidRPr="00C12BBF" w14:paraId="021C3EAC" w14:textId="77777777">
        <w:trPr>
          <w:jc w:val="center"/>
        </w:trPr>
        <w:tc>
          <w:tcPr>
            <w:tcW w:w="1560" w:type="dxa"/>
            <w:shd w:val="clear" w:color="auto" w:fill="F9FAFC"/>
            <w:tcMar>
              <w:top w:w="80" w:type="dxa"/>
              <w:left w:w="120" w:type="dxa"/>
              <w:bottom w:w="80" w:type="dxa"/>
              <w:right w:w="120" w:type="dxa"/>
            </w:tcMar>
          </w:tcPr>
          <w:p w14:paraId="54BB052D" w14:textId="77777777" w:rsidR="002F6880" w:rsidRPr="00C12BBF" w:rsidRDefault="00000000">
            <w:pPr>
              <w:spacing w:after="0"/>
              <w:rPr>
                <w:color w:val="000000" w:themeColor="text1"/>
              </w:rPr>
            </w:pPr>
            <w:r w:rsidRPr="00C12BBF">
              <w:rPr>
                <w:rFonts w:ascii="Times New Roman" w:hAnsi="Times New Roman"/>
                <w:color w:val="000000" w:themeColor="text1"/>
                <w:sz w:val="19"/>
              </w:rPr>
              <w:t>Age Tier: 31–43 Years</w:t>
            </w:r>
          </w:p>
        </w:tc>
        <w:tc>
          <w:tcPr>
            <w:tcW w:w="1560" w:type="dxa"/>
            <w:shd w:val="clear" w:color="auto" w:fill="F9FAFC"/>
            <w:tcMar>
              <w:top w:w="80" w:type="dxa"/>
              <w:left w:w="120" w:type="dxa"/>
              <w:bottom w:w="80" w:type="dxa"/>
              <w:right w:w="120" w:type="dxa"/>
            </w:tcMar>
          </w:tcPr>
          <w:p w14:paraId="25C2776D"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22 (26.5%)</w:t>
            </w:r>
          </w:p>
        </w:tc>
        <w:tc>
          <w:tcPr>
            <w:tcW w:w="1560" w:type="dxa"/>
            <w:shd w:val="clear" w:color="auto" w:fill="F9FAFC"/>
            <w:tcMar>
              <w:top w:w="80" w:type="dxa"/>
              <w:left w:w="120" w:type="dxa"/>
              <w:bottom w:w="80" w:type="dxa"/>
              <w:right w:w="120" w:type="dxa"/>
            </w:tcMar>
          </w:tcPr>
          <w:p w14:paraId="306C4F8A"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7 (25.9%)</w:t>
            </w:r>
          </w:p>
        </w:tc>
        <w:tc>
          <w:tcPr>
            <w:tcW w:w="1560" w:type="dxa"/>
            <w:shd w:val="clear" w:color="auto" w:fill="F9FAFC"/>
            <w:tcMar>
              <w:top w:w="80" w:type="dxa"/>
              <w:left w:w="120" w:type="dxa"/>
              <w:bottom w:w="80" w:type="dxa"/>
              <w:right w:w="120" w:type="dxa"/>
            </w:tcMar>
          </w:tcPr>
          <w:p w14:paraId="46342ACA"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29</w:t>
            </w:r>
          </w:p>
        </w:tc>
        <w:tc>
          <w:tcPr>
            <w:tcW w:w="1560" w:type="dxa"/>
            <w:shd w:val="clear" w:color="auto" w:fill="F9FAFC"/>
            <w:tcMar>
              <w:top w:w="80" w:type="dxa"/>
              <w:left w:w="120" w:type="dxa"/>
              <w:bottom w:w="80" w:type="dxa"/>
              <w:right w:w="120" w:type="dxa"/>
            </w:tcMar>
          </w:tcPr>
          <w:p w14:paraId="5A5A5010"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26.4%</w:t>
            </w:r>
          </w:p>
        </w:tc>
        <w:tc>
          <w:tcPr>
            <w:tcW w:w="1560" w:type="dxa"/>
            <w:shd w:val="clear" w:color="auto" w:fill="F9FAFC"/>
            <w:tcMar>
              <w:top w:w="80" w:type="dxa"/>
              <w:left w:w="120" w:type="dxa"/>
              <w:bottom w:w="80" w:type="dxa"/>
              <w:right w:w="120" w:type="dxa"/>
            </w:tcMar>
          </w:tcPr>
          <w:p w14:paraId="55BE56FE" w14:textId="77777777" w:rsidR="002F6880" w:rsidRPr="00C12BBF" w:rsidRDefault="002F6880">
            <w:pPr>
              <w:spacing w:after="0"/>
              <w:jc w:val="center"/>
              <w:rPr>
                <w:color w:val="000000" w:themeColor="text1"/>
              </w:rPr>
            </w:pPr>
          </w:p>
        </w:tc>
      </w:tr>
      <w:tr w:rsidR="002F6880" w:rsidRPr="00C12BBF" w14:paraId="1E7102FF" w14:textId="77777777">
        <w:trPr>
          <w:jc w:val="center"/>
        </w:trPr>
        <w:tc>
          <w:tcPr>
            <w:tcW w:w="1560" w:type="dxa"/>
            <w:tcMar>
              <w:top w:w="80" w:type="dxa"/>
              <w:left w:w="120" w:type="dxa"/>
              <w:bottom w:w="80" w:type="dxa"/>
              <w:right w:w="120" w:type="dxa"/>
            </w:tcMar>
          </w:tcPr>
          <w:p w14:paraId="109CEB48" w14:textId="77777777" w:rsidR="002F6880" w:rsidRPr="00C12BBF" w:rsidRDefault="00000000">
            <w:pPr>
              <w:spacing w:after="0"/>
              <w:rPr>
                <w:color w:val="000000" w:themeColor="text1"/>
              </w:rPr>
            </w:pPr>
            <w:r w:rsidRPr="00C12BBF">
              <w:rPr>
                <w:rFonts w:ascii="Times New Roman" w:hAnsi="Times New Roman"/>
                <w:color w:val="000000" w:themeColor="text1"/>
                <w:sz w:val="19"/>
              </w:rPr>
              <w:t>Age Tier: 44–56 Years</w:t>
            </w:r>
          </w:p>
        </w:tc>
        <w:tc>
          <w:tcPr>
            <w:tcW w:w="1560" w:type="dxa"/>
            <w:tcMar>
              <w:top w:w="80" w:type="dxa"/>
              <w:left w:w="120" w:type="dxa"/>
              <w:bottom w:w="80" w:type="dxa"/>
              <w:right w:w="120" w:type="dxa"/>
            </w:tcMar>
          </w:tcPr>
          <w:p w14:paraId="6EFAF5BC"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21 (25.3%)</w:t>
            </w:r>
          </w:p>
        </w:tc>
        <w:tc>
          <w:tcPr>
            <w:tcW w:w="1560" w:type="dxa"/>
            <w:tcMar>
              <w:top w:w="80" w:type="dxa"/>
              <w:left w:w="120" w:type="dxa"/>
              <w:bottom w:w="80" w:type="dxa"/>
              <w:right w:w="120" w:type="dxa"/>
            </w:tcMar>
          </w:tcPr>
          <w:p w14:paraId="2CB21034"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7 (25.9%)</w:t>
            </w:r>
          </w:p>
        </w:tc>
        <w:tc>
          <w:tcPr>
            <w:tcW w:w="1560" w:type="dxa"/>
            <w:tcMar>
              <w:top w:w="80" w:type="dxa"/>
              <w:left w:w="120" w:type="dxa"/>
              <w:bottom w:w="80" w:type="dxa"/>
              <w:right w:w="120" w:type="dxa"/>
            </w:tcMar>
          </w:tcPr>
          <w:p w14:paraId="46246BBD"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28</w:t>
            </w:r>
          </w:p>
        </w:tc>
        <w:tc>
          <w:tcPr>
            <w:tcW w:w="1560" w:type="dxa"/>
            <w:tcMar>
              <w:top w:w="80" w:type="dxa"/>
              <w:left w:w="120" w:type="dxa"/>
              <w:bottom w:w="80" w:type="dxa"/>
              <w:right w:w="120" w:type="dxa"/>
            </w:tcMar>
          </w:tcPr>
          <w:p w14:paraId="7E460B1F"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25.5%</w:t>
            </w:r>
          </w:p>
        </w:tc>
        <w:tc>
          <w:tcPr>
            <w:tcW w:w="1560" w:type="dxa"/>
            <w:tcMar>
              <w:top w:w="80" w:type="dxa"/>
              <w:left w:w="120" w:type="dxa"/>
              <w:bottom w:w="80" w:type="dxa"/>
              <w:right w:w="120" w:type="dxa"/>
            </w:tcMar>
          </w:tcPr>
          <w:p w14:paraId="60259FD1" w14:textId="77777777" w:rsidR="002F6880" w:rsidRPr="00C12BBF" w:rsidRDefault="002F6880">
            <w:pPr>
              <w:spacing w:after="0"/>
              <w:jc w:val="center"/>
              <w:rPr>
                <w:color w:val="000000" w:themeColor="text1"/>
              </w:rPr>
            </w:pPr>
          </w:p>
        </w:tc>
      </w:tr>
      <w:tr w:rsidR="002F6880" w:rsidRPr="00C12BBF" w14:paraId="2A0B8F18" w14:textId="77777777">
        <w:trPr>
          <w:jc w:val="center"/>
        </w:trPr>
        <w:tc>
          <w:tcPr>
            <w:tcW w:w="1560" w:type="dxa"/>
            <w:shd w:val="clear" w:color="auto" w:fill="F9FAFC"/>
            <w:tcMar>
              <w:top w:w="80" w:type="dxa"/>
              <w:left w:w="120" w:type="dxa"/>
              <w:bottom w:w="80" w:type="dxa"/>
              <w:right w:w="120" w:type="dxa"/>
            </w:tcMar>
          </w:tcPr>
          <w:p w14:paraId="708CC3F4" w14:textId="77777777" w:rsidR="002F6880" w:rsidRPr="00C12BBF" w:rsidRDefault="00000000">
            <w:pPr>
              <w:spacing w:after="0"/>
              <w:rPr>
                <w:color w:val="000000" w:themeColor="text1"/>
              </w:rPr>
            </w:pPr>
            <w:r w:rsidRPr="00C12BBF">
              <w:rPr>
                <w:rFonts w:ascii="Times New Roman" w:hAnsi="Times New Roman"/>
                <w:color w:val="000000" w:themeColor="text1"/>
                <w:sz w:val="19"/>
              </w:rPr>
              <w:t>Age Tier: 57–80 Years</w:t>
            </w:r>
          </w:p>
        </w:tc>
        <w:tc>
          <w:tcPr>
            <w:tcW w:w="1560" w:type="dxa"/>
            <w:shd w:val="clear" w:color="auto" w:fill="F9FAFC"/>
            <w:tcMar>
              <w:top w:w="80" w:type="dxa"/>
              <w:left w:w="120" w:type="dxa"/>
              <w:bottom w:w="80" w:type="dxa"/>
              <w:right w:w="120" w:type="dxa"/>
            </w:tcMar>
          </w:tcPr>
          <w:p w14:paraId="6346673E"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19 (22.9%)</w:t>
            </w:r>
          </w:p>
        </w:tc>
        <w:tc>
          <w:tcPr>
            <w:tcW w:w="1560" w:type="dxa"/>
            <w:shd w:val="clear" w:color="auto" w:fill="F9FAFC"/>
            <w:tcMar>
              <w:top w:w="80" w:type="dxa"/>
              <w:left w:w="120" w:type="dxa"/>
              <w:bottom w:w="80" w:type="dxa"/>
              <w:right w:w="120" w:type="dxa"/>
            </w:tcMar>
          </w:tcPr>
          <w:p w14:paraId="1EF39C41"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8 (29.6%)</w:t>
            </w:r>
          </w:p>
        </w:tc>
        <w:tc>
          <w:tcPr>
            <w:tcW w:w="1560" w:type="dxa"/>
            <w:shd w:val="clear" w:color="auto" w:fill="F9FAFC"/>
            <w:tcMar>
              <w:top w:w="80" w:type="dxa"/>
              <w:left w:w="120" w:type="dxa"/>
              <w:bottom w:w="80" w:type="dxa"/>
              <w:right w:w="120" w:type="dxa"/>
            </w:tcMar>
          </w:tcPr>
          <w:p w14:paraId="02BE1E38"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27</w:t>
            </w:r>
          </w:p>
        </w:tc>
        <w:tc>
          <w:tcPr>
            <w:tcW w:w="1560" w:type="dxa"/>
            <w:shd w:val="clear" w:color="auto" w:fill="F9FAFC"/>
            <w:tcMar>
              <w:top w:w="80" w:type="dxa"/>
              <w:left w:w="120" w:type="dxa"/>
              <w:bottom w:w="80" w:type="dxa"/>
              <w:right w:w="120" w:type="dxa"/>
            </w:tcMar>
          </w:tcPr>
          <w:p w14:paraId="5299EB16"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24.5%</w:t>
            </w:r>
          </w:p>
        </w:tc>
        <w:tc>
          <w:tcPr>
            <w:tcW w:w="1560" w:type="dxa"/>
            <w:shd w:val="clear" w:color="auto" w:fill="F9FAFC"/>
            <w:tcMar>
              <w:top w:w="80" w:type="dxa"/>
              <w:left w:w="120" w:type="dxa"/>
              <w:bottom w:w="80" w:type="dxa"/>
              <w:right w:w="120" w:type="dxa"/>
            </w:tcMar>
          </w:tcPr>
          <w:p w14:paraId="75DC934B" w14:textId="77777777" w:rsidR="002F6880" w:rsidRPr="00C12BBF" w:rsidRDefault="002F6880">
            <w:pPr>
              <w:spacing w:after="0"/>
              <w:jc w:val="center"/>
              <w:rPr>
                <w:color w:val="000000" w:themeColor="text1"/>
              </w:rPr>
            </w:pPr>
          </w:p>
        </w:tc>
      </w:tr>
      <w:tr w:rsidR="002F6880" w:rsidRPr="00C12BBF" w14:paraId="6EDA2510" w14:textId="77777777">
        <w:trPr>
          <w:jc w:val="center"/>
        </w:trPr>
        <w:tc>
          <w:tcPr>
            <w:tcW w:w="1560" w:type="dxa"/>
            <w:tcMar>
              <w:top w:w="80" w:type="dxa"/>
              <w:left w:w="120" w:type="dxa"/>
              <w:bottom w:w="80" w:type="dxa"/>
              <w:right w:w="120" w:type="dxa"/>
            </w:tcMar>
          </w:tcPr>
          <w:p w14:paraId="187D6676" w14:textId="77777777" w:rsidR="002F6880" w:rsidRPr="00C12BBF" w:rsidRDefault="00000000">
            <w:pPr>
              <w:spacing w:after="0"/>
              <w:rPr>
                <w:color w:val="000000" w:themeColor="text1"/>
              </w:rPr>
            </w:pPr>
            <w:r w:rsidRPr="00C12BBF">
              <w:rPr>
                <w:rFonts w:ascii="Times New Roman" w:hAnsi="Times New Roman"/>
                <w:color w:val="000000" w:themeColor="text1"/>
                <w:sz w:val="19"/>
              </w:rPr>
              <w:t>Comorbidity: Hypertension^</w:t>
            </w:r>
          </w:p>
        </w:tc>
        <w:tc>
          <w:tcPr>
            <w:tcW w:w="1560" w:type="dxa"/>
            <w:tcMar>
              <w:top w:w="80" w:type="dxa"/>
              <w:left w:w="120" w:type="dxa"/>
              <w:bottom w:w="80" w:type="dxa"/>
              <w:right w:w="120" w:type="dxa"/>
            </w:tcMar>
          </w:tcPr>
          <w:p w14:paraId="1DD06F12"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16 (48.5%)</w:t>
            </w:r>
          </w:p>
        </w:tc>
        <w:tc>
          <w:tcPr>
            <w:tcW w:w="1560" w:type="dxa"/>
            <w:tcMar>
              <w:top w:w="80" w:type="dxa"/>
              <w:left w:w="120" w:type="dxa"/>
              <w:bottom w:w="80" w:type="dxa"/>
              <w:right w:w="120" w:type="dxa"/>
            </w:tcMar>
          </w:tcPr>
          <w:p w14:paraId="6041D3D6"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9 (47.4%)</w:t>
            </w:r>
          </w:p>
        </w:tc>
        <w:tc>
          <w:tcPr>
            <w:tcW w:w="1560" w:type="dxa"/>
            <w:tcMar>
              <w:top w:w="80" w:type="dxa"/>
              <w:left w:w="120" w:type="dxa"/>
              <w:bottom w:w="80" w:type="dxa"/>
              <w:right w:w="120" w:type="dxa"/>
            </w:tcMar>
          </w:tcPr>
          <w:p w14:paraId="5868B1D3"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25</w:t>
            </w:r>
          </w:p>
        </w:tc>
        <w:tc>
          <w:tcPr>
            <w:tcW w:w="1560" w:type="dxa"/>
            <w:tcMar>
              <w:top w:w="80" w:type="dxa"/>
              <w:left w:w="120" w:type="dxa"/>
              <w:bottom w:w="80" w:type="dxa"/>
              <w:right w:w="120" w:type="dxa"/>
            </w:tcMar>
          </w:tcPr>
          <w:p w14:paraId="437AD9DF"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48.1%</w:t>
            </w:r>
          </w:p>
        </w:tc>
        <w:tc>
          <w:tcPr>
            <w:tcW w:w="1560" w:type="dxa"/>
            <w:tcMar>
              <w:top w:w="80" w:type="dxa"/>
              <w:left w:w="120" w:type="dxa"/>
              <w:bottom w:w="80" w:type="dxa"/>
              <w:right w:w="120" w:type="dxa"/>
            </w:tcMar>
          </w:tcPr>
          <w:p w14:paraId="5B052144"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0.938</w:t>
            </w:r>
          </w:p>
        </w:tc>
      </w:tr>
      <w:tr w:rsidR="002F6880" w:rsidRPr="00C12BBF" w14:paraId="48C6D496" w14:textId="77777777">
        <w:trPr>
          <w:jc w:val="center"/>
        </w:trPr>
        <w:tc>
          <w:tcPr>
            <w:tcW w:w="1560" w:type="dxa"/>
            <w:shd w:val="clear" w:color="auto" w:fill="F9FAFC"/>
            <w:tcMar>
              <w:top w:w="80" w:type="dxa"/>
              <w:left w:w="120" w:type="dxa"/>
              <w:bottom w:w="80" w:type="dxa"/>
              <w:right w:w="120" w:type="dxa"/>
            </w:tcMar>
          </w:tcPr>
          <w:p w14:paraId="41CCBE37" w14:textId="77777777" w:rsidR="002F6880" w:rsidRPr="00C12BBF" w:rsidRDefault="00000000">
            <w:pPr>
              <w:spacing w:after="0"/>
              <w:rPr>
                <w:color w:val="000000" w:themeColor="text1"/>
              </w:rPr>
            </w:pPr>
            <w:r w:rsidRPr="00C12BBF">
              <w:rPr>
                <w:rFonts w:ascii="Times New Roman" w:hAnsi="Times New Roman"/>
                <w:color w:val="000000" w:themeColor="text1"/>
                <w:sz w:val="19"/>
              </w:rPr>
              <w:t>Comorbidity: Diabetes Mellitus^</w:t>
            </w:r>
          </w:p>
        </w:tc>
        <w:tc>
          <w:tcPr>
            <w:tcW w:w="1560" w:type="dxa"/>
            <w:shd w:val="clear" w:color="auto" w:fill="F9FAFC"/>
            <w:tcMar>
              <w:top w:w="80" w:type="dxa"/>
              <w:left w:w="120" w:type="dxa"/>
              <w:bottom w:w="80" w:type="dxa"/>
              <w:right w:w="120" w:type="dxa"/>
            </w:tcMar>
          </w:tcPr>
          <w:p w14:paraId="66AA10EE"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11 (33.3%)</w:t>
            </w:r>
          </w:p>
        </w:tc>
        <w:tc>
          <w:tcPr>
            <w:tcW w:w="1560" w:type="dxa"/>
            <w:shd w:val="clear" w:color="auto" w:fill="F9FAFC"/>
            <w:tcMar>
              <w:top w:w="80" w:type="dxa"/>
              <w:left w:w="120" w:type="dxa"/>
              <w:bottom w:w="80" w:type="dxa"/>
              <w:right w:w="120" w:type="dxa"/>
            </w:tcMar>
          </w:tcPr>
          <w:p w14:paraId="25586935"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7 (36.8%)</w:t>
            </w:r>
          </w:p>
        </w:tc>
        <w:tc>
          <w:tcPr>
            <w:tcW w:w="1560" w:type="dxa"/>
            <w:shd w:val="clear" w:color="auto" w:fill="F9FAFC"/>
            <w:tcMar>
              <w:top w:w="80" w:type="dxa"/>
              <w:left w:w="120" w:type="dxa"/>
              <w:bottom w:w="80" w:type="dxa"/>
              <w:right w:w="120" w:type="dxa"/>
            </w:tcMar>
          </w:tcPr>
          <w:p w14:paraId="4BC8DB90"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18</w:t>
            </w:r>
          </w:p>
        </w:tc>
        <w:tc>
          <w:tcPr>
            <w:tcW w:w="1560" w:type="dxa"/>
            <w:shd w:val="clear" w:color="auto" w:fill="F9FAFC"/>
            <w:tcMar>
              <w:top w:w="80" w:type="dxa"/>
              <w:left w:w="120" w:type="dxa"/>
              <w:bottom w:w="80" w:type="dxa"/>
              <w:right w:w="120" w:type="dxa"/>
            </w:tcMar>
          </w:tcPr>
          <w:p w14:paraId="739BFDD3"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34.6%</w:t>
            </w:r>
          </w:p>
        </w:tc>
        <w:tc>
          <w:tcPr>
            <w:tcW w:w="1560" w:type="dxa"/>
            <w:shd w:val="clear" w:color="auto" w:fill="F9FAFC"/>
            <w:tcMar>
              <w:top w:w="80" w:type="dxa"/>
              <w:left w:w="120" w:type="dxa"/>
              <w:bottom w:w="80" w:type="dxa"/>
              <w:right w:w="120" w:type="dxa"/>
            </w:tcMar>
          </w:tcPr>
          <w:p w14:paraId="426571AD"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0.797</w:t>
            </w:r>
          </w:p>
        </w:tc>
      </w:tr>
      <w:tr w:rsidR="002F6880" w:rsidRPr="00C12BBF" w14:paraId="28955FD0" w14:textId="77777777">
        <w:trPr>
          <w:jc w:val="center"/>
        </w:trPr>
        <w:tc>
          <w:tcPr>
            <w:tcW w:w="1560" w:type="dxa"/>
            <w:tcMar>
              <w:top w:w="80" w:type="dxa"/>
              <w:left w:w="120" w:type="dxa"/>
              <w:bottom w:w="80" w:type="dxa"/>
              <w:right w:w="120" w:type="dxa"/>
            </w:tcMar>
          </w:tcPr>
          <w:p w14:paraId="0ED65710" w14:textId="77777777" w:rsidR="002F6880" w:rsidRPr="00C12BBF" w:rsidRDefault="00000000">
            <w:pPr>
              <w:spacing w:after="0"/>
              <w:rPr>
                <w:color w:val="000000" w:themeColor="text1"/>
              </w:rPr>
            </w:pPr>
            <w:r w:rsidRPr="00C12BBF">
              <w:rPr>
                <w:rFonts w:ascii="Times New Roman" w:hAnsi="Times New Roman"/>
                <w:color w:val="000000" w:themeColor="text1"/>
                <w:sz w:val="19"/>
              </w:rPr>
              <w:t>Comorbidity: Cardiovascular Disease^</w:t>
            </w:r>
          </w:p>
        </w:tc>
        <w:tc>
          <w:tcPr>
            <w:tcW w:w="1560" w:type="dxa"/>
            <w:tcMar>
              <w:top w:w="80" w:type="dxa"/>
              <w:left w:w="120" w:type="dxa"/>
              <w:bottom w:w="80" w:type="dxa"/>
              <w:right w:w="120" w:type="dxa"/>
            </w:tcMar>
          </w:tcPr>
          <w:p w14:paraId="4FD6A8C0"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4 (12.1%)</w:t>
            </w:r>
          </w:p>
        </w:tc>
        <w:tc>
          <w:tcPr>
            <w:tcW w:w="1560" w:type="dxa"/>
            <w:tcMar>
              <w:top w:w="80" w:type="dxa"/>
              <w:left w:w="120" w:type="dxa"/>
              <w:bottom w:w="80" w:type="dxa"/>
              <w:right w:w="120" w:type="dxa"/>
            </w:tcMar>
          </w:tcPr>
          <w:p w14:paraId="7914A078"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2 (10.5%)</w:t>
            </w:r>
          </w:p>
        </w:tc>
        <w:tc>
          <w:tcPr>
            <w:tcW w:w="1560" w:type="dxa"/>
            <w:tcMar>
              <w:top w:w="80" w:type="dxa"/>
              <w:left w:w="120" w:type="dxa"/>
              <w:bottom w:w="80" w:type="dxa"/>
              <w:right w:w="120" w:type="dxa"/>
            </w:tcMar>
          </w:tcPr>
          <w:p w14:paraId="275D09D1"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6</w:t>
            </w:r>
          </w:p>
        </w:tc>
        <w:tc>
          <w:tcPr>
            <w:tcW w:w="1560" w:type="dxa"/>
            <w:tcMar>
              <w:top w:w="80" w:type="dxa"/>
              <w:left w:w="120" w:type="dxa"/>
              <w:bottom w:w="80" w:type="dxa"/>
              <w:right w:w="120" w:type="dxa"/>
            </w:tcMar>
          </w:tcPr>
          <w:p w14:paraId="374E51E5"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11.5%</w:t>
            </w:r>
          </w:p>
        </w:tc>
        <w:tc>
          <w:tcPr>
            <w:tcW w:w="1560" w:type="dxa"/>
            <w:tcMar>
              <w:top w:w="80" w:type="dxa"/>
              <w:left w:w="120" w:type="dxa"/>
              <w:bottom w:w="80" w:type="dxa"/>
              <w:right w:w="120" w:type="dxa"/>
            </w:tcMar>
          </w:tcPr>
          <w:p w14:paraId="52A89628"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1.000</w:t>
            </w:r>
          </w:p>
        </w:tc>
      </w:tr>
      <w:tr w:rsidR="002F6880" w:rsidRPr="00C12BBF" w14:paraId="1C0EB083" w14:textId="77777777">
        <w:trPr>
          <w:jc w:val="center"/>
        </w:trPr>
        <w:tc>
          <w:tcPr>
            <w:tcW w:w="1560" w:type="dxa"/>
            <w:shd w:val="clear" w:color="auto" w:fill="F9FAFC"/>
            <w:tcMar>
              <w:top w:w="80" w:type="dxa"/>
              <w:left w:w="120" w:type="dxa"/>
              <w:bottom w:w="80" w:type="dxa"/>
              <w:right w:w="120" w:type="dxa"/>
            </w:tcMar>
          </w:tcPr>
          <w:p w14:paraId="05897BE4" w14:textId="77777777" w:rsidR="002F6880" w:rsidRPr="00C12BBF" w:rsidRDefault="00000000">
            <w:pPr>
              <w:spacing w:after="0"/>
              <w:rPr>
                <w:color w:val="000000" w:themeColor="text1"/>
              </w:rPr>
            </w:pPr>
            <w:r w:rsidRPr="00C12BBF">
              <w:rPr>
                <w:rFonts w:ascii="Times New Roman" w:hAnsi="Times New Roman"/>
                <w:color w:val="000000" w:themeColor="text1"/>
                <w:sz w:val="19"/>
              </w:rPr>
              <w:t>Comorbidity: Renal / Respiratory^</w:t>
            </w:r>
          </w:p>
        </w:tc>
        <w:tc>
          <w:tcPr>
            <w:tcW w:w="1560" w:type="dxa"/>
            <w:shd w:val="clear" w:color="auto" w:fill="F9FAFC"/>
            <w:tcMar>
              <w:top w:w="80" w:type="dxa"/>
              <w:left w:w="120" w:type="dxa"/>
              <w:bottom w:w="80" w:type="dxa"/>
              <w:right w:w="120" w:type="dxa"/>
            </w:tcMar>
          </w:tcPr>
          <w:p w14:paraId="06629EB1"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2 (6.1%)</w:t>
            </w:r>
          </w:p>
        </w:tc>
        <w:tc>
          <w:tcPr>
            <w:tcW w:w="1560" w:type="dxa"/>
            <w:shd w:val="clear" w:color="auto" w:fill="F9FAFC"/>
            <w:tcMar>
              <w:top w:w="80" w:type="dxa"/>
              <w:left w:w="120" w:type="dxa"/>
              <w:bottom w:w="80" w:type="dxa"/>
              <w:right w:w="120" w:type="dxa"/>
            </w:tcMar>
          </w:tcPr>
          <w:p w14:paraId="106E9D02"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1 (5.3%)</w:t>
            </w:r>
          </w:p>
        </w:tc>
        <w:tc>
          <w:tcPr>
            <w:tcW w:w="1560" w:type="dxa"/>
            <w:shd w:val="clear" w:color="auto" w:fill="F9FAFC"/>
            <w:tcMar>
              <w:top w:w="80" w:type="dxa"/>
              <w:left w:w="120" w:type="dxa"/>
              <w:bottom w:w="80" w:type="dxa"/>
              <w:right w:w="120" w:type="dxa"/>
            </w:tcMar>
          </w:tcPr>
          <w:p w14:paraId="7E8A0BBF"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3</w:t>
            </w:r>
          </w:p>
        </w:tc>
        <w:tc>
          <w:tcPr>
            <w:tcW w:w="1560" w:type="dxa"/>
            <w:shd w:val="clear" w:color="auto" w:fill="F9FAFC"/>
            <w:tcMar>
              <w:top w:w="80" w:type="dxa"/>
              <w:left w:w="120" w:type="dxa"/>
              <w:bottom w:w="80" w:type="dxa"/>
              <w:right w:w="120" w:type="dxa"/>
            </w:tcMar>
          </w:tcPr>
          <w:p w14:paraId="10F19D2B"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5.8%</w:t>
            </w:r>
          </w:p>
        </w:tc>
        <w:tc>
          <w:tcPr>
            <w:tcW w:w="1560" w:type="dxa"/>
            <w:shd w:val="clear" w:color="auto" w:fill="F9FAFC"/>
            <w:tcMar>
              <w:top w:w="80" w:type="dxa"/>
              <w:left w:w="120" w:type="dxa"/>
              <w:bottom w:w="80" w:type="dxa"/>
              <w:right w:w="120" w:type="dxa"/>
            </w:tcMar>
          </w:tcPr>
          <w:p w14:paraId="20273AFD"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1.000</w:t>
            </w:r>
          </w:p>
        </w:tc>
      </w:tr>
      <w:tr w:rsidR="002F6880" w:rsidRPr="00C12BBF" w14:paraId="24FB8F94" w14:textId="77777777">
        <w:trPr>
          <w:jc w:val="center"/>
        </w:trPr>
        <w:tc>
          <w:tcPr>
            <w:tcW w:w="1560" w:type="dxa"/>
            <w:tcMar>
              <w:top w:w="80" w:type="dxa"/>
              <w:left w:w="120" w:type="dxa"/>
              <w:bottom w:w="80" w:type="dxa"/>
              <w:right w:w="120" w:type="dxa"/>
            </w:tcMar>
          </w:tcPr>
          <w:p w14:paraId="7A9658B2" w14:textId="77777777" w:rsidR="002F6880" w:rsidRPr="00C12BBF" w:rsidRDefault="00000000">
            <w:pPr>
              <w:spacing w:after="0"/>
              <w:rPr>
                <w:color w:val="000000" w:themeColor="text1"/>
              </w:rPr>
            </w:pPr>
            <w:r w:rsidRPr="00C12BBF">
              <w:rPr>
                <w:rFonts w:ascii="Times New Roman" w:hAnsi="Times New Roman"/>
                <w:b/>
                <w:color w:val="000000" w:themeColor="text1"/>
                <w:sz w:val="19"/>
              </w:rPr>
              <w:t>Total Tracked Cohort</w:t>
            </w:r>
          </w:p>
        </w:tc>
        <w:tc>
          <w:tcPr>
            <w:tcW w:w="1560" w:type="dxa"/>
            <w:tcMar>
              <w:top w:w="80" w:type="dxa"/>
              <w:left w:w="120" w:type="dxa"/>
              <w:bottom w:w="80" w:type="dxa"/>
              <w:right w:w="120" w:type="dxa"/>
            </w:tcMar>
          </w:tcPr>
          <w:p w14:paraId="74D58CF6"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9"/>
              </w:rPr>
              <w:t>83 (100.0%)</w:t>
            </w:r>
          </w:p>
        </w:tc>
        <w:tc>
          <w:tcPr>
            <w:tcW w:w="1560" w:type="dxa"/>
            <w:tcMar>
              <w:top w:w="80" w:type="dxa"/>
              <w:left w:w="120" w:type="dxa"/>
              <w:bottom w:w="80" w:type="dxa"/>
              <w:right w:w="120" w:type="dxa"/>
            </w:tcMar>
          </w:tcPr>
          <w:p w14:paraId="3F8DB393"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9"/>
              </w:rPr>
              <w:t>27 (100.0%)</w:t>
            </w:r>
          </w:p>
        </w:tc>
        <w:tc>
          <w:tcPr>
            <w:tcW w:w="1560" w:type="dxa"/>
            <w:tcMar>
              <w:top w:w="80" w:type="dxa"/>
              <w:left w:w="120" w:type="dxa"/>
              <w:bottom w:w="80" w:type="dxa"/>
              <w:right w:w="120" w:type="dxa"/>
            </w:tcMar>
          </w:tcPr>
          <w:p w14:paraId="3A2EF222"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9"/>
              </w:rPr>
              <w:t>110</w:t>
            </w:r>
          </w:p>
        </w:tc>
        <w:tc>
          <w:tcPr>
            <w:tcW w:w="1560" w:type="dxa"/>
            <w:tcMar>
              <w:top w:w="80" w:type="dxa"/>
              <w:left w:w="120" w:type="dxa"/>
              <w:bottom w:w="80" w:type="dxa"/>
              <w:right w:w="120" w:type="dxa"/>
            </w:tcMar>
          </w:tcPr>
          <w:p w14:paraId="360BD320"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9"/>
              </w:rPr>
              <w:t>100.0%</w:t>
            </w:r>
          </w:p>
        </w:tc>
        <w:tc>
          <w:tcPr>
            <w:tcW w:w="1560" w:type="dxa"/>
            <w:tcMar>
              <w:top w:w="80" w:type="dxa"/>
              <w:left w:w="120" w:type="dxa"/>
              <w:bottom w:w="80" w:type="dxa"/>
              <w:right w:w="120" w:type="dxa"/>
            </w:tcMar>
          </w:tcPr>
          <w:p w14:paraId="7EAF451E"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9"/>
              </w:rPr>
              <w:t>—</w:t>
            </w:r>
          </w:p>
        </w:tc>
      </w:tr>
    </w:tbl>
    <w:p w14:paraId="61BFE805" w14:textId="77777777" w:rsidR="002F6880" w:rsidRPr="00C12BBF" w:rsidRDefault="00000000">
      <w:pPr>
        <w:spacing w:before="40" w:after="160"/>
        <w:rPr>
          <w:color w:val="000000" w:themeColor="text1"/>
        </w:rPr>
      </w:pPr>
      <w:r w:rsidRPr="00C12BBF">
        <w:rPr>
          <w:rFonts w:ascii="Times New Roman" w:hAnsi="Times New Roman"/>
          <w:i/>
          <w:color w:val="000000" w:themeColor="text1"/>
          <w:sz w:val="17"/>
        </w:rPr>
        <w:t>*Chi-Square / Fisher's Exact test comparing surgical vs. non-surgical distributions; ^Comorbidity percentages are calculated from the subset of patients with documented chronic medical comorbidities (n = 52: 33 surgical, 19 non-surgical).</w:t>
      </w:r>
    </w:p>
    <w:p w14:paraId="1A34FE0E" w14:textId="77777777" w:rsidR="002F6880" w:rsidRPr="00C12BBF" w:rsidRDefault="00000000">
      <w:pPr>
        <w:keepNext/>
        <w:spacing w:before="160" w:after="40"/>
        <w:rPr>
          <w:color w:val="000000" w:themeColor="text1"/>
        </w:rPr>
      </w:pPr>
      <w:r w:rsidRPr="00C12BBF">
        <w:rPr>
          <w:rFonts w:ascii="Times New Roman" w:hAnsi="Times New Roman"/>
          <w:b/>
          <w:i/>
          <w:color w:val="000000" w:themeColor="text1"/>
        </w:rPr>
        <w:lastRenderedPageBreak/>
        <w:t>3.2 Psychotropic Drug Usage Patterns across Departments</w:t>
      </w:r>
    </w:p>
    <w:p w14:paraId="7E032AAF" w14:textId="77777777" w:rsidR="00AF0478" w:rsidRPr="00AF0478" w:rsidRDefault="00AF0478" w:rsidP="00AF0478">
      <w:pPr>
        <w:spacing w:after="80"/>
        <w:rPr>
          <w:rFonts w:ascii="Times New Roman" w:hAnsi="Times New Roman"/>
          <w:color w:val="000000" w:themeColor="text1"/>
          <w:lang w:val="en-IN"/>
        </w:rPr>
      </w:pPr>
      <w:r>
        <w:rPr>
          <w:highlight w:val="yellow"/>
        </w:rPr>
        <w:t>A total of 153 courses of psychotropic drugs were prescribed among the 110 patients (mean = 1.39 +/- 0.49 psychotropic agents/patient). There was considerable variation in prescribing profiles across clinical specialties. In surgical wards (104 prescriptions in total), short-acting benzodiazepines were frequently prescribed, particularly alprazolam, which comprised 51.0% (53/104) of surgical psychotropic orders and 44.5% (68/153) of all hospital psychotropic orders, largely for preoperative anxiety, preoperative sedation, and situation-specific insomnia.</w:t>
      </w:r>
    </w:p>
    <w:p w14:paraId="5A898657" w14:textId="77777777" w:rsidR="00AF0478" w:rsidRPr="00AF0478" w:rsidRDefault="00AF0478" w:rsidP="00AF0478">
      <w:pPr>
        <w:spacing w:after="80"/>
        <w:rPr>
          <w:rFonts w:ascii="Times New Roman" w:hAnsi="Times New Roman"/>
          <w:color w:val="000000" w:themeColor="text1"/>
          <w:lang w:val="en-IN"/>
        </w:rPr>
      </w:pPr>
      <w:r>
        <w:rPr>
          <w:highlight w:val="yellow"/>
        </w:rPr>
        <w:t>In contrast, anticonvulsant neuromodulators (pregabalin: 30.6%, n = 15/49; gabapentin: 4.1%, n = 2/49) and tricyclic antidepressants (nortriptyline: 18.4%, n = 9/49; amitriptyline: 2.0%, n = 1/49) represented more than half of the 49 psychotropic orders in non-surgical general medicine wards. These drugs were mainly prescribed for chronic somatic, visceral, and neuropathic pain syndromes, such as painful diabetic neuropathy and chronic radiculopathy.</w:t>
      </w:r>
    </w:p>
    <w:p w14:paraId="68F3A0BA" w14:textId="77777777" w:rsidR="00AF0478" w:rsidRDefault="00AF0478">
      <w:pPr>
        <w:spacing w:after="80"/>
        <w:rPr>
          <w:rFonts w:ascii="Times New Roman" w:hAnsi="Times New Roman"/>
          <w:color w:val="000000" w:themeColor="text1"/>
          <w:lang w:val="en-IN"/>
        </w:rPr>
      </w:pPr>
      <w:r>
        <w:rPr>
          <w:highlight w:val="yellow"/>
        </w:rPr>
        <w:t>The complexity of the drug regimen was also notable: 67.3% of the total subjects received psychotropic monotherapy (n = 74/110; 62.7% in surgical wards and 81.5% in non-surgical wards), compared with 32.7% who received combination psychotropic treatment (n = 36/110; 37.3% in surgical wards and 18.5% in non-surgical wards). This difference was not statistically significant (chi^2 = 3.235, p = 0.072).</w:t>
      </w:r>
    </w:p>
    <w:p w14:paraId="6569F9B4" w14:textId="77777777" w:rsidR="002F6880" w:rsidRPr="00AF0478" w:rsidRDefault="00000000">
      <w:pPr>
        <w:spacing w:after="80"/>
        <w:rPr>
          <w:rFonts w:ascii="Times New Roman" w:hAnsi="Times New Roman"/>
          <w:color w:val="000000" w:themeColor="text1"/>
          <w:lang w:val="en-IN"/>
        </w:rPr>
      </w:pPr>
      <w:r>
        <w:rPr>
          <w:highlight w:val="yellow"/>
        </w:rPr>
        <w:t>Table 2 summarises the detailed breakdown of psychotropic classes, generic agents, and prescribing regimens.</w:t>
      </w:r>
    </w:p>
    <w:p w14:paraId="2D9D4B14" w14:textId="77777777" w:rsidR="002F6880" w:rsidRPr="00C12BBF" w:rsidRDefault="00000000">
      <w:pPr>
        <w:keepNext/>
        <w:spacing w:before="160" w:after="80"/>
        <w:rPr>
          <w:color w:val="000000" w:themeColor="text1"/>
        </w:rPr>
      </w:pPr>
      <w:r w:rsidRPr="00C12BBF">
        <w:rPr>
          <w:rFonts w:ascii="Times New Roman" w:hAnsi="Times New Roman"/>
          <w:b/>
          <w:color w:val="000000" w:themeColor="text1"/>
        </w:rPr>
        <w:t xml:space="preserve">Table 2: </w:t>
      </w:r>
      <w:r w:rsidR="0088613B" w:rsidRPr="0088613B">
        <w:rPr>
          <w:rFonts w:ascii="Times New Roman" w:hAnsi="Times New Roman"/>
          <w:b/>
          <w:color w:val="000000" w:themeColor="text1"/>
        </w:rPr>
        <w:t>Pattern of Psychotropic Drug Classes and Monotherapy versus Combination Regimens Prescribed across Surgical and Medical Units</w:t>
      </w:r>
    </w:p>
    <w:tbl>
      <w:tblPr>
        <w:tblW w:w="0" w:type="auto"/>
        <w:jc w:val="center"/>
        <w:tblBorders>
          <w:top w:val="single" w:sz="4" w:space="0" w:color="CCCCCC"/>
          <w:bottom w:val="single" w:sz="4" w:space="0" w:color="CCCCCC"/>
          <w:insideH w:val="single" w:sz="4" w:space="0" w:color="CCCCCC"/>
        </w:tblBorders>
        <w:tblLook w:val="04A0" w:firstRow="1" w:lastRow="0" w:firstColumn="1" w:lastColumn="0" w:noHBand="0" w:noVBand="1"/>
      </w:tblPr>
      <w:tblGrid>
        <w:gridCol w:w="1872"/>
        <w:gridCol w:w="1872"/>
        <w:gridCol w:w="1872"/>
        <w:gridCol w:w="1872"/>
        <w:gridCol w:w="1872"/>
      </w:tblGrid>
      <w:tr w:rsidR="002F6880" w:rsidRPr="00C12BBF" w14:paraId="3A9A8BE1" w14:textId="77777777">
        <w:trPr>
          <w:jc w:val="center"/>
        </w:trPr>
        <w:tc>
          <w:tcPr>
            <w:tcW w:w="1872" w:type="dxa"/>
            <w:shd w:val="clear" w:color="auto" w:fill="E8EEF5"/>
            <w:tcMar>
              <w:top w:w="100" w:type="dxa"/>
              <w:left w:w="120" w:type="dxa"/>
              <w:bottom w:w="100" w:type="dxa"/>
              <w:right w:w="120" w:type="dxa"/>
            </w:tcMar>
          </w:tcPr>
          <w:p w14:paraId="06560C32" w14:textId="77777777" w:rsidR="002F6880" w:rsidRPr="00C12BBF" w:rsidRDefault="00000000">
            <w:pPr>
              <w:spacing w:after="0"/>
              <w:rPr>
                <w:color w:val="000000" w:themeColor="text1"/>
              </w:rPr>
            </w:pPr>
            <w:r w:rsidRPr="00C12BBF">
              <w:rPr>
                <w:rFonts w:ascii="Times New Roman" w:hAnsi="Times New Roman"/>
                <w:b/>
                <w:color w:val="000000" w:themeColor="text1"/>
                <w:sz w:val="19"/>
              </w:rPr>
              <w:t>Psychotropic Class &amp; Generic Agent</w:t>
            </w:r>
          </w:p>
        </w:tc>
        <w:tc>
          <w:tcPr>
            <w:tcW w:w="1872" w:type="dxa"/>
            <w:shd w:val="clear" w:color="auto" w:fill="E8EEF5"/>
            <w:tcMar>
              <w:top w:w="100" w:type="dxa"/>
              <w:left w:w="120" w:type="dxa"/>
              <w:bottom w:w="100" w:type="dxa"/>
              <w:right w:w="120" w:type="dxa"/>
            </w:tcMar>
          </w:tcPr>
          <w:p w14:paraId="2E1E8A0B"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9"/>
              </w:rPr>
              <w:t>Surgical Orders</w:t>
            </w:r>
            <w:r w:rsidRPr="00C12BBF">
              <w:rPr>
                <w:rFonts w:ascii="Times New Roman" w:hAnsi="Times New Roman"/>
                <w:b/>
                <w:color w:val="000000" w:themeColor="text1"/>
                <w:sz w:val="19"/>
              </w:rPr>
              <w:br/>
              <w:t>(n = 104)</w:t>
            </w:r>
          </w:p>
        </w:tc>
        <w:tc>
          <w:tcPr>
            <w:tcW w:w="1872" w:type="dxa"/>
            <w:shd w:val="clear" w:color="auto" w:fill="E8EEF5"/>
            <w:tcMar>
              <w:top w:w="100" w:type="dxa"/>
              <w:left w:w="120" w:type="dxa"/>
              <w:bottom w:w="100" w:type="dxa"/>
              <w:right w:w="120" w:type="dxa"/>
            </w:tcMar>
          </w:tcPr>
          <w:p w14:paraId="64A2A475"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9"/>
              </w:rPr>
              <w:t>Non-Surgical Orders</w:t>
            </w:r>
            <w:r w:rsidRPr="00C12BBF">
              <w:rPr>
                <w:rFonts w:ascii="Times New Roman" w:hAnsi="Times New Roman"/>
                <w:b/>
                <w:color w:val="000000" w:themeColor="text1"/>
                <w:sz w:val="19"/>
              </w:rPr>
              <w:br/>
              <w:t>(n = 49)</w:t>
            </w:r>
          </w:p>
        </w:tc>
        <w:tc>
          <w:tcPr>
            <w:tcW w:w="1872" w:type="dxa"/>
            <w:shd w:val="clear" w:color="auto" w:fill="E8EEF5"/>
            <w:tcMar>
              <w:top w:w="100" w:type="dxa"/>
              <w:left w:w="120" w:type="dxa"/>
              <w:bottom w:w="100" w:type="dxa"/>
              <w:right w:w="120" w:type="dxa"/>
            </w:tcMar>
          </w:tcPr>
          <w:p w14:paraId="4E8BFBE3"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9"/>
              </w:rPr>
              <w:t>Total Volume</w:t>
            </w:r>
            <w:r w:rsidRPr="00C12BBF">
              <w:rPr>
                <w:rFonts w:ascii="Times New Roman" w:hAnsi="Times New Roman"/>
                <w:b/>
                <w:color w:val="000000" w:themeColor="text1"/>
                <w:sz w:val="19"/>
              </w:rPr>
              <w:br/>
              <w:t>(N = 153)</w:t>
            </w:r>
          </w:p>
        </w:tc>
        <w:tc>
          <w:tcPr>
            <w:tcW w:w="1872" w:type="dxa"/>
            <w:shd w:val="clear" w:color="auto" w:fill="E8EEF5"/>
            <w:tcMar>
              <w:top w:w="100" w:type="dxa"/>
              <w:left w:w="120" w:type="dxa"/>
              <w:bottom w:w="100" w:type="dxa"/>
              <w:right w:w="120" w:type="dxa"/>
            </w:tcMar>
          </w:tcPr>
          <w:p w14:paraId="6B4B1611"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9"/>
              </w:rPr>
              <w:t>Relative Share</w:t>
            </w:r>
            <w:r w:rsidRPr="00C12BBF">
              <w:rPr>
                <w:rFonts w:ascii="Times New Roman" w:hAnsi="Times New Roman"/>
                <w:b/>
                <w:color w:val="000000" w:themeColor="text1"/>
                <w:sz w:val="19"/>
              </w:rPr>
              <w:br/>
              <w:t>(% of Orders)</w:t>
            </w:r>
          </w:p>
        </w:tc>
      </w:tr>
      <w:tr w:rsidR="002F6880" w:rsidRPr="00C12BBF" w14:paraId="0BC3AD2E" w14:textId="77777777">
        <w:trPr>
          <w:jc w:val="center"/>
        </w:trPr>
        <w:tc>
          <w:tcPr>
            <w:tcW w:w="1872" w:type="dxa"/>
            <w:tcMar>
              <w:top w:w="80" w:type="dxa"/>
              <w:left w:w="120" w:type="dxa"/>
              <w:bottom w:w="80" w:type="dxa"/>
              <w:right w:w="120" w:type="dxa"/>
            </w:tcMar>
          </w:tcPr>
          <w:p w14:paraId="55F4FA66" w14:textId="77777777" w:rsidR="002F6880" w:rsidRPr="00C12BBF" w:rsidRDefault="00000000">
            <w:pPr>
              <w:spacing w:after="0"/>
              <w:rPr>
                <w:color w:val="000000" w:themeColor="text1"/>
              </w:rPr>
            </w:pPr>
            <w:r w:rsidRPr="00C12BBF">
              <w:rPr>
                <w:rFonts w:ascii="Times New Roman" w:hAnsi="Times New Roman"/>
                <w:color w:val="000000" w:themeColor="text1"/>
                <w:sz w:val="19"/>
              </w:rPr>
              <w:t>Benzodiazepine: Alprazolam</w:t>
            </w:r>
          </w:p>
        </w:tc>
        <w:tc>
          <w:tcPr>
            <w:tcW w:w="1872" w:type="dxa"/>
            <w:tcMar>
              <w:top w:w="80" w:type="dxa"/>
              <w:left w:w="120" w:type="dxa"/>
              <w:bottom w:w="80" w:type="dxa"/>
              <w:right w:w="120" w:type="dxa"/>
            </w:tcMar>
          </w:tcPr>
          <w:p w14:paraId="3236F5B8"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53 (51.0%)</w:t>
            </w:r>
          </w:p>
        </w:tc>
        <w:tc>
          <w:tcPr>
            <w:tcW w:w="1872" w:type="dxa"/>
            <w:tcMar>
              <w:top w:w="80" w:type="dxa"/>
              <w:left w:w="120" w:type="dxa"/>
              <w:bottom w:w="80" w:type="dxa"/>
              <w:right w:w="120" w:type="dxa"/>
            </w:tcMar>
          </w:tcPr>
          <w:p w14:paraId="017D6572"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15 (30.6%)</w:t>
            </w:r>
          </w:p>
        </w:tc>
        <w:tc>
          <w:tcPr>
            <w:tcW w:w="1872" w:type="dxa"/>
            <w:tcMar>
              <w:top w:w="80" w:type="dxa"/>
              <w:left w:w="120" w:type="dxa"/>
              <w:bottom w:w="80" w:type="dxa"/>
              <w:right w:w="120" w:type="dxa"/>
            </w:tcMar>
          </w:tcPr>
          <w:p w14:paraId="42A97279"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68</w:t>
            </w:r>
          </w:p>
        </w:tc>
        <w:tc>
          <w:tcPr>
            <w:tcW w:w="1872" w:type="dxa"/>
            <w:tcMar>
              <w:top w:w="80" w:type="dxa"/>
              <w:left w:w="120" w:type="dxa"/>
              <w:bottom w:w="80" w:type="dxa"/>
              <w:right w:w="120" w:type="dxa"/>
            </w:tcMar>
          </w:tcPr>
          <w:p w14:paraId="79995E4D"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44.5%</w:t>
            </w:r>
          </w:p>
        </w:tc>
      </w:tr>
      <w:tr w:rsidR="002F6880" w:rsidRPr="00C12BBF" w14:paraId="4835A9C6" w14:textId="77777777">
        <w:trPr>
          <w:jc w:val="center"/>
        </w:trPr>
        <w:tc>
          <w:tcPr>
            <w:tcW w:w="1872" w:type="dxa"/>
            <w:shd w:val="clear" w:color="auto" w:fill="F9FAFC"/>
            <w:tcMar>
              <w:top w:w="80" w:type="dxa"/>
              <w:left w:w="120" w:type="dxa"/>
              <w:bottom w:w="80" w:type="dxa"/>
              <w:right w:w="120" w:type="dxa"/>
            </w:tcMar>
          </w:tcPr>
          <w:p w14:paraId="6CD78544" w14:textId="77777777" w:rsidR="002F6880" w:rsidRPr="00C12BBF" w:rsidRDefault="00000000">
            <w:pPr>
              <w:spacing w:after="0"/>
              <w:rPr>
                <w:color w:val="000000" w:themeColor="text1"/>
              </w:rPr>
            </w:pPr>
            <w:r w:rsidRPr="00C12BBF">
              <w:rPr>
                <w:rFonts w:ascii="Times New Roman" w:hAnsi="Times New Roman"/>
                <w:color w:val="000000" w:themeColor="text1"/>
                <w:sz w:val="19"/>
              </w:rPr>
              <w:t>Benzodiazepine: Lorazepam</w:t>
            </w:r>
          </w:p>
        </w:tc>
        <w:tc>
          <w:tcPr>
            <w:tcW w:w="1872" w:type="dxa"/>
            <w:shd w:val="clear" w:color="auto" w:fill="F9FAFC"/>
            <w:tcMar>
              <w:top w:w="80" w:type="dxa"/>
              <w:left w:w="120" w:type="dxa"/>
              <w:bottom w:w="80" w:type="dxa"/>
              <w:right w:w="120" w:type="dxa"/>
            </w:tcMar>
          </w:tcPr>
          <w:p w14:paraId="23206D74"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4 (3.8%)</w:t>
            </w:r>
          </w:p>
        </w:tc>
        <w:tc>
          <w:tcPr>
            <w:tcW w:w="1872" w:type="dxa"/>
            <w:shd w:val="clear" w:color="auto" w:fill="F9FAFC"/>
            <w:tcMar>
              <w:top w:w="80" w:type="dxa"/>
              <w:left w:w="120" w:type="dxa"/>
              <w:bottom w:w="80" w:type="dxa"/>
              <w:right w:w="120" w:type="dxa"/>
            </w:tcMar>
          </w:tcPr>
          <w:p w14:paraId="2E13B669"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2 (4.1%)</w:t>
            </w:r>
          </w:p>
        </w:tc>
        <w:tc>
          <w:tcPr>
            <w:tcW w:w="1872" w:type="dxa"/>
            <w:shd w:val="clear" w:color="auto" w:fill="F9FAFC"/>
            <w:tcMar>
              <w:top w:w="80" w:type="dxa"/>
              <w:left w:w="120" w:type="dxa"/>
              <w:bottom w:w="80" w:type="dxa"/>
              <w:right w:w="120" w:type="dxa"/>
            </w:tcMar>
          </w:tcPr>
          <w:p w14:paraId="4549A79F"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6</w:t>
            </w:r>
          </w:p>
        </w:tc>
        <w:tc>
          <w:tcPr>
            <w:tcW w:w="1872" w:type="dxa"/>
            <w:shd w:val="clear" w:color="auto" w:fill="F9FAFC"/>
            <w:tcMar>
              <w:top w:w="80" w:type="dxa"/>
              <w:left w:w="120" w:type="dxa"/>
              <w:bottom w:w="80" w:type="dxa"/>
              <w:right w:w="120" w:type="dxa"/>
            </w:tcMar>
          </w:tcPr>
          <w:p w14:paraId="35B0518F"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3.9%</w:t>
            </w:r>
          </w:p>
        </w:tc>
      </w:tr>
      <w:tr w:rsidR="002F6880" w:rsidRPr="00C12BBF" w14:paraId="13FD7945" w14:textId="77777777">
        <w:trPr>
          <w:jc w:val="center"/>
        </w:trPr>
        <w:tc>
          <w:tcPr>
            <w:tcW w:w="1872" w:type="dxa"/>
            <w:tcMar>
              <w:top w:w="80" w:type="dxa"/>
              <w:left w:w="120" w:type="dxa"/>
              <w:bottom w:w="80" w:type="dxa"/>
              <w:right w:w="120" w:type="dxa"/>
            </w:tcMar>
          </w:tcPr>
          <w:p w14:paraId="4DBEEE11" w14:textId="77777777" w:rsidR="002F6880" w:rsidRPr="00C12BBF" w:rsidRDefault="00000000">
            <w:pPr>
              <w:spacing w:after="0"/>
              <w:rPr>
                <w:color w:val="000000" w:themeColor="text1"/>
              </w:rPr>
            </w:pPr>
            <w:r w:rsidRPr="00C12BBF">
              <w:rPr>
                <w:rFonts w:ascii="Times New Roman" w:hAnsi="Times New Roman"/>
                <w:color w:val="000000" w:themeColor="text1"/>
                <w:sz w:val="19"/>
              </w:rPr>
              <w:t>Benzodiazepine: Clonazepam</w:t>
            </w:r>
          </w:p>
        </w:tc>
        <w:tc>
          <w:tcPr>
            <w:tcW w:w="1872" w:type="dxa"/>
            <w:tcMar>
              <w:top w:w="80" w:type="dxa"/>
              <w:left w:w="120" w:type="dxa"/>
              <w:bottom w:w="80" w:type="dxa"/>
              <w:right w:w="120" w:type="dxa"/>
            </w:tcMar>
          </w:tcPr>
          <w:p w14:paraId="30BFD38D"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1 (1.0%)</w:t>
            </w:r>
          </w:p>
        </w:tc>
        <w:tc>
          <w:tcPr>
            <w:tcW w:w="1872" w:type="dxa"/>
            <w:tcMar>
              <w:top w:w="80" w:type="dxa"/>
              <w:left w:w="120" w:type="dxa"/>
              <w:bottom w:w="80" w:type="dxa"/>
              <w:right w:w="120" w:type="dxa"/>
            </w:tcMar>
          </w:tcPr>
          <w:p w14:paraId="4A2385BD"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4 (8.2%)</w:t>
            </w:r>
          </w:p>
        </w:tc>
        <w:tc>
          <w:tcPr>
            <w:tcW w:w="1872" w:type="dxa"/>
            <w:tcMar>
              <w:top w:w="80" w:type="dxa"/>
              <w:left w:w="120" w:type="dxa"/>
              <w:bottom w:w="80" w:type="dxa"/>
              <w:right w:w="120" w:type="dxa"/>
            </w:tcMar>
          </w:tcPr>
          <w:p w14:paraId="4FCE825E"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5</w:t>
            </w:r>
          </w:p>
        </w:tc>
        <w:tc>
          <w:tcPr>
            <w:tcW w:w="1872" w:type="dxa"/>
            <w:tcMar>
              <w:top w:w="80" w:type="dxa"/>
              <w:left w:w="120" w:type="dxa"/>
              <w:bottom w:w="80" w:type="dxa"/>
              <w:right w:w="120" w:type="dxa"/>
            </w:tcMar>
          </w:tcPr>
          <w:p w14:paraId="406C40C4"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3.3%</w:t>
            </w:r>
          </w:p>
        </w:tc>
      </w:tr>
      <w:tr w:rsidR="002F6880" w:rsidRPr="00C12BBF" w14:paraId="182874AD" w14:textId="77777777">
        <w:trPr>
          <w:jc w:val="center"/>
        </w:trPr>
        <w:tc>
          <w:tcPr>
            <w:tcW w:w="1872" w:type="dxa"/>
            <w:shd w:val="clear" w:color="auto" w:fill="F9FAFC"/>
            <w:tcMar>
              <w:top w:w="80" w:type="dxa"/>
              <w:left w:w="120" w:type="dxa"/>
              <w:bottom w:w="80" w:type="dxa"/>
              <w:right w:w="120" w:type="dxa"/>
            </w:tcMar>
          </w:tcPr>
          <w:p w14:paraId="7E220C47" w14:textId="77777777" w:rsidR="002F6880" w:rsidRPr="00C12BBF" w:rsidRDefault="00000000">
            <w:pPr>
              <w:spacing w:after="0"/>
              <w:rPr>
                <w:color w:val="000000" w:themeColor="text1"/>
              </w:rPr>
            </w:pPr>
            <w:r w:rsidRPr="00C12BBF">
              <w:rPr>
                <w:rFonts w:ascii="Times New Roman" w:hAnsi="Times New Roman"/>
                <w:color w:val="000000" w:themeColor="text1"/>
                <w:sz w:val="19"/>
              </w:rPr>
              <w:t>Anticonvulsant: Pregabalin</w:t>
            </w:r>
          </w:p>
        </w:tc>
        <w:tc>
          <w:tcPr>
            <w:tcW w:w="1872" w:type="dxa"/>
            <w:shd w:val="clear" w:color="auto" w:fill="F9FAFC"/>
            <w:tcMar>
              <w:top w:w="80" w:type="dxa"/>
              <w:left w:w="120" w:type="dxa"/>
              <w:bottom w:w="80" w:type="dxa"/>
              <w:right w:w="120" w:type="dxa"/>
            </w:tcMar>
          </w:tcPr>
          <w:p w14:paraId="7B3DF32E"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19 (18.3%)</w:t>
            </w:r>
          </w:p>
        </w:tc>
        <w:tc>
          <w:tcPr>
            <w:tcW w:w="1872" w:type="dxa"/>
            <w:shd w:val="clear" w:color="auto" w:fill="F9FAFC"/>
            <w:tcMar>
              <w:top w:w="80" w:type="dxa"/>
              <w:left w:w="120" w:type="dxa"/>
              <w:bottom w:w="80" w:type="dxa"/>
              <w:right w:w="120" w:type="dxa"/>
            </w:tcMar>
          </w:tcPr>
          <w:p w14:paraId="12A7216D"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15 (30.6%)</w:t>
            </w:r>
          </w:p>
        </w:tc>
        <w:tc>
          <w:tcPr>
            <w:tcW w:w="1872" w:type="dxa"/>
            <w:shd w:val="clear" w:color="auto" w:fill="F9FAFC"/>
            <w:tcMar>
              <w:top w:w="80" w:type="dxa"/>
              <w:left w:w="120" w:type="dxa"/>
              <w:bottom w:w="80" w:type="dxa"/>
              <w:right w:w="120" w:type="dxa"/>
            </w:tcMar>
          </w:tcPr>
          <w:p w14:paraId="30BA13DD"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34</w:t>
            </w:r>
          </w:p>
        </w:tc>
        <w:tc>
          <w:tcPr>
            <w:tcW w:w="1872" w:type="dxa"/>
            <w:shd w:val="clear" w:color="auto" w:fill="F9FAFC"/>
            <w:tcMar>
              <w:top w:w="80" w:type="dxa"/>
              <w:left w:w="120" w:type="dxa"/>
              <w:bottom w:w="80" w:type="dxa"/>
              <w:right w:w="120" w:type="dxa"/>
            </w:tcMar>
          </w:tcPr>
          <w:p w14:paraId="6D98C0C7"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22.3%</w:t>
            </w:r>
          </w:p>
        </w:tc>
      </w:tr>
      <w:tr w:rsidR="002F6880" w:rsidRPr="00C12BBF" w14:paraId="3CEF2315" w14:textId="77777777">
        <w:trPr>
          <w:jc w:val="center"/>
        </w:trPr>
        <w:tc>
          <w:tcPr>
            <w:tcW w:w="1872" w:type="dxa"/>
            <w:tcMar>
              <w:top w:w="80" w:type="dxa"/>
              <w:left w:w="120" w:type="dxa"/>
              <w:bottom w:w="80" w:type="dxa"/>
              <w:right w:w="120" w:type="dxa"/>
            </w:tcMar>
          </w:tcPr>
          <w:p w14:paraId="6310D75A" w14:textId="77777777" w:rsidR="002F6880" w:rsidRPr="00C12BBF" w:rsidRDefault="00000000">
            <w:pPr>
              <w:spacing w:after="0"/>
              <w:rPr>
                <w:color w:val="000000" w:themeColor="text1"/>
              </w:rPr>
            </w:pPr>
            <w:r w:rsidRPr="00C12BBF">
              <w:rPr>
                <w:rFonts w:ascii="Times New Roman" w:hAnsi="Times New Roman"/>
                <w:color w:val="000000" w:themeColor="text1"/>
                <w:sz w:val="19"/>
              </w:rPr>
              <w:t>Anticonvulsant: Gabapentin</w:t>
            </w:r>
          </w:p>
        </w:tc>
        <w:tc>
          <w:tcPr>
            <w:tcW w:w="1872" w:type="dxa"/>
            <w:tcMar>
              <w:top w:w="80" w:type="dxa"/>
              <w:left w:w="120" w:type="dxa"/>
              <w:bottom w:w="80" w:type="dxa"/>
              <w:right w:w="120" w:type="dxa"/>
            </w:tcMar>
          </w:tcPr>
          <w:p w14:paraId="182294FA"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0 (0.0%)</w:t>
            </w:r>
          </w:p>
        </w:tc>
        <w:tc>
          <w:tcPr>
            <w:tcW w:w="1872" w:type="dxa"/>
            <w:tcMar>
              <w:top w:w="80" w:type="dxa"/>
              <w:left w:w="120" w:type="dxa"/>
              <w:bottom w:w="80" w:type="dxa"/>
              <w:right w:w="120" w:type="dxa"/>
            </w:tcMar>
          </w:tcPr>
          <w:p w14:paraId="01BA0946"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2 (4.1%)</w:t>
            </w:r>
          </w:p>
        </w:tc>
        <w:tc>
          <w:tcPr>
            <w:tcW w:w="1872" w:type="dxa"/>
            <w:tcMar>
              <w:top w:w="80" w:type="dxa"/>
              <w:left w:w="120" w:type="dxa"/>
              <w:bottom w:w="80" w:type="dxa"/>
              <w:right w:w="120" w:type="dxa"/>
            </w:tcMar>
          </w:tcPr>
          <w:p w14:paraId="59027CB9"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2</w:t>
            </w:r>
          </w:p>
        </w:tc>
        <w:tc>
          <w:tcPr>
            <w:tcW w:w="1872" w:type="dxa"/>
            <w:tcMar>
              <w:top w:w="80" w:type="dxa"/>
              <w:left w:w="120" w:type="dxa"/>
              <w:bottom w:w="80" w:type="dxa"/>
              <w:right w:w="120" w:type="dxa"/>
            </w:tcMar>
          </w:tcPr>
          <w:p w14:paraId="4F77AB30"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1.3%</w:t>
            </w:r>
          </w:p>
        </w:tc>
      </w:tr>
      <w:tr w:rsidR="002F6880" w:rsidRPr="00C12BBF" w14:paraId="54A2CA5A" w14:textId="77777777">
        <w:trPr>
          <w:jc w:val="center"/>
        </w:trPr>
        <w:tc>
          <w:tcPr>
            <w:tcW w:w="1872" w:type="dxa"/>
            <w:shd w:val="clear" w:color="auto" w:fill="F9FAFC"/>
            <w:tcMar>
              <w:top w:w="80" w:type="dxa"/>
              <w:left w:w="120" w:type="dxa"/>
              <w:bottom w:w="80" w:type="dxa"/>
              <w:right w:w="120" w:type="dxa"/>
            </w:tcMar>
          </w:tcPr>
          <w:p w14:paraId="3D21C3E1" w14:textId="77777777" w:rsidR="002F6880" w:rsidRPr="00C12BBF" w:rsidRDefault="00000000">
            <w:pPr>
              <w:spacing w:after="0"/>
              <w:rPr>
                <w:color w:val="000000" w:themeColor="text1"/>
              </w:rPr>
            </w:pPr>
            <w:r w:rsidRPr="00C12BBF">
              <w:rPr>
                <w:rFonts w:ascii="Times New Roman" w:hAnsi="Times New Roman"/>
                <w:color w:val="000000" w:themeColor="text1"/>
                <w:sz w:val="19"/>
              </w:rPr>
              <w:t>Antidepressant (TCA): Nortriptyline</w:t>
            </w:r>
          </w:p>
        </w:tc>
        <w:tc>
          <w:tcPr>
            <w:tcW w:w="1872" w:type="dxa"/>
            <w:shd w:val="clear" w:color="auto" w:fill="F9FAFC"/>
            <w:tcMar>
              <w:top w:w="80" w:type="dxa"/>
              <w:left w:w="120" w:type="dxa"/>
              <w:bottom w:w="80" w:type="dxa"/>
              <w:right w:w="120" w:type="dxa"/>
            </w:tcMar>
          </w:tcPr>
          <w:p w14:paraId="5364741E"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21 (20.2%)</w:t>
            </w:r>
          </w:p>
        </w:tc>
        <w:tc>
          <w:tcPr>
            <w:tcW w:w="1872" w:type="dxa"/>
            <w:shd w:val="clear" w:color="auto" w:fill="F9FAFC"/>
            <w:tcMar>
              <w:top w:w="80" w:type="dxa"/>
              <w:left w:w="120" w:type="dxa"/>
              <w:bottom w:w="80" w:type="dxa"/>
              <w:right w:w="120" w:type="dxa"/>
            </w:tcMar>
          </w:tcPr>
          <w:p w14:paraId="4FC77385"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9 (18.4%)</w:t>
            </w:r>
          </w:p>
        </w:tc>
        <w:tc>
          <w:tcPr>
            <w:tcW w:w="1872" w:type="dxa"/>
            <w:shd w:val="clear" w:color="auto" w:fill="F9FAFC"/>
            <w:tcMar>
              <w:top w:w="80" w:type="dxa"/>
              <w:left w:w="120" w:type="dxa"/>
              <w:bottom w:w="80" w:type="dxa"/>
              <w:right w:w="120" w:type="dxa"/>
            </w:tcMar>
          </w:tcPr>
          <w:p w14:paraId="31A7A03E"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30</w:t>
            </w:r>
          </w:p>
        </w:tc>
        <w:tc>
          <w:tcPr>
            <w:tcW w:w="1872" w:type="dxa"/>
            <w:shd w:val="clear" w:color="auto" w:fill="F9FAFC"/>
            <w:tcMar>
              <w:top w:w="80" w:type="dxa"/>
              <w:left w:w="120" w:type="dxa"/>
              <w:bottom w:w="80" w:type="dxa"/>
              <w:right w:w="120" w:type="dxa"/>
            </w:tcMar>
          </w:tcPr>
          <w:p w14:paraId="06BB25B8"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19.6%</w:t>
            </w:r>
          </w:p>
        </w:tc>
      </w:tr>
      <w:tr w:rsidR="002F6880" w:rsidRPr="00C12BBF" w14:paraId="58DA367C" w14:textId="77777777">
        <w:trPr>
          <w:jc w:val="center"/>
        </w:trPr>
        <w:tc>
          <w:tcPr>
            <w:tcW w:w="1872" w:type="dxa"/>
            <w:tcMar>
              <w:top w:w="80" w:type="dxa"/>
              <w:left w:w="120" w:type="dxa"/>
              <w:bottom w:w="80" w:type="dxa"/>
              <w:right w:w="120" w:type="dxa"/>
            </w:tcMar>
          </w:tcPr>
          <w:p w14:paraId="0439B59E" w14:textId="77777777" w:rsidR="002F6880" w:rsidRPr="00C12BBF" w:rsidRDefault="00000000">
            <w:pPr>
              <w:spacing w:after="0"/>
              <w:rPr>
                <w:color w:val="000000" w:themeColor="text1"/>
              </w:rPr>
            </w:pPr>
            <w:r w:rsidRPr="00C12BBF">
              <w:rPr>
                <w:rFonts w:ascii="Times New Roman" w:hAnsi="Times New Roman"/>
                <w:color w:val="000000" w:themeColor="text1"/>
                <w:sz w:val="19"/>
              </w:rPr>
              <w:t>Antidepressant (TCA): Amitriptyline</w:t>
            </w:r>
          </w:p>
        </w:tc>
        <w:tc>
          <w:tcPr>
            <w:tcW w:w="1872" w:type="dxa"/>
            <w:tcMar>
              <w:top w:w="80" w:type="dxa"/>
              <w:left w:w="120" w:type="dxa"/>
              <w:bottom w:w="80" w:type="dxa"/>
              <w:right w:w="120" w:type="dxa"/>
            </w:tcMar>
          </w:tcPr>
          <w:p w14:paraId="34F9167C"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3 (2.9%)</w:t>
            </w:r>
          </w:p>
        </w:tc>
        <w:tc>
          <w:tcPr>
            <w:tcW w:w="1872" w:type="dxa"/>
            <w:tcMar>
              <w:top w:w="80" w:type="dxa"/>
              <w:left w:w="120" w:type="dxa"/>
              <w:bottom w:w="80" w:type="dxa"/>
              <w:right w:w="120" w:type="dxa"/>
            </w:tcMar>
          </w:tcPr>
          <w:p w14:paraId="52E073B4"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1 (2.0%)</w:t>
            </w:r>
          </w:p>
        </w:tc>
        <w:tc>
          <w:tcPr>
            <w:tcW w:w="1872" w:type="dxa"/>
            <w:tcMar>
              <w:top w:w="80" w:type="dxa"/>
              <w:left w:w="120" w:type="dxa"/>
              <w:bottom w:w="80" w:type="dxa"/>
              <w:right w:w="120" w:type="dxa"/>
            </w:tcMar>
          </w:tcPr>
          <w:p w14:paraId="07C3A65F"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4</w:t>
            </w:r>
          </w:p>
        </w:tc>
        <w:tc>
          <w:tcPr>
            <w:tcW w:w="1872" w:type="dxa"/>
            <w:tcMar>
              <w:top w:w="80" w:type="dxa"/>
              <w:left w:w="120" w:type="dxa"/>
              <w:bottom w:w="80" w:type="dxa"/>
              <w:right w:w="120" w:type="dxa"/>
            </w:tcMar>
          </w:tcPr>
          <w:p w14:paraId="77D24627"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2.6%</w:t>
            </w:r>
          </w:p>
        </w:tc>
      </w:tr>
      <w:tr w:rsidR="002F6880" w:rsidRPr="00C12BBF" w14:paraId="50E339AF" w14:textId="77777777">
        <w:trPr>
          <w:jc w:val="center"/>
        </w:trPr>
        <w:tc>
          <w:tcPr>
            <w:tcW w:w="1872" w:type="dxa"/>
            <w:shd w:val="clear" w:color="auto" w:fill="F9FAFC"/>
            <w:tcMar>
              <w:top w:w="80" w:type="dxa"/>
              <w:left w:w="120" w:type="dxa"/>
              <w:bottom w:w="80" w:type="dxa"/>
              <w:right w:w="120" w:type="dxa"/>
            </w:tcMar>
          </w:tcPr>
          <w:p w14:paraId="466917AD" w14:textId="77777777" w:rsidR="002F6880" w:rsidRPr="00C12BBF" w:rsidRDefault="00000000">
            <w:pPr>
              <w:spacing w:after="0"/>
              <w:rPr>
                <w:color w:val="000000" w:themeColor="text1"/>
              </w:rPr>
            </w:pPr>
            <w:r w:rsidRPr="00C12BBF">
              <w:rPr>
                <w:rFonts w:ascii="Times New Roman" w:hAnsi="Times New Roman"/>
                <w:color w:val="000000" w:themeColor="text1"/>
                <w:sz w:val="19"/>
              </w:rPr>
              <w:lastRenderedPageBreak/>
              <w:t>Mood Modifier: Sodium Valproate</w:t>
            </w:r>
          </w:p>
        </w:tc>
        <w:tc>
          <w:tcPr>
            <w:tcW w:w="1872" w:type="dxa"/>
            <w:shd w:val="clear" w:color="auto" w:fill="F9FAFC"/>
            <w:tcMar>
              <w:top w:w="80" w:type="dxa"/>
              <w:left w:w="120" w:type="dxa"/>
              <w:bottom w:w="80" w:type="dxa"/>
              <w:right w:w="120" w:type="dxa"/>
            </w:tcMar>
          </w:tcPr>
          <w:p w14:paraId="48BE1F83"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1 (1.0%)</w:t>
            </w:r>
          </w:p>
        </w:tc>
        <w:tc>
          <w:tcPr>
            <w:tcW w:w="1872" w:type="dxa"/>
            <w:shd w:val="clear" w:color="auto" w:fill="F9FAFC"/>
            <w:tcMar>
              <w:top w:w="80" w:type="dxa"/>
              <w:left w:w="120" w:type="dxa"/>
              <w:bottom w:w="80" w:type="dxa"/>
              <w:right w:w="120" w:type="dxa"/>
            </w:tcMar>
          </w:tcPr>
          <w:p w14:paraId="40CBD25C"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1 (2.0%)</w:t>
            </w:r>
          </w:p>
        </w:tc>
        <w:tc>
          <w:tcPr>
            <w:tcW w:w="1872" w:type="dxa"/>
            <w:shd w:val="clear" w:color="auto" w:fill="F9FAFC"/>
            <w:tcMar>
              <w:top w:w="80" w:type="dxa"/>
              <w:left w:w="120" w:type="dxa"/>
              <w:bottom w:w="80" w:type="dxa"/>
              <w:right w:w="120" w:type="dxa"/>
            </w:tcMar>
          </w:tcPr>
          <w:p w14:paraId="6651F13B"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2</w:t>
            </w:r>
          </w:p>
        </w:tc>
        <w:tc>
          <w:tcPr>
            <w:tcW w:w="1872" w:type="dxa"/>
            <w:shd w:val="clear" w:color="auto" w:fill="F9FAFC"/>
            <w:tcMar>
              <w:top w:w="80" w:type="dxa"/>
              <w:left w:w="120" w:type="dxa"/>
              <w:bottom w:w="80" w:type="dxa"/>
              <w:right w:w="120" w:type="dxa"/>
            </w:tcMar>
          </w:tcPr>
          <w:p w14:paraId="70A04E28"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1.3%</w:t>
            </w:r>
          </w:p>
        </w:tc>
      </w:tr>
      <w:tr w:rsidR="002F6880" w:rsidRPr="00C12BBF" w14:paraId="1D149CA9" w14:textId="77777777">
        <w:trPr>
          <w:jc w:val="center"/>
        </w:trPr>
        <w:tc>
          <w:tcPr>
            <w:tcW w:w="1872" w:type="dxa"/>
            <w:tcMar>
              <w:top w:w="80" w:type="dxa"/>
              <w:left w:w="120" w:type="dxa"/>
              <w:bottom w:w="80" w:type="dxa"/>
              <w:right w:w="120" w:type="dxa"/>
            </w:tcMar>
          </w:tcPr>
          <w:p w14:paraId="3828D0CE" w14:textId="77777777" w:rsidR="002F6880" w:rsidRPr="00C12BBF" w:rsidRDefault="00000000">
            <w:pPr>
              <w:spacing w:after="0"/>
              <w:rPr>
                <w:color w:val="000000" w:themeColor="text1"/>
              </w:rPr>
            </w:pPr>
            <w:r w:rsidRPr="00C12BBF">
              <w:rPr>
                <w:rFonts w:ascii="Times New Roman" w:hAnsi="Times New Roman"/>
                <w:color w:val="000000" w:themeColor="text1"/>
                <w:sz w:val="19"/>
              </w:rPr>
              <w:t>Antipsychotic: Haloperidol</w:t>
            </w:r>
          </w:p>
        </w:tc>
        <w:tc>
          <w:tcPr>
            <w:tcW w:w="1872" w:type="dxa"/>
            <w:tcMar>
              <w:top w:w="80" w:type="dxa"/>
              <w:left w:w="120" w:type="dxa"/>
              <w:bottom w:w="80" w:type="dxa"/>
              <w:right w:w="120" w:type="dxa"/>
            </w:tcMar>
          </w:tcPr>
          <w:p w14:paraId="10DF4DB3"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1 (1.0%)</w:t>
            </w:r>
          </w:p>
        </w:tc>
        <w:tc>
          <w:tcPr>
            <w:tcW w:w="1872" w:type="dxa"/>
            <w:tcMar>
              <w:top w:w="80" w:type="dxa"/>
              <w:left w:w="120" w:type="dxa"/>
              <w:bottom w:w="80" w:type="dxa"/>
              <w:right w:w="120" w:type="dxa"/>
            </w:tcMar>
          </w:tcPr>
          <w:p w14:paraId="61B47DDA"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0 (0.0%)</w:t>
            </w:r>
          </w:p>
        </w:tc>
        <w:tc>
          <w:tcPr>
            <w:tcW w:w="1872" w:type="dxa"/>
            <w:tcMar>
              <w:top w:w="80" w:type="dxa"/>
              <w:left w:w="120" w:type="dxa"/>
              <w:bottom w:w="80" w:type="dxa"/>
              <w:right w:w="120" w:type="dxa"/>
            </w:tcMar>
          </w:tcPr>
          <w:p w14:paraId="644D0C61"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1</w:t>
            </w:r>
          </w:p>
        </w:tc>
        <w:tc>
          <w:tcPr>
            <w:tcW w:w="1872" w:type="dxa"/>
            <w:tcMar>
              <w:top w:w="80" w:type="dxa"/>
              <w:left w:w="120" w:type="dxa"/>
              <w:bottom w:w="80" w:type="dxa"/>
              <w:right w:w="120" w:type="dxa"/>
            </w:tcMar>
          </w:tcPr>
          <w:p w14:paraId="7AE0CC90"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0.6%</w:t>
            </w:r>
          </w:p>
        </w:tc>
      </w:tr>
      <w:tr w:rsidR="002F6880" w:rsidRPr="00C12BBF" w14:paraId="5F292204" w14:textId="77777777">
        <w:trPr>
          <w:jc w:val="center"/>
        </w:trPr>
        <w:tc>
          <w:tcPr>
            <w:tcW w:w="1872" w:type="dxa"/>
            <w:shd w:val="clear" w:color="auto" w:fill="F9FAFC"/>
            <w:tcMar>
              <w:top w:w="80" w:type="dxa"/>
              <w:left w:w="120" w:type="dxa"/>
              <w:bottom w:w="80" w:type="dxa"/>
              <w:right w:w="120" w:type="dxa"/>
            </w:tcMar>
          </w:tcPr>
          <w:p w14:paraId="3ACACC0C" w14:textId="77777777" w:rsidR="002F6880" w:rsidRPr="00C12BBF" w:rsidRDefault="00000000">
            <w:pPr>
              <w:spacing w:after="0"/>
              <w:rPr>
                <w:color w:val="000000" w:themeColor="text1"/>
              </w:rPr>
            </w:pPr>
            <w:r w:rsidRPr="00C12BBF">
              <w:rPr>
                <w:rFonts w:ascii="Times New Roman" w:hAnsi="Times New Roman"/>
                <w:color w:val="000000" w:themeColor="text1"/>
                <w:sz w:val="19"/>
              </w:rPr>
              <w:t>Sedative/Hypnotic: Etizolam</w:t>
            </w:r>
          </w:p>
        </w:tc>
        <w:tc>
          <w:tcPr>
            <w:tcW w:w="1872" w:type="dxa"/>
            <w:shd w:val="clear" w:color="auto" w:fill="F9FAFC"/>
            <w:tcMar>
              <w:top w:w="80" w:type="dxa"/>
              <w:left w:w="120" w:type="dxa"/>
              <w:bottom w:w="80" w:type="dxa"/>
              <w:right w:w="120" w:type="dxa"/>
            </w:tcMar>
          </w:tcPr>
          <w:p w14:paraId="1102BB3C"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1 (1.0%)</w:t>
            </w:r>
          </w:p>
        </w:tc>
        <w:tc>
          <w:tcPr>
            <w:tcW w:w="1872" w:type="dxa"/>
            <w:shd w:val="clear" w:color="auto" w:fill="F9FAFC"/>
            <w:tcMar>
              <w:top w:w="80" w:type="dxa"/>
              <w:left w:w="120" w:type="dxa"/>
              <w:bottom w:w="80" w:type="dxa"/>
              <w:right w:w="120" w:type="dxa"/>
            </w:tcMar>
          </w:tcPr>
          <w:p w14:paraId="30D59C3A"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0 (0.0%)</w:t>
            </w:r>
          </w:p>
        </w:tc>
        <w:tc>
          <w:tcPr>
            <w:tcW w:w="1872" w:type="dxa"/>
            <w:shd w:val="clear" w:color="auto" w:fill="F9FAFC"/>
            <w:tcMar>
              <w:top w:w="80" w:type="dxa"/>
              <w:left w:w="120" w:type="dxa"/>
              <w:bottom w:w="80" w:type="dxa"/>
              <w:right w:w="120" w:type="dxa"/>
            </w:tcMar>
          </w:tcPr>
          <w:p w14:paraId="0DD73617"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1</w:t>
            </w:r>
          </w:p>
        </w:tc>
        <w:tc>
          <w:tcPr>
            <w:tcW w:w="1872" w:type="dxa"/>
            <w:shd w:val="clear" w:color="auto" w:fill="F9FAFC"/>
            <w:tcMar>
              <w:top w:w="80" w:type="dxa"/>
              <w:left w:w="120" w:type="dxa"/>
              <w:bottom w:w="80" w:type="dxa"/>
              <w:right w:w="120" w:type="dxa"/>
            </w:tcMar>
          </w:tcPr>
          <w:p w14:paraId="1442BBBE"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0.6%</w:t>
            </w:r>
          </w:p>
        </w:tc>
      </w:tr>
      <w:tr w:rsidR="002F6880" w:rsidRPr="00C12BBF" w14:paraId="7ABC052E" w14:textId="77777777">
        <w:trPr>
          <w:jc w:val="center"/>
        </w:trPr>
        <w:tc>
          <w:tcPr>
            <w:tcW w:w="1872" w:type="dxa"/>
            <w:tcMar>
              <w:top w:w="80" w:type="dxa"/>
              <w:left w:w="120" w:type="dxa"/>
              <w:bottom w:w="80" w:type="dxa"/>
              <w:right w:w="120" w:type="dxa"/>
            </w:tcMar>
          </w:tcPr>
          <w:p w14:paraId="480AE3EC" w14:textId="77777777" w:rsidR="002F6880" w:rsidRPr="00C12BBF" w:rsidRDefault="00000000">
            <w:pPr>
              <w:spacing w:after="0"/>
              <w:rPr>
                <w:color w:val="000000" w:themeColor="text1"/>
              </w:rPr>
            </w:pPr>
            <w:r w:rsidRPr="00C12BBF">
              <w:rPr>
                <w:rFonts w:ascii="Times New Roman" w:hAnsi="Times New Roman"/>
                <w:b/>
                <w:color w:val="000000" w:themeColor="text1"/>
                <w:sz w:val="19"/>
              </w:rPr>
              <w:t>Total Component Prescriptions</w:t>
            </w:r>
          </w:p>
        </w:tc>
        <w:tc>
          <w:tcPr>
            <w:tcW w:w="1872" w:type="dxa"/>
            <w:tcMar>
              <w:top w:w="80" w:type="dxa"/>
              <w:left w:w="120" w:type="dxa"/>
              <w:bottom w:w="80" w:type="dxa"/>
              <w:right w:w="120" w:type="dxa"/>
            </w:tcMar>
          </w:tcPr>
          <w:p w14:paraId="64D6A0DC"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9"/>
              </w:rPr>
              <w:t>104 (100.0%)</w:t>
            </w:r>
          </w:p>
        </w:tc>
        <w:tc>
          <w:tcPr>
            <w:tcW w:w="1872" w:type="dxa"/>
            <w:tcMar>
              <w:top w:w="80" w:type="dxa"/>
              <w:left w:w="120" w:type="dxa"/>
              <w:bottom w:w="80" w:type="dxa"/>
              <w:right w:w="120" w:type="dxa"/>
            </w:tcMar>
          </w:tcPr>
          <w:p w14:paraId="18E606BE"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9"/>
              </w:rPr>
              <w:t>49 (100.0%)</w:t>
            </w:r>
          </w:p>
        </w:tc>
        <w:tc>
          <w:tcPr>
            <w:tcW w:w="1872" w:type="dxa"/>
            <w:tcMar>
              <w:top w:w="80" w:type="dxa"/>
              <w:left w:w="120" w:type="dxa"/>
              <w:bottom w:w="80" w:type="dxa"/>
              <w:right w:w="120" w:type="dxa"/>
            </w:tcMar>
          </w:tcPr>
          <w:p w14:paraId="4B9D734D"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9"/>
              </w:rPr>
              <w:t>153</w:t>
            </w:r>
          </w:p>
        </w:tc>
        <w:tc>
          <w:tcPr>
            <w:tcW w:w="1872" w:type="dxa"/>
            <w:tcMar>
              <w:top w:w="80" w:type="dxa"/>
              <w:left w:w="120" w:type="dxa"/>
              <w:bottom w:w="80" w:type="dxa"/>
              <w:right w:w="120" w:type="dxa"/>
            </w:tcMar>
          </w:tcPr>
          <w:p w14:paraId="725D275D"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9"/>
              </w:rPr>
              <w:t>100.0%</w:t>
            </w:r>
          </w:p>
        </w:tc>
      </w:tr>
      <w:tr w:rsidR="002F6880" w:rsidRPr="00C12BBF" w14:paraId="3D9AA560" w14:textId="77777777">
        <w:trPr>
          <w:jc w:val="center"/>
        </w:trPr>
        <w:tc>
          <w:tcPr>
            <w:tcW w:w="1872" w:type="dxa"/>
            <w:shd w:val="clear" w:color="auto" w:fill="F9FAFC"/>
            <w:tcMar>
              <w:top w:w="80" w:type="dxa"/>
              <w:left w:w="120" w:type="dxa"/>
              <w:bottom w:w="80" w:type="dxa"/>
              <w:right w:w="120" w:type="dxa"/>
            </w:tcMar>
          </w:tcPr>
          <w:p w14:paraId="1A1FB338" w14:textId="77777777" w:rsidR="002F6880" w:rsidRPr="00C12BBF" w:rsidRDefault="00000000">
            <w:pPr>
              <w:spacing w:after="0"/>
              <w:rPr>
                <w:color w:val="000000" w:themeColor="text1"/>
              </w:rPr>
            </w:pPr>
            <w:r w:rsidRPr="00C12BBF">
              <w:rPr>
                <w:rFonts w:ascii="Times New Roman" w:hAnsi="Times New Roman"/>
                <w:b/>
                <w:color w:val="000000" w:themeColor="text1"/>
                <w:sz w:val="19"/>
              </w:rPr>
              <w:t>Regimen: Monotherapy (1 drug)</w:t>
            </w:r>
          </w:p>
        </w:tc>
        <w:tc>
          <w:tcPr>
            <w:tcW w:w="1872" w:type="dxa"/>
            <w:shd w:val="clear" w:color="auto" w:fill="F9FAFC"/>
            <w:tcMar>
              <w:top w:w="80" w:type="dxa"/>
              <w:left w:w="120" w:type="dxa"/>
              <w:bottom w:w="80" w:type="dxa"/>
              <w:right w:w="120" w:type="dxa"/>
            </w:tcMar>
          </w:tcPr>
          <w:p w14:paraId="4D2B2869"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9"/>
              </w:rPr>
              <w:t>52 (62.7%)</w:t>
            </w:r>
          </w:p>
        </w:tc>
        <w:tc>
          <w:tcPr>
            <w:tcW w:w="1872" w:type="dxa"/>
            <w:shd w:val="clear" w:color="auto" w:fill="F9FAFC"/>
            <w:tcMar>
              <w:top w:w="80" w:type="dxa"/>
              <w:left w:w="120" w:type="dxa"/>
              <w:bottom w:w="80" w:type="dxa"/>
              <w:right w:w="120" w:type="dxa"/>
            </w:tcMar>
          </w:tcPr>
          <w:p w14:paraId="0BBA1F69"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9"/>
              </w:rPr>
              <w:t>22 (81.5%)</w:t>
            </w:r>
          </w:p>
        </w:tc>
        <w:tc>
          <w:tcPr>
            <w:tcW w:w="1872" w:type="dxa"/>
            <w:shd w:val="clear" w:color="auto" w:fill="F9FAFC"/>
            <w:tcMar>
              <w:top w:w="80" w:type="dxa"/>
              <w:left w:w="120" w:type="dxa"/>
              <w:bottom w:w="80" w:type="dxa"/>
              <w:right w:w="120" w:type="dxa"/>
            </w:tcMar>
          </w:tcPr>
          <w:p w14:paraId="7E53BBC2"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9"/>
              </w:rPr>
              <w:t>74</w:t>
            </w:r>
          </w:p>
        </w:tc>
        <w:tc>
          <w:tcPr>
            <w:tcW w:w="1872" w:type="dxa"/>
            <w:shd w:val="clear" w:color="auto" w:fill="F9FAFC"/>
            <w:tcMar>
              <w:top w:w="80" w:type="dxa"/>
              <w:left w:w="120" w:type="dxa"/>
              <w:bottom w:w="80" w:type="dxa"/>
              <w:right w:w="120" w:type="dxa"/>
            </w:tcMar>
          </w:tcPr>
          <w:p w14:paraId="6D56FFA7"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9"/>
              </w:rPr>
              <w:t>67.3% (of patients)</w:t>
            </w:r>
          </w:p>
        </w:tc>
      </w:tr>
      <w:tr w:rsidR="002F6880" w:rsidRPr="00C12BBF" w14:paraId="44F568CF" w14:textId="77777777">
        <w:trPr>
          <w:jc w:val="center"/>
        </w:trPr>
        <w:tc>
          <w:tcPr>
            <w:tcW w:w="1872" w:type="dxa"/>
            <w:tcMar>
              <w:top w:w="80" w:type="dxa"/>
              <w:left w:w="120" w:type="dxa"/>
              <w:bottom w:w="80" w:type="dxa"/>
              <w:right w:w="120" w:type="dxa"/>
            </w:tcMar>
          </w:tcPr>
          <w:p w14:paraId="70C72984" w14:textId="77777777" w:rsidR="002F6880" w:rsidRPr="00C12BBF" w:rsidRDefault="00000000">
            <w:pPr>
              <w:spacing w:after="0"/>
              <w:rPr>
                <w:color w:val="000000" w:themeColor="text1"/>
              </w:rPr>
            </w:pPr>
            <w:r w:rsidRPr="00C12BBF">
              <w:rPr>
                <w:rFonts w:ascii="Times New Roman" w:hAnsi="Times New Roman"/>
                <w:b/>
                <w:color w:val="000000" w:themeColor="text1"/>
                <w:sz w:val="19"/>
              </w:rPr>
              <w:t>Regimen: Combination (&gt;= 2 drugs)</w:t>
            </w:r>
          </w:p>
        </w:tc>
        <w:tc>
          <w:tcPr>
            <w:tcW w:w="1872" w:type="dxa"/>
            <w:tcMar>
              <w:top w:w="80" w:type="dxa"/>
              <w:left w:w="120" w:type="dxa"/>
              <w:bottom w:w="80" w:type="dxa"/>
              <w:right w:w="120" w:type="dxa"/>
            </w:tcMar>
          </w:tcPr>
          <w:p w14:paraId="23909E66"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9"/>
              </w:rPr>
              <w:t>31 (37.3%)</w:t>
            </w:r>
          </w:p>
        </w:tc>
        <w:tc>
          <w:tcPr>
            <w:tcW w:w="1872" w:type="dxa"/>
            <w:tcMar>
              <w:top w:w="80" w:type="dxa"/>
              <w:left w:w="120" w:type="dxa"/>
              <w:bottom w:w="80" w:type="dxa"/>
              <w:right w:w="120" w:type="dxa"/>
            </w:tcMar>
          </w:tcPr>
          <w:p w14:paraId="7E1962D4"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9"/>
              </w:rPr>
              <w:t>5 (18.5%)</w:t>
            </w:r>
          </w:p>
        </w:tc>
        <w:tc>
          <w:tcPr>
            <w:tcW w:w="1872" w:type="dxa"/>
            <w:tcMar>
              <w:top w:w="80" w:type="dxa"/>
              <w:left w:w="120" w:type="dxa"/>
              <w:bottom w:w="80" w:type="dxa"/>
              <w:right w:w="120" w:type="dxa"/>
            </w:tcMar>
          </w:tcPr>
          <w:p w14:paraId="2EF14C90"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9"/>
              </w:rPr>
              <w:t>36</w:t>
            </w:r>
          </w:p>
        </w:tc>
        <w:tc>
          <w:tcPr>
            <w:tcW w:w="1872" w:type="dxa"/>
            <w:tcMar>
              <w:top w:w="80" w:type="dxa"/>
              <w:left w:w="120" w:type="dxa"/>
              <w:bottom w:w="80" w:type="dxa"/>
              <w:right w:w="120" w:type="dxa"/>
            </w:tcMar>
          </w:tcPr>
          <w:p w14:paraId="7A12F95D"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9"/>
              </w:rPr>
              <w:t>32.7% (of patients)</w:t>
            </w:r>
          </w:p>
        </w:tc>
      </w:tr>
    </w:tbl>
    <w:p w14:paraId="15C2A924" w14:textId="77777777" w:rsidR="002F6880" w:rsidRPr="00C12BBF" w:rsidRDefault="00000000">
      <w:pPr>
        <w:spacing w:before="40" w:after="160"/>
        <w:rPr>
          <w:color w:val="000000" w:themeColor="text1"/>
        </w:rPr>
      </w:pPr>
      <w:r w:rsidRPr="00C12BBF">
        <w:rPr>
          <w:rFonts w:ascii="Times New Roman" w:hAnsi="Times New Roman"/>
          <w:i/>
          <w:color w:val="000000" w:themeColor="text1"/>
          <w:sz w:val="17"/>
        </w:rPr>
        <w:t>TCA: Tricyclic Antidepressant. Prescribing volume share is calculated based on total individual prescription courses (N = 153). Regimen percentages are calculated relative to total cohort patients (N = 110: 83 surgical, 27 non-surgical; Chi-Square = 3.235, p = 0.072).</w:t>
      </w:r>
    </w:p>
    <w:p w14:paraId="67DF78AE" w14:textId="77777777" w:rsidR="002F6880" w:rsidRPr="00C12BBF" w:rsidRDefault="00000000">
      <w:pPr>
        <w:keepNext/>
        <w:spacing w:before="160" w:after="40"/>
        <w:rPr>
          <w:color w:val="000000" w:themeColor="text1"/>
        </w:rPr>
      </w:pPr>
      <w:r w:rsidRPr="00C12BBF">
        <w:rPr>
          <w:rFonts w:ascii="Times New Roman" w:hAnsi="Times New Roman"/>
          <w:b/>
          <w:i/>
          <w:color w:val="000000" w:themeColor="text1"/>
        </w:rPr>
        <w:t>3.3 Concomitant Medication Profiles and Clinical Indicators</w:t>
      </w:r>
    </w:p>
    <w:p w14:paraId="0325AAAB" w14:textId="77777777" w:rsidR="00AF0478" w:rsidRDefault="00AF0478" w:rsidP="00AF0478">
      <w:pPr>
        <w:spacing w:after="80"/>
        <w:rPr>
          <w:rFonts w:ascii="Times New Roman" w:hAnsi="Times New Roman"/>
          <w:color w:val="000000" w:themeColor="text1"/>
          <w:lang w:val="en-IN"/>
        </w:rPr>
      </w:pPr>
      <w:r>
        <w:rPr>
          <w:highlight w:val="yellow"/>
        </w:rPr>
        <w:t>The review of co-prescribed non-psychotropic drugs provided information about inpatient clinical indications and combination therapy. Analgesic use was almost universal, occurring in 95.5% (n = 105/110) of patients. Analgesic use across the cohort was driven by standard perioperative pain-therapy regimens in surgical wards and the treatment of acute pain in medical wards. Paracetamol was the most commonly prescribed concomitant analgesic (65.5%; n = 72/110), followed by the centrally acting synthetic opioid agonist tramadol (55.5%; n = 61/110). High rates of NSAID co-prescription were also observed for aceclofenac (36.4%; n = 40/110) and diclofenac (30.9%; n = 34/110).</w:t>
      </w:r>
    </w:p>
    <w:p w14:paraId="57111479" w14:textId="77777777" w:rsidR="00AF0478" w:rsidRPr="00AF0478" w:rsidRDefault="00AF0478" w:rsidP="00AF0478">
      <w:pPr>
        <w:spacing w:after="80"/>
        <w:rPr>
          <w:rFonts w:ascii="Times New Roman" w:hAnsi="Times New Roman"/>
          <w:color w:val="000000" w:themeColor="text1"/>
          <w:lang w:val="en-IN"/>
        </w:rPr>
      </w:pPr>
      <w:r>
        <w:rPr>
          <w:highlight w:val="yellow"/>
        </w:rPr>
        <w:t>A total of 97 broad-spectrum antibiotic courses were prescribed to 81 patients (73.6% of the entire study group). Antibiotic use was mainly associated with perioperative surgical prophylaxis and the management of hospital-associated secondary infections, with third-generation cephalosporins (cefoperazone: 37.3%, n = 41/110), aminoglycosides (amikacin: 31.8%, n = 35/110), and nitroimidazoles (metronidazole: 19.1%, n = 21/110) frequently prescribed. Concomitant administration of gastrointestinal protective drugs (proton-pump inhibitors: pantoprazole, 52.7%, n = 58/110; rabeprazole, 50.0%, n = 55/110) and antiemetics (ondansetron: 48.2%, n = 53/110; domperidone: 13.6%, n = 15/110) was also common (Table 3).</w:t>
      </w:r>
    </w:p>
    <w:p w14:paraId="454B4232" w14:textId="77777777" w:rsidR="002F6880" w:rsidRPr="00C12BBF" w:rsidRDefault="00000000">
      <w:pPr>
        <w:keepNext/>
        <w:spacing w:before="160" w:after="80"/>
        <w:rPr>
          <w:color w:val="000000" w:themeColor="text1"/>
        </w:rPr>
      </w:pPr>
      <w:r w:rsidRPr="00C12BBF">
        <w:rPr>
          <w:rFonts w:ascii="Times New Roman" w:hAnsi="Times New Roman"/>
          <w:b/>
          <w:color w:val="000000" w:themeColor="text1"/>
        </w:rPr>
        <w:t xml:space="preserve">Table 3: </w:t>
      </w:r>
      <w:r w:rsidR="0088613B" w:rsidRPr="0088613B">
        <w:rPr>
          <w:rFonts w:ascii="Times New Roman" w:hAnsi="Times New Roman"/>
          <w:b/>
          <w:color w:val="000000" w:themeColor="text1"/>
        </w:rPr>
        <w:t>Frequency and Distribution of Concurrently Administered Non-Psychotropic Medications among Study Participants</w:t>
      </w:r>
    </w:p>
    <w:tbl>
      <w:tblPr>
        <w:tblW w:w="0" w:type="auto"/>
        <w:jc w:val="center"/>
        <w:tblBorders>
          <w:top w:val="single" w:sz="4" w:space="0" w:color="CCCCCC"/>
          <w:bottom w:val="single" w:sz="4" w:space="0" w:color="CCCCCC"/>
          <w:insideH w:val="single" w:sz="4" w:space="0" w:color="CCCCCC"/>
        </w:tblBorders>
        <w:tblLook w:val="04A0" w:firstRow="1" w:lastRow="0" w:firstColumn="1" w:lastColumn="0" w:noHBand="0" w:noVBand="1"/>
      </w:tblPr>
      <w:tblGrid>
        <w:gridCol w:w="1560"/>
        <w:gridCol w:w="1560"/>
        <w:gridCol w:w="1560"/>
        <w:gridCol w:w="1560"/>
        <w:gridCol w:w="1560"/>
        <w:gridCol w:w="1560"/>
      </w:tblGrid>
      <w:tr w:rsidR="002F6880" w:rsidRPr="00C12BBF" w14:paraId="4FA46A19" w14:textId="77777777">
        <w:trPr>
          <w:jc w:val="center"/>
        </w:trPr>
        <w:tc>
          <w:tcPr>
            <w:tcW w:w="1560" w:type="dxa"/>
            <w:shd w:val="clear" w:color="auto" w:fill="E8EEF5"/>
            <w:tcMar>
              <w:top w:w="100" w:type="dxa"/>
              <w:left w:w="120" w:type="dxa"/>
              <w:bottom w:w="100" w:type="dxa"/>
              <w:right w:w="120" w:type="dxa"/>
            </w:tcMar>
          </w:tcPr>
          <w:p w14:paraId="733759A5" w14:textId="77777777" w:rsidR="002F6880" w:rsidRPr="00C12BBF" w:rsidRDefault="00000000">
            <w:pPr>
              <w:spacing w:after="0"/>
              <w:rPr>
                <w:color w:val="000000" w:themeColor="text1"/>
              </w:rPr>
            </w:pPr>
            <w:r w:rsidRPr="00C12BBF">
              <w:rPr>
                <w:rFonts w:ascii="Times New Roman" w:hAnsi="Times New Roman"/>
                <w:b/>
                <w:color w:val="000000" w:themeColor="text1"/>
                <w:sz w:val="19"/>
              </w:rPr>
              <w:t>Co-Prescribed Drug Class &amp; Agent</w:t>
            </w:r>
          </w:p>
        </w:tc>
        <w:tc>
          <w:tcPr>
            <w:tcW w:w="1560" w:type="dxa"/>
            <w:shd w:val="clear" w:color="auto" w:fill="E8EEF5"/>
            <w:tcMar>
              <w:top w:w="100" w:type="dxa"/>
              <w:left w:w="120" w:type="dxa"/>
              <w:bottom w:w="100" w:type="dxa"/>
              <w:right w:w="120" w:type="dxa"/>
            </w:tcMar>
          </w:tcPr>
          <w:p w14:paraId="2D76F4D8"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9"/>
              </w:rPr>
              <w:t>Surgical Wards</w:t>
            </w:r>
            <w:r w:rsidRPr="00C12BBF">
              <w:rPr>
                <w:rFonts w:ascii="Times New Roman" w:hAnsi="Times New Roman"/>
                <w:b/>
                <w:color w:val="000000" w:themeColor="text1"/>
                <w:sz w:val="19"/>
              </w:rPr>
              <w:br/>
              <w:t>(n = 83)</w:t>
            </w:r>
          </w:p>
        </w:tc>
        <w:tc>
          <w:tcPr>
            <w:tcW w:w="1560" w:type="dxa"/>
            <w:shd w:val="clear" w:color="auto" w:fill="E8EEF5"/>
            <w:tcMar>
              <w:top w:w="100" w:type="dxa"/>
              <w:left w:w="120" w:type="dxa"/>
              <w:bottom w:w="100" w:type="dxa"/>
              <w:right w:w="120" w:type="dxa"/>
            </w:tcMar>
          </w:tcPr>
          <w:p w14:paraId="479BDD82"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9"/>
              </w:rPr>
              <w:t>Non-Surgical Wards</w:t>
            </w:r>
            <w:r w:rsidRPr="00C12BBF">
              <w:rPr>
                <w:rFonts w:ascii="Times New Roman" w:hAnsi="Times New Roman"/>
                <w:b/>
                <w:color w:val="000000" w:themeColor="text1"/>
                <w:sz w:val="19"/>
              </w:rPr>
              <w:br/>
              <w:t>(n = 27)</w:t>
            </w:r>
          </w:p>
        </w:tc>
        <w:tc>
          <w:tcPr>
            <w:tcW w:w="1560" w:type="dxa"/>
            <w:shd w:val="clear" w:color="auto" w:fill="E8EEF5"/>
            <w:tcMar>
              <w:top w:w="100" w:type="dxa"/>
              <w:left w:w="120" w:type="dxa"/>
              <w:bottom w:w="100" w:type="dxa"/>
              <w:right w:w="120" w:type="dxa"/>
            </w:tcMar>
          </w:tcPr>
          <w:p w14:paraId="418D924D"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9"/>
              </w:rPr>
              <w:t>Total Inpatients</w:t>
            </w:r>
            <w:r w:rsidRPr="00C12BBF">
              <w:rPr>
                <w:rFonts w:ascii="Times New Roman" w:hAnsi="Times New Roman"/>
                <w:b/>
                <w:color w:val="000000" w:themeColor="text1"/>
                <w:sz w:val="19"/>
              </w:rPr>
              <w:br/>
              <w:t>(N = 110)</w:t>
            </w:r>
          </w:p>
        </w:tc>
        <w:tc>
          <w:tcPr>
            <w:tcW w:w="1560" w:type="dxa"/>
            <w:shd w:val="clear" w:color="auto" w:fill="E8EEF5"/>
            <w:tcMar>
              <w:top w:w="100" w:type="dxa"/>
              <w:left w:w="120" w:type="dxa"/>
              <w:bottom w:w="100" w:type="dxa"/>
              <w:right w:w="120" w:type="dxa"/>
            </w:tcMar>
          </w:tcPr>
          <w:p w14:paraId="6F327826"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9"/>
              </w:rPr>
              <w:t>Cohort Prevalence</w:t>
            </w:r>
            <w:r w:rsidRPr="00C12BBF">
              <w:rPr>
                <w:rFonts w:ascii="Times New Roman" w:hAnsi="Times New Roman"/>
                <w:b/>
                <w:color w:val="000000" w:themeColor="text1"/>
                <w:sz w:val="19"/>
              </w:rPr>
              <w:br/>
              <w:t>(%)</w:t>
            </w:r>
          </w:p>
        </w:tc>
        <w:tc>
          <w:tcPr>
            <w:tcW w:w="1560" w:type="dxa"/>
            <w:shd w:val="clear" w:color="auto" w:fill="E8EEF5"/>
            <w:tcMar>
              <w:top w:w="100" w:type="dxa"/>
              <w:left w:w="120" w:type="dxa"/>
              <w:bottom w:w="100" w:type="dxa"/>
              <w:right w:w="120" w:type="dxa"/>
            </w:tcMar>
          </w:tcPr>
          <w:p w14:paraId="7E384462"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9"/>
              </w:rPr>
              <w:t>p-value*</w:t>
            </w:r>
          </w:p>
        </w:tc>
      </w:tr>
      <w:tr w:rsidR="002F6880" w:rsidRPr="00C12BBF" w14:paraId="2BB41BBD" w14:textId="77777777">
        <w:trPr>
          <w:jc w:val="center"/>
        </w:trPr>
        <w:tc>
          <w:tcPr>
            <w:tcW w:w="1560" w:type="dxa"/>
            <w:tcMar>
              <w:top w:w="80" w:type="dxa"/>
              <w:left w:w="120" w:type="dxa"/>
              <w:bottom w:w="80" w:type="dxa"/>
              <w:right w:w="120" w:type="dxa"/>
            </w:tcMar>
          </w:tcPr>
          <w:p w14:paraId="71871CB7" w14:textId="77777777" w:rsidR="002F6880" w:rsidRPr="00C12BBF" w:rsidRDefault="00000000">
            <w:pPr>
              <w:spacing w:after="0"/>
              <w:rPr>
                <w:color w:val="000000" w:themeColor="text1"/>
              </w:rPr>
            </w:pPr>
            <w:r w:rsidRPr="00C12BBF">
              <w:rPr>
                <w:rFonts w:ascii="Times New Roman" w:hAnsi="Times New Roman"/>
                <w:color w:val="000000" w:themeColor="text1"/>
                <w:sz w:val="19"/>
              </w:rPr>
              <w:t xml:space="preserve">Analgesic: </w:t>
            </w:r>
            <w:r w:rsidRPr="00C12BBF">
              <w:rPr>
                <w:rFonts w:ascii="Times New Roman" w:hAnsi="Times New Roman"/>
                <w:color w:val="000000" w:themeColor="text1"/>
                <w:sz w:val="19"/>
              </w:rPr>
              <w:lastRenderedPageBreak/>
              <w:t>Paracetamol</w:t>
            </w:r>
          </w:p>
        </w:tc>
        <w:tc>
          <w:tcPr>
            <w:tcW w:w="1560" w:type="dxa"/>
            <w:tcMar>
              <w:top w:w="80" w:type="dxa"/>
              <w:left w:w="120" w:type="dxa"/>
              <w:bottom w:w="80" w:type="dxa"/>
              <w:right w:w="120" w:type="dxa"/>
            </w:tcMar>
          </w:tcPr>
          <w:p w14:paraId="67659E4D"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lastRenderedPageBreak/>
              <w:t>54 (65.1%)</w:t>
            </w:r>
          </w:p>
        </w:tc>
        <w:tc>
          <w:tcPr>
            <w:tcW w:w="1560" w:type="dxa"/>
            <w:tcMar>
              <w:top w:w="80" w:type="dxa"/>
              <w:left w:w="120" w:type="dxa"/>
              <w:bottom w:w="80" w:type="dxa"/>
              <w:right w:w="120" w:type="dxa"/>
            </w:tcMar>
          </w:tcPr>
          <w:p w14:paraId="4076D9B2"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18 (66.7%)</w:t>
            </w:r>
          </w:p>
        </w:tc>
        <w:tc>
          <w:tcPr>
            <w:tcW w:w="1560" w:type="dxa"/>
            <w:tcMar>
              <w:top w:w="80" w:type="dxa"/>
              <w:left w:w="120" w:type="dxa"/>
              <w:bottom w:w="80" w:type="dxa"/>
              <w:right w:w="120" w:type="dxa"/>
            </w:tcMar>
          </w:tcPr>
          <w:p w14:paraId="2A8A66D2"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72</w:t>
            </w:r>
          </w:p>
        </w:tc>
        <w:tc>
          <w:tcPr>
            <w:tcW w:w="1560" w:type="dxa"/>
            <w:tcMar>
              <w:top w:w="80" w:type="dxa"/>
              <w:left w:w="120" w:type="dxa"/>
              <w:bottom w:w="80" w:type="dxa"/>
              <w:right w:w="120" w:type="dxa"/>
            </w:tcMar>
          </w:tcPr>
          <w:p w14:paraId="1A974202"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65.5%</w:t>
            </w:r>
          </w:p>
        </w:tc>
        <w:tc>
          <w:tcPr>
            <w:tcW w:w="1560" w:type="dxa"/>
            <w:tcMar>
              <w:top w:w="80" w:type="dxa"/>
              <w:left w:w="120" w:type="dxa"/>
              <w:bottom w:w="80" w:type="dxa"/>
              <w:right w:w="120" w:type="dxa"/>
            </w:tcMar>
          </w:tcPr>
          <w:p w14:paraId="37CC17A6"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0.879</w:t>
            </w:r>
          </w:p>
        </w:tc>
      </w:tr>
      <w:tr w:rsidR="002F6880" w:rsidRPr="00C12BBF" w14:paraId="6E56D3F4" w14:textId="77777777">
        <w:trPr>
          <w:jc w:val="center"/>
        </w:trPr>
        <w:tc>
          <w:tcPr>
            <w:tcW w:w="1560" w:type="dxa"/>
            <w:shd w:val="clear" w:color="auto" w:fill="F9FAFC"/>
            <w:tcMar>
              <w:top w:w="80" w:type="dxa"/>
              <w:left w:w="120" w:type="dxa"/>
              <w:bottom w:w="80" w:type="dxa"/>
              <w:right w:w="120" w:type="dxa"/>
            </w:tcMar>
          </w:tcPr>
          <w:p w14:paraId="3798F2BC" w14:textId="77777777" w:rsidR="002F6880" w:rsidRPr="00C12BBF" w:rsidRDefault="00000000">
            <w:pPr>
              <w:spacing w:after="0"/>
              <w:rPr>
                <w:color w:val="000000" w:themeColor="text1"/>
              </w:rPr>
            </w:pPr>
            <w:r w:rsidRPr="00C12BBF">
              <w:rPr>
                <w:rFonts w:ascii="Times New Roman" w:hAnsi="Times New Roman"/>
                <w:color w:val="000000" w:themeColor="text1"/>
                <w:sz w:val="19"/>
              </w:rPr>
              <w:t>Analgesic: Tramadol</w:t>
            </w:r>
          </w:p>
        </w:tc>
        <w:tc>
          <w:tcPr>
            <w:tcW w:w="1560" w:type="dxa"/>
            <w:shd w:val="clear" w:color="auto" w:fill="F9FAFC"/>
            <w:tcMar>
              <w:top w:w="80" w:type="dxa"/>
              <w:left w:w="120" w:type="dxa"/>
              <w:bottom w:w="80" w:type="dxa"/>
              <w:right w:w="120" w:type="dxa"/>
            </w:tcMar>
          </w:tcPr>
          <w:p w14:paraId="01A4DE4F"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49 (59.0%)</w:t>
            </w:r>
          </w:p>
        </w:tc>
        <w:tc>
          <w:tcPr>
            <w:tcW w:w="1560" w:type="dxa"/>
            <w:shd w:val="clear" w:color="auto" w:fill="F9FAFC"/>
            <w:tcMar>
              <w:top w:w="80" w:type="dxa"/>
              <w:left w:w="120" w:type="dxa"/>
              <w:bottom w:w="80" w:type="dxa"/>
              <w:right w:w="120" w:type="dxa"/>
            </w:tcMar>
          </w:tcPr>
          <w:p w14:paraId="2CF11F2B"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12 (44.4%)</w:t>
            </w:r>
          </w:p>
        </w:tc>
        <w:tc>
          <w:tcPr>
            <w:tcW w:w="1560" w:type="dxa"/>
            <w:shd w:val="clear" w:color="auto" w:fill="F9FAFC"/>
            <w:tcMar>
              <w:top w:w="80" w:type="dxa"/>
              <w:left w:w="120" w:type="dxa"/>
              <w:bottom w:w="80" w:type="dxa"/>
              <w:right w:w="120" w:type="dxa"/>
            </w:tcMar>
          </w:tcPr>
          <w:p w14:paraId="39457D61"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61</w:t>
            </w:r>
          </w:p>
        </w:tc>
        <w:tc>
          <w:tcPr>
            <w:tcW w:w="1560" w:type="dxa"/>
            <w:shd w:val="clear" w:color="auto" w:fill="F9FAFC"/>
            <w:tcMar>
              <w:top w:w="80" w:type="dxa"/>
              <w:left w:w="120" w:type="dxa"/>
              <w:bottom w:w="80" w:type="dxa"/>
              <w:right w:w="120" w:type="dxa"/>
            </w:tcMar>
          </w:tcPr>
          <w:p w14:paraId="39E7BF87"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55.5%</w:t>
            </w:r>
          </w:p>
        </w:tc>
        <w:tc>
          <w:tcPr>
            <w:tcW w:w="1560" w:type="dxa"/>
            <w:shd w:val="clear" w:color="auto" w:fill="F9FAFC"/>
            <w:tcMar>
              <w:top w:w="80" w:type="dxa"/>
              <w:left w:w="120" w:type="dxa"/>
              <w:bottom w:w="80" w:type="dxa"/>
              <w:right w:w="120" w:type="dxa"/>
            </w:tcMar>
          </w:tcPr>
          <w:p w14:paraId="0AAB7291"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0.187</w:t>
            </w:r>
          </w:p>
        </w:tc>
      </w:tr>
      <w:tr w:rsidR="002F6880" w:rsidRPr="00C12BBF" w14:paraId="323B4421" w14:textId="77777777">
        <w:trPr>
          <w:jc w:val="center"/>
        </w:trPr>
        <w:tc>
          <w:tcPr>
            <w:tcW w:w="1560" w:type="dxa"/>
            <w:tcMar>
              <w:top w:w="80" w:type="dxa"/>
              <w:left w:w="120" w:type="dxa"/>
              <w:bottom w:w="80" w:type="dxa"/>
              <w:right w:w="120" w:type="dxa"/>
            </w:tcMar>
          </w:tcPr>
          <w:p w14:paraId="140E2916" w14:textId="77777777" w:rsidR="002F6880" w:rsidRPr="00C12BBF" w:rsidRDefault="00000000">
            <w:pPr>
              <w:spacing w:after="0"/>
              <w:rPr>
                <w:color w:val="000000" w:themeColor="text1"/>
              </w:rPr>
            </w:pPr>
            <w:r w:rsidRPr="00C12BBF">
              <w:rPr>
                <w:rFonts w:ascii="Times New Roman" w:hAnsi="Times New Roman"/>
                <w:color w:val="000000" w:themeColor="text1"/>
                <w:sz w:val="19"/>
              </w:rPr>
              <w:t>Analgesic: Aceclofenac</w:t>
            </w:r>
          </w:p>
        </w:tc>
        <w:tc>
          <w:tcPr>
            <w:tcW w:w="1560" w:type="dxa"/>
            <w:tcMar>
              <w:top w:w="80" w:type="dxa"/>
              <w:left w:w="120" w:type="dxa"/>
              <w:bottom w:w="80" w:type="dxa"/>
              <w:right w:w="120" w:type="dxa"/>
            </w:tcMar>
          </w:tcPr>
          <w:p w14:paraId="7E4AE4C4"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32 (38.6%)</w:t>
            </w:r>
          </w:p>
        </w:tc>
        <w:tc>
          <w:tcPr>
            <w:tcW w:w="1560" w:type="dxa"/>
            <w:tcMar>
              <w:top w:w="80" w:type="dxa"/>
              <w:left w:w="120" w:type="dxa"/>
              <w:bottom w:w="80" w:type="dxa"/>
              <w:right w:w="120" w:type="dxa"/>
            </w:tcMar>
          </w:tcPr>
          <w:p w14:paraId="1A3720C0"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8 (29.6%)</w:t>
            </w:r>
          </w:p>
        </w:tc>
        <w:tc>
          <w:tcPr>
            <w:tcW w:w="1560" w:type="dxa"/>
            <w:tcMar>
              <w:top w:w="80" w:type="dxa"/>
              <w:left w:w="120" w:type="dxa"/>
              <w:bottom w:w="80" w:type="dxa"/>
              <w:right w:w="120" w:type="dxa"/>
            </w:tcMar>
          </w:tcPr>
          <w:p w14:paraId="4FF02ECE"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40</w:t>
            </w:r>
          </w:p>
        </w:tc>
        <w:tc>
          <w:tcPr>
            <w:tcW w:w="1560" w:type="dxa"/>
            <w:tcMar>
              <w:top w:w="80" w:type="dxa"/>
              <w:left w:w="120" w:type="dxa"/>
              <w:bottom w:w="80" w:type="dxa"/>
              <w:right w:w="120" w:type="dxa"/>
            </w:tcMar>
          </w:tcPr>
          <w:p w14:paraId="4C40727F"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36.4%</w:t>
            </w:r>
          </w:p>
        </w:tc>
        <w:tc>
          <w:tcPr>
            <w:tcW w:w="1560" w:type="dxa"/>
            <w:tcMar>
              <w:top w:w="80" w:type="dxa"/>
              <w:left w:w="120" w:type="dxa"/>
              <w:bottom w:w="80" w:type="dxa"/>
              <w:right w:w="120" w:type="dxa"/>
            </w:tcMar>
          </w:tcPr>
          <w:p w14:paraId="5F754DEC"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0.400</w:t>
            </w:r>
          </w:p>
        </w:tc>
      </w:tr>
      <w:tr w:rsidR="002F6880" w:rsidRPr="00C12BBF" w14:paraId="1843D38C" w14:textId="77777777">
        <w:trPr>
          <w:jc w:val="center"/>
        </w:trPr>
        <w:tc>
          <w:tcPr>
            <w:tcW w:w="1560" w:type="dxa"/>
            <w:shd w:val="clear" w:color="auto" w:fill="F9FAFC"/>
            <w:tcMar>
              <w:top w:w="80" w:type="dxa"/>
              <w:left w:w="120" w:type="dxa"/>
              <w:bottom w:w="80" w:type="dxa"/>
              <w:right w:w="120" w:type="dxa"/>
            </w:tcMar>
          </w:tcPr>
          <w:p w14:paraId="26B18752" w14:textId="77777777" w:rsidR="002F6880" w:rsidRPr="00C12BBF" w:rsidRDefault="00000000">
            <w:pPr>
              <w:spacing w:after="0"/>
              <w:rPr>
                <w:color w:val="000000" w:themeColor="text1"/>
              </w:rPr>
            </w:pPr>
            <w:r w:rsidRPr="00C12BBF">
              <w:rPr>
                <w:rFonts w:ascii="Times New Roman" w:hAnsi="Times New Roman"/>
                <w:color w:val="000000" w:themeColor="text1"/>
                <w:sz w:val="19"/>
              </w:rPr>
              <w:t>Analgesic: Diclofenac</w:t>
            </w:r>
          </w:p>
        </w:tc>
        <w:tc>
          <w:tcPr>
            <w:tcW w:w="1560" w:type="dxa"/>
            <w:shd w:val="clear" w:color="auto" w:fill="F9FAFC"/>
            <w:tcMar>
              <w:top w:w="80" w:type="dxa"/>
              <w:left w:w="120" w:type="dxa"/>
              <w:bottom w:w="80" w:type="dxa"/>
              <w:right w:w="120" w:type="dxa"/>
            </w:tcMar>
          </w:tcPr>
          <w:p w14:paraId="03A12CC2"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26 (31.3%)</w:t>
            </w:r>
          </w:p>
        </w:tc>
        <w:tc>
          <w:tcPr>
            <w:tcW w:w="1560" w:type="dxa"/>
            <w:shd w:val="clear" w:color="auto" w:fill="F9FAFC"/>
            <w:tcMar>
              <w:top w:w="80" w:type="dxa"/>
              <w:left w:w="120" w:type="dxa"/>
              <w:bottom w:w="80" w:type="dxa"/>
              <w:right w:w="120" w:type="dxa"/>
            </w:tcMar>
          </w:tcPr>
          <w:p w14:paraId="593ECB64"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8 (29.6%)</w:t>
            </w:r>
          </w:p>
        </w:tc>
        <w:tc>
          <w:tcPr>
            <w:tcW w:w="1560" w:type="dxa"/>
            <w:shd w:val="clear" w:color="auto" w:fill="F9FAFC"/>
            <w:tcMar>
              <w:top w:w="80" w:type="dxa"/>
              <w:left w:w="120" w:type="dxa"/>
              <w:bottom w:w="80" w:type="dxa"/>
              <w:right w:w="120" w:type="dxa"/>
            </w:tcMar>
          </w:tcPr>
          <w:p w14:paraId="590DAF04"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34</w:t>
            </w:r>
          </w:p>
        </w:tc>
        <w:tc>
          <w:tcPr>
            <w:tcW w:w="1560" w:type="dxa"/>
            <w:shd w:val="clear" w:color="auto" w:fill="F9FAFC"/>
            <w:tcMar>
              <w:top w:w="80" w:type="dxa"/>
              <w:left w:w="120" w:type="dxa"/>
              <w:bottom w:w="80" w:type="dxa"/>
              <w:right w:w="120" w:type="dxa"/>
            </w:tcMar>
          </w:tcPr>
          <w:p w14:paraId="7D0017AC"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30.9%</w:t>
            </w:r>
          </w:p>
        </w:tc>
        <w:tc>
          <w:tcPr>
            <w:tcW w:w="1560" w:type="dxa"/>
            <w:shd w:val="clear" w:color="auto" w:fill="F9FAFC"/>
            <w:tcMar>
              <w:top w:w="80" w:type="dxa"/>
              <w:left w:w="120" w:type="dxa"/>
              <w:bottom w:w="80" w:type="dxa"/>
              <w:right w:w="120" w:type="dxa"/>
            </w:tcMar>
          </w:tcPr>
          <w:p w14:paraId="07991EEB"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0.868</w:t>
            </w:r>
          </w:p>
        </w:tc>
      </w:tr>
      <w:tr w:rsidR="002F6880" w:rsidRPr="00C12BBF" w14:paraId="07486ED0" w14:textId="77777777">
        <w:trPr>
          <w:jc w:val="center"/>
        </w:trPr>
        <w:tc>
          <w:tcPr>
            <w:tcW w:w="1560" w:type="dxa"/>
            <w:tcMar>
              <w:top w:w="80" w:type="dxa"/>
              <w:left w:w="120" w:type="dxa"/>
              <w:bottom w:w="80" w:type="dxa"/>
              <w:right w:w="120" w:type="dxa"/>
            </w:tcMar>
          </w:tcPr>
          <w:p w14:paraId="7D1761D8" w14:textId="77777777" w:rsidR="002F6880" w:rsidRPr="00C12BBF" w:rsidRDefault="00000000">
            <w:pPr>
              <w:spacing w:after="0"/>
              <w:rPr>
                <w:color w:val="000000" w:themeColor="text1"/>
              </w:rPr>
            </w:pPr>
            <w:r w:rsidRPr="00C12BBF">
              <w:rPr>
                <w:rFonts w:ascii="Times New Roman" w:hAnsi="Times New Roman"/>
                <w:color w:val="000000" w:themeColor="text1"/>
                <w:sz w:val="19"/>
              </w:rPr>
              <w:t>Antibiotic: Cefoperazone</w:t>
            </w:r>
          </w:p>
        </w:tc>
        <w:tc>
          <w:tcPr>
            <w:tcW w:w="1560" w:type="dxa"/>
            <w:tcMar>
              <w:top w:w="80" w:type="dxa"/>
              <w:left w:w="120" w:type="dxa"/>
              <w:bottom w:w="80" w:type="dxa"/>
              <w:right w:w="120" w:type="dxa"/>
            </w:tcMar>
          </w:tcPr>
          <w:p w14:paraId="0511A052"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35 (42.2%)</w:t>
            </w:r>
          </w:p>
        </w:tc>
        <w:tc>
          <w:tcPr>
            <w:tcW w:w="1560" w:type="dxa"/>
            <w:tcMar>
              <w:top w:w="80" w:type="dxa"/>
              <w:left w:w="120" w:type="dxa"/>
              <w:bottom w:w="80" w:type="dxa"/>
              <w:right w:w="120" w:type="dxa"/>
            </w:tcMar>
          </w:tcPr>
          <w:p w14:paraId="10401F37"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6 (22.2%)</w:t>
            </w:r>
          </w:p>
        </w:tc>
        <w:tc>
          <w:tcPr>
            <w:tcW w:w="1560" w:type="dxa"/>
            <w:tcMar>
              <w:top w:w="80" w:type="dxa"/>
              <w:left w:w="120" w:type="dxa"/>
              <w:bottom w:w="80" w:type="dxa"/>
              <w:right w:w="120" w:type="dxa"/>
            </w:tcMar>
          </w:tcPr>
          <w:p w14:paraId="06FA4804"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41</w:t>
            </w:r>
          </w:p>
        </w:tc>
        <w:tc>
          <w:tcPr>
            <w:tcW w:w="1560" w:type="dxa"/>
            <w:tcMar>
              <w:top w:w="80" w:type="dxa"/>
              <w:left w:w="120" w:type="dxa"/>
              <w:bottom w:w="80" w:type="dxa"/>
              <w:right w:w="120" w:type="dxa"/>
            </w:tcMar>
          </w:tcPr>
          <w:p w14:paraId="4AA97C6C"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37.3%</w:t>
            </w:r>
          </w:p>
        </w:tc>
        <w:tc>
          <w:tcPr>
            <w:tcW w:w="1560" w:type="dxa"/>
            <w:tcMar>
              <w:top w:w="80" w:type="dxa"/>
              <w:left w:w="120" w:type="dxa"/>
              <w:bottom w:w="80" w:type="dxa"/>
              <w:right w:w="120" w:type="dxa"/>
            </w:tcMar>
          </w:tcPr>
          <w:p w14:paraId="63171333"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0.062</w:t>
            </w:r>
          </w:p>
        </w:tc>
      </w:tr>
      <w:tr w:rsidR="002F6880" w:rsidRPr="00C12BBF" w14:paraId="717B8B73" w14:textId="77777777">
        <w:trPr>
          <w:jc w:val="center"/>
        </w:trPr>
        <w:tc>
          <w:tcPr>
            <w:tcW w:w="1560" w:type="dxa"/>
            <w:shd w:val="clear" w:color="auto" w:fill="F9FAFC"/>
            <w:tcMar>
              <w:top w:w="80" w:type="dxa"/>
              <w:left w:w="120" w:type="dxa"/>
              <w:bottom w:w="80" w:type="dxa"/>
              <w:right w:w="120" w:type="dxa"/>
            </w:tcMar>
          </w:tcPr>
          <w:p w14:paraId="00CFC888" w14:textId="77777777" w:rsidR="002F6880" w:rsidRPr="00C12BBF" w:rsidRDefault="00000000">
            <w:pPr>
              <w:spacing w:after="0"/>
              <w:rPr>
                <w:color w:val="000000" w:themeColor="text1"/>
              </w:rPr>
            </w:pPr>
            <w:r w:rsidRPr="00C12BBF">
              <w:rPr>
                <w:rFonts w:ascii="Times New Roman" w:hAnsi="Times New Roman"/>
                <w:color w:val="000000" w:themeColor="text1"/>
                <w:sz w:val="19"/>
              </w:rPr>
              <w:t>Antibiotic: Amikacin</w:t>
            </w:r>
          </w:p>
        </w:tc>
        <w:tc>
          <w:tcPr>
            <w:tcW w:w="1560" w:type="dxa"/>
            <w:shd w:val="clear" w:color="auto" w:fill="F9FAFC"/>
            <w:tcMar>
              <w:top w:w="80" w:type="dxa"/>
              <w:left w:w="120" w:type="dxa"/>
              <w:bottom w:w="80" w:type="dxa"/>
              <w:right w:w="120" w:type="dxa"/>
            </w:tcMar>
          </w:tcPr>
          <w:p w14:paraId="3E4CA7E7"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28 (33.7%)</w:t>
            </w:r>
          </w:p>
        </w:tc>
        <w:tc>
          <w:tcPr>
            <w:tcW w:w="1560" w:type="dxa"/>
            <w:shd w:val="clear" w:color="auto" w:fill="F9FAFC"/>
            <w:tcMar>
              <w:top w:w="80" w:type="dxa"/>
              <w:left w:w="120" w:type="dxa"/>
              <w:bottom w:w="80" w:type="dxa"/>
              <w:right w:w="120" w:type="dxa"/>
            </w:tcMar>
          </w:tcPr>
          <w:p w14:paraId="1DD21FFD"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7 (25.9%)</w:t>
            </w:r>
          </w:p>
        </w:tc>
        <w:tc>
          <w:tcPr>
            <w:tcW w:w="1560" w:type="dxa"/>
            <w:shd w:val="clear" w:color="auto" w:fill="F9FAFC"/>
            <w:tcMar>
              <w:top w:w="80" w:type="dxa"/>
              <w:left w:w="120" w:type="dxa"/>
              <w:bottom w:w="80" w:type="dxa"/>
              <w:right w:w="120" w:type="dxa"/>
            </w:tcMar>
          </w:tcPr>
          <w:p w14:paraId="2121EE66"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35</w:t>
            </w:r>
          </w:p>
        </w:tc>
        <w:tc>
          <w:tcPr>
            <w:tcW w:w="1560" w:type="dxa"/>
            <w:shd w:val="clear" w:color="auto" w:fill="F9FAFC"/>
            <w:tcMar>
              <w:top w:w="80" w:type="dxa"/>
              <w:left w:w="120" w:type="dxa"/>
              <w:bottom w:w="80" w:type="dxa"/>
              <w:right w:w="120" w:type="dxa"/>
            </w:tcMar>
          </w:tcPr>
          <w:p w14:paraId="2DC38F74"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31.8%</w:t>
            </w:r>
          </w:p>
        </w:tc>
        <w:tc>
          <w:tcPr>
            <w:tcW w:w="1560" w:type="dxa"/>
            <w:shd w:val="clear" w:color="auto" w:fill="F9FAFC"/>
            <w:tcMar>
              <w:top w:w="80" w:type="dxa"/>
              <w:left w:w="120" w:type="dxa"/>
              <w:bottom w:w="80" w:type="dxa"/>
              <w:right w:w="120" w:type="dxa"/>
            </w:tcMar>
          </w:tcPr>
          <w:p w14:paraId="42632B29"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0.449</w:t>
            </w:r>
          </w:p>
        </w:tc>
      </w:tr>
      <w:tr w:rsidR="002F6880" w:rsidRPr="00C12BBF" w14:paraId="553576CF" w14:textId="77777777">
        <w:trPr>
          <w:jc w:val="center"/>
        </w:trPr>
        <w:tc>
          <w:tcPr>
            <w:tcW w:w="1560" w:type="dxa"/>
            <w:tcMar>
              <w:top w:w="80" w:type="dxa"/>
              <w:left w:w="120" w:type="dxa"/>
              <w:bottom w:w="80" w:type="dxa"/>
              <w:right w:w="120" w:type="dxa"/>
            </w:tcMar>
          </w:tcPr>
          <w:p w14:paraId="2BA1A687" w14:textId="77777777" w:rsidR="002F6880" w:rsidRPr="00C12BBF" w:rsidRDefault="00000000">
            <w:pPr>
              <w:spacing w:after="0"/>
              <w:rPr>
                <w:color w:val="000000" w:themeColor="text1"/>
              </w:rPr>
            </w:pPr>
            <w:r w:rsidRPr="00C12BBF">
              <w:rPr>
                <w:rFonts w:ascii="Times New Roman" w:hAnsi="Times New Roman"/>
                <w:color w:val="000000" w:themeColor="text1"/>
                <w:sz w:val="19"/>
              </w:rPr>
              <w:t>Antibiotic: Metronidazole</w:t>
            </w:r>
          </w:p>
        </w:tc>
        <w:tc>
          <w:tcPr>
            <w:tcW w:w="1560" w:type="dxa"/>
            <w:tcMar>
              <w:top w:w="80" w:type="dxa"/>
              <w:left w:w="120" w:type="dxa"/>
              <w:bottom w:w="80" w:type="dxa"/>
              <w:right w:w="120" w:type="dxa"/>
            </w:tcMar>
          </w:tcPr>
          <w:p w14:paraId="737E444F"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18 (21.7%)</w:t>
            </w:r>
          </w:p>
        </w:tc>
        <w:tc>
          <w:tcPr>
            <w:tcW w:w="1560" w:type="dxa"/>
            <w:tcMar>
              <w:top w:w="80" w:type="dxa"/>
              <w:left w:w="120" w:type="dxa"/>
              <w:bottom w:w="80" w:type="dxa"/>
              <w:right w:w="120" w:type="dxa"/>
            </w:tcMar>
          </w:tcPr>
          <w:p w14:paraId="4E0F7E8A"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3 (11.1%)</w:t>
            </w:r>
          </w:p>
        </w:tc>
        <w:tc>
          <w:tcPr>
            <w:tcW w:w="1560" w:type="dxa"/>
            <w:tcMar>
              <w:top w:w="80" w:type="dxa"/>
              <w:left w:w="120" w:type="dxa"/>
              <w:bottom w:w="80" w:type="dxa"/>
              <w:right w:w="120" w:type="dxa"/>
            </w:tcMar>
          </w:tcPr>
          <w:p w14:paraId="43764714"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21</w:t>
            </w:r>
          </w:p>
        </w:tc>
        <w:tc>
          <w:tcPr>
            <w:tcW w:w="1560" w:type="dxa"/>
            <w:tcMar>
              <w:top w:w="80" w:type="dxa"/>
              <w:left w:w="120" w:type="dxa"/>
              <w:bottom w:w="80" w:type="dxa"/>
              <w:right w:w="120" w:type="dxa"/>
            </w:tcMar>
          </w:tcPr>
          <w:p w14:paraId="2B91A707"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19.1%</w:t>
            </w:r>
          </w:p>
        </w:tc>
        <w:tc>
          <w:tcPr>
            <w:tcW w:w="1560" w:type="dxa"/>
            <w:tcMar>
              <w:top w:w="80" w:type="dxa"/>
              <w:left w:w="120" w:type="dxa"/>
              <w:bottom w:w="80" w:type="dxa"/>
              <w:right w:w="120" w:type="dxa"/>
            </w:tcMar>
          </w:tcPr>
          <w:p w14:paraId="0DC18C71"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0.228</w:t>
            </w:r>
          </w:p>
        </w:tc>
      </w:tr>
      <w:tr w:rsidR="002F6880" w:rsidRPr="00C12BBF" w14:paraId="15D25324" w14:textId="77777777">
        <w:trPr>
          <w:jc w:val="center"/>
        </w:trPr>
        <w:tc>
          <w:tcPr>
            <w:tcW w:w="1560" w:type="dxa"/>
            <w:shd w:val="clear" w:color="auto" w:fill="F9FAFC"/>
            <w:tcMar>
              <w:top w:w="80" w:type="dxa"/>
              <w:left w:w="120" w:type="dxa"/>
              <w:bottom w:w="80" w:type="dxa"/>
              <w:right w:w="120" w:type="dxa"/>
            </w:tcMar>
          </w:tcPr>
          <w:p w14:paraId="7F1BC008" w14:textId="77777777" w:rsidR="002F6880" w:rsidRPr="00C12BBF" w:rsidRDefault="00000000">
            <w:pPr>
              <w:spacing w:after="0"/>
              <w:rPr>
                <w:color w:val="000000" w:themeColor="text1"/>
              </w:rPr>
            </w:pPr>
            <w:r w:rsidRPr="00C12BBF">
              <w:rPr>
                <w:rFonts w:ascii="Times New Roman" w:hAnsi="Times New Roman"/>
                <w:color w:val="000000" w:themeColor="text1"/>
                <w:sz w:val="19"/>
              </w:rPr>
              <w:t>GI Support: Pantoprazole</w:t>
            </w:r>
          </w:p>
        </w:tc>
        <w:tc>
          <w:tcPr>
            <w:tcW w:w="1560" w:type="dxa"/>
            <w:shd w:val="clear" w:color="auto" w:fill="F9FAFC"/>
            <w:tcMar>
              <w:top w:w="80" w:type="dxa"/>
              <w:left w:w="120" w:type="dxa"/>
              <w:bottom w:w="80" w:type="dxa"/>
              <w:right w:w="120" w:type="dxa"/>
            </w:tcMar>
          </w:tcPr>
          <w:p w14:paraId="66A2F521"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42 (50.6%)</w:t>
            </w:r>
          </w:p>
        </w:tc>
        <w:tc>
          <w:tcPr>
            <w:tcW w:w="1560" w:type="dxa"/>
            <w:shd w:val="clear" w:color="auto" w:fill="F9FAFC"/>
            <w:tcMar>
              <w:top w:w="80" w:type="dxa"/>
              <w:left w:w="120" w:type="dxa"/>
              <w:bottom w:w="80" w:type="dxa"/>
              <w:right w:w="120" w:type="dxa"/>
            </w:tcMar>
          </w:tcPr>
          <w:p w14:paraId="14A2E781"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16 (59.3%)</w:t>
            </w:r>
          </w:p>
        </w:tc>
        <w:tc>
          <w:tcPr>
            <w:tcW w:w="1560" w:type="dxa"/>
            <w:shd w:val="clear" w:color="auto" w:fill="F9FAFC"/>
            <w:tcMar>
              <w:top w:w="80" w:type="dxa"/>
              <w:left w:w="120" w:type="dxa"/>
              <w:bottom w:w="80" w:type="dxa"/>
              <w:right w:w="120" w:type="dxa"/>
            </w:tcMar>
          </w:tcPr>
          <w:p w14:paraId="489804A6"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58</w:t>
            </w:r>
          </w:p>
        </w:tc>
        <w:tc>
          <w:tcPr>
            <w:tcW w:w="1560" w:type="dxa"/>
            <w:shd w:val="clear" w:color="auto" w:fill="F9FAFC"/>
            <w:tcMar>
              <w:top w:w="80" w:type="dxa"/>
              <w:left w:w="120" w:type="dxa"/>
              <w:bottom w:w="80" w:type="dxa"/>
              <w:right w:w="120" w:type="dxa"/>
            </w:tcMar>
          </w:tcPr>
          <w:p w14:paraId="0AF72468"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52.7%</w:t>
            </w:r>
          </w:p>
        </w:tc>
        <w:tc>
          <w:tcPr>
            <w:tcW w:w="1560" w:type="dxa"/>
            <w:shd w:val="clear" w:color="auto" w:fill="F9FAFC"/>
            <w:tcMar>
              <w:top w:w="80" w:type="dxa"/>
              <w:left w:w="120" w:type="dxa"/>
              <w:bottom w:w="80" w:type="dxa"/>
              <w:right w:w="120" w:type="dxa"/>
            </w:tcMar>
          </w:tcPr>
          <w:p w14:paraId="463C63ED"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0.435</w:t>
            </w:r>
          </w:p>
        </w:tc>
      </w:tr>
      <w:tr w:rsidR="002F6880" w:rsidRPr="00C12BBF" w14:paraId="6AEEFEF0" w14:textId="77777777">
        <w:trPr>
          <w:jc w:val="center"/>
        </w:trPr>
        <w:tc>
          <w:tcPr>
            <w:tcW w:w="1560" w:type="dxa"/>
            <w:tcMar>
              <w:top w:w="80" w:type="dxa"/>
              <w:left w:w="120" w:type="dxa"/>
              <w:bottom w:w="80" w:type="dxa"/>
              <w:right w:w="120" w:type="dxa"/>
            </w:tcMar>
          </w:tcPr>
          <w:p w14:paraId="40CC4FF7" w14:textId="77777777" w:rsidR="002F6880" w:rsidRPr="00C12BBF" w:rsidRDefault="00000000">
            <w:pPr>
              <w:spacing w:after="0"/>
              <w:rPr>
                <w:color w:val="000000" w:themeColor="text1"/>
              </w:rPr>
            </w:pPr>
            <w:r w:rsidRPr="00C12BBF">
              <w:rPr>
                <w:rFonts w:ascii="Times New Roman" w:hAnsi="Times New Roman"/>
                <w:color w:val="000000" w:themeColor="text1"/>
                <w:sz w:val="19"/>
              </w:rPr>
              <w:t>GI Support: Rabeprazole</w:t>
            </w:r>
          </w:p>
        </w:tc>
        <w:tc>
          <w:tcPr>
            <w:tcW w:w="1560" w:type="dxa"/>
            <w:tcMar>
              <w:top w:w="80" w:type="dxa"/>
              <w:left w:w="120" w:type="dxa"/>
              <w:bottom w:w="80" w:type="dxa"/>
              <w:right w:w="120" w:type="dxa"/>
            </w:tcMar>
          </w:tcPr>
          <w:p w14:paraId="79247FEF"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39 (47.0%)</w:t>
            </w:r>
          </w:p>
        </w:tc>
        <w:tc>
          <w:tcPr>
            <w:tcW w:w="1560" w:type="dxa"/>
            <w:tcMar>
              <w:top w:w="80" w:type="dxa"/>
              <w:left w:w="120" w:type="dxa"/>
              <w:bottom w:w="80" w:type="dxa"/>
              <w:right w:w="120" w:type="dxa"/>
            </w:tcMar>
          </w:tcPr>
          <w:p w14:paraId="084CDF6D"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16 (59.3%)</w:t>
            </w:r>
          </w:p>
        </w:tc>
        <w:tc>
          <w:tcPr>
            <w:tcW w:w="1560" w:type="dxa"/>
            <w:tcMar>
              <w:top w:w="80" w:type="dxa"/>
              <w:left w:w="120" w:type="dxa"/>
              <w:bottom w:w="80" w:type="dxa"/>
              <w:right w:w="120" w:type="dxa"/>
            </w:tcMar>
          </w:tcPr>
          <w:p w14:paraId="082405C8"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55</w:t>
            </w:r>
          </w:p>
        </w:tc>
        <w:tc>
          <w:tcPr>
            <w:tcW w:w="1560" w:type="dxa"/>
            <w:tcMar>
              <w:top w:w="80" w:type="dxa"/>
              <w:left w:w="120" w:type="dxa"/>
              <w:bottom w:w="80" w:type="dxa"/>
              <w:right w:w="120" w:type="dxa"/>
            </w:tcMar>
          </w:tcPr>
          <w:p w14:paraId="68FE916F"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50.0%</w:t>
            </w:r>
          </w:p>
        </w:tc>
        <w:tc>
          <w:tcPr>
            <w:tcW w:w="1560" w:type="dxa"/>
            <w:tcMar>
              <w:top w:w="80" w:type="dxa"/>
              <w:left w:w="120" w:type="dxa"/>
              <w:bottom w:w="80" w:type="dxa"/>
              <w:right w:w="120" w:type="dxa"/>
            </w:tcMar>
          </w:tcPr>
          <w:p w14:paraId="091E4FFB"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0.270</w:t>
            </w:r>
          </w:p>
        </w:tc>
      </w:tr>
      <w:tr w:rsidR="002F6880" w:rsidRPr="00C12BBF" w14:paraId="1D582D64" w14:textId="77777777">
        <w:trPr>
          <w:jc w:val="center"/>
        </w:trPr>
        <w:tc>
          <w:tcPr>
            <w:tcW w:w="1560" w:type="dxa"/>
            <w:shd w:val="clear" w:color="auto" w:fill="F9FAFC"/>
            <w:tcMar>
              <w:top w:w="80" w:type="dxa"/>
              <w:left w:w="120" w:type="dxa"/>
              <w:bottom w:w="80" w:type="dxa"/>
              <w:right w:w="120" w:type="dxa"/>
            </w:tcMar>
          </w:tcPr>
          <w:p w14:paraId="6DB72436" w14:textId="77777777" w:rsidR="002F6880" w:rsidRPr="00C12BBF" w:rsidRDefault="00000000">
            <w:pPr>
              <w:spacing w:after="0"/>
              <w:rPr>
                <w:color w:val="000000" w:themeColor="text1"/>
              </w:rPr>
            </w:pPr>
            <w:r w:rsidRPr="00C12BBF">
              <w:rPr>
                <w:rFonts w:ascii="Times New Roman" w:hAnsi="Times New Roman"/>
                <w:color w:val="000000" w:themeColor="text1"/>
                <w:sz w:val="19"/>
              </w:rPr>
              <w:t>Antiemetic: Ondansetron</w:t>
            </w:r>
          </w:p>
        </w:tc>
        <w:tc>
          <w:tcPr>
            <w:tcW w:w="1560" w:type="dxa"/>
            <w:shd w:val="clear" w:color="auto" w:fill="F9FAFC"/>
            <w:tcMar>
              <w:top w:w="80" w:type="dxa"/>
              <w:left w:w="120" w:type="dxa"/>
              <w:bottom w:w="80" w:type="dxa"/>
              <w:right w:w="120" w:type="dxa"/>
            </w:tcMar>
          </w:tcPr>
          <w:p w14:paraId="25F52288"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44 (53.0%)</w:t>
            </w:r>
          </w:p>
        </w:tc>
        <w:tc>
          <w:tcPr>
            <w:tcW w:w="1560" w:type="dxa"/>
            <w:shd w:val="clear" w:color="auto" w:fill="F9FAFC"/>
            <w:tcMar>
              <w:top w:w="80" w:type="dxa"/>
              <w:left w:w="120" w:type="dxa"/>
              <w:bottom w:w="80" w:type="dxa"/>
              <w:right w:w="120" w:type="dxa"/>
            </w:tcMar>
          </w:tcPr>
          <w:p w14:paraId="483A7912"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9 (33.3%)</w:t>
            </w:r>
          </w:p>
        </w:tc>
        <w:tc>
          <w:tcPr>
            <w:tcW w:w="1560" w:type="dxa"/>
            <w:shd w:val="clear" w:color="auto" w:fill="F9FAFC"/>
            <w:tcMar>
              <w:top w:w="80" w:type="dxa"/>
              <w:left w:w="120" w:type="dxa"/>
              <w:bottom w:w="80" w:type="dxa"/>
              <w:right w:w="120" w:type="dxa"/>
            </w:tcMar>
          </w:tcPr>
          <w:p w14:paraId="06439430"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53</w:t>
            </w:r>
          </w:p>
        </w:tc>
        <w:tc>
          <w:tcPr>
            <w:tcW w:w="1560" w:type="dxa"/>
            <w:shd w:val="clear" w:color="auto" w:fill="F9FAFC"/>
            <w:tcMar>
              <w:top w:w="80" w:type="dxa"/>
              <w:left w:w="120" w:type="dxa"/>
              <w:bottom w:w="80" w:type="dxa"/>
              <w:right w:w="120" w:type="dxa"/>
            </w:tcMar>
          </w:tcPr>
          <w:p w14:paraId="6998B772"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48.2%</w:t>
            </w:r>
          </w:p>
        </w:tc>
        <w:tc>
          <w:tcPr>
            <w:tcW w:w="1560" w:type="dxa"/>
            <w:shd w:val="clear" w:color="auto" w:fill="F9FAFC"/>
            <w:tcMar>
              <w:top w:w="80" w:type="dxa"/>
              <w:left w:w="120" w:type="dxa"/>
              <w:bottom w:w="80" w:type="dxa"/>
              <w:right w:w="120" w:type="dxa"/>
            </w:tcMar>
          </w:tcPr>
          <w:p w14:paraId="22C29198"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0.076</w:t>
            </w:r>
          </w:p>
        </w:tc>
      </w:tr>
      <w:tr w:rsidR="002F6880" w:rsidRPr="00C12BBF" w14:paraId="1A12B33E" w14:textId="77777777">
        <w:trPr>
          <w:jc w:val="center"/>
        </w:trPr>
        <w:tc>
          <w:tcPr>
            <w:tcW w:w="1560" w:type="dxa"/>
            <w:tcMar>
              <w:top w:w="80" w:type="dxa"/>
              <w:left w:w="120" w:type="dxa"/>
              <w:bottom w:w="80" w:type="dxa"/>
              <w:right w:w="120" w:type="dxa"/>
            </w:tcMar>
          </w:tcPr>
          <w:p w14:paraId="5AD21F81" w14:textId="77777777" w:rsidR="002F6880" w:rsidRPr="00C12BBF" w:rsidRDefault="00000000">
            <w:pPr>
              <w:spacing w:after="0"/>
              <w:rPr>
                <w:color w:val="000000" w:themeColor="text1"/>
              </w:rPr>
            </w:pPr>
            <w:r w:rsidRPr="00C12BBF">
              <w:rPr>
                <w:rFonts w:ascii="Times New Roman" w:hAnsi="Times New Roman"/>
                <w:color w:val="000000" w:themeColor="text1"/>
                <w:sz w:val="19"/>
              </w:rPr>
              <w:t>Antiemetic: Domperidone</w:t>
            </w:r>
          </w:p>
        </w:tc>
        <w:tc>
          <w:tcPr>
            <w:tcW w:w="1560" w:type="dxa"/>
            <w:tcMar>
              <w:top w:w="80" w:type="dxa"/>
              <w:left w:w="120" w:type="dxa"/>
              <w:bottom w:w="80" w:type="dxa"/>
              <w:right w:w="120" w:type="dxa"/>
            </w:tcMar>
          </w:tcPr>
          <w:p w14:paraId="4A0F9152"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10 (12.0%)</w:t>
            </w:r>
          </w:p>
        </w:tc>
        <w:tc>
          <w:tcPr>
            <w:tcW w:w="1560" w:type="dxa"/>
            <w:tcMar>
              <w:top w:w="80" w:type="dxa"/>
              <w:left w:w="120" w:type="dxa"/>
              <w:bottom w:w="80" w:type="dxa"/>
              <w:right w:w="120" w:type="dxa"/>
            </w:tcMar>
          </w:tcPr>
          <w:p w14:paraId="5246E17C"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5 (18.5%)</w:t>
            </w:r>
          </w:p>
        </w:tc>
        <w:tc>
          <w:tcPr>
            <w:tcW w:w="1560" w:type="dxa"/>
            <w:tcMar>
              <w:top w:w="80" w:type="dxa"/>
              <w:left w:w="120" w:type="dxa"/>
              <w:bottom w:w="80" w:type="dxa"/>
              <w:right w:w="120" w:type="dxa"/>
            </w:tcMar>
          </w:tcPr>
          <w:p w14:paraId="04454511"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15</w:t>
            </w:r>
          </w:p>
        </w:tc>
        <w:tc>
          <w:tcPr>
            <w:tcW w:w="1560" w:type="dxa"/>
            <w:tcMar>
              <w:top w:w="80" w:type="dxa"/>
              <w:left w:w="120" w:type="dxa"/>
              <w:bottom w:w="80" w:type="dxa"/>
              <w:right w:w="120" w:type="dxa"/>
            </w:tcMar>
          </w:tcPr>
          <w:p w14:paraId="707749AE"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13.6%</w:t>
            </w:r>
          </w:p>
        </w:tc>
        <w:tc>
          <w:tcPr>
            <w:tcW w:w="1560" w:type="dxa"/>
            <w:tcMar>
              <w:top w:w="80" w:type="dxa"/>
              <w:left w:w="120" w:type="dxa"/>
              <w:bottom w:w="80" w:type="dxa"/>
              <w:right w:w="120" w:type="dxa"/>
            </w:tcMar>
          </w:tcPr>
          <w:p w14:paraId="2B52945E"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0.388</w:t>
            </w:r>
          </w:p>
        </w:tc>
      </w:tr>
    </w:tbl>
    <w:p w14:paraId="5A7303E0" w14:textId="77777777" w:rsidR="002F6880" w:rsidRPr="00C12BBF" w:rsidRDefault="00000000">
      <w:pPr>
        <w:spacing w:before="40" w:after="160"/>
        <w:rPr>
          <w:color w:val="000000" w:themeColor="text1"/>
        </w:rPr>
      </w:pPr>
      <w:r w:rsidRPr="00C12BBF">
        <w:rPr>
          <w:rFonts w:ascii="Times New Roman" w:hAnsi="Times New Roman"/>
          <w:i/>
          <w:color w:val="000000" w:themeColor="text1"/>
          <w:sz w:val="17"/>
        </w:rPr>
        <w:t>GI: Gastrointestinal. Prevalence percentages are calculated relative to the total cohort (N = 110: 83 surgical, 27 non-surgical). *p-values derived from Pearson Chi-Square test.</w:t>
      </w:r>
    </w:p>
    <w:p w14:paraId="0968849E" w14:textId="77777777" w:rsidR="002F6880" w:rsidRPr="00C12BBF" w:rsidRDefault="00000000">
      <w:pPr>
        <w:keepNext/>
        <w:spacing w:before="160" w:after="40"/>
        <w:rPr>
          <w:color w:val="000000" w:themeColor="text1"/>
        </w:rPr>
      </w:pPr>
      <w:r w:rsidRPr="00C12BBF">
        <w:rPr>
          <w:rFonts w:ascii="Times New Roman" w:hAnsi="Times New Roman"/>
          <w:b/>
          <w:i/>
          <w:color w:val="000000" w:themeColor="text1"/>
        </w:rPr>
        <w:t>3.4 Drug-Related Problems (DRPs) and Potential Drug-Drug Interactions</w:t>
      </w:r>
    </w:p>
    <w:p w14:paraId="09B44584" w14:textId="77777777" w:rsidR="00AF0478" w:rsidRDefault="00AF0478" w:rsidP="00AF0478">
      <w:pPr>
        <w:spacing w:after="80"/>
        <w:rPr>
          <w:rFonts w:ascii="Times New Roman" w:hAnsi="Times New Roman"/>
          <w:color w:val="000000" w:themeColor="text1"/>
          <w:lang w:val="en-IN"/>
        </w:rPr>
      </w:pPr>
      <w:r>
        <w:rPr>
          <w:highlight w:val="yellow"/>
        </w:rPr>
        <w:t>A total of 126 potential drug-drug interaction (DDI) events were detected among 110 patients according to Lexicomp Online and Medscape Reference. Most events (76.2%, n = 96/126) occurred in the surgical service in the context of multimodal perioperative pharmacotherapy, whereas 23.8% of events (n = 30/126) occurred in non-surgical medical wards. Categorisation by clinical severity showed that 76.2% of interactions (n = 96) were rated as major and the remaining 23.8% (n = 30) as moderate.</w:t>
      </w:r>
    </w:p>
    <w:p w14:paraId="63DBA18F" w14:textId="77777777" w:rsidR="00AF0478" w:rsidRPr="00AF0478" w:rsidRDefault="00AF0478" w:rsidP="00AF0478">
      <w:pPr>
        <w:spacing w:after="80"/>
        <w:rPr>
          <w:rFonts w:ascii="Times New Roman" w:hAnsi="Times New Roman"/>
          <w:color w:val="000000" w:themeColor="text1"/>
          <w:lang w:val="en-IN"/>
        </w:rPr>
      </w:pPr>
      <w:r>
        <w:rPr>
          <w:highlight w:val="yellow"/>
        </w:rPr>
        <w:t xml:space="preserve">From a mechanistic perspective, the major interaction identified involved central nervous system and respiratory depression associated with the simultaneous administration of a psychotropic drug and an opioid analgesic. The most common major DDI was co-prescription of alprazolam with tramadol, observed in 34 patients (29 surgical and 5 non-surgical). The combination of tramadol with pregabalin was the second most common major DDI (20 surgical and 4 non-surgical), with further risks of central sedation, blunted ventilatory response, and neurotoxicity. Other major pairwise DDIs included coadministration of nortriptyline with tramadol (13 patients), which may increase the risk of serotonin syndrome and lower the seizure threshold, and concomitant administration of nortriptyline with the QT-prolonging antiemetics ondansetron (7 patients) and domperidone (4 patients), resulting in an additive effect on QT-interval duration. Lorazepam with </w:t>
      </w:r>
      <w:r>
        <w:rPr>
          <w:highlight w:val="yellow"/>
        </w:rPr>
        <w:t>tramadol constituted another major pair (4 patients). Moderate DDIs, such as interactions of nortriptyline with NSAIDs including aceclofenac (11 patients) and diclofenac (9 patients), may increase the risk of upper gastrointestinal bleeding and affect platelet aggregation (Dalton et al., 2003; de Abajo et al., 1999).</w:t>
      </w:r>
    </w:p>
    <w:p w14:paraId="7BD1C529" w14:textId="77777777" w:rsidR="002F6880" w:rsidRPr="00C12BBF" w:rsidRDefault="00000000">
      <w:pPr>
        <w:keepNext/>
        <w:spacing w:before="160" w:after="80"/>
        <w:rPr>
          <w:color w:val="000000" w:themeColor="text1"/>
        </w:rPr>
      </w:pPr>
      <w:r w:rsidRPr="00C12BBF">
        <w:rPr>
          <w:rFonts w:ascii="Times New Roman" w:hAnsi="Times New Roman"/>
          <w:b/>
          <w:color w:val="000000" w:themeColor="text1"/>
        </w:rPr>
        <w:t xml:space="preserve">Table 4: </w:t>
      </w:r>
      <w:r w:rsidR="003D43CC" w:rsidRPr="003D43CC">
        <w:rPr>
          <w:rFonts w:ascii="Times New Roman" w:hAnsi="Times New Roman"/>
          <w:b/>
          <w:color w:val="000000" w:themeColor="text1"/>
        </w:rPr>
        <w:t>Profile and Severity Stratification of Potential Drug–Drug Interactions Involving Psychotropic Regimens</w:t>
      </w:r>
    </w:p>
    <w:tbl>
      <w:tblPr>
        <w:tblW w:w="0" w:type="auto"/>
        <w:jc w:val="center"/>
        <w:tblBorders>
          <w:top w:val="single" w:sz="4" w:space="0" w:color="CCCCCC"/>
          <w:bottom w:val="single" w:sz="4" w:space="0" w:color="CCCCCC"/>
          <w:insideH w:val="single" w:sz="4" w:space="0" w:color="CCCCCC"/>
        </w:tblBorders>
        <w:tblLook w:val="04A0" w:firstRow="1" w:lastRow="0" w:firstColumn="1" w:lastColumn="0" w:noHBand="0" w:noVBand="1"/>
      </w:tblPr>
      <w:tblGrid>
        <w:gridCol w:w="1872"/>
        <w:gridCol w:w="1872"/>
        <w:gridCol w:w="1872"/>
        <w:gridCol w:w="1872"/>
        <w:gridCol w:w="1872"/>
      </w:tblGrid>
      <w:tr w:rsidR="002F6880" w:rsidRPr="00C12BBF" w14:paraId="562DF81D" w14:textId="77777777">
        <w:trPr>
          <w:jc w:val="center"/>
        </w:trPr>
        <w:tc>
          <w:tcPr>
            <w:tcW w:w="1872" w:type="dxa"/>
            <w:shd w:val="clear" w:color="auto" w:fill="E8EEF5"/>
            <w:tcMar>
              <w:top w:w="100" w:type="dxa"/>
              <w:left w:w="120" w:type="dxa"/>
              <w:bottom w:w="100" w:type="dxa"/>
              <w:right w:w="120" w:type="dxa"/>
            </w:tcMar>
          </w:tcPr>
          <w:p w14:paraId="3985AA69" w14:textId="77777777" w:rsidR="002F6880" w:rsidRPr="00C12BBF" w:rsidRDefault="00000000">
            <w:pPr>
              <w:spacing w:after="0"/>
              <w:rPr>
                <w:color w:val="000000" w:themeColor="text1"/>
              </w:rPr>
            </w:pPr>
            <w:r w:rsidRPr="00C12BBF">
              <w:rPr>
                <w:rFonts w:ascii="Times New Roman" w:hAnsi="Times New Roman"/>
                <w:b/>
                <w:color w:val="000000" w:themeColor="text1"/>
                <w:sz w:val="19"/>
              </w:rPr>
              <w:t>Identified Interactive Drug Pair</w:t>
            </w:r>
          </w:p>
        </w:tc>
        <w:tc>
          <w:tcPr>
            <w:tcW w:w="1872" w:type="dxa"/>
            <w:shd w:val="clear" w:color="auto" w:fill="E8EEF5"/>
            <w:tcMar>
              <w:top w:w="100" w:type="dxa"/>
              <w:left w:w="120" w:type="dxa"/>
              <w:bottom w:w="100" w:type="dxa"/>
              <w:right w:w="120" w:type="dxa"/>
            </w:tcMar>
          </w:tcPr>
          <w:p w14:paraId="57E74301"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9"/>
              </w:rPr>
              <w:t>Surgical Wards</w:t>
            </w:r>
            <w:r w:rsidRPr="00C12BBF">
              <w:rPr>
                <w:rFonts w:ascii="Times New Roman" w:hAnsi="Times New Roman"/>
                <w:b/>
                <w:color w:val="000000" w:themeColor="text1"/>
                <w:sz w:val="19"/>
              </w:rPr>
              <w:br/>
              <w:t>(n = 96)</w:t>
            </w:r>
          </w:p>
        </w:tc>
        <w:tc>
          <w:tcPr>
            <w:tcW w:w="1872" w:type="dxa"/>
            <w:shd w:val="clear" w:color="auto" w:fill="E8EEF5"/>
            <w:tcMar>
              <w:top w:w="100" w:type="dxa"/>
              <w:left w:w="120" w:type="dxa"/>
              <w:bottom w:w="100" w:type="dxa"/>
              <w:right w:w="120" w:type="dxa"/>
            </w:tcMar>
          </w:tcPr>
          <w:p w14:paraId="5E02546E"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9"/>
              </w:rPr>
              <w:t>Non-Surgical Wards</w:t>
            </w:r>
            <w:r w:rsidRPr="00C12BBF">
              <w:rPr>
                <w:rFonts w:ascii="Times New Roman" w:hAnsi="Times New Roman"/>
                <w:b/>
                <w:color w:val="000000" w:themeColor="text1"/>
                <w:sz w:val="19"/>
              </w:rPr>
              <w:br/>
              <w:t>(n = 30)</w:t>
            </w:r>
          </w:p>
        </w:tc>
        <w:tc>
          <w:tcPr>
            <w:tcW w:w="1872" w:type="dxa"/>
            <w:shd w:val="clear" w:color="auto" w:fill="E8EEF5"/>
            <w:tcMar>
              <w:top w:w="100" w:type="dxa"/>
              <w:left w:w="120" w:type="dxa"/>
              <w:bottom w:w="100" w:type="dxa"/>
              <w:right w:w="120" w:type="dxa"/>
            </w:tcMar>
          </w:tcPr>
          <w:p w14:paraId="1A6DDC5A"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9"/>
              </w:rPr>
              <w:t>Total DDIs</w:t>
            </w:r>
            <w:r w:rsidRPr="00C12BBF">
              <w:rPr>
                <w:rFonts w:ascii="Times New Roman" w:hAnsi="Times New Roman"/>
                <w:b/>
                <w:color w:val="000000" w:themeColor="text1"/>
                <w:sz w:val="19"/>
              </w:rPr>
              <w:br/>
              <w:t>(N = 126)</w:t>
            </w:r>
          </w:p>
        </w:tc>
        <w:tc>
          <w:tcPr>
            <w:tcW w:w="1872" w:type="dxa"/>
            <w:shd w:val="clear" w:color="auto" w:fill="E8EEF5"/>
            <w:tcMar>
              <w:top w:w="100" w:type="dxa"/>
              <w:left w:w="120" w:type="dxa"/>
              <w:bottom w:w="100" w:type="dxa"/>
              <w:right w:w="120" w:type="dxa"/>
            </w:tcMar>
          </w:tcPr>
          <w:p w14:paraId="03AB1AC0"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9"/>
              </w:rPr>
              <w:t>Clinical Severity &amp; Underlying Mechanism</w:t>
            </w:r>
          </w:p>
        </w:tc>
      </w:tr>
      <w:tr w:rsidR="002F6880" w:rsidRPr="00C12BBF" w14:paraId="04813B7B" w14:textId="77777777">
        <w:trPr>
          <w:jc w:val="center"/>
        </w:trPr>
        <w:tc>
          <w:tcPr>
            <w:tcW w:w="1872" w:type="dxa"/>
            <w:tcMar>
              <w:top w:w="80" w:type="dxa"/>
              <w:left w:w="120" w:type="dxa"/>
              <w:bottom w:w="80" w:type="dxa"/>
              <w:right w:w="120" w:type="dxa"/>
            </w:tcMar>
          </w:tcPr>
          <w:p w14:paraId="3C944B80" w14:textId="77777777" w:rsidR="002F6880" w:rsidRPr="00C12BBF" w:rsidRDefault="00000000">
            <w:pPr>
              <w:spacing w:after="0"/>
              <w:rPr>
                <w:color w:val="000000" w:themeColor="text1"/>
              </w:rPr>
            </w:pPr>
            <w:r w:rsidRPr="00C12BBF">
              <w:rPr>
                <w:rFonts w:ascii="Times New Roman" w:hAnsi="Times New Roman"/>
                <w:color w:val="000000" w:themeColor="text1"/>
                <w:sz w:val="19"/>
              </w:rPr>
              <w:t>Alprazolam + Tramadol</w:t>
            </w:r>
          </w:p>
        </w:tc>
        <w:tc>
          <w:tcPr>
            <w:tcW w:w="1872" w:type="dxa"/>
            <w:tcMar>
              <w:top w:w="80" w:type="dxa"/>
              <w:left w:w="120" w:type="dxa"/>
              <w:bottom w:w="80" w:type="dxa"/>
              <w:right w:w="120" w:type="dxa"/>
            </w:tcMar>
          </w:tcPr>
          <w:p w14:paraId="2021349C"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29</w:t>
            </w:r>
          </w:p>
        </w:tc>
        <w:tc>
          <w:tcPr>
            <w:tcW w:w="1872" w:type="dxa"/>
            <w:tcMar>
              <w:top w:w="80" w:type="dxa"/>
              <w:left w:w="120" w:type="dxa"/>
              <w:bottom w:w="80" w:type="dxa"/>
              <w:right w:w="120" w:type="dxa"/>
            </w:tcMar>
          </w:tcPr>
          <w:p w14:paraId="34EC069C"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5</w:t>
            </w:r>
          </w:p>
        </w:tc>
        <w:tc>
          <w:tcPr>
            <w:tcW w:w="1872" w:type="dxa"/>
            <w:tcMar>
              <w:top w:w="80" w:type="dxa"/>
              <w:left w:w="120" w:type="dxa"/>
              <w:bottom w:w="80" w:type="dxa"/>
              <w:right w:w="120" w:type="dxa"/>
            </w:tcMar>
          </w:tcPr>
          <w:p w14:paraId="5DC66284"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34</w:t>
            </w:r>
          </w:p>
        </w:tc>
        <w:tc>
          <w:tcPr>
            <w:tcW w:w="1872" w:type="dxa"/>
            <w:tcMar>
              <w:top w:w="80" w:type="dxa"/>
              <w:left w:w="120" w:type="dxa"/>
              <w:bottom w:w="80" w:type="dxa"/>
              <w:right w:w="120" w:type="dxa"/>
            </w:tcMar>
          </w:tcPr>
          <w:p w14:paraId="1EBE459C"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Major (Additive CNS / Respiratory Depression Risk)</w:t>
            </w:r>
          </w:p>
        </w:tc>
      </w:tr>
      <w:tr w:rsidR="002F6880" w:rsidRPr="00C12BBF" w14:paraId="68D0872F" w14:textId="77777777">
        <w:trPr>
          <w:jc w:val="center"/>
        </w:trPr>
        <w:tc>
          <w:tcPr>
            <w:tcW w:w="1872" w:type="dxa"/>
            <w:shd w:val="clear" w:color="auto" w:fill="F9FAFC"/>
            <w:tcMar>
              <w:top w:w="80" w:type="dxa"/>
              <w:left w:w="120" w:type="dxa"/>
              <w:bottom w:w="80" w:type="dxa"/>
              <w:right w:w="120" w:type="dxa"/>
            </w:tcMar>
          </w:tcPr>
          <w:p w14:paraId="6CD38DEF" w14:textId="77777777" w:rsidR="002F6880" w:rsidRPr="00C12BBF" w:rsidRDefault="00000000">
            <w:pPr>
              <w:spacing w:after="0"/>
              <w:rPr>
                <w:color w:val="000000" w:themeColor="text1"/>
              </w:rPr>
            </w:pPr>
            <w:r w:rsidRPr="00C12BBF">
              <w:rPr>
                <w:rFonts w:ascii="Times New Roman" w:hAnsi="Times New Roman"/>
                <w:color w:val="000000" w:themeColor="text1"/>
                <w:sz w:val="19"/>
              </w:rPr>
              <w:t>Pregabalin + Tramadol</w:t>
            </w:r>
          </w:p>
        </w:tc>
        <w:tc>
          <w:tcPr>
            <w:tcW w:w="1872" w:type="dxa"/>
            <w:shd w:val="clear" w:color="auto" w:fill="F9FAFC"/>
            <w:tcMar>
              <w:top w:w="80" w:type="dxa"/>
              <w:left w:w="120" w:type="dxa"/>
              <w:bottom w:w="80" w:type="dxa"/>
              <w:right w:w="120" w:type="dxa"/>
            </w:tcMar>
          </w:tcPr>
          <w:p w14:paraId="0AF90922"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16</w:t>
            </w:r>
          </w:p>
        </w:tc>
        <w:tc>
          <w:tcPr>
            <w:tcW w:w="1872" w:type="dxa"/>
            <w:shd w:val="clear" w:color="auto" w:fill="F9FAFC"/>
            <w:tcMar>
              <w:top w:w="80" w:type="dxa"/>
              <w:left w:w="120" w:type="dxa"/>
              <w:bottom w:w="80" w:type="dxa"/>
              <w:right w:w="120" w:type="dxa"/>
            </w:tcMar>
          </w:tcPr>
          <w:p w14:paraId="0EE001D8"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4</w:t>
            </w:r>
          </w:p>
        </w:tc>
        <w:tc>
          <w:tcPr>
            <w:tcW w:w="1872" w:type="dxa"/>
            <w:shd w:val="clear" w:color="auto" w:fill="F9FAFC"/>
            <w:tcMar>
              <w:top w:w="80" w:type="dxa"/>
              <w:left w:w="120" w:type="dxa"/>
              <w:bottom w:w="80" w:type="dxa"/>
              <w:right w:w="120" w:type="dxa"/>
            </w:tcMar>
          </w:tcPr>
          <w:p w14:paraId="42B3808E"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20</w:t>
            </w:r>
          </w:p>
        </w:tc>
        <w:tc>
          <w:tcPr>
            <w:tcW w:w="1872" w:type="dxa"/>
            <w:shd w:val="clear" w:color="auto" w:fill="F9FAFC"/>
            <w:tcMar>
              <w:top w:w="80" w:type="dxa"/>
              <w:left w:w="120" w:type="dxa"/>
              <w:bottom w:w="80" w:type="dxa"/>
              <w:right w:w="120" w:type="dxa"/>
            </w:tcMar>
          </w:tcPr>
          <w:p w14:paraId="7B578D31"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Major (Synergistic CNS Depression &amp; Neurotoxicity Risk)</w:t>
            </w:r>
          </w:p>
        </w:tc>
      </w:tr>
      <w:tr w:rsidR="002F6880" w:rsidRPr="00C12BBF" w14:paraId="03E8AD30" w14:textId="77777777">
        <w:trPr>
          <w:jc w:val="center"/>
        </w:trPr>
        <w:tc>
          <w:tcPr>
            <w:tcW w:w="1872" w:type="dxa"/>
            <w:tcMar>
              <w:top w:w="80" w:type="dxa"/>
              <w:left w:w="120" w:type="dxa"/>
              <w:bottom w:w="80" w:type="dxa"/>
              <w:right w:w="120" w:type="dxa"/>
            </w:tcMar>
          </w:tcPr>
          <w:p w14:paraId="22DF15FB" w14:textId="77777777" w:rsidR="002F6880" w:rsidRPr="00C12BBF" w:rsidRDefault="00000000">
            <w:pPr>
              <w:spacing w:after="0"/>
              <w:rPr>
                <w:color w:val="000000" w:themeColor="text1"/>
              </w:rPr>
            </w:pPr>
            <w:r w:rsidRPr="00C12BBF">
              <w:rPr>
                <w:rFonts w:ascii="Times New Roman" w:hAnsi="Times New Roman"/>
                <w:color w:val="000000" w:themeColor="text1"/>
                <w:sz w:val="19"/>
              </w:rPr>
              <w:t>Nortriptyline + Tramadol</w:t>
            </w:r>
          </w:p>
        </w:tc>
        <w:tc>
          <w:tcPr>
            <w:tcW w:w="1872" w:type="dxa"/>
            <w:tcMar>
              <w:top w:w="80" w:type="dxa"/>
              <w:left w:w="120" w:type="dxa"/>
              <w:bottom w:w="80" w:type="dxa"/>
              <w:right w:w="120" w:type="dxa"/>
            </w:tcMar>
          </w:tcPr>
          <w:p w14:paraId="635AF3FB"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10</w:t>
            </w:r>
          </w:p>
        </w:tc>
        <w:tc>
          <w:tcPr>
            <w:tcW w:w="1872" w:type="dxa"/>
            <w:tcMar>
              <w:top w:w="80" w:type="dxa"/>
              <w:left w:w="120" w:type="dxa"/>
              <w:bottom w:w="80" w:type="dxa"/>
              <w:right w:w="120" w:type="dxa"/>
            </w:tcMar>
          </w:tcPr>
          <w:p w14:paraId="334ECE0F"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3</w:t>
            </w:r>
          </w:p>
        </w:tc>
        <w:tc>
          <w:tcPr>
            <w:tcW w:w="1872" w:type="dxa"/>
            <w:tcMar>
              <w:top w:w="80" w:type="dxa"/>
              <w:left w:w="120" w:type="dxa"/>
              <w:bottom w:w="80" w:type="dxa"/>
              <w:right w:w="120" w:type="dxa"/>
            </w:tcMar>
          </w:tcPr>
          <w:p w14:paraId="7143E22C"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13</w:t>
            </w:r>
          </w:p>
        </w:tc>
        <w:tc>
          <w:tcPr>
            <w:tcW w:w="1872" w:type="dxa"/>
            <w:tcMar>
              <w:top w:w="80" w:type="dxa"/>
              <w:left w:w="120" w:type="dxa"/>
              <w:bottom w:w="80" w:type="dxa"/>
              <w:right w:w="120" w:type="dxa"/>
            </w:tcMar>
          </w:tcPr>
          <w:p w14:paraId="5448B230"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Major (Serotonergic Syndrome Risk &amp; Seizure Predisposition)</w:t>
            </w:r>
          </w:p>
        </w:tc>
      </w:tr>
      <w:tr w:rsidR="002F6880" w:rsidRPr="00C12BBF" w14:paraId="75F85B7F" w14:textId="77777777">
        <w:trPr>
          <w:jc w:val="center"/>
        </w:trPr>
        <w:tc>
          <w:tcPr>
            <w:tcW w:w="1872" w:type="dxa"/>
            <w:shd w:val="clear" w:color="auto" w:fill="F9FAFC"/>
            <w:tcMar>
              <w:top w:w="80" w:type="dxa"/>
              <w:left w:w="120" w:type="dxa"/>
              <w:bottom w:w="80" w:type="dxa"/>
              <w:right w:w="120" w:type="dxa"/>
            </w:tcMar>
          </w:tcPr>
          <w:p w14:paraId="1048C46F" w14:textId="77777777" w:rsidR="002F6880" w:rsidRPr="00C12BBF" w:rsidRDefault="00000000">
            <w:pPr>
              <w:spacing w:after="0"/>
              <w:rPr>
                <w:color w:val="000000" w:themeColor="text1"/>
              </w:rPr>
            </w:pPr>
            <w:r w:rsidRPr="00C12BBF">
              <w:rPr>
                <w:rFonts w:ascii="Times New Roman" w:hAnsi="Times New Roman"/>
                <w:color w:val="000000" w:themeColor="text1"/>
                <w:sz w:val="19"/>
              </w:rPr>
              <w:t>Nortriptyline + Aceclofenac</w:t>
            </w:r>
          </w:p>
        </w:tc>
        <w:tc>
          <w:tcPr>
            <w:tcW w:w="1872" w:type="dxa"/>
            <w:shd w:val="clear" w:color="auto" w:fill="F9FAFC"/>
            <w:tcMar>
              <w:top w:w="80" w:type="dxa"/>
              <w:left w:w="120" w:type="dxa"/>
              <w:bottom w:w="80" w:type="dxa"/>
              <w:right w:w="120" w:type="dxa"/>
            </w:tcMar>
          </w:tcPr>
          <w:p w14:paraId="52A4A06D"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9</w:t>
            </w:r>
          </w:p>
        </w:tc>
        <w:tc>
          <w:tcPr>
            <w:tcW w:w="1872" w:type="dxa"/>
            <w:shd w:val="clear" w:color="auto" w:fill="F9FAFC"/>
            <w:tcMar>
              <w:top w:w="80" w:type="dxa"/>
              <w:left w:w="120" w:type="dxa"/>
              <w:bottom w:w="80" w:type="dxa"/>
              <w:right w:w="120" w:type="dxa"/>
            </w:tcMar>
          </w:tcPr>
          <w:p w14:paraId="10AB6817"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2</w:t>
            </w:r>
          </w:p>
        </w:tc>
        <w:tc>
          <w:tcPr>
            <w:tcW w:w="1872" w:type="dxa"/>
            <w:shd w:val="clear" w:color="auto" w:fill="F9FAFC"/>
            <w:tcMar>
              <w:top w:w="80" w:type="dxa"/>
              <w:left w:w="120" w:type="dxa"/>
              <w:bottom w:w="80" w:type="dxa"/>
              <w:right w:w="120" w:type="dxa"/>
            </w:tcMar>
          </w:tcPr>
          <w:p w14:paraId="1AC502D0"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11</w:t>
            </w:r>
          </w:p>
        </w:tc>
        <w:tc>
          <w:tcPr>
            <w:tcW w:w="1872" w:type="dxa"/>
            <w:shd w:val="clear" w:color="auto" w:fill="F9FAFC"/>
            <w:tcMar>
              <w:top w:w="80" w:type="dxa"/>
              <w:left w:w="120" w:type="dxa"/>
              <w:bottom w:w="80" w:type="dxa"/>
              <w:right w:w="120" w:type="dxa"/>
            </w:tcMar>
          </w:tcPr>
          <w:p w14:paraId="1309B1D8"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Moderate (Gastrointestinal Mucosal Ulceration &amp; Bleeding)</w:t>
            </w:r>
          </w:p>
        </w:tc>
      </w:tr>
      <w:tr w:rsidR="002F6880" w:rsidRPr="00C12BBF" w14:paraId="0C3866C7" w14:textId="77777777">
        <w:trPr>
          <w:jc w:val="center"/>
        </w:trPr>
        <w:tc>
          <w:tcPr>
            <w:tcW w:w="1872" w:type="dxa"/>
            <w:tcMar>
              <w:top w:w="80" w:type="dxa"/>
              <w:left w:w="120" w:type="dxa"/>
              <w:bottom w:w="80" w:type="dxa"/>
              <w:right w:w="120" w:type="dxa"/>
            </w:tcMar>
          </w:tcPr>
          <w:p w14:paraId="53DB0189" w14:textId="77777777" w:rsidR="002F6880" w:rsidRPr="00C12BBF" w:rsidRDefault="00000000">
            <w:pPr>
              <w:spacing w:after="0"/>
              <w:rPr>
                <w:color w:val="000000" w:themeColor="text1"/>
              </w:rPr>
            </w:pPr>
            <w:r w:rsidRPr="00C12BBF">
              <w:rPr>
                <w:rFonts w:ascii="Times New Roman" w:hAnsi="Times New Roman"/>
                <w:color w:val="000000" w:themeColor="text1"/>
                <w:sz w:val="19"/>
              </w:rPr>
              <w:t>Nortriptyline + Diclofenac</w:t>
            </w:r>
          </w:p>
        </w:tc>
        <w:tc>
          <w:tcPr>
            <w:tcW w:w="1872" w:type="dxa"/>
            <w:tcMar>
              <w:top w:w="80" w:type="dxa"/>
              <w:left w:w="120" w:type="dxa"/>
              <w:bottom w:w="80" w:type="dxa"/>
              <w:right w:w="120" w:type="dxa"/>
            </w:tcMar>
          </w:tcPr>
          <w:p w14:paraId="13D6BBEA"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7</w:t>
            </w:r>
          </w:p>
        </w:tc>
        <w:tc>
          <w:tcPr>
            <w:tcW w:w="1872" w:type="dxa"/>
            <w:tcMar>
              <w:top w:w="80" w:type="dxa"/>
              <w:left w:w="120" w:type="dxa"/>
              <w:bottom w:w="80" w:type="dxa"/>
              <w:right w:w="120" w:type="dxa"/>
            </w:tcMar>
          </w:tcPr>
          <w:p w14:paraId="2FF3BD00"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2</w:t>
            </w:r>
          </w:p>
        </w:tc>
        <w:tc>
          <w:tcPr>
            <w:tcW w:w="1872" w:type="dxa"/>
            <w:tcMar>
              <w:top w:w="80" w:type="dxa"/>
              <w:left w:w="120" w:type="dxa"/>
              <w:bottom w:w="80" w:type="dxa"/>
              <w:right w:w="120" w:type="dxa"/>
            </w:tcMar>
          </w:tcPr>
          <w:p w14:paraId="34A67D4C"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9</w:t>
            </w:r>
          </w:p>
        </w:tc>
        <w:tc>
          <w:tcPr>
            <w:tcW w:w="1872" w:type="dxa"/>
            <w:tcMar>
              <w:top w:w="80" w:type="dxa"/>
              <w:left w:w="120" w:type="dxa"/>
              <w:bottom w:w="80" w:type="dxa"/>
              <w:right w:w="120" w:type="dxa"/>
            </w:tcMar>
          </w:tcPr>
          <w:p w14:paraId="72218D58"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Moderate (Antiplatelet Hemostatic Impairment Overlap)</w:t>
            </w:r>
          </w:p>
        </w:tc>
      </w:tr>
      <w:tr w:rsidR="002F6880" w:rsidRPr="00C12BBF" w14:paraId="530BEBE9" w14:textId="77777777">
        <w:trPr>
          <w:jc w:val="center"/>
        </w:trPr>
        <w:tc>
          <w:tcPr>
            <w:tcW w:w="1872" w:type="dxa"/>
            <w:shd w:val="clear" w:color="auto" w:fill="F9FAFC"/>
            <w:tcMar>
              <w:top w:w="80" w:type="dxa"/>
              <w:left w:w="120" w:type="dxa"/>
              <w:bottom w:w="80" w:type="dxa"/>
              <w:right w:w="120" w:type="dxa"/>
            </w:tcMar>
          </w:tcPr>
          <w:p w14:paraId="6ACB92DE" w14:textId="77777777" w:rsidR="002F6880" w:rsidRPr="00C12BBF" w:rsidRDefault="00000000">
            <w:pPr>
              <w:spacing w:after="0"/>
              <w:rPr>
                <w:color w:val="000000" w:themeColor="text1"/>
              </w:rPr>
            </w:pPr>
            <w:r w:rsidRPr="00C12BBF">
              <w:rPr>
                <w:rFonts w:ascii="Times New Roman" w:hAnsi="Times New Roman"/>
                <w:color w:val="000000" w:themeColor="text1"/>
                <w:sz w:val="19"/>
              </w:rPr>
              <w:t>Nortriptyline + Ondansetron</w:t>
            </w:r>
          </w:p>
        </w:tc>
        <w:tc>
          <w:tcPr>
            <w:tcW w:w="1872" w:type="dxa"/>
            <w:shd w:val="clear" w:color="auto" w:fill="F9FAFC"/>
            <w:tcMar>
              <w:top w:w="80" w:type="dxa"/>
              <w:left w:w="120" w:type="dxa"/>
              <w:bottom w:w="80" w:type="dxa"/>
              <w:right w:w="120" w:type="dxa"/>
            </w:tcMar>
          </w:tcPr>
          <w:p w14:paraId="1ECE3FCB"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6</w:t>
            </w:r>
          </w:p>
        </w:tc>
        <w:tc>
          <w:tcPr>
            <w:tcW w:w="1872" w:type="dxa"/>
            <w:shd w:val="clear" w:color="auto" w:fill="F9FAFC"/>
            <w:tcMar>
              <w:top w:w="80" w:type="dxa"/>
              <w:left w:w="120" w:type="dxa"/>
              <w:bottom w:w="80" w:type="dxa"/>
              <w:right w:w="120" w:type="dxa"/>
            </w:tcMar>
          </w:tcPr>
          <w:p w14:paraId="69720D02"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1</w:t>
            </w:r>
          </w:p>
        </w:tc>
        <w:tc>
          <w:tcPr>
            <w:tcW w:w="1872" w:type="dxa"/>
            <w:shd w:val="clear" w:color="auto" w:fill="F9FAFC"/>
            <w:tcMar>
              <w:top w:w="80" w:type="dxa"/>
              <w:left w:w="120" w:type="dxa"/>
              <w:bottom w:w="80" w:type="dxa"/>
              <w:right w:w="120" w:type="dxa"/>
            </w:tcMar>
          </w:tcPr>
          <w:p w14:paraId="576A03C1"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7</w:t>
            </w:r>
          </w:p>
        </w:tc>
        <w:tc>
          <w:tcPr>
            <w:tcW w:w="1872" w:type="dxa"/>
            <w:shd w:val="clear" w:color="auto" w:fill="F9FAFC"/>
            <w:tcMar>
              <w:top w:w="80" w:type="dxa"/>
              <w:left w:w="120" w:type="dxa"/>
              <w:bottom w:w="80" w:type="dxa"/>
              <w:right w:w="120" w:type="dxa"/>
            </w:tcMar>
          </w:tcPr>
          <w:p w14:paraId="191EF0E3"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Major (Additive QTc Prolongation &amp; TdP Arrhythmia Risk)</w:t>
            </w:r>
          </w:p>
        </w:tc>
      </w:tr>
      <w:tr w:rsidR="002F6880" w:rsidRPr="00C12BBF" w14:paraId="6A37B0DB" w14:textId="77777777">
        <w:trPr>
          <w:jc w:val="center"/>
        </w:trPr>
        <w:tc>
          <w:tcPr>
            <w:tcW w:w="1872" w:type="dxa"/>
            <w:tcMar>
              <w:top w:w="80" w:type="dxa"/>
              <w:left w:w="120" w:type="dxa"/>
              <w:bottom w:w="80" w:type="dxa"/>
              <w:right w:w="120" w:type="dxa"/>
            </w:tcMar>
          </w:tcPr>
          <w:p w14:paraId="0B66335F" w14:textId="77777777" w:rsidR="002F6880" w:rsidRPr="00C12BBF" w:rsidRDefault="00000000">
            <w:pPr>
              <w:spacing w:after="0"/>
              <w:rPr>
                <w:color w:val="000000" w:themeColor="text1"/>
              </w:rPr>
            </w:pPr>
            <w:r w:rsidRPr="00C12BBF">
              <w:rPr>
                <w:rFonts w:ascii="Times New Roman" w:hAnsi="Times New Roman"/>
                <w:color w:val="000000" w:themeColor="text1"/>
                <w:sz w:val="19"/>
              </w:rPr>
              <w:t>Nortriptyline + Domperidone</w:t>
            </w:r>
          </w:p>
        </w:tc>
        <w:tc>
          <w:tcPr>
            <w:tcW w:w="1872" w:type="dxa"/>
            <w:tcMar>
              <w:top w:w="80" w:type="dxa"/>
              <w:left w:w="120" w:type="dxa"/>
              <w:bottom w:w="80" w:type="dxa"/>
              <w:right w:w="120" w:type="dxa"/>
            </w:tcMar>
          </w:tcPr>
          <w:p w14:paraId="6ACD824D"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3</w:t>
            </w:r>
          </w:p>
        </w:tc>
        <w:tc>
          <w:tcPr>
            <w:tcW w:w="1872" w:type="dxa"/>
            <w:tcMar>
              <w:top w:w="80" w:type="dxa"/>
              <w:left w:w="120" w:type="dxa"/>
              <w:bottom w:w="80" w:type="dxa"/>
              <w:right w:w="120" w:type="dxa"/>
            </w:tcMar>
          </w:tcPr>
          <w:p w14:paraId="690CA60D"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1</w:t>
            </w:r>
          </w:p>
        </w:tc>
        <w:tc>
          <w:tcPr>
            <w:tcW w:w="1872" w:type="dxa"/>
            <w:tcMar>
              <w:top w:w="80" w:type="dxa"/>
              <w:left w:w="120" w:type="dxa"/>
              <w:bottom w:w="80" w:type="dxa"/>
              <w:right w:w="120" w:type="dxa"/>
            </w:tcMar>
          </w:tcPr>
          <w:p w14:paraId="254B3816"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4</w:t>
            </w:r>
          </w:p>
        </w:tc>
        <w:tc>
          <w:tcPr>
            <w:tcW w:w="1872" w:type="dxa"/>
            <w:tcMar>
              <w:top w:w="80" w:type="dxa"/>
              <w:left w:w="120" w:type="dxa"/>
              <w:bottom w:w="80" w:type="dxa"/>
              <w:right w:w="120" w:type="dxa"/>
            </w:tcMar>
          </w:tcPr>
          <w:p w14:paraId="51B36507"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Major (Additive Ventricular Proarrhythmic Risk)</w:t>
            </w:r>
          </w:p>
        </w:tc>
      </w:tr>
      <w:tr w:rsidR="002F6880" w:rsidRPr="00C12BBF" w14:paraId="6F05F588" w14:textId="77777777">
        <w:trPr>
          <w:jc w:val="center"/>
        </w:trPr>
        <w:tc>
          <w:tcPr>
            <w:tcW w:w="1872" w:type="dxa"/>
            <w:shd w:val="clear" w:color="auto" w:fill="F9FAFC"/>
            <w:tcMar>
              <w:top w:w="80" w:type="dxa"/>
              <w:left w:w="120" w:type="dxa"/>
              <w:bottom w:w="80" w:type="dxa"/>
              <w:right w:w="120" w:type="dxa"/>
            </w:tcMar>
          </w:tcPr>
          <w:p w14:paraId="7588B04D" w14:textId="77777777" w:rsidR="002F6880" w:rsidRPr="00C12BBF" w:rsidRDefault="00000000">
            <w:pPr>
              <w:spacing w:after="0"/>
              <w:rPr>
                <w:color w:val="000000" w:themeColor="text1"/>
              </w:rPr>
            </w:pPr>
            <w:r w:rsidRPr="00C12BBF">
              <w:rPr>
                <w:rFonts w:ascii="Times New Roman" w:hAnsi="Times New Roman"/>
                <w:color w:val="000000" w:themeColor="text1"/>
                <w:sz w:val="19"/>
              </w:rPr>
              <w:t>Lorazepam + Tramadol</w:t>
            </w:r>
          </w:p>
        </w:tc>
        <w:tc>
          <w:tcPr>
            <w:tcW w:w="1872" w:type="dxa"/>
            <w:shd w:val="clear" w:color="auto" w:fill="F9FAFC"/>
            <w:tcMar>
              <w:top w:w="80" w:type="dxa"/>
              <w:left w:w="120" w:type="dxa"/>
              <w:bottom w:w="80" w:type="dxa"/>
              <w:right w:w="120" w:type="dxa"/>
            </w:tcMar>
          </w:tcPr>
          <w:p w14:paraId="17E065A6"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3</w:t>
            </w:r>
          </w:p>
        </w:tc>
        <w:tc>
          <w:tcPr>
            <w:tcW w:w="1872" w:type="dxa"/>
            <w:shd w:val="clear" w:color="auto" w:fill="F9FAFC"/>
            <w:tcMar>
              <w:top w:w="80" w:type="dxa"/>
              <w:left w:w="120" w:type="dxa"/>
              <w:bottom w:w="80" w:type="dxa"/>
              <w:right w:w="120" w:type="dxa"/>
            </w:tcMar>
          </w:tcPr>
          <w:p w14:paraId="16A84588"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1</w:t>
            </w:r>
          </w:p>
        </w:tc>
        <w:tc>
          <w:tcPr>
            <w:tcW w:w="1872" w:type="dxa"/>
            <w:shd w:val="clear" w:color="auto" w:fill="F9FAFC"/>
            <w:tcMar>
              <w:top w:w="80" w:type="dxa"/>
              <w:left w:w="120" w:type="dxa"/>
              <w:bottom w:w="80" w:type="dxa"/>
              <w:right w:w="120" w:type="dxa"/>
            </w:tcMar>
          </w:tcPr>
          <w:p w14:paraId="50803D09"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4</w:t>
            </w:r>
          </w:p>
        </w:tc>
        <w:tc>
          <w:tcPr>
            <w:tcW w:w="1872" w:type="dxa"/>
            <w:shd w:val="clear" w:color="auto" w:fill="F9FAFC"/>
            <w:tcMar>
              <w:top w:w="80" w:type="dxa"/>
              <w:left w:w="120" w:type="dxa"/>
              <w:bottom w:w="80" w:type="dxa"/>
              <w:right w:w="120" w:type="dxa"/>
            </w:tcMar>
          </w:tcPr>
          <w:p w14:paraId="62B258CF"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Major (Synergistic Sedation &amp; CNS Depression)</w:t>
            </w:r>
          </w:p>
        </w:tc>
      </w:tr>
      <w:tr w:rsidR="002F6880" w:rsidRPr="00C12BBF" w14:paraId="26ED7E9B" w14:textId="77777777">
        <w:trPr>
          <w:jc w:val="center"/>
        </w:trPr>
        <w:tc>
          <w:tcPr>
            <w:tcW w:w="1872" w:type="dxa"/>
            <w:tcMar>
              <w:top w:w="80" w:type="dxa"/>
              <w:left w:w="120" w:type="dxa"/>
              <w:bottom w:w="80" w:type="dxa"/>
              <w:right w:w="120" w:type="dxa"/>
            </w:tcMar>
          </w:tcPr>
          <w:p w14:paraId="52A957AB" w14:textId="77777777" w:rsidR="002F6880" w:rsidRPr="00C12BBF" w:rsidRDefault="00000000">
            <w:pPr>
              <w:spacing w:after="0"/>
              <w:rPr>
                <w:color w:val="000000" w:themeColor="text1"/>
              </w:rPr>
            </w:pPr>
            <w:r w:rsidRPr="00C12BBF">
              <w:rPr>
                <w:rFonts w:ascii="Times New Roman" w:hAnsi="Times New Roman"/>
                <w:color w:val="000000" w:themeColor="text1"/>
                <w:sz w:val="19"/>
              </w:rPr>
              <w:t>Other Miscellaneous Pairs</w:t>
            </w:r>
          </w:p>
        </w:tc>
        <w:tc>
          <w:tcPr>
            <w:tcW w:w="1872" w:type="dxa"/>
            <w:tcMar>
              <w:top w:w="80" w:type="dxa"/>
              <w:left w:w="120" w:type="dxa"/>
              <w:bottom w:w="80" w:type="dxa"/>
              <w:right w:w="120" w:type="dxa"/>
            </w:tcMar>
          </w:tcPr>
          <w:p w14:paraId="45951F4D"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18</w:t>
            </w:r>
          </w:p>
        </w:tc>
        <w:tc>
          <w:tcPr>
            <w:tcW w:w="1872" w:type="dxa"/>
            <w:tcMar>
              <w:top w:w="80" w:type="dxa"/>
              <w:left w:w="120" w:type="dxa"/>
              <w:bottom w:w="80" w:type="dxa"/>
              <w:right w:w="120" w:type="dxa"/>
            </w:tcMar>
          </w:tcPr>
          <w:p w14:paraId="04DEA132"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6</w:t>
            </w:r>
          </w:p>
        </w:tc>
        <w:tc>
          <w:tcPr>
            <w:tcW w:w="1872" w:type="dxa"/>
            <w:tcMar>
              <w:top w:w="80" w:type="dxa"/>
              <w:left w:w="120" w:type="dxa"/>
              <w:bottom w:w="80" w:type="dxa"/>
              <w:right w:w="120" w:type="dxa"/>
            </w:tcMar>
          </w:tcPr>
          <w:p w14:paraId="6BDAB4EE"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24</w:t>
            </w:r>
          </w:p>
        </w:tc>
        <w:tc>
          <w:tcPr>
            <w:tcW w:w="1872" w:type="dxa"/>
            <w:tcMar>
              <w:top w:w="80" w:type="dxa"/>
              <w:left w:w="120" w:type="dxa"/>
              <w:bottom w:w="80" w:type="dxa"/>
              <w:right w:w="120" w:type="dxa"/>
            </w:tcMar>
          </w:tcPr>
          <w:p w14:paraId="405C1063"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9"/>
              </w:rPr>
              <w:t>Mild to Moderate Severity Tiers</w:t>
            </w:r>
          </w:p>
        </w:tc>
      </w:tr>
      <w:tr w:rsidR="002F6880" w:rsidRPr="00C12BBF" w14:paraId="02682BC6" w14:textId="77777777">
        <w:trPr>
          <w:jc w:val="center"/>
        </w:trPr>
        <w:tc>
          <w:tcPr>
            <w:tcW w:w="1872" w:type="dxa"/>
            <w:shd w:val="clear" w:color="auto" w:fill="F9FAFC"/>
            <w:tcMar>
              <w:top w:w="80" w:type="dxa"/>
              <w:left w:w="120" w:type="dxa"/>
              <w:bottom w:w="80" w:type="dxa"/>
              <w:right w:w="120" w:type="dxa"/>
            </w:tcMar>
          </w:tcPr>
          <w:p w14:paraId="001ED595" w14:textId="77777777" w:rsidR="002F6880" w:rsidRPr="00C12BBF" w:rsidRDefault="00000000">
            <w:pPr>
              <w:spacing w:after="0"/>
              <w:rPr>
                <w:color w:val="000000" w:themeColor="text1"/>
              </w:rPr>
            </w:pPr>
            <w:r w:rsidRPr="00C12BBF">
              <w:rPr>
                <w:rFonts w:ascii="Times New Roman" w:hAnsi="Times New Roman"/>
                <w:b/>
                <w:color w:val="000000" w:themeColor="text1"/>
                <w:sz w:val="19"/>
              </w:rPr>
              <w:t>Cumulative Interaction Count</w:t>
            </w:r>
          </w:p>
        </w:tc>
        <w:tc>
          <w:tcPr>
            <w:tcW w:w="1872" w:type="dxa"/>
            <w:shd w:val="clear" w:color="auto" w:fill="F9FAFC"/>
            <w:tcMar>
              <w:top w:w="80" w:type="dxa"/>
              <w:left w:w="120" w:type="dxa"/>
              <w:bottom w:w="80" w:type="dxa"/>
              <w:right w:w="120" w:type="dxa"/>
            </w:tcMar>
          </w:tcPr>
          <w:p w14:paraId="39F45D5E"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9"/>
              </w:rPr>
              <w:t>96</w:t>
            </w:r>
          </w:p>
        </w:tc>
        <w:tc>
          <w:tcPr>
            <w:tcW w:w="1872" w:type="dxa"/>
            <w:shd w:val="clear" w:color="auto" w:fill="F9FAFC"/>
            <w:tcMar>
              <w:top w:w="80" w:type="dxa"/>
              <w:left w:w="120" w:type="dxa"/>
              <w:bottom w:w="80" w:type="dxa"/>
              <w:right w:w="120" w:type="dxa"/>
            </w:tcMar>
          </w:tcPr>
          <w:p w14:paraId="6EAEA761"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9"/>
              </w:rPr>
              <w:t>30</w:t>
            </w:r>
          </w:p>
        </w:tc>
        <w:tc>
          <w:tcPr>
            <w:tcW w:w="1872" w:type="dxa"/>
            <w:shd w:val="clear" w:color="auto" w:fill="F9FAFC"/>
            <w:tcMar>
              <w:top w:w="80" w:type="dxa"/>
              <w:left w:w="120" w:type="dxa"/>
              <w:bottom w:w="80" w:type="dxa"/>
              <w:right w:w="120" w:type="dxa"/>
            </w:tcMar>
          </w:tcPr>
          <w:p w14:paraId="3D58205C"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9"/>
              </w:rPr>
              <w:t>126</w:t>
            </w:r>
          </w:p>
        </w:tc>
        <w:tc>
          <w:tcPr>
            <w:tcW w:w="1872" w:type="dxa"/>
            <w:shd w:val="clear" w:color="auto" w:fill="F9FAFC"/>
            <w:tcMar>
              <w:top w:w="80" w:type="dxa"/>
              <w:left w:w="120" w:type="dxa"/>
              <w:bottom w:w="80" w:type="dxa"/>
              <w:right w:w="120" w:type="dxa"/>
            </w:tcMar>
          </w:tcPr>
          <w:p w14:paraId="78DE4774"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9"/>
              </w:rPr>
              <w:t>Major: 96 (76.2%) | Moderate: 30 (23.8%)</w:t>
            </w:r>
          </w:p>
        </w:tc>
      </w:tr>
    </w:tbl>
    <w:p w14:paraId="7163FD81" w14:textId="77777777" w:rsidR="002F6880" w:rsidRPr="00C12BBF" w:rsidRDefault="00000000">
      <w:pPr>
        <w:spacing w:before="40" w:after="160"/>
        <w:rPr>
          <w:color w:val="000000" w:themeColor="text1"/>
        </w:rPr>
      </w:pPr>
      <w:r w:rsidRPr="00C12BBF">
        <w:rPr>
          <w:rFonts w:ascii="Times New Roman" w:hAnsi="Times New Roman"/>
          <w:i/>
          <w:color w:val="000000" w:themeColor="text1"/>
          <w:sz w:val="17"/>
        </w:rPr>
        <w:lastRenderedPageBreak/>
        <w:t>CNS: Central Nervous System; TdP: Torsades de Pointes. Severity grading determined using Lexicomp Online and Medscape Reference drug interaction databases.</w:t>
      </w:r>
    </w:p>
    <w:p w14:paraId="24012F02" w14:textId="77777777" w:rsidR="002F6880" w:rsidRPr="00C12BBF" w:rsidRDefault="00000000">
      <w:pPr>
        <w:keepNext/>
        <w:spacing w:before="160" w:after="40"/>
        <w:rPr>
          <w:color w:val="000000" w:themeColor="text1"/>
        </w:rPr>
      </w:pPr>
      <w:r w:rsidRPr="00C12BBF">
        <w:rPr>
          <w:rFonts w:ascii="Times New Roman" w:hAnsi="Times New Roman"/>
          <w:b/>
          <w:i/>
          <w:color w:val="000000" w:themeColor="text1"/>
        </w:rPr>
        <w:t>3.5 Characterization of Observed Adverse Drug Reactions (ADRs)</w:t>
      </w:r>
    </w:p>
    <w:p w14:paraId="5C7534EB" w14:textId="77777777" w:rsidR="00AF0478" w:rsidRDefault="00AF0478" w:rsidP="00AF0478">
      <w:pPr>
        <w:spacing w:after="80"/>
        <w:rPr>
          <w:rFonts w:ascii="Times New Roman" w:hAnsi="Times New Roman"/>
          <w:color w:val="000000" w:themeColor="text1"/>
          <w:lang w:val="en-IN"/>
        </w:rPr>
      </w:pPr>
      <w:r>
        <w:rPr>
          <w:highlight w:val="yellow"/>
        </w:rPr>
        <w:t>During the prospective observational period, six clinically apparent adverse drug reactions (ADRs) were detected among the 110 hospitalised patients, corresponding to an ADR incidence of 5.5%. Using the Naranjo Probability Scale, causality attributed to the suspected drug was classified as 'probable' (Naranjo score 5-8) for 50.0% of ADRs (n = 3) and 'possible' (Naranjo score 1-4) for the remaining 50.0% (n = 3). Definite causality was not assigned because rechallenge with the suspected drug was not performed in acute inpatients.</w:t>
      </w:r>
    </w:p>
    <w:p w14:paraId="177C095E" w14:textId="77777777" w:rsidR="00AF0478" w:rsidRPr="00AF0478" w:rsidRDefault="00AF0478" w:rsidP="00AF0478">
      <w:pPr>
        <w:spacing w:after="80"/>
        <w:rPr>
          <w:rFonts w:ascii="Times New Roman" w:hAnsi="Times New Roman"/>
          <w:color w:val="000000" w:themeColor="text1"/>
          <w:lang w:val="en-IN"/>
        </w:rPr>
      </w:pPr>
      <w:r>
        <w:rPr>
          <w:highlight w:val="yellow"/>
        </w:rPr>
        <w:t>The most common ADR was excessive sedation following alprazolam therapy, which constituted 50.0% (n = 3/6) of all documented ADRs. The ADR occurred in two surgical-ward patients (one of whom also received tramadol with alprazolam) and one medical-ward patient (who also received tramadol with alprazolam). One patient receiving pregabalin experienced severe dizziness and daytime somnolence in a general medical ward (16.7%, n = 1/6). Two ADRs were attributed to the anticholinergic effects of nortriptyline: marked dry mouth (xerostomia) in one patient (16.7%, n = 1/6) and constipation in another (16.7%, n = 1/6). All detected ADRs resolved after clinical pharmacist recommendations led to dose reduction, discontinuation, or drug substitution, and all resolved without sequelae. The suspected drugs, clinical manifestations, Naranjo scores, and outcomes of the observed ADRs are presented in Table 5.</w:t>
      </w:r>
    </w:p>
    <w:p w14:paraId="0C802781" w14:textId="77777777" w:rsidR="00AF0478" w:rsidRPr="00AF0478" w:rsidRDefault="00AF0478" w:rsidP="00AF0478">
      <w:pPr>
        <w:spacing w:after="80"/>
        <w:rPr>
          <w:rFonts w:ascii="Times New Roman" w:hAnsi="Times New Roman"/>
          <w:color w:val="000000" w:themeColor="text1"/>
          <w:lang w:val="en-IN"/>
        </w:rPr>
      </w:pPr>
    </w:p>
    <w:p w14:paraId="2B7836DD" w14:textId="77777777" w:rsidR="002F6880" w:rsidRPr="00C12BBF" w:rsidRDefault="00000000">
      <w:pPr>
        <w:keepNext/>
        <w:spacing w:before="160" w:after="80"/>
        <w:rPr>
          <w:color w:val="000000" w:themeColor="text1"/>
        </w:rPr>
      </w:pPr>
      <w:r w:rsidRPr="00C12BBF">
        <w:rPr>
          <w:rFonts w:ascii="Times New Roman" w:hAnsi="Times New Roman"/>
          <w:b/>
          <w:color w:val="000000" w:themeColor="text1"/>
        </w:rPr>
        <w:t xml:space="preserve">Table 5: </w:t>
      </w:r>
      <w:r w:rsidR="003D43CC" w:rsidRPr="003D43CC">
        <w:rPr>
          <w:rFonts w:ascii="Times New Roman" w:hAnsi="Times New Roman"/>
          <w:b/>
          <w:color w:val="000000" w:themeColor="text1"/>
        </w:rPr>
        <w:t>Incidence, Clinical Manifestations, and Naranjo Causality Assessment of Documented Adverse Drug Reactions</w:t>
      </w:r>
    </w:p>
    <w:tbl>
      <w:tblPr>
        <w:tblW w:w="0" w:type="auto"/>
        <w:jc w:val="center"/>
        <w:tblBorders>
          <w:top w:val="single" w:sz="4" w:space="0" w:color="CCCCCC"/>
          <w:bottom w:val="single" w:sz="4" w:space="0" w:color="CCCCCC"/>
          <w:insideH w:val="single" w:sz="4" w:space="0" w:color="CCCCCC"/>
        </w:tblBorders>
        <w:tblLook w:val="04A0" w:firstRow="1" w:lastRow="0" w:firstColumn="1" w:lastColumn="0" w:noHBand="0" w:noVBand="1"/>
      </w:tblPr>
      <w:tblGrid>
        <w:gridCol w:w="1337"/>
        <w:gridCol w:w="1337"/>
        <w:gridCol w:w="1337"/>
        <w:gridCol w:w="1337"/>
        <w:gridCol w:w="1337"/>
        <w:gridCol w:w="1337"/>
        <w:gridCol w:w="1337"/>
      </w:tblGrid>
      <w:tr w:rsidR="002F6880" w:rsidRPr="00C12BBF" w14:paraId="6E6F51C9" w14:textId="77777777">
        <w:trPr>
          <w:jc w:val="center"/>
        </w:trPr>
        <w:tc>
          <w:tcPr>
            <w:tcW w:w="1337" w:type="dxa"/>
            <w:shd w:val="clear" w:color="auto" w:fill="E8EEF5"/>
            <w:tcMar>
              <w:top w:w="100" w:type="dxa"/>
              <w:left w:w="120" w:type="dxa"/>
              <w:bottom w:w="100" w:type="dxa"/>
              <w:right w:w="120" w:type="dxa"/>
            </w:tcMar>
          </w:tcPr>
          <w:p w14:paraId="3DDD7C33" w14:textId="77777777" w:rsidR="002F6880" w:rsidRPr="00C12BBF" w:rsidRDefault="00000000">
            <w:pPr>
              <w:spacing w:after="0"/>
              <w:rPr>
                <w:color w:val="000000" w:themeColor="text1"/>
              </w:rPr>
            </w:pPr>
            <w:r w:rsidRPr="00C12BBF">
              <w:rPr>
                <w:rFonts w:ascii="Times New Roman" w:hAnsi="Times New Roman"/>
                <w:b/>
                <w:color w:val="000000" w:themeColor="text1"/>
                <w:sz w:val="18"/>
              </w:rPr>
              <w:t>Adverse Reaction</w:t>
            </w:r>
          </w:p>
        </w:tc>
        <w:tc>
          <w:tcPr>
            <w:tcW w:w="1337" w:type="dxa"/>
            <w:shd w:val="clear" w:color="auto" w:fill="E8EEF5"/>
            <w:tcMar>
              <w:top w:w="100" w:type="dxa"/>
              <w:left w:w="120" w:type="dxa"/>
              <w:bottom w:w="100" w:type="dxa"/>
              <w:right w:w="120" w:type="dxa"/>
            </w:tcMar>
          </w:tcPr>
          <w:p w14:paraId="74F2880A"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8"/>
              </w:rPr>
              <w:t>Suspected Drug</w:t>
            </w:r>
          </w:p>
        </w:tc>
        <w:tc>
          <w:tcPr>
            <w:tcW w:w="1337" w:type="dxa"/>
            <w:shd w:val="clear" w:color="auto" w:fill="E8EEF5"/>
            <w:tcMar>
              <w:top w:w="100" w:type="dxa"/>
              <w:left w:w="120" w:type="dxa"/>
              <w:bottom w:w="100" w:type="dxa"/>
              <w:right w:w="120" w:type="dxa"/>
            </w:tcMar>
          </w:tcPr>
          <w:p w14:paraId="1759EDD5"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8"/>
              </w:rPr>
              <w:t>Department</w:t>
            </w:r>
          </w:p>
        </w:tc>
        <w:tc>
          <w:tcPr>
            <w:tcW w:w="1337" w:type="dxa"/>
            <w:shd w:val="clear" w:color="auto" w:fill="E8EEF5"/>
            <w:tcMar>
              <w:top w:w="100" w:type="dxa"/>
              <w:left w:w="120" w:type="dxa"/>
              <w:bottom w:w="100" w:type="dxa"/>
              <w:right w:w="120" w:type="dxa"/>
            </w:tcMar>
          </w:tcPr>
          <w:p w14:paraId="7005C424"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8"/>
              </w:rPr>
              <w:t>Number of Events (n, %)</w:t>
            </w:r>
          </w:p>
        </w:tc>
        <w:tc>
          <w:tcPr>
            <w:tcW w:w="1337" w:type="dxa"/>
            <w:shd w:val="clear" w:color="auto" w:fill="E8EEF5"/>
            <w:tcMar>
              <w:top w:w="100" w:type="dxa"/>
              <w:left w:w="120" w:type="dxa"/>
              <w:bottom w:w="100" w:type="dxa"/>
              <w:right w:w="120" w:type="dxa"/>
            </w:tcMar>
          </w:tcPr>
          <w:p w14:paraId="28428906"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8"/>
              </w:rPr>
              <w:t>Naranjo Score</w:t>
            </w:r>
          </w:p>
        </w:tc>
        <w:tc>
          <w:tcPr>
            <w:tcW w:w="1337" w:type="dxa"/>
            <w:shd w:val="clear" w:color="auto" w:fill="E8EEF5"/>
            <w:tcMar>
              <w:top w:w="100" w:type="dxa"/>
              <w:left w:w="120" w:type="dxa"/>
              <w:bottom w:w="100" w:type="dxa"/>
              <w:right w:w="120" w:type="dxa"/>
            </w:tcMar>
          </w:tcPr>
          <w:p w14:paraId="1B8F6D0B"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8"/>
              </w:rPr>
              <w:t>Naranjo Causality Category</w:t>
            </w:r>
          </w:p>
        </w:tc>
        <w:tc>
          <w:tcPr>
            <w:tcW w:w="1337" w:type="dxa"/>
            <w:shd w:val="clear" w:color="auto" w:fill="E8EEF5"/>
            <w:tcMar>
              <w:top w:w="100" w:type="dxa"/>
              <w:left w:w="120" w:type="dxa"/>
              <w:bottom w:w="100" w:type="dxa"/>
              <w:right w:w="120" w:type="dxa"/>
            </w:tcMar>
          </w:tcPr>
          <w:p w14:paraId="68570BDF" w14:textId="77777777" w:rsidR="002F6880" w:rsidRPr="00C12BBF" w:rsidRDefault="00000000">
            <w:pPr>
              <w:spacing w:after="0"/>
              <w:rPr>
                <w:color w:val="000000" w:themeColor="text1"/>
              </w:rPr>
            </w:pPr>
            <w:r w:rsidRPr="00C12BBF">
              <w:rPr>
                <w:rFonts w:ascii="Times New Roman" w:hAnsi="Times New Roman"/>
                <w:b/>
                <w:color w:val="000000" w:themeColor="text1"/>
                <w:sz w:val="18"/>
              </w:rPr>
              <w:t>Management &amp; Clinical Outcome</w:t>
            </w:r>
          </w:p>
        </w:tc>
      </w:tr>
      <w:tr w:rsidR="002F6880" w:rsidRPr="00C12BBF" w14:paraId="76D9A71F" w14:textId="77777777">
        <w:trPr>
          <w:jc w:val="center"/>
        </w:trPr>
        <w:tc>
          <w:tcPr>
            <w:tcW w:w="1337" w:type="dxa"/>
            <w:tcMar>
              <w:top w:w="80" w:type="dxa"/>
              <w:left w:w="120" w:type="dxa"/>
              <w:bottom w:w="80" w:type="dxa"/>
              <w:right w:w="120" w:type="dxa"/>
            </w:tcMar>
          </w:tcPr>
          <w:p w14:paraId="3FA17BD0" w14:textId="77777777" w:rsidR="002F6880" w:rsidRPr="00C12BBF" w:rsidRDefault="00000000">
            <w:pPr>
              <w:spacing w:after="0"/>
              <w:rPr>
                <w:color w:val="000000" w:themeColor="text1"/>
              </w:rPr>
            </w:pPr>
            <w:r w:rsidRPr="00C12BBF">
              <w:rPr>
                <w:rFonts w:ascii="Times New Roman" w:hAnsi="Times New Roman"/>
                <w:color w:val="000000" w:themeColor="text1"/>
                <w:sz w:val="18"/>
              </w:rPr>
              <w:t>Excessive Sedation</w:t>
            </w:r>
          </w:p>
        </w:tc>
        <w:tc>
          <w:tcPr>
            <w:tcW w:w="1337" w:type="dxa"/>
            <w:tcMar>
              <w:top w:w="80" w:type="dxa"/>
              <w:left w:w="120" w:type="dxa"/>
              <w:bottom w:w="80" w:type="dxa"/>
              <w:right w:w="120" w:type="dxa"/>
            </w:tcMar>
          </w:tcPr>
          <w:p w14:paraId="3117B4B4"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8"/>
              </w:rPr>
              <w:t>Alprazolam</w:t>
            </w:r>
          </w:p>
        </w:tc>
        <w:tc>
          <w:tcPr>
            <w:tcW w:w="1337" w:type="dxa"/>
            <w:tcMar>
              <w:top w:w="80" w:type="dxa"/>
              <w:left w:w="120" w:type="dxa"/>
              <w:bottom w:w="80" w:type="dxa"/>
              <w:right w:w="120" w:type="dxa"/>
            </w:tcMar>
          </w:tcPr>
          <w:p w14:paraId="757C2492"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8"/>
              </w:rPr>
              <w:t>Surgical (n=2)</w:t>
            </w:r>
            <w:r w:rsidRPr="00C12BBF">
              <w:rPr>
                <w:rFonts w:ascii="Times New Roman" w:hAnsi="Times New Roman"/>
                <w:color w:val="000000" w:themeColor="text1"/>
                <w:sz w:val="18"/>
              </w:rPr>
              <w:br/>
              <w:t>Non-Surg (n=1)</w:t>
            </w:r>
          </w:p>
        </w:tc>
        <w:tc>
          <w:tcPr>
            <w:tcW w:w="1337" w:type="dxa"/>
            <w:tcMar>
              <w:top w:w="80" w:type="dxa"/>
              <w:left w:w="120" w:type="dxa"/>
              <w:bottom w:w="80" w:type="dxa"/>
              <w:right w:w="120" w:type="dxa"/>
            </w:tcMar>
          </w:tcPr>
          <w:p w14:paraId="3693E44F"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8"/>
              </w:rPr>
              <w:t>3 (50.0%)</w:t>
            </w:r>
          </w:p>
        </w:tc>
        <w:tc>
          <w:tcPr>
            <w:tcW w:w="1337" w:type="dxa"/>
            <w:tcMar>
              <w:top w:w="80" w:type="dxa"/>
              <w:left w:w="120" w:type="dxa"/>
              <w:bottom w:w="80" w:type="dxa"/>
              <w:right w:w="120" w:type="dxa"/>
            </w:tcMar>
          </w:tcPr>
          <w:p w14:paraId="62AA7A7F"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8"/>
              </w:rPr>
              <w:t>6, 6, 5</w:t>
            </w:r>
          </w:p>
        </w:tc>
        <w:tc>
          <w:tcPr>
            <w:tcW w:w="1337" w:type="dxa"/>
            <w:tcMar>
              <w:top w:w="80" w:type="dxa"/>
              <w:left w:w="120" w:type="dxa"/>
              <w:bottom w:w="80" w:type="dxa"/>
              <w:right w:w="120" w:type="dxa"/>
            </w:tcMar>
          </w:tcPr>
          <w:p w14:paraId="412A4522"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8"/>
              </w:rPr>
              <w:t>Probable</w:t>
            </w:r>
          </w:p>
        </w:tc>
        <w:tc>
          <w:tcPr>
            <w:tcW w:w="1337" w:type="dxa"/>
            <w:tcMar>
              <w:top w:w="80" w:type="dxa"/>
              <w:left w:w="120" w:type="dxa"/>
              <w:bottom w:w="80" w:type="dxa"/>
              <w:right w:w="120" w:type="dxa"/>
            </w:tcMar>
          </w:tcPr>
          <w:p w14:paraId="0DAB11E1" w14:textId="77777777" w:rsidR="002F6880" w:rsidRPr="00C12BBF" w:rsidRDefault="00000000">
            <w:pPr>
              <w:spacing w:after="0"/>
              <w:rPr>
                <w:color w:val="000000" w:themeColor="text1"/>
              </w:rPr>
            </w:pPr>
            <w:r w:rsidRPr="00C12BBF">
              <w:rPr>
                <w:rFonts w:ascii="Times New Roman" w:hAnsi="Times New Roman"/>
                <w:color w:val="000000" w:themeColor="text1"/>
                <w:sz w:val="18"/>
              </w:rPr>
              <w:t>Dose reduced by 50%; resolved within 24 hours</w:t>
            </w:r>
          </w:p>
        </w:tc>
      </w:tr>
      <w:tr w:rsidR="002F6880" w:rsidRPr="00C12BBF" w14:paraId="44BC48F0" w14:textId="77777777">
        <w:trPr>
          <w:jc w:val="center"/>
        </w:trPr>
        <w:tc>
          <w:tcPr>
            <w:tcW w:w="1337" w:type="dxa"/>
            <w:shd w:val="clear" w:color="auto" w:fill="F9FAFC"/>
            <w:tcMar>
              <w:top w:w="80" w:type="dxa"/>
              <w:left w:w="120" w:type="dxa"/>
              <w:bottom w:w="80" w:type="dxa"/>
              <w:right w:w="120" w:type="dxa"/>
            </w:tcMar>
          </w:tcPr>
          <w:p w14:paraId="16ED4DEB" w14:textId="77777777" w:rsidR="002F6880" w:rsidRPr="00C12BBF" w:rsidRDefault="00000000">
            <w:pPr>
              <w:spacing w:after="0"/>
              <w:rPr>
                <w:color w:val="000000" w:themeColor="text1"/>
              </w:rPr>
            </w:pPr>
            <w:r w:rsidRPr="00C12BBF">
              <w:rPr>
                <w:rFonts w:ascii="Times New Roman" w:hAnsi="Times New Roman"/>
                <w:color w:val="000000" w:themeColor="text1"/>
                <w:sz w:val="18"/>
              </w:rPr>
              <w:t>Dizziness / Vertigo</w:t>
            </w:r>
          </w:p>
        </w:tc>
        <w:tc>
          <w:tcPr>
            <w:tcW w:w="1337" w:type="dxa"/>
            <w:shd w:val="clear" w:color="auto" w:fill="F9FAFC"/>
            <w:tcMar>
              <w:top w:w="80" w:type="dxa"/>
              <w:left w:w="120" w:type="dxa"/>
              <w:bottom w:w="80" w:type="dxa"/>
              <w:right w:w="120" w:type="dxa"/>
            </w:tcMar>
          </w:tcPr>
          <w:p w14:paraId="28D2FB60"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8"/>
              </w:rPr>
              <w:t>Pregabalin</w:t>
            </w:r>
          </w:p>
        </w:tc>
        <w:tc>
          <w:tcPr>
            <w:tcW w:w="1337" w:type="dxa"/>
            <w:shd w:val="clear" w:color="auto" w:fill="F9FAFC"/>
            <w:tcMar>
              <w:top w:w="80" w:type="dxa"/>
              <w:left w:w="120" w:type="dxa"/>
              <w:bottom w:w="80" w:type="dxa"/>
              <w:right w:w="120" w:type="dxa"/>
            </w:tcMar>
          </w:tcPr>
          <w:p w14:paraId="410264E5"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8"/>
              </w:rPr>
              <w:t>Non-Surgical</w:t>
            </w:r>
          </w:p>
        </w:tc>
        <w:tc>
          <w:tcPr>
            <w:tcW w:w="1337" w:type="dxa"/>
            <w:shd w:val="clear" w:color="auto" w:fill="F9FAFC"/>
            <w:tcMar>
              <w:top w:w="80" w:type="dxa"/>
              <w:left w:w="120" w:type="dxa"/>
              <w:bottom w:w="80" w:type="dxa"/>
              <w:right w:w="120" w:type="dxa"/>
            </w:tcMar>
          </w:tcPr>
          <w:p w14:paraId="13E588ED"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8"/>
              </w:rPr>
              <w:t>1 (16.7%)</w:t>
            </w:r>
          </w:p>
        </w:tc>
        <w:tc>
          <w:tcPr>
            <w:tcW w:w="1337" w:type="dxa"/>
            <w:shd w:val="clear" w:color="auto" w:fill="F9FAFC"/>
            <w:tcMar>
              <w:top w:w="80" w:type="dxa"/>
              <w:left w:w="120" w:type="dxa"/>
              <w:bottom w:w="80" w:type="dxa"/>
              <w:right w:w="120" w:type="dxa"/>
            </w:tcMar>
          </w:tcPr>
          <w:p w14:paraId="67C29681"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8"/>
              </w:rPr>
              <w:t>6</w:t>
            </w:r>
          </w:p>
        </w:tc>
        <w:tc>
          <w:tcPr>
            <w:tcW w:w="1337" w:type="dxa"/>
            <w:shd w:val="clear" w:color="auto" w:fill="F9FAFC"/>
            <w:tcMar>
              <w:top w:w="80" w:type="dxa"/>
              <w:left w:w="120" w:type="dxa"/>
              <w:bottom w:w="80" w:type="dxa"/>
              <w:right w:w="120" w:type="dxa"/>
            </w:tcMar>
          </w:tcPr>
          <w:p w14:paraId="2F14CBB9"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8"/>
              </w:rPr>
              <w:t>Probable</w:t>
            </w:r>
          </w:p>
        </w:tc>
        <w:tc>
          <w:tcPr>
            <w:tcW w:w="1337" w:type="dxa"/>
            <w:shd w:val="clear" w:color="auto" w:fill="F9FAFC"/>
            <w:tcMar>
              <w:top w:w="80" w:type="dxa"/>
              <w:left w:w="120" w:type="dxa"/>
              <w:bottom w:w="80" w:type="dxa"/>
              <w:right w:w="120" w:type="dxa"/>
            </w:tcMar>
          </w:tcPr>
          <w:p w14:paraId="4BD85185" w14:textId="77777777" w:rsidR="002F6880" w:rsidRPr="00C12BBF" w:rsidRDefault="00000000">
            <w:pPr>
              <w:spacing w:after="0"/>
              <w:rPr>
                <w:color w:val="000000" w:themeColor="text1"/>
              </w:rPr>
            </w:pPr>
            <w:r w:rsidRPr="00C12BBF">
              <w:rPr>
                <w:rFonts w:ascii="Times New Roman" w:hAnsi="Times New Roman"/>
                <w:color w:val="000000" w:themeColor="text1"/>
                <w:sz w:val="18"/>
              </w:rPr>
              <w:t>Dose titrated downwards; symptoms resolved</w:t>
            </w:r>
          </w:p>
        </w:tc>
      </w:tr>
      <w:tr w:rsidR="002F6880" w:rsidRPr="00C12BBF" w14:paraId="67F6ED35" w14:textId="77777777">
        <w:trPr>
          <w:jc w:val="center"/>
        </w:trPr>
        <w:tc>
          <w:tcPr>
            <w:tcW w:w="1337" w:type="dxa"/>
            <w:tcMar>
              <w:top w:w="80" w:type="dxa"/>
              <w:left w:w="120" w:type="dxa"/>
              <w:bottom w:w="80" w:type="dxa"/>
              <w:right w:w="120" w:type="dxa"/>
            </w:tcMar>
          </w:tcPr>
          <w:p w14:paraId="0646EF11" w14:textId="77777777" w:rsidR="002F6880" w:rsidRPr="00C12BBF" w:rsidRDefault="00000000">
            <w:pPr>
              <w:spacing w:after="0"/>
              <w:rPr>
                <w:color w:val="000000" w:themeColor="text1"/>
              </w:rPr>
            </w:pPr>
            <w:r w:rsidRPr="00C12BBF">
              <w:rPr>
                <w:rFonts w:ascii="Times New Roman" w:hAnsi="Times New Roman"/>
                <w:color w:val="000000" w:themeColor="text1"/>
                <w:sz w:val="18"/>
              </w:rPr>
              <w:t>Dry Mouth (Xerostomia)</w:t>
            </w:r>
          </w:p>
        </w:tc>
        <w:tc>
          <w:tcPr>
            <w:tcW w:w="1337" w:type="dxa"/>
            <w:tcMar>
              <w:top w:w="80" w:type="dxa"/>
              <w:left w:w="120" w:type="dxa"/>
              <w:bottom w:w="80" w:type="dxa"/>
              <w:right w:w="120" w:type="dxa"/>
            </w:tcMar>
          </w:tcPr>
          <w:p w14:paraId="6A4E046A"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8"/>
              </w:rPr>
              <w:t>Nortriptyline</w:t>
            </w:r>
          </w:p>
        </w:tc>
        <w:tc>
          <w:tcPr>
            <w:tcW w:w="1337" w:type="dxa"/>
            <w:tcMar>
              <w:top w:w="80" w:type="dxa"/>
              <w:left w:w="120" w:type="dxa"/>
              <w:bottom w:w="80" w:type="dxa"/>
              <w:right w:w="120" w:type="dxa"/>
            </w:tcMar>
          </w:tcPr>
          <w:p w14:paraId="4E0C3AE9"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8"/>
              </w:rPr>
              <w:t>Non-Surgical</w:t>
            </w:r>
          </w:p>
        </w:tc>
        <w:tc>
          <w:tcPr>
            <w:tcW w:w="1337" w:type="dxa"/>
            <w:tcMar>
              <w:top w:w="80" w:type="dxa"/>
              <w:left w:w="120" w:type="dxa"/>
              <w:bottom w:w="80" w:type="dxa"/>
              <w:right w:w="120" w:type="dxa"/>
            </w:tcMar>
          </w:tcPr>
          <w:p w14:paraId="463CE5C5"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8"/>
              </w:rPr>
              <w:t>1 (16.7%)</w:t>
            </w:r>
          </w:p>
        </w:tc>
        <w:tc>
          <w:tcPr>
            <w:tcW w:w="1337" w:type="dxa"/>
            <w:tcMar>
              <w:top w:w="80" w:type="dxa"/>
              <w:left w:w="120" w:type="dxa"/>
              <w:bottom w:w="80" w:type="dxa"/>
              <w:right w:w="120" w:type="dxa"/>
            </w:tcMar>
          </w:tcPr>
          <w:p w14:paraId="29478A57"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8"/>
              </w:rPr>
              <w:t>4</w:t>
            </w:r>
          </w:p>
        </w:tc>
        <w:tc>
          <w:tcPr>
            <w:tcW w:w="1337" w:type="dxa"/>
            <w:tcMar>
              <w:top w:w="80" w:type="dxa"/>
              <w:left w:w="120" w:type="dxa"/>
              <w:bottom w:w="80" w:type="dxa"/>
              <w:right w:w="120" w:type="dxa"/>
            </w:tcMar>
          </w:tcPr>
          <w:p w14:paraId="3892E1EE"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8"/>
              </w:rPr>
              <w:t>Possible</w:t>
            </w:r>
          </w:p>
        </w:tc>
        <w:tc>
          <w:tcPr>
            <w:tcW w:w="1337" w:type="dxa"/>
            <w:tcMar>
              <w:top w:w="80" w:type="dxa"/>
              <w:left w:w="120" w:type="dxa"/>
              <w:bottom w:w="80" w:type="dxa"/>
              <w:right w:w="120" w:type="dxa"/>
            </w:tcMar>
          </w:tcPr>
          <w:p w14:paraId="75F23562" w14:textId="77777777" w:rsidR="002F6880" w:rsidRPr="00C12BBF" w:rsidRDefault="00000000">
            <w:pPr>
              <w:spacing w:after="0"/>
              <w:rPr>
                <w:color w:val="000000" w:themeColor="text1"/>
              </w:rPr>
            </w:pPr>
            <w:r w:rsidRPr="00C12BBF">
              <w:rPr>
                <w:rFonts w:ascii="Times New Roman" w:hAnsi="Times New Roman"/>
                <w:color w:val="000000" w:themeColor="text1"/>
                <w:sz w:val="18"/>
              </w:rPr>
              <w:t>Supportive hydration and oral care; resolved</w:t>
            </w:r>
          </w:p>
        </w:tc>
      </w:tr>
      <w:tr w:rsidR="002F6880" w:rsidRPr="00C12BBF" w14:paraId="7D0F06A5" w14:textId="77777777">
        <w:trPr>
          <w:jc w:val="center"/>
        </w:trPr>
        <w:tc>
          <w:tcPr>
            <w:tcW w:w="1337" w:type="dxa"/>
            <w:shd w:val="clear" w:color="auto" w:fill="F9FAFC"/>
            <w:tcMar>
              <w:top w:w="80" w:type="dxa"/>
              <w:left w:w="120" w:type="dxa"/>
              <w:bottom w:w="80" w:type="dxa"/>
              <w:right w:w="120" w:type="dxa"/>
            </w:tcMar>
          </w:tcPr>
          <w:p w14:paraId="06F6E6CB" w14:textId="77777777" w:rsidR="002F6880" w:rsidRPr="00C12BBF" w:rsidRDefault="00000000">
            <w:pPr>
              <w:spacing w:after="0"/>
              <w:rPr>
                <w:color w:val="000000" w:themeColor="text1"/>
              </w:rPr>
            </w:pPr>
            <w:r w:rsidRPr="00C12BBF">
              <w:rPr>
                <w:rFonts w:ascii="Times New Roman" w:hAnsi="Times New Roman"/>
                <w:color w:val="000000" w:themeColor="text1"/>
                <w:sz w:val="18"/>
              </w:rPr>
              <w:t>Severe Constipation</w:t>
            </w:r>
          </w:p>
        </w:tc>
        <w:tc>
          <w:tcPr>
            <w:tcW w:w="1337" w:type="dxa"/>
            <w:shd w:val="clear" w:color="auto" w:fill="F9FAFC"/>
            <w:tcMar>
              <w:top w:w="80" w:type="dxa"/>
              <w:left w:w="120" w:type="dxa"/>
              <w:bottom w:w="80" w:type="dxa"/>
              <w:right w:w="120" w:type="dxa"/>
            </w:tcMar>
          </w:tcPr>
          <w:p w14:paraId="4900B9BC"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8"/>
              </w:rPr>
              <w:t>Nortriptyline</w:t>
            </w:r>
          </w:p>
        </w:tc>
        <w:tc>
          <w:tcPr>
            <w:tcW w:w="1337" w:type="dxa"/>
            <w:shd w:val="clear" w:color="auto" w:fill="F9FAFC"/>
            <w:tcMar>
              <w:top w:w="80" w:type="dxa"/>
              <w:left w:w="120" w:type="dxa"/>
              <w:bottom w:w="80" w:type="dxa"/>
              <w:right w:w="120" w:type="dxa"/>
            </w:tcMar>
          </w:tcPr>
          <w:p w14:paraId="3BE23FC8"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8"/>
              </w:rPr>
              <w:t>Surgical</w:t>
            </w:r>
          </w:p>
        </w:tc>
        <w:tc>
          <w:tcPr>
            <w:tcW w:w="1337" w:type="dxa"/>
            <w:shd w:val="clear" w:color="auto" w:fill="F9FAFC"/>
            <w:tcMar>
              <w:top w:w="80" w:type="dxa"/>
              <w:left w:w="120" w:type="dxa"/>
              <w:bottom w:w="80" w:type="dxa"/>
              <w:right w:w="120" w:type="dxa"/>
            </w:tcMar>
          </w:tcPr>
          <w:p w14:paraId="71B5B75E"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8"/>
              </w:rPr>
              <w:t>1 (16.7%)</w:t>
            </w:r>
          </w:p>
        </w:tc>
        <w:tc>
          <w:tcPr>
            <w:tcW w:w="1337" w:type="dxa"/>
            <w:shd w:val="clear" w:color="auto" w:fill="F9FAFC"/>
            <w:tcMar>
              <w:top w:w="80" w:type="dxa"/>
              <w:left w:w="120" w:type="dxa"/>
              <w:bottom w:w="80" w:type="dxa"/>
              <w:right w:w="120" w:type="dxa"/>
            </w:tcMar>
          </w:tcPr>
          <w:p w14:paraId="63487793"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8"/>
              </w:rPr>
              <w:t>3</w:t>
            </w:r>
          </w:p>
        </w:tc>
        <w:tc>
          <w:tcPr>
            <w:tcW w:w="1337" w:type="dxa"/>
            <w:shd w:val="clear" w:color="auto" w:fill="F9FAFC"/>
            <w:tcMar>
              <w:top w:w="80" w:type="dxa"/>
              <w:left w:w="120" w:type="dxa"/>
              <w:bottom w:w="80" w:type="dxa"/>
              <w:right w:w="120" w:type="dxa"/>
            </w:tcMar>
          </w:tcPr>
          <w:p w14:paraId="6E2027ED" w14:textId="77777777" w:rsidR="002F6880" w:rsidRPr="00C12BBF" w:rsidRDefault="00000000">
            <w:pPr>
              <w:spacing w:after="0"/>
              <w:jc w:val="center"/>
              <w:rPr>
                <w:color w:val="000000" w:themeColor="text1"/>
              </w:rPr>
            </w:pPr>
            <w:r w:rsidRPr="00C12BBF">
              <w:rPr>
                <w:rFonts w:ascii="Times New Roman" w:hAnsi="Times New Roman"/>
                <w:color w:val="000000" w:themeColor="text1"/>
                <w:sz w:val="18"/>
              </w:rPr>
              <w:t>Possible</w:t>
            </w:r>
          </w:p>
        </w:tc>
        <w:tc>
          <w:tcPr>
            <w:tcW w:w="1337" w:type="dxa"/>
            <w:shd w:val="clear" w:color="auto" w:fill="F9FAFC"/>
            <w:tcMar>
              <w:top w:w="80" w:type="dxa"/>
              <w:left w:w="120" w:type="dxa"/>
              <w:bottom w:w="80" w:type="dxa"/>
              <w:right w:w="120" w:type="dxa"/>
            </w:tcMar>
          </w:tcPr>
          <w:p w14:paraId="62A8B405" w14:textId="77777777" w:rsidR="002F6880" w:rsidRPr="00C12BBF" w:rsidRDefault="00000000">
            <w:pPr>
              <w:spacing w:after="0"/>
              <w:rPr>
                <w:color w:val="000000" w:themeColor="text1"/>
              </w:rPr>
            </w:pPr>
            <w:r w:rsidRPr="00C12BBF">
              <w:rPr>
                <w:rFonts w:ascii="Times New Roman" w:hAnsi="Times New Roman"/>
                <w:color w:val="000000" w:themeColor="text1"/>
                <w:sz w:val="18"/>
              </w:rPr>
              <w:t>Co-prescribed laxatives (lactulose); resolved</w:t>
            </w:r>
          </w:p>
        </w:tc>
      </w:tr>
      <w:tr w:rsidR="002F6880" w:rsidRPr="00C12BBF" w14:paraId="2A5A0BC8" w14:textId="77777777">
        <w:trPr>
          <w:jc w:val="center"/>
        </w:trPr>
        <w:tc>
          <w:tcPr>
            <w:tcW w:w="1337" w:type="dxa"/>
            <w:tcMar>
              <w:top w:w="80" w:type="dxa"/>
              <w:left w:w="120" w:type="dxa"/>
              <w:bottom w:w="80" w:type="dxa"/>
              <w:right w:w="120" w:type="dxa"/>
            </w:tcMar>
          </w:tcPr>
          <w:p w14:paraId="447ED82F" w14:textId="77777777" w:rsidR="002F6880" w:rsidRPr="00C12BBF" w:rsidRDefault="00000000">
            <w:pPr>
              <w:spacing w:after="0"/>
              <w:rPr>
                <w:color w:val="000000" w:themeColor="text1"/>
              </w:rPr>
            </w:pPr>
            <w:r w:rsidRPr="00C12BBF">
              <w:rPr>
                <w:rFonts w:ascii="Times New Roman" w:hAnsi="Times New Roman"/>
                <w:b/>
                <w:color w:val="000000" w:themeColor="text1"/>
                <w:sz w:val="18"/>
              </w:rPr>
              <w:lastRenderedPageBreak/>
              <w:t>Total ADR Events</w:t>
            </w:r>
          </w:p>
        </w:tc>
        <w:tc>
          <w:tcPr>
            <w:tcW w:w="1337" w:type="dxa"/>
            <w:tcMar>
              <w:top w:w="80" w:type="dxa"/>
              <w:left w:w="120" w:type="dxa"/>
              <w:bottom w:w="80" w:type="dxa"/>
              <w:right w:w="120" w:type="dxa"/>
            </w:tcMar>
          </w:tcPr>
          <w:p w14:paraId="513860CF"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8"/>
              </w:rPr>
              <w:t>—</w:t>
            </w:r>
          </w:p>
        </w:tc>
        <w:tc>
          <w:tcPr>
            <w:tcW w:w="1337" w:type="dxa"/>
            <w:tcMar>
              <w:top w:w="80" w:type="dxa"/>
              <w:left w:w="120" w:type="dxa"/>
              <w:bottom w:w="80" w:type="dxa"/>
              <w:right w:w="120" w:type="dxa"/>
            </w:tcMar>
          </w:tcPr>
          <w:p w14:paraId="7AE6C7F4"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8"/>
              </w:rPr>
              <w:t>—</w:t>
            </w:r>
          </w:p>
        </w:tc>
        <w:tc>
          <w:tcPr>
            <w:tcW w:w="1337" w:type="dxa"/>
            <w:tcMar>
              <w:top w:w="80" w:type="dxa"/>
              <w:left w:w="120" w:type="dxa"/>
              <w:bottom w:w="80" w:type="dxa"/>
              <w:right w:w="120" w:type="dxa"/>
            </w:tcMar>
          </w:tcPr>
          <w:p w14:paraId="0291C4EB"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8"/>
              </w:rPr>
              <w:t>6 (100.0%)</w:t>
            </w:r>
          </w:p>
        </w:tc>
        <w:tc>
          <w:tcPr>
            <w:tcW w:w="1337" w:type="dxa"/>
            <w:tcMar>
              <w:top w:w="80" w:type="dxa"/>
              <w:left w:w="120" w:type="dxa"/>
              <w:bottom w:w="80" w:type="dxa"/>
              <w:right w:w="120" w:type="dxa"/>
            </w:tcMar>
          </w:tcPr>
          <w:p w14:paraId="2D3C26CA"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8"/>
              </w:rPr>
              <w:t>—</w:t>
            </w:r>
          </w:p>
        </w:tc>
        <w:tc>
          <w:tcPr>
            <w:tcW w:w="1337" w:type="dxa"/>
            <w:tcMar>
              <w:top w:w="80" w:type="dxa"/>
              <w:left w:w="120" w:type="dxa"/>
              <w:bottom w:w="80" w:type="dxa"/>
              <w:right w:w="120" w:type="dxa"/>
            </w:tcMar>
          </w:tcPr>
          <w:p w14:paraId="77A8EECB" w14:textId="77777777" w:rsidR="002F6880" w:rsidRPr="00C12BBF" w:rsidRDefault="00000000">
            <w:pPr>
              <w:spacing w:after="0"/>
              <w:jc w:val="center"/>
              <w:rPr>
                <w:color w:val="000000" w:themeColor="text1"/>
              </w:rPr>
            </w:pPr>
            <w:r w:rsidRPr="00C12BBF">
              <w:rPr>
                <w:rFonts w:ascii="Times New Roman" w:hAnsi="Times New Roman"/>
                <w:b/>
                <w:color w:val="000000" w:themeColor="text1"/>
                <w:sz w:val="18"/>
              </w:rPr>
              <w:t>Probable: 3 (50%)</w:t>
            </w:r>
            <w:r w:rsidRPr="00C12BBF">
              <w:rPr>
                <w:rFonts w:ascii="Times New Roman" w:hAnsi="Times New Roman"/>
                <w:b/>
                <w:color w:val="000000" w:themeColor="text1"/>
                <w:sz w:val="18"/>
              </w:rPr>
              <w:br/>
              <w:t>Possible: 3 (50%)</w:t>
            </w:r>
          </w:p>
        </w:tc>
        <w:tc>
          <w:tcPr>
            <w:tcW w:w="1337" w:type="dxa"/>
            <w:tcMar>
              <w:top w:w="80" w:type="dxa"/>
              <w:left w:w="120" w:type="dxa"/>
              <w:bottom w:w="80" w:type="dxa"/>
              <w:right w:w="120" w:type="dxa"/>
            </w:tcMar>
          </w:tcPr>
          <w:p w14:paraId="26DDE9AB" w14:textId="77777777" w:rsidR="002F6880" w:rsidRPr="00C12BBF" w:rsidRDefault="00000000">
            <w:pPr>
              <w:spacing w:after="0"/>
              <w:rPr>
                <w:color w:val="000000" w:themeColor="text1"/>
              </w:rPr>
            </w:pPr>
            <w:r w:rsidRPr="00C12BBF">
              <w:rPr>
                <w:rFonts w:ascii="Times New Roman" w:hAnsi="Times New Roman"/>
                <w:b/>
                <w:color w:val="000000" w:themeColor="text1"/>
                <w:sz w:val="18"/>
              </w:rPr>
              <w:t>100% complete resolution without sequelae</w:t>
            </w:r>
          </w:p>
        </w:tc>
      </w:tr>
    </w:tbl>
    <w:p w14:paraId="5B82B625" w14:textId="77777777" w:rsidR="002F6880" w:rsidRPr="00C12BBF" w:rsidRDefault="00000000">
      <w:pPr>
        <w:spacing w:before="40" w:after="160"/>
        <w:rPr>
          <w:color w:val="000000" w:themeColor="text1"/>
        </w:rPr>
      </w:pPr>
      <w:r w:rsidRPr="00C12BBF">
        <w:rPr>
          <w:rFonts w:ascii="Times New Roman" w:hAnsi="Times New Roman"/>
          <w:i/>
          <w:color w:val="000000" w:themeColor="text1"/>
          <w:sz w:val="17"/>
        </w:rPr>
        <w:t>Causality assessed using the Naranjo Probability Scale: Definite (&gt;= 9), Probable (5–8), Possible (1–4), Doubtful (&lt;= 0).</w:t>
      </w:r>
    </w:p>
    <w:p w14:paraId="40929603" w14:textId="77777777" w:rsidR="002F6880" w:rsidRDefault="00000000">
      <w:pPr>
        <w:keepNext/>
        <w:spacing w:before="240" w:after="80"/>
        <w:rPr>
          <w:rFonts w:ascii="Times New Roman" w:hAnsi="Times New Roman"/>
          <w:b/>
          <w:color w:val="000000" w:themeColor="text1"/>
          <w:sz w:val="24"/>
        </w:rPr>
      </w:pPr>
      <w:r w:rsidRPr="00C12BBF">
        <w:rPr>
          <w:rFonts w:ascii="Times New Roman" w:hAnsi="Times New Roman"/>
          <w:b/>
          <w:color w:val="000000" w:themeColor="text1"/>
          <w:sz w:val="24"/>
        </w:rPr>
        <w:t>4. DISCUSSION</w:t>
      </w:r>
    </w:p>
    <w:p w14:paraId="5291D27F" w14:textId="77777777" w:rsidR="00AF0478" w:rsidRPr="00AF0478" w:rsidRDefault="00AF0478">
      <w:pPr>
        <w:keepNext/>
        <w:spacing w:before="240" w:after="80"/>
        <w:rPr>
          <w:rFonts w:ascii="Times New Roman" w:hAnsi="Times New Roman" w:cs="Times New Roman"/>
          <w:color w:val="000000" w:themeColor="text1"/>
          <w:lang w:val="en-IN"/>
        </w:rPr>
      </w:pPr>
      <w:r>
        <w:rPr>
          <w:highlight w:val="yellow"/>
        </w:rPr>
        <w:t xml:space="preserve">This prospective, cross-sectional comparative study investigated the clinical epidemiology of psychotropic drugs, prescribing patterns, and medication-safety considerations across surgical and general internal medicine inpatient settings at an Indian tertiary-care teaching hospital. Psychotropic drugs were prescribed more frequently in surgical departments (75.5%) than in medical wards (24.5%). This distribution may be attributable to the increasing use of psychotropic medications in acute perioperative care, enhanced recovery pathways, and multimodal pain-management regimens (Chou et al., 2016; Finnerup et al., 2015; Gan et al., 2020). Medication choices also varied between specialties. In surgical services, short-acting benzodiazepines, particularly alprazolam (51.0% of surgical psychotropic orders), were commonly used for acute anxiolysis, preoperative sedation, and postoperative sleep management (American Geriatrics Society Beers Criteria Update Expert Panel, 2023; Gan et al., 2020; Sateia et al., 2017). However, liberal prescribing of short-acting benzodiazepines may be clinically problematic. Unmonitored use may increase the risk of postoperative delirium, reduced responsiveness, daytime somnolence, and fall-related injuries (Juurlink et al., 2003; Sateia et al., 2017; U.S. Food and Drug Administration, 2016). These risks may be amplified when benzodiazepines are combined with opioid analgesics because of additive CNS and respiratory depression and oversedation (Juurlink et al., 2003; U.S. Food and Drug Administration, 2016). In non-surgical units, internists favoured anticonvulsants (pregabalin) and TCAs (nortriptyline); these neuromodulators were typically used for chronic neuropathic pain syndromes, including painful diabetic peripheral neuropathy, lumbar radiculopathy, post-herpetic neuralgia, and somatic pain diagnoses (Finnerup et al., 2015; Freudenreich &amp; Kontos, 2010; Sansone &amp; Sansone, 2009). Chronic TCA administration carries a substantial anticholinergic burden and may also cause drug interactions, including cardiac electrophysiological toxicity (Sansone &amp; Sansone, 2009; Taylor et al., 2021; Vieweg, 2003). These drugs can affect cardiac conduction, prolong the QTc interval, and contribute to ventricular tachycardia and torsades de pointes, particularly in older, hospitalised, chronically debilitated individuals with pre-existing cardiac conditions or electrolyte imbalances (Roden, 2004; Taylor et al., 2021; Vieweg, 2003). Overall, an important observation of this study was the identification of numerous DRPs, based on Hepler-Strand nomenclature (Hepler &amp; Strand, 1990), among the 110 subjects, totalling 126 potential DDI events, of which 76.2% were classified as major. DDIs between alprazolam and tramadol (n = 34) and between pregabalin and tramadol (n = 20) carry risks of CNS and respiratory depression (Chou et al., 2016; U.S. Food and Drug Administration, 2016). Similarly, co-prescription of a TCA and tramadol (n = 13) may increase the risk of drug-induced serotonin syndrome and reduce the seizure threshold (Sansone &amp; Sansone, 2009; Taylor et al., 2021). This combined risk may be further complicated by QTc-prolonging effects when TCAs are administered with QT-prolonging antiemetics, including ondansetron (n = 7) and domperidone (n = 4). During </w:t>
      </w:r>
      <w:r>
        <w:rPr>
          <w:highlight w:val="yellow"/>
        </w:rPr>
        <w:t>the study, six clinically apparent ADRs were documented (ADR incidence, 5.5%), all of which were classified as either probable or possible using the Naranjo Probability Scale (n = 3 each). The three events of excessive somnolence associated with alprazolam, including concomitant tramadol exposure in some cases, illustrate the clinical relevance of pharmacodynamic interaction risk (Juurlink et al., 2003; Lazarou et al., 1998; Naranjo et al., 1981). The single event of severe dizziness associated with pregabalin and the two ADRs associated with TCAs (constipation and xerostomia) were consistent with known drug effects (Finnerup et al., 2015; Sansone &amp; Sansone, 2009; Taylor et al., 2021). The pharmacological challenges present in hospitalised surgical patients, including acute-phase inflammatory changes, shifts in third-space fluid volume, changes in protein binding, and variable renal and hepatic functional reserve, may place such patients at heightened risk of adverse drug effects (American Society of Anesthesiologists, 2012; Davies et al., 2020; Naseralallah et al., 2025a). These data reinforce that alerts within electronic medication-recording systems alone may be insufficient to ensure medication safety (Magro et al., 2012). Vigilant clinical-pharmacist chart review and medication reconciliation at ward admission and transfer, alongside integrated clinical decision-support tools for prescribers, may help manage the complex interactions among psychotropic and non-psychotropic medications encountered in surgical and general medicine inpatient services (Dalton &amp; Byrne, 2017; Mohammed et al., 2017; Gillespie et al., 2009; Naseralallah et al., 2025b).</w:t>
      </w:r>
    </w:p>
    <w:p w14:paraId="3F453112" w14:textId="77777777" w:rsidR="002F6880" w:rsidRDefault="00000000">
      <w:pPr>
        <w:keepNext/>
        <w:spacing w:before="160" w:after="40"/>
        <w:rPr>
          <w:rFonts w:ascii="Times New Roman" w:hAnsi="Times New Roman"/>
          <w:b/>
          <w:i/>
          <w:color w:val="000000" w:themeColor="text1"/>
        </w:rPr>
      </w:pPr>
      <w:r w:rsidRPr="00C12BBF">
        <w:rPr>
          <w:rFonts w:ascii="Times New Roman" w:hAnsi="Times New Roman"/>
          <w:b/>
          <w:i/>
          <w:color w:val="000000" w:themeColor="text1"/>
        </w:rPr>
        <w:t>4.1 Strengths and Limitations</w:t>
      </w:r>
    </w:p>
    <w:p w14:paraId="5C785EB2" w14:textId="77777777" w:rsidR="00C1553F" w:rsidRPr="00C1553F" w:rsidRDefault="00C1553F">
      <w:pPr>
        <w:keepNext/>
        <w:spacing w:before="160" w:after="40"/>
        <w:rPr>
          <w:rFonts w:ascii="Times New Roman" w:hAnsi="Times New Roman" w:cs="Times New Roman"/>
          <w:color w:val="000000" w:themeColor="text1"/>
          <w:lang w:val="en-IN"/>
        </w:rPr>
      </w:pPr>
      <w:r>
        <w:rPr>
          <w:highlight w:val="yellow"/>
        </w:rPr>
        <w:t>The primary strength of this study was its prospective observational design, which enabled time-based direct chart review by clinical pharmacists and facilitated the identification of ADRs and potential DDIs in routine clinical care rather than through retrospective coding databases. The detailed comparative assessment between surgical and general medicine inpatient departments also provided context regarding specialty-specific prescribing in an Indian tertiary-care setting. Several limitations should be considered. First, the study was conducted at a single tertiary-care teaching hospital with a relatively small sample size (N = 110) over a six-month observation period. Second, serum drug concentrations and therapeutic drug monitoring, including serum TCA concentrations, were not standardised because of limited institutional resources. Third, long-term post-discharge follow-up was not assessed, including 30-day readmission, falls at home, and continued psychotropic use.</w:t>
      </w:r>
    </w:p>
    <w:p w14:paraId="10D5C6BB" w14:textId="77777777" w:rsidR="002F6880" w:rsidRDefault="00000000">
      <w:pPr>
        <w:keepNext/>
        <w:spacing w:before="160" w:after="40"/>
        <w:rPr>
          <w:rFonts w:ascii="Times New Roman" w:hAnsi="Times New Roman"/>
          <w:b/>
          <w:i/>
          <w:color w:val="000000" w:themeColor="text1"/>
        </w:rPr>
      </w:pPr>
      <w:r w:rsidRPr="00C12BBF">
        <w:rPr>
          <w:rFonts w:ascii="Times New Roman" w:hAnsi="Times New Roman"/>
          <w:b/>
          <w:i/>
          <w:color w:val="000000" w:themeColor="text1"/>
        </w:rPr>
        <w:t>4.2 Clinical Implications and Future Research Directions</w:t>
      </w:r>
    </w:p>
    <w:p w14:paraId="7435B545" w14:textId="77777777" w:rsidR="00C1553F" w:rsidRPr="00C1553F" w:rsidRDefault="00C1553F">
      <w:pPr>
        <w:keepNext/>
        <w:spacing w:before="160" w:after="40"/>
        <w:rPr>
          <w:rFonts w:ascii="Times New Roman" w:hAnsi="Times New Roman" w:cs="Times New Roman"/>
          <w:color w:val="000000" w:themeColor="text1"/>
          <w:lang w:val="en-IN"/>
        </w:rPr>
      </w:pPr>
      <w:r>
        <w:rPr>
          <w:highlight w:val="yellow"/>
        </w:rPr>
        <w:t>The high frequency of major potential DDIs and the observed ADRs in this study indicate a need to consider hospital-based clinical-practice protocols for off-label psychotropic prescribing in non-psychiatric settings. Hospital pharmacy and therapeutics committees may consider specialty-specific prescribing guidance, safeguards against unmonitored co-prescribing of benzodiazepines and opioids, baseline ECG assessment when clinically appropriate for concomitant QTc-prolonging medications, and integration of clinical pharmacists into surgical and medical ward rounds. Future prospective, multicentre studies with larger patient populations, outpatient follow-up, and pharmacoeconomic analysis are warranted.</w:t>
      </w:r>
    </w:p>
    <w:p w14:paraId="4B7800E4" w14:textId="77777777" w:rsidR="002F6880" w:rsidRPr="00C12BBF" w:rsidRDefault="00000000">
      <w:pPr>
        <w:keepNext/>
        <w:spacing w:before="240" w:after="80"/>
        <w:rPr>
          <w:color w:val="000000" w:themeColor="text1"/>
        </w:rPr>
      </w:pPr>
      <w:r w:rsidRPr="00C12BBF">
        <w:rPr>
          <w:rFonts w:ascii="Times New Roman" w:hAnsi="Times New Roman"/>
          <w:b/>
          <w:color w:val="000000" w:themeColor="text1"/>
          <w:sz w:val="24"/>
        </w:rPr>
        <w:t>5. CONCLUSION</w:t>
      </w:r>
    </w:p>
    <w:p w14:paraId="55C70929" w14:textId="77777777" w:rsidR="002F6880" w:rsidRPr="00C1553F" w:rsidRDefault="00C1553F">
      <w:pPr>
        <w:spacing w:after="80"/>
        <w:rPr>
          <w:rFonts w:ascii="Times New Roman" w:hAnsi="Times New Roman" w:cs="Times New Roman"/>
          <w:color w:val="000000" w:themeColor="text1"/>
          <w:lang w:val="en-IN"/>
        </w:rPr>
      </w:pPr>
      <w:r>
        <w:rPr>
          <w:highlight w:val="yellow"/>
        </w:rPr>
        <w:lastRenderedPageBreak/>
        <w:t>This prospective comparative study found that psychotropic drugs were frequently used for non-psychiatric indications among inpatients at a tertiary-care hospital, with a higher proportion of use in surgical wards (75.5%) than in non-surgical general medicine wards (24.5%). Alprazolam was commonly prescribed in surgical wards, principally for preoperative anxiety and sleep-related indications. In medical wards, pregabalin and nortriptyline were frequently prescribed for neuropathic pain. The high co-prescription burden was associated with 126 potential DDIs, of which 96 (76.2%) were classified as major. These interactions predominantly involved additive or synergistic CNS and respiratory depression when psychotropic drugs were combined with opioid analgesics. Six ADRs were documented during the study. These findings support the need for department-specific rational-prescribing guidance, strengthened medication reconciliation, and more proactive ward-based involvement of clinical pharmacists to support medication safety.</w:t>
      </w:r>
    </w:p>
    <w:p w14:paraId="489F4793" w14:textId="77777777" w:rsidR="002F6880" w:rsidRPr="00C12BBF" w:rsidRDefault="00000000">
      <w:pPr>
        <w:spacing w:after="80"/>
        <w:rPr>
          <w:color w:val="000000" w:themeColor="text1"/>
        </w:rPr>
      </w:pPr>
      <w:r w:rsidRPr="00C12BBF">
        <w:rPr>
          <w:rFonts w:ascii="Times New Roman" w:hAnsi="Times New Roman"/>
          <w:b/>
          <w:color w:val="000000" w:themeColor="text1"/>
        </w:rPr>
        <w:t xml:space="preserve">Ethical Approval: </w:t>
      </w:r>
      <w:r w:rsidRPr="00C12BBF">
        <w:rPr>
          <w:rFonts w:ascii="Times New Roman" w:hAnsi="Times New Roman"/>
          <w:color w:val="000000" w:themeColor="text1"/>
        </w:rPr>
        <w:t>The study protocol was approved by the Institutional Ethics Committee of S.S. Institute of Medical Sciences and Research Centre (SSIMS &amp; RC), Davanagere, Karnataka, India (Approval Protocol No.: SSIMS/IEC/2025/104-R). The study was conducted in strict adherence to the ethical standards of the Declaration of Helsinki (revised 2013) and Indian Good Clinical Practice guidelines.</w:t>
      </w:r>
    </w:p>
    <w:p w14:paraId="2189B71C" w14:textId="48F13304" w:rsidR="002F6880" w:rsidRPr="00C12BBF" w:rsidRDefault="00000000">
      <w:pPr>
        <w:spacing w:after="80"/>
        <w:rPr>
          <w:color w:val="000000" w:themeColor="text1"/>
        </w:rPr>
      </w:pPr>
      <w:r w:rsidRPr="00C12BBF">
        <w:rPr>
          <w:rFonts w:ascii="Times New Roman" w:hAnsi="Times New Roman"/>
          <w:b/>
          <w:color w:val="000000" w:themeColor="text1"/>
        </w:rPr>
        <w:t xml:space="preserve">Consent: </w:t>
      </w:r>
      <w:r w:rsidRPr="00C12BBF">
        <w:rPr>
          <w:rFonts w:ascii="Times New Roman" w:hAnsi="Times New Roman"/>
          <w:color w:val="000000" w:themeColor="text1"/>
        </w:rPr>
        <w:t>Written informed consent was obtained from all individual participants or their legally authorized representatives prior to enrollment in the study.</w:t>
      </w:r>
    </w:p>
    <w:p w14:paraId="3B426572" w14:textId="77777777" w:rsidR="002F6880" w:rsidRPr="00C12BBF" w:rsidRDefault="00000000">
      <w:pPr>
        <w:spacing w:after="80"/>
        <w:rPr>
          <w:color w:val="000000" w:themeColor="text1"/>
        </w:rPr>
      </w:pPr>
      <w:r w:rsidRPr="00C12BBF">
        <w:rPr>
          <w:rFonts w:ascii="Times New Roman" w:hAnsi="Times New Roman"/>
          <w:b/>
          <w:color w:val="000000" w:themeColor="text1"/>
        </w:rPr>
        <w:t xml:space="preserve">Competing Interests: </w:t>
      </w:r>
      <w:r w:rsidRPr="00C12BBF">
        <w:rPr>
          <w:rFonts w:ascii="Times New Roman" w:hAnsi="Times New Roman"/>
          <w:color w:val="000000" w:themeColor="text1"/>
        </w:rPr>
        <w:t>The authors declare that they have no competing financial or non-financial interests.</w:t>
      </w:r>
    </w:p>
    <w:p w14:paraId="1DE0DBE6" w14:textId="77777777" w:rsidR="002F6880" w:rsidRPr="00C12BBF" w:rsidRDefault="00000000">
      <w:pPr>
        <w:keepNext/>
        <w:spacing w:before="160" w:after="40"/>
        <w:rPr>
          <w:color w:val="000000" w:themeColor="text1"/>
        </w:rPr>
      </w:pPr>
      <w:r w:rsidRPr="00C12BBF">
        <w:rPr>
          <w:rFonts w:ascii="Times New Roman" w:hAnsi="Times New Roman"/>
          <w:b/>
          <w:i/>
          <w:color w:val="000000" w:themeColor="text1"/>
        </w:rPr>
        <w:t>Declaration of AI Use</w:t>
      </w:r>
    </w:p>
    <w:p w14:paraId="5660B7B5" w14:textId="77777777" w:rsidR="002F6880" w:rsidRPr="00C12BBF" w:rsidRDefault="00000000">
      <w:pPr>
        <w:spacing w:after="80"/>
        <w:rPr>
          <w:color w:val="000000" w:themeColor="text1"/>
        </w:rPr>
      </w:pPr>
      <w:r w:rsidRPr="00C12BBF">
        <w:rPr>
          <w:rFonts w:ascii="Times New Roman" w:hAnsi="Times New Roman"/>
          <w:color w:val="000000" w:themeColor="text1"/>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7747A96" w14:textId="77777777" w:rsidR="002F6880" w:rsidRPr="00C12BBF" w:rsidRDefault="00000000">
      <w:pPr>
        <w:keepNext/>
        <w:spacing w:before="240" w:after="80"/>
        <w:rPr>
          <w:color w:val="000000" w:themeColor="text1"/>
        </w:rPr>
      </w:pPr>
      <w:r w:rsidRPr="00C12BBF">
        <w:rPr>
          <w:rFonts w:ascii="Times New Roman" w:hAnsi="Times New Roman"/>
          <w:b/>
          <w:color w:val="000000" w:themeColor="text1"/>
          <w:sz w:val="24"/>
        </w:rPr>
        <w:t>REFERENCES</w:t>
      </w:r>
    </w:p>
    <w:p w14:paraId="2A8FB28C" w14:textId="77777777" w:rsidR="002F6880" w:rsidRPr="00C12BBF" w:rsidRDefault="00000000">
      <w:pPr>
        <w:spacing w:after="60"/>
        <w:ind w:left="720" w:hanging="720"/>
        <w:rPr>
          <w:color w:val="000000" w:themeColor="text1"/>
        </w:rPr>
      </w:pPr>
      <w:r>
        <w:rPr>
          <w:i w:val="0"/>
        </w:rPr>
        <w:t xml:space="preserve">Lucca, J. M., Vamsi, A., Kurian, S. J., &amp; Ebi, S. (2019). A prospective observational study on psychotropic drug use in non psychiatric wards. </w:t>
      </w:r>
      <w:r>
        <w:rPr>
          <w:i/>
        </w:rPr>
        <w:t>Indian Journal of Psychiatry, 61</w:t>
      </w:r>
      <w:r>
        <w:rPr>
          <w:i w:val="0"/>
        </w:rPr>
        <w:t xml:space="preserve">(5), 503-507. </w:t>
      </w:r>
      <w:hyperlink r:id="rId36">
        <w:r>
          <w:rPr>
            <w:color w:val="0563C1"/>
            <w:u w:val="single"/>
          </w:rPr>
          <w:t>https://doi.org/10.4103/psychiatry.IndianJPsychiatry_28_18</w:t>
        </w:r>
      </w:hyperlink>
    </w:p>
    <w:p w14:paraId="65C16778" w14:textId="77777777" w:rsidR="002F6880" w:rsidRPr="00C12BBF" w:rsidRDefault="00000000">
      <w:pPr>
        <w:spacing w:after="60"/>
        <w:ind w:left="720" w:hanging="720"/>
        <w:rPr>
          <w:color w:val="000000" w:themeColor="text1"/>
        </w:rPr>
      </w:pPr>
      <w:r>
        <w:rPr>
          <w:highlight w:val="yellow"/>
        </w:rPr>
        <w:t xml:space="preserve">American Geriatrics Society Beers Criteria Update Expert Panel. (2023). American Geriatrics Society 2023 updated AGS Beers Criteria for potentially inappropriate medication use in older adults. </w:t>
      </w:r>
      <w:r>
        <w:rPr>
          <w:i/>
          <w:highlight w:val="yellow"/>
        </w:rPr>
        <w:t>Journal of the American Geriatrics Society, 71</w:t>
      </w:r>
      <w:r>
        <w:rPr>
          <w:highlight w:val="yellow"/>
        </w:rPr>
        <w:t xml:space="preserve">(7), 2052-2081. </w:t>
      </w:r>
      <w:hyperlink r:id="rId6">
        <w:r w:rsidR="002F6880">
          <w:rPr>
            <w:color w:val="0563C1"/>
            <w:highlight w:val="yellow"/>
            <w:u w:val="single"/>
          </w:rPr>
          <w:t>https://doi.org/10.1111/jgs.18372</w:t>
        </w:r>
      </w:hyperlink>
    </w:p>
    <w:p w14:paraId="47AB52CA" w14:textId="77777777" w:rsidR="002F6880" w:rsidRPr="00C12BBF" w:rsidRDefault="00000000">
      <w:pPr>
        <w:spacing w:after="60"/>
        <w:ind w:left="720" w:hanging="720"/>
        <w:rPr>
          <w:color w:val="000000" w:themeColor="text1"/>
        </w:rPr>
      </w:pPr>
      <w:r>
        <w:rPr>
          <w:highlight w:val="yellow"/>
        </w:rPr>
        <w:t xml:space="preserve">American Society of Anesthesiologists. (2012). Practice advisory for preanesthesia evaluation: An updated report by the American Society of Anesthesiologists Task Force on Preanesthesia Evaluation. </w:t>
      </w:r>
      <w:r>
        <w:rPr>
          <w:i/>
          <w:highlight w:val="yellow"/>
        </w:rPr>
        <w:t>Anesthesiology, 116</w:t>
      </w:r>
      <w:r>
        <w:rPr>
          <w:highlight w:val="yellow"/>
        </w:rPr>
        <w:t xml:space="preserve">(3), 522-538. </w:t>
      </w:r>
      <w:hyperlink r:id="rId7">
        <w:r w:rsidR="002F6880">
          <w:rPr>
            <w:color w:val="0563C1"/>
            <w:highlight w:val="yellow"/>
            <w:u w:val="single"/>
          </w:rPr>
          <w:t>https://doi.org/10.1097/ALN.0b013e31823c1067</w:t>
        </w:r>
      </w:hyperlink>
    </w:p>
    <w:p w14:paraId="1293F450" w14:textId="77777777" w:rsidR="002F6880" w:rsidRPr="00C12BBF" w:rsidRDefault="00000000">
      <w:pPr>
        <w:spacing w:after="60"/>
        <w:ind w:left="720" w:hanging="720"/>
        <w:rPr>
          <w:color w:val="000000" w:themeColor="text1"/>
        </w:rPr>
      </w:pPr>
      <w:r>
        <w:rPr>
          <w:highlight w:val="yellow"/>
        </w:rPr>
        <w:t xml:space="preserve">Chou, R., Gordon, D. B., de Leon-Casasola, O. A., et al. (2016). Management of postoperative pain: A clinical practice guideline from the American Pain Society, the American Society of Regional Anesthesia and Pain Medicine, and the American Society of Anesthesiologists. </w:t>
      </w:r>
      <w:r>
        <w:rPr>
          <w:i/>
          <w:highlight w:val="yellow"/>
        </w:rPr>
        <w:t>The Journal of Pain, 17</w:t>
      </w:r>
      <w:r>
        <w:rPr>
          <w:highlight w:val="yellow"/>
        </w:rPr>
        <w:t xml:space="preserve">(2), 131-157. </w:t>
      </w:r>
      <w:hyperlink r:id="rId8">
        <w:r w:rsidR="002F6880">
          <w:rPr>
            <w:color w:val="0563C1"/>
            <w:highlight w:val="yellow"/>
            <w:u w:val="single"/>
          </w:rPr>
          <w:t>https://doi.org/10.1016/j.jpain.2015.12.008</w:t>
        </w:r>
      </w:hyperlink>
    </w:p>
    <w:p w14:paraId="51106E3D" w14:textId="77777777" w:rsidR="002F6880" w:rsidRPr="00C12BBF" w:rsidRDefault="00000000">
      <w:pPr>
        <w:spacing w:after="60"/>
        <w:ind w:left="720" w:hanging="720"/>
        <w:rPr>
          <w:color w:val="000000" w:themeColor="text1"/>
        </w:rPr>
      </w:pPr>
      <w:r>
        <w:rPr>
          <w:highlight w:val="yellow"/>
        </w:rPr>
        <w:lastRenderedPageBreak/>
        <w:t xml:space="preserve">Christiansen, M., Joensen, N., &amp; Jacobsen, R. (2025). The clinical pharmacist-led medication review service at the surgical department: A feasibility study. </w:t>
      </w:r>
      <w:r>
        <w:rPr>
          <w:i/>
          <w:highlight w:val="yellow"/>
        </w:rPr>
        <w:t>Scandinavian Journal of Caring Sciences, 39</w:t>
      </w:r>
      <w:r>
        <w:rPr>
          <w:highlight w:val="yellow"/>
        </w:rPr>
        <w:t xml:space="preserve">(2), e70030. </w:t>
      </w:r>
      <w:hyperlink r:id="rId9">
        <w:r w:rsidR="002F6880">
          <w:rPr>
            <w:color w:val="0563C1"/>
            <w:highlight w:val="yellow"/>
            <w:u w:val="single"/>
          </w:rPr>
          <w:t>https://doi.org/10.1111/scs.70030</w:t>
        </w:r>
      </w:hyperlink>
    </w:p>
    <w:p w14:paraId="7E61F771" w14:textId="77777777" w:rsidR="002F6880" w:rsidRPr="00C12BBF" w:rsidRDefault="00000000">
      <w:pPr>
        <w:spacing w:after="60"/>
        <w:ind w:left="720" w:hanging="720"/>
        <w:rPr>
          <w:color w:val="000000" w:themeColor="text1"/>
        </w:rPr>
      </w:pPr>
      <w:r>
        <w:rPr>
          <w:highlight w:val="yellow"/>
        </w:rPr>
        <w:t xml:space="preserve">Classen, D. C., Pestotnik, S. L., Evans, R. S., Lloyd, J. F., &amp; Burke, J. P. (1997). Adverse drug events in hospitalized patients: Excess length of stay, extra costs, and attributable mortality. </w:t>
      </w:r>
      <w:r>
        <w:rPr>
          <w:i/>
          <w:highlight w:val="yellow"/>
        </w:rPr>
        <w:t>JAMA, 277</w:t>
      </w:r>
      <w:r>
        <w:rPr>
          <w:highlight w:val="yellow"/>
        </w:rPr>
        <w:t xml:space="preserve">(4), 301-306. </w:t>
      </w:r>
      <w:hyperlink r:id="rId10">
        <w:r w:rsidR="002F6880">
          <w:rPr>
            <w:color w:val="0563C1"/>
            <w:highlight w:val="yellow"/>
            <w:u w:val="single"/>
          </w:rPr>
          <w:t>https://doi.org/10.1001/jama.1997.03540280039031</w:t>
        </w:r>
      </w:hyperlink>
    </w:p>
    <w:p w14:paraId="0F5EAFBA" w14:textId="77777777" w:rsidR="002F6880" w:rsidRPr="00C12BBF" w:rsidRDefault="00000000">
      <w:pPr>
        <w:spacing w:after="60"/>
        <w:ind w:left="720" w:hanging="720"/>
        <w:rPr>
          <w:color w:val="000000" w:themeColor="text1"/>
        </w:rPr>
      </w:pPr>
      <w:r>
        <w:rPr>
          <w:highlight w:val="yellow"/>
        </w:rPr>
        <w:t xml:space="preserve">Dal Paz, K., Callejo de Souza, A. P., &amp; Coelho de Soarez, P. (2026). Pharmacist interventions and drug-related problems classification systems in the inpatient setting: A systematic review of psychometric properties. </w:t>
      </w:r>
      <w:r>
        <w:rPr>
          <w:i/>
          <w:highlight w:val="yellow"/>
        </w:rPr>
        <w:t>Journal of the American College of Clinical Pharmacy, 9</w:t>
      </w:r>
      <w:r>
        <w:rPr>
          <w:highlight w:val="yellow"/>
        </w:rPr>
        <w:t xml:space="preserve">(7), e70247. </w:t>
      </w:r>
      <w:hyperlink r:id="rId11">
        <w:r w:rsidR="002F6880">
          <w:rPr>
            <w:color w:val="0563C1"/>
            <w:highlight w:val="yellow"/>
            <w:u w:val="single"/>
          </w:rPr>
          <w:t>https://doi.org/10.1002/jac5.70247</w:t>
        </w:r>
      </w:hyperlink>
    </w:p>
    <w:p w14:paraId="3E8827D8" w14:textId="77777777" w:rsidR="002F6880" w:rsidRPr="00C12BBF" w:rsidRDefault="00000000">
      <w:pPr>
        <w:spacing w:after="60"/>
        <w:ind w:left="720" w:hanging="720"/>
        <w:rPr>
          <w:color w:val="000000" w:themeColor="text1"/>
        </w:rPr>
      </w:pPr>
      <w:r>
        <w:rPr>
          <w:highlight w:val="yellow"/>
        </w:rPr>
        <w:t xml:space="preserve">Dalton, K., &amp; Byrne, S. (2017). Role of the pharmacist in reducing healthcare costs: Current insights. </w:t>
      </w:r>
      <w:r>
        <w:rPr>
          <w:i/>
          <w:highlight w:val="yellow"/>
        </w:rPr>
        <w:t>Integrated Pharmacy Research and Practice, 6</w:t>
      </w:r>
      <w:r>
        <w:rPr>
          <w:highlight w:val="yellow"/>
        </w:rPr>
        <w:t xml:space="preserve">, 37-46. </w:t>
      </w:r>
      <w:hyperlink r:id="rId12">
        <w:r w:rsidR="002F6880">
          <w:rPr>
            <w:color w:val="0563C1"/>
            <w:highlight w:val="yellow"/>
            <w:u w:val="single"/>
          </w:rPr>
          <w:t>https://doi.org/10.2147/IPRP.S108047</w:t>
        </w:r>
      </w:hyperlink>
    </w:p>
    <w:p w14:paraId="086D68EE" w14:textId="77777777" w:rsidR="002F6880" w:rsidRPr="00C12BBF" w:rsidRDefault="00000000">
      <w:pPr>
        <w:spacing w:after="60"/>
        <w:ind w:left="720" w:hanging="720"/>
        <w:rPr>
          <w:color w:val="000000" w:themeColor="text1"/>
        </w:rPr>
      </w:pPr>
      <w:r>
        <w:rPr>
          <w:highlight w:val="yellow"/>
        </w:rPr>
        <w:t xml:space="preserve">Dalton, S. O., Johansen, C., Mellemkjaer, L., et al. (2003). Use of selective serotonin reuptake inhibitors and risk of upper gastrointestinal bleeding: A population-based cohort study. </w:t>
      </w:r>
      <w:r>
        <w:rPr>
          <w:i/>
          <w:highlight w:val="yellow"/>
        </w:rPr>
        <w:t>Archives of Internal Medicine, 163</w:t>
      </w:r>
      <w:r>
        <w:rPr>
          <w:highlight w:val="yellow"/>
        </w:rPr>
        <w:t xml:space="preserve">(1), 59-64. </w:t>
      </w:r>
      <w:hyperlink r:id="rId13">
        <w:r w:rsidR="002F6880">
          <w:rPr>
            <w:color w:val="0563C1"/>
            <w:highlight w:val="yellow"/>
            <w:u w:val="single"/>
          </w:rPr>
          <w:t>https://doi.org/10.1001/archinte.163.1.59</w:t>
        </w:r>
      </w:hyperlink>
    </w:p>
    <w:p w14:paraId="685F35AB" w14:textId="77777777" w:rsidR="002F6880" w:rsidRPr="00C12BBF" w:rsidRDefault="00000000">
      <w:pPr>
        <w:spacing w:after="60"/>
        <w:ind w:left="720" w:hanging="720"/>
        <w:rPr>
          <w:color w:val="000000" w:themeColor="text1"/>
        </w:rPr>
      </w:pPr>
      <w:r>
        <w:rPr>
          <w:i w:val="0"/>
        </w:rPr>
        <w:t xml:space="preserve">Davies, L. E., Spiers, G., Kingston, A., Todd, A., Adamson, J., &amp; Hanratty, B. (2020). Adverse outcomes of polypharmacy in older people: Systematic review of reviews. </w:t>
      </w:r>
      <w:r>
        <w:rPr>
          <w:i/>
        </w:rPr>
        <w:t>Journal of the American Medical Directors Association, 21</w:t>
      </w:r>
      <w:r>
        <w:rPr>
          <w:i w:val="0"/>
        </w:rPr>
        <w:t xml:space="preserve">(2), 181-187. </w:t>
      </w:r>
      <w:hyperlink r:id="rId37">
        <w:r>
          <w:rPr>
            <w:color w:val="0563C1"/>
            <w:u w:val="single"/>
          </w:rPr>
          <w:t>https://doi.org/10.1016/j.jamda.2019.10.022</w:t>
        </w:r>
      </w:hyperlink>
    </w:p>
    <w:p w14:paraId="279ADEB4" w14:textId="77777777" w:rsidR="002F6880" w:rsidRPr="00C12BBF" w:rsidRDefault="00000000">
      <w:pPr>
        <w:spacing w:after="60"/>
        <w:ind w:left="720" w:hanging="720"/>
        <w:rPr>
          <w:color w:val="000000" w:themeColor="text1"/>
        </w:rPr>
      </w:pPr>
      <w:r>
        <w:rPr>
          <w:i w:val="0"/>
        </w:rPr>
        <w:t xml:space="preserve">de Abajo, F. J., Rodriguez, L. A. G., &amp; Montero, D. (1999). Association between selective serotonin reuptake inhibitors and upper gastrointestinal bleeding: Population based case-control study. </w:t>
      </w:r>
      <w:r>
        <w:rPr>
          <w:i/>
        </w:rPr>
        <w:t>BMJ, 319</w:t>
      </w:r>
      <w:r>
        <w:rPr>
          <w:i w:val="0"/>
        </w:rPr>
        <w:t xml:space="preserve">(7217), 1106-1109. </w:t>
      </w:r>
      <w:hyperlink r:id="rId38">
        <w:r>
          <w:rPr>
            <w:color w:val="0563C1"/>
            <w:u w:val="single"/>
          </w:rPr>
          <w:t>https://doi.org/10.1136/bmj.319.7217.1106</w:t>
        </w:r>
      </w:hyperlink>
    </w:p>
    <w:p w14:paraId="7B5E6359" w14:textId="77777777" w:rsidR="002F6880" w:rsidRPr="00C12BBF" w:rsidRDefault="00000000">
      <w:pPr>
        <w:spacing w:after="60"/>
        <w:ind w:left="720" w:hanging="720"/>
        <w:rPr>
          <w:color w:val="000000" w:themeColor="text1"/>
        </w:rPr>
      </w:pPr>
      <w:r>
        <w:rPr>
          <w:i w:val="0"/>
        </w:rPr>
        <w:t xml:space="preserve">Mohammed, S., Poudel, S., Laloo, F., Madhur, A., Robert, R., &amp; Mathew, B. (2017). Assessment of drug related problems in a tertiary care teaching hospital, India. </w:t>
      </w:r>
      <w:r>
        <w:rPr>
          <w:i/>
        </w:rPr>
        <w:t>Asian Journal of Pharmaceutical and Clinical Research, 10</w:t>
      </w:r>
      <w:r>
        <w:rPr>
          <w:i w:val="0"/>
        </w:rPr>
        <w:t xml:space="preserve">(2), 310-313. </w:t>
      </w:r>
      <w:hyperlink r:id="rId39">
        <w:r>
          <w:rPr>
            <w:color w:val="0563C1"/>
            <w:u w:val="single"/>
          </w:rPr>
          <w:t>https://doi.org/10.22159/ajpcr.2017.v10i2.15678</w:t>
        </w:r>
      </w:hyperlink>
    </w:p>
    <w:p w14:paraId="6F1643DE" w14:textId="77777777" w:rsidR="002F6880" w:rsidRPr="00C12BBF" w:rsidRDefault="00000000">
      <w:pPr>
        <w:spacing w:after="60"/>
        <w:ind w:left="720" w:hanging="720"/>
        <w:rPr>
          <w:color w:val="000000" w:themeColor="text1"/>
        </w:rPr>
      </w:pPr>
      <w:r>
        <w:rPr>
          <w:highlight w:val="yellow"/>
        </w:rPr>
        <w:t xml:space="preserve">Finnerup, N. B., Attal, N., Haroutounian, S., et al. (2015). Pharmacotherapy for neuropathic pain in adults: A systematic review and meta-analysis. </w:t>
      </w:r>
      <w:r>
        <w:rPr>
          <w:i/>
          <w:highlight w:val="yellow"/>
        </w:rPr>
        <w:t>The Lancet Neurology, 14</w:t>
      </w:r>
      <w:r>
        <w:rPr>
          <w:highlight w:val="yellow"/>
        </w:rPr>
        <w:t xml:space="preserve">(2), 162-173. </w:t>
      </w:r>
      <w:hyperlink r:id="rId15">
        <w:r w:rsidR="002F6880">
          <w:rPr>
            <w:color w:val="0563C1"/>
            <w:highlight w:val="yellow"/>
            <w:u w:val="single"/>
          </w:rPr>
          <w:t>https://doi.org/10.1016/S1474-4422(14)70251-0</w:t>
        </w:r>
      </w:hyperlink>
    </w:p>
    <w:p w14:paraId="44368346" w14:textId="77777777" w:rsidR="002F6880" w:rsidRPr="00C12BBF" w:rsidRDefault="00000000">
      <w:pPr>
        <w:spacing w:after="60"/>
        <w:ind w:left="720" w:hanging="720"/>
        <w:rPr>
          <w:color w:val="000000" w:themeColor="text1"/>
        </w:rPr>
      </w:pPr>
      <w:r>
        <w:rPr>
          <w:highlight w:val="yellow"/>
        </w:rPr>
        <w:t xml:space="preserve">Freudenreich, O., &amp; Kontos, N. (2010). Psychopharmacology in the medical inpatient setting. </w:t>
      </w:r>
      <w:r>
        <w:rPr>
          <w:i/>
          <w:highlight w:val="yellow"/>
        </w:rPr>
        <w:t>Medical Clinics of North America, 94</w:t>
      </w:r>
      <w:r>
        <w:rPr>
          <w:highlight w:val="yellow"/>
        </w:rPr>
        <w:t xml:space="preserve">(6), 1123-1140. </w:t>
      </w:r>
      <w:hyperlink r:id="rId16">
        <w:r w:rsidR="002F6880">
          <w:rPr>
            <w:color w:val="0563C1"/>
            <w:highlight w:val="yellow"/>
            <w:u w:val="single"/>
          </w:rPr>
          <w:t>https://doi.org/10.1016/j.mcna.2010.08.007</w:t>
        </w:r>
      </w:hyperlink>
    </w:p>
    <w:p w14:paraId="7A56F65C" w14:textId="77777777" w:rsidR="002F6880" w:rsidRPr="00C12BBF" w:rsidRDefault="00000000">
      <w:pPr>
        <w:spacing w:after="60"/>
        <w:ind w:left="720" w:hanging="720"/>
        <w:rPr>
          <w:color w:val="000000" w:themeColor="text1"/>
        </w:rPr>
      </w:pPr>
      <w:r>
        <w:rPr>
          <w:highlight w:val="yellow"/>
        </w:rPr>
        <w:t xml:space="preserve">Gan, T. J., Belani, K. G., Bergese, S., et al. (2020). Fourth consensus guidelines for the management of postoperative nausea and vomiting. </w:t>
      </w:r>
      <w:r>
        <w:rPr>
          <w:i/>
          <w:highlight w:val="yellow"/>
        </w:rPr>
        <w:t>Anesthesia &amp; Analgesia, 131</w:t>
      </w:r>
      <w:r>
        <w:rPr>
          <w:highlight w:val="yellow"/>
        </w:rPr>
        <w:t xml:space="preserve">(2), 411-448. </w:t>
      </w:r>
      <w:hyperlink r:id="rId17">
        <w:r w:rsidR="002F6880">
          <w:rPr>
            <w:color w:val="0563C1"/>
            <w:highlight w:val="yellow"/>
            <w:u w:val="single"/>
          </w:rPr>
          <w:t>https://doi.org/10.1213/ANE.0000000000004833</w:t>
        </w:r>
      </w:hyperlink>
    </w:p>
    <w:p w14:paraId="753610C5" w14:textId="77777777" w:rsidR="002F6880" w:rsidRPr="00C12BBF" w:rsidRDefault="00000000">
      <w:pPr>
        <w:spacing w:after="60"/>
        <w:ind w:left="720" w:hanging="720"/>
        <w:rPr>
          <w:color w:val="000000" w:themeColor="text1"/>
        </w:rPr>
      </w:pPr>
      <w:r>
        <w:rPr>
          <w:highlight w:val="yellow"/>
        </w:rPr>
        <w:t xml:space="preserve">Gillespie, U., Alassaad, A., Hammarlund-Udenaes, M., et al. (2009). Effects of clinical pharmacist interventions on health outcomes in an inpatient setting. </w:t>
      </w:r>
      <w:r>
        <w:rPr>
          <w:i/>
          <w:highlight w:val="yellow"/>
        </w:rPr>
        <w:t>Archives of Internal Medicine, 169</w:t>
      </w:r>
      <w:r>
        <w:rPr>
          <w:highlight w:val="yellow"/>
        </w:rPr>
        <w:t xml:space="preserve">(9), 854-862. </w:t>
      </w:r>
      <w:hyperlink r:id="rId18">
        <w:r w:rsidR="002F6880">
          <w:rPr>
            <w:color w:val="0563C1"/>
            <w:highlight w:val="yellow"/>
            <w:u w:val="single"/>
          </w:rPr>
          <w:t>https://doi.org/10.1001/archinternmed.2009.59</w:t>
        </w:r>
      </w:hyperlink>
    </w:p>
    <w:p w14:paraId="362E3E64" w14:textId="77777777" w:rsidR="002F6880" w:rsidRPr="00C12BBF" w:rsidRDefault="00000000">
      <w:pPr>
        <w:spacing w:after="60"/>
        <w:ind w:left="720" w:hanging="720"/>
        <w:rPr>
          <w:color w:val="000000" w:themeColor="text1"/>
        </w:rPr>
      </w:pPr>
      <w:r>
        <w:rPr>
          <w:i w:val="0"/>
        </w:rPr>
        <w:t xml:space="preserve">Salzman, C. (1981). Psychotropic drug use and polypharmacy in a general hospital. </w:t>
      </w:r>
      <w:r>
        <w:rPr>
          <w:i/>
        </w:rPr>
        <w:t>General Hospital Psychiatry, 3</w:t>
      </w:r>
      <w:r>
        <w:rPr>
          <w:i w:val="0"/>
        </w:rPr>
        <w:t xml:space="preserve">(1), 1-9. </w:t>
      </w:r>
      <w:hyperlink r:id="rId40">
        <w:r>
          <w:rPr>
            <w:color w:val="0563C1"/>
            <w:u w:val="single"/>
          </w:rPr>
          <w:t>https://doi.org/10.1016/0163-8343(81)90016-5</w:t>
        </w:r>
      </w:hyperlink>
    </w:p>
    <w:p w14:paraId="271C60AA" w14:textId="77777777" w:rsidR="002F6880" w:rsidRPr="00C12BBF" w:rsidRDefault="00000000">
      <w:pPr>
        <w:spacing w:after="60"/>
        <w:ind w:left="720" w:hanging="720"/>
        <w:rPr>
          <w:color w:val="000000" w:themeColor="text1"/>
        </w:rPr>
      </w:pPr>
      <w:r>
        <w:rPr>
          <w:highlight w:val="yellow"/>
        </w:rPr>
        <w:t xml:space="preserve">Hepler, C. D., &amp; Strand, L. M. (1990). Opportunities and responsibilities in pharmaceutical care. </w:t>
      </w:r>
      <w:r>
        <w:rPr>
          <w:i/>
          <w:highlight w:val="yellow"/>
        </w:rPr>
        <w:t>American Journal of Hospital Pharmacy, 47</w:t>
      </w:r>
      <w:r>
        <w:rPr>
          <w:highlight w:val="yellow"/>
        </w:rPr>
        <w:t xml:space="preserve">(3), 533-543. </w:t>
      </w:r>
      <w:hyperlink r:id="rId19">
        <w:r w:rsidR="002F6880">
          <w:rPr>
            <w:color w:val="0563C1"/>
            <w:highlight w:val="yellow"/>
            <w:u w:val="single"/>
          </w:rPr>
          <w:t>https://doi.org/10.1093/ajhp/47.3.533</w:t>
        </w:r>
      </w:hyperlink>
    </w:p>
    <w:p w14:paraId="06B5278A" w14:textId="77777777" w:rsidR="002F6880" w:rsidRPr="00C12BBF" w:rsidRDefault="00000000">
      <w:pPr>
        <w:spacing w:after="60"/>
        <w:ind w:left="720" w:hanging="720"/>
        <w:rPr>
          <w:color w:val="000000" w:themeColor="text1"/>
        </w:rPr>
      </w:pPr>
      <w:r>
        <w:rPr>
          <w:i w:val="0"/>
        </w:rPr>
        <w:t xml:space="preserve">Naseralallah, L., Koraysh, S., Alasmar, M., &amp; Aboujabal, B. (2025a). Effect of pharmacist care on clinical outcomes and therapy optimization in perioperative settings: A systematic review. </w:t>
      </w:r>
      <w:r>
        <w:rPr>
          <w:i/>
        </w:rPr>
        <w:t>American Journal of Health-System Pharmacy, 82</w:t>
      </w:r>
      <w:r>
        <w:rPr>
          <w:i w:val="0"/>
        </w:rPr>
        <w:t xml:space="preserve">(1), 44-73. </w:t>
      </w:r>
      <w:hyperlink r:id="rId41">
        <w:r>
          <w:rPr>
            <w:color w:val="0563C1"/>
            <w:u w:val="single"/>
          </w:rPr>
          <w:t>https://doi.org/10.1093/ajhp/zxae177</w:t>
        </w:r>
      </w:hyperlink>
    </w:p>
    <w:p w14:paraId="6EBA7B13" w14:textId="77777777" w:rsidR="002F6880" w:rsidRPr="00C12BBF" w:rsidRDefault="00000000">
      <w:pPr>
        <w:spacing w:after="60"/>
        <w:ind w:left="720" w:hanging="720"/>
        <w:rPr>
          <w:color w:val="000000" w:themeColor="text1"/>
        </w:rPr>
      </w:pPr>
      <w:r>
        <w:rPr>
          <w:i w:val="0"/>
        </w:rPr>
        <w:t xml:space="preserve">Brunero, S., Wand, A. P. F., Lamont, S., &amp; John, L. (2016). A point prevalence study of the use of psychotropic medication in an acute general hospital. </w:t>
      </w:r>
      <w:r>
        <w:rPr>
          <w:i/>
        </w:rPr>
        <w:t>International Psychogeriatrics, 28</w:t>
      </w:r>
      <w:r>
        <w:rPr>
          <w:i w:val="0"/>
        </w:rPr>
        <w:t xml:space="preserve">(6), 967-975. </w:t>
      </w:r>
      <w:hyperlink r:id="rId42">
        <w:r>
          <w:rPr>
            <w:color w:val="0563C1"/>
            <w:u w:val="single"/>
          </w:rPr>
          <w:t>https://doi.org/10.1017/S104161021500232X</w:t>
        </w:r>
      </w:hyperlink>
    </w:p>
    <w:p w14:paraId="03106C9C" w14:textId="77777777" w:rsidR="002F6880" w:rsidRPr="00C12BBF" w:rsidRDefault="00000000">
      <w:pPr>
        <w:spacing w:after="60"/>
        <w:ind w:left="720" w:hanging="720"/>
        <w:rPr>
          <w:color w:val="000000" w:themeColor="text1"/>
        </w:rPr>
      </w:pPr>
      <w:r>
        <w:rPr>
          <w:highlight w:val="yellow"/>
        </w:rPr>
        <w:t xml:space="preserve">Inouye, S. K., Westendorp, R. G., &amp; Saczynski, J. S. (2014). Delirium in elderly people. </w:t>
      </w:r>
      <w:r>
        <w:rPr>
          <w:i/>
          <w:highlight w:val="yellow"/>
        </w:rPr>
        <w:t>The Lancet, 383</w:t>
      </w:r>
      <w:r>
        <w:rPr>
          <w:highlight w:val="yellow"/>
        </w:rPr>
        <w:t xml:space="preserve">(9920), 911-922. </w:t>
      </w:r>
      <w:hyperlink r:id="rId21">
        <w:r w:rsidR="002F6880">
          <w:rPr>
            <w:color w:val="0563C1"/>
            <w:highlight w:val="yellow"/>
            <w:u w:val="single"/>
          </w:rPr>
          <w:t>https://doi.org/10.1016/S0140-6736(13)60688-1</w:t>
        </w:r>
      </w:hyperlink>
    </w:p>
    <w:p w14:paraId="282354F2" w14:textId="77777777" w:rsidR="002F6880" w:rsidRPr="00C12BBF" w:rsidRDefault="00000000">
      <w:pPr>
        <w:spacing w:after="60"/>
        <w:ind w:left="720" w:hanging="720"/>
        <w:rPr>
          <w:color w:val="000000" w:themeColor="text1"/>
        </w:rPr>
      </w:pPr>
      <w:r>
        <w:rPr>
          <w:highlight w:val="yellow"/>
        </w:rPr>
        <w:t xml:space="preserve">Juurlink, D. N., Mamdani, M., Kopp, A., et al. (2003). Drug-drug interactions among elderly patients hospitalized for drug toxicity. </w:t>
      </w:r>
      <w:r>
        <w:rPr>
          <w:i/>
          <w:highlight w:val="yellow"/>
        </w:rPr>
        <w:t>JAMA, 289</w:t>
      </w:r>
      <w:r>
        <w:rPr>
          <w:highlight w:val="yellow"/>
        </w:rPr>
        <w:t xml:space="preserve">(13), 1652-1658. </w:t>
      </w:r>
      <w:hyperlink r:id="rId22">
        <w:r w:rsidR="002F6880">
          <w:rPr>
            <w:color w:val="0563C1"/>
            <w:highlight w:val="yellow"/>
            <w:u w:val="single"/>
          </w:rPr>
          <w:t>https://doi.org/10.1001/jama.289.13.1652</w:t>
        </w:r>
      </w:hyperlink>
    </w:p>
    <w:p w14:paraId="6E7E8B33" w14:textId="77777777" w:rsidR="002F6880" w:rsidRPr="00C12BBF" w:rsidRDefault="00000000">
      <w:pPr>
        <w:spacing w:after="60"/>
        <w:ind w:left="720" w:hanging="720"/>
        <w:rPr>
          <w:color w:val="000000" w:themeColor="text1"/>
        </w:rPr>
      </w:pPr>
      <w:r>
        <w:rPr>
          <w:highlight w:val="yellow"/>
        </w:rPr>
        <w:t xml:space="preserve">Lazarou, J., Pomeranz, B. H., &amp; Corey, P. N. (1998). Incidence of adverse drug reactions in hospitalized patients: A meta-analysis of prospective studies. </w:t>
      </w:r>
      <w:r>
        <w:rPr>
          <w:i/>
          <w:highlight w:val="yellow"/>
        </w:rPr>
        <w:t>JAMA, 279</w:t>
      </w:r>
      <w:r>
        <w:rPr>
          <w:highlight w:val="yellow"/>
        </w:rPr>
        <w:t xml:space="preserve">(15), 1200-1205. </w:t>
      </w:r>
      <w:hyperlink r:id="rId23">
        <w:r w:rsidR="002F6880">
          <w:rPr>
            <w:color w:val="0563C1"/>
            <w:highlight w:val="yellow"/>
            <w:u w:val="single"/>
          </w:rPr>
          <w:t>https://doi.org/10.1001/jama.279.15.1200</w:t>
        </w:r>
      </w:hyperlink>
    </w:p>
    <w:p w14:paraId="07AF18B8" w14:textId="77777777" w:rsidR="002F6880" w:rsidRPr="00C12BBF" w:rsidRDefault="00000000">
      <w:pPr>
        <w:spacing w:after="60"/>
        <w:ind w:left="720" w:hanging="720"/>
        <w:rPr>
          <w:color w:val="000000" w:themeColor="text1"/>
        </w:rPr>
      </w:pPr>
      <w:r>
        <w:rPr>
          <w:highlight w:val="yellow"/>
        </w:rPr>
        <w:t xml:space="preserve">Magro, L., Moretti, U., &amp; Leone, R. (2012). Epidemiology and characteristics of adverse drug reactions caused by drug-drug interactions. </w:t>
      </w:r>
      <w:r>
        <w:rPr>
          <w:i/>
          <w:highlight w:val="yellow"/>
        </w:rPr>
        <w:t>Expert Opinion on Drug Safety, 11</w:t>
      </w:r>
      <w:r>
        <w:rPr>
          <w:highlight w:val="yellow"/>
        </w:rPr>
        <w:t xml:space="preserve">(1), 83-94. </w:t>
      </w:r>
      <w:hyperlink r:id="rId24">
        <w:r w:rsidR="002F6880">
          <w:rPr>
            <w:color w:val="0563C1"/>
            <w:highlight w:val="yellow"/>
            <w:u w:val="single"/>
          </w:rPr>
          <w:t>https://doi.org/10.1517/14740338.2012.631910</w:t>
        </w:r>
      </w:hyperlink>
    </w:p>
    <w:p w14:paraId="6354019D" w14:textId="77777777" w:rsidR="002F6880" w:rsidRPr="00C12BBF" w:rsidRDefault="00000000">
      <w:pPr>
        <w:spacing w:after="60"/>
        <w:ind w:left="720" w:hanging="720"/>
        <w:rPr>
          <w:color w:val="000000" w:themeColor="text1"/>
        </w:rPr>
      </w:pPr>
      <w:r>
        <w:rPr>
          <w:highlight w:val="yellow"/>
        </w:rPr>
        <w:t xml:space="preserve">Moore, N., Lecointre, D., Noblet, C., &amp; Mabille, M. (1998). Frequency and cost of serious adverse drug reactions in a department of general medicine. </w:t>
      </w:r>
      <w:r>
        <w:rPr>
          <w:i/>
          <w:highlight w:val="yellow"/>
        </w:rPr>
        <w:t>British Journal of Clinical Pharmacology, 45</w:t>
      </w:r>
      <w:r>
        <w:rPr>
          <w:highlight w:val="yellow"/>
        </w:rPr>
        <w:t xml:space="preserve">(3), 301-308. </w:t>
      </w:r>
      <w:hyperlink r:id="rId25">
        <w:r w:rsidR="002F6880">
          <w:rPr>
            <w:color w:val="0563C1"/>
            <w:highlight w:val="yellow"/>
            <w:u w:val="single"/>
          </w:rPr>
          <w:t>https://doi.org/10.1046/j.1365-2125.1998.00667.x</w:t>
        </w:r>
      </w:hyperlink>
    </w:p>
    <w:p w14:paraId="28CEDBC6" w14:textId="77777777" w:rsidR="002F6880" w:rsidRPr="00C12BBF" w:rsidRDefault="00000000">
      <w:pPr>
        <w:spacing w:after="60"/>
        <w:ind w:left="720" w:hanging="720"/>
        <w:rPr>
          <w:color w:val="000000" w:themeColor="text1"/>
        </w:rPr>
      </w:pPr>
      <w:r>
        <w:rPr>
          <w:highlight w:val="yellow"/>
        </w:rPr>
        <w:t xml:space="preserve">Naranjo, C. A., Busto, U., Sellers, E. M., et al. (1981). A method for estimating the probability of adverse drug reactions. </w:t>
      </w:r>
      <w:r>
        <w:rPr>
          <w:i/>
          <w:highlight w:val="yellow"/>
        </w:rPr>
        <w:t>Clinical Pharmacology &amp; Therapeutics, 30</w:t>
      </w:r>
      <w:r>
        <w:rPr>
          <w:highlight w:val="yellow"/>
        </w:rPr>
        <w:t xml:space="preserve">(2), 239-245. </w:t>
      </w:r>
      <w:hyperlink r:id="rId26">
        <w:r w:rsidR="002F6880">
          <w:rPr>
            <w:color w:val="0563C1"/>
            <w:highlight w:val="yellow"/>
            <w:u w:val="single"/>
          </w:rPr>
          <w:t>https://doi.org/10.1038/clpt.1981.154</w:t>
        </w:r>
      </w:hyperlink>
    </w:p>
    <w:p w14:paraId="22D1F873" w14:textId="77777777" w:rsidR="002F6880" w:rsidRPr="00C12BBF" w:rsidRDefault="00000000">
      <w:pPr>
        <w:spacing w:after="60"/>
        <w:ind w:left="720" w:hanging="720"/>
        <w:rPr>
          <w:color w:val="000000" w:themeColor="text1"/>
        </w:rPr>
      </w:pPr>
      <w:r>
        <w:rPr>
          <w:highlight w:val="yellow"/>
        </w:rPr>
        <w:t xml:space="preserve">Panyala, S. M., James, J., Mahima Prakash, M. D., Mahima H. Krishna, &amp; Jaidev Kumar, B. R. (2025). Assessment of drug related problems in tertiary care hospital. </w:t>
      </w:r>
      <w:r>
        <w:rPr>
          <w:i/>
          <w:highlight w:val="yellow"/>
        </w:rPr>
        <w:t>Journal of Pharmaceutical Research International, 37</w:t>
      </w:r>
      <w:r>
        <w:rPr>
          <w:highlight w:val="yellow"/>
        </w:rPr>
        <w:t xml:space="preserve">(12), 245-254. </w:t>
      </w:r>
      <w:hyperlink r:id="rId27">
        <w:r w:rsidR="002F6880">
          <w:rPr>
            <w:color w:val="0563C1"/>
            <w:highlight w:val="yellow"/>
            <w:u w:val="single"/>
          </w:rPr>
          <w:t>https://doi.org/10.9734/jpri/2025/v37i127796</w:t>
        </w:r>
      </w:hyperlink>
    </w:p>
    <w:p w14:paraId="6C350C1F" w14:textId="77777777" w:rsidR="002F6880" w:rsidRPr="00C12BBF" w:rsidRDefault="00000000">
      <w:pPr>
        <w:spacing w:after="60"/>
        <w:ind w:left="720" w:hanging="720"/>
        <w:rPr>
          <w:color w:val="000000" w:themeColor="text1"/>
        </w:rPr>
      </w:pPr>
      <w:r>
        <w:rPr>
          <w:highlight w:val="yellow"/>
        </w:rPr>
        <w:t xml:space="preserve">Radley, D. C., Finkelstein, S. N., &amp; Stafford, R. S. (2006). Off-label prescribing among office-based physicians. </w:t>
      </w:r>
      <w:r>
        <w:rPr>
          <w:i/>
          <w:highlight w:val="yellow"/>
        </w:rPr>
        <w:t>Archives of Internal Medicine, 166</w:t>
      </w:r>
      <w:r>
        <w:rPr>
          <w:highlight w:val="yellow"/>
        </w:rPr>
        <w:t xml:space="preserve">(9), 1021-1026. </w:t>
      </w:r>
      <w:hyperlink r:id="rId28">
        <w:r w:rsidR="002F6880">
          <w:rPr>
            <w:color w:val="0563C1"/>
            <w:highlight w:val="yellow"/>
            <w:u w:val="single"/>
          </w:rPr>
          <w:t>https://doi.org/10.1001/archinte.166.9.1021</w:t>
        </w:r>
      </w:hyperlink>
    </w:p>
    <w:p w14:paraId="4A1EF1E1" w14:textId="77777777" w:rsidR="002F6880" w:rsidRPr="00C12BBF" w:rsidRDefault="00000000">
      <w:pPr>
        <w:spacing w:after="60"/>
        <w:ind w:left="720" w:hanging="720"/>
        <w:rPr>
          <w:color w:val="000000" w:themeColor="text1"/>
        </w:rPr>
      </w:pPr>
      <w:r>
        <w:rPr>
          <w:highlight w:val="yellow"/>
        </w:rPr>
        <w:t xml:space="preserve">Rankovic, A., Milentijevic, I., &amp; Jankovic, S. (2024). Factors associated with potential drug-drug interactions in psychiatric inpatients. </w:t>
      </w:r>
      <w:r>
        <w:rPr>
          <w:i/>
          <w:highlight w:val="yellow"/>
        </w:rPr>
        <w:t>European Journal of Hospital Pharmacy, 31</w:t>
      </w:r>
      <w:r>
        <w:rPr>
          <w:highlight w:val="yellow"/>
        </w:rPr>
        <w:t xml:space="preserve">(2), 127-134. </w:t>
      </w:r>
      <w:hyperlink r:id="rId29">
        <w:r w:rsidR="002F6880">
          <w:rPr>
            <w:color w:val="0563C1"/>
            <w:highlight w:val="yellow"/>
            <w:u w:val="single"/>
          </w:rPr>
          <w:t>https://doi.org/10.1136/ejhpharm-2022-003262</w:t>
        </w:r>
      </w:hyperlink>
    </w:p>
    <w:p w14:paraId="20321EE1" w14:textId="77777777" w:rsidR="002F6880" w:rsidRPr="00C12BBF" w:rsidRDefault="00000000">
      <w:pPr>
        <w:spacing w:after="60"/>
        <w:ind w:left="720" w:hanging="720"/>
        <w:rPr>
          <w:color w:val="000000" w:themeColor="text1"/>
        </w:rPr>
      </w:pPr>
      <w:r>
        <w:rPr>
          <w:i w:val="0"/>
        </w:rPr>
        <w:t xml:space="preserve">Sinclair, L. I., Davies, S. J. C., Parton, G., &amp; Potokar, J. P. (2010). Drug-drug interactions in general hospital and psychiatric hospital in-patients prescribed psychotropic medications. </w:t>
      </w:r>
      <w:r>
        <w:rPr>
          <w:i/>
        </w:rPr>
        <w:t>International Journal of Psychiatry in Clinical Practice, 14</w:t>
      </w:r>
      <w:r>
        <w:rPr>
          <w:i w:val="0"/>
        </w:rPr>
        <w:t xml:space="preserve">(3), 212-219. </w:t>
      </w:r>
      <w:hyperlink r:id="rId43">
        <w:r>
          <w:rPr>
            <w:color w:val="0563C1"/>
            <w:u w:val="single"/>
          </w:rPr>
          <w:t>https://doi.org/10.3109/13651501.2010.486899</w:t>
        </w:r>
      </w:hyperlink>
    </w:p>
    <w:p w14:paraId="3DD764EC" w14:textId="77777777" w:rsidR="002F6880" w:rsidRPr="00C12BBF" w:rsidRDefault="00000000">
      <w:pPr>
        <w:spacing w:after="60"/>
        <w:ind w:left="720" w:hanging="720"/>
        <w:rPr>
          <w:color w:val="000000" w:themeColor="text1"/>
        </w:rPr>
      </w:pPr>
      <w:r>
        <w:rPr>
          <w:highlight w:val="yellow"/>
        </w:rPr>
        <w:t xml:space="preserve">Roden, D. M. (2004). Drug-induced prolongation of the QT interval. </w:t>
      </w:r>
      <w:r>
        <w:rPr>
          <w:i/>
          <w:highlight w:val="yellow"/>
        </w:rPr>
        <w:t>New England Journal of Medicine, 350</w:t>
      </w:r>
      <w:r>
        <w:rPr>
          <w:highlight w:val="yellow"/>
        </w:rPr>
        <w:t xml:space="preserve">(10), 1013-1022. </w:t>
      </w:r>
      <w:hyperlink r:id="rId30">
        <w:r w:rsidR="002F6880">
          <w:rPr>
            <w:color w:val="0563C1"/>
            <w:highlight w:val="yellow"/>
            <w:u w:val="single"/>
          </w:rPr>
          <w:t>https://doi.org/10.1056/NEJMra032426</w:t>
        </w:r>
      </w:hyperlink>
    </w:p>
    <w:p w14:paraId="0B477AA5" w14:textId="77777777" w:rsidR="002F6880" w:rsidRPr="00C12BBF" w:rsidRDefault="00000000">
      <w:pPr>
        <w:spacing w:after="60"/>
        <w:ind w:left="720" w:hanging="720"/>
        <w:rPr>
          <w:color w:val="000000" w:themeColor="text1"/>
        </w:rPr>
      </w:pPr>
      <w:r>
        <w:rPr>
          <w:highlight w:val="yellow"/>
        </w:rPr>
        <w:t xml:space="preserve">Sansone, R. A., &amp; Sansone, L. A. (2009). Tramadol: Seizures, serotonin syndrome, and co-prescriptions. </w:t>
      </w:r>
      <w:r>
        <w:rPr>
          <w:i/>
          <w:highlight w:val="yellow"/>
        </w:rPr>
        <w:t>Psychiatry (Edgmont), 6</w:t>
      </w:r>
      <w:r>
        <w:rPr>
          <w:highlight w:val="yellow"/>
        </w:rPr>
        <w:t>(4), 17-21.</w:t>
      </w:r>
    </w:p>
    <w:p w14:paraId="5038B54D" w14:textId="77777777" w:rsidR="002F6880" w:rsidRPr="00C12BBF" w:rsidRDefault="00000000">
      <w:pPr>
        <w:spacing w:after="60"/>
        <w:ind w:left="720" w:hanging="720"/>
        <w:rPr>
          <w:color w:val="000000" w:themeColor="text1"/>
        </w:rPr>
      </w:pPr>
      <w:r>
        <w:rPr>
          <w:i w:val="0"/>
        </w:rPr>
        <w:t xml:space="preserve">Sateia, M. J., Buysse, D. J., Krystal, A. D., Neubauer, D. N., &amp; Heald, J. L. (2017). Clinical practice guideline for the pharmacologic treatment of chronic insomnia in adults: An American Academy of Sleep Medicine clinical practice guideline. </w:t>
      </w:r>
      <w:r>
        <w:rPr>
          <w:i/>
        </w:rPr>
        <w:t>Journal of Clinical Sleep Medicine, 13</w:t>
      </w:r>
      <w:r>
        <w:rPr>
          <w:i w:val="0"/>
        </w:rPr>
        <w:t xml:space="preserve">(2), 307-349. </w:t>
      </w:r>
      <w:hyperlink r:id="rId44">
        <w:r>
          <w:rPr>
            <w:color w:val="0563C1"/>
            <w:u w:val="single"/>
          </w:rPr>
          <w:t>https://doi.org/10.5664/jcsm.6470</w:t>
        </w:r>
      </w:hyperlink>
    </w:p>
    <w:p w14:paraId="2A902F01" w14:textId="77777777" w:rsidR="002F6880" w:rsidRPr="00C12BBF" w:rsidRDefault="00000000">
      <w:pPr>
        <w:spacing w:after="60"/>
        <w:ind w:left="720" w:hanging="720"/>
        <w:rPr>
          <w:color w:val="000000" w:themeColor="text1"/>
        </w:rPr>
      </w:pPr>
      <w:r>
        <w:rPr>
          <w:highlight w:val="yellow"/>
        </w:rPr>
        <w:t xml:space="preserve">Suhail, S. M., Kandipalli, D., Lakshmi, Kumar, A. C., Reddy, M. V. M., Lakshmi, M. P., &amp; Chandra, P. S. (2022). A prospective study on drug utilisation and evaluation of anti-retroviral therapy and anti-tuberculosis treatment in a tertiary care hospital. </w:t>
      </w:r>
      <w:r>
        <w:rPr>
          <w:i/>
          <w:highlight w:val="yellow"/>
        </w:rPr>
        <w:t>Journal of Disease and Global Health, 15</w:t>
      </w:r>
      <w:r>
        <w:rPr>
          <w:highlight w:val="yellow"/>
        </w:rPr>
        <w:t xml:space="preserve">(1), 9-17. </w:t>
      </w:r>
      <w:hyperlink r:id="rId32">
        <w:r w:rsidR="002F6880">
          <w:rPr>
            <w:color w:val="0563C1"/>
            <w:highlight w:val="yellow"/>
            <w:u w:val="single"/>
          </w:rPr>
          <w:t>https://doi.org/10.56557/jodagh/2022/v15i17650</w:t>
        </w:r>
      </w:hyperlink>
    </w:p>
    <w:p w14:paraId="7867FFA5" w14:textId="77777777" w:rsidR="004024C2" w:rsidRDefault="00000000">
      <w:pPr>
        <w:spacing w:after="60"/>
        <w:ind w:left="720" w:hanging="720"/>
        <w:rPr>
          <w:color w:val="000000" w:themeColor="text1"/>
        </w:rPr>
      </w:pPr>
      <w:r>
        <w:rPr>
          <w:i w:val="0"/>
        </w:rPr>
        <w:t xml:space="preserve">Naseralallah, L., Koraysh, S., Alasmar, M., &amp; Aboujabal, B. (2025b). The role of pharmacists in mitigating medication errors in the perioperative setting: A systematic review. </w:t>
      </w:r>
      <w:r>
        <w:rPr>
          <w:i/>
        </w:rPr>
        <w:t>Systematic Reviews, 14</w:t>
      </w:r>
      <w:r>
        <w:rPr>
          <w:i w:val="0"/>
        </w:rPr>
        <w:t xml:space="preserve">(1), 12. </w:t>
      </w:r>
      <w:hyperlink r:id="rId45">
        <w:r>
          <w:rPr>
            <w:color w:val="0563C1"/>
            <w:u w:val="single"/>
          </w:rPr>
          <w:t>https://doi.org/10.1186/s13643-024-02710-1</w:t>
        </w:r>
      </w:hyperlink>
    </w:p>
    <w:p w14:paraId="48C74551" w14:textId="77777777" w:rsidR="004024C2" w:rsidRDefault="00000000">
      <w:pPr>
        <w:spacing w:after="60"/>
        <w:ind w:left="720" w:hanging="720"/>
        <w:rPr>
          <w:color w:val="000000" w:themeColor="text1"/>
        </w:rPr>
      </w:pPr>
      <w:r>
        <w:rPr>
          <w:highlight w:val="yellow"/>
        </w:rPr>
        <w:t xml:space="preserve">Taylor, D., Barnes, T., &amp; Young, A. (2021). </w:t>
      </w:r>
      <w:r>
        <w:rPr>
          <w:i/>
          <w:highlight w:val="yellow"/>
        </w:rPr>
        <w:t>The Maudsley Prescribing Guidelines in Psychiatry</w:t>
      </w:r>
      <w:r>
        <w:rPr>
          <w:highlight w:val="yellow"/>
        </w:rPr>
        <w:t xml:space="preserve"> (14th ed.). Wiley-Blackwell.</w:t>
      </w:r>
    </w:p>
    <w:p w14:paraId="1FBB0F51" w14:textId="77777777" w:rsidR="004024C2" w:rsidRDefault="00000000">
      <w:pPr>
        <w:spacing w:after="60"/>
        <w:ind w:left="720" w:hanging="720"/>
        <w:rPr>
          <w:color w:val="000000" w:themeColor="text1"/>
        </w:rPr>
      </w:pPr>
      <w:r>
        <w:rPr>
          <w:highlight w:val="yellow"/>
        </w:rPr>
        <w:t xml:space="preserve">U.S. Food and Drug Administration. (2016). </w:t>
      </w:r>
      <w:r>
        <w:rPr>
          <w:i/>
          <w:highlight w:val="yellow"/>
        </w:rPr>
        <w:t>FDA Drug Safety Communication: FDA warns about serious risks and death when combining opioid pain or cough medicines with benzodiazepines</w:t>
      </w:r>
      <w:r>
        <w:rPr>
          <w:highlight w:val="yellow"/>
        </w:rPr>
        <w:t xml:space="preserve"> (updated 2021). </w:t>
      </w:r>
      <w:hyperlink r:id="rId33">
        <w:r w:rsidR="004024C2">
          <w:rPr>
            <w:color w:val="0563C1"/>
            <w:highlight w:val="yellow"/>
            <w:u w:val="single"/>
          </w:rPr>
          <w:t>https://www.fda.gov/drugs/information-drug-class/new-safety-measures-announced-opioid-analgesics-prescription-opioid-cough-products-and</w:t>
        </w:r>
      </w:hyperlink>
    </w:p>
    <w:p w14:paraId="66475690" w14:textId="77777777" w:rsidR="004024C2" w:rsidRDefault="00000000">
      <w:pPr>
        <w:spacing w:after="60"/>
        <w:ind w:left="720" w:hanging="720"/>
        <w:rPr>
          <w:color w:val="000000" w:themeColor="text1"/>
        </w:rPr>
      </w:pPr>
      <w:r>
        <w:rPr>
          <w:i w:val="0"/>
        </w:rPr>
        <w:t xml:space="preserve">Vieweg, W. V. R. (2003). New generation antipsychotic drugs and QTc interval prolongation. </w:t>
      </w:r>
      <w:r>
        <w:rPr>
          <w:i/>
        </w:rPr>
        <w:t>Primary Care Companion to the Journal of Clinical Psychiatry, 5</w:t>
      </w:r>
      <w:r>
        <w:rPr>
          <w:i w:val="0"/>
        </w:rPr>
        <w:t xml:space="preserve">(5), 205-215. </w:t>
      </w:r>
      <w:hyperlink r:id="rId46">
        <w:r>
          <w:rPr>
            <w:color w:val="0563C1"/>
            <w:u w:val="single"/>
          </w:rPr>
          <w:t>https://doi.org/10.4088/PCC.v05n0504</w:t>
        </w:r>
      </w:hyperlink>
    </w:p>
    <w:p w14:paraId="59D0BEBC" w14:textId="77777777" w:rsidR="004024C2" w:rsidRDefault="00000000">
      <w:pPr>
        <w:spacing w:after="60"/>
        <w:ind w:left="720" w:hanging="720"/>
        <w:rPr>
          <w:color w:val="000000" w:themeColor="text1"/>
        </w:rPr>
      </w:pPr>
      <w:r>
        <w:rPr>
          <w:highlight w:val="yellow"/>
        </w:rPr>
        <w:t xml:space="preserve">World Health Organization. (1969). </w:t>
      </w:r>
      <w:r>
        <w:rPr>
          <w:i/>
          <w:highlight w:val="yellow"/>
        </w:rPr>
        <w:t>International drug monitoring: The role of the hospital</w:t>
      </w:r>
      <w:r>
        <w:rPr>
          <w:highlight w:val="yellow"/>
        </w:rPr>
        <w:t xml:space="preserve"> (WHO Technical Report Series No. 425). World Health Organization.</w:t>
      </w:r>
    </w:p>
    <w:sectPr w:rsidR="004024C2"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55550799">
    <w:abstractNumId w:val="8"/>
  </w:num>
  <w:num w:numId="2" w16cid:durableId="906233629">
    <w:abstractNumId w:val="6"/>
  </w:num>
  <w:num w:numId="3" w16cid:durableId="529147004">
    <w:abstractNumId w:val="5"/>
  </w:num>
  <w:num w:numId="4" w16cid:durableId="601500299">
    <w:abstractNumId w:val="4"/>
  </w:num>
  <w:num w:numId="5" w16cid:durableId="22367075">
    <w:abstractNumId w:val="7"/>
  </w:num>
  <w:num w:numId="6" w16cid:durableId="969441027">
    <w:abstractNumId w:val="3"/>
  </w:num>
  <w:num w:numId="7" w16cid:durableId="431827210">
    <w:abstractNumId w:val="2"/>
  </w:num>
  <w:num w:numId="8" w16cid:durableId="1654721534">
    <w:abstractNumId w:val="1"/>
  </w:num>
  <w:num w:numId="9" w16cid:durableId="18995845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33C51"/>
    <w:rsid w:val="0015074B"/>
    <w:rsid w:val="001A40AE"/>
    <w:rsid w:val="0029639D"/>
    <w:rsid w:val="002F6880"/>
    <w:rsid w:val="00326F90"/>
    <w:rsid w:val="0039484D"/>
    <w:rsid w:val="003D43CC"/>
    <w:rsid w:val="004024C2"/>
    <w:rsid w:val="004D71DE"/>
    <w:rsid w:val="005C5C3D"/>
    <w:rsid w:val="00755BB7"/>
    <w:rsid w:val="007B6B60"/>
    <w:rsid w:val="0088613B"/>
    <w:rsid w:val="00956866"/>
    <w:rsid w:val="009F3F53"/>
    <w:rsid w:val="00A81D37"/>
    <w:rsid w:val="00AA1D8D"/>
    <w:rsid w:val="00AE27C2"/>
    <w:rsid w:val="00AF0478"/>
    <w:rsid w:val="00B47730"/>
    <w:rsid w:val="00C12BBF"/>
    <w:rsid w:val="00C1553F"/>
    <w:rsid w:val="00C70361"/>
    <w:rsid w:val="00CB0664"/>
    <w:rsid w:val="00CC21C8"/>
    <w:rsid w:val="00D041D8"/>
    <w:rsid w:val="00E710B6"/>
    <w:rsid w:val="00F5569F"/>
    <w:rsid w:val="00FA2E4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70AE5C"/>
  <w14:defaultImageDpi w14:val="300"/>
  <w15:docId w15:val="{79CF7E43-6948-42F6-A01D-572BE002A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AE27C2"/>
    <w:rPr>
      <w:color w:val="0000FF" w:themeColor="hyperlink"/>
      <w:u w:val="single"/>
    </w:rPr>
  </w:style>
  <w:style w:type="character" w:styleId="UnresolvedMention">
    <w:name w:val="Unresolved Mention"/>
    <w:basedOn w:val="DefaultParagraphFont"/>
    <w:uiPriority w:val="99"/>
    <w:semiHidden/>
    <w:unhideWhenUsed/>
    <w:rsid w:val="00AE27C2"/>
    <w:rPr>
      <w:color w:val="605E5C"/>
      <w:shd w:val="clear" w:color="auto" w:fill="E1DFDD"/>
    </w:rPr>
  </w:style>
  <w:style w:type="paragraph" w:styleId="NormalWeb">
    <w:name w:val="Normal (Web)"/>
    <w:basedOn w:val="Normal"/>
    <w:uiPriority w:val="99"/>
    <w:semiHidden/>
    <w:unhideWhenUsed/>
    <w:rsid w:val="00C12BB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1/archinte.163.1.59" TargetMode="External"/><Relationship Id="rId18" Type="http://schemas.openxmlformats.org/officeDocument/2006/relationships/hyperlink" Target="https://doi.org/10.1001/archinternmed.2009.59" TargetMode="External"/><Relationship Id="rId26" Type="http://schemas.openxmlformats.org/officeDocument/2006/relationships/hyperlink" Target="https://doi.org/10.1038/clpt.1981.154" TargetMode="External"/><Relationship Id="rId3" Type="http://schemas.openxmlformats.org/officeDocument/2006/relationships/styles" Target="styles.xml"/><Relationship Id="rId21" Type="http://schemas.openxmlformats.org/officeDocument/2006/relationships/hyperlink" Target="https://doi.org/10.1016/S0140-6736(13)60688-1" TargetMode="External"/><Relationship Id="rId34" Type="http://schemas.openxmlformats.org/officeDocument/2006/relationships/fontTable" Target="fontTable.xml"/><Relationship Id="rId7" Type="http://schemas.openxmlformats.org/officeDocument/2006/relationships/hyperlink" Target="https://doi.org/10.1097/ALN.0b013e31823c1067" TargetMode="External"/><Relationship Id="rId12" Type="http://schemas.openxmlformats.org/officeDocument/2006/relationships/hyperlink" Target="https://doi.org/10.2147/IPRP.S108047" TargetMode="External"/><Relationship Id="rId17" Type="http://schemas.openxmlformats.org/officeDocument/2006/relationships/hyperlink" Target="https://doi.org/10.1213/ANE.0000000000004833" TargetMode="External"/><Relationship Id="rId25" Type="http://schemas.openxmlformats.org/officeDocument/2006/relationships/hyperlink" Target="https://doi.org/10.1046/j.1365-2125.1998.00667.x" TargetMode="External"/><Relationship Id="rId33" Type="http://schemas.openxmlformats.org/officeDocument/2006/relationships/hyperlink" Target="https://www.fda.gov/drugs/information-drug-class/new-safety-measures-announced-opioid-analgesics-prescription-opioid-cough-products-and" TargetMode="External"/><Relationship Id="rId2" Type="http://schemas.openxmlformats.org/officeDocument/2006/relationships/numbering" Target="numbering.xml"/><Relationship Id="rId16" Type="http://schemas.openxmlformats.org/officeDocument/2006/relationships/hyperlink" Target="https://doi.org/10.1016/j.mcna.2010.08.007" TargetMode="External"/><Relationship Id="rId20" Type="http://schemas.openxmlformats.org/officeDocument/2006/relationships/hyperlink" Target="https://doi.org/10.1503/cmaj.100342" TargetMode="External"/><Relationship Id="rId29" Type="http://schemas.openxmlformats.org/officeDocument/2006/relationships/hyperlink" Target="https://doi.org/10.1136/ejhpharm-2022-003262" TargetMode="External"/><Relationship Id="rId1" Type="http://schemas.openxmlformats.org/officeDocument/2006/relationships/customXml" Target="../customXml/item1.xml"/><Relationship Id="rId6" Type="http://schemas.openxmlformats.org/officeDocument/2006/relationships/hyperlink" Target="https://doi.org/10.1111/jgs.18372" TargetMode="External"/><Relationship Id="rId11" Type="http://schemas.openxmlformats.org/officeDocument/2006/relationships/hyperlink" Target="https://doi.org/10.1002/jac5.70247" TargetMode="External"/><Relationship Id="rId24" Type="http://schemas.openxmlformats.org/officeDocument/2006/relationships/hyperlink" Target="https://doi.org/10.1517/14740338.2012.631910" TargetMode="External"/><Relationship Id="rId32" Type="http://schemas.openxmlformats.org/officeDocument/2006/relationships/hyperlink" Target="https://doi.org/10.56557/jodagh/2022/v15i17650" TargetMode="External"/><Relationship Id="rId5" Type="http://schemas.openxmlformats.org/officeDocument/2006/relationships/webSettings" Target="webSettings.xml"/><Relationship Id="rId15" Type="http://schemas.openxmlformats.org/officeDocument/2006/relationships/hyperlink" Target="https://doi.org/10.1016/S1474-4422(14)70251-0" TargetMode="External"/><Relationship Id="rId23" Type="http://schemas.openxmlformats.org/officeDocument/2006/relationships/hyperlink" Target="https://doi.org/10.1001/jama.279.15.1200" TargetMode="External"/><Relationship Id="rId28" Type="http://schemas.openxmlformats.org/officeDocument/2006/relationships/hyperlink" Target="https://doi.org/10.1001/archinte.166.9.1021" TargetMode="External"/><Relationship Id="rId10" Type="http://schemas.openxmlformats.org/officeDocument/2006/relationships/hyperlink" Target="https://doi.org/10.1001/jama.1997.03540280039031" TargetMode="External"/><Relationship Id="rId19" Type="http://schemas.openxmlformats.org/officeDocument/2006/relationships/hyperlink" Target="https://doi.org/10.1093/ajhp/47.3.533" TargetMode="External"/><Relationship Id="rId31" Type="http://schemas.openxmlformats.org/officeDocument/2006/relationships/hyperlink" Target="https://doi.org/10.5664/jcsm.6440" TargetMode="External"/><Relationship Id="rId4" Type="http://schemas.openxmlformats.org/officeDocument/2006/relationships/settings" Target="settings.xml"/><Relationship Id="rId9" Type="http://schemas.openxmlformats.org/officeDocument/2006/relationships/hyperlink" Target="https://doi.org/10.1111/scs.70030" TargetMode="External"/><Relationship Id="rId14" Type="http://schemas.openxmlformats.org/officeDocument/2006/relationships/hyperlink" Target="https://doi.org/10.36468/indianjpharmsci.552" TargetMode="External"/><Relationship Id="rId22" Type="http://schemas.openxmlformats.org/officeDocument/2006/relationships/hyperlink" Target="https://doi.org/10.1001/jama.289.13.1652" TargetMode="External"/><Relationship Id="rId27" Type="http://schemas.openxmlformats.org/officeDocument/2006/relationships/hyperlink" Target="https://doi.org/10.9734/jpri/2025/v37i127796" TargetMode="External"/><Relationship Id="rId30" Type="http://schemas.openxmlformats.org/officeDocument/2006/relationships/hyperlink" Target="https://doi.org/10.1056/NEJMra032426" TargetMode="External"/><Relationship Id="rId35" Type="http://schemas.openxmlformats.org/officeDocument/2006/relationships/theme" Target="theme/theme1.xml"/><Relationship Id="rId8" Type="http://schemas.openxmlformats.org/officeDocument/2006/relationships/hyperlink" Target="https://doi.org/10.1016/j.jpain.2015.12.008" TargetMode="External"/><Relationship Id="rId36" Type="http://schemas.openxmlformats.org/officeDocument/2006/relationships/hyperlink" Target="https://doi.org/10.4103/psychiatry.IndianJPsychiatry_28_18" TargetMode="External"/><Relationship Id="rId37" Type="http://schemas.openxmlformats.org/officeDocument/2006/relationships/hyperlink" Target="https://doi.org/10.1016/j.jamda.2019.10.022" TargetMode="External"/><Relationship Id="rId38" Type="http://schemas.openxmlformats.org/officeDocument/2006/relationships/hyperlink" Target="https://doi.org/10.1136/bmj.319.7217.1106" TargetMode="External"/><Relationship Id="rId39" Type="http://schemas.openxmlformats.org/officeDocument/2006/relationships/hyperlink" Target="https://doi.org/10.22159/ajpcr.2017.v10i2.15678" TargetMode="External"/><Relationship Id="rId40" Type="http://schemas.openxmlformats.org/officeDocument/2006/relationships/hyperlink" Target="https://doi.org/10.1016/0163-8343(81)90016-5" TargetMode="External"/><Relationship Id="rId41" Type="http://schemas.openxmlformats.org/officeDocument/2006/relationships/hyperlink" Target="https://doi.org/10.1093/ajhp/zxae177" TargetMode="External"/><Relationship Id="rId42" Type="http://schemas.openxmlformats.org/officeDocument/2006/relationships/hyperlink" Target="https://doi.org/10.1017/S104161021500232X" TargetMode="External"/><Relationship Id="rId43" Type="http://schemas.openxmlformats.org/officeDocument/2006/relationships/hyperlink" Target="https://doi.org/10.3109/13651501.2010.486899" TargetMode="External"/><Relationship Id="rId44" Type="http://schemas.openxmlformats.org/officeDocument/2006/relationships/hyperlink" Target="https://doi.org/10.5664/jcsm.6470" TargetMode="External"/><Relationship Id="rId45" Type="http://schemas.openxmlformats.org/officeDocument/2006/relationships/hyperlink" Target="https://doi.org/10.1186/s13643-024-02710-1" TargetMode="External"/><Relationship Id="rId46" Type="http://schemas.openxmlformats.org/officeDocument/2006/relationships/hyperlink" Target="https://doi.org/10.4088/PCC.v05n05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17</Pages>
  <Words>7477</Words>
  <Characters>42620</Characters>
  <Application>Microsoft Office Word</Application>
  <DocSecurity>0</DocSecurity>
  <Lines>355</Lines>
  <Paragraphs>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49998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CPU 1117</cp:lastModifiedBy>
  <cp:revision>12</cp:revision>
  <dcterms:created xsi:type="dcterms:W3CDTF">2013-12-23T23:15:00Z</dcterms:created>
  <dcterms:modified xsi:type="dcterms:W3CDTF">2026-09-08T12:10:00Z</dcterms:modified>
  <cp:category/>
</cp:coreProperties>
</file>