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9A6EF" w14:textId="77777777" w:rsidR="00BE1A10" w:rsidRDefault="00BE1A10" w:rsidP="00BE1A10">
      <w:pPr>
        <w:spacing w:after="160"/>
        <w:jc w:val="center"/>
      </w:pPr>
      <w:r>
        <w:rPr>
          <w:i/>
          <w:iCs/>
        </w:rPr>
        <w:t>Case Report</w:t>
      </w:r>
    </w:p>
    <w:p w14:paraId="3646119E" w14:textId="77777777" w:rsidR="00BE1A10" w:rsidRDefault="00BE1A10">
      <w:pPr>
        <w:spacing w:after="160"/>
        <w:jc w:val="center"/>
        <w:rPr>
          <w:b/>
          <w:bCs/>
          <w:sz w:val="28"/>
          <w:szCs w:val="28"/>
        </w:rPr>
      </w:pPr>
    </w:p>
    <w:p w14:paraId="391E985D" w14:textId="77777777" w:rsidR="00253E5B" w:rsidRDefault="006D6DBE">
      <w:pPr>
        <w:spacing w:after="160"/>
        <w:jc w:val="center"/>
        <w:rPr>
          <w:b/>
          <w:bCs/>
          <w:sz w:val="28"/>
          <w:szCs w:val="28"/>
        </w:rPr>
      </w:pPr>
      <w:r>
        <w:rPr>
          <w:b/>
          <w:bCs/>
          <w:sz w:val="28"/>
          <w:szCs w:val="28"/>
        </w:rPr>
        <w:t xml:space="preserve">Cutaneous Sarcoidosis Arising in an Area of </w:t>
      </w:r>
      <w:proofErr w:type="spellStart"/>
      <w:r>
        <w:rPr>
          <w:b/>
          <w:bCs/>
          <w:sz w:val="28"/>
          <w:szCs w:val="28"/>
        </w:rPr>
        <w:t>Notalgia</w:t>
      </w:r>
      <w:proofErr w:type="spellEnd"/>
      <w:r>
        <w:rPr>
          <w:b/>
          <w:bCs/>
          <w:sz w:val="28"/>
          <w:szCs w:val="28"/>
        </w:rPr>
        <w:t xml:space="preserve"> Paresthetica Revealing Systemic Disease</w:t>
      </w:r>
    </w:p>
    <w:p w14:paraId="65C809F0" w14:textId="77777777" w:rsidR="00BE1A10" w:rsidRDefault="00BE1A10">
      <w:pPr>
        <w:spacing w:after="160"/>
        <w:jc w:val="center"/>
      </w:pPr>
    </w:p>
    <w:p w14:paraId="46323A71" w14:textId="77777777" w:rsidR="00253E5B" w:rsidRDefault="006D6DBE">
      <w:pPr>
        <w:spacing w:after="120"/>
      </w:pPr>
      <w:r>
        <w:t>.</w:t>
      </w:r>
    </w:p>
    <w:p w14:paraId="0FF8DD5E" w14:textId="77777777" w:rsidR="00253E5B" w:rsidRDefault="006D6DBE">
      <w:pPr>
        <w:spacing w:before="120" w:after="80"/>
      </w:pPr>
      <w:r>
        <w:rPr>
          <w:b/>
          <w:bCs/>
          <w:caps/>
          <w:sz w:val="22"/>
          <w:szCs w:val="22"/>
        </w:rPr>
        <w:t>ABSTRACT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53E5B" w14:paraId="67A4A9FE" w14:textId="77777777">
        <w:tc>
          <w:tcPr>
            <w:tcW w:w="9360" w:type="dxa"/>
            <w:tcBorders>
              <w:top w:val="single" w:sz="4" w:space="0" w:color="000000"/>
              <w:left w:val="single" w:sz="4" w:space="0" w:color="000000"/>
              <w:bottom w:val="single" w:sz="4" w:space="0" w:color="000000"/>
              <w:right w:val="single" w:sz="4" w:space="0" w:color="000000"/>
            </w:tcBorders>
            <w:tcMar>
              <w:top w:w="120" w:type="dxa"/>
              <w:left w:w="160" w:type="dxa"/>
              <w:bottom w:w="120" w:type="dxa"/>
              <w:right w:w="160" w:type="dxa"/>
            </w:tcMar>
          </w:tcPr>
          <w:p w14:paraId="59510A3B" w14:textId="4A31665D" w:rsidR="00253E5B" w:rsidRDefault="00067C66">
            <w:pPr>
              <w:spacing w:after="120" w:line="276" w:lineRule="auto"/>
              <w:jc w:val="both"/>
            </w:pPr>
            <w:r w:rsidRPr="00067C66">
              <w:rPr>
                <w:b/>
                <w:bCs/>
              </w:rPr>
              <w:t xml:space="preserve">Background </w:t>
            </w:r>
            <w:r>
              <w:rPr>
                <w:b/>
                <w:bCs/>
              </w:rPr>
              <w:t xml:space="preserve">AND </w:t>
            </w:r>
            <w:r w:rsidR="006D6DBE">
              <w:rPr>
                <w:b/>
                <w:bCs/>
              </w:rPr>
              <w:t>Aims:</w:t>
            </w:r>
            <w:r w:rsidR="00D44EE5" w:rsidRPr="007D11B0">
              <w:rPr>
                <w:rFonts w:ascii="Times New Roman" w:eastAsia="Times New Roman" w:hAnsi="Times New Roman" w:cs="Times New Roman"/>
                <w:sz w:val="24"/>
                <w:szCs w:val="24"/>
                <w:lang w:val="en-US"/>
              </w:rPr>
              <w:t xml:space="preserve"> Sarcoidosis is a multisystem granulomatous disease that may initially present with cutaneous lesions.</w:t>
            </w:r>
            <w:r>
              <w:t xml:space="preserve"> </w:t>
            </w:r>
            <w:proofErr w:type="spellStart"/>
            <w:r w:rsidRPr="00067C66">
              <w:rPr>
                <w:rFonts w:ascii="Times New Roman" w:eastAsia="Times New Roman" w:hAnsi="Times New Roman" w:cs="Times New Roman"/>
                <w:sz w:val="24"/>
                <w:szCs w:val="24"/>
                <w:lang w:val="en-US"/>
              </w:rPr>
              <w:t>Notalgia</w:t>
            </w:r>
            <w:proofErr w:type="spellEnd"/>
            <w:r w:rsidRPr="00067C66">
              <w:rPr>
                <w:rFonts w:ascii="Times New Roman" w:eastAsia="Times New Roman" w:hAnsi="Times New Roman" w:cs="Times New Roman"/>
                <w:sz w:val="24"/>
                <w:szCs w:val="24"/>
                <w:lang w:val="en-US"/>
              </w:rPr>
              <w:t xml:space="preserve"> paresthetica is a chronic localized neuropathic condition of the upper back, commonly associated with pruritus, dysesthesia, and hyperpigmentation. </w:t>
            </w:r>
            <w:r w:rsidR="00D44EE5" w:rsidRPr="007D11B0">
              <w:rPr>
                <w:rFonts w:ascii="Times New Roman" w:eastAsia="Times New Roman" w:hAnsi="Times New Roman" w:cs="Times New Roman"/>
                <w:sz w:val="24"/>
                <w:szCs w:val="24"/>
                <w:lang w:val="en-US"/>
              </w:rPr>
              <w:t xml:space="preserve"> </w:t>
            </w:r>
            <w:r w:rsidR="006D6DBE">
              <w:rPr>
                <w:highlight w:val="yellow"/>
              </w:rPr>
              <w:t>To report, to our knowledge, the first observed case of</w:t>
            </w:r>
            <w:r w:rsidR="006D6DBE">
              <w:t xml:space="preserve"> cutaneous sarcoidosis arising within an area of long-standing </w:t>
            </w:r>
            <w:proofErr w:type="spellStart"/>
            <w:r w:rsidR="006D6DBE">
              <w:t>notalgia</w:t>
            </w:r>
            <w:proofErr w:type="spellEnd"/>
            <w:r w:rsidR="006D6DBE">
              <w:t xml:space="preserve"> paresthetica, and to highlight how this presentation unmasked previously </w:t>
            </w:r>
            <w:r w:rsidR="006D6DBE">
              <w:rPr>
                <w:highlight w:val="yellow"/>
              </w:rPr>
              <w:t>unrecognised</w:t>
            </w:r>
            <w:r w:rsidR="006D6DBE">
              <w:t xml:space="preserve"> systemic sarcoidosis.</w:t>
            </w:r>
          </w:p>
          <w:p w14:paraId="15026449" w14:textId="77777777" w:rsidR="00253E5B" w:rsidRDefault="006D6DBE">
            <w:pPr>
              <w:spacing w:after="120" w:line="276" w:lineRule="auto"/>
              <w:jc w:val="both"/>
            </w:pPr>
            <w:r>
              <w:rPr>
                <w:b/>
                <w:bCs/>
              </w:rPr>
              <w:t xml:space="preserve">Presentation of Case: </w:t>
            </w:r>
            <w:r>
              <w:t xml:space="preserve">A 48-year-old man with </w:t>
            </w:r>
            <w:proofErr w:type="spellStart"/>
            <w:r>
              <w:t>notalgia</w:t>
            </w:r>
            <w:proofErr w:type="spellEnd"/>
            <w:r>
              <w:rPr>
                <w:highlight w:val="yellow"/>
              </w:rPr>
              <w:t xml:space="preserve"> paresthetica present for more than 10 years</w:t>
            </w:r>
            <w:r>
              <w:t xml:space="preserve"> presented with the progressive appearance of multiple asymptomatic orange-to-salmon papules, 2 to 5 mm in diameter, arising over the hyperpigmented area affected by </w:t>
            </w:r>
            <w:proofErr w:type="spellStart"/>
            <w:r>
              <w:t>notalgia</w:t>
            </w:r>
            <w:proofErr w:type="spellEnd"/>
            <w:r>
              <w:t xml:space="preserve"> paresthetica, as well as on the neck, upper trunk, and axillary folds. </w:t>
            </w:r>
            <w:proofErr w:type="spellStart"/>
            <w:r>
              <w:t>Dermoscopy</w:t>
            </w:r>
            <w:proofErr w:type="spellEnd"/>
            <w:r>
              <w:t xml:space="preserve"> showed orange-yellow structureless areas with a few linear and </w:t>
            </w:r>
            <w:r>
              <w:rPr>
                <w:highlight w:val="yellow"/>
              </w:rPr>
              <w:t>arborising</w:t>
            </w:r>
            <w:r>
              <w:t xml:space="preserve"> vessels. Serum angiotensin-converting enzyme and calcium levels were within normal limits. A skin biopsy revealed non-caseating epithelioid cell granulomas with multinucleated giant cells; periodic acid-Schiff and Ziehl-Neelsen stains were negative. Systemic evaluation disclosed interstitial pulmonary involvement with mediastinal lymphadenopathy, establishing a diagnosis of systemic sarcoidosis.</w:t>
            </w:r>
          </w:p>
          <w:p w14:paraId="17CDF8BF" w14:textId="77777777" w:rsidR="00253E5B" w:rsidRDefault="006D6DBE">
            <w:pPr>
              <w:spacing w:after="120" w:line="276" w:lineRule="auto"/>
              <w:jc w:val="both"/>
            </w:pPr>
            <w:r>
              <w:rPr>
                <w:b/>
                <w:bCs/>
              </w:rPr>
              <w:t xml:space="preserve">Discussion: </w:t>
            </w:r>
            <w:r>
              <w:t xml:space="preserve">Cutaneous sarcoidosis may </w:t>
            </w:r>
            <w:r>
              <w:rPr>
                <w:highlight w:val="yellow"/>
              </w:rPr>
              <w:t>localise</w:t>
            </w:r>
            <w:r>
              <w:t xml:space="preserve"> to sites of prior cutaneous injury through Koebner-like or isotopic mechanisms. Chronic neuropathic itch, repetitive scratching, and neurogenic inflammation associated with </w:t>
            </w:r>
            <w:proofErr w:type="spellStart"/>
            <w:r>
              <w:t>notalgia</w:t>
            </w:r>
            <w:proofErr w:type="spellEnd"/>
            <w:r>
              <w:t xml:space="preserve"> paresthetica may have contributed to lesion </w:t>
            </w:r>
            <w:r>
              <w:rPr>
                <w:highlight w:val="yellow"/>
              </w:rPr>
              <w:t>localisation</w:t>
            </w:r>
            <w:r>
              <w:t>, although a causal relationship cannot be established. Histopathology remained central to the diagnosis and appropriately prompted the systemic evaluation that revealed occult disease.</w:t>
            </w:r>
          </w:p>
          <w:p w14:paraId="53CC8204" w14:textId="77777777" w:rsidR="00253E5B" w:rsidRDefault="006D6DBE">
            <w:pPr>
              <w:spacing w:line="276" w:lineRule="auto"/>
              <w:jc w:val="both"/>
            </w:pPr>
            <w:r>
              <w:rPr>
                <w:b/>
                <w:bCs/>
              </w:rPr>
              <w:t xml:space="preserve">Conclusion: </w:t>
            </w:r>
            <w:r>
              <w:t xml:space="preserve">New or changing lesions arising within a </w:t>
            </w:r>
            <w:proofErr w:type="spellStart"/>
            <w:r>
              <w:t>notalgia</w:t>
            </w:r>
            <w:proofErr w:type="spellEnd"/>
            <w:r>
              <w:t xml:space="preserve"> paresthetica field warrant biopsy and systemic evaluation, as they may unmask occult systemic sarcoidosis.</w:t>
            </w:r>
          </w:p>
        </w:tc>
      </w:tr>
    </w:tbl>
    <w:p w14:paraId="35957514" w14:textId="77777777" w:rsidR="005726CC" w:rsidRDefault="006D6DBE" w:rsidP="005726CC">
      <w:pPr>
        <w:spacing w:before="120" w:after="200"/>
        <w:jc w:val="both"/>
      </w:pPr>
      <w:r>
        <w:rPr>
          <w:b/>
          <w:bCs/>
          <w:i/>
          <w:iCs/>
        </w:rPr>
        <w:t xml:space="preserve">Keywords: </w:t>
      </w:r>
      <w:r w:rsidR="005726CC">
        <w:t xml:space="preserve">Sarcoidosis; cutaneous sarcoidosis; </w:t>
      </w:r>
      <w:proofErr w:type="spellStart"/>
      <w:r w:rsidR="005726CC">
        <w:t>notalgia</w:t>
      </w:r>
      <w:proofErr w:type="spellEnd"/>
      <w:r w:rsidR="005726CC">
        <w:t xml:space="preserve"> paresthetica; granulomatous dermatosis; </w:t>
      </w:r>
      <w:proofErr w:type="spellStart"/>
      <w:r w:rsidR="005726CC">
        <w:t>dermoscopy</w:t>
      </w:r>
      <w:proofErr w:type="spellEnd"/>
      <w:r w:rsidR="005726CC">
        <w:t>; skin biopsy; pulmonary sarcoidosis; mediastinal lymphadenopathy; neuropathic itch; case report</w:t>
      </w:r>
    </w:p>
    <w:p w14:paraId="17EBC893" w14:textId="3CE4EE44" w:rsidR="00253E5B" w:rsidRDefault="006D6DBE" w:rsidP="005726CC">
      <w:pPr>
        <w:spacing w:before="120" w:after="200"/>
        <w:jc w:val="both"/>
      </w:pPr>
      <w:r>
        <w:rPr>
          <w:caps/>
        </w:rPr>
        <w:t>1. Introduction</w:t>
      </w:r>
    </w:p>
    <w:p w14:paraId="4B7A6D25" w14:textId="77777777" w:rsidR="00253E5B" w:rsidRDefault="006D6DBE">
      <w:pPr>
        <w:spacing w:after="160" w:line="276" w:lineRule="auto"/>
        <w:jc w:val="both"/>
      </w:pPr>
      <w:r>
        <w:t xml:space="preserve">Sarcoidosis is a multisystem granulomatous disorder that can affect virtually any organ, and its diagnosis relies on a compatible clinical and </w:t>
      </w:r>
      <w:r>
        <w:rPr>
          <w:highlight w:val="yellow"/>
        </w:rPr>
        <w:t>radiological</w:t>
      </w:r>
      <w:r>
        <w:t xml:space="preserve"> presentation, </w:t>
      </w:r>
      <w:r>
        <w:rPr>
          <w:highlight w:val="yellow"/>
        </w:rPr>
        <w:t>histological</w:t>
      </w:r>
      <w:r>
        <w:t xml:space="preserve"> evidence of non-caseating granulomas, and exclusion of alternative causes (Sève et al., 2021). Cutaneous manifestations are among the most frequent extrapulmonary features of sarcoidosis and may represent the initial manifestation of systemic disease (Sève et al., 2021).</w:t>
      </w:r>
    </w:p>
    <w:p w14:paraId="32B9F1B2" w14:textId="77777777" w:rsidR="00187350" w:rsidRDefault="00000000">
      <w:pPr>
        <w:spacing w:after="160" w:line="276" w:lineRule="auto"/>
        <w:jc w:val="both"/>
      </w:pPr>
      <w:r>
        <w:rPr>
          <w:b/>
          <w:highlight w:val="yellow"/>
        </w:rPr>
        <w:lastRenderedPageBreak/>
        <w:t>Recent reviews and case reports further emphasise the heterogeneous cutaneous presentation of sarcoidosis and the potential diagnostic importance of skin findings in identifying systemic involvement (Abdelghaffar et al., 2024; Damsky &amp; King, 2025; Nnenda &amp; Stella, 2026).</w:t>
      </w:r>
    </w:p>
    <w:p w14:paraId="2279F78F" w14:textId="77777777" w:rsidR="00187350" w:rsidRDefault="00000000">
      <w:pPr>
        <w:spacing w:after="160" w:line="276" w:lineRule="auto"/>
        <w:jc w:val="both"/>
      </w:pPr>
      <w:r>
        <w:rPr>
          <w:b/>
          <w:highlight w:val="yellow"/>
        </w:rPr>
        <w:t>Recent literature also supports a multifactorial neuropathic basis for notalgia paresthetica, with irritation or compression of the thoracic dorsal rami considered an important mechanism (Nguyen et al., 2025).</w:t>
      </w:r>
    </w:p>
    <w:p w14:paraId="3C1ADDC6" w14:textId="77777777" w:rsidR="00253E5B" w:rsidRDefault="006D6DBE">
      <w:pPr>
        <w:spacing w:after="160" w:line="276" w:lineRule="auto"/>
        <w:jc w:val="both"/>
      </w:pPr>
      <w:proofErr w:type="spellStart"/>
      <w:r>
        <w:t>Notalgia</w:t>
      </w:r>
      <w:proofErr w:type="spellEnd"/>
      <w:r>
        <w:t xml:space="preserve"> paresthetica is a chronic cutaneous neuropathy </w:t>
      </w:r>
      <w:r>
        <w:rPr>
          <w:highlight w:val="yellow"/>
        </w:rPr>
        <w:t>characterised</w:t>
      </w:r>
      <w:r>
        <w:t xml:space="preserve"> by </w:t>
      </w:r>
      <w:r>
        <w:rPr>
          <w:highlight w:val="yellow"/>
        </w:rPr>
        <w:t>localised</w:t>
      </w:r>
      <w:r>
        <w:t xml:space="preserve"> pruritus and dysesthesias of the upper back, often accompanied by burning, numbness, tingling, tenderness, or hyperpigmentation (Robinson et al., 2023). To our knowledge, the occurrence of cutaneous sarcoidosis arising in an area of </w:t>
      </w:r>
      <w:proofErr w:type="spellStart"/>
      <w:r>
        <w:t>notalgia</w:t>
      </w:r>
      <w:proofErr w:type="spellEnd"/>
      <w:r>
        <w:t xml:space="preserve"> paresthetica has not previously been described in the literature. The present case therefore expands the </w:t>
      </w:r>
      <w:r>
        <w:rPr>
          <w:highlight w:val="yellow"/>
        </w:rPr>
        <w:t>recognised</w:t>
      </w:r>
      <w:r>
        <w:t xml:space="preserve"> clinical contexts in which cutaneous sarcoidosis may emerge and, in doing so, unmasked previously un</w:t>
      </w:r>
      <w:r>
        <w:rPr>
          <w:highlight w:val="yellow"/>
        </w:rPr>
        <w:t>recognised</w:t>
      </w:r>
      <w:r>
        <w:t xml:space="preserve"> systemic disease.</w:t>
      </w:r>
    </w:p>
    <w:p w14:paraId="6DBAD0F0" w14:textId="77777777" w:rsidR="00187350" w:rsidRDefault="00000000">
      <w:pPr>
        <w:spacing w:after="160" w:line="276" w:lineRule="auto"/>
        <w:jc w:val="both"/>
      </w:pPr>
      <w:r>
        <w:rPr>
          <w:b/>
          <w:highlight w:val="yellow"/>
        </w:rPr>
        <w:t>Accordingly, the objective of this case report is to describe cutaneous sarcoidosis arising within a long-standing area of notalgia paresthetica and the systemic involvement identified during subsequent evaluation.</w:t>
      </w:r>
    </w:p>
    <w:p w14:paraId="32EE897D" w14:textId="77777777" w:rsidR="00253E5B" w:rsidRDefault="006D6DBE">
      <w:pPr>
        <w:pStyle w:val="Heading1"/>
      </w:pPr>
      <w:r>
        <w:rPr>
          <w:caps/>
        </w:rPr>
        <w:t>2. Presentation of Case</w:t>
      </w:r>
    </w:p>
    <w:p w14:paraId="041D5575" w14:textId="77777777" w:rsidR="00253E5B" w:rsidRDefault="006D6DBE">
      <w:pPr>
        <w:spacing w:after="160" w:line="276" w:lineRule="auto"/>
        <w:jc w:val="both"/>
      </w:pPr>
      <w:r>
        <w:t xml:space="preserve">A 48-year-old man with a history of </w:t>
      </w:r>
      <w:proofErr w:type="spellStart"/>
      <w:r>
        <w:t>notalgia</w:t>
      </w:r>
      <w:proofErr w:type="spellEnd"/>
      <w:r>
        <w:rPr>
          <w:highlight w:val="yellow"/>
        </w:rPr>
        <w:t xml:space="preserve"> paresthetica present for more than 10 years</w:t>
      </w:r>
      <w:r>
        <w:t xml:space="preserve"> presented with the progressive appearance of multiple small papules arising over the hyperpigmented area affected by </w:t>
      </w:r>
      <w:proofErr w:type="spellStart"/>
      <w:r>
        <w:t>notalgia</w:t>
      </w:r>
      <w:proofErr w:type="spellEnd"/>
      <w:r>
        <w:t xml:space="preserve"> paresthetica (Fig. 1). The lesions were asymptomatic, with no associated pruritus or pain. Similar papules were also noted on the trunk and within the axillary folds. The patient did not report any pulmonary, gastrointestinal, ocular, articular, or </w:t>
      </w:r>
      <w:r>
        <w:rPr>
          <w:highlight w:val="yellow"/>
        </w:rPr>
        <w:t>neurological</w:t>
      </w:r>
      <w:r>
        <w:t xml:space="preserve"> symptoms.</w:t>
      </w:r>
    </w:p>
    <w:p w14:paraId="74642332" w14:textId="77777777" w:rsidR="00253E5B" w:rsidRDefault="006D6DBE">
      <w:pPr>
        <w:spacing w:after="160" w:line="276" w:lineRule="auto"/>
        <w:jc w:val="both"/>
      </w:pPr>
      <w:r>
        <w:rPr>
          <w:highlight w:val="yellow"/>
        </w:rPr>
        <w:t>Physical examination revealed numerous small, well-demarcated, rounded hemispherical papules in a patient with Fitzpatrick skin phototype IV.</w:t>
      </w:r>
      <w:r>
        <w:t xml:space="preserve"> The lesions measured 2 to 5 mm in diameter and were orange to salmon-</w:t>
      </w:r>
      <w:r>
        <w:rPr>
          <w:highlight w:val="yellow"/>
        </w:rPr>
        <w:t>coloured</w:t>
      </w:r>
      <w:r>
        <w:t xml:space="preserve">, with a smooth surface and soft consistency. They were distributed over the neck, upper trunk (Fig. 2), bilateral axillary folds (Fig. 3), and within the area affected by </w:t>
      </w:r>
      <w:proofErr w:type="spellStart"/>
      <w:r>
        <w:t>notalgia</w:t>
      </w:r>
      <w:proofErr w:type="spellEnd"/>
      <w:r>
        <w:t xml:space="preserve"> paresthetica. No mucosal or adnexal involvement was observed. The remainder of the physical examination was unremarkable.</w:t>
      </w:r>
    </w:p>
    <w:p w14:paraId="40A7301F" w14:textId="77777777" w:rsidR="00253E5B" w:rsidRDefault="006D6DBE">
      <w:pPr>
        <w:spacing w:after="160" w:line="276" w:lineRule="auto"/>
        <w:jc w:val="both"/>
      </w:pPr>
      <w:proofErr w:type="spellStart"/>
      <w:r>
        <w:t>Dermoscopy</w:t>
      </w:r>
      <w:proofErr w:type="spellEnd"/>
      <w:r>
        <w:t xml:space="preserve"> of the papules demonstrated orange-yellow structureless areas consistent with granulomatous infiltrates, associated with a few linear and </w:t>
      </w:r>
      <w:r>
        <w:rPr>
          <w:highlight w:val="yellow"/>
        </w:rPr>
        <w:t>arborising</w:t>
      </w:r>
      <w:r>
        <w:t xml:space="preserve"> vessels (Fig. 4). Laboratory investigations, including serum angiotensin-converting enzyme and calcium levels, were within normal limits (Table 1).</w:t>
      </w:r>
    </w:p>
    <w:p w14:paraId="68EDF1F2" w14:textId="77777777" w:rsidR="00253E5B" w:rsidRDefault="006D6DBE">
      <w:pPr>
        <w:spacing w:before="120" w:after="60"/>
        <w:jc w:val="center"/>
      </w:pPr>
      <w:r>
        <w:rPr>
          <w:noProof/>
        </w:rPr>
        <w:lastRenderedPageBreak/>
        <w:drawing>
          <wp:inline distT="0" distB="0" distL="0" distR="0" wp14:anchorId="5D48F5E9" wp14:editId="530EC389">
            <wp:extent cx="4476750" cy="2524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476750" cy="2524125"/>
                    </a:xfrm>
                    <a:prstGeom prst="rect">
                      <a:avLst/>
                    </a:prstGeom>
                  </pic:spPr>
                </pic:pic>
              </a:graphicData>
            </a:graphic>
          </wp:inline>
        </w:drawing>
      </w:r>
    </w:p>
    <w:p w14:paraId="0B67C535" w14:textId="77777777" w:rsidR="00253E5B" w:rsidRDefault="006D6DBE">
      <w:pPr>
        <w:spacing w:after="200"/>
        <w:jc w:val="both"/>
      </w:pPr>
      <w:r>
        <w:rPr>
          <w:b/>
          <w:bCs/>
        </w:rPr>
        <w:t xml:space="preserve">Fig. 1. </w:t>
      </w:r>
      <w:r>
        <w:t>Multiple small orange-to-</w:t>
      </w:r>
      <w:proofErr w:type="gramStart"/>
      <w:r>
        <w:t xml:space="preserve">salmon </w:t>
      </w:r>
      <w:proofErr w:type="spellStart"/>
      <w:r>
        <w:t>colored</w:t>
      </w:r>
      <w:proofErr w:type="spellEnd"/>
      <w:proofErr w:type="gramEnd"/>
      <w:r>
        <w:t xml:space="preserve"> papules arising within a hyperpigmented area affected by long-standing </w:t>
      </w:r>
      <w:proofErr w:type="spellStart"/>
      <w:r>
        <w:t>notalgia</w:t>
      </w:r>
      <w:proofErr w:type="spellEnd"/>
      <w:r>
        <w:t xml:space="preserve"> paresthetica on the left scapular region.</w:t>
      </w:r>
    </w:p>
    <w:p w14:paraId="27053223" w14:textId="77777777" w:rsidR="00253E5B" w:rsidRDefault="006D6DBE">
      <w:pPr>
        <w:spacing w:before="120" w:after="60"/>
        <w:jc w:val="center"/>
      </w:pPr>
      <w:r>
        <w:rPr>
          <w:noProof/>
        </w:rPr>
        <w:drawing>
          <wp:inline distT="0" distB="0" distL="0" distR="0" wp14:anchorId="78703B14" wp14:editId="04976614">
            <wp:extent cx="4210050" cy="2676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210050" cy="2676525"/>
                    </a:xfrm>
                    <a:prstGeom prst="rect">
                      <a:avLst/>
                    </a:prstGeom>
                  </pic:spPr>
                </pic:pic>
              </a:graphicData>
            </a:graphic>
          </wp:inline>
        </w:drawing>
      </w:r>
    </w:p>
    <w:p w14:paraId="0D611ED1" w14:textId="77777777" w:rsidR="00253E5B" w:rsidRDefault="006D6DBE">
      <w:pPr>
        <w:spacing w:after="200"/>
        <w:jc w:val="both"/>
      </w:pPr>
      <w:r>
        <w:rPr>
          <w:b/>
          <w:bCs/>
        </w:rPr>
        <w:t xml:space="preserve">Fig. 2. </w:t>
      </w:r>
      <w:r>
        <w:t>Multiple small, well-demarcated orange-to-</w:t>
      </w:r>
      <w:proofErr w:type="gramStart"/>
      <w:r>
        <w:t xml:space="preserve">salmon </w:t>
      </w:r>
      <w:proofErr w:type="spellStart"/>
      <w:r>
        <w:t>colored</w:t>
      </w:r>
      <w:proofErr w:type="spellEnd"/>
      <w:proofErr w:type="gramEnd"/>
      <w:r>
        <w:t xml:space="preserve"> papules distributed over the upper trunk.</w:t>
      </w:r>
    </w:p>
    <w:p w14:paraId="61E7F0F2" w14:textId="77777777" w:rsidR="00253E5B" w:rsidRDefault="006D6DBE">
      <w:pPr>
        <w:spacing w:before="120" w:after="60"/>
        <w:jc w:val="center"/>
      </w:pPr>
      <w:r>
        <w:rPr>
          <w:noProof/>
        </w:rPr>
        <w:lastRenderedPageBreak/>
        <w:drawing>
          <wp:inline distT="0" distB="0" distL="0" distR="0" wp14:anchorId="3F33D1D3" wp14:editId="42056D36">
            <wp:extent cx="4295775" cy="2571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295775" cy="2571750"/>
                    </a:xfrm>
                    <a:prstGeom prst="rect">
                      <a:avLst/>
                    </a:prstGeom>
                  </pic:spPr>
                </pic:pic>
              </a:graphicData>
            </a:graphic>
          </wp:inline>
        </w:drawing>
      </w:r>
    </w:p>
    <w:p w14:paraId="1A135686" w14:textId="77777777" w:rsidR="00253E5B" w:rsidRDefault="006D6DBE">
      <w:pPr>
        <w:spacing w:after="200"/>
        <w:jc w:val="both"/>
      </w:pPr>
      <w:r>
        <w:rPr>
          <w:b/>
          <w:bCs/>
        </w:rPr>
        <w:t xml:space="preserve">Fig. 3. </w:t>
      </w:r>
      <w:r>
        <w:t>Multiple orange-to-</w:t>
      </w:r>
      <w:proofErr w:type="gramStart"/>
      <w:r>
        <w:t xml:space="preserve">salmon </w:t>
      </w:r>
      <w:proofErr w:type="spellStart"/>
      <w:r>
        <w:t>colored</w:t>
      </w:r>
      <w:proofErr w:type="spellEnd"/>
      <w:proofErr w:type="gramEnd"/>
      <w:r>
        <w:t xml:space="preserve"> papules located within the right axillary fold, showing a smooth surface and well-defined borders.</w:t>
      </w:r>
    </w:p>
    <w:p w14:paraId="72EB07A7" w14:textId="77777777" w:rsidR="00253E5B" w:rsidRDefault="006D6DBE">
      <w:pPr>
        <w:spacing w:before="120" w:after="60"/>
        <w:jc w:val="center"/>
      </w:pPr>
      <w:r>
        <w:rPr>
          <w:noProof/>
        </w:rPr>
        <w:drawing>
          <wp:inline distT="0" distB="0" distL="0" distR="0" wp14:anchorId="653B771F" wp14:editId="3555DD8B">
            <wp:extent cx="4391025" cy="2305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391025" cy="2305050"/>
                    </a:xfrm>
                    <a:prstGeom prst="rect">
                      <a:avLst/>
                    </a:prstGeom>
                  </pic:spPr>
                </pic:pic>
              </a:graphicData>
            </a:graphic>
          </wp:inline>
        </w:drawing>
      </w:r>
    </w:p>
    <w:p w14:paraId="3D917B9E" w14:textId="77777777" w:rsidR="00253E5B" w:rsidRDefault="006D6DBE">
      <w:pPr>
        <w:spacing w:after="200"/>
        <w:jc w:val="both"/>
      </w:pPr>
      <w:r>
        <w:rPr>
          <w:b/>
          <w:bCs/>
        </w:rPr>
        <w:t xml:space="preserve">Fig. 4. </w:t>
      </w:r>
      <w:proofErr w:type="spellStart"/>
      <w:r>
        <w:t>Dermoscopic</w:t>
      </w:r>
      <w:proofErr w:type="spellEnd"/>
      <w:r>
        <w:t xml:space="preserve"> examination of a papular lesion showing a well-defined orange-yellow structureless area corresponding to granulomatous infiltrates (red arrow), associated with fine vessels (black arrow).</w:t>
      </w:r>
    </w:p>
    <w:p w14:paraId="1140303F" w14:textId="77777777" w:rsidR="00253E5B" w:rsidRDefault="006D6DBE">
      <w:pPr>
        <w:spacing w:after="160" w:line="276" w:lineRule="auto"/>
        <w:jc w:val="both"/>
      </w:pPr>
      <w:r>
        <w:t>A skin biopsy was performed and revealed epithelioid cell granulomas with multinucleated giant cells, without caseous necrosis (Fig. 5). Periodic acid-Schiff and Ziehl-Neelsen stains were negative. These findings were consistent with cutaneous sarcoidosis.</w:t>
      </w:r>
    </w:p>
    <w:p w14:paraId="66879E2D" w14:textId="77777777" w:rsidR="00253E5B" w:rsidRDefault="006D6DBE">
      <w:pPr>
        <w:spacing w:before="120" w:after="60"/>
        <w:jc w:val="center"/>
      </w:pPr>
      <w:r>
        <w:rPr>
          <w:noProof/>
        </w:rPr>
        <w:lastRenderedPageBreak/>
        <w:drawing>
          <wp:inline distT="0" distB="0" distL="0" distR="0" wp14:anchorId="3A20EBF2" wp14:editId="1C088393">
            <wp:extent cx="2838450" cy="30003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838450" cy="3000375"/>
                    </a:xfrm>
                    <a:prstGeom prst="rect">
                      <a:avLst/>
                    </a:prstGeom>
                  </pic:spPr>
                </pic:pic>
              </a:graphicData>
            </a:graphic>
          </wp:inline>
        </w:drawing>
      </w:r>
    </w:p>
    <w:p w14:paraId="7BCC1483" w14:textId="77777777" w:rsidR="00253E5B" w:rsidRDefault="006D6DBE">
      <w:pPr>
        <w:spacing w:after="200"/>
        <w:jc w:val="both"/>
      </w:pPr>
      <w:r>
        <w:rPr>
          <w:b/>
          <w:bCs/>
        </w:rPr>
        <w:t xml:space="preserve">Fig. 5. </w:t>
      </w:r>
      <w:r>
        <w:t>Histopathologic examination showing multiple well-formed non-caseating epithelioid granulomas with multinucleated giant cells within the superficial dermis, consistent with cutaneous sarcoidosis (</w:t>
      </w:r>
      <w:proofErr w:type="spellStart"/>
      <w:r>
        <w:t>hematoxylin</w:t>
      </w:r>
      <w:proofErr w:type="spellEnd"/>
      <w:r>
        <w:t xml:space="preserve"> and eosin, original magnification ×40).</w:t>
      </w:r>
    </w:p>
    <w:p w14:paraId="5F3BE292" w14:textId="77777777" w:rsidR="00253E5B" w:rsidRDefault="006D6DBE">
      <w:pPr>
        <w:spacing w:after="160" w:line="276" w:lineRule="auto"/>
        <w:jc w:val="both"/>
      </w:pPr>
      <w:r>
        <w:t xml:space="preserve">Because of these findings, a systemic evaluation was performed. Chest imaging revealed interstitial pulmonary involvement associated with mediastinal lymphadenopathy. Further investigations did not reveal any </w:t>
      </w:r>
      <w:r>
        <w:rPr>
          <w:highlight w:val="yellow"/>
        </w:rPr>
        <w:t>ophthalmological</w:t>
      </w:r>
      <w:r>
        <w:t>, cardiac, or osseous involvement. A diagnosis of systemic sarcoidosis with pulmonary involvement was therefore established. The patient was treated with high-potency topical corticosteroids. After six months of follow-up, clinical improvement was noted, with flattening of the papular lesions.</w:t>
      </w:r>
    </w:p>
    <w:p w14:paraId="176FD3FB" w14:textId="77777777" w:rsidR="00253E5B" w:rsidRDefault="006D6DBE">
      <w:pPr>
        <w:spacing w:before="160" w:after="80"/>
      </w:pPr>
      <w:r>
        <w:rPr>
          <w:b/>
          <w:bCs/>
        </w:rPr>
        <w:t>Table 1. Laboratory investigations and reference ranges in our patient.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2400"/>
        <w:gridCol w:w="2760"/>
      </w:tblGrid>
      <w:tr w:rsidR="00253E5B" w14:paraId="165D88F7" w14:textId="77777777">
        <w:trPr>
          <w:tblHeader/>
        </w:trPr>
        <w:tc>
          <w:tcPr>
            <w:tcW w:w="4200" w:type="dxa"/>
            <w:tcBorders>
              <w:top w:val="single" w:sz="4" w:space="0" w:color="000000"/>
              <w:left w:val="single" w:sz="4" w:space="0" w:color="000000"/>
              <w:bottom w:val="single" w:sz="4" w:space="0" w:color="000000"/>
              <w:right w:val="single" w:sz="4" w:space="0" w:color="000000"/>
            </w:tcBorders>
            <w:shd w:val="clear" w:color="auto" w:fill="D9D9D9"/>
            <w:tcMar>
              <w:top w:w="30" w:type="dxa"/>
              <w:left w:w="80" w:type="dxa"/>
              <w:bottom w:w="30" w:type="dxa"/>
              <w:right w:w="80" w:type="dxa"/>
            </w:tcMar>
            <w:vAlign w:val="center"/>
          </w:tcPr>
          <w:p w14:paraId="38240EF6" w14:textId="77777777" w:rsidR="00253E5B" w:rsidRDefault="006D6DBE">
            <w:pPr>
              <w:spacing w:line="360" w:lineRule="auto"/>
            </w:pPr>
            <w:r>
              <w:rPr>
                <w:b/>
                <w:bCs/>
              </w:rPr>
              <w:t>Parameter</w:t>
            </w:r>
          </w:p>
        </w:tc>
        <w:tc>
          <w:tcPr>
            <w:tcW w:w="2400" w:type="dxa"/>
            <w:tcBorders>
              <w:top w:val="single" w:sz="4" w:space="0" w:color="000000"/>
              <w:left w:val="single" w:sz="4" w:space="0" w:color="000000"/>
              <w:bottom w:val="single" w:sz="4" w:space="0" w:color="000000"/>
              <w:right w:val="single" w:sz="4" w:space="0" w:color="000000"/>
            </w:tcBorders>
            <w:shd w:val="clear" w:color="auto" w:fill="D9D9D9"/>
            <w:tcMar>
              <w:top w:w="30" w:type="dxa"/>
              <w:left w:w="80" w:type="dxa"/>
              <w:bottom w:w="30" w:type="dxa"/>
              <w:right w:w="80" w:type="dxa"/>
            </w:tcMar>
            <w:vAlign w:val="center"/>
          </w:tcPr>
          <w:p w14:paraId="5A5ED7D8" w14:textId="77777777" w:rsidR="00253E5B" w:rsidRDefault="006D6DBE">
            <w:pPr>
              <w:spacing w:line="360" w:lineRule="auto"/>
            </w:pPr>
            <w:r>
              <w:rPr>
                <w:b/>
                <w:bCs/>
              </w:rPr>
              <w:t>Result</w:t>
            </w:r>
          </w:p>
        </w:tc>
        <w:tc>
          <w:tcPr>
            <w:tcW w:w="2760" w:type="dxa"/>
            <w:tcBorders>
              <w:top w:val="single" w:sz="4" w:space="0" w:color="000000"/>
              <w:left w:val="single" w:sz="4" w:space="0" w:color="000000"/>
              <w:bottom w:val="single" w:sz="4" w:space="0" w:color="000000"/>
              <w:right w:val="single" w:sz="4" w:space="0" w:color="000000"/>
            </w:tcBorders>
            <w:shd w:val="clear" w:color="auto" w:fill="D9D9D9"/>
            <w:tcMar>
              <w:top w:w="30" w:type="dxa"/>
              <w:left w:w="80" w:type="dxa"/>
              <w:bottom w:w="30" w:type="dxa"/>
              <w:right w:w="80" w:type="dxa"/>
            </w:tcMar>
            <w:vAlign w:val="center"/>
          </w:tcPr>
          <w:p w14:paraId="038B6991" w14:textId="77777777" w:rsidR="00253E5B" w:rsidRDefault="006D6DBE">
            <w:pPr>
              <w:spacing w:line="360" w:lineRule="auto"/>
            </w:pPr>
            <w:r>
              <w:rPr>
                <w:b/>
                <w:bCs/>
              </w:rPr>
              <w:t>Reference range</w:t>
            </w:r>
          </w:p>
        </w:tc>
      </w:tr>
      <w:tr w:rsidR="00253E5B" w14:paraId="23DBB85B"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1D5C226E" w14:textId="77777777" w:rsidR="00253E5B" w:rsidRDefault="006D6DBE">
            <w:pPr>
              <w:spacing w:line="360" w:lineRule="auto"/>
            </w:pPr>
            <w:proofErr w:type="spellStart"/>
            <w:r>
              <w:t>Hemoglobin</w:t>
            </w:r>
            <w:proofErr w:type="spellEnd"/>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72A1A05D" w14:textId="77777777" w:rsidR="00253E5B" w:rsidRDefault="006D6DBE">
            <w:pPr>
              <w:spacing w:line="360" w:lineRule="auto"/>
            </w:pPr>
            <w:r>
              <w:t>15.3 g/dL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D91F7C9" w14:textId="77777777" w:rsidR="00253E5B" w:rsidRDefault="006D6DBE">
            <w:pPr>
              <w:spacing w:line="360" w:lineRule="auto"/>
            </w:pPr>
            <w:r>
              <w:t>13–17 g/dL</w:t>
            </w:r>
          </w:p>
        </w:tc>
      </w:tr>
      <w:tr w:rsidR="00253E5B" w14:paraId="63422372"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F3C48D6" w14:textId="77777777" w:rsidR="00253E5B" w:rsidRDefault="006D6DBE">
            <w:pPr>
              <w:spacing w:line="360" w:lineRule="auto"/>
            </w:pPr>
            <w:r>
              <w:t>White blood cell count</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06C3020D" w14:textId="77777777" w:rsidR="00253E5B" w:rsidRDefault="006D6DBE">
            <w:pPr>
              <w:spacing w:line="360" w:lineRule="auto"/>
            </w:pPr>
            <w:r>
              <w:t>7700/mm³</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02326B11" w14:textId="77777777" w:rsidR="00253E5B" w:rsidRDefault="006D6DBE">
            <w:pPr>
              <w:spacing w:line="360" w:lineRule="auto"/>
            </w:pPr>
            <w:r>
              <w:t>4000–10,000/mm³</w:t>
            </w:r>
          </w:p>
        </w:tc>
      </w:tr>
      <w:tr w:rsidR="00253E5B" w14:paraId="7AAB5A15"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7B56B610" w14:textId="77777777" w:rsidR="00253E5B" w:rsidRDefault="006D6DBE">
            <w:pPr>
              <w:spacing w:line="360" w:lineRule="auto"/>
            </w:pPr>
            <w:r>
              <w:t>Neutrophil count</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48937900" w14:textId="77777777" w:rsidR="00253E5B" w:rsidRDefault="006D6DBE">
            <w:pPr>
              <w:spacing w:line="360" w:lineRule="auto"/>
            </w:pPr>
            <w:r>
              <w:t>4800/mm³</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5C95D222" w14:textId="77777777" w:rsidR="00253E5B" w:rsidRDefault="006D6DBE">
            <w:pPr>
              <w:spacing w:line="360" w:lineRule="auto"/>
            </w:pPr>
            <w:r>
              <w:t>1500–7500/mm³</w:t>
            </w:r>
          </w:p>
        </w:tc>
      </w:tr>
      <w:tr w:rsidR="00253E5B" w14:paraId="24EE3FD3"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1AABE1E0" w14:textId="77777777" w:rsidR="00253E5B" w:rsidRDefault="006D6DBE">
            <w:pPr>
              <w:spacing w:line="360" w:lineRule="auto"/>
            </w:pPr>
            <w:r>
              <w:t>Lymphocyte count</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4F0506CC" w14:textId="77777777" w:rsidR="00253E5B" w:rsidRDefault="006D6DBE">
            <w:pPr>
              <w:spacing w:line="360" w:lineRule="auto"/>
            </w:pPr>
            <w:r>
              <w:t>1700/mm³</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0EE29156" w14:textId="77777777" w:rsidR="00253E5B" w:rsidRDefault="006D6DBE">
            <w:pPr>
              <w:spacing w:line="360" w:lineRule="auto"/>
            </w:pPr>
            <w:r>
              <w:t>1000–4000/mm³</w:t>
            </w:r>
          </w:p>
        </w:tc>
      </w:tr>
      <w:tr w:rsidR="00253E5B" w14:paraId="5E6CE0BA"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313423D" w14:textId="77777777" w:rsidR="00253E5B" w:rsidRDefault="006D6DBE">
            <w:pPr>
              <w:spacing w:line="360" w:lineRule="auto"/>
            </w:pPr>
            <w:r>
              <w:t>Monocyte count</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74E10E06" w14:textId="77777777" w:rsidR="00253E5B" w:rsidRDefault="006D6DBE">
            <w:pPr>
              <w:spacing w:line="360" w:lineRule="auto"/>
            </w:pPr>
            <w:r>
              <w:t>600/mm³</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78E403A6" w14:textId="77777777" w:rsidR="00253E5B" w:rsidRDefault="006D6DBE">
            <w:pPr>
              <w:spacing w:line="360" w:lineRule="auto"/>
            </w:pPr>
            <w:r>
              <w:t>200–1000/mm³</w:t>
            </w:r>
          </w:p>
        </w:tc>
      </w:tr>
      <w:tr w:rsidR="00253E5B" w14:paraId="146C3DDD"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11F62F4B" w14:textId="77777777" w:rsidR="00253E5B" w:rsidRDefault="006D6DBE">
            <w:pPr>
              <w:spacing w:line="360" w:lineRule="auto"/>
            </w:pPr>
            <w:r>
              <w:t>Eosinophil count</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2C80FD0E" w14:textId="77777777" w:rsidR="00253E5B" w:rsidRDefault="006D6DBE">
            <w:pPr>
              <w:spacing w:line="360" w:lineRule="auto"/>
            </w:pPr>
            <w:r>
              <w:t>500/mm³</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B78CD63" w14:textId="77777777" w:rsidR="00253E5B" w:rsidRDefault="006D6DBE">
            <w:pPr>
              <w:spacing w:line="360" w:lineRule="auto"/>
            </w:pPr>
            <w:r>
              <w:t>0–500/mm³</w:t>
            </w:r>
          </w:p>
        </w:tc>
      </w:tr>
      <w:tr w:rsidR="00253E5B" w14:paraId="6858E790"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178DF42C" w14:textId="77777777" w:rsidR="00253E5B" w:rsidRDefault="006D6DBE">
            <w:pPr>
              <w:spacing w:line="360" w:lineRule="auto"/>
            </w:pPr>
            <w:r>
              <w:t>Platelet count</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BDCE7E5" w14:textId="77777777" w:rsidR="00253E5B" w:rsidRDefault="006D6DBE">
            <w:pPr>
              <w:spacing w:line="360" w:lineRule="auto"/>
            </w:pPr>
            <w:r>
              <w:t>205,000/mm³</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24B9009A" w14:textId="77777777" w:rsidR="00253E5B" w:rsidRDefault="006D6DBE">
            <w:pPr>
              <w:spacing w:line="360" w:lineRule="auto"/>
            </w:pPr>
            <w:r>
              <w:t>150,000–400,000/mm³</w:t>
            </w:r>
          </w:p>
        </w:tc>
      </w:tr>
      <w:tr w:rsidR="00253E5B" w14:paraId="68147B2B"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5B8746D" w14:textId="77777777" w:rsidR="00253E5B" w:rsidRDefault="006D6DBE">
            <w:pPr>
              <w:spacing w:line="360" w:lineRule="auto"/>
            </w:pPr>
            <w:r>
              <w:t>Erythrocyte sedimentation rate</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00574FC5" w14:textId="77777777" w:rsidR="00253E5B" w:rsidRDefault="006D6DBE">
            <w:pPr>
              <w:spacing w:line="360" w:lineRule="auto"/>
            </w:pPr>
            <w:r>
              <w:t>5 mm/h</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09BE7B3" w14:textId="77777777" w:rsidR="00253E5B" w:rsidRDefault="006D6DBE">
            <w:pPr>
              <w:spacing w:line="360" w:lineRule="auto"/>
            </w:pPr>
            <w:r>
              <w:t>&lt;20 mm/h</w:t>
            </w:r>
          </w:p>
        </w:tc>
      </w:tr>
      <w:tr w:rsidR="00253E5B" w14:paraId="2B9E4D5D"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74C6113C" w14:textId="77777777" w:rsidR="00253E5B" w:rsidRDefault="006D6DBE">
            <w:pPr>
              <w:spacing w:line="360" w:lineRule="auto"/>
            </w:pPr>
            <w:r>
              <w:t>Sodium</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D902B39" w14:textId="77777777" w:rsidR="00253E5B" w:rsidRDefault="006D6DBE">
            <w:pPr>
              <w:spacing w:line="360" w:lineRule="auto"/>
            </w:pPr>
            <w:r>
              <w:t>141 mmol/L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4ED7106F" w14:textId="77777777" w:rsidR="00253E5B" w:rsidRDefault="006D6DBE">
            <w:pPr>
              <w:spacing w:line="360" w:lineRule="auto"/>
            </w:pPr>
            <w:r>
              <w:t>135–145 mmol/L</w:t>
            </w:r>
          </w:p>
        </w:tc>
      </w:tr>
      <w:tr w:rsidR="00253E5B" w14:paraId="6185B8D6"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730AB6DC" w14:textId="77777777" w:rsidR="00253E5B" w:rsidRDefault="006D6DBE">
            <w:pPr>
              <w:spacing w:line="360" w:lineRule="auto"/>
            </w:pPr>
            <w:r>
              <w:t>Potassium</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7D15FA19" w14:textId="77777777" w:rsidR="00253E5B" w:rsidRDefault="006D6DBE">
            <w:pPr>
              <w:spacing w:line="360" w:lineRule="auto"/>
            </w:pPr>
            <w:r>
              <w:t>3.82 mmol/L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4F288BBD" w14:textId="77777777" w:rsidR="00253E5B" w:rsidRDefault="006D6DBE">
            <w:pPr>
              <w:spacing w:line="360" w:lineRule="auto"/>
            </w:pPr>
            <w:r>
              <w:t>3.5–5.0 mmol/L</w:t>
            </w:r>
          </w:p>
        </w:tc>
      </w:tr>
      <w:tr w:rsidR="00253E5B" w14:paraId="524B91E1"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210C826" w14:textId="77777777" w:rsidR="00253E5B" w:rsidRDefault="006D6DBE">
            <w:pPr>
              <w:spacing w:line="360" w:lineRule="auto"/>
            </w:pPr>
            <w:r>
              <w:t>Serum bicarbonate</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8DB54EA" w14:textId="77777777" w:rsidR="00253E5B" w:rsidRDefault="006D6DBE">
            <w:pPr>
              <w:spacing w:line="360" w:lineRule="auto"/>
            </w:pPr>
            <w:r>
              <w:t>27 mmol/L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51555931" w14:textId="77777777" w:rsidR="00253E5B" w:rsidRDefault="006D6DBE">
            <w:pPr>
              <w:spacing w:line="360" w:lineRule="auto"/>
            </w:pPr>
            <w:r>
              <w:t>22–29 mmol/L</w:t>
            </w:r>
          </w:p>
        </w:tc>
      </w:tr>
      <w:tr w:rsidR="00253E5B" w14:paraId="1BE76817"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8283FDA" w14:textId="77777777" w:rsidR="00253E5B" w:rsidRDefault="006D6DBE">
            <w:pPr>
              <w:spacing w:line="360" w:lineRule="auto"/>
            </w:pPr>
            <w:r>
              <w:t>Total protein</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7B26633C" w14:textId="77777777" w:rsidR="00253E5B" w:rsidRDefault="006D6DBE">
            <w:pPr>
              <w:spacing w:line="360" w:lineRule="auto"/>
            </w:pPr>
            <w:r>
              <w:t>75 g/L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0AB9FB39" w14:textId="77777777" w:rsidR="00253E5B" w:rsidRDefault="006D6DBE">
            <w:pPr>
              <w:spacing w:line="360" w:lineRule="auto"/>
            </w:pPr>
            <w:r>
              <w:t>64–83 g/L</w:t>
            </w:r>
          </w:p>
        </w:tc>
      </w:tr>
      <w:tr w:rsidR="00253E5B" w14:paraId="67D925FA"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1790FE8B" w14:textId="77777777" w:rsidR="00253E5B" w:rsidRDefault="006D6DBE">
            <w:pPr>
              <w:spacing w:line="360" w:lineRule="auto"/>
            </w:pPr>
            <w:r>
              <w:lastRenderedPageBreak/>
              <w:t>Urea</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081D936" w14:textId="77777777" w:rsidR="00253E5B" w:rsidRDefault="006D6DBE">
            <w:pPr>
              <w:spacing w:line="360" w:lineRule="auto"/>
            </w:pPr>
            <w:r>
              <w:t>0.21 g/L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0076C7BC" w14:textId="77777777" w:rsidR="00253E5B" w:rsidRDefault="006D6DBE">
            <w:pPr>
              <w:spacing w:line="360" w:lineRule="auto"/>
            </w:pPr>
            <w:r>
              <w:t>0.15–0.45 g/L</w:t>
            </w:r>
          </w:p>
        </w:tc>
      </w:tr>
      <w:tr w:rsidR="00253E5B" w14:paraId="54755600"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1092C7E2" w14:textId="77777777" w:rsidR="00253E5B" w:rsidRDefault="006D6DBE">
            <w:pPr>
              <w:spacing w:line="360" w:lineRule="auto"/>
            </w:pPr>
            <w:r>
              <w:t>Creatinine</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A0AE2CB" w14:textId="77777777" w:rsidR="00253E5B" w:rsidRDefault="006D6DBE">
            <w:pPr>
              <w:spacing w:line="360" w:lineRule="auto"/>
            </w:pPr>
            <w:r>
              <w:t>9 mg/L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EAB80B4" w14:textId="77777777" w:rsidR="00253E5B" w:rsidRDefault="006D6DBE">
            <w:pPr>
              <w:spacing w:line="360" w:lineRule="auto"/>
            </w:pPr>
            <w:r>
              <w:t>7–13 mg/L</w:t>
            </w:r>
          </w:p>
        </w:tc>
      </w:tr>
      <w:tr w:rsidR="00253E5B" w14:paraId="4AB91F98"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4712B52" w14:textId="77777777" w:rsidR="00253E5B" w:rsidRDefault="006D6DBE">
            <w:pPr>
              <w:spacing w:line="360" w:lineRule="auto"/>
            </w:pPr>
            <w:r>
              <w:t>Aspartate aminotransferase</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7497C326" w14:textId="77777777" w:rsidR="00253E5B" w:rsidRDefault="006D6DBE">
            <w:pPr>
              <w:spacing w:line="360" w:lineRule="auto"/>
            </w:pPr>
            <w:r>
              <w:t>19 U/L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7D268B40" w14:textId="77777777" w:rsidR="00253E5B" w:rsidRDefault="006D6DBE">
            <w:pPr>
              <w:spacing w:line="360" w:lineRule="auto"/>
            </w:pPr>
            <w:r>
              <w:t>&lt;40 U/L</w:t>
            </w:r>
          </w:p>
        </w:tc>
      </w:tr>
      <w:tr w:rsidR="00253E5B" w14:paraId="2DEB429F"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AFDE21C" w14:textId="77777777" w:rsidR="00253E5B" w:rsidRDefault="006D6DBE">
            <w:pPr>
              <w:spacing w:line="360" w:lineRule="auto"/>
            </w:pPr>
            <w:r>
              <w:t>Alanine aminotransferase</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8D8287C" w14:textId="77777777" w:rsidR="00253E5B" w:rsidRDefault="006D6DBE">
            <w:pPr>
              <w:spacing w:line="360" w:lineRule="auto"/>
            </w:pPr>
            <w:r>
              <w:t>14 U/L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5795EE7E" w14:textId="77777777" w:rsidR="00253E5B" w:rsidRDefault="006D6DBE">
            <w:pPr>
              <w:spacing w:line="360" w:lineRule="auto"/>
            </w:pPr>
            <w:r>
              <w:t>&lt;41 U/L</w:t>
            </w:r>
          </w:p>
        </w:tc>
      </w:tr>
      <w:tr w:rsidR="00253E5B" w14:paraId="590CF3A2"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567A85A" w14:textId="77777777" w:rsidR="00253E5B" w:rsidRDefault="006D6DBE">
            <w:pPr>
              <w:spacing w:line="360" w:lineRule="auto"/>
            </w:pPr>
            <w:r>
              <w:t>Calcium</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4B24F52" w14:textId="77777777" w:rsidR="00253E5B" w:rsidRDefault="006D6DBE">
            <w:pPr>
              <w:spacing w:line="360" w:lineRule="auto"/>
            </w:pPr>
            <w:r>
              <w:t>96 mg/L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2799F9B2" w14:textId="77777777" w:rsidR="00253E5B" w:rsidRDefault="006D6DBE">
            <w:pPr>
              <w:spacing w:line="360" w:lineRule="auto"/>
            </w:pPr>
            <w:r>
              <w:t>84–102 mg/L</w:t>
            </w:r>
          </w:p>
        </w:tc>
      </w:tr>
      <w:tr w:rsidR="00253E5B" w14:paraId="1DC63446"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0EB831D" w14:textId="77777777" w:rsidR="00253E5B" w:rsidRDefault="006D6DBE">
            <w:pPr>
              <w:spacing w:line="360" w:lineRule="auto"/>
            </w:pPr>
            <w:r>
              <w:t>Phosphorus</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4611D3A4" w14:textId="77777777" w:rsidR="00253E5B" w:rsidRDefault="006D6DBE">
            <w:pPr>
              <w:spacing w:line="360" w:lineRule="auto"/>
            </w:pPr>
            <w:r>
              <w:t>30 mg/L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34F107D5" w14:textId="77777777" w:rsidR="00253E5B" w:rsidRDefault="006D6DBE">
            <w:pPr>
              <w:spacing w:line="360" w:lineRule="auto"/>
            </w:pPr>
            <w:r>
              <w:t>25–45 mg/L</w:t>
            </w:r>
          </w:p>
        </w:tc>
      </w:tr>
      <w:tr w:rsidR="00253E5B" w14:paraId="742887C7" w14:textId="77777777">
        <w:tc>
          <w:tcPr>
            <w:tcW w:w="42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57D01641" w14:textId="77777777" w:rsidR="00253E5B" w:rsidRDefault="006D6DBE">
            <w:pPr>
              <w:spacing w:line="360" w:lineRule="auto"/>
            </w:pPr>
            <w:r>
              <w:t>Angiotensin-converting enzyme</w:t>
            </w:r>
          </w:p>
        </w:tc>
        <w:tc>
          <w:tcPr>
            <w:tcW w:w="24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64F297A0" w14:textId="77777777" w:rsidR="00253E5B" w:rsidRDefault="006D6DBE">
            <w:pPr>
              <w:spacing w:line="360" w:lineRule="auto"/>
            </w:pPr>
            <w:r>
              <w:t>30 U/L</w:t>
            </w:r>
          </w:p>
        </w:tc>
        <w:tc>
          <w:tcPr>
            <w:tcW w:w="27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vAlign w:val="center"/>
          </w:tcPr>
          <w:p w14:paraId="49AFB110" w14:textId="77777777" w:rsidR="00253E5B" w:rsidRDefault="006D6DBE">
            <w:pPr>
              <w:spacing w:line="360" w:lineRule="auto"/>
            </w:pPr>
            <w:r>
              <w:t>8–52 U/L</w:t>
            </w:r>
          </w:p>
        </w:tc>
      </w:tr>
    </w:tbl>
    <w:p w14:paraId="51EDDCBF" w14:textId="77777777" w:rsidR="00253E5B" w:rsidRDefault="00253E5B">
      <w:pPr>
        <w:spacing w:after="120"/>
      </w:pPr>
    </w:p>
    <w:p w14:paraId="2D3A642E" w14:textId="77777777" w:rsidR="00253E5B" w:rsidRDefault="006D6DBE">
      <w:pPr>
        <w:pStyle w:val="Heading1"/>
      </w:pPr>
      <w:r>
        <w:rPr>
          <w:caps/>
        </w:rPr>
        <w:t>3. Discussion</w:t>
      </w:r>
    </w:p>
    <w:p w14:paraId="3421F58E" w14:textId="77777777" w:rsidR="00253E5B" w:rsidRDefault="006D6DBE">
      <w:pPr>
        <w:spacing w:after="160" w:line="276" w:lineRule="auto"/>
        <w:jc w:val="both"/>
      </w:pPr>
      <w:r>
        <w:t xml:space="preserve">This case illustrates an unusual association between long-standing </w:t>
      </w:r>
      <w:proofErr w:type="spellStart"/>
      <w:r>
        <w:t>notalgia</w:t>
      </w:r>
      <w:proofErr w:type="spellEnd"/>
      <w:r>
        <w:t xml:space="preserve"> paresthetica and cutaneous sarcoidosis, with subsequent discovery of pulmonary involvement. Sarcoidosis is a multisystem granulomatous disorder that can affect virtually any organ, and cutaneous manifestations may represent the initial clue to underlying systemic disease (Sève et al., 2021).</w:t>
      </w:r>
    </w:p>
    <w:p w14:paraId="15D60EF2" w14:textId="77777777" w:rsidR="00253E5B" w:rsidRDefault="006D6DBE">
      <w:pPr>
        <w:spacing w:after="160" w:line="276" w:lineRule="auto"/>
        <w:jc w:val="both"/>
      </w:pPr>
      <w:proofErr w:type="spellStart"/>
      <w:r>
        <w:t>Notalgia</w:t>
      </w:r>
      <w:proofErr w:type="spellEnd"/>
      <w:r>
        <w:t xml:space="preserve"> paresthetica is generally considered a sensory neuropathy related to thoracic nerve involvement, and its chronic </w:t>
      </w:r>
      <w:r>
        <w:rPr>
          <w:highlight w:val="yellow"/>
        </w:rPr>
        <w:t>localised</w:t>
      </w:r>
      <w:r>
        <w:t xml:space="preserve"> symptoms can delay recognition of a superimposed dermatosis (Robinson et al., 2023).</w:t>
      </w:r>
    </w:p>
    <w:p w14:paraId="500822E5" w14:textId="77777777" w:rsidR="00253E5B" w:rsidRDefault="006D6DBE">
      <w:pPr>
        <w:spacing w:after="160" w:line="276" w:lineRule="auto"/>
        <w:jc w:val="both"/>
      </w:pPr>
      <w:r>
        <w:t xml:space="preserve">Cutaneous sarcoidosis has been reported to arise in sites of prior skin trauma, including scars and tattoos, sometimes described as a Koebner-like or isotopic response (Martires et al., 2015). In our patient, the appearance of papules within a chronic </w:t>
      </w:r>
      <w:proofErr w:type="spellStart"/>
      <w:r>
        <w:t>notalgia</w:t>
      </w:r>
      <w:proofErr w:type="spellEnd"/>
      <w:r>
        <w:t xml:space="preserve"> paresthetica area raises the possibility that local cutaneous vulnerability, repetitive scratching, or neurogenic inflammation may have contributed to lesion </w:t>
      </w:r>
      <w:r>
        <w:rPr>
          <w:highlight w:val="yellow"/>
        </w:rPr>
        <w:t>localisation</w:t>
      </w:r>
      <w:r>
        <w:t xml:space="preserve">, although a causal relationship cannot be established. </w:t>
      </w:r>
      <w:proofErr w:type="spellStart"/>
      <w:r>
        <w:t>Dermoscopy</w:t>
      </w:r>
      <w:proofErr w:type="spellEnd"/>
      <w:r>
        <w:t xml:space="preserve"> may provide helpful clues in cutaneous sarcoidosis, including translucent orange globular areas, linear vessels, and white scar-like structures, which can support suspicion before biopsy (Liu et al., 2023).</w:t>
      </w:r>
    </w:p>
    <w:p w14:paraId="632F81E2" w14:textId="77777777" w:rsidR="00253E5B" w:rsidRDefault="006D6DBE">
      <w:pPr>
        <w:spacing w:after="160" w:line="276" w:lineRule="auto"/>
        <w:jc w:val="both"/>
      </w:pPr>
      <w:r>
        <w:t xml:space="preserve">Histopathology is central to the diagnosis of sarcoidosis because the disease is </w:t>
      </w:r>
      <w:r>
        <w:rPr>
          <w:highlight w:val="yellow"/>
        </w:rPr>
        <w:t>characterised</w:t>
      </w:r>
      <w:r>
        <w:t xml:space="preserve"> by </w:t>
      </w:r>
      <w:r>
        <w:rPr>
          <w:highlight w:val="yellow"/>
        </w:rPr>
        <w:t>non-necrotising</w:t>
      </w:r>
      <w:r>
        <w:t xml:space="preserve"> granulomas, but these findings are not pathognomonic and must be interpreted in the context of the clinical picture and the differential diagnosis of other granulomatous dermatoses </w:t>
      </w:r>
      <w:r>
        <w:rPr>
          <w:highlight w:val="yellow"/>
        </w:rPr>
        <w:t>(Tana et al., 2022)</w:t>
      </w:r>
      <w:r>
        <w:t>. In our patient, skin biopsy confirmed cutaneous sarcoidosis and appropriately prompted systemic evaluation, which revealed pulmonary and mediastinal involvement.</w:t>
      </w:r>
    </w:p>
    <w:p w14:paraId="30969B03" w14:textId="77777777" w:rsidR="00253E5B" w:rsidRDefault="006D6DBE">
      <w:pPr>
        <w:spacing w:after="160" w:line="276" w:lineRule="auto"/>
        <w:jc w:val="both"/>
      </w:pPr>
      <w:r>
        <w:t xml:space="preserve">This case highlights the importance of considering biopsy in persistent or changing lesions occurring within areas affected by </w:t>
      </w:r>
      <w:proofErr w:type="spellStart"/>
      <w:r>
        <w:t>notalgia</w:t>
      </w:r>
      <w:proofErr w:type="spellEnd"/>
      <w:r>
        <w:t xml:space="preserve"> paresthetica, as they may reveal cutaneous sarcoidosis and uncover otherwise </w:t>
      </w:r>
      <w:r>
        <w:rPr>
          <w:highlight w:val="yellow"/>
        </w:rPr>
        <w:t>unrecognised</w:t>
      </w:r>
      <w:r>
        <w:t xml:space="preserve"> systemic disease. Chronic neuropathic itch can lead to persistent scratching, post-inflammatory change, and delayed recognition of a second process superimposed on the original syndrome. Areas affected by </w:t>
      </w:r>
      <w:proofErr w:type="spellStart"/>
      <w:r>
        <w:t>notalgia</w:t>
      </w:r>
      <w:proofErr w:type="spellEnd"/>
      <w:r>
        <w:t xml:space="preserve"> paresthetica may therefore conceal cutaneous sarcoidosis, and any new or progressive lesion in this setting should prompt biopsy and systemic evaluation.</w:t>
      </w:r>
    </w:p>
    <w:p w14:paraId="1CC588C0" w14:textId="77777777" w:rsidR="00253E5B" w:rsidRDefault="006D6DBE">
      <w:pPr>
        <w:pStyle w:val="Heading1"/>
      </w:pPr>
      <w:r>
        <w:rPr>
          <w:caps/>
        </w:rPr>
        <w:t>4. Conclusion</w:t>
      </w:r>
    </w:p>
    <w:p w14:paraId="7D391B87" w14:textId="77777777" w:rsidR="00367E96" w:rsidRDefault="00367E96">
      <w:pPr>
        <w:pStyle w:val="Heading1"/>
        <w:rPr>
          <w:b w:val="0"/>
          <w:bCs w:val="0"/>
        </w:rPr>
      </w:pPr>
      <w:r w:rsidRPr="00C418DD">
        <w:rPr>
          <w:b w:val="0"/>
          <w:bCs w:val="0"/>
        </w:rPr>
        <w:t xml:space="preserve">This case documents cutaneous sarcoidosis developing within a long-standing area of </w:t>
      </w:r>
      <w:proofErr w:type="spellStart"/>
      <w:r w:rsidRPr="00C418DD">
        <w:rPr>
          <w:b w:val="0"/>
          <w:bCs w:val="0"/>
        </w:rPr>
        <w:t>notalgia</w:t>
      </w:r>
      <w:proofErr w:type="spellEnd"/>
      <w:r w:rsidRPr="00C418DD">
        <w:rPr>
          <w:b w:val="0"/>
          <w:bCs w:val="0"/>
        </w:rPr>
        <w:t xml:space="preserve"> paresthetica and leading to the recognition of previously unrecognised systemic sarcoidosis with pulmonary involvement. The coexistence of papular </w:t>
      </w:r>
      <w:proofErr w:type="spellStart"/>
      <w:r w:rsidRPr="00C418DD">
        <w:rPr>
          <w:b w:val="0"/>
          <w:bCs w:val="0"/>
        </w:rPr>
        <w:t>sarcoidal</w:t>
      </w:r>
      <w:proofErr w:type="spellEnd"/>
      <w:r w:rsidRPr="00C418DD">
        <w:rPr>
          <w:b w:val="0"/>
          <w:bCs w:val="0"/>
        </w:rPr>
        <w:t xml:space="preserve"> lesions within a chronic </w:t>
      </w:r>
      <w:r w:rsidRPr="00C418DD">
        <w:rPr>
          <w:b w:val="0"/>
          <w:bCs w:val="0"/>
        </w:rPr>
        <w:lastRenderedPageBreak/>
        <w:t xml:space="preserve">neuropathic itch field is unusual and, to our knowledge, has not previously been described in this clinical context. Although chronic pruritus, repetitive scratching, local cutaneous vulnerability, and neurogenic inflammation may plausibly influence lesion localisation, the temporal and spatial association observed in a single patient does not establish causality. The case also demonstrates the diagnostic value of recognising a change in morphology within an established </w:t>
      </w:r>
      <w:proofErr w:type="spellStart"/>
      <w:r w:rsidRPr="00C418DD">
        <w:rPr>
          <w:b w:val="0"/>
          <w:bCs w:val="0"/>
        </w:rPr>
        <w:t>notalgia</w:t>
      </w:r>
      <w:proofErr w:type="spellEnd"/>
      <w:r w:rsidRPr="00C418DD">
        <w:rPr>
          <w:b w:val="0"/>
          <w:bCs w:val="0"/>
        </w:rPr>
        <w:t xml:space="preserve"> paresthetica field. </w:t>
      </w:r>
      <w:proofErr w:type="spellStart"/>
      <w:r w:rsidRPr="00C418DD">
        <w:rPr>
          <w:b w:val="0"/>
          <w:bCs w:val="0"/>
        </w:rPr>
        <w:t>Dermoscopic</w:t>
      </w:r>
      <w:proofErr w:type="spellEnd"/>
      <w:r w:rsidRPr="00C418DD">
        <w:rPr>
          <w:b w:val="0"/>
          <w:bCs w:val="0"/>
        </w:rPr>
        <w:t xml:space="preserve"> findings supported clinical suspicion, while histopathological examination confirmed cutaneous sarcoidosis and prompted systemic assessment. Clinicians should therefore consider an additional dermatosis when new or progressive lesions appear within an area affected by </w:t>
      </w:r>
      <w:proofErr w:type="spellStart"/>
      <w:r w:rsidRPr="00C418DD">
        <w:rPr>
          <w:b w:val="0"/>
          <w:bCs w:val="0"/>
        </w:rPr>
        <w:t>notalgia</w:t>
      </w:r>
      <w:proofErr w:type="spellEnd"/>
      <w:r w:rsidRPr="00C418DD">
        <w:rPr>
          <w:b w:val="0"/>
          <w:bCs w:val="0"/>
        </w:rPr>
        <w:t xml:space="preserve"> paresthetica. Appropriate biopsy and systemic evaluation may identify sarcoidosis even when systemic symptoms are not reported.</w:t>
      </w:r>
    </w:p>
    <w:p w14:paraId="2B0927B7" w14:textId="646A1BA2" w:rsidR="007518B8" w:rsidRDefault="007518B8">
      <w:pPr>
        <w:pStyle w:val="Heading1"/>
      </w:pPr>
      <w:r w:rsidRPr="007518B8">
        <w:t>Limitation</w:t>
      </w:r>
    </w:p>
    <w:p w14:paraId="1B7BDEF5" w14:textId="34929A31" w:rsidR="004C250B" w:rsidRPr="004C250B" w:rsidRDefault="004C250B">
      <w:pPr>
        <w:pStyle w:val="Heading1"/>
        <w:rPr>
          <w:b w:val="0"/>
          <w:bCs w:val="0"/>
        </w:rPr>
      </w:pPr>
      <w:r w:rsidRPr="004C250B">
        <w:rPr>
          <w:b w:val="0"/>
          <w:bCs w:val="0"/>
        </w:rPr>
        <w:t xml:space="preserve">This report is limited by its single-patient design, which restricts the generalisability of the observed association between </w:t>
      </w:r>
      <w:proofErr w:type="spellStart"/>
      <w:r w:rsidRPr="004C250B">
        <w:rPr>
          <w:b w:val="0"/>
          <w:bCs w:val="0"/>
        </w:rPr>
        <w:t>notalgia</w:t>
      </w:r>
      <w:proofErr w:type="spellEnd"/>
      <w:r w:rsidRPr="004C250B">
        <w:rPr>
          <w:b w:val="0"/>
          <w:bCs w:val="0"/>
        </w:rPr>
        <w:t xml:space="preserve"> paresthetica and cutaneous sarcoidosis. The temporal and spatial coexistence of the two conditions cannot establish a causal relationship. In addition, the six-month follow-up period limits assessment of long-term cutaneous response and systemic disease evolution. Further reports involving additional patients and longer follow-up are needed to determine whether this localisation represents a reproducible clinical pattern.</w:t>
      </w:r>
    </w:p>
    <w:p w14:paraId="0742CCBC" w14:textId="5AB56D90" w:rsidR="00253E5B" w:rsidRDefault="006D6DBE">
      <w:pPr>
        <w:pStyle w:val="Heading1"/>
      </w:pPr>
      <w:r>
        <w:rPr>
          <w:caps/>
        </w:rPr>
        <w:t>Competing Interests</w:t>
      </w:r>
    </w:p>
    <w:p w14:paraId="28B50358" w14:textId="77777777" w:rsidR="00253E5B" w:rsidRDefault="006D6DBE">
      <w:pPr>
        <w:spacing w:after="160" w:line="276" w:lineRule="auto"/>
        <w:jc w:val="both"/>
      </w:pPr>
      <w:r>
        <w:t>Authors have declared that no competing interests exist. No financial or personal relationships with individuals or organizations that could inappropriately influence this work are reported. No funding or financial support was received for this work.</w:t>
      </w:r>
    </w:p>
    <w:p w14:paraId="434DFF8A" w14:textId="77777777" w:rsidR="00253E5B" w:rsidRDefault="006D6DBE">
      <w:pPr>
        <w:pStyle w:val="Heading1"/>
      </w:pPr>
      <w:r>
        <w:rPr>
          <w:caps/>
        </w:rPr>
        <w:t>Consent</w:t>
      </w:r>
    </w:p>
    <w:p w14:paraId="2251304B" w14:textId="77777777" w:rsidR="00253E5B" w:rsidRDefault="006D6DBE">
      <w:pPr>
        <w:spacing w:after="160" w:line="276" w:lineRule="auto"/>
        <w:jc w:val="both"/>
      </w:pPr>
      <w:r>
        <w:t>All authors declare that written informed consent was obtained from the patient for publication of this case report and the accompanying images. A copy of the written consent is available for review by the Editorial office / Chief Editor / Editorial Board members of this journal.</w:t>
      </w:r>
    </w:p>
    <w:p w14:paraId="1FB67AF3" w14:textId="77777777" w:rsidR="00253E5B" w:rsidRDefault="006D6DBE">
      <w:pPr>
        <w:pStyle w:val="Heading1"/>
      </w:pPr>
      <w:r>
        <w:rPr>
          <w:caps/>
        </w:rPr>
        <w:t>Ethical Approval</w:t>
      </w:r>
    </w:p>
    <w:p w14:paraId="36977D9E" w14:textId="77777777" w:rsidR="00253E5B" w:rsidRDefault="006D6DBE">
      <w:pPr>
        <w:spacing w:after="160" w:line="276" w:lineRule="auto"/>
        <w:jc w:val="both"/>
      </w:pPr>
      <w:r>
        <w:t>All authors hereby declare that all procedures have been performed in accordance with the ethical standards laid down in the 1964 Declaration of Helsinki and its later amendments.</w:t>
      </w:r>
    </w:p>
    <w:p w14:paraId="6CBAD8DC" w14:textId="77777777" w:rsidR="006D6DBE" w:rsidRDefault="006D6DBE" w:rsidP="006D6DBE">
      <w:pPr>
        <w:shd w:val="clear" w:color="auto" w:fill="FFFFFF"/>
        <w:rPr>
          <w:rFonts w:eastAsia="Times New Roman"/>
          <w:color w:val="222222"/>
          <w:sz w:val="24"/>
          <w:szCs w:val="24"/>
        </w:rPr>
      </w:pPr>
      <w:bookmarkStart w:id="0" w:name="_Hlk232854992"/>
      <w:bookmarkStart w:id="1" w:name="_Hlk237857116"/>
    </w:p>
    <w:p w14:paraId="571E4E2E" w14:textId="77777777" w:rsidR="006D6DBE" w:rsidRPr="002D08AC" w:rsidRDefault="006D6DBE" w:rsidP="006D6DBE">
      <w:pPr>
        <w:rPr>
          <w:b/>
        </w:rPr>
      </w:pPr>
      <w:bookmarkStart w:id="2" w:name="_Hlk238550938"/>
      <w:bookmarkStart w:id="3" w:name="_Hlk237856463"/>
      <w:bookmarkEnd w:id="0"/>
      <w:r w:rsidRPr="002D08AC">
        <w:rPr>
          <w:b/>
        </w:rPr>
        <w:t>Declaration of AI Use</w:t>
      </w:r>
    </w:p>
    <w:p w14:paraId="40AA2808" w14:textId="77777777" w:rsidR="006D6DBE" w:rsidRPr="002D08AC" w:rsidRDefault="006D6DBE" w:rsidP="006D6DBE"/>
    <w:p w14:paraId="5ACE9545" w14:textId="77777777" w:rsidR="006D6DBE" w:rsidRPr="002D08AC" w:rsidRDefault="006D6DBE" w:rsidP="006D6DBE">
      <w:bookmarkStart w:id="4" w:name="_Hlk237862032"/>
      <w:r w:rsidRPr="002D08AC">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2"/>
      <w:r w:rsidRPr="002D08AC">
        <w:t>.</w:t>
      </w:r>
    </w:p>
    <w:bookmarkEnd w:id="1"/>
    <w:bookmarkEnd w:id="3"/>
    <w:bookmarkEnd w:id="4"/>
    <w:p w14:paraId="42415427" w14:textId="77777777" w:rsidR="006D6DBE" w:rsidRDefault="006D6DBE">
      <w:pPr>
        <w:spacing w:after="160" w:line="276" w:lineRule="auto"/>
        <w:jc w:val="both"/>
      </w:pPr>
    </w:p>
    <w:p w14:paraId="5F463F12" w14:textId="77777777" w:rsidR="00253E5B" w:rsidRDefault="006D6DBE">
      <w:pPr>
        <w:pStyle w:val="Heading1"/>
        <w:rPr>
          <w:caps/>
        </w:rPr>
      </w:pPr>
      <w:r>
        <w:rPr>
          <w:caps/>
        </w:rPr>
        <w:t>References</w:t>
      </w:r>
    </w:p>
    <w:p w14:paraId="77225B90" w14:textId="77777777" w:rsidR="006861E3" w:rsidRPr="006861E3" w:rsidRDefault="006861E3" w:rsidP="006861E3">
      <w:pPr>
        <w:spacing w:before="100" w:beforeAutospacing="1" w:after="100" w:afterAutospacing="1"/>
        <w:rPr>
          <w:rFonts w:ascii="Times New Roman" w:eastAsia="Times New Roman" w:hAnsi="Times New Roman" w:cs="Times New Roman"/>
          <w:sz w:val="24"/>
          <w:szCs w:val="24"/>
          <w:lang w:val="en-US" w:eastAsia="en-US"/>
        </w:rPr>
      </w:pPr>
      <w:r w:rsidRPr="006861E3">
        <w:rPr>
          <w:rFonts w:ascii="Times New Roman" w:eastAsia="Times New Roman" w:hAnsi="Times New Roman" w:cs="Times New Roman"/>
          <w:sz w:val="24"/>
          <w:szCs w:val="24"/>
          <w:lang w:val="en-US" w:eastAsia="en-US"/>
        </w:rPr>
        <w:t xml:space="preserve">Abdelghaffar, M., Hwang, E., &amp; Damsky, W. (2024). Cutaneous sarcoidosis. </w:t>
      </w:r>
      <w:r w:rsidRPr="006861E3">
        <w:rPr>
          <w:rFonts w:ascii="Times New Roman" w:eastAsia="Times New Roman" w:hAnsi="Times New Roman" w:cs="Times New Roman"/>
          <w:i/>
          <w:iCs/>
          <w:sz w:val="24"/>
          <w:szCs w:val="24"/>
          <w:lang w:val="en-US" w:eastAsia="en-US"/>
        </w:rPr>
        <w:t>Clinics in Chest Medicine, 45</w:t>
      </w:r>
      <w:r w:rsidRPr="006861E3">
        <w:rPr>
          <w:rFonts w:ascii="Times New Roman" w:eastAsia="Times New Roman" w:hAnsi="Times New Roman" w:cs="Times New Roman"/>
          <w:sz w:val="24"/>
          <w:szCs w:val="24"/>
          <w:lang w:val="en-US" w:eastAsia="en-US"/>
        </w:rPr>
        <w:t xml:space="preserve">(1), 71–89. </w:t>
      </w:r>
      <w:hyperlink r:id="rId12" w:history="1">
        <w:r w:rsidRPr="006861E3">
          <w:rPr>
            <w:rFonts w:ascii="Times New Roman" w:eastAsia="Times New Roman" w:hAnsi="Times New Roman" w:cs="Times New Roman"/>
            <w:color w:val="0000FF"/>
            <w:sz w:val="24"/>
            <w:szCs w:val="24"/>
            <w:u w:val="single"/>
            <w:lang w:val="en-US" w:eastAsia="en-US"/>
          </w:rPr>
          <w:t>https://doi.org/10.1016/j.ccm.2023.08.004</w:t>
        </w:r>
      </w:hyperlink>
    </w:p>
    <w:p w14:paraId="7C1FA28A" w14:textId="77777777" w:rsidR="006861E3" w:rsidRPr="006861E3" w:rsidRDefault="006861E3" w:rsidP="006861E3">
      <w:pPr>
        <w:spacing w:before="100" w:beforeAutospacing="1" w:after="100" w:afterAutospacing="1"/>
        <w:rPr>
          <w:rFonts w:ascii="Times New Roman" w:eastAsia="Times New Roman" w:hAnsi="Times New Roman" w:cs="Times New Roman"/>
          <w:sz w:val="24"/>
          <w:szCs w:val="24"/>
          <w:lang w:val="en-US" w:eastAsia="en-US"/>
        </w:rPr>
      </w:pPr>
      <w:r w:rsidRPr="006861E3">
        <w:rPr>
          <w:rFonts w:ascii="Times New Roman" w:eastAsia="Times New Roman" w:hAnsi="Times New Roman" w:cs="Times New Roman"/>
          <w:sz w:val="24"/>
          <w:szCs w:val="24"/>
          <w:lang w:val="en-US" w:eastAsia="en-US"/>
        </w:rPr>
        <w:lastRenderedPageBreak/>
        <w:t xml:space="preserve">Damsky, W., &amp; King, B. (2025). Cutaneous sarcoidosis: Clinical and pathologic features, molecular pathogenesis, and treatment. </w:t>
      </w:r>
      <w:r w:rsidRPr="006861E3">
        <w:rPr>
          <w:rFonts w:ascii="Times New Roman" w:eastAsia="Times New Roman" w:hAnsi="Times New Roman" w:cs="Times New Roman"/>
          <w:i/>
          <w:iCs/>
          <w:sz w:val="24"/>
          <w:szCs w:val="24"/>
          <w:lang w:val="en-US" w:eastAsia="en-US"/>
        </w:rPr>
        <w:t>Clinics in Dermatology, 43</w:t>
      </w:r>
      <w:r w:rsidRPr="006861E3">
        <w:rPr>
          <w:rFonts w:ascii="Times New Roman" w:eastAsia="Times New Roman" w:hAnsi="Times New Roman" w:cs="Times New Roman"/>
          <w:sz w:val="24"/>
          <w:szCs w:val="24"/>
          <w:lang w:val="en-US" w:eastAsia="en-US"/>
        </w:rPr>
        <w:t xml:space="preserve">(2), 177–190. </w:t>
      </w:r>
      <w:hyperlink r:id="rId13" w:history="1">
        <w:r w:rsidRPr="006861E3">
          <w:rPr>
            <w:rFonts w:ascii="Times New Roman" w:eastAsia="Times New Roman" w:hAnsi="Times New Roman" w:cs="Times New Roman"/>
            <w:color w:val="0000FF"/>
            <w:sz w:val="24"/>
            <w:szCs w:val="24"/>
            <w:u w:val="single"/>
            <w:lang w:val="en-US" w:eastAsia="en-US"/>
          </w:rPr>
          <w:t>https://doi.org/10.1016/j.clindermatol.2024.12.017</w:t>
        </w:r>
      </w:hyperlink>
    </w:p>
    <w:p w14:paraId="64AB7274" w14:textId="77777777" w:rsidR="006861E3" w:rsidRPr="006861E3" w:rsidRDefault="006861E3" w:rsidP="006861E3">
      <w:pPr>
        <w:spacing w:before="100" w:beforeAutospacing="1" w:after="100" w:afterAutospacing="1"/>
        <w:rPr>
          <w:rFonts w:ascii="Times New Roman" w:eastAsia="Times New Roman" w:hAnsi="Times New Roman" w:cs="Times New Roman"/>
          <w:sz w:val="24"/>
          <w:szCs w:val="24"/>
          <w:lang w:val="en-US" w:eastAsia="en-US"/>
        </w:rPr>
      </w:pPr>
      <w:r w:rsidRPr="006861E3">
        <w:rPr>
          <w:rFonts w:ascii="Times New Roman" w:eastAsia="Times New Roman" w:hAnsi="Times New Roman" w:cs="Times New Roman"/>
          <w:sz w:val="24"/>
          <w:szCs w:val="24"/>
          <w:lang w:val="en-US" w:eastAsia="en-US"/>
        </w:rPr>
        <w:t xml:space="preserve">Liu, M., Chen, H., &amp; Xu, F. (2023). </w:t>
      </w:r>
      <w:proofErr w:type="spellStart"/>
      <w:r w:rsidRPr="006861E3">
        <w:rPr>
          <w:rFonts w:ascii="Times New Roman" w:eastAsia="Times New Roman" w:hAnsi="Times New Roman" w:cs="Times New Roman"/>
          <w:sz w:val="24"/>
          <w:szCs w:val="24"/>
          <w:lang w:val="en-US" w:eastAsia="en-US"/>
        </w:rPr>
        <w:t>Dermoscopy</w:t>
      </w:r>
      <w:proofErr w:type="spellEnd"/>
      <w:r w:rsidRPr="006861E3">
        <w:rPr>
          <w:rFonts w:ascii="Times New Roman" w:eastAsia="Times New Roman" w:hAnsi="Times New Roman" w:cs="Times New Roman"/>
          <w:sz w:val="24"/>
          <w:szCs w:val="24"/>
          <w:lang w:val="en-US" w:eastAsia="en-US"/>
        </w:rPr>
        <w:t xml:space="preserve"> of cutaneous sarcoidosis: A cross-sectional study. </w:t>
      </w:r>
      <w:r w:rsidRPr="006861E3">
        <w:rPr>
          <w:rFonts w:ascii="Times New Roman" w:eastAsia="Times New Roman" w:hAnsi="Times New Roman" w:cs="Times New Roman"/>
          <w:i/>
          <w:iCs/>
          <w:sz w:val="24"/>
          <w:szCs w:val="24"/>
          <w:lang w:val="en-US" w:eastAsia="en-US"/>
        </w:rPr>
        <w:t xml:space="preserve">Anais </w:t>
      </w:r>
      <w:proofErr w:type="spellStart"/>
      <w:r w:rsidRPr="006861E3">
        <w:rPr>
          <w:rFonts w:ascii="Times New Roman" w:eastAsia="Times New Roman" w:hAnsi="Times New Roman" w:cs="Times New Roman"/>
          <w:i/>
          <w:iCs/>
          <w:sz w:val="24"/>
          <w:szCs w:val="24"/>
          <w:lang w:val="en-US" w:eastAsia="en-US"/>
        </w:rPr>
        <w:t>Brasileiros</w:t>
      </w:r>
      <w:proofErr w:type="spellEnd"/>
      <w:r w:rsidRPr="006861E3">
        <w:rPr>
          <w:rFonts w:ascii="Times New Roman" w:eastAsia="Times New Roman" w:hAnsi="Times New Roman" w:cs="Times New Roman"/>
          <w:i/>
          <w:iCs/>
          <w:sz w:val="24"/>
          <w:szCs w:val="24"/>
          <w:lang w:val="en-US" w:eastAsia="en-US"/>
        </w:rPr>
        <w:t xml:space="preserve"> de </w:t>
      </w:r>
      <w:proofErr w:type="spellStart"/>
      <w:r w:rsidRPr="006861E3">
        <w:rPr>
          <w:rFonts w:ascii="Times New Roman" w:eastAsia="Times New Roman" w:hAnsi="Times New Roman" w:cs="Times New Roman"/>
          <w:i/>
          <w:iCs/>
          <w:sz w:val="24"/>
          <w:szCs w:val="24"/>
          <w:lang w:val="en-US" w:eastAsia="en-US"/>
        </w:rPr>
        <w:t>Dermatologia</w:t>
      </w:r>
      <w:proofErr w:type="spellEnd"/>
      <w:r w:rsidRPr="006861E3">
        <w:rPr>
          <w:rFonts w:ascii="Times New Roman" w:eastAsia="Times New Roman" w:hAnsi="Times New Roman" w:cs="Times New Roman"/>
          <w:i/>
          <w:iCs/>
          <w:sz w:val="24"/>
          <w:szCs w:val="24"/>
          <w:lang w:val="en-US" w:eastAsia="en-US"/>
        </w:rPr>
        <w:t>, 98</w:t>
      </w:r>
      <w:r w:rsidRPr="006861E3">
        <w:rPr>
          <w:rFonts w:ascii="Times New Roman" w:eastAsia="Times New Roman" w:hAnsi="Times New Roman" w:cs="Times New Roman"/>
          <w:sz w:val="24"/>
          <w:szCs w:val="24"/>
          <w:lang w:val="en-US" w:eastAsia="en-US"/>
        </w:rPr>
        <w:t xml:space="preserve">(6), 750–754. </w:t>
      </w:r>
      <w:hyperlink r:id="rId14" w:history="1">
        <w:r w:rsidRPr="006861E3">
          <w:rPr>
            <w:rFonts w:ascii="Times New Roman" w:eastAsia="Times New Roman" w:hAnsi="Times New Roman" w:cs="Times New Roman"/>
            <w:color w:val="0000FF"/>
            <w:sz w:val="24"/>
            <w:szCs w:val="24"/>
            <w:u w:val="single"/>
            <w:lang w:val="en-US" w:eastAsia="en-US"/>
          </w:rPr>
          <w:t>https://doi.org/10.1016/j.abd.2022.12.006</w:t>
        </w:r>
      </w:hyperlink>
    </w:p>
    <w:p w14:paraId="2052C2C1" w14:textId="77777777" w:rsidR="006861E3" w:rsidRPr="006861E3" w:rsidRDefault="006861E3" w:rsidP="006861E3">
      <w:pPr>
        <w:spacing w:before="100" w:beforeAutospacing="1" w:after="100" w:afterAutospacing="1"/>
        <w:rPr>
          <w:rFonts w:ascii="Times New Roman" w:eastAsia="Times New Roman" w:hAnsi="Times New Roman" w:cs="Times New Roman"/>
          <w:sz w:val="24"/>
          <w:szCs w:val="24"/>
          <w:lang w:val="en-US" w:eastAsia="en-US"/>
        </w:rPr>
      </w:pPr>
      <w:r w:rsidRPr="006861E3">
        <w:rPr>
          <w:rFonts w:ascii="Times New Roman" w:eastAsia="Times New Roman" w:hAnsi="Times New Roman" w:cs="Times New Roman"/>
          <w:sz w:val="24"/>
          <w:szCs w:val="24"/>
          <w:lang w:val="en-US" w:eastAsia="en-US"/>
        </w:rPr>
        <w:t xml:space="preserve">Martires, K., </w:t>
      </w:r>
      <w:proofErr w:type="spellStart"/>
      <w:r w:rsidRPr="006861E3">
        <w:rPr>
          <w:rFonts w:ascii="Times New Roman" w:eastAsia="Times New Roman" w:hAnsi="Times New Roman" w:cs="Times New Roman"/>
          <w:sz w:val="24"/>
          <w:szCs w:val="24"/>
          <w:lang w:val="en-US" w:eastAsia="en-US"/>
        </w:rPr>
        <w:t>Shvartsbeyn</w:t>
      </w:r>
      <w:proofErr w:type="spellEnd"/>
      <w:r w:rsidRPr="006861E3">
        <w:rPr>
          <w:rFonts w:ascii="Times New Roman" w:eastAsia="Times New Roman" w:hAnsi="Times New Roman" w:cs="Times New Roman"/>
          <w:sz w:val="24"/>
          <w:szCs w:val="24"/>
          <w:lang w:val="en-US" w:eastAsia="en-US"/>
        </w:rPr>
        <w:t xml:space="preserve">, M., Brinster, N., Ramachandran, S., &amp; Franks, A. G., Jr. (2015). Sarcoidosis. </w:t>
      </w:r>
      <w:r w:rsidRPr="006861E3">
        <w:rPr>
          <w:rFonts w:ascii="Times New Roman" w:eastAsia="Times New Roman" w:hAnsi="Times New Roman" w:cs="Times New Roman"/>
          <w:i/>
          <w:iCs/>
          <w:sz w:val="24"/>
          <w:szCs w:val="24"/>
          <w:lang w:val="en-US" w:eastAsia="en-US"/>
        </w:rPr>
        <w:t>Dermatology Online Journal, 21</w:t>
      </w:r>
      <w:r w:rsidRPr="006861E3">
        <w:rPr>
          <w:rFonts w:ascii="Times New Roman" w:eastAsia="Times New Roman" w:hAnsi="Times New Roman" w:cs="Times New Roman"/>
          <w:sz w:val="24"/>
          <w:szCs w:val="24"/>
          <w:lang w:val="en-US" w:eastAsia="en-US"/>
        </w:rPr>
        <w:t xml:space="preserve">(12). </w:t>
      </w:r>
      <w:hyperlink r:id="rId15" w:history="1">
        <w:r w:rsidRPr="006861E3">
          <w:rPr>
            <w:rFonts w:ascii="Times New Roman" w:eastAsia="Times New Roman" w:hAnsi="Times New Roman" w:cs="Times New Roman"/>
            <w:color w:val="0000FF"/>
            <w:sz w:val="24"/>
            <w:szCs w:val="24"/>
            <w:u w:val="single"/>
            <w:lang w:val="en-US" w:eastAsia="en-US"/>
          </w:rPr>
          <w:t>https://doi.org/10.5070/D32112029526</w:t>
        </w:r>
      </w:hyperlink>
    </w:p>
    <w:p w14:paraId="22062E32" w14:textId="77777777" w:rsidR="006861E3" w:rsidRPr="006861E3" w:rsidRDefault="006861E3" w:rsidP="006861E3">
      <w:pPr>
        <w:spacing w:before="100" w:beforeAutospacing="1" w:after="100" w:afterAutospacing="1"/>
        <w:rPr>
          <w:rFonts w:ascii="Times New Roman" w:eastAsia="Times New Roman" w:hAnsi="Times New Roman" w:cs="Times New Roman"/>
          <w:sz w:val="24"/>
          <w:szCs w:val="24"/>
          <w:lang w:val="en-US" w:eastAsia="en-US"/>
        </w:rPr>
      </w:pPr>
      <w:r w:rsidRPr="006861E3">
        <w:rPr>
          <w:rFonts w:ascii="Times New Roman" w:eastAsia="Times New Roman" w:hAnsi="Times New Roman" w:cs="Times New Roman"/>
          <w:sz w:val="24"/>
          <w:szCs w:val="24"/>
          <w:lang w:val="en-US" w:eastAsia="en-US"/>
        </w:rPr>
        <w:t xml:space="preserve">Nguyen, P., Parikh, S., Ko, C., Nguyen, G., Kaye, A. D., Urits, I., &amp; </w:t>
      </w:r>
      <w:proofErr w:type="spellStart"/>
      <w:r w:rsidRPr="006861E3">
        <w:rPr>
          <w:rFonts w:ascii="Times New Roman" w:eastAsia="Times New Roman" w:hAnsi="Times New Roman" w:cs="Times New Roman"/>
          <w:sz w:val="24"/>
          <w:szCs w:val="24"/>
          <w:lang w:val="en-US" w:eastAsia="en-US"/>
        </w:rPr>
        <w:t>Hasoon</w:t>
      </w:r>
      <w:proofErr w:type="spellEnd"/>
      <w:r w:rsidRPr="006861E3">
        <w:rPr>
          <w:rFonts w:ascii="Times New Roman" w:eastAsia="Times New Roman" w:hAnsi="Times New Roman" w:cs="Times New Roman"/>
          <w:sz w:val="24"/>
          <w:szCs w:val="24"/>
          <w:lang w:val="en-US" w:eastAsia="en-US"/>
        </w:rPr>
        <w:t xml:space="preserve">, J. (2025). </w:t>
      </w:r>
      <w:proofErr w:type="spellStart"/>
      <w:r w:rsidRPr="006861E3">
        <w:rPr>
          <w:rFonts w:ascii="Times New Roman" w:eastAsia="Times New Roman" w:hAnsi="Times New Roman" w:cs="Times New Roman"/>
          <w:sz w:val="24"/>
          <w:szCs w:val="24"/>
          <w:lang w:val="en-US" w:eastAsia="en-US"/>
        </w:rPr>
        <w:t>Notalgia</w:t>
      </w:r>
      <w:proofErr w:type="spellEnd"/>
      <w:r w:rsidRPr="006861E3">
        <w:rPr>
          <w:rFonts w:ascii="Times New Roman" w:eastAsia="Times New Roman" w:hAnsi="Times New Roman" w:cs="Times New Roman"/>
          <w:sz w:val="24"/>
          <w:szCs w:val="24"/>
          <w:lang w:val="en-US" w:eastAsia="en-US"/>
        </w:rPr>
        <w:t xml:space="preserve"> paresthetica: An updated review of pathophysiology, diagnosis, and treatment approaches. </w:t>
      </w:r>
      <w:r w:rsidRPr="006861E3">
        <w:rPr>
          <w:rFonts w:ascii="Times New Roman" w:eastAsia="Times New Roman" w:hAnsi="Times New Roman" w:cs="Times New Roman"/>
          <w:i/>
          <w:iCs/>
          <w:sz w:val="24"/>
          <w:szCs w:val="24"/>
          <w:lang w:val="en-US" w:eastAsia="en-US"/>
        </w:rPr>
        <w:t>Current Pain and Headache Reports, 29</w:t>
      </w:r>
      <w:r w:rsidRPr="006861E3">
        <w:rPr>
          <w:rFonts w:ascii="Times New Roman" w:eastAsia="Times New Roman" w:hAnsi="Times New Roman" w:cs="Times New Roman"/>
          <w:sz w:val="24"/>
          <w:szCs w:val="24"/>
          <w:lang w:val="en-US" w:eastAsia="en-US"/>
        </w:rPr>
        <w:t xml:space="preserve">(1), 87. </w:t>
      </w:r>
      <w:hyperlink r:id="rId16" w:history="1">
        <w:r w:rsidRPr="006861E3">
          <w:rPr>
            <w:rFonts w:ascii="Times New Roman" w:eastAsia="Times New Roman" w:hAnsi="Times New Roman" w:cs="Times New Roman"/>
            <w:color w:val="0000FF"/>
            <w:sz w:val="24"/>
            <w:szCs w:val="24"/>
            <w:u w:val="single"/>
            <w:lang w:val="en-US" w:eastAsia="en-US"/>
          </w:rPr>
          <w:t>https://doi.org/10.1007/s11916-025-01402-2</w:t>
        </w:r>
      </w:hyperlink>
    </w:p>
    <w:p w14:paraId="622703F6" w14:textId="77777777" w:rsidR="006861E3" w:rsidRPr="006861E3" w:rsidRDefault="006861E3" w:rsidP="006861E3">
      <w:pPr>
        <w:spacing w:before="100" w:beforeAutospacing="1" w:after="100" w:afterAutospacing="1"/>
        <w:rPr>
          <w:rFonts w:ascii="Times New Roman" w:eastAsia="Times New Roman" w:hAnsi="Times New Roman" w:cs="Times New Roman"/>
          <w:sz w:val="24"/>
          <w:szCs w:val="24"/>
          <w:lang w:val="en-US" w:eastAsia="en-US"/>
        </w:rPr>
      </w:pPr>
      <w:proofErr w:type="spellStart"/>
      <w:r w:rsidRPr="006861E3">
        <w:rPr>
          <w:rFonts w:ascii="Times New Roman" w:eastAsia="Times New Roman" w:hAnsi="Times New Roman" w:cs="Times New Roman"/>
          <w:sz w:val="24"/>
          <w:szCs w:val="24"/>
          <w:lang w:val="en-US" w:eastAsia="en-US"/>
        </w:rPr>
        <w:t>Nnenda</w:t>
      </w:r>
      <w:proofErr w:type="spellEnd"/>
      <w:r w:rsidRPr="006861E3">
        <w:rPr>
          <w:rFonts w:ascii="Times New Roman" w:eastAsia="Times New Roman" w:hAnsi="Times New Roman" w:cs="Times New Roman"/>
          <w:sz w:val="24"/>
          <w:szCs w:val="24"/>
          <w:lang w:val="en-US" w:eastAsia="en-US"/>
        </w:rPr>
        <w:t xml:space="preserve">, A. M., &amp; Stella, A. E. (2026). Two case reports on sarcoidosis: Experience in a tertiary </w:t>
      </w:r>
      <w:proofErr w:type="spellStart"/>
      <w:r w:rsidRPr="006861E3">
        <w:rPr>
          <w:rFonts w:ascii="Times New Roman" w:eastAsia="Times New Roman" w:hAnsi="Times New Roman" w:cs="Times New Roman"/>
          <w:sz w:val="24"/>
          <w:szCs w:val="24"/>
          <w:lang w:val="en-US" w:eastAsia="en-US"/>
        </w:rPr>
        <w:t>centre</w:t>
      </w:r>
      <w:proofErr w:type="spellEnd"/>
      <w:r w:rsidRPr="006861E3">
        <w:rPr>
          <w:rFonts w:ascii="Times New Roman" w:eastAsia="Times New Roman" w:hAnsi="Times New Roman" w:cs="Times New Roman"/>
          <w:sz w:val="24"/>
          <w:szCs w:val="24"/>
          <w:lang w:val="en-US" w:eastAsia="en-US"/>
        </w:rPr>
        <w:t xml:space="preserve"> in South-South Nigeria. </w:t>
      </w:r>
      <w:r w:rsidRPr="006861E3">
        <w:rPr>
          <w:rFonts w:ascii="Times New Roman" w:eastAsia="Times New Roman" w:hAnsi="Times New Roman" w:cs="Times New Roman"/>
          <w:i/>
          <w:iCs/>
          <w:sz w:val="24"/>
          <w:szCs w:val="24"/>
          <w:lang w:val="en-US" w:eastAsia="en-US"/>
        </w:rPr>
        <w:t>Asian Journal of Research in Dermatological Science, 9</w:t>
      </w:r>
      <w:r w:rsidRPr="006861E3">
        <w:rPr>
          <w:rFonts w:ascii="Times New Roman" w:eastAsia="Times New Roman" w:hAnsi="Times New Roman" w:cs="Times New Roman"/>
          <w:sz w:val="24"/>
          <w:szCs w:val="24"/>
          <w:lang w:val="en-US" w:eastAsia="en-US"/>
        </w:rPr>
        <w:t xml:space="preserve">(1), 100–105. </w:t>
      </w:r>
      <w:hyperlink r:id="rId17" w:history="1">
        <w:r w:rsidRPr="006861E3">
          <w:rPr>
            <w:rFonts w:ascii="Times New Roman" w:eastAsia="Times New Roman" w:hAnsi="Times New Roman" w:cs="Times New Roman"/>
            <w:color w:val="0000FF"/>
            <w:sz w:val="24"/>
            <w:szCs w:val="24"/>
            <w:u w:val="single"/>
            <w:lang w:val="en-US" w:eastAsia="en-US"/>
          </w:rPr>
          <w:t>https://doi.org/10.9734/ajrdes/2026/v9i1160</w:t>
        </w:r>
      </w:hyperlink>
    </w:p>
    <w:p w14:paraId="0DCFDF5E" w14:textId="77777777" w:rsidR="006861E3" w:rsidRPr="006861E3" w:rsidRDefault="006861E3" w:rsidP="006861E3">
      <w:pPr>
        <w:spacing w:before="100" w:beforeAutospacing="1" w:after="100" w:afterAutospacing="1"/>
        <w:rPr>
          <w:rFonts w:ascii="Times New Roman" w:eastAsia="Times New Roman" w:hAnsi="Times New Roman" w:cs="Times New Roman"/>
          <w:sz w:val="24"/>
          <w:szCs w:val="24"/>
          <w:lang w:val="en-US" w:eastAsia="en-US"/>
        </w:rPr>
      </w:pPr>
      <w:r w:rsidRPr="006861E3">
        <w:rPr>
          <w:rFonts w:ascii="Times New Roman" w:eastAsia="Times New Roman" w:hAnsi="Times New Roman" w:cs="Times New Roman"/>
          <w:sz w:val="24"/>
          <w:szCs w:val="24"/>
          <w:lang w:val="en-US" w:eastAsia="en-US"/>
        </w:rPr>
        <w:t xml:space="preserve">Robinson, C., Downs, E., De la Caridad Gomez, Y., </w:t>
      </w:r>
      <w:proofErr w:type="spellStart"/>
      <w:r w:rsidRPr="006861E3">
        <w:rPr>
          <w:rFonts w:ascii="Times New Roman" w:eastAsia="Times New Roman" w:hAnsi="Times New Roman" w:cs="Times New Roman"/>
          <w:sz w:val="24"/>
          <w:szCs w:val="24"/>
          <w:lang w:val="en-US" w:eastAsia="en-US"/>
        </w:rPr>
        <w:t>Nduaguba</w:t>
      </w:r>
      <w:proofErr w:type="spellEnd"/>
      <w:r w:rsidRPr="006861E3">
        <w:rPr>
          <w:rFonts w:ascii="Times New Roman" w:eastAsia="Times New Roman" w:hAnsi="Times New Roman" w:cs="Times New Roman"/>
          <w:sz w:val="24"/>
          <w:szCs w:val="24"/>
          <w:lang w:val="en-US" w:eastAsia="en-US"/>
        </w:rPr>
        <w:t xml:space="preserve">, C., Woolley, P., Varrassi, G., Gill, J., Simopoulos, T. T., Viswanath, O., &amp; Yazdi, C. A. (2023). </w:t>
      </w:r>
      <w:proofErr w:type="spellStart"/>
      <w:r w:rsidRPr="006861E3">
        <w:rPr>
          <w:rFonts w:ascii="Times New Roman" w:eastAsia="Times New Roman" w:hAnsi="Times New Roman" w:cs="Times New Roman"/>
          <w:sz w:val="24"/>
          <w:szCs w:val="24"/>
          <w:lang w:val="en-US" w:eastAsia="en-US"/>
        </w:rPr>
        <w:t>Notalgia</w:t>
      </w:r>
      <w:proofErr w:type="spellEnd"/>
      <w:r w:rsidRPr="006861E3">
        <w:rPr>
          <w:rFonts w:ascii="Times New Roman" w:eastAsia="Times New Roman" w:hAnsi="Times New Roman" w:cs="Times New Roman"/>
          <w:sz w:val="24"/>
          <w:szCs w:val="24"/>
          <w:lang w:val="en-US" w:eastAsia="en-US"/>
        </w:rPr>
        <w:t xml:space="preserve"> paresthetica review: Update on presentation, pathophysiology, and treatment. </w:t>
      </w:r>
      <w:r w:rsidRPr="006861E3">
        <w:rPr>
          <w:rFonts w:ascii="Times New Roman" w:eastAsia="Times New Roman" w:hAnsi="Times New Roman" w:cs="Times New Roman"/>
          <w:i/>
          <w:iCs/>
          <w:sz w:val="24"/>
          <w:szCs w:val="24"/>
          <w:lang w:val="en-US" w:eastAsia="en-US"/>
        </w:rPr>
        <w:t>Clinics and Practice, 13</w:t>
      </w:r>
      <w:r w:rsidRPr="006861E3">
        <w:rPr>
          <w:rFonts w:ascii="Times New Roman" w:eastAsia="Times New Roman" w:hAnsi="Times New Roman" w:cs="Times New Roman"/>
          <w:sz w:val="24"/>
          <w:szCs w:val="24"/>
          <w:lang w:val="en-US" w:eastAsia="en-US"/>
        </w:rPr>
        <w:t xml:space="preserve">(1), 315–325. </w:t>
      </w:r>
      <w:hyperlink r:id="rId18" w:history="1">
        <w:r w:rsidRPr="006861E3">
          <w:rPr>
            <w:rFonts w:ascii="Times New Roman" w:eastAsia="Times New Roman" w:hAnsi="Times New Roman" w:cs="Times New Roman"/>
            <w:color w:val="0000FF"/>
            <w:sz w:val="24"/>
            <w:szCs w:val="24"/>
            <w:u w:val="single"/>
            <w:lang w:val="en-US" w:eastAsia="en-US"/>
          </w:rPr>
          <w:t>https://doi.org/10.3390/clinpract13010029</w:t>
        </w:r>
      </w:hyperlink>
    </w:p>
    <w:p w14:paraId="7AB8DB4F" w14:textId="77777777" w:rsidR="006861E3" w:rsidRPr="006861E3" w:rsidRDefault="006861E3" w:rsidP="006861E3">
      <w:pPr>
        <w:spacing w:before="100" w:beforeAutospacing="1" w:after="100" w:afterAutospacing="1"/>
        <w:rPr>
          <w:rFonts w:ascii="Times New Roman" w:eastAsia="Times New Roman" w:hAnsi="Times New Roman" w:cs="Times New Roman"/>
          <w:sz w:val="24"/>
          <w:szCs w:val="24"/>
          <w:lang w:val="en-US" w:eastAsia="en-US"/>
        </w:rPr>
      </w:pPr>
      <w:r w:rsidRPr="006861E3">
        <w:rPr>
          <w:rFonts w:ascii="Times New Roman" w:eastAsia="Times New Roman" w:hAnsi="Times New Roman" w:cs="Times New Roman"/>
          <w:sz w:val="24"/>
          <w:szCs w:val="24"/>
          <w:lang w:val="en-US" w:eastAsia="en-US"/>
        </w:rPr>
        <w:t xml:space="preserve">Sève, P., Pacheco, Y., </w:t>
      </w:r>
      <w:proofErr w:type="spellStart"/>
      <w:r w:rsidRPr="006861E3">
        <w:rPr>
          <w:rFonts w:ascii="Times New Roman" w:eastAsia="Times New Roman" w:hAnsi="Times New Roman" w:cs="Times New Roman"/>
          <w:sz w:val="24"/>
          <w:szCs w:val="24"/>
          <w:lang w:val="en-US" w:eastAsia="en-US"/>
        </w:rPr>
        <w:t>Durupt</w:t>
      </w:r>
      <w:proofErr w:type="spellEnd"/>
      <w:r w:rsidRPr="006861E3">
        <w:rPr>
          <w:rFonts w:ascii="Times New Roman" w:eastAsia="Times New Roman" w:hAnsi="Times New Roman" w:cs="Times New Roman"/>
          <w:sz w:val="24"/>
          <w:szCs w:val="24"/>
          <w:lang w:val="en-US" w:eastAsia="en-US"/>
        </w:rPr>
        <w:t xml:space="preserve">, F., Jamilloux, Y., Gerfaud-Valentin, M., Isaac, S., </w:t>
      </w:r>
      <w:proofErr w:type="spellStart"/>
      <w:r w:rsidRPr="006861E3">
        <w:rPr>
          <w:rFonts w:ascii="Times New Roman" w:eastAsia="Times New Roman" w:hAnsi="Times New Roman" w:cs="Times New Roman"/>
          <w:sz w:val="24"/>
          <w:szCs w:val="24"/>
          <w:lang w:val="en-US" w:eastAsia="en-US"/>
        </w:rPr>
        <w:t>Boussel</w:t>
      </w:r>
      <w:proofErr w:type="spellEnd"/>
      <w:r w:rsidRPr="006861E3">
        <w:rPr>
          <w:rFonts w:ascii="Times New Roman" w:eastAsia="Times New Roman" w:hAnsi="Times New Roman" w:cs="Times New Roman"/>
          <w:sz w:val="24"/>
          <w:szCs w:val="24"/>
          <w:lang w:val="en-US" w:eastAsia="en-US"/>
        </w:rPr>
        <w:t xml:space="preserve">, L., </w:t>
      </w:r>
      <w:proofErr w:type="spellStart"/>
      <w:r w:rsidRPr="006861E3">
        <w:rPr>
          <w:rFonts w:ascii="Times New Roman" w:eastAsia="Times New Roman" w:hAnsi="Times New Roman" w:cs="Times New Roman"/>
          <w:sz w:val="24"/>
          <w:szCs w:val="24"/>
          <w:lang w:val="en-US" w:eastAsia="en-US"/>
        </w:rPr>
        <w:t>Calender</w:t>
      </w:r>
      <w:proofErr w:type="spellEnd"/>
      <w:r w:rsidRPr="006861E3">
        <w:rPr>
          <w:rFonts w:ascii="Times New Roman" w:eastAsia="Times New Roman" w:hAnsi="Times New Roman" w:cs="Times New Roman"/>
          <w:sz w:val="24"/>
          <w:szCs w:val="24"/>
          <w:lang w:val="en-US" w:eastAsia="en-US"/>
        </w:rPr>
        <w:t xml:space="preserve">, A., </w:t>
      </w:r>
      <w:proofErr w:type="spellStart"/>
      <w:r w:rsidRPr="006861E3">
        <w:rPr>
          <w:rFonts w:ascii="Times New Roman" w:eastAsia="Times New Roman" w:hAnsi="Times New Roman" w:cs="Times New Roman"/>
          <w:sz w:val="24"/>
          <w:szCs w:val="24"/>
          <w:lang w:val="en-US" w:eastAsia="en-US"/>
        </w:rPr>
        <w:t>Androdias</w:t>
      </w:r>
      <w:proofErr w:type="spellEnd"/>
      <w:r w:rsidRPr="006861E3">
        <w:rPr>
          <w:rFonts w:ascii="Times New Roman" w:eastAsia="Times New Roman" w:hAnsi="Times New Roman" w:cs="Times New Roman"/>
          <w:sz w:val="24"/>
          <w:szCs w:val="24"/>
          <w:lang w:val="en-US" w:eastAsia="en-US"/>
        </w:rPr>
        <w:t xml:space="preserve">, G., </w:t>
      </w:r>
      <w:proofErr w:type="spellStart"/>
      <w:r w:rsidRPr="006861E3">
        <w:rPr>
          <w:rFonts w:ascii="Times New Roman" w:eastAsia="Times New Roman" w:hAnsi="Times New Roman" w:cs="Times New Roman"/>
          <w:sz w:val="24"/>
          <w:szCs w:val="24"/>
          <w:lang w:val="en-US" w:eastAsia="en-US"/>
        </w:rPr>
        <w:t>Valeyre</w:t>
      </w:r>
      <w:proofErr w:type="spellEnd"/>
      <w:r w:rsidRPr="006861E3">
        <w:rPr>
          <w:rFonts w:ascii="Times New Roman" w:eastAsia="Times New Roman" w:hAnsi="Times New Roman" w:cs="Times New Roman"/>
          <w:sz w:val="24"/>
          <w:szCs w:val="24"/>
          <w:lang w:val="en-US" w:eastAsia="en-US"/>
        </w:rPr>
        <w:t xml:space="preserve">, D., &amp; El Jammal, T. (2021). Sarcoidosis: A clinical overview from symptoms to diagnosis. </w:t>
      </w:r>
      <w:r w:rsidRPr="006861E3">
        <w:rPr>
          <w:rFonts w:ascii="Times New Roman" w:eastAsia="Times New Roman" w:hAnsi="Times New Roman" w:cs="Times New Roman"/>
          <w:i/>
          <w:iCs/>
          <w:sz w:val="24"/>
          <w:szCs w:val="24"/>
          <w:lang w:val="en-US" w:eastAsia="en-US"/>
        </w:rPr>
        <w:t>Cells, 10</w:t>
      </w:r>
      <w:r w:rsidRPr="006861E3">
        <w:rPr>
          <w:rFonts w:ascii="Times New Roman" w:eastAsia="Times New Roman" w:hAnsi="Times New Roman" w:cs="Times New Roman"/>
          <w:sz w:val="24"/>
          <w:szCs w:val="24"/>
          <w:lang w:val="en-US" w:eastAsia="en-US"/>
        </w:rPr>
        <w:t xml:space="preserve">(4), 766. </w:t>
      </w:r>
      <w:hyperlink r:id="rId19" w:history="1">
        <w:r w:rsidRPr="006861E3">
          <w:rPr>
            <w:rFonts w:ascii="Times New Roman" w:eastAsia="Times New Roman" w:hAnsi="Times New Roman" w:cs="Times New Roman"/>
            <w:color w:val="0000FF"/>
            <w:sz w:val="24"/>
            <w:szCs w:val="24"/>
            <w:u w:val="single"/>
            <w:lang w:val="en-US" w:eastAsia="en-US"/>
          </w:rPr>
          <w:t>https://doi.org/10.3390/cells10040766</w:t>
        </w:r>
      </w:hyperlink>
    </w:p>
    <w:p w14:paraId="20C24E74" w14:textId="77777777" w:rsidR="006861E3" w:rsidRPr="006861E3" w:rsidRDefault="006861E3" w:rsidP="006861E3">
      <w:pPr>
        <w:spacing w:before="100" w:beforeAutospacing="1" w:after="100" w:afterAutospacing="1"/>
        <w:rPr>
          <w:rFonts w:ascii="Times New Roman" w:eastAsia="Times New Roman" w:hAnsi="Times New Roman" w:cs="Times New Roman"/>
          <w:sz w:val="24"/>
          <w:szCs w:val="24"/>
          <w:lang w:val="en-US" w:eastAsia="en-US"/>
        </w:rPr>
      </w:pPr>
      <w:r w:rsidRPr="006861E3">
        <w:rPr>
          <w:rFonts w:ascii="Times New Roman" w:eastAsia="Times New Roman" w:hAnsi="Times New Roman" w:cs="Times New Roman"/>
          <w:sz w:val="24"/>
          <w:szCs w:val="24"/>
          <w:lang w:val="en-US" w:eastAsia="en-US"/>
        </w:rPr>
        <w:t xml:space="preserve">Tana, C., Donatiello, I., Caputo, A., Tana, M., </w:t>
      </w:r>
      <w:proofErr w:type="spellStart"/>
      <w:r w:rsidRPr="006861E3">
        <w:rPr>
          <w:rFonts w:ascii="Times New Roman" w:eastAsia="Times New Roman" w:hAnsi="Times New Roman" w:cs="Times New Roman"/>
          <w:sz w:val="24"/>
          <w:szCs w:val="24"/>
          <w:lang w:val="en-US" w:eastAsia="en-US"/>
        </w:rPr>
        <w:t>Naccarelli</w:t>
      </w:r>
      <w:proofErr w:type="spellEnd"/>
      <w:r w:rsidRPr="006861E3">
        <w:rPr>
          <w:rFonts w:ascii="Times New Roman" w:eastAsia="Times New Roman" w:hAnsi="Times New Roman" w:cs="Times New Roman"/>
          <w:sz w:val="24"/>
          <w:szCs w:val="24"/>
          <w:lang w:val="en-US" w:eastAsia="en-US"/>
        </w:rPr>
        <w:t xml:space="preserve">, T., Mantini, C., Ricci, F., </w:t>
      </w:r>
      <w:proofErr w:type="spellStart"/>
      <w:r w:rsidRPr="006861E3">
        <w:rPr>
          <w:rFonts w:ascii="Times New Roman" w:eastAsia="Times New Roman" w:hAnsi="Times New Roman" w:cs="Times New Roman"/>
          <w:sz w:val="24"/>
          <w:szCs w:val="24"/>
          <w:lang w:val="en-US" w:eastAsia="en-US"/>
        </w:rPr>
        <w:t>Ticinesi</w:t>
      </w:r>
      <w:proofErr w:type="spellEnd"/>
      <w:r w:rsidRPr="006861E3">
        <w:rPr>
          <w:rFonts w:ascii="Times New Roman" w:eastAsia="Times New Roman" w:hAnsi="Times New Roman" w:cs="Times New Roman"/>
          <w:sz w:val="24"/>
          <w:szCs w:val="24"/>
          <w:lang w:val="en-US" w:eastAsia="en-US"/>
        </w:rPr>
        <w:t xml:space="preserve">, A., Meschi, T., Cipollone, F., &amp; </w:t>
      </w:r>
      <w:proofErr w:type="spellStart"/>
      <w:r w:rsidRPr="006861E3">
        <w:rPr>
          <w:rFonts w:ascii="Times New Roman" w:eastAsia="Times New Roman" w:hAnsi="Times New Roman" w:cs="Times New Roman"/>
          <w:sz w:val="24"/>
          <w:szCs w:val="24"/>
          <w:lang w:val="en-US" w:eastAsia="en-US"/>
        </w:rPr>
        <w:t>Giamberardino</w:t>
      </w:r>
      <w:proofErr w:type="spellEnd"/>
      <w:r w:rsidRPr="006861E3">
        <w:rPr>
          <w:rFonts w:ascii="Times New Roman" w:eastAsia="Times New Roman" w:hAnsi="Times New Roman" w:cs="Times New Roman"/>
          <w:sz w:val="24"/>
          <w:szCs w:val="24"/>
          <w:lang w:val="en-US" w:eastAsia="en-US"/>
        </w:rPr>
        <w:t xml:space="preserve">, M. A. (2022). Clinical features, histopathology and differential diagnosis of sarcoidosis. </w:t>
      </w:r>
      <w:r w:rsidRPr="006861E3">
        <w:rPr>
          <w:rFonts w:ascii="Times New Roman" w:eastAsia="Times New Roman" w:hAnsi="Times New Roman" w:cs="Times New Roman"/>
          <w:i/>
          <w:iCs/>
          <w:sz w:val="24"/>
          <w:szCs w:val="24"/>
          <w:lang w:val="en-US" w:eastAsia="en-US"/>
        </w:rPr>
        <w:t>Cells, 11</w:t>
      </w:r>
      <w:r w:rsidRPr="006861E3">
        <w:rPr>
          <w:rFonts w:ascii="Times New Roman" w:eastAsia="Times New Roman" w:hAnsi="Times New Roman" w:cs="Times New Roman"/>
          <w:sz w:val="24"/>
          <w:szCs w:val="24"/>
          <w:lang w:val="en-US" w:eastAsia="en-US"/>
        </w:rPr>
        <w:t xml:space="preserve">(1), 59. </w:t>
      </w:r>
      <w:hyperlink r:id="rId20" w:history="1">
        <w:r w:rsidRPr="006861E3">
          <w:rPr>
            <w:rFonts w:ascii="Times New Roman" w:eastAsia="Times New Roman" w:hAnsi="Times New Roman" w:cs="Times New Roman"/>
            <w:color w:val="0000FF"/>
            <w:sz w:val="24"/>
            <w:szCs w:val="24"/>
            <w:u w:val="single"/>
            <w:lang w:val="en-US" w:eastAsia="en-US"/>
          </w:rPr>
          <w:t>https://doi.org/10.3390/cells11010059</w:t>
        </w:r>
      </w:hyperlink>
    </w:p>
    <w:p w14:paraId="25BE6DA0" w14:textId="77777777" w:rsidR="006861E3" w:rsidRDefault="006861E3">
      <w:pPr>
        <w:pStyle w:val="Heading1"/>
      </w:pPr>
    </w:p>
    <w:sectPr w:rsidR="006861E3">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28016" w14:textId="77777777" w:rsidR="00966D70" w:rsidRDefault="00966D70" w:rsidP="00F10002">
      <w:r>
        <w:separator/>
      </w:r>
    </w:p>
  </w:endnote>
  <w:endnote w:type="continuationSeparator" w:id="0">
    <w:p w14:paraId="57E12C7F" w14:textId="77777777" w:rsidR="00966D70" w:rsidRDefault="00966D70" w:rsidP="00F10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D2958" w14:textId="77777777" w:rsidR="00F10002" w:rsidRDefault="00F100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CCC5A" w14:textId="77777777" w:rsidR="00F10002" w:rsidRDefault="00F100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D7A6B" w14:textId="77777777" w:rsidR="00F10002" w:rsidRDefault="00F100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48DB0" w14:textId="77777777" w:rsidR="00966D70" w:rsidRDefault="00966D70" w:rsidP="00F10002">
      <w:r>
        <w:separator/>
      </w:r>
    </w:p>
  </w:footnote>
  <w:footnote w:type="continuationSeparator" w:id="0">
    <w:p w14:paraId="3E1B04A7" w14:textId="77777777" w:rsidR="00966D70" w:rsidRDefault="00966D70" w:rsidP="00F10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EC80E" w14:textId="77777777" w:rsidR="00F10002" w:rsidRDefault="00000000">
    <w:pPr>
      <w:pStyle w:val="Header"/>
    </w:pPr>
    <w:r>
      <w:rPr>
        <w:noProof/>
      </w:rPr>
      <w:pict w14:anchorId="7006F2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30938"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57127" w14:textId="77777777" w:rsidR="00F10002" w:rsidRDefault="00000000">
    <w:pPr>
      <w:pStyle w:val="Header"/>
    </w:pPr>
    <w:r>
      <w:rPr>
        <w:noProof/>
      </w:rPr>
      <w:pict w14:anchorId="1C4AB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30939"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A9E33" w14:textId="77777777" w:rsidR="00F10002" w:rsidRDefault="00000000">
    <w:pPr>
      <w:pStyle w:val="Header"/>
    </w:pPr>
    <w:r>
      <w:rPr>
        <w:noProof/>
      </w:rPr>
      <w:pict w14:anchorId="643008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30937"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05719"/>
    <w:multiLevelType w:val="hybridMultilevel"/>
    <w:tmpl w:val="4A481748"/>
    <w:lvl w:ilvl="0" w:tplc="9998D5DA">
      <w:start w:val="1"/>
      <w:numFmt w:val="bullet"/>
      <w:lvlText w:val="●"/>
      <w:lvlJc w:val="left"/>
      <w:pPr>
        <w:ind w:left="720" w:hanging="360"/>
      </w:pPr>
    </w:lvl>
    <w:lvl w:ilvl="1" w:tplc="8F2ACB0E">
      <w:start w:val="1"/>
      <w:numFmt w:val="bullet"/>
      <w:lvlText w:val="○"/>
      <w:lvlJc w:val="left"/>
      <w:pPr>
        <w:ind w:left="1440" w:hanging="360"/>
      </w:pPr>
    </w:lvl>
    <w:lvl w:ilvl="2" w:tplc="58926130">
      <w:start w:val="1"/>
      <w:numFmt w:val="bullet"/>
      <w:lvlText w:val="■"/>
      <w:lvlJc w:val="left"/>
      <w:pPr>
        <w:ind w:left="2160" w:hanging="360"/>
      </w:pPr>
    </w:lvl>
    <w:lvl w:ilvl="3" w:tplc="D9868110">
      <w:start w:val="1"/>
      <w:numFmt w:val="bullet"/>
      <w:lvlText w:val="●"/>
      <w:lvlJc w:val="left"/>
      <w:pPr>
        <w:ind w:left="2880" w:hanging="360"/>
      </w:pPr>
    </w:lvl>
    <w:lvl w:ilvl="4" w:tplc="A6E0876E">
      <w:start w:val="1"/>
      <w:numFmt w:val="bullet"/>
      <w:lvlText w:val="○"/>
      <w:lvlJc w:val="left"/>
      <w:pPr>
        <w:ind w:left="3600" w:hanging="360"/>
      </w:pPr>
    </w:lvl>
    <w:lvl w:ilvl="5" w:tplc="3196B70A">
      <w:start w:val="1"/>
      <w:numFmt w:val="bullet"/>
      <w:lvlText w:val="■"/>
      <w:lvlJc w:val="left"/>
      <w:pPr>
        <w:ind w:left="4320" w:hanging="360"/>
      </w:pPr>
    </w:lvl>
    <w:lvl w:ilvl="6" w:tplc="98544ABA">
      <w:start w:val="1"/>
      <w:numFmt w:val="bullet"/>
      <w:lvlText w:val="●"/>
      <w:lvlJc w:val="left"/>
      <w:pPr>
        <w:ind w:left="5040" w:hanging="360"/>
      </w:pPr>
    </w:lvl>
    <w:lvl w:ilvl="7" w:tplc="1196098C">
      <w:start w:val="1"/>
      <w:numFmt w:val="bullet"/>
      <w:lvlText w:val="●"/>
      <w:lvlJc w:val="left"/>
      <w:pPr>
        <w:ind w:left="5760" w:hanging="360"/>
      </w:pPr>
    </w:lvl>
    <w:lvl w:ilvl="8" w:tplc="88F483F6">
      <w:start w:val="1"/>
      <w:numFmt w:val="bullet"/>
      <w:lvlText w:val="●"/>
      <w:lvlJc w:val="left"/>
      <w:pPr>
        <w:ind w:left="6480" w:hanging="360"/>
      </w:pPr>
    </w:lvl>
  </w:abstractNum>
  <w:num w:numId="1" w16cid:durableId="16529001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E5B"/>
    <w:rsid w:val="00067C66"/>
    <w:rsid w:val="00187350"/>
    <w:rsid w:val="00253E5B"/>
    <w:rsid w:val="00367E96"/>
    <w:rsid w:val="004A4F2D"/>
    <w:rsid w:val="004C250B"/>
    <w:rsid w:val="005726CC"/>
    <w:rsid w:val="0067477C"/>
    <w:rsid w:val="006861E3"/>
    <w:rsid w:val="006D6DBE"/>
    <w:rsid w:val="007518B8"/>
    <w:rsid w:val="00775FAF"/>
    <w:rsid w:val="0092197C"/>
    <w:rsid w:val="00940533"/>
    <w:rsid w:val="00966D70"/>
    <w:rsid w:val="009C4153"/>
    <w:rsid w:val="00AE68E3"/>
    <w:rsid w:val="00BE1A10"/>
    <w:rsid w:val="00C418DD"/>
    <w:rsid w:val="00D44EE5"/>
    <w:rsid w:val="00DC158A"/>
    <w:rsid w:val="00E5335A"/>
    <w:rsid w:val="00F1000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7FC6A"/>
  <w15:docId w15:val="{D6BE4C8D-6D44-4C3B-AB1D-DDFF75899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sz w:val="22"/>
      <w:szCs w:val="22"/>
    </w:rPr>
  </w:style>
  <w:style w:type="paragraph" w:styleId="Heading2">
    <w:name w:val="heading 2"/>
    <w:uiPriority w:val="9"/>
    <w:semiHidden/>
    <w:unhideWhenUsed/>
    <w:qFormat/>
    <w:pPr>
      <w:spacing w:before="180" w:after="100"/>
      <w:outlineLvl w:val="1"/>
    </w:pPr>
    <w:rPr>
      <w:b/>
      <w:bCs/>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BE1A10"/>
    <w:rPr>
      <w:color w:val="605E5C"/>
      <w:shd w:val="clear" w:color="auto" w:fill="E1DFDD"/>
    </w:rPr>
  </w:style>
  <w:style w:type="paragraph" w:customStyle="1" w:styleId="Author">
    <w:name w:val="Author"/>
    <w:basedOn w:val="Normal"/>
    <w:rsid w:val="00BE1A10"/>
    <w:pPr>
      <w:spacing w:line="280" w:lineRule="exact"/>
      <w:jc w:val="right"/>
    </w:pPr>
    <w:rPr>
      <w:rFonts w:ascii="Helvetica" w:eastAsia="Times New Roman" w:hAnsi="Helvetica" w:cs="Times New Roman"/>
      <w:b/>
      <w:sz w:val="24"/>
      <w:lang w:val="en-US" w:eastAsia="en-US"/>
    </w:rPr>
  </w:style>
  <w:style w:type="table" w:styleId="TableGrid">
    <w:name w:val="Table Grid"/>
    <w:basedOn w:val="TableNormal"/>
    <w:uiPriority w:val="39"/>
    <w:rsid w:val="00BE1A10"/>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0002"/>
    <w:pPr>
      <w:tabs>
        <w:tab w:val="center" w:pos="4513"/>
        <w:tab w:val="right" w:pos="9026"/>
      </w:tabs>
    </w:pPr>
  </w:style>
  <w:style w:type="character" w:customStyle="1" w:styleId="HeaderChar">
    <w:name w:val="Header Char"/>
    <w:basedOn w:val="DefaultParagraphFont"/>
    <w:link w:val="Header"/>
    <w:uiPriority w:val="99"/>
    <w:rsid w:val="00F10002"/>
  </w:style>
  <w:style w:type="paragraph" w:styleId="Footer">
    <w:name w:val="footer"/>
    <w:basedOn w:val="Normal"/>
    <w:link w:val="FooterChar"/>
    <w:uiPriority w:val="99"/>
    <w:unhideWhenUsed/>
    <w:rsid w:val="00F10002"/>
    <w:pPr>
      <w:tabs>
        <w:tab w:val="center" w:pos="4513"/>
        <w:tab w:val="right" w:pos="9026"/>
      </w:tabs>
    </w:pPr>
  </w:style>
  <w:style w:type="character" w:customStyle="1" w:styleId="FooterChar">
    <w:name w:val="Footer Char"/>
    <w:basedOn w:val="DefaultParagraphFont"/>
    <w:link w:val="Footer"/>
    <w:uiPriority w:val="99"/>
    <w:rsid w:val="00F10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963618">
      <w:bodyDiv w:val="1"/>
      <w:marLeft w:val="0"/>
      <w:marRight w:val="0"/>
      <w:marTop w:val="0"/>
      <w:marBottom w:val="0"/>
      <w:divBdr>
        <w:top w:val="none" w:sz="0" w:space="0" w:color="auto"/>
        <w:left w:val="none" w:sz="0" w:space="0" w:color="auto"/>
        <w:bottom w:val="none" w:sz="0" w:space="0" w:color="auto"/>
        <w:right w:val="none" w:sz="0" w:space="0" w:color="auto"/>
      </w:divBdr>
    </w:div>
    <w:div w:id="1092551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doi.org/10.1016/j.clindermatol.2024.12.017" TargetMode="External"/><Relationship Id="rId18" Type="http://schemas.openxmlformats.org/officeDocument/2006/relationships/hyperlink" Target="https://doi.org/10.3390/clinpract13010029"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g"/><Relationship Id="rId12" Type="http://schemas.openxmlformats.org/officeDocument/2006/relationships/hyperlink" Target="https://doi.org/10.1016/j.ccm.2023.08.004" TargetMode="External"/><Relationship Id="rId17" Type="http://schemas.openxmlformats.org/officeDocument/2006/relationships/hyperlink" Target="https://doi.org/10.9734/ajrdes/2026/v9i1160"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doi.org/10.1007/s11916-025-01402-2" TargetMode="External"/><Relationship Id="rId20" Type="http://schemas.openxmlformats.org/officeDocument/2006/relationships/hyperlink" Target="https://doi.org/10.3390/cells1101005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5070/D32112029526"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4.jpg"/><Relationship Id="rId19" Type="http://schemas.openxmlformats.org/officeDocument/2006/relationships/hyperlink" Target="https://doi.org/10.3390/cells10040766"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doi.org/10.1016/j.abd.2022.12.006"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2375</Words>
  <Characters>13542</Characters>
  <Application>Microsoft Office Word</Application>
  <DocSecurity>0</DocSecurity>
  <Lines>112</Lines>
  <Paragraphs>31</Paragraphs>
  <ScaleCrop>false</ScaleCrop>
  <Company/>
  <LinksUpToDate>false</LinksUpToDate>
  <CharactersWithSpaces>15886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1087</cp:lastModifiedBy>
  <cp:revision>13</cp:revision>
  <dcterms:created xsi:type="dcterms:W3CDTF">2026-08-26T22:10:00Z</dcterms:created>
  <dcterms:modified xsi:type="dcterms:W3CDTF">2026-09-04T07:34:00Z</dcterms:modified>
</cp:coreProperties>
</file>