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97C3D" w14:textId="77777777" w:rsidR="00003B00" w:rsidRPr="00F348A6" w:rsidRDefault="00003B00" w:rsidP="00003B00">
      <w:pPr>
        <w:jc w:val="both"/>
        <w:rPr>
          <w:rFonts w:ascii="Times New Roman" w:hAnsi="Times New Roman" w:cs="Times New Roman"/>
          <w:b/>
          <w:bCs/>
        </w:rPr>
      </w:pPr>
      <w:r w:rsidRPr="00F348A6">
        <w:rPr>
          <w:rFonts w:ascii="Times New Roman" w:hAnsi="Times New Roman" w:cs="Times New Roman"/>
          <w:b/>
          <w:bCs/>
        </w:rPr>
        <w:t>Case Report</w:t>
      </w:r>
    </w:p>
    <w:p w14:paraId="0CF014CB" w14:textId="77777777" w:rsidR="00003B00" w:rsidRPr="00F348A6" w:rsidRDefault="00003B00" w:rsidP="00143775">
      <w:pPr>
        <w:jc w:val="both"/>
        <w:rPr>
          <w:rFonts w:ascii="Times New Roman" w:hAnsi="Times New Roman" w:cs="Times New Roman"/>
          <w:b/>
          <w:bCs/>
        </w:rPr>
      </w:pPr>
    </w:p>
    <w:p w14:paraId="715A610C" w14:textId="77777777" w:rsidR="00D97895" w:rsidRPr="00F348A6" w:rsidRDefault="0057375E" w:rsidP="00143775">
      <w:pPr>
        <w:jc w:val="both"/>
        <w:rPr>
          <w:rFonts w:ascii="Times New Roman" w:hAnsi="Times New Roman" w:cs="Times New Roman"/>
          <w:b/>
          <w:bCs/>
        </w:rPr>
      </w:pPr>
      <w:r w:rsidRPr="00F348A6">
        <w:rPr>
          <w:rFonts w:ascii="Times New Roman" w:hAnsi="Times New Roman" w:cs="Times New Roman"/>
          <w:b/>
          <w:bCs/>
        </w:rPr>
        <w:t>Delayed Postpartum Atypical Posterior Reversible Encephalopathy Syndrome Following Caesarean Section: A Case Report</w:t>
      </w:r>
    </w:p>
    <w:p w14:paraId="3349F721" w14:textId="77777777" w:rsidR="00D97895" w:rsidRPr="00F348A6" w:rsidRDefault="00D97895" w:rsidP="00143775">
      <w:pPr>
        <w:jc w:val="both"/>
        <w:rPr>
          <w:rFonts w:ascii="Times New Roman" w:hAnsi="Times New Roman" w:cs="Times New Roman"/>
          <w:b/>
          <w:bCs/>
        </w:rPr>
      </w:pPr>
    </w:p>
    <w:p w14:paraId="379A8AE0" w14:textId="77777777" w:rsidR="00247CEA" w:rsidRPr="00F348A6" w:rsidRDefault="00247CEA" w:rsidP="00143775">
      <w:pPr>
        <w:jc w:val="both"/>
        <w:rPr>
          <w:rFonts w:ascii="Times New Roman" w:hAnsi="Times New Roman" w:cs="Times New Roman"/>
          <w:b/>
          <w:bCs/>
        </w:rPr>
      </w:pPr>
    </w:p>
    <w:p w14:paraId="3ECE7DB4" w14:textId="77777777" w:rsidR="003B28A0" w:rsidRPr="00F348A6" w:rsidRDefault="003B28A0" w:rsidP="003B28A0">
      <w:pPr>
        <w:spacing w:before="100" w:beforeAutospacing="1" w:after="100" w:afterAutospacing="1" w:line="240" w:lineRule="auto"/>
        <w:outlineLvl w:val="1"/>
        <w:rPr>
          <w:rFonts w:ascii="Times New Roman" w:eastAsia="Times New Roman" w:hAnsi="Times New Roman" w:cs="Times New Roman"/>
          <w:b/>
          <w:bCs/>
          <w:sz w:val="36"/>
          <w:szCs w:val="36"/>
          <w:lang w:val="en-US"/>
          <w14:ligatures w14:val="none"/>
        </w:rPr>
      </w:pPr>
      <w:r w:rsidRPr="00F348A6">
        <w:rPr>
          <w:rFonts w:ascii="Times New Roman" w:eastAsia="Times New Roman" w:hAnsi="Times New Roman" w:cs="Times New Roman"/>
          <w:b/>
          <w:bCs/>
          <w:sz w:val="36"/>
          <w:szCs w:val="36"/>
          <w:lang w:val="en-US"/>
          <w14:ligatures w14:val="none"/>
        </w:rPr>
        <w:t>Abstract</w:t>
      </w:r>
    </w:p>
    <w:p w14:paraId="12B9436D" w14:textId="77777777" w:rsidR="003B28A0" w:rsidRPr="00F348A6" w:rsidRDefault="003B28A0" w:rsidP="003B28A0">
      <w:pPr>
        <w:spacing w:before="100" w:beforeAutospacing="1" w:after="100" w:afterAutospacing="1" w:line="240" w:lineRule="auto"/>
        <w:rPr>
          <w:rFonts w:ascii="Times New Roman" w:eastAsia="Times New Roman" w:hAnsi="Times New Roman" w:cs="Times New Roman"/>
          <w:lang w:val="en-US"/>
          <w14:ligatures w14:val="none"/>
        </w:rPr>
      </w:pPr>
      <w:r w:rsidRPr="00F348A6">
        <w:t xml:space="preserve">Posterior reversible encephalopathy syndrome is a </w:t>
      </w:r>
      <w:proofErr w:type="spellStart"/>
      <w:r w:rsidRPr="00F348A6">
        <w:t>clinicoradiological</w:t>
      </w:r>
      <w:proofErr w:type="spellEnd"/>
      <w:r w:rsidRPr="00F348A6">
        <w:t xml:space="preserve"> neurological disorder characterised by acute neurological symptoms and vasogenic brain oedema, most commonly involving the posterior cerebral regions. It is associated with several precipitating conditions, including hypertensive disorders of pregnancy and the postpartum state. This case report describes a 22-year-old primigravida who presented on the thirteenth postoperative day following lower-segment caesarean section with severe occipital headache, giddiness, repeated bilious vomiting, and one episode of generalised tonic–</w:t>
      </w:r>
      <w:proofErr w:type="spellStart"/>
      <w:r w:rsidRPr="00F348A6">
        <w:t>clonic</w:t>
      </w:r>
      <w:proofErr w:type="spellEnd"/>
      <w:r w:rsidRPr="00F348A6">
        <w:t xml:space="preserve"> seizure with postictal stupor. On admission, she had severe hypertension with a blood pressure of 180/80 mmHg, while neurological examination showed no focal deficit or meningeal signs. Laboratory evaluation showed transient renal dysfunction and neutrophilic leucocytosis. Magnetic resonance imaging of the brain revealed bilateral parieto-occipital T2/FLAIR hyperintensities with additional involvement of the right temporal lobe, left frontal lobe, and posterior limb of the left internal capsule, consistent with posterior reversible encephalopathy syndrome. Magnetic resonance venography excluded cerebral venous thrombosis. She was treated with antihypertensive therapy, anticonvulsant therapy with levetiracetam, and supportive measures, with close neurological and haemodynamic monitoring. Her headache and vomiting resolved, no further seizures occurred, renal function improved, and she was discharged in satisfactory clinical condition. This case highlights the need to consider posterior reversible encephalopathy syndrome in postpartum women presenting with severe headache, vomiting, hypertension, or seizure, even beyond the immediate puerperal period.</w:t>
      </w:r>
    </w:p>
    <w:p w14:paraId="3C291BB4" w14:textId="4AF4E83A" w:rsidR="0057375E" w:rsidRPr="00F348A6" w:rsidRDefault="0057375E" w:rsidP="003B28A0">
      <w:pPr>
        <w:spacing w:before="100" w:beforeAutospacing="1" w:after="100" w:afterAutospacing="1" w:line="240" w:lineRule="auto"/>
        <w:rPr>
          <w:rFonts w:ascii="Times New Roman" w:eastAsia="Times New Roman" w:hAnsi="Times New Roman" w:cs="Times New Roman"/>
          <w:lang w:val="en-US"/>
          <w14:ligatures w14:val="none"/>
        </w:rPr>
      </w:pPr>
      <w:r w:rsidRPr="00F348A6">
        <w:rPr>
          <w:rFonts w:ascii="Times New Roman" w:eastAsia="Times New Roman" w:hAnsi="Times New Roman" w:cs="Times New Roman"/>
          <w:b/>
          <w:bCs/>
          <w14:ligatures w14:val="none"/>
        </w:rPr>
        <w:t>Keywords:</w:t>
      </w:r>
      <w:r w:rsidRPr="00F348A6">
        <w:rPr>
          <w:rFonts w:ascii="Times New Roman" w:eastAsia="Times New Roman" w:hAnsi="Times New Roman" w:cs="Times New Roman"/>
          <w14:ligatures w14:val="none"/>
        </w:rPr>
        <w:t xml:space="preserve"> </w:t>
      </w:r>
      <w:r w:rsidR="00037EE7" w:rsidRPr="00F348A6">
        <w:t>Posterior reversible encephalopathy syndrome; delayed postpartum period; postpartum hypertension; generalised tonic–</w:t>
      </w:r>
      <w:proofErr w:type="spellStart"/>
      <w:r w:rsidR="00037EE7" w:rsidRPr="00F348A6">
        <w:t>clonic</w:t>
      </w:r>
      <w:proofErr w:type="spellEnd"/>
      <w:r w:rsidR="00037EE7" w:rsidRPr="00F348A6">
        <w:t xml:space="preserve"> seizure; atypical MRI findings; caesarean section; cerebral vasogenic oedema; magnetic resonance imaging; cerebral venous thrombosis; postpartum neurological emergency.</w:t>
      </w:r>
    </w:p>
    <w:p w14:paraId="10189439" w14:textId="77777777" w:rsidR="00B72762" w:rsidRPr="00F348A6" w:rsidRDefault="00B72762" w:rsidP="00143775">
      <w:pPr>
        <w:jc w:val="both"/>
        <w:rPr>
          <w:rFonts w:ascii="Times New Roman" w:hAnsi="Times New Roman" w:cs="Times New Roman"/>
          <w:b/>
          <w:bCs/>
        </w:rPr>
      </w:pPr>
    </w:p>
    <w:p w14:paraId="19FAFB4B" w14:textId="77777777" w:rsidR="0017004D" w:rsidRPr="00F348A6" w:rsidRDefault="0017004D" w:rsidP="00143775">
      <w:pPr>
        <w:jc w:val="both"/>
        <w:rPr>
          <w:rFonts w:ascii="Times New Roman" w:hAnsi="Times New Roman" w:cs="Times New Roman"/>
          <w:b/>
          <w:bCs/>
        </w:rPr>
      </w:pPr>
    </w:p>
    <w:p w14:paraId="4C8722A5" w14:textId="77777777" w:rsidR="00790853" w:rsidRPr="00F348A6" w:rsidRDefault="00402981" w:rsidP="00143775">
      <w:pPr>
        <w:jc w:val="both"/>
        <w:rPr>
          <w:rFonts w:ascii="Times New Roman" w:hAnsi="Times New Roman" w:cs="Times New Roman"/>
          <w:b/>
          <w:bCs/>
        </w:rPr>
      </w:pPr>
      <w:r w:rsidRPr="00F348A6">
        <w:rPr>
          <w:rFonts w:ascii="Times New Roman" w:hAnsi="Times New Roman" w:cs="Times New Roman"/>
          <w:b/>
          <w:bCs/>
        </w:rPr>
        <w:t>INTRODUCTION:</w:t>
      </w:r>
    </w:p>
    <w:p w14:paraId="7748E8D5" w14:textId="77777777" w:rsidR="00FA1E2D" w:rsidRPr="00F348A6" w:rsidRDefault="00FA1E2D" w:rsidP="00FA1E2D">
      <w:pPr>
        <w:jc w:val="both"/>
        <w:rPr>
          <w:rFonts w:ascii="Times New Roman" w:hAnsi="Times New Roman" w:cs="Times New Roman"/>
        </w:rPr>
      </w:pPr>
      <w:r w:rsidRPr="00F348A6">
        <w:t xml:space="preserve">Posterior reversible encephalopathy syndrome (PRES) is an acute </w:t>
      </w:r>
      <w:proofErr w:type="spellStart"/>
      <w:r w:rsidRPr="00F348A6">
        <w:t>clinicoradiological</w:t>
      </w:r>
      <w:proofErr w:type="spellEnd"/>
      <w:r w:rsidRPr="00F348A6">
        <w:t xml:space="preserve"> syndrome defined by transient neurological manifestations and typically reversible vasogenic oedema in the cerebral hemispheres. Headache, seizures, visual field defects, disorientation and, rarely, focal neurological deficits (FNDs) are typical presentations of PRES. Imaging, particularly T2-weighted and FLAIR imaging, usually demonstrates bilateral parieto-occipital hyperintensities. Lesions may also be present in the frontal and temporal lobes, basal ganglia, thalamus, brainstem, cerebellum and deep white matter (Hinduja, 2020; Anderson et al., 2020; Li et al., 2020).</w:t>
      </w:r>
    </w:p>
    <w:p w14:paraId="43192BDD" w14:textId="77777777" w:rsidR="00694497" w:rsidRPr="00F348A6" w:rsidRDefault="00000000">
      <w:pPr>
        <w:jc w:val="both"/>
        <w:rPr>
          <w:rFonts w:ascii="Times New Roman" w:hAnsi="Times New Roman" w:cs="Times New Roman"/>
        </w:rPr>
      </w:pPr>
      <w:r w:rsidRPr="00F348A6">
        <w:lastRenderedPageBreak/>
        <w:t xml:space="preserve">Recent peer-reviewed reviews likewise describe PRES as a heterogeneous </w:t>
      </w:r>
      <w:proofErr w:type="spellStart"/>
      <w:r w:rsidRPr="00F348A6">
        <w:t>clinicoradiological</w:t>
      </w:r>
      <w:proofErr w:type="spellEnd"/>
      <w:r w:rsidRPr="00F348A6">
        <w:t xml:space="preserve"> syndrome in which severe hypertension, renal dysfunction, seizures, and imaging abnormalities extending beyond the classic posterior distribution may occur (Fugate et al., 2025; Mourid et al., 2026).</w:t>
      </w:r>
    </w:p>
    <w:p w14:paraId="37B49A1F" w14:textId="77777777" w:rsidR="00FA1E2D" w:rsidRPr="00F348A6" w:rsidRDefault="00FA1E2D" w:rsidP="00FA1E2D">
      <w:pPr>
        <w:jc w:val="both"/>
        <w:rPr>
          <w:rFonts w:ascii="Times New Roman" w:eastAsia="Times New Roman" w:hAnsi="Times New Roman" w:cs="Times New Roman"/>
          <w:kern w:val="0"/>
          <w:lang w:eastAsia="en-IN"/>
          <w14:ligatures w14:val="none"/>
        </w:rPr>
      </w:pPr>
      <w:r w:rsidRPr="00F348A6">
        <w:t xml:space="preserve">The mechanisms involved in the pathogenesis of PRES remain incompletely understood and are likely multifactorial. Impaired cerebral autoregulation and disruption of the blood–brain barrier secondary to endothelial dysfunction are likely major mechanisms responsible for vasogenic cerebral oedema. Predisposing conditions include hypertensive disorders, renal failure, autoimmune disorders, cytotoxic drugs, and pregnancy-induced hypertensive conditions that may lead to pre-eclampsia and eclampsia (Anderson et al., 2020; Triplett et al., 2022; Ando et al., 2022). PRES may occur during gestation or in the postpartum period. Although most cases occur at term or in the early postpartum period, postpartum onset may be delayed and can create diagnostic uncertainty because the differential diagnoses of headache, vomiting, and seizures include eclampsia, cerebral venous thrombosis, intracranial haemorrhage, ischaemic stroke, and metabolic derangements (Triplett et al., 2022; Vuong et al., 2024; Kouam </w:t>
      </w:r>
      <w:proofErr w:type="spellStart"/>
      <w:r w:rsidRPr="00F348A6">
        <w:t>Djembi</w:t>
      </w:r>
      <w:proofErr w:type="spellEnd"/>
      <w:r w:rsidRPr="00F348A6">
        <w:t xml:space="preserve"> et al., 2025; Ullah et al., 2024; </w:t>
      </w:r>
      <w:proofErr w:type="spellStart"/>
      <w:r w:rsidRPr="00F348A6">
        <w:t>Mapari</w:t>
      </w:r>
      <w:proofErr w:type="spellEnd"/>
      <w:r w:rsidRPr="00F348A6">
        <w:t xml:space="preserve"> et al., 2024).</w:t>
      </w:r>
    </w:p>
    <w:p w14:paraId="26897320" w14:textId="77777777" w:rsidR="00694497" w:rsidRPr="00F348A6" w:rsidRDefault="00000000">
      <w:pPr>
        <w:jc w:val="both"/>
        <w:rPr>
          <w:rFonts w:ascii="Times New Roman" w:eastAsia="Times New Roman" w:hAnsi="Times New Roman" w:cs="Times New Roman"/>
          <w:kern w:val="0"/>
          <w:lang w:eastAsia="en-IN"/>
          <w14:ligatures w14:val="none"/>
        </w:rPr>
      </w:pPr>
      <w:r w:rsidRPr="00F348A6">
        <w:t>Renal dysfunction has been reported in association with PRES (Khan et al., 2015). Pregnancy-induced hypertension has also been identified as a high-risk maternal condition (Arora et al., 2024). Postpartum hypertension remains clinically important after delivery, particularly when neurological symptoms occur in the puerperium (</w:t>
      </w:r>
      <w:proofErr w:type="spellStart"/>
      <w:r w:rsidRPr="00F348A6">
        <w:t>Garneni</w:t>
      </w:r>
      <w:proofErr w:type="spellEnd"/>
      <w:r w:rsidRPr="00F348A6">
        <w:t xml:space="preserve"> et al., 2026).</w:t>
      </w:r>
    </w:p>
    <w:p w14:paraId="021260A1" w14:textId="77777777" w:rsidR="00FA1E2D" w:rsidRPr="00F348A6" w:rsidRDefault="00FA1E2D" w:rsidP="00FA1E2D">
      <w:pPr>
        <w:jc w:val="both"/>
      </w:pPr>
      <w:r w:rsidRPr="00F348A6">
        <w:t>The case discussed here is notable for delayed postpartum presentation on postoperative day 13 following caesarean section, severe hypertension with a generalised seizure, and atypical involvement of additional brain regions on MRI beyond the typical parieto-occipital distribution. This case illustrates the need to consider PRES in a postpartum patient with symptoms of acute brain dysfunction even several days after delivery, together with the need for urgent neuroimaging and prompt therapy.</w:t>
      </w:r>
    </w:p>
    <w:p w14:paraId="1611B757" w14:textId="77777777" w:rsidR="00FA1E2D" w:rsidRPr="00F348A6" w:rsidRDefault="00FA1E2D" w:rsidP="00FA1E2D">
      <w:pPr>
        <w:jc w:val="both"/>
        <w:rPr>
          <w:rFonts w:ascii="Times New Roman" w:hAnsi="Times New Roman" w:cs="Times New Roman"/>
        </w:rPr>
      </w:pPr>
    </w:p>
    <w:p w14:paraId="40B33696" w14:textId="77777777" w:rsidR="008C0CFE" w:rsidRPr="00F348A6" w:rsidRDefault="008C0CFE" w:rsidP="00143775">
      <w:pPr>
        <w:jc w:val="both"/>
        <w:rPr>
          <w:rFonts w:ascii="Times New Roman" w:hAnsi="Times New Roman" w:cs="Times New Roman"/>
        </w:rPr>
      </w:pPr>
    </w:p>
    <w:p w14:paraId="3641E8E4" w14:textId="77777777" w:rsidR="00694497" w:rsidRPr="00F348A6" w:rsidRDefault="00000000">
      <w:pPr>
        <w:jc w:val="both"/>
      </w:pPr>
      <w:r w:rsidRPr="00F348A6">
        <w:t>Although PRES is recognised in hypertensive pregnancy and the postpartum period, delayed presentation with severe neurological symptoms and MRI involvement outside the classic parieto-occipital regions can complicate differentiation from other postpartum neurological emergencies.</w:t>
      </w:r>
    </w:p>
    <w:p w14:paraId="199048D9" w14:textId="77777777" w:rsidR="00694497" w:rsidRPr="00F348A6" w:rsidRDefault="00000000">
      <w:pPr>
        <w:jc w:val="both"/>
      </w:pPr>
      <w:r w:rsidRPr="00F348A6">
        <w:rPr>
          <w:rFonts w:ascii="Times New Roman" w:hAnsi="Times New Roman"/>
          <w:b/>
        </w:rPr>
        <w:t>Objective:</w:t>
      </w:r>
    </w:p>
    <w:p w14:paraId="4F477463" w14:textId="77777777" w:rsidR="00694497" w:rsidRPr="00F348A6" w:rsidRDefault="00000000">
      <w:pPr>
        <w:jc w:val="both"/>
      </w:pPr>
      <w:r w:rsidRPr="00F348A6">
        <w:t>This case report aims to describe delayed postpartum PRES presenting on postoperative day 13 after caesarean section with severe hypertension, generalised seizure, and atypical MRI involvement, and to emphasise the role of prompt neuroimaging in establishing the diagnosis and excluding important postpartum neurological differential diagnoses.</w:t>
      </w:r>
    </w:p>
    <w:p w14:paraId="0348E5B7" w14:textId="77777777" w:rsidR="00402981" w:rsidRPr="00F348A6" w:rsidRDefault="00402981" w:rsidP="00143775">
      <w:pPr>
        <w:jc w:val="both"/>
        <w:rPr>
          <w:rFonts w:ascii="Times New Roman" w:hAnsi="Times New Roman" w:cs="Times New Roman"/>
          <w:b/>
          <w:bCs/>
        </w:rPr>
      </w:pPr>
      <w:r w:rsidRPr="00F348A6">
        <w:rPr>
          <w:rFonts w:ascii="Times New Roman" w:hAnsi="Times New Roman" w:cs="Times New Roman"/>
          <w:b/>
          <w:bCs/>
        </w:rPr>
        <w:t xml:space="preserve">  CASE PRESENTATION:</w:t>
      </w:r>
    </w:p>
    <w:p w14:paraId="1EA1589A" w14:textId="77777777" w:rsidR="00A22801" w:rsidRPr="00F348A6" w:rsidRDefault="004C464F" w:rsidP="00143775">
      <w:pPr>
        <w:jc w:val="both"/>
        <w:rPr>
          <w:rFonts w:ascii="Times New Roman" w:hAnsi="Times New Roman" w:cs="Times New Roman"/>
        </w:rPr>
      </w:pPr>
      <w:r w:rsidRPr="00F348A6">
        <w:t>A 22-year-old primigravida presented to the Department of General Medicine with severe occipital headache for 1 day, giddiness since the morning of admission, and 7–8 episodes of bilious vomiting for 1 day. She experienced a single generalised tonic–</w:t>
      </w:r>
      <w:proofErr w:type="spellStart"/>
      <w:r w:rsidRPr="00F348A6">
        <w:t>clonic</w:t>
      </w:r>
      <w:proofErr w:type="spellEnd"/>
      <w:r w:rsidRPr="00F348A6">
        <w:t xml:space="preserve"> seizure at approximately 7:00 AM on the day of admission, associated with upward rolling of the eyes, tongue biting, and postictal stupor. She was on postoperative day 13 following an uneventful lower-segment caesarean section (LSCS). According </w:t>
      </w:r>
      <w:r w:rsidRPr="00F348A6">
        <w:lastRenderedPageBreak/>
        <w:t xml:space="preserve">to the attendants, she had been apparently well until 1 day before admission, when she developed sudden-onset occipital headache radiating to the neck, followed by recurrent bilious vomiting, giddiness, and a generalised seizure. There was no history of urinary or faecal incontinence, fever, loose stools, earache, tinnitus, recent head injury, or excessive postpartum bleeding. There was no previous history of epilepsy, chronic hypertension, diabetes mellitus, renal disease, autoimmune disease, or other central nervous system illness. The antenatal and intrapartum periods were reportedly uncomplicated, and the LSCS was uneventful. On arrival at the emergency department, the patient was conscious but lethargic following the seizure. Her pulse rate was 94 beats/min and her blood pressure was 180/80 mmHg; she was afebrile. General examination revealed pallor without cyanosis, clubbing, icterus, lymphadenopathy, or pedal oedema. Cardiovascular examination revealed normal first and second heart sounds without murmurs. Respiratory examination showed equal air entry bilaterally with normal vesicular breath sounds and no added sounds. The abdomen was soft, with a well-healed postoperative LSCS wound and no hepatomegaly or guarding. Neurological examination showed a Glasgow Coma Scale score of E4V5M6; the pupils were 3 mm bilaterally and reactive to light; plantar responses were flexor bilaterally; and there was no focal neurological deficit or meningeal sign. Fundus examination showed no </w:t>
      </w:r>
      <w:proofErr w:type="spellStart"/>
      <w:r w:rsidRPr="00F348A6">
        <w:t>papilloedema</w:t>
      </w:r>
      <w:proofErr w:type="spellEnd"/>
      <w:r w:rsidRPr="00F348A6">
        <w:t xml:space="preserve"> or hypertensive retinopathy.</w:t>
      </w:r>
    </w:p>
    <w:p w14:paraId="2ED0CB7D" w14:textId="77777777" w:rsidR="004E0A09" w:rsidRPr="00F348A6" w:rsidRDefault="00BF1B75" w:rsidP="00143775">
      <w:pPr>
        <w:jc w:val="both"/>
        <w:rPr>
          <w:rFonts w:ascii="Times New Roman" w:hAnsi="Times New Roman" w:cs="Times New Roman"/>
        </w:rPr>
      </w:pPr>
      <w:r w:rsidRPr="00F348A6">
        <w:t>Routine investigations - Initial investigations revealed haemoglobin 12.7 g/dL, total leucocyte count 11,410 cells/mm³ with neutrophil predominance (90%), platelet count 3.72 lakh/mm³, and ESR 62 mm/h. Biochemical investigations showed blood urea 39.7 mg/dL and serum creatinine 1.76 mg/dL, with sodium 139 mmol/L, potassium 3.45 mmol/L, chloride 110.93 mmol/L, calcium 8.29 mg/dL, total protein 5.2 g/dL, albumin 2.8 g/dL, total bilirubin 1.0 mg/dL, AST 29 U/L, ALT 17 U/L, and ALP 204.4 U/L. Coagulation parameters were within normal limits. HIV and hepatitis B surface antigen were non-reactive. Peripheral smear showed a normocytic normochromic blood picture with neutrophilic leucocytosis. During hospitalisation, blood urea decreased to 18.2 mg/dL and serum creatinine improved to 0.95 mg/dL. At discharge, haemoglobin was 10.6 g/dL, total leucocyte count was 8,470 cells/mm³, platelet count was 2.17 lakh/mm³, haematocrit was 31.8%, neutrophils 74%, lymphocytes 19%, and monocytes 7%.</w:t>
      </w:r>
    </w:p>
    <w:p w14:paraId="1B1B4617" w14:textId="77777777" w:rsidR="004E0A09" w:rsidRPr="00F348A6" w:rsidRDefault="00D74900" w:rsidP="00143775">
      <w:pPr>
        <w:jc w:val="both"/>
        <w:rPr>
          <w:rFonts w:ascii="Times New Roman" w:hAnsi="Times New Roman" w:cs="Times New Roman"/>
        </w:rPr>
      </w:pPr>
      <w:r w:rsidRPr="00F348A6">
        <w:t xml:space="preserve">In view of severe postpartum hypertension and generalised seizure, urgent neuroimaging was performed. MRI of the brain demonstrated nearly symmetrical T2-weighted and FLAIR hyperintensities involving the bilateral parieto-occipital regions, right temporal lobe, left frontal lobe, and posterior limb of the left internal capsule, consistent with PRES. An incidental broad-based cerebrospinal fluid (CSF)-intensity lesion measuring approximately 5.1 × 1.1 × 3.0 cm in the right parasagittal frontal region was also noted, compatible with an arachnoid cyst. The basal ganglia, thalami, brainstem, cerebellum, ventricular system, basal cisterns, cortical sulci, and </w:t>
      </w:r>
      <w:proofErr w:type="spellStart"/>
      <w:r w:rsidRPr="00F348A6">
        <w:t>sellar</w:t>
      </w:r>
      <w:proofErr w:type="spellEnd"/>
      <w:r w:rsidRPr="00F348A6">
        <w:t xml:space="preserve"> structures were unremarkable. MR venography demonstrated a hypoplastic left transverse sinus, with the remaining major dural venous sinuses patent and no evidence of cerebral venous thrombosis.</w:t>
      </w:r>
    </w:p>
    <w:p w14:paraId="005CA55E" w14:textId="77777777" w:rsidR="00A21145" w:rsidRPr="00F348A6" w:rsidRDefault="00A21145" w:rsidP="00D86153">
      <w:pPr>
        <w:jc w:val="both"/>
        <w:rPr>
          <w:rFonts w:ascii="Times New Roman" w:hAnsi="Times New Roman" w:cs="Times New Roman"/>
        </w:rPr>
      </w:pPr>
      <w:r w:rsidRPr="00F348A6">
        <w:t xml:space="preserve">Based on the clinical presentation of severe postpartum hypertension with a generalised seizure and the characteristic MRI findings, a final diagnosis of posterior reversible encephalopathy syndrome (PRES) in the delayed postpartum period was made. MR venography excluded cerebral venous thrombosis as an important differential diagnosis. The patient was admitted for intensive neurological monitoring and referred for multidisciplinary management involving the Departments of General Medicine, Neurology, Obstetrics and Gynaecology, and Ophthalmology. She was managed with </w:t>
      </w:r>
      <w:r w:rsidRPr="00F348A6">
        <w:lastRenderedPageBreak/>
        <w:t>antihypertensive therapy for blood pressure control and anticonvulsant therapy with levetiracetam, along with supportive treatment. Antihypertensive therapy included labetalol 100 mg orally twice daily and nifedipine 10 mg orally twice daily. Levetiracetam (</w:t>
      </w:r>
      <w:proofErr w:type="spellStart"/>
      <w:r w:rsidRPr="00F348A6">
        <w:t>Levipill</w:t>
      </w:r>
      <w:proofErr w:type="spellEnd"/>
      <w:r w:rsidRPr="00F348A6">
        <w:t xml:space="preserve">) was administered at a dose of 500 mg orally twice daily for seizure control. At discharge, labetalol 100 mg twice daily and levetiracetam 500 mg twice daily were continued, together with </w:t>
      </w:r>
      <w:proofErr w:type="spellStart"/>
      <w:r w:rsidRPr="00F348A6">
        <w:t>Cilacar</w:t>
      </w:r>
      <w:proofErr w:type="spellEnd"/>
      <w:r w:rsidRPr="00F348A6">
        <w:t xml:space="preserve">-T 40/10 mg once daily. Dolo 650 mg was advised as required. The discharge prescription also included </w:t>
      </w:r>
      <w:proofErr w:type="spellStart"/>
      <w:r w:rsidRPr="00F348A6">
        <w:t>Taxim</w:t>
      </w:r>
      <w:proofErr w:type="spellEnd"/>
      <w:r w:rsidRPr="00F348A6">
        <w:t xml:space="preserve">-O 200 mg twice daily for 2 days, </w:t>
      </w:r>
      <w:proofErr w:type="spellStart"/>
      <w:r w:rsidRPr="00F348A6">
        <w:t>Ganpan</w:t>
      </w:r>
      <w:proofErr w:type="spellEnd"/>
      <w:r w:rsidRPr="00F348A6">
        <w:t xml:space="preserve"> 40 mg once daily for 5 days, and </w:t>
      </w:r>
      <w:proofErr w:type="spellStart"/>
      <w:r w:rsidRPr="00F348A6">
        <w:t>Oxintoff</w:t>
      </w:r>
      <w:proofErr w:type="spellEnd"/>
      <w:r w:rsidRPr="00F348A6">
        <w:t xml:space="preserve"> Plus once daily for 14 days. Magnesium </w:t>
      </w:r>
      <w:proofErr w:type="spellStart"/>
      <w:r w:rsidRPr="00F348A6">
        <w:t>sulfate</w:t>
      </w:r>
      <w:proofErr w:type="spellEnd"/>
      <w:r w:rsidRPr="00F348A6">
        <w:t xml:space="preserve"> was not documented among the treatments listed in the discharge summary.</w:t>
      </w:r>
    </w:p>
    <w:p w14:paraId="7D40C5C9" w14:textId="10521EDE" w:rsidR="00FE3E41" w:rsidRPr="00F348A6" w:rsidRDefault="00145335" w:rsidP="00D86153">
      <w:pPr>
        <w:jc w:val="both"/>
        <w:rPr>
          <w:rFonts w:ascii="Times New Roman" w:hAnsi="Times New Roman" w:cs="Times New Roman"/>
        </w:rPr>
      </w:pPr>
      <w:r w:rsidRPr="00F348A6">
        <w:rPr>
          <w:rFonts w:ascii="Times New Roman" w:hAnsi="Times New Roman" w:cs="Times New Roman"/>
          <w:b/>
          <w:bCs/>
          <w:noProof/>
          <w:sz w:val="20"/>
          <w:szCs w:val="20"/>
        </w:rPr>
        <w:drawing>
          <wp:anchor distT="0" distB="0" distL="114300" distR="114300" simplePos="0" relativeHeight="251659264" behindDoc="0" locked="0" layoutInCell="1" allowOverlap="1" wp14:anchorId="680638FB" wp14:editId="6FF420DA">
            <wp:simplePos x="0" y="0"/>
            <wp:positionH relativeFrom="page">
              <wp:posOffset>826581</wp:posOffset>
            </wp:positionH>
            <wp:positionV relativeFrom="page">
              <wp:posOffset>3596937</wp:posOffset>
            </wp:positionV>
            <wp:extent cx="4793615" cy="4578350"/>
            <wp:effectExtent l="0" t="0" r="6985" b="0"/>
            <wp:wrapTopAndBottom/>
            <wp:docPr id="806400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400318" name="Picture 806400318"/>
                    <pic:cNvPicPr/>
                  </pic:nvPicPr>
                  <pic:blipFill>
                    <a:blip r:embed="rId7">
                      <a:extLst>
                        <a:ext uri="{28A0092B-C50C-407E-A947-70E740481C1C}">
                          <a14:useLocalDpi xmlns:a14="http://schemas.microsoft.com/office/drawing/2010/main" val="0"/>
                        </a:ext>
                      </a:extLst>
                    </a:blip>
                    <a:stretch>
                      <a:fillRect/>
                    </a:stretch>
                  </pic:blipFill>
                  <pic:spPr>
                    <a:xfrm>
                      <a:off x="0" y="0"/>
                      <a:ext cx="4793615" cy="4578350"/>
                    </a:xfrm>
                    <a:prstGeom prst="rect">
                      <a:avLst/>
                    </a:prstGeom>
                  </pic:spPr>
                </pic:pic>
              </a:graphicData>
            </a:graphic>
            <wp14:sizeRelH relativeFrom="margin">
              <wp14:pctWidth>0</wp14:pctWidth>
            </wp14:sizeRelH>
            <wp14:sizeRelV relativeFrom="margin">
              <wp14:pctHeight>0</wp14:pctHeight>
            </wp14:sizeRelV>
          </wp:anchor>
        </w:drawing>
      </w:r>
      <w:r w:rsidR="008C0CFE" w:rsidRPr="00F348A6">
        <w:t>During hospitalisation, her blood pressure normalised, headache and vomiting resolved, and no further seizures occurred. Neurological examination remained normal, and renal function improved. She was discharged in satisfactory clinical condition with oral antihypertensive and anticonvulsant therapy and advice for close follow-up.</w:t>
      </w:r>
    </w:p>
    <w:p w14:paraId="38F0AA88" w14:textId="5317A3EA" w:rsidR="00392B69" w:rsidRPr="00F348A6" w:rsidRDefault="00392B69" w:rsidP="00D86153">
      <w:pPr>
        <w:jc w:val="both"/>
        <w:rPr>
          <w:rFonts w:ascii="Times New Roman" w:hAnsi="Times New Roman" w:cs="Times New Roman"/>
        </w:rPr>
      </w:pPr>
    </w:p>
    <w:p w14:paraId="03CAE4AC" w14:textId="3F035B13" w:rsidR="00392B69" w:rsidRPr="00F348A6" w:rsidRDefault="00392B69" w:rsidP="00D86153">
      <w:pPr>
        <w:jc w:val="both"/>
        <w:rPr>
          <w:rFonts w:ascii="Times New Roman" w:hAnsi="Times New Roman" w:cs="Times New Roman"/>
        </w:rPr>
      </w:pPr>
    </w:p>
    <w:p w14:paraId="19B355FB" w14:textId="7B94FCA1" w:rsidR="00392B69" w:rsidRPr="00F348A6" w:rsidRDefault="00392B69" w:rsidP="00D86153">
      <w:pPr>
        <w:jc w:val="both"/>
        <w:rPr>
          <w:rFonts w:ascii="Times New Roman" w:hAnsi="Times New Roman" w:cs="Times New Roman"/>
        </w:rPr>
      </w:pPr>
    </w:p>
    <w:p w14:paraId="0FF63A34" w14:textId="77777777" w:rsidR="00392B69" w:rsidRPr="00F348A6" w:rsidRDefault="00392B69" w:rsidP="00D86153">
      <w:pPr>
        <w:jc w:val="both"/>
        <w:rPr>
          <w:rFonts w:ascii="Times New Roman" w:hAnsi="Times New Roman" w:cs="Times New Roman"/>
          <w:b/>
          <w:bCs/>
        </w:rPr>
      </w:pPr>
    </w:p>
    <w:p w14:paraId="7423A352" w14:textId="00E5F0C3" w:rsidR="008C0CFE" w:rsidRPr="00F348A6" w:rsidRDefault="00856941" w:rsidP="00143775">
      <w:pPr>
        <w:jc w:val="both"/>
        <w:rPr>
          <w:rFonts w:ascii="Times New Roman" w:hAnsi="Times New Roman" w:cs="Times New Roman"/>
          <w:b/>
          <w:bCs/>
        </w:rPr>
      </w:pPr>
      <w:r w:rsidRPr="00F348A6">
        <w:rPr>
          <w:rFonts w:ascii="Times New Roman" w:hAnsi="Times New Roman" w:cs="Times New Roman"/>
          <w:b/>
          <w:bCs/>
        </w:rPr>
        <w:t>Table 1. Timeline of Clinical Events</w:t>
      </w:r>
    </w:p>
    <w:tbl>
      <w:tblPr>
        <w:tblStyle w:val="TableGrid"/>
        <w:tblW w:w="0" w:type="auto"/>
        <w:tblLook w:val="04A0" w:firstRow="1" w:lastRow="0" w:firstColumn="1" w:lastColumn="0" w:noHBand="0" w:noVBand="1"/>
      </w:tblPr>
      <w:tblGrid>
        <w:gridCol w:w="2734"/>
        <w:gridCol w:w="7722"/>
      </w:tblGrid>
      <w:tr w:rsidR="00D86153" w:rsidRPr="00F348A6" w14:paraId="0B90A09C" w14:textId="77777777" w:rsidTr="009C6C46">
        <w:tc>
          <w:tcPr>
            <w:tcW w:w="0" w:type="auto"/>
            <w:vAlign w:val="center"/>
            <w:hideMark/>
          </w:tcPr>
          <w:p w14:paraId="163D771B" w14:textId="77777777" w:rsidR="00D86153" w:rsidRPr="00F348A6" w:rsidRDefault="00D86153" w:rsidP="00D86153">
            <w:pPr>
              <w:spacing w:after="160" w:line="278" w:lineRule="auto"/>
              <w:jc w:val="both"/>
              <w:rPr>
                <w:rFonts w:ascii="Times New Roman" w:hAnsi="Times New Roman" w:cs="Times New Roman"/>
              </w:rPr>
            </w:pPr>
            <w:r w:rsidRPr="00F348A6">
              <w:rPr>
                <w:rFonts w:ascii="Times New Roman" w:hAnsi="Times New Roman" w:cs="Times New Roman"/>
                <w:b/>
                <w:bCs/>
              </w:rPr>
              <w:t>Time</w:t>
            </w:r>
          </w:p>
        </w:tc>
        <w:tc>
          <w:tcPr>
            <w:tcW w:w="0" w:type="auto"/>
            <w:vAlign w:val="center"/>
            <w:hideMark/>
          </w:tcPr>
          <w:p w14:paraId="4F0EF317" w14:textId="77777777" w:rsidR="00D86153" w:rsidRPr="00F348A6" w:rsidRDefault="00D86153" w:rsidP="00D86153">
            <w:pPr>
              <w:spacing w:after="160" w:line="278" w:lineRule="auto"/>
              <w:jc w:val="both"/>
              <w:rPr>
                <w:rFonts w:ascii="Times New Roman" w:hAnsi="Times New Roman" w:cs="Times New Roman"/>
              </w:rPr>
            </w:pPr>
            <w:r w:rsidRPr="00F348A6">
              <w:rPr>
                <w:rFonts w:ascii="Times New Roman" w:hAnsi="Times New Roman" w:cs="Times New Roman"/>
                <w:b/>
                <w:bCs/>
              </w:rPr>
              <w:t>Clinical event</w:t>
            </w:r>
          </w:p>
        </w:tc>
      </w:tr>
      <w:tr w:rsidR="00D86153" w:rsidRPr="00F348A6" w14:paraId="7B913FDE" w14:textId="77777777" w:rsidTr="009C6C46">
        <w:tc>
          <w:tcPr>
            <w:tcW w:w="0" w:type="auto"/>
            <w:vAlign w:val="center"/>
            <w:hideMark/>
          </w:tcPr>
          <w:p w14:paraId="466E3FB0" w14:textId="77777777" w:rsidR="00D86153" w:rsidRPr="00F348A6" w:rsidRDefault="00D86153" w:rsidP="00D86153">
            <w:pPr>
              <w:spacing w:after="160" w:line="278" w:lineRule="auto"/>
              <w:jc w:val="both"/>
              <w:rPr>
                <w:rFonts w:ascii="Times New Roman" w:hAnsi="Times New Roman" w:cs="Times New Roman"/>
              </w:rPr>
            </w:pPr>
            <w:r w:rsidRPr="00F348A6">
              <w:rPr>
                <w:rStyle w:val="Strong"/>
                <w:rFonts w:ascii="Times New Roman" w:hAnsi="Times New Roman" w:cs="Times New Roman"/>
              </w:rPr>
              <w:lastRenderedPageBreak/>
              <w:t>Postoperative Day 12</w:t>
            </w:r>
          </w:p>
        </w:tc>
        <w:tc>
          <w:tcPr>
            <w:tcW w:w="0" w:type="auto"/>
            <w:vAlign w:val="center"/>
            <w:hideMark/>
          </w:tcPr>
          <w:p w14:paraId="0E8E1390" w14:textId="77777777" w:rsidR="00D86153" w:rsidRPr="00F348A6" w:rsidRDefault="00D86153" w:rsidP="00D86153">
            <w:pPr>
              <w:spacing w:after="160" w:line="278" w:lineRule="auto"/>
              <w:jc w:val="both"/>
              <w:rPr>
                <w:rFonts w:ascii="Times New Roman" w:hAnsi="Times New Roman" w:cs="Times New Roman"/>
              </w:rPr>
            </w:pPr>
            <w:r w:rsidRPr="00F348A6">
              <w:rPr>
                <w:rFonts w:ascii="Times New Roman" w:hAnsi="Times New Roman" w:cs="Times New Roman"/>
              </w:rPr>
              <w:t>Developed severe occipital headache, giddiness, and 7–8 episodes of bilious vomiting.</w:t>
            </w:r>
          </w:p>
        </w:tc>
      </w:tr>
      <w:tr w:rsidR="00D86153" w:rsidRPr="00F348A6" w14:paraId="250C2385" w14:textId="77777777" w:rsidTr="009C6C46">
        <w:tc>
          <w:tcPr>
            <w:tcW w:w="0" w:type="auto"/>
            <w:vAlign w:val="center"/>
            <w:hideMark/>
          </w:tcPr>
          <w:p w14:paraId="0E4C2F92" w14:textId="77777777" w:rsidR="00D86153" w:rsidRPr="00F348A6" w:rsidRDefault="00D86153" w:rsidP="00D86153">
            <w:pPr>
              <w:spacing w:after="160" w:line="278" w:lineRule="auto"/>
              <w:jc w:val="both"/>
              <w:rPr>
                <w:rFonts w:ascii="Times New Roman" w:hAnsi="Times New Roman" w:cs="Times New Roman"/>
              </w:rPr>
            </w:pPr>
            <w:r w:rsidRPr="00F348A6">
              <w:rPr>
                <w:rStyle w:val="Strong"/>
                <w:rFonts w:ascii="Times New Roman" w:hAnsi="Times New Roman" w:cs="Times New Roman"/>
              </w:rPr>
              <w:t>Postoperative Day 13 / Admission (09 June 2026)</w:t>
            </w:r>
          </w:p>
        </w:tc>
        <w:tc>
          <w:tcPr>
            <w:tcW w:w="0" w:type="auto"/>
            <w:vAlign w:val="center"/>
            <w:hideMark/>
          </w:tcPr>
          <w:p w14:paraId="1BC9BAB3" w14:textId="77777777" w:rsidR="00D86153" w:rsidRPr="00F348A6" w:rsidRDefault="00D86153" w:rsidP="00D86153">
            <w:pPr>
              <w:spacing w:after="160" w:line="278" w:lineRule="auto"/>
              <w:jc w:val="both"/>
              <w:rPr>
                <w:rFonts w:ascii="Times New Roman" w:hAnsi="Times New Roman" w:cs="Times New Roman"/>
              </w:rPr>
            </w:pPr>
            <w:r w:rsidRPr="00F348A6">
              <w:rPr>
                <w:rFonts w:ascii="Times New Roman" w:hAnsi="Times New Roman" w:cs="Times New Roman"/>
              </w:rPr>
              <w:t>Developed one generalized tonic–</w:t>
            </w:r>
            <w:proofErr w:type="spellStart"/>
            <w:r w:rsidRPr="00F348A6">
              <w:rPr>
                <w:rFonts w:ascii="Times New Roman" w:hAnsi="Times New Roman" w:cs="Times New Roman"/>
              </w:rPr>
              <w:t>clonic</w:t>
            </w:r>
            <w:proofErr w:type="spellEnd"/>
            <w:r w:rsidRPr="00F348A6">
              <w:rPr>
                <w:rFonts w:ascii="Times New Roman" w:hAnsi="Times New Roman" w:cs="Times New Roman"/>
              </w:rPr>
              <w:t xml:space="preserve"> seizure with tongue biting and postictal stupor. Blood pressure was 180/80 mmHg.</w:t>
            </w:r>
          </w:p>
        </w:tc>
      </w:tr>
      <w:tr w:rsidR="00D86153" w:rsidRPr="00F348A6" w14:paraId="25B38BEE" w14:textId="77777777" w:rsidTr="009C6C46">
        <w:tc>
          <w:tcPr>
            <w:tcW w:w="0" w:type="auto"/>
            <w:vAlign w:val="center"/>
            <w:hideMark/>
          </w:tcPr>
          <w:p w14:paraId="5DBB6B86" w14:textId="77777777" w:rsidR="00D86153" w:rsidRPr="00F348A6" w:rsidRDefault="00D86153" w:rsidP="00D86153">
            <w:pPr>
              <w:spacing w:after="160" w:line="278" w:lineRule="auto"/>
              <w:jc w:val="both"/>
              <w:rPr>
                <w:rFonts w:ascii="Times New Roman" w:hAnsi="Times New Roman" w:cs="Times New Roman"/>
              </w:rPr>
            </w:pPr>
            <w:r w:rsidRPr="00F348A6">
              <w:rPr>
                <w:rStyle w:val="Strong"/>
                <w:rFonts w:ascii="Times New Roman" w:hAnsi="Times New Roman" w:cs="Times New Roman"/>
              </w:rPr>
              <w:t>Hospital Day 1 (09 June 2026)</w:t>
            </w:r>
          </w:p>
        </w:tc>
        <w:tc>
          <w:tcPr>
            <w:tcW w:w="0" w:type="auto"/>
            <w:vAlign w:val="center"/>
            <w:hideMark/>
          </w:tcPr>
          <w:p w14:paraId="7A18D515" w14:textId="77777777" w:rsidR="00D86153" w:rsidRPr="00F348A6" w:rsidRDefault="00D86153" w:rsidP="00D86153">
            <w:pPr>
              <w:spacing w:after="160" w:line="278" w:lineRule="auto"/>
              <w:jc w:val="both"/>
              <w:rPr>
                <w:rFonts w:ascii="Times New Roman" w:hAnsi="Times New Roman" w:cs="Times New Roman"/>
              </w:rPr>
            </w:pPr>
            <w:r w:rsidRPr="00F348A6">
              <w:rPr>
                <w:rFonts w:ascii="Times New Roman" w:hAnsi="Times New Roman" w:cs="Times New Roman"/>
              </w:rPr>
              <w:t>MRI brain and MR venography performed. MRI findings were consistent with PRES; MR venography showed a hypoplastic left transverse sinus with no evidence of CVT. Antihypertensive and anticonvulsant therapy initiated.</w:t>
            </w:r>
          </w:p>
        </w:tc>
      </w:tr>
      <w:tr w:rsidR="00D86153" w:rsidRPr="00F348A6" w14:paraId="401FFD97" w14:textId="77777777" w:rsidTr="009C6C46">
        <w:tc>
          <w:tcPr>
            <w:tcW w:w="0" w:type="auto"/>
            <w:vAlign w:val="center"/>
            <w:hideMark/>
          </w:tcPr>
          <w:p w14:paraId="740BE254" w14:textId="77777777" w:rsidR="00D86153" w:rsidRPr="00F348A6" w:rsidRDefault="00D86153" w:rsidP="00D86153">
            <w:pPr>
              <w:spacing w:after="160" w:line="278" w:lineRule="auto"/>
              <w:jc w:val="both"/>
              <w:rPr>
                <w:rFonts w:ascii="Times New Roman" w:hAnsi="Times New Roman" w:cs="Times New Roman"/>
              </w:rPr>
            </w:pPr>
            <w:r w:rsidRPr="00F348A6">
              <w:rPr>
                <w:rStyle w:val="Strong"/>
                <w:rFonts w:ascii="Times New Roman" w:hAnsi="Times New Roman" w:cs="Times New Roman"/>
              </w:rPr>
              <w:t>During hospitalization</w:t>
            </w:r>
          </w:p>
        </w:tc>
        <w:tc>
          <w:tcPr>
            <w:tcW w:w="0" w:type="auto"/>
            <w:vAlign w:val="center"/>
            <w:hideMark/>
          </w:tcPr>
          <w:p w14:paraId="06F6AB8D" w14:textId="77777777" w:rsidR="00D86153" w:rsidRPr="00F348A6" w:rsidRDefault="00D86153" w:rsidP="00D86153">
            <w:pPr>
              <w:spacing w:after="160" w:line="278" w:lineRule="auto"/>
              <w:jc w:val="both"/>
              <w:rPr>
                <w:rFonts w:ascii="Times New Roman" w:hAnsi="Times New Roman" w:cs="Times New Roman"/>
              </w:rPr>
            </w:pPr>
            <w:r w:rsidRPr="00F348A6">
              <w:rPr>
                <w:rFonts w:ascii="Times New Roman" w:hAnsi="Times New Roman" w:cs="Times New Roman"/>
              </w:rPr>
              <w:t>Blood pressure and neurological status improved; headache and vomiting resolved; no further seizures occurred; renal function improved.</w:t>
            </w:r>
          </w:p>
        </w:tc>
      </w:tr>
      <w:tr w:rsidR="00D86153" w:rsidRPr="00F348A6" w14:paraId="011330DE" w14:textId="77777777" w:rsidTr="009C6C46">
        <w:tc>
          <w:tcPr>
            <w:tcW w:w="0" w:type="auto"/>
            <w:vAlign w:val="center"/>
            <w:hideMark/>
          </w:tcPr>
          <w:p w14:paraId="26505AA1" w14:textId="77777777" w:rsidR="00D86153" w:rsidRPr="00F348A6" w:rsidRDefault="00D86153" w:rsidP="00D86153">
            <w:pPr>
              <w:spacing w:after="160" w:line="278" w:lineRule="auto"/>
              <w:jc w:val="both"/>
              <w:rPr>
                <w:rFonts w:ascii="Times New Roman" w:hAnsi="Times New Roman" w:cs="Times New Roman"/>
              </w:rPr>
            </w:pPr>
            <w:r w:rsidRPr="00F348A6">
              <w:rPr>
                <w:rStyle w:val="Strong"/>
                <w:rFonts w:ascii="Times New Roman" w:hAnsi="Times New Roman" w:cs="Times New Roman"/>
              </w:rPr>
              <w:t>Discharge (16 June 2026)</w:t>
            </w:r>
          </w:p>
        </w:tc>
        <w:tc>
          <w:tcPr>
            <w:tcW w:w="0" w:type="auto"/>
            <w:vAlign w:val="center"/>
            <w:hideMark/>
          </w:tcPr>
          <w:p w14:paraId="73B1A4FB" w14:textId="77777777" w:rsidR="00D86153" w:rsidRPr="00F348A6" w:rsidRDefault="00D86153" w:rsidP="00D86153">
            <w:pPr>
              <w:spacing w:after="160" w:line="278" w:lineRule="auto"/>
              <w:jc w:val="both"/>
              <w:rPr>
                <w:rFonts w:ascii="Times New Roman" w:hAnsi="Times New Roman" w:cs="Times New Roman"/>
              </w:rPr>
            </w:pPr>
            <w:r w:rsidRPr="00F348A6">
              <w:rPr>
                <w:rFonts w:ascii="Times New Roman" w:hAnsi="Times New Roman" w:cs="Times New Roman"/>
              </w:rPr>
              <w:t>Discharged in satisfactory clinical condition with oral antihypertensive and anticonvulsant therapy and follow-up advice.</w:t>
            </w:r>
          </w:p>
        </w:tc>
      </w:tr>
    </w:tbl>
    <w:p w14:paraId="5846558A" w14:textId="77777777" w:rsidR="00247CEA" w:rsidRPr="00F348A6" w:rsidRDefault="00247CEA" w:rsidP="00143775">
      <w:pPr>
        <w:jc w:val="both"/>
        <w:rPr>
          <w:rFonts w:ascii="Times New Roman" w:hAnsi="Times New Roman" w:cs="Times New Roman"/>
          <w:b/>
          <w:bCs/>
          <w:sz w:val="20"/>
          <w:szCs w:val="20"/>
        </w:rPr>
      </w:pPr>
    </w:p>
    <w:p w14:paraId="1D4C8560" w14:textId="77777777" w:rsidR="002B3F3B" w:rsidRPr="00F348A6" w:rsidRDefault="002B3F3B" w:rsidP="00143775">
      <w:pPr>
        <w:jc w:val="both"/>
        <w:rPr>
          <w:rFonts w:ascii="Times New Roman" w:hAnsi="Times New Roman" w:cs="Times New Roman"/>
          <w:b/>
          <w:bCs/>
          <w:sz w:val="18"/>
          <w:szCs w:val="18"/>
        </w:rPr>
      </w:pPr>
    </w:p>
    <w:p w14:paraId="1BA56495" w14:textId="77777777" w:rsidR="00247CEA" w:rsidRPr="00F348A6" w:rsidRDefault="002B3F3B" w:rsidP="00143775">
      <w:pPr>
        <w:jc w:val="both"/>
        <w:rPr>
          <w:rFonts w:ascii="Times New Roman" w:hAnsi="Times New Roman" w:cs="Times New Roman"/>
          <w:b/>
          <w:bCs/>
          <w:sz w:val="18"/>
          <w:szCs w:val="18"/>
        </w:rPr>
      </w:pPr>
      <w:r w:rsidRPr="00F348A6">
        <w:rPr>
          <w:rFonts w:ascii="Times New Roman" w:hAnsi="Times New Roman" w:cs="Times New Roman"/>
          <w:b/>
          <w:bCs/>
          <w:sz w:val="18"/>
          <w:szCs w:val="18"/>
        </w:rPr>
        <w:t>`</w:t>
      </w:r>
      <w:r w:rsidR="00247CEA" w:rsidRPr="00F348A6">
        <w:rPr>
          <w:rFonts w:ascii="Times New Roman" w:hAnsi="Times New Roman" w:cs="Times New Roman"/>
          <w:b/>
          <w:bCs/>
          <w:sz w:val="18"/>
          <w:szCs w:val="18"/>
        </w:rPr>
        <w:t xml:space="preserve">Figure 1: </w:t>
      </w:r>
      <w:r w:rsidR="00F7516A" w:rsidRPr="00F348A6">
        <w:rPr>
          <w:rFonts w:ascii="Times New Roman" w:hAnsi="Times New Roman" w:cs="Times New Roman"/>
          <w:b/>
          <w:bCs/>
          <w:sz w:val="18"/>
          <w:szCs w:val="18"/>
        </w:rPr>
        <w:t>MRI brain report demonstrating bilateral parieto-occipital T2/FLAIR hyperintensities with additional involvement of the right temporal lobe, left frontal lobe, and posterior limb of the left internal capsule, suggestive of posterior reversible encephalopathy syndrome.</w:t>
      </w:r>
    </w:p>
    <w:p w14:paraId="33105E27" w14:textId="77777777" w:rsidR="00247CEA" w:rsidRPr="00F348A6" w:rsidRDefault="00247CEA" w:rsidP="00143775">
      <w:pPr>
        <w:jc w:val="both"/>
        <w:rPr>
          <w:rFonts w:ascii="Times New Roman" w:hAnsi="Times New Roman" w:cs="Times New Roman"/>
          <w:b/>
          <w:bCs/>
          <w:sz w:val="20"/>
          <w:szCs w:val="20"/>
        </w:rPr>
      </w:pPr>
    </w:p>
    <w:p w14:paraId="15F8D696" w14:textId="77777777" w:rsidR="00570B8F" w:rsidRPr="00F348A6" w:rsidRDefault="00570B8F" w:rsidP="00143775">
      <w:pPr>
        <w:jc w:val="both"/>
        <w:rPr>
          <w:rFonts w:ascii="Times New Roman" w:hAnsi="Times New Roman" w:cs="Times New Roman"/>
          <w:b/>
          <w:bCs/>
          <w:sz w:val="20"/>
          <w:szCs w:val="20"/>
        </w:rPr>
      </w:pPr>
    </w:p>
    <w:p w14:paraId="064CF8DC" w14:textId="77777777" w:rsidR="00B11044" w:rsidRPr="00F348A6" w:rsidRDefault="00B11044" w:rsidP="00143775">
      <w:pPr>
        <w:jc w:val="both"/>
        <w:rPr>
          <w:rFonts w:ascii="Times New Roman" w:hAnsi="Times New Roman" w:cs="Times New Roman"/>
          <w:b/>
          <w:bCs/>
        </w:rPr>
      </w:pPr>
    </w:p>
    <w:p w14:paraId="51F3C485" w14:textId="77777777" w:rsidR="004B41CD" w:rsidRPr="00F348A6" w:rsidRDefault="004B41CD" w:rsidP="00143775">
      <w:pPr>
        <w:jc w:val="both"/>
        <w:rPr>
          <w:rFonts w:ascii="Times New Roman" w:hAnsi="Times New Roman" w:cs="Times New Roman"/>
          <w:b/>
          <w:bCs/>
        </w:rPr>
      </w:pPr>
      <w:r w:rsidRPr="00F348A6">
        <w:rPr>
          <w:rFonts w:ascii="Times New Roman" w:hAnsi="Times New Roman" w:cs="Times New Roman"/>
          <w:b/>
          <w:bCs/>
        </w:rPr>
        <w:t>DISCUSSION:</w:t>
      </w:r>
    </w:p>
    <w:p w14:paraId="0FC70FCA" w14:textId="77777777" w:rsidR="00850DFD" w:rsidRPr="00F348A6" w:rsidRDefault="004B41CD" w:rsidP="00143775">
      <w:pPr>
        <w:jc w:val="both"/>
        <w:rPr>
          <w:rFonts w:ascii="Times New Roman" w:hAnsi="Times New Roman" w:cs="Times New Roman"/>
        </w:rPr>
      </w:pPr>
      <w:r w:rsidRPr="00F348A6">
        <w:t xml:space="preserve">Posterior reversible encephalopathy syndrome (PRES) is a potentially reversible </w:t>
      </w:r>
      <w:proofErr w:type="spellStart"/>
      <w:r w:rsidRPr="00F348A6">
        <w:t>clinicoradiological</w:t>
      </w:r>
      <w:proofErr w:type="spellEnd"/>
      <w:r w:rsidRPr="00F348A6">
        <w:t xml:space="preserve"> syndrome that commonly manifests with headache, seizures, altered mental status, and visual impairment; nausea and vomiting may also occur. Important precipitating conditions include hypertensive disorders, renal failure, autoimmune disorders, cytotoxic drugs, pre-eclampsia, eclampsia, and other pregnancy-related conditions (Anderson et al., 2020; Li et al., 2020). The precise pathobiology of PRES is complex and remains incompletely elucidated (Hinduja, 2020). Cerebral autoregulatory impairment and endothelial injury are thought to play major roles, leading to disruption of blood–brain barrier integrity and vasogenic oedema (Anderson et al., 2020). Endothelial dysfunction associated with a pregnancy-related hypertensive state may further increase capillary permeability and contribute to cerebral swelling (Vuong et al., 2024). In the present case, the neurological presentation occurred 13 days after caesarean section in association with severe hypertension. The available hospital records documented PRES as the final diagnosis; therefore, the case is best described as delayed postpartum PRES associated with severe postpartum hypertension (Vuong et al., 2024; Kouam </w:t>
      </w:r>
      <w:proofErr w:type="spellStart"/>
      <w:r w:rsidRPr="00F348A6">
        <w:t>Djembi</w:t>
      </w:r>
      <w:proofErr w:type="spellEnd"/>
      <w:r w:rsidRPr="00F348A6">
        <w:t xml:space="preserve"> et al., 2025). A 2025 case report likewise emphasised that PRES should be considered in postpartum women with marked neurological symptoms even when characteristic signs of pre-eclampsia are absent (Kouam </w:t>
      </w:r>
      <w:proofErr w:type="spellStart"/>
      <w:r w:rsidRPr="00F348A6">
        <w:t>Djembi</w:t>
      </w:r>
      <w:proofErr w:type="spellEnd"/>
      <w:r w:rsidRPr="00F348A6">
        <w:t xml:space="preserve"> et al., 2025). Our patient presented with severe throbbing occipital headache, recurrent vomiting, dizziness, a generalised tonic–</w:t>
      </w:r>
      <w:proofErr w:type="spellStart"/>
      <w:r w:rsidRPr="00F348A6">
        <w:t>clonic</w:t>
      </w:r>
      <w:proofErr w:type="spellEnd"/>
      <w:r w:rsidRPr="00F348A6">
        <w:t xml:space="preserve"> seizure, and marked hypertension of 180/80 mmHg, which is consistent with the described clinical spectrum of PRES. In a large descriptive analysis of typical and atypical PRES cases, headache, altered mental status, seizures, visual symptoms, nausea, and vomiting were among the most common manifestations (Li et </w:t>
      </w:r>
      <w:r w:rsidRPr="00F348A6">
        <w:lastRenderedPageBreak/>
        <w:t>al., 2020). Seizures may be a prominent or initial neurological feature of PRES (Ullah et al., 2024). However, the differential diagnosis of seizure in a recently postpartum woman includes eclampsia, cerebral venous sinus thrombosis, intracranial haemorrhage, ischaemic stroke, metabolic causes, and primary epilepsy (</w:t>
      </w:r>
      <w:proofErr w:type="spellStart"/>
      <w:r w:rsidRPr="00F348A6">
        <w:t>Mapari</w:t>
      </w:r>
      <w:proofErr w:type="spellEnd"/>
      <w:r w:rsidRPr="00F348A6">
        <w:t xml:space="preserve"> et al., 2024). Therefore, clinical examination alone may be insufficient for diagnosis. Brain MRI was essential for establishing the diagnosis of PRES and demonstrated bilateral parieto-occipital T2/FLAIR hyperintensities, with additional involvement of the right temporal lobe, left frontal lobe, and posterior limb of the left internal capsule. The classic distribution of PRES involves the bilateral parieto-occipital regions; in the present case, the additional frontal, temporal, and internal capsular involvement represented an atypical distribution (Anderson et al., 2020; Li et al., 2020). In a descriptive analysis of 556 cases, MRI abnormalities were also reported in regions outside the parieto-occipital areas, including the basal ganglia, frontal and temporal lobes, brainstem, thalamus, cerebellum, and deep white matter. Such atypical lesions may mimic other disorders and complicate diagnosis (Li et al., 2020). Therefore, the frontal and temporal lobe involvement in our patient is of particular interest. Recent literature has similarly reported postpartum PRES with involvement outside the traditional parieto-occipital distribution (Kouam </w:t>
      </w:r>
      <w:proofErr w:type="spellStart"/>
      <w:r w:rsidRPr="00F348A6">
        <w:t>Djembi</w:t>
      </w:r>
      <w:proofErr w:type="spellEnd"/>
      <w:r w:rsidRPr="00F348A6">
        <w:t xml:space="preserve"> et al., 2025). T2-weighted and FLAIR imaging are important for visualising vasogenic oedema, whereas diffusion-weighted imaging and apparent diffusion coefficient (ADC) mapping can help distinguish vasogenic from cytotoxic oedema and infarction (Anderson et al., 2020; Sheikh-</w:t>
      </w:r>
      <w:proofErr w:type="spellStart"/>
      <w:r w:rsidRPr="00F348A6">
        <w:t>Bahaei</w:t>
      </w:r>
      <w:proofErr w:type="spellEnd"/>
      <w:r w:rsidRPr="00F348A6">
        <w:t xml:space="preserve"> et al., 2020). Laboratory abnormalities in our patient included transient renal dysfunction, mild anaemia, </w:t>
      </w:r>
      <w:proofErr w:type="spellStart"/>
      <w:r w:rsidRPr="00F348A6">
        <w:t>hypoalbuminaemia</w:t>
      </w:r>
      <w:proofErr w:type="spellEnd"/>
      <w:r w:rsidRPr="00F348A6">
        <w:t xml:space="preserve">, and initial neutrophilic leucocytosis. The elevated serum creatinine, which improved during hospitalisation, indicated transient or reversible renal dysfunction. Renal disease and dysfunction are recognised associations of PRES and may occur with disturbed cerebral vascular autoregulation (Anderson et al., 2020; Li et al., 2020). Improvement in renal function alongside neurological recovery further demonstrated the reversibility observed during this admission. Management of PRES focuses on early identification and treatment of the precipitating cause, careful blood pressure control, seizure management, and supportive care (Anderson et al., 2020; Ullah et al., 2024). Treatment is individualised according to the underlying cause and severity of the neurological presentation. In hypertensive patients, blood pressure is reduced in a controlled manner to avoid cerebral hypoperfusion (Ullah et al., 2024). In our patient, recognition of severe hypertension and characteristic MRI findings led to prompt initiation of antihypertensive and anticonvulsant therapy. Thereafter, vomiting and headache resolved, no further seizures occurred, neurological examination remained normal, and renal function improved. This favourable clinical response is consistent with the generally reversible nature of PRES when the underlying cause is recognised and appropriate treatment is provided (Li et al., 2020; Ullah et al., 2024). Nevertheless, severe PRES may be associated with intracranial haemorrhage, cerebral infarction, permanent neurological deficit, or death, and delayed treatment or extensive oedema may increase the risk of irreversible injury (Li et al., 2020). Thus, the term ‘reversible’ should not be interpreted as indicating that the syndrome is invariably mild. The main clinical point of this case is its delayed postpartum presentation on postoperative day 13, with a generalised seizure, severe hypertension, and atypical MRI involvement beyond the classic parieto-occipital regions. Recent postpartum case reports have emphasised early consideration of PRES in women presenting with neurological manifestations after delivery. Our case likewise suggests that PRES should remain a diagnostic consideration in postpartum women presenting several days after caesarean section with neurological manifestations (Vuong et al., 2024; Kouam </w:t>
      </w:r>
      <w:proofErr w:type="spellStart"/>
      <w:r w:rsidRPr="00F348A6">
        <w:t>Djembi</w:t>
      </w:r>
      <w:proofErr w:type="spellEnd"/>
      <w:r w:rsidRPr="00F348A6">
        <w:t xml:space="preserve"> et al., 2025; </w:t>
      </w:r>
      <w:proofErr w:type="spellStart"/>
      <w:r w:rsidRPr="00F348A6">
        <w:t>Mapari</w:t>
      </w:r>
      <w:proofErr w:type="spellEnd"/>
      <w:r w:rsidRPr="00F348A6">
        <w:t xml:space="preserve"> et al., 2024). Postpartum headache and vomiting </w:t>
      </w:r>
      <w:r w:rsidRPr="00F348A6">
        <w:lastRenderedPageBreak/>
        <w:t xml:space="preserve">should therefore be evaluated carefully, particularly when accompanied by hypertension, vomiting, visual disturbances, confusion, or seizure. In such settings, prompt neurological assessment and appropriate brain imaging are important (Kouam </w:t>
      </w:r>
      <w:proofErr w:type="spellStart"/>
      <w:r w:rsidRPr="00F348A6">
        <w:t>Djembi</w:t>
      </w:r>
      <w:proofErr w:type="spellEnd"/>
      <w:r w:rsidRPr="00F348A6">
        <w:t xml:space="preserve"> et al., 2025; </w:t>
      </w:r>
      <w:proofErr w:type="spellStart"/>
      <w:r w:rsidRPr="00F348A6">
        <w:t>Mapari</w:t>
      </w:r>
      <w:proofErr w:type="spellEnd"/>
      <w:r w:rsidRPr="00F348A6">
        <w:t xml:space="preserve"> et al., 2024). Early MR imaging can support diagnosis while helping to distinguish PRES from other potentially serious postpartum neurological conditions. In summary, this case supports maintaining clinical suspicion for postpartum PRES, obtaining timely neuroimaging, excluding important mimics such as cerebral venous thrombosis, and promptly managing severe blood pressure elevation and seizures. The complete clinical recovery observed during admission following early treatment underscores the importance of timely recognition of this potentially reversible neurological emergency before irreversible brain injury develops.</w:t>
      </w:r>
    </w:p>
    <w:p w14:paraId="62B57A51" w14:textId="77777777" w:rsidR="00FE3E41" w:rsidRPr="00F348A6" w:rsidRDefault="00FE3E41" w:rsidP="00143775">
      <w:pPr>
        <w:jc w:val="both"/>
        <w:rPr>
          <w:rFonts w:ascii="Times New Roman" w:hAnsi="Times New Roman" w:cs="Times New Roman"/>
        </w:rPr>
      </w:pPr>
    </w:p>
    <w:p w14:paraId="67226FA2" w14:textId="77777777" w:rsidR="00FE3E41" w:rsidRPr="00F348A6" w:rsidRDefault="00FE3E41" w:rsidP="00143775">
      <w:pPr>
        <w:jc w:val="both"/>
        <w:rPr>
          <w:rFonts w:ascii="Times New Roman" w:hAnsi="Times New Roman" w:cs="Times New Roman"/>
          <w:b/>
          <w:bCs/>
        </w:rPr>
      </w:pPr>
      <w:r w:rsidRPr="00F348A6">
        <w:rPr>
          <w:rFonts w:ascii="Times New Roman" w:hAnsi="Times New Roman" w:cs="Times New Roman"/>
          <w:b/>
          <w:bCs/>
        </w:rPr>
        <w:t>CONCLUSION:</w:t>
      </w:r>
    </w:p>
    <w:p w14:paraId="3ADDAB95" w14:textId="77777777" w:rsidR="00B8611D" w:rsidRDefault="00B8611D" w:rsidP="00FE3E41">
      <w:pPr>
        <w:jc w:val="both"/>
        <w:rPr>
          <w:rFonts w:ascii="Times New Roman" w:hAnsi="Times New Roman" w:cs="Times New Roman"/>
          <w:b/>
          <w:bCs/>
        </w:rPr>
      </w:pPr>
      <w:r>
        <w:t>This case demonstrates that posterior reversible encephalopathy syndrome should remain an important diagnostic consideration in postpartum women who develop severe headache, vomiting, hypertension, altered sensorium, or seizures, even when neurological symptoms arise several days after delivery. The presentation on postoperative day 13 after caesarean section, together with severe hypertension, a generalised tonic–</w:t>
      </w:r>
      <w:proofErr w:type="spellStart"/>
      <w:r>
        <w:t>clonic</w:t>
      </w:r>
      <w:proofErr w:type="spellEnd"/>
      <w:r>
        <w:t xml:space="preserve"> seizure, and MRI abnormalities extending beyond the classic parieto-occipital regions, illustrates the diagnostic complexity of delayed postpartum PRES. Brain MRI was central to establishing the diagnosis, while MR venography helped exclude cerebral venous thrombosis, an important postpartum neurological differential diagnosis. The patient improved clinically following antihypertensive treatment, anticonvulsant therapy with levetiracetam, supportive management, and close neurological monitoring, with resolution of headache and vomiting, absence of recurrent seizures, normalisation of blood pressure, and improvement in renal function during admission. The case supports timely neurological assessment and appropriate neuroimaging in postpartum patients with acute neurological symptoms so that PRES can be recognised and managed promptly while other serious causes are excluded.</w:t>
      </w:r>
      <w:r w:rsidRPr="00F348A6">
        <w:rPr>
          <w:rFonts w:ascii="Times New Roman" w:hAnsi="Times New Roman" w:cs="Times New Roman"/>
          <w:b/>
          <w:bCs/>
        </w:rPr>
        <w:t xml:space="preserve"> </w:t>
      </w:r>
    </w:p>
    <w:p w14:paraId="32D8AE08" w14:textId="7D121C89" w:rsidR="00FE3E41" w:rsidRPr="00F348A6" w:rsidRDefault="00442519" w:rsidP="00FE3E41">
      <w:pPr>
        <w:jc w:val="both"/>
        <w:rPr>
          <w:rFonts w:ascii="Times New Roman" w:hAnsi="Times New Roman" w:cs="Times New Roman"/>
          <w:b/>
          <w:bCs/>
        </w:rPr>
      </w:pPr>
      <w:r w:rsidRPr="00F348A6">
        <w:rPr>
          <w:rFonts w:ascii="Times New Roman" w:hAnsi="Times New Roman" w:cs="Times New Roman"/>
          <w:b/>
          <w:bCs/>
        </w:rPr>
        <w:t>LIMITATIONS:</w:t>
      </w:r>
    </w:p>
    <w:p w14:paraId="3D993F86" w14:textId="77777777" w:rsidR="00442519" w:rsidRPr="00F348A6" w:rsidRDefault="00EB7471" w:rsidP="00442519">
      <w:pPr>
        <w:jc w:val="both"/>
        <w:rPr>
          <w:rFonts w:ascii="Times New Roman" w:hAnsi="Times New Roman" w:cs="Times New Roman"/>
        </w:rPr>
      </w:pPr>
      <w:r w:rsidRPr="00F348A6">
        <w:t>This case report has several limitations. First, it describes a single patient; therefore, the clinical presentation and favourable outcome cannot be generalised to all patients with postpartum PRES. Second, although the patient demonstrated characteristic MRI findings and clinical improvement, follow-up neuroimaging confirming radiological resolution was not available. Third, the independent contributions of postpartum status and severe hypertension to the development of PRES cannot be determined from a single case. Finally, long-term neurological follow-up was unavailable, limiting assessment of recurrence risk and long-term prognosis.</w:t>
      </w:r>
    </w:p>
    <w:p w14:paraId="3B26D09F" w14:textId="77777777" w:rsidR="004A78ED" w:rsidRPr="00F348A6" w:rsidRDefault="004A78ED" w:rsidP="00442519">
      <w:pPr>
        <w:jc w:val="both"/>
        <w:rPr>
          <w:rFonts w:ascii="Times New Roman" w:hAnsi="Times New Roman" w:cs="Times New Roman"/>
        </w:rPr>
      </w:pPr>
    </w:p>
    <w:p w14:paraId="5B1E2E8A" w14:textId="77777777" w:rsidR="00FA1E2D" w:rsidRPr="00F348A6" w:rsidRDefault="00FA1E2D" w:rsidP="00442519">
      <w:pPr>
        <w:jc w:val="both"/>
        <w:rPr>
          <w:rFonts w:ascii="Times New Roman" w:hAnsi="Times New Roman" w:cs="Times New Roman"/>
        </w:rPr>
      </w:pPr>
    </w:p>
    <w:p w14:paraId="2FEC489D" w14:textId="794714EA" w:rsidR="00442519" w:rsidRPr="00F348A6" w:rsidRDefault="00442519" w:rsidP="00442519">
      <w:pPr>
        <w:jc w:val="both"/>
        <w:rPr>
          <w:rFonts w:ascii="Times New Roman" w:hAnsi="Times New Roman" w:cs="Times New Roman"/>
          <w:b/>
          <w:bCs/>
        </w:rPr>
      </w:pPr>
      <w:r w:rsidRPr="00F348A6">
        <w:rPr>
          <w:rFonts w:ascii="Times New Roman" w:hAnsi="Times New Roman" w:cs="Times New Roman"/>
          <w:b/>
          <w:bCs/>
        </w:rPr>
        <w:t xml:space="preserve">CONSENT </w:t>
      </w:r>
    </w:p>
    <w:p w14:paraId="16AA78C4" w14:textId="77777777" w:rsidR="00442519" w:rsidRPr="00F348A6" w:rsidRDefault="00442519" w:rsidP="00442519">
      <w:pPr>
        <w:jc w:val="both"/>
        <w:rPr>
          <w:rFonts w:ascii="Times New Roman" w:hAnsi="Times New Roman" w:cs="Times New Roman"/>
        </w:rPr>
      </w:pPr>
      <w:r w:rsidRPr="00F348A6">
        <w:rPr>
          <w:rFonts w:ascii="Times New Roman" w:hAnsi="Times New Roman" w:cs="Times New Roman"/>
        </w:rPr>
        <w:t>Written informed consent for publication of the patient’s clinical information and anonymized clinical images was obtained from the patient.</w:t>
      </w:r>
    </w:p>
    <w:p w14:paraId="24E7C6DB" w14:textId="77777777" w:rsidR="00EB7471" w:rsidRPr="00F348A6" w:rsidRDefault="00EB7471" w:rsidP="00442519">
      <w:pPr>
        <w:jc w:val="both"/>
        <w:rPr>
          <w:rFonts w:ascii="Times New Roman" w:hAnsi="Times New Roman" w:cs="Times New Roman"/>
        </w:rPr>
      </w:pPr>
    </w:p>
    <w:p w14:paraId="6AC47641" w14:textId="77777777" w:rsidR="00442519" w:rsidRPr="00F348A6" w:rsidRDefault="00442519" w:rsidP="00442519">
      <w:pPr>
        <w:jc w:val="both"/>
        <w:rPr>
          <w:rFonts w:ascii="Times New Roman" w:hAnsi="Times New Roman" w:cs="Times New Roman"/>
        </w:rPr>
      </w:pPr>
    </w:p>
    <w:p w14:paraId="0DF98C62" w14:textId="77777777" w:rsidR="00442519" w:rsidRPr="00F348A6" w:rsidRDefault="00442519" w:rsidP="00442519">
      <w:pPr>
        <w:jc w:val="both"/>
        <w:rPr>
          <w:rFonts w:ascii="Times New Roman" w:hAnsi="Times New Roman" w:cs="Times New Roman"/>
          <w:b/>
          <w:bCs/>
        </w:rPr>
      </w:pPr>
      <w:r w:rsidRPr="00F348A6">
        <w:rPr>
          <w:rFonts w:ascii="Times New Roman" w:hAnsi="Times New Roman" w:cs="Times New Roman"/>
          <w:b/>
          <w:bCs/>
        </w:rPr>
        <w:t>ETHICS APPROVAL:</w:t>
      </w:r>
    </w:p>
    <w:p w14:paraId="398B4D50" w14:textId="77777777" w:rsidR="00442519" w:rsidRPr="00F348A6" w:rsidRDefault="00442519" w:rsidP="00442519">
      <w:pPr>
        <w:jc w:val="both"/>
        <w:rPr>
          <w:rFonts w:ascii="Times New Roman" w:hAnsi="Times New Roman" w:cs="Times New Roman"/>
        </w:rPr>
      </w:pPr>
      <w:r w:rsidRPr="00F348A6">
        <w:rPr>
          <w:rFonts w:ascii="Times New Roman" w:hAnsi="Times New Roman" w:cs="Times New Roman"/>
        </w:rPr>
        <w:t xml:space="preserve">According to institutional policy, ethics committee approval was not required for publication of this single case report. </w:t>
      </w:r>
    </w:p>
    <w:p w14:paraId="3021DB5E" w14:textId="77777777" w:rsidR="00442519" w:rsidRPr="00F348A6" w:rsidRDefault="00442519" w:rsidP="00442519">
      <w:pPr>
        <w:jc w:val="both"/>
        <w:rPr>
          <w:rFonts w:ascii="Times New Roman" w:hAnsi="Times New Roman" w:cs="Times New Roman"/>
        </w:rPr>
      </w:pPr>
    </w:p>
    <w:p w14:paraId="1DE96ECE" w14:textId="77777777" w:rsidR="009E5306" w:rsidRPr="00F348A6" w:rsidRDefault="009E5306" w:rsidP="009E5306">
      <w:pPr>
        <w:shd w:val="clear" w:color="auto" w:fill="FFFFFF"/>
        <w:spacing w:after="0" w:line="240" w:lineRule="auto"/>
        <w:rPr>
          <w:rFonts w:ascii="Times New Roman" w:eastAsia="Times New Roman" w:hAnsi="Times New Roman" w:cs="Times New Roman"/>
          <w:color w:val="222222"/>
          <w:lang w:eastAsia="en-IN"/>
        </w:rPr>
      </w:pPr>
      <w:bookmarkStart w:id="0" w:name="_Hlk232854992"/>
      <w:bookmarkStart w:id="1" w:name="_Hlk237857116"/>
    </w:p>
    <w:p w14:paraId="1F4C9D85" w14:textId="77777777" w:rsidR="009E5306" w:rsidRPr="00F348A6" w:rsidRDefault="009E5306" w:rsidP="009E5306">
      <w:pPr>
        <w:spacing w:after="0" w:line="240" w:lineRule="auto"/>
        <w:rPr>
          <w:rFonts w:ascii="Times New Roman" w:hAnsi="Times New Roman" w:cs="Times New Roman"/>
          <w:b/>
          <w:sz w:val="20"/>
          <w:szCs w:val="20"/>
        </w:rPr>
      </w:pPr>
      <w:bookmarkStart w:id="2" w:name="_Hlk237856463"/>
      <w:bookmarkEnd w:id="0"/>
      <w:r w:rsidRPr="00F348A6">
        <w:rPr>
          <w:rFonts w:ascii="Times New Roman" w:hAnsi="Times New Roman" w:cs="Times New Roman"/>
          <w:b/>
          <w:sz w:val="20"/>
          <w:szCs w:val="20"/>
        </w:rPr>
        <w:t>Declaration of AI Use</w:t>
      </w:r>
    </w:p>
    <w:p w14:paraId="5943B222" w14:textId="77777777" w:rsidR="009E5306" w:rsidRPr="00F348A6" w:rsidRDefault="009E5306" w:rsidP="009E5306">
      <w:pPr>
        <w:spacing w:after="0" w:line="240" w:lineRule="auto"/>
        <w:rPr>
          <w:rFonts w:ascii="Times New Roman" w:hAnsi="Times New Roman" w:cs="Times New Roman"/>
          <w:sz w:val="20"/>
          <w:szCs w:val="20"/>
        </w:rPr>
      </w:pPr>
    </w:p>
    <w:p w14:paraId="1515B2BF" w14:textId="77777777" w:rsidR="009E5306" w:rsidRPr="00F348A6" w:rsidRDefault="009E5306" w:rsidP="009E5306">
      <w:pPr>
        <w:spacing w:after="0" w:line="240" w:lineRule="auto"/>
        <w:rPr>
          <w:rFonts w:ascii="Times New Roman" w:hAnsi="Times New Roman" w:cs="Times New Roman"/>
          <w:sz w:val="20"/>
          <w:szCs w:val="20"/>
        </w:rPr>
      </w:pPr>
      <w:bookmarkStart w:id="3" w:name="_Hlk237862032"/>
      <w:r w:rsidRPr="00F348A6">
        <w:rPr>
          <w:rFonts w:ascii="Times New Roman" w:hAnsi="Times New Roman" w:cs="Times New Roman"/>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bookmarkEnd w:id="1"/>
    <w:bookmarkEnd w:id="2"/>
    <w:bookmarkEnd w:id="3"/>
    <w:p w14:paraId="7C770E8B" w14:textId="77777777" w:rsidR="00442519" w:rsidRPr="00F348A6" w:rsidRDefault="00442519" w:rsidP="00442519">
      <w:pPr>
        <w:jc w:val="both"/>
        <w:rPr>
          <w:rFonts w:ascii="Times New Roman" w:hAnsi="Times New Roman" w:cs="Times New Roman"/>
          <w:b/>
          <w:bCs/>
        </w:rPr>
      </w:pPr>
    </w:p>
    <w:p w14:paraId="7E75DD6F" w14:textId="77777777" w:rsidR="00442519" w:rsidRPr="00F348A6" w:rsidRDefault="00442519" w:rsidP="00FE3E41">
      <w:pPr>
        <w:jc w:val="both"/>
        <w:rPr>
          <w:rFonts w:ascii="Times New Roman" w:hAnsi="Times New Roman" w:cs="Times New Roman"/>
        </w:rPr>
      </w:pPr>
    </w:p>
    <w:p w14:paraId="0ABCDDBE" w14:textId="77777777" w:rsidR="00B81D1F" w:rsidRPr="00F348A6" w:rsidRDefault="00B81D1F" w:rsidP="00143775">
      <w:pPr>
        <w:jc w:val="both"/>
        <w:rPr>
          <w:rFonts w:ascii="Times New Roman" w:hAnsi="Times New Roman" w:cs="Times New Roman"/>
          <w:b/>
          <w:bCs/>
        </w:rPr>
      </w:pPr>
    </w:p>
    <w:p w14:paraId="0A938397" w14:textId="77777777" w:rsidR="00273A3D" w:rsidRPr="00F348A6" w:rsidRDefault="00273A3D" w:rsidP="00143775">
      <w:pPr>
        <w:jc w:val="both"/>
        <w:rPr>
          <w:rFonts w:ascii="Times New Roman" w:hAnsi="Times New Roman" w:cs="Times New Roman"/>
          <w:b/>
          <w:bCs/>
        </w:rPr>
      </w:pPr>
    </w:p>
    <w:p w14:paraId="582BE8DC" w14:textId="77777777" w:rsidR="00402981" w:rsidRPr="00F348A6" w:rsidRDefault="00801043" w:rsidP="00143775">
      <w:pPr>
        <w:jc w:val="both"/>
        <w:rPr>
          <w:rFonts w:ascii="Times New Roman" w:hAnsi="Times New Roman" w:cs="Times New Roman"/>
          <w:b/>
          <w:bCs/>
        </w:rPr>
      </w:pPr>
      <w:r w:rsidRPr="00F348A6">
        <w:rPr>
          <w:rFonts w:ascii="Times New Roman" w:hAnsi="Times New Roman" w:cs="Times New Roman"/>
          <w:b/>
          <w:bCs/>
        </w:rPr>
        <w:t>REFERENCE:</w:t>
      </w:r>
    </w:p>
    <w:p w14:paraId="2B5E4479" w14:textId="77777777" w:rsidR="001D133E" w:rsidRPr="001D133E" w:rsidRDefault="001D133E" w:rsidP="001D133E">
      <w:pPr>
        <w:spacing w:before="100" w:beforeAutospacing="1" w:after="100" w:afterAutospacing="1" w:line="240" w:lineRule="auto"/>
        <w:ind w:left="540" w:hanging="540"/>
        <w:jc w:val="both"/>
        <w:rPr>
          <w:rFonts w:ascii="Times New Roman" w:eastAsia="Times New Roman" w:hAnsi="Times New Roman" w:cs="Times New Roman"/>
          <w:kern w:val="0"/>
          <w:lang w:val="nl-BE"/>
          <w14:ligatures w14:val="none"/>
        </w:rPr>
      </w:pPr>
      <w:r w:rsidRPr="001D133E">
        <w:rPr>
          <w:rFonts w:ascii="Times New Roman" w:eastAsia="Times New Roman" w:hAnsi="Times New Roman" w:cs="Times New Roman"/>
          <w:kern w:val="0"/>
          <w:lang w:val="en-US"/>
          <w14:ligatures w14:val="none"/>
        </w:rPr>
        <w:t>Anderson, R.-C., Patel, V., Sheikh-</w:t>
      </w:r>
      <w:proofErr w:type="spellStart"/>
      <w:r w:rsidRPr="001D133E">
        <w:rPr>
          <w:rFonts w:ascii="Times New Roman" w:eastAsia="Times New Roman" w:hAnsi="Times New Roman" w:cs="Times New Roman"/>
          <w:kern w:val="0"/>
          <w:lang w:val="en-US"/>
          <w14:ligatures w14:val="none"/>
        </w:rPr>
        <w:t>Bahaei</w:t>
      </w:r>
      <w:proofErr w:type="spellEnd"/>
      <w:r w:rsidRPr="001D133E">
        <w:rPr>
          <w:rFonts w:ascii="Times New Roman" w:eastAsia="Times New Roman" w:hAnsi="Times New Roman" w:cs="Times New Roman"/>
          <w:kern w:val="0"/>
          <w:lang w:val="en-US"/>
          <w14:ligatures w14:val="none"/>
        </w:rPr>
        <w:t xml:space="preserve">, N., Liu, C. S. J., Rajamohan, A. G., Shiroishi, M. S., Kim, P. E., Go, J. L., Lerner, A., &amp; Acharya, J. (2020). Posterior reversible encephalopathy syndrome (PRES): Pathophysiology and neuro-imaging. </w:t>
      </w:r>
      <w:r w:rsidRPr="001D133E">
        <w:rPr>
          <w:rFonts w:ascii="Times New Roman" w:eastAsia="Times New Roman" w:hAnsi="Times New Roman" w:cs="Times New Roman"/>
          <w:i/>
          <w:iCs/>
          <w:kern w:val="0"/>
          <w:lang w:val="en-US"/>
          <w14:ligatures w14:val="none"/>
        </w:rPr>
        <w:t>Frontiers in Neurology, 11</w:t>
      </w:r>
      <w:r w:rsidRPr="001D133E">
        <w:rPr>
          <w:rFonts w:ascii="Times New Roman" w:eastAsia="Times New Roman" w:hAnsi="Times New Roman" w:cs="Times New Roman"/>
          <w:kern w:val="0"/>
          <w:lang w:val="en-US"/>
          <w14:ligatures w14:val="none"/>
        </w:rPr>
        <w:t xml:space="preserve">, 463. </w:t>
      </w:r>
      <w:hyperlink r:id="rId8" w:tgtFrame="_new" w:history="1">
        <w:r w:rsidRPr="001D133E">
          <w:rPr>
            <w:rFonts w:ascii="Times New Roman" w:eastAsia="Times New Roman" w:hAnsi="Times New Roman" w:cs="Times New Roman"/>
            <w:color w:val="0000FF"/>
            <w:kern w:val="0"/>
            <w:u w:val="single"/>
            <w:lang w:val="nl-BE"/>
            <w14:ligatures w14:val="none"/>
          </w:rPr>
          <w:t>https://doi.org/10.3389/fneur.2020.00463</w:t>
        </w:r>
      </w:hyperlink>
    </w:p>
    <w:p w14:paraId="5A758F5A" w14:textId="77777777" w:rsidR="001D133E" w:rsidRPr="001D133E" w:rsidRDefault="001D133E" w:rsidP="001D133E">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1D133E">
        <w:rPr>
          <w:rFonts w:ascii="Times New Roman" w:eastAsia="Times New Roman" w:hAnsi="Times New Roman" w:cs="Times New Roman"/>
          <w:kern w:val="0"/>
          <w:lang w:val="nl-BE"/>
          <w14:ligatures w14:val="none"/>
        </w:rPr>
        <w:t xml:space="preserve">Ando, Y., Ono, Y., Sano, A., Fujita, N., &amp; Ono, S. (2022). </w:t>
      </w:r>
      <w:r w:rsidRPr="001D133E">
        <w:rPr>
          <w:rFonts w:ascii="Times New Roman" w:eastAsia="Times New Roman" w:hAnsi="Times New Roman" w:cs="Times New Roman"/>
          <w:kern w:val="0"/>
          <w:lang w:val="en-US"/>
          <w14:ligatures w14:val="none"/>
        </w:rPr>
        <w:t xml:space="preserve">Posterior reversible encephalopathy syndrome: A review of the literature. </w:t>
      </w:r>
      <w:r w:rsidRPr="001D133E">
        <w:rPr>
          <w:rFonts w:ascii="Times New Roman" w:eastAsia="Times New Roman" w:hAnsi="Times New Roman" w:cs="Times New Roman"/>
          <w:i/>
          <w:iCs/>
          <w:kern w:val="0"/>
          <w:lang w:val="en-US"/>
          <w14:ligatures w14:val="none"/>
        </w:rPr>
        <w:t>Internal Medicine, 61</w:t>
      </w:r>
      <w:r w:rsidRPr="001D133E">
        <w:rPr>
          <w:rFonts w:ascii="Times New Roman" w:eastAsia="Times New Roman" w:hAnsi="Times New Roman" w:cs="Times New Roman"/>
          <w:kern w:val="0"/>
          <w:lang w:val="en-US"/>
          <w14:ligatures w14:val="none"/>
        </w:rPr>
        <w:t xml:space="preserve">(2), 135–141. </w:t>
      </w:r>
      <w:hyperlink r:id="rId9" w:tgtFrame="_new" w:history="1">
        <w:r w:rsidRPr="001D133E">
          <w:rPr>
            <w:rFonts w:ascii="Times New Roman" w:eastAsia="Times New Roman" w:hAnsi="Times New Roman" w:cs="Times New Roman"/>
            <w:color w:val="0000FF"/>
            <w:kern w:val="0"/>
            <w:u w:val="single"/>
            <w:lang w:val="en-US"/>
            <w14:ligatures w14:val="none"/>
          </w:rPr>
          <w:t>https://doi.org/10.2169/internalmedicine.7520-21</w:t>
        </w:r>
      </w:hyperlink>
    </w:p>
    <w:p w14:paraId="6B094EC7" w14:textId="77777777" w:rsidR="001D133E" w:rsidRPr="001D133E" w:rsidRDefault="001D133E" w:rsidP="001D133E">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1D133E">
        <w:rPr>
          <w:rFonts w:ascii="Times New Roman" w:eastAsia="Times New Roman" w:hAnsi="Times New Roman" w:cs="Times New Roman"/>
          <w:kern w:val="0"/>
          <w:lang w:val="en-US"/>
          <w14:ligatures w14:val="none"/>
        </w:rPr>
        <w:t xml:space="preserve">Arora, P., Shukla, P., &amp; Kaushik, R. (2024). An epidemiological survey on the assessment of risk factors during pregnancy. </w:t>
      </w:r>
      <w:r w:rsidRPr="001D133E">
        <w:rPr>
          <w:rFonts w:ascii="Times New Roman" w:eastAsia="Times New Roman" w:hAnsi="Times New Roman" w:cs="Times New Roman"/>
          <w:i/>
          <w:iCs/>
          <w:kern w:val="0"/>
          <w:lang w:val="en-US"/>
          <w14:ligatures w14:val="none"/>
        </w:rPr>
        <w:t>Asian Journal of Current Research, 9</w:t>
      </w:r>
      <w:r w:rsidRPr="001D133E">
        <w:rPr>
          <w:rFonts w:ascii="Times New Roman" w:eastAsia="Times New Roman" w:hAnsi="Times New Roman" w:cs="Times New Roman"/>
          <w:kern w:val="0"/>
          <w:lang w:val="en-US"/>
          <w14:ligatures w14:val="none"/>
        </w:rPr>
        <w:t xml:space="preserve">(2), 128–149. </w:t>
      </w:r>
      <w:hyperlink r:id="rId10" w:tgtFrame="_new" w:history="1">
        <w:r w:rsidRPr="001D133E">
          <w:rPr>
            <w:rFonts w:ascii="Times New Roman" w:eastAsia="Times New Roman" w:hAnsi="Times New Roman" w:cs="Times New Roman"/>
            <w:color w:val="0000FF"/>
            <w:kern w:val="0"/>
            <w:u w:val="single"/>
            <w:lang w:val="en-US"/>
            <w14:ligatures w14:val="none"/>
          </w:rPr>
          <w:t>https://doi.org/10.56557/ajocr/2024/v9i28631</w:t>
        </w:r>
      </w:hyperlink>
    </w:p>
    <w:p w14:paraId="5F201563" w14:textId="77777777" w:rsidR="001D133E" w:rsidRPr="001D133E" w:rsidRDefault="001D133E" w:rsidP="001D133E">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1D133E">
        <w:rPr>
          <w:rFonts w:ascii="Times New Roman" w:eastAsia="Times New Roman" w:hAnsi="Times New Roman" w:cs="Times New Roman"/>
          <w:kern w:val="0"/>
          <w:lang w:val="en-US"/>
          <w14:ligatures w14:val="none"/>
        </w:rPr>
        <w:t xml:space="preserve">Fugate, J. E., Hawkes, M. A., &amp; </w:t>
      </w:r>
      <w:proofErr w:type="spellStart"/>
      <w:r w:rsidRPr="001D133E">
        <w:rPr>
          <w:rFonts w:ascii="Times New Roman" w:eastAsia="Times New Roman" w:hAnsi="Times New Roman" w:cs="Times New Roman"/>
          <w:kern w:val="0"/>
          <w:lang w:val="en-US"/>
          <w14:ligatures w14:val="none"/>
        </w:rPr>
        <w:t>Rabinstein</w:t>
      </w:r>
      <w:proofErr w:type="spellEnd"/>
      <w:r w:rsidRPr="001D133E">
        <w:rPr>
          <w:rFonts w:ascii="Times New Roman" w:eastAsia="Times New Roman" w:hAnsi="Times New Roman" w:cs="Times New Roman"/>
          <w:kern w:val="0"/>
          <w:lang w:val="en-US"/>
          <w14:ligatures w14:val="none"/>
        </w:rPr>
        <w:t xml:space="preserve">, A. A. (2025). Posterior reversible encephalopathy syndrome: Evolving insights in diagnosis, management, and outcomes. </w:t>
      </w:r>
      <w:r w:rsidRPr="001D133E">
        <w:rPr>
          <w:rFonts w:ascii="Times New Roman" w:eastAsia="Times New Roman" w:hAnsi="Times New Roman" w:cs="Times New Roman"/>
          <w:i/>
          <w:iCs/>
          <w:kern w:val="0"/>
          <w:lang w:val="en-US"/>
          <w14:ligatures w14:val="none"/>
        </w:rPr>
        <w:t>The Lancet Neurology, 24</w:t>
      </w:r>
      <w:r w:rsidRPr="001D133E">
        <w:rPr>
          <w:rFonts w:ascii="Times New Roman" w:eastAsia="Times New Roman" w:hAnsi="Times New Roman" w:cs="Times New Roman"/>
          <w:kern w:val="0"/>
          <w:lang w:val="en-US"/>
          <w14:ligatures w14:val="none"/>
        </w:rPr>
        <w:t>(9), 789–800. https://doi.org/10.1016/S1474-4422(25)00232-7</w:t>
      </w:r>
    </w:p>
    <w:p w14:paraId="6CE162C9" w14:textId="77777777" w:rsidR="001D133E" w:rsidRPr="001D133E" w:rsidRDefault="001D133E" w:rsidP="001D133E">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proofErr w:type="spellStart"/>
      <w:r w:rsidRPr="001D133E">
        <w:rPr>
          <w:rFonts w:ascii="Times New Roman" w:eastAsia="Times New Roman" w:hAnsi="Times New Roman" w:cs="Times New Roman"/>
          <w:kern w:val="0"/>
          <w:lang w:val="en-US"/>
          <w14:ligatures w14:val="none"/>
        </w:rPr>
        <w:t>Garneni</w:t>
      </w:r>
      <w:proofErr w:type="spellEnd"/>
      <w:r w:rsidRPr="001D133E">
        <w:rPr>
          <w:rFonts w:ascii="Times New Roman" w:eastAsia="Times New Roman" w:hAnsi="Times New Roman" w:cs="Times New Roman"/>
          <w:kern w:val="0"/>
          <w:lang w:val="en-US"/>
          <w14:ligatures w14:val="none"/>
        </w:rPr>
        <w:t xml:space="preserve">, M., Huang, A., </w:t>
      </w:r>
      <w:proofErr w:type="spellStart"/>
      <w:r w:rsidRPr="001D133E">
        <w:rPr>
          <w:rFonts w:ascii="Times New Roman" w:eastAsia="Times New Roman" w:hAnsi="Times New Roman" w:cs="Times New Roman"/>
          <w:kern w:val="0"/>
          <w:lang w:val="en-US"/>
          <w14:ligatures w14:val="none"/>
        </w:rPr>
        <w:t>Obionu</w:t>
      </w:r>
      <w:proofErr w:type="spellEnd"/>
      <w:r w:rsidRPr="001D133E">
        <w:rPr>
          <w:rFonts w:ascii="Times New Roman" w:eastAsia="Times New Roman" w:hAnsi="Times New Roman" w:cs="Times New Roman"/>
          <w:kern w:val="0"/>
          <w:lang w:val="en-US"/>
          <w14:ligatures w14:val="none"/>
        </w:rPr>
        <w:t xml:space="preserve">, I., &amp; Mahmoud, Z. (2026). Persistent and de novo postpartum hypertension: A scoping review of pathophysiology, evaluation, and management. </w:t>
      </w:r>
      <w:proofErr w:type="spellStart"/>
      <w:r w:rsidRPr="001D133E">
        <w:rPr>
          <w:rFonts w:ascii="Times New Roman" w:eastAsia="Times New Roman" w:hAnsi="Times New Roman" w:cs="Times New Roman"/>
          <w:i/>
          <w:iCs/>
          <w:kern w:val="0"/>
          <w:lang w:val="en-US"/>
          <w14:ligatures w14:val="none"/>
        </w:rPr>
        <w:t>npj</w:t>
      </w:r>
      <w:proofErr w:type="spellEnd"/>
      <w:r w:rsidRPr="001D133E">
        <w:rPr>
          <w:rFonts w:ascii="Times New Roman" w:eastAsia="Times New Roman" w:hAnsi="Times New Roman" w:cs="Times New Roman"/>
          <w:i/>
          <w:iCs/>
          <w:kern w:val="0"/>
          <w:lang w:val="en-US"/>
          <w14:ligatures w14:val="none"/>
        </w:rPr>
        <w:t xml:space="preserve"> Cardiovascular Health, 3</w:t>
      </w:r>
      <w:r w:rsidRPr="001D133E">
        <w:rPr>
          <w:rFonts w:ascii="Times New Roman" w:eastAsia="Times New Roman" w:hAnsi="Times New Roman" w:cs="Times New Roman"/>
          <w:kern w:val="0"/>
          <w:lang w:val="en-US"/>
          <w14:ligatures w14:val="none"/>
        </w:rPr>
        <w:t xml:space="preserve">, 25. </w:t>
      </w:r>
      <w:hyperlink r:id="rId11" w:tgtFrame="_new" w:history="1">
        <w:r w:rsidRPr="001D133E">
          <w:rPr>
            <w:rFonts w:ascii="Times New Roman" w:eastAsia="Times New Roman" w:hAnsi="Times New Roman" w:cs="Times New Roman"/>
            <w:color w:val="0000FF"/>
            <w:kern w:val="0"/>
            <w:u w:val="single"/>
            <w:lang w:val="en-US"/>
            <w14:ligatures w14:val="none"/>
          </w:rPr>
          <w:t>https://doi.org/10.1038/s44325-026-00120-x</w:t>
        </w:r>
      </w:hyperlink>
    </w:p>
    <w:p w14:paraId="1D97A179" w14:textId="77777777" w:rsidR="001D133E" w:rsidRPr="001D133E" w:rsidRDefault="001D133E" w:rsidP="001D133E">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1D133E">
        <w:rPr>
          <w:rFonts w:ascii="Times New Roman" w:eastAsia="Times New Roman" w:hAnsi="Times New Roman" w:cs="Times New Roman"/>
          <w:kern w:val="0"/>
          <w:lang w:val="en-US"/>
          <w14:ligatures w14:val="none"/>
        </w:rPr>
        <w:t xml:space="preserve">Hinduja, A. (2020). Posterior reversible encephalopathy syndrome: Clinical features and outcome. </w:t>
      </w:r>
      <w:r w:rsidRPr="001D133E">
        <w:rPr>
          <w:rFonts w:ascii="Times New Roman" w:eastAsia="Times New Roman" w:hAnsi="Times New Roman" w:cs="Times New Roman"/>
          <w:i/>
          <w:iCs/>
          <w:kern w:val="0"/>
          <w:lang w:val="en-US"/>
          <w14:ligatures w14:val="none"/>
        </w:rPr>
        <w:t>Frontiers in Neurology, 11</w:t>
      </w:r>
      <w:r w:rsidRPr="001D133E">
        <w:rPr>
          <w:rFonts w:ascii="Times New Roman" w:eastAsia="Times New Roman" w:hAnsi="Times New Roman" w:cs="Times New Roman"/>
          <w:kern w:val="0"/>
          <w:lang w:val="en-US"/>
          <w14:ligatures w14:val="none"/>
        </w:rPr>
        <w:t xml:space="preserve">, 71. </w:t>
      </w:r>
      <w:hyperlink r:id="rId12" w:tgtFrame="_new" w:history="1">
        <w:r w:rsidRPr="001D133E">
          <w:rPr>
            <w:rFonts w:ascii="Times New Roman" w:eastAsia="Times New Roman" w:hAnsi="Times New Roman" w:cs="Times New Roman"/>
            <w:color w:val="0000FF"/>
            <w:kern w:val="0"/>
            <w:u w:val="single"/>
            <w:lang w:val="en-US"/>
            <w14:ligatures w14:val="none"/>
          </w:rPr>
          <w:t>https://doi.org/10.3389/fneur.2020.00071</w:t>
        </w:r>
      </w:hyperlink>
    </w:p>
    <w:p w14:paraId="5D1A5A86" w14:textId="77777777" w:rsidR="001D133E" w:rsidRPr="001D133E" w:rsidRDefault="001D133E" w:rsidP="001D133E">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1D133E">
        <w:rPr>
          <w:rFonts w:ascii="Times New Roman" w:eastAsia="Times New Roman" w:hAnsi="Times New Roman" w:cs="Times New Roman"/>
          <w:kern w:val="0"/>
          <w:lang w:val="en-US"/>
          <w14:ligatures w14:val="none"/>
        </w:rPr>
        <w:t xml:space="preserve">Khan, I., Bhat, R. A., Khan, I., &amp; Saleem, T. (2015). Association of posterior reversible encephalopathy syndrome with renal failure. </w:t>
      </w:r>
      <w:r w:rsidRPr="001D133E">
        <w:rPr>
          <w:rFonts w:ascii="Times New Roman" w:eastAsia="Times New Roman" w:hAnsi="Times New Roman" w:cs="Times New Roman"/>
          <w:i/>
          <w:iCs/>
          <w:kern w:val="0"/>
          <w:lang w:val="en-US"/>
          <w14:ligatures w14:val="none"/>
        </w:rPr>
        <w:t>British Journal of Medicine and Medical Research, 6</w:t>
      </w:r>
      <w:r w:rsidRPr="001D133E">
        <w:rPr>
          <w:rFonts w:ascii="Times New Roman" w:eastAsia="Times New Roman" w:hAnsi="Times New Roman" w:cs="Times New Roman"/>
          <w:kern w:val="0"/>
          <w:lang w:val="en-US"/>
          <w14:ligatures w14:val="none"/>
        </w:rPr>
        <w:t xml:space="preserve">(11), 1096–1100. </w:t>
      </w:r>
      <w:hyperlink r:id="rId13" w:tgtFrame="_new" w:history="1">
        <w:r w:rsidRPr="001D133E">
          <w:rPr>
            <w:rFonts w:ascii="Times New Roman" w:eastAsia="Times New Roman" w:hAnsi="Times New Roman" w:cs="Times New Roman"/>
            <w:color w:val="0000FF"/>
            <w:kern w:val="0"/>
            <w:u w:val="single"/>
            <w:lang w:val="en-US"/>
            <w14:ligatures w14:val="none"/>
          </w:rPr>
          <w:t>https://doi.org/10.9734/BJMMR/2015/15501</w:t>
        </w:r>
      </w:hyperlink>
    </w:p>
    <w:p w14:paraId="570FB007" w14:textId="77777777" w:rsidR="001D133E" w:rsidRPr="001D133E" w:rsidRDefault="001D133E" w:rsidP="001D133E">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1D133E">
        <w:rPr>
          <w:rFonts w:ascii="Times New Roman" w:eastAsia="Times New Roman" w:hAnsi="Times New Roman" w:cs="Times New Roman"/>
          <w:kern w:val="0"/>
          <w:lang w:val="nl-BE"/>
          <w14:ligatures w14:val="none"/>
        </w:rPr>
        <w:lastRenderedPageBreak/>
        <w:t xml:space="preserve">Kouam Djembi, A. L., Labaisse, M.-A., Warlop, T., &amp; Kamdem, V. B. (2025). </w:t>
      </w:r>
      <w:r w:rsidRPr="001D133E">
        <w:rPr>
          <w:rFonts w:ascii="Times New Roman" w:eastAsia="Times New Roman" w:hAnsi="Times New Roman" w:cs="Times New Roman"/>
          <w:kern w:val="0"/>
          <w:lang w:val="en-US"/>
          <w14:ligatures w14:val="none"/>
        </w:rPr>
        <w:t xml:space="preserve">Posterior reversible encephalopathy syndrome in the postpartum period: A rare entity with atypical presentation. </w:t>
      </w:r>
      <w:r w:rsidRPr="001D133E">
        <w:rPr>
          <w:rFonts w:ascii="Times New Roman" w:eastAsia="Times New Roman" w:hAnsi="Times New Roman" w:cs="Times New Roman"/>
          <w:i/>
          <w:iCs/>
          <w:kern w:val="0"/>
          <w:lang w:val="en-US"/>
          <w14:ligatures w14:val="none"/>
        </w:rPr>
        <w:t>Cureus, 17</w:t>
      </w:r>
      <w:r w:rsidRPr="001D133E">
        <w:rPr>
          <w:rFonts w:ascii="Times New Roman" w:eastAsia="Times New Roman" w:hAnsi="Times New Roman" w:cs="Times New Roman"/>
          <w:kern w:val="0"/>
          <w:lang w:val="en-US"/>
          <w14:ligatures w14:val="none"/>
        </w:rPr>
        <w:t xml:space="preserve">(4), e82728. </w:t>
      </w:r>
      <w:hyperlink r:id="rId14" w:tgtFrame="_new" w:history="1">
        <w:r w:rsidRPr="001D133E">
          <w:rPr>
            <w:rFonts w:ascii="Times New Roman" w:eastAsia="Times New Roman" w:hAnsi="Times New Roman" w:cs="Times New Roman"/>
            <w:color w:val="0000FF"/>
            <w:kern w:val="0"/>
            <w:u w:val="single"/>
            <w:lang w:val="en-US"/>
            <w14:ligatures w14:val="none"/>
          </w:rPr>
          <w:t>https://doi.org/10.7759/cureus.82728</w:t>
        </w:r>
      </w:hyperlink>
    </w:p>
    <w:p w14:paraId="0FE0E539" w14:textId="77777777" w:rsidR="001D133E" w:rsidRPr="001D133E" w:rsidRDefault="001D133E" w:rsidP="001D133E">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1D133E">
        <w:rPr>
          <w:rFonts w:ascii="Times New Roman" w:eastAsia="Times New Roman" w:hAnsi="Times New Roman" w:cs="Times New Roman"/>
          <w:kern w:val="0"/>
          <w:lang w:val="en-US"/>
          <w14:ligatures w14:val="none"/>
        </w:rPr>
        <w:t xml:space="preserve">Li, K., Yang, Y., Guo, D., Sun, D., &amp; Li, C. (2020). Clinical and MRI features of posterior reversible encephalopathy syndrome with atypical regions: A descriptive study with a large sample size. </w:t>
      </w:r>
      <w:r w:rsidRPr="001D133E">
        <w:rPr>
          <w:rFonts w:ascii="Times New Roman" w:eastAsia="Times New Roman" w:hAnsi="Times New Roman" w:cs="Times New Roman"/>
          <w:i/>
          <w:iCs/>
          <w:kern w:val="0"/>
          <w:lang w:val="en-US"/>
          <w14:ligatures w14:val="none"/>
        </w:rPr>
        <w:t>Frontiers in Neurology, 11</w:t>
      </w:r>
      <w:r w:rsidRPr="001D133E">
        <w:rPr>
          <w:rFonts w:ascii="Times New Roman" w:eastAsia="Times New Roman" w:hAnsi="Times New Roman" w:cs="Times New Roman"/>
          <w:kern w:val="0"/>
          <w:lang w:val="en-US"/>
          <w14:ligatures w14:val="none"/>
        </w:rPr>
        <w:t xml:space="preserve">, 194. </w:t>
      </w:r>
      <w:hyperlink r:id="rId15" w:tgtFrame="_new" w:history="1">
        <w:r w:rsidRPr="001D133E">
          <w:rPr>
            <w:rFonts w:ascii="Times New Roman" w:eastAsia="Times New Roman" w:hAnsi="Times New Roman" w:cs="Times New Roman"/>
            <w:color w:val="0000FF"/>
            <w:kern w:val="0"/>
            <w:u w:val="single"/>
            <w:lang w:val="en-US"/>
            <w14:ligatures w14:val="none"/>
          </w:rPr>
          <w:t>https://doi.org/10.3389/fneur.2020.00194</w:t>
        </w:r>
      </w:hyperlink>
    </w:p>
    <w:p w14:paraId="41C665AB" w14:textId="77777777" w:rsidR="001D133E" w:rsidRPr="001D133E" w:rsidRDefault="001D133E" w:rsidP="001D133E">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proofErr w:type="spellStart"/>
      <w:r w:rsidRPr="001D133E">
        <w:rPr>
          <w:rFonts w:ascii="Times New Roman" w:eastAsia="Times New Roman" w:hAnsi="Times New Roman" w:cs="Times New Roman"/>
          <w:kern w:val="0"/>
          <w:lang w:val="en-US"/>
          <w14:ligatures w14:val="none"/>
        </w:rPr>
        <w:t>Mapari</w:t>
      </w:r>
      <w:proofErr w:type="spellEnd"/>
      <w:r w:rsidRPr="001D133E">
        <w:rPr>
          <w:rFonts w:ascii="Times New Roman" w:eastAsia="Times New Roman" w:hAnsi="Times New Roman" w:cs="Times New Roman"/>
          <w:kern w:val="0"/>
          <w:lang w:val="en-US"/>
          <w14:ligatures w14:val="none"/>
        </w:rPr>
        <w:t xml:space="preserve">, S. A., Shrivastava, D., Bedi, G. N., &amp; Pradeep, U. (2024). Unveiling the hidden culprit of posterior reversible encephalopathy syndrome superimposing postpartum eclampsia: A rare case. </w:t>
      </w:r>
      <w:r w:rsidRPr="001D133E">
        <w:rPr>
          <w:rFonts w:ascii="Times New Roman" w:eastAsia="Times New Roman" w:hAnsi="Times New Roman" w:cs="Times New Roman"/>
          <w:i/>
          <w:iCs/>
          <w:kern w:val="0"/>
          <w:lang w:val="en-US"/>
          <w14:ligatures w14:val="none"/>
        </w:rPr>
        <w:t>Cureus, 16</w:t>
      </w:r>
      <w:r w:rsidRPr="001D133E">
        <w:rPr>
          <w:rFonts w:ascii="Times New Roman" w:eastAsia="Times New Roman" w:hAnsi="Times New Roman" w:cs="Times New Roman"/>
          <w:kern w:val="0"/>
          <w:lang w:val="en-US"/>
          <w14:ligatures w14:val="none"/>
        </w:rPr>
        <w:t xml:space="preserve">(3), e57006. </w:t>
      </w:r>
      <w:hyperlink r:id="rId16" w:tgtFrame="_new" w:history="1">
        <w:r w:rsidRPr="001D133E">
          <w:rPr>
            <w:rFonts w:ascii="Times New Roman" w:eastAsia="Times New Roman" w:hAnsi="Times New Roman" w:cs="Times New Roman"/>
            <w:color w:val="0000FF"/>
            <w:kern w:val="0"/>
            <w:u w:val="single"/>
            <w:lang w:val="en-US"/>
            <w14:ligatures w14:val="none"/>
          </w:rPr>
          <w:t>https://doi.org/10.7759/cureus.57006</w:t>
        </w:r>
      </w:hyperlink>
    </w:p>
    <w:p w14:paraId="7337202B" w14:textId="77777777" w:rsidR="001D133E" w:rsidRPr="001D133E" w:rsidRDefault="001D133E" w:rsidP="001D133E">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1D133E">
        <w:rPr>
          <w:rFonts w:ascii="Times New Roman" w:eastAsia="Times New Roman" w:hAnsi="Times New Roman" w:cs="Times New Roman"/>
          <w:kern w:val="0"/>
          <w:lang w:val="en-US"/>
          <w14:ligatures w14:val="none"/>
        </w:rPr>
        <w:t xml:space="preserve">Mourid, M. R., Oweidat, M., Abady, E., Shahid, M. A., Ata, I. M., Shaban, N. S., </w:t>
      </w:r>
      <w:proofErr w:type="spellStart"/>
      <w:r w:rsidRPr="001D133E">
        <w:rPr>
          <w:rFonts w:ascii="Times New Roman" w:eastAsia="Times New Roman" w:hAnsi="Times New Roman" w:cs="Times New Roman"/>
          <w:kern w:val="0"/>
          <w:lang w:val="en-US"/>
          <w14:ligatures w14:val="none"/>
        </w:rPr>
        <w:t>Okesanya</w:t>
      </w:r>
      <w:proofErr w:type="spellEnd"/>
      <w:r w:rsidRPr="001D133E">
        <w:rPr>
          <w:rFonts w:ascii="Times New Roman" w:eastAsia="Times New Roman" w:hAnsi="Times New Roman" w:cs="Times New Roman"/>
          <w:kern w:val="0"/>
          <w:lang w:val="en-US"/>
          <w14:ligatures w14:val="none"/>
        </w:rPr>
        <w:t xml:space="preserve">, O. J., </w:t>
      </w:r>
      <w:proofErr w:type="spellStart"/>
      <w:r w:rsidRPr="001D133E">
        <w:rPr>
          <w:rFonts w:ascii="Times New Roman" w:eastAsia="Times New Roman" w:hAnsi="Times New Roman" w:cs="Times New Roman"/>
          <w:kern w:val="0"/>
          <w:lang w:val="en-US"/>
          <w14:ligatures w14:val="none"/>
        </w:rPr>
        <w:t>Alsabri</w:t>
      </w:r>
      <w:proofErr w:type="spellEnd"/>
      <w:r w:rsidRPr="001D133E">
        <w:rPr>
          <w:rFonts w:ascii="Times New Roman" w:eastAsia="Times New Roman" w:hAnsi="Times New Roman" w:cs="Times New Roman"/>
          <w:kern w:val="0"/>
          <w:lang w:val="en-US"/>
          <w14:ligatures w14:val="none"/>
        </w:rPr>
        <w:t xml:space="preserve">, M., &amp; </w:t>
      </w:r>
      <w:proofErr w:type="spellStart"/>
      <w:r w:rsidRPr="001D133E">
        <w:rPr>
          <w:rFonts w:ascii="Times New Roman" w:eastAsia="Times New Roman" w:hAnsi="Times New Roman" w:cs="Times New Roman"/>
          <w:kern w:val="0"/>
          <w:lang w:val="en-US"/>
          <w14:ligatures w14:val="none"/>
        </w:rPr>
        <w:t>Lusinski</w:t>
      </w:r>
      <w:proofErr w:type="spellEnd"/>
      <w:r w:rsidRPr="001D133E">
        <w:rPr>
          <w:rFonts w:ascii="Times New Roman" w:eastAsia="Times New Roman" w:hAnsi="Times New Roman" w:cs="Times New Roman"/>
          <w:kern w:val="0"/>
          <w:lang w:val="en-US"/>
          <w14:ligatures w14:val="none"/>
        </w:rPr>
        <w:t xml:space="preserve">, E. (2026). Posterior reversible encephalopathy syndrome (PRES): A narrative review of pathophysiology, clinical insights, and advances in management. </w:t>
      </w:r>
      <w:r w:rsidRPr="001D133E">
        <w:rPr>
          <w:rFonts w:ascii="Times New Roman" w:eastAsia="Times New Roman" w:hAnsi="Times New Roman" w:cs="Times New Roman"/>
          <w:i/>
          <w:iCs/>
          <w:kern w:val="0"/>
          <w:lang w:val="en-US"/>
          <w14:ligatures w14:val="none"/>
        </w:rPr>
        <w:t>International Journal of Emergency Medicine, 19</w:t>
      </w:r>
      <w:r w:rsidRPr="001D133E">
        <w:rPr>
          <w:rFonts w:ascii="Times New Roman" w:eastAsia="Times New Roman" w:hAnsi="Times New Roman" w:cs="Times New Roman"/>
          <w:kern w:val="0"/>
          <w:lang w:val="en-US"/>
          <w14:ligatures w14:val="none"/>
        </w:rPr>
        <w:t xml:space="preserve">(1), 48. </w:t>
      </w:r>
      <w:hyperlink r:id="rId17" w:tgtFrame="_new" w:history="1">
        <w:r w:rsidRPr="001D133E">
          <w:rPr>
            <w:rFonts w:ascii="Times New Roman" w:eastAsia="Times New Roman" w:hAnsi="Times New Roman" w:cs="Times New Roman"/>
            <w:color w:val="0000FF"/>
            <w:kern w:val="0"/>
            <w:u w:val="single"/>
            <w:lang w:val="en-US"/>
            <w14:ligatures w14:val="none"/>
          </w:rPr>
          <w:t>https://doi.org/10.1186/s12245-026-01138-9</w:t>
        </w:r>
      </w:hyperlink>
    </w:p>
    <w:p w14:paraId="24DA03AA" w14:textId="77777777" w:rsidR="001D133E" w:rsidRPr="001D133E" w:rsidRDefault="001D133E" w:rsidP="001D133E">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1D133E">
        <w:rPr>
          <w:rFonts w:ascii="Times New Roman" w:eastAsia="Times New Roman" w:hAnsi="Times New Roman" w:cs="Times New Roman"/>
          <w:kern w:val="0"/>
          <w:lang w:val="en-US"/>
          <w14:ligatures w14:val="none"/>
        </w:rPr>
        <w:t>Sheikh-</w:t>
      </w:r>
      <w:proofErr w:type="spellStart"/>
      <w:r w:rsidRPr="001D133E">
        <w:rPr>
          <w:rFonts w:ascii="Times New Roman" w:eastAsia="Times New Roman" w:hAnsi="Times New Roman" w:cs="Times New Roman"/>
          <w:kern w:val="0"/>
          <w:lang w:val="en-US"/>
          <w14:ligatures w14:val="none"/>
        </w:rPr>
        <w:t>Bahaei</w:t>
      </w:r>
      <w:proofErr w:type="spellEnd"/>
      <w:r w:rsidRPr="001D133E">
        <w:rPr>
          <w:rFonts w:ascii="Times New Roman" w:eastAsia="Times New Roman" w:hAnsi="Times New Roman" w:cs="Times New Roman"/>
          <w:kern w:val="0"/>
          <w:lang w:val="en-US"/>
          <w14:ligatures w14:val="none"/>
        </w:rPr>
        <w:t xml:space="preserve">, N., Acharya, J., Rajamohan, A., &amp; Kim, P. E. (2020). Advanced imaging techniques in diagnosis of posterior reversible encephalopathy syndrome (PRES). </w:t>
      </w:r>
      <w:r w:rsidRPr="001D133E">
        <w:rPr>
          <w:rFonts w:ascii="Times New Roman" w:eastAsia="Times New Roman" w:hAnsi="Times New Roman" w:cs="Times New Roman"/>
          <w:i/>
          <w:iCs/>
          <w:kern w:val="0"/>
          <w:lang w:val="en-US"/>
          <w14:ligatures w14:val="none"/>
        </w:rPr>
        <w:t>Frontiers in Neurology, 11</w:t>
      </w:r>
      <w:r w:rsidRPr="001D133E">
        <w:rPr>
          <w:rFonts w:ascii="Times New Roman" w:eastAsia="Times New Roman" w:hAnsi="Times New Roman" w:cs="Times New Roman"/>
          <w:kern w:val="0"/>
          <w:lang w:val="en-US"/>
          <w14:ligatures w14:val="none"/>
        </w:rPr>
        <w:t xml:space="preserve">, 165. </w:t>
      </w:r>
      <w:hyperlink r:id="rId18" w:tgtFrame="_new" w:history="1">
        <w:r w:rsidRPr="001D133E">
          <w:rPr>
            <w:rFonts w:ascii="Times New Roman" w:eastAsia="Times New Roman" w:hAnsi="Times New Roman" w:cs="Times New Roman"/>
            <w:color w:val="0000FF"/>
            <w:kern w:val="0"/>
            <w:u w:val="single"/>
            <w:lang w:val="en-US"/>
            <w14:ligatures w14:val="none"/>
          </w:rPr>
          <w:t>https://doi.org/10.3389/fneur.2020.00165</w:t>
        </w:r>
      </w:hyperlink>
    </w:p>
    <w:p w14:paraId="5ACB55EA" w14:textId="77777777" w:rsidR="001D133E" w:rsidRPr="001D133E" w:rsidRDefault="001D133E" w:rsidP="001D133E">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1D133E">
        <w:rPr>
          <w:rFonts w:ascii="Times New Roman" w:eastAsia="Times New Roman" w:hAnsi="Times New Roman" w:cs="Times New Roman"/>
          <w:kern w:val="0"/>
          <w:lang w:val="en-US"/>
          <w14:ligatures w14:val="none"/>
        </w:rPr>
        <w:t xml:space="preserve">Triplett, J. D., </w:t>
      </w:r>
      <w:proofErr w:type="spellStart"/>
      <w:r w:rsidRPr="001D133E">
        <w:rPr>
          <w:rFonts w:ascii="Times New Roman" w:eastAsia="Times New Roman" w:hAnsi="Times New Roman" w:cs="Times New Roman"/>
          <w:kern w:val="0"/>
          <w:lang w:val="en-US"/>
          <w14:ligatures w14:val="none"/>
        </w:rPr>
        <w:t>Kutlubaev</w:t>
      </w:r>
      <w:proofErr w:type="spellEnd"/>
      <w:r w:rsidRPr="001D133E">
        <w:rPr>
          <w:rFonts w:ascii="Times New Roman" w:eastAsia="Times New Roman" w:hAnsi="Times New Roman" w:cs="Times New Roman"/>
          <w:kern w:val="0"/>
          <w:lang w:val="en-US"/>
          <w14:ligatures w14:val="none"/>
        </w:rPr>
        <w:t xml:space="preserve">, M. A., Kermode, A. G., &amp; Hardy, T. (2022). Posterior reversible encephalopathy syndrome (PRES): Diagnosis and management. </w:t>
      </w:r>
      <w:r w:rsidRPr="001D133E">
        <w:rPr>
          <w:rFonts w:ascii="Times New Roman" w:eastAsia="Times New Roman" w:hAnsi="Times New Roman" w:cs="Times New Roman"/>
          <w:i/>
          <w:iCs/>
          <w:kern w:val="0"/>
          <w:lang w:val="en-US"/>
          <w14:ligatures w14:val="none"/>
        </w:rPr>
        <w:t>Practical Neurology, 22</w:t>
      </w:r>
      <w:r w:rsidRPr="001D133E">
        <w:rPr>
          <w:rFonts w:ascii="Times New Roman" w:eastAsia="Times New Roman" w:hAnsi="Times New Roman" w:cs="Times New Roman"/>
          <w:kern w:val="0"/>
          <w:lang w:val="en-US"/>
          <w14:ligatures w14:val="none"/>
        </w:rPr>
        <w:t xml:space="preserve">(3), 183–189. </w:t>
      </w:r>
      <w:hyperlink r:id="rId19" w:tgtFrame="_new" w:history="1">
        <w:r w:rsidRPr="001D133E">
          <w:rPr>
            <w:rFonts w:ascii="Times New Roman" w:eastAsia="Times New Roman" w:hAnsi="Times New Roman" w:cs="Times New Roman"/>
            <w:color w:val="0000FF"/>
            <w:kern w:val="0"/>
            <w:u w:val="single"/>
            <w:lang w:val="en-US"/>
            <w14:ligatures w14:val="none"/>
          </w:rPr>
          <w:t>https://doi.org/10.1136/practneurol-2021-003194</w:t>
        </w:r>
      </w:hyperlink>
    </w:p>
    <w:p w14:paraId="45ABE4F3" w14:textId="77777777" w:rsidR="001D133E" w:rsidRPr="001D133E" w:rsidRDefault="001D133E" w:rsidP="001D133E">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1D133E">
        <w:rPr>
          <w:rFonts w:ascii="Times New Roman" w:eastAsia="Times New Roman" w:hAnsi="Times New Roman" w:cs="Times New Roman"/>
          <w:kern w:val="0"/>
          <w:lang w:val="en-US"/>
          <w14:ligatures w14:val="none"/>
        </w:rPr>
        <w:t xml:space="preserve">Ullah, K., Shah, H. H., Tariq, M., &amp; </w:t>
      </w:r>
      <w:proofErr w:type="spellStart"/>
      <w:r w:rsidRPr="001D133E">
        <w:rPr>
          <w:rFonts w:ascii="Times New Roman" w:eastAsia="Times New Roman" w:hAnsi="Times New Roman" w:cs="Times New Roman"/>
          <w:kern w:val="0"/>
          <w:lang w:val="en-US"/>
          <w14:ligatures w14:val="none"/>
        </w:rPr>
        <w:t>Oduoye</w:t>
      </w:r>
      <w:proofErr w:type="spellEnd"/>
      <w:r w:rsidRPr="001D133E">
        <w:rPr>
          <w:rFonts w:ascii="Times New Roman" w:eastAsia="Times New Roman" w:hAnsi="Times New Roman" w:cs="Times New Roman"/>
          <w:kern w:val="0"/>
          <w:lang w:val="en-US"/>
          <w14:ligatures w14:val="none"/>
        </w:rPr>
        <w:t xml:space="preserve">, M. O. (2024). Early onset of posterior reversible encephalopathy syndrome (PRES) following postpartum eclampsia—A case report. </w:t>
      </w:r>
      <w:r w:rsidRPr="001D133E">
        <w:rPr>
          <w:rFonts w:ascii="Times New Roman" w:eastAsia="Times New Roman" w:hAnsi="Times New Roman" w:cs="Times New Roman"/>
          <w:i/>
          <w:iCs/>
          <w:kern w:val="0"/>
          <w:lang w:val="en-US"/>
          <w14:ligatures w14:val="none"/>
        </w:rPr>
        <w:t>Clinical Case Reports, 12</w:t>
      </w:r>
      <w:r w:rsidRPr="001D133E">
        <w:rPr>
          <w:rFonts w:ascii="Times New Roman" w:eastAsia="Times New Roman" w:hAnsi="Times New Roman" w:cs="Times New Roman"/>
          <w:kern w:val="0"/>
          <w:lang w:val="en-US"/>
          <w14:ligatures w14:val="none"/>
        </w:rPr>
        <w:t xml:space="preserve">(8), e9346. </w:t>
      </w:r>
      <w:hyperlink r:id="rId20" w:tgtFrame="_new" w:history="1">
        <w:r w:rsidRPr="001D133E">
          <w:rPr>
            <w:rFonts w:ascii="Times New Roman" w:eastAsia="Times New Roman" w:hAnsi="Times New Roman" w:cs="Times New Roman"/>
            <w:color w:val="0000FF"/>
            <w:kern w:val="0"/>
            <w:u w:val="single"/>
            <w:lang w:val="en-US"/>
            <w14:ligatures w14:val="none"/>
          </w:rPr>
          <w:t>https://doi.org/10.1002/ccr3.9346</w:t>
        </w:r>
      </w:hyperlink>
    </w:p>
    <w:p w14:paraId="6E7B0A2D" w14:textId="77777777" w:rsidR="001D133E" w:rsidRPr="001D133E" w:rsidRDefault="001D133E" w:rsidP="001D133E">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1D133E">
        <w:rPr>
          <w:rFonts w:ascii="Times New Roman" w:eastAsia="Times New Roman" w:hAnsi="Times New Roman" w:cs="Times New Roman"/>
          <w:kern w:val="0"/>
          <w:lang w:val="en-US"/>
          <w14:ligatures w14:val="none"/>
        </w:rPr>
        <w:t xml:space="preserve">Vuong, A. D. B., Pham, X. T. T., &amp; Nguyen, P. N. (2024). Posterior reversible encephalopathy syndrome (PRES) on the second postpartum day: Learning experience from a case report and literature review. </w:t>
      </w:r>
      <w:r w:rsidRPr="001D133E">
        <w:rPr>
          <w:rFonts w:ascii="Times New Roman" w:eastAsia="Times New Roman" w:hAnsi="Times New Roman" w:cs="Times New Roman"/>
          <w:i/>
          <w:iCs/>
          <w:kern w:val="0"/>
          <w:lang w:val="en-US"/>
          <w14:ligatures w14:val="none"/>
        </w:rPr>
        <w:t>International Journal of Emergency Medicine, 17</w:t>
      </w:r>
      <w:r w:rsidRPr="001D133E">
        <w:rPr>
          <w:rFonts w:ascii="Times New Roman" w:eastAsia="Times New Roman" w:hAnsi="Times New Roman" w:cs="Times New Roman"/>
          <w:kern w:val="0"/>
          <w:lang w:val="en-US"/>
          <w14:ligatures w14:val="none"/>
        </w:rPr>
        <w:t xml:space="preserve">, 118. </w:t>
      </w:r>
      <w:hyperlink r:id="rId21" w:tgtFrame="_new" w:history="1">
        <w:r w:rsidRPr="001D133E">
          <w:rPr>
            <w:rFonts w:ascii="Times New Roman" w:eastAsia="Times New Roman" w:hAnsi="Times New Roman" w:cs="Times New Roman"/>
            <w:color w:val="0000FF"/>
            <w:kern w:val="0"/>
            <w:u w:val="single"/>
            <w:lang w:val="en-US"/>
            <w14:ligatures w14:val="none"/>
          </w:rPr>
          <w:t>https://doi.org/10.1186/s12245-024-00707-0</w:t>
        </w:r>
      </w:hyperlink>
    </w:p>
    <w:p w14:paraId="16DA0C42" w14:textId="2445F895" w:rsidR="00694497" w:rsidRDefault="00694497" w:rsidP="001D133E">
      <w:pPr>
        <w:pStyle w:val="ListParagraph"/>
        <w:ind w:hanging="720"/>
        <w:jc w:val="both"/>
        <w:rPr>
          <w:rFonts w:ascii="Times New Roman" w:hAnsi="Times New Roman" w:cs="Times New Roman"/>
        </w:rPr>
      </w:pPr>
    </w:p>
    <w:sectPr w:rsidR="00694497" w:rsidSect="00247CEA">
      <w:headerReference w:type="even" r:id="rId22"/>
      <w:headerReference w:type="default" r:id="rId23"/>
      <w:footerReference w:type="even" r:id="rId24"/>
      <w:footerReference w:type="default" r:id="rId25"/>
      <w:headerReference w:type="first" r:id="rId26"/>
      <w:footerReference w:type="first" r:id="rId27"/>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78B9E" w14:textId="77777777" w:rsidR="008934EB" w:rsidRDefault="008934EB" w:rsidP="00247CEA">
      <w:pPr>
        <w:spacing w:after="0" w:line="240" w:lineRule="auto"/>
      </w:pPr>
      <w:r>
        <w:separator/>
      </w:r>
    </w:p>
  </w:endnote>
  <w:endnote w:type="continuationSeparator" w:id="0">
    <w:p w14:paraId="3E32F94D" w14:textId="77777777" w:rsidR="008934EB" w:rsidRDefault="008934EB" w:rsidP="00247C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EEDC8" w14:textId="77777777" w:rsidR="00273A3D" w:rsidRDefault="00273A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0E3BF" w14:textId="77777777" w:rsidR="00273A3D" w:rsidRDefault="00273A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F7513" w14:textId="77777777" w:rsidR="00273A3D" w:rsidRDefault="00273A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FA37E" w14:textId="77777777" w:rsidR="008934EB" w:rsidRDefault="008934EB" w:rsidP="00247CEA">
      <w:pPr>
        <w:spacing w:after="0" w:line="240" w:lineRule="auto"/>
      </w:pPr>
      <w:r>
        <w:separator/>
      </w:r>
    </w:p>
  </w:footnote>
  <w:footnote w:type="continuationSeparator" w:id="0">
    <w:p w14:paraId="30167BBA" w14:textId="77777777" w:rsidR="008934EB" w:rsidRDefault="008934EB" w:rsidP="00247C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2A436" w14:textId="77777777" w:rsidR="00273A3D" w:rsidRDefault="00000000">
    <w:pPr>
      <w:pStyle w:val="Header"/>
    </w:pPr>
    <w:r>
      <w:rPr>
        <w:noProof/>
      </w:rPr>
      <w:pict w14:anchorId="0F8010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848391" o:spid="_x0000_s1026" type="#_x0000_t136" style="position:absolute;margin-left:0;margin-top:0;width:621.2pt;height:116.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8DEE9" w14:textId="77777777" w:rsidR="00273A3D" w:rsidRDefault="00000000">
    <w:pPr>
      <w:pStyle w:val="Header"/>
    </w:pPr>
    <w:r>
      <w:rPr>
        <w:noProof/>
      </w:rPr>
      <w:pict w14:anchorId="79D2BD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848392" o:spid="_x0000_s1027" type="#_x0000_t136" style="position:absolute;margin-left:0;margin-top:0;width:621.2pt;height:116.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620C5" w14:textId="77777777" w:rsidR="00273A3D" w:rsidRDefault="00000000">
    <w:pPr>
      <w:pStyle w:val="Header"/>
    </w:pPr>
    <w:r>
      <w:rPr>
        <w:noProof/>
      </w:rPr>
      <w:pict w14:anchorId="79CB8A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848390" o:spid="_x0000_s1025" type="#_x0000_t136" style="position:absolute;margin-left:0;margin-top:0;width:621.2pt;height:116.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45D43"/>
    <w:multiLevelType w:val="hybridMultilevel"/>
    <w:tmpl w:val="448E77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57962B2"/>
    <w:multiLevelType w:val="hybridMultilevel"/>
    <w:tmpl w:val="448E778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910234267">
    <w:abstractNumId w:val="1"/>
  </w:num>
  <w:num w:numId="2" w16cid:durableId="609776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981"/>
    <w:rsid w:val="00003B00"/>
    <w:rsid w:val="00037EE7"/>
    <w:rsid w:val="000447D0"/>
    <w:rsid w:val="00047F96"/>
    <w:rsid w:val="000753A8"/>
    <w:rsid w:val="000A02A7"/>
    <w:rsid w:val="0010220B"/>
    <w:rsid w:val="00121239"/>
    <w:rsid w:val="00143775"/>
    <w:rsid w:val="00145335"/>
    <w:rsid w:val="0017004D"/>
    <w:rsid w:val="00175430"/>
    <w:rsid w:val="00185E62"/>
    <w:rsid w:val="001865C0"/>
    <w:rsid w:val="001D133E"/>
    <w:rsid w:val="00247CEA"/>
    <w:rsid w:val="00273A3D"/>
    <w:rsid w:val="00276B6C"/>
    <w:rsid w:val="002B3F3B"/>
    <w:rsid w:val="002D315E"/>
    <w:rsid w:val="00391B98"/>
    <w:rsid w:val="00392B69"/>
    <w:rsid w:val="003A4390"/>
    <w:rsid w:val="003B28A0"/>
    <w:rsid w:val="00402981"/>
    <w:rsid w:val="00437BF0"/>
    <w:rsid w:val="00442519"/>
    <w:rsid w:val="00443E16"/>
    <w:rsid w:val="004A78ED"/>
    <w:rsid w:val="004B41CD"/>
    <w:rsid w:val="004C464F"/>
    <w:rsid w:val="004E0A09"/>
    <w:rsid w:val="004F25CF"/>
    <w:rsid w:val="00570B8F"/>
    <w:rsid w:val="0057375E"/>
    <w:rsid w:val="005A2707"/>
    <w:rsid w:val="00637CA7"/>
    <w:rsid w:val="006707B9"/>
    <w:rsid w:val="00694497"/>
    <w:rsid w:val="006979EE"/>
    <w:rsid w:val="006D7F6E"/>
    <w:rsid w:val="007669E7"/>
    <w:rsid w:val="0078245B"/>
    <w:rsid w:val="00790853"/>
    <w:rsid w:val="007941AC"/>
    <w:rsid w:val="007E2ABD"/>
    <w:rsid w:val="007F110C"/>
    <w:rsid w:val="00801043"/>
    <w:rsid w:val="00831D34"/>
    <w:rsid w:val="00850DFD"/>
    <w:rsid w:val="00856941"/>
    <w:rsid w:val="00881577"/>
    <w:rsid w:val="00882487"/>
    <w:rsid w:val="008934EB"/>
    <w:rsid w:val="008B05CA"/>
    <w:rsid w:val="008C0CFE"/>
    <w:rsid w:val="008D5154"/>
    <w:rsid w:val="00947E5C"/>
    <w:rsid w:val="009E5306"/>
    <w:rsid w:val="009F769D"/>
    <w:rsid w:val="00A21145"/>
    <w:rsid w:val="00A22801"/>
    <w:rsid w:val="00A65603"/>
    <w:rsid w:val="00AD3025"/>
    <w:rsid w:val="00AD3BDD"/>
    <w:rsid w:val="00AF0F7A"/>
    <w:rsid w:val="00B11044"/>
    <w:rsid w:val="00B72762"/>
    <w:rsid w:val="00B813E5"/>
    <w:rsid w:val="00B81D1F"/>
    <w:rsid w:val="00B8611D"/>
    <w:rsid w:val="00B9209D"/>
    <w:rsid w:val="00BD5DD4"/>
    <w:rsid w:val="00BF1B75"/>
    <w:rsid w:val="00C41248"/>
    <w:rsid w:val="00C41AD1"/>
    <w:rsid w:val="00C551C2"/>
    <w:rsid w:val="00C610EC"/>
    <w:rsid w:val="00C73D28"/>
    <w:rsid w:val="00CA400C"/>
    <w:rsid w:val="00CB50C4"/>
    <w:rsid w:val="00CE54FD"/>
    <w:rsid w:val="00D1130E"/>
    <w:rsid w:val="00D60CD5"/>
    <w:rsid w:val="00D7060B"/>
    <w:rsid w:val="00D74900"/>
    <w:rsid w:val="00D86153"/>
    <w:rsid w:val="00D97895"/>
    <w:rsid w:val="00DC09EE"/>
    <w:rsid w:val="00DC29D7"/>
    <w:rsid w:val="00DD3D26"/>
    <w:rsid w:val="00DD71EC"/>
    <w:rsid w:val="00E00C2C"/>
    <w:rsid w:val="00E23CCD"/>
    <w:rsid w:val="00E94CB6"/>
    <w:rsid w:val="00EB7471"/>
    <w:rsid w:val="00F13A7B"/>
    <w:rsid w:val="00F348A6"/>
    <w:rsid w:val="00F41FF8"/>
    <w:rsid w:val="00F7516A"/>
    <w:rsid w:val="00F84212"/>
    <w:rsid w:val="00FA1E2D"/>
    <w:rsid w:val="00FC33AA"/>
    <w:rsid w:val="00FE3E41"/>
    <w:rsid w:val="00FE4A80"/>
    <w:rsid w:val="00FF4C8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FBE275"/>
  <w15:chartTrackingRefBased/>
  <w15:docId w15:val="{635B3033-8729-4D8E-84EF-7E79AEA4C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B8F"/>
  </w:style>
  <w:style w:type="paragraph" w:styleId="Heading1">
    <w:name w:val="heading 1"/>
    <w:basedOn w:val="Normal"/>
    <w:next w:val="Normal"/>
    <w:link w:val="Heading1Char"/>
    <w:uiPriority w:val="9"/>
    <w:qFormat/>
    <w:rsid w:val="004029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29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029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29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29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29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29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29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29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9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29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029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29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29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29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29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29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2981"/>
    <w:rPr>
      <w:rFonts w:eastAsiaTheme="majorEastAsia" w:cstheme="majorBidi"/>
      <w:color w:val="272727" w:themeColor="text1" w:themeTint="D8"/>
    </w:rPr>
  </w:style>
  <w:style w:type="paragraph" w:styleId="Title">
    <w:name w:val="Title"/>
    <w:basedOn w:val="Normal"/>
    <w:next w:val="Normal"/>
    <w:link w:val="TitleChar"/>
    <w:uiPriority w:val="10"/>
    <w:qFormat/>
    <w:rsid w:val="004029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2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29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29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2981"/>
    <w:pPr>
      <w:spacing w:before="160"/>
      <w:jc w:val="center"/>
    </w:pPr>
    <w:rPr>
      <w:i/>
      <w:iCs/>
      <w:color w:val="404040" w:themeColor="text1" w:themeTint="BF"/>
    </w:rPr>
  </w:style>
  <w:style w:type="character" w:customStyle="1" w:styleId="QuoteChar">
    <w:name w:val="Quote Char"/>
    <w:basedOn w:val="DefaultParagraphFont"/>
    <w:link w:val="Quote"/>
    <w:uiPriority w:val="29"/>
    <w:rsid w:val="00402981"/>
    <w:rPr>
      <w:i/>
      <w:iCs/>
      <w:color w:val="404040" w:themeColor="text1" w:themeTint="BF"/>
    </w:rPr>
  </w:style>
  <w:style w:type="paragraph" w:styleId="ListParagraph">
    <w:name w:val="List Paragraph"/>
    <w:basedOn w:val="Normal"/>
    <w:uiPriority w:val="34"/>
    <w:qFormat/>
    <w:rsid w:val="00402981"/>
    <w:pPr>
      <w:ind w:left="720"/>
      <w:contextualSpacing/>
    </w:pPr>
  </w:style>
  <w:style w:type="character" w:styleId="IntenseEmphasis">
    <w:name w:val="Intense Emphasis"/>
    <w:basedOn w:val="DefaultParagraphFont"/>
    <w:uiPriority w:val="21"/>
    <w:qFormat/>
    <w:rsid w:val="00402981"/>
    <w:rPr>
      <w:i/>
      <w:iCs/>
      <w:color w:val="0F4761" w:themeColor="accent1" w:themeShade="BF"/>
    </w:rPr>
  </w:style>
  <w:style w:type="paragraph" w:styleId="IntenseQuote">
    <w:name w:val="Intense Quote"/>
    <w:basedOn w:val="Normal"/>
    <w:next w:val="Normal"/>
    <w:link w:val="IntenseQuoteChar"/>
    <w:uiPriority w:val="30"/>
    <w:qFormat/>
    <w:rsid w:val="004029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2981"/>
    <w:rPr>
      <w:i/>
      <w:iCs/>
      <w:color w:val="0F4761" w:themeColor="accent1" w:themeShade="BF"/>
    </w:rPr>
  </w:style>
  <w:style w:type="character" w:styleId="IntenseReference">
    <w:name w:val="Intense Reference"/>
    <w:basedOn w:val="DefaultParagraphFont"/>
    <w:uiPriority w:val="32"/>
    <w:qFormat/>
    <w:rsid w:val="00402981"/>
    <w:rPr>
      <w:b/>
      <w:bCs/>
      <w:smallCaps/>
      <w:color w:val="0F4761" w:themeColor="accent1" w:themeShade="BF"/>
      <w:spacing w:val="5"/>
    </w:rPr>
  </w:style>
  <w:style w:type="paragraph" w:styleId="NormalWeb">
    <w:name w:val="Normal (Web)"/>
    <w:basedOn w:val="Normal"/>
    <w:uiPriority w:val="99"/>
    <w:semiHidden/>
    <w:unhideWhenUsed/>
    <w:rsid w:val="00402981"/>
    <w:rPr>
      <w:rFonts w:ascii="Times New Roman" w:hAnsi="Times New Roman" w:cs="Times New Roman"/>
    </w:rPr>
  </w:style>
  <w:style w:type="table" w:styleId="TableGrid">
    <w:name w:val="Table Grid"/>
    <w:basedOn w:val="TableNormal"/>
    <w:uiPriority w:val="39"/>
    <w:rsid w:val="008569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43775"/>
    <w:rPr>
      <w:i/>
      <w:iCs/>
    </w:rPr>
  </w:style>
  <w:style w:type="paragraph" w:styleId="Header">
    <w:name w:val="header"/>
    <w:basedOn w:val="Normal"/>
    <w:link w:val="HeaderChar"/>
    <w:uiPriority w:val="99"/>
    <w:unhideWhenUsed/>
    <w:rsid w:val="00247C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7CEA"/>
  </w:style>
  <w:style w:type="paragraph" w:styleId="Footer">
    <w:name w:val="footer"/>
    <w:basedOn w:val="Normal"/>
    <w:link w:val="FooterChar"/>
    <w:uiPriority w:val="99"/>
    <w:unhideWhenUsed/>
    <w:rsid w:val="00247C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7CEA"/>
  </w:style>
  <w:style w:type="character" w:styleId="Hyperlink">
    <w:name w:val="Hyperlink"/>
    <w:basedOn w:val="DefaultParagraphFont"/>
    <w:uiPriority w:val="99"/>
    <w:unhideWhenUsed/>
    <w:rsid w:val="009E5306"/>
    <w:rPr>
      <w:color w:val="467886" w:themeColor="hyperlink"/>
      <w:u w:val="single"/>
    </w:rPr>
  </w:style>
  <w:style w:type="character" w:styleId="UnresolvedMention">
    <w:name w:val="Unresolved Mention"/>
    <w:basedOn w:val="DefaultParagraphFont"/>
    <w:uiPriority w:val="99"/>
    <w:semiHidden/>
    <w:unhideWhenUsed/>
    <w:rsid w:val="009E5306"/>
    <w:rPr>
      <w:color w:val="605E5C"/>
      <w:shd w:val="clear" w:color="auto" w:fill="E1DFDD"/>
    </w:rPr>
  </w:style>
  <w:style w:type="character" w:styleId="Strong">
    <w:name w:val="Strong"/>
    <w:basedOn w:val="DefaultParagraphFont"/>
    <w:uiPriority w:val="22"/>
    <w:qFormat/>
    <w:rsid w:val="00D861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00242">
      <w:bodyDiv w:val="1"/>
      <w:marLeft w:val="0"/>
      <w:marRight w:val="0"/>
      <w:marTop w:val="0"/>
      <w:marBottom w:val="0"/>
      <w:divBdr>
        <w:top w:val="none" w:sz="0" w:space="0" w:color="auto"/>
        <w:left w:val="none" w:sz="0" w:space="0" w:color="auto"/>
        <w:bottom w:val="none" w:sz="0" w:space="0" w:color="auto"/>
        <w:right w:val="none" w:sz="0" w:space="0" w:color="auto"/>
      </w:divBdr>
    </w:div>
    <w:div w:id="727343681">
      <w:bodyDiv w:val="1"/>
      <w:marLeft w:val="0"/>
      <w:marRight w:val="0"/>
      <w:marTop w:val="0"/>
      <w:marBottom w:val="0"/>
      <w:divBdr>
        <w:top w:val="none" w:sz="0" w:space="0" w:color="auto"/>
        <w:left w:val="none" w:sz="0" w:space="0" w:color="auto"/>
        <w:bottom w:val="none" w:sz="0" w:space="0" w:color="auto"/>
        <w:right w:val="none" w:sz="0" w:space="0" w:color="auto"/>
      </w:divBdr>
    </w:div>
    <w:div w:id="1030952371">
      <w:bodyDiv w:val="1"/>
      <w:marLeft w:val="0"/>
      <w:marRight w:val="0"/>
      <w:marTop w:val="0"/>
      <w:marBottom w:val="0"/>
      <w:divBdr>
        <w:top w:val="none" w:sz="0" w:space="0" w:color="auto"/>
        <w:left w:val="none" w:sz="0" w:space="0" w:color="auto"/>
        <w:bottom w:val="none" w:sz="0" w:space="0" w:color="auto"/>
        <w:right w:val="none" w:sz="0" w:space="0" w:color="auto"/>
      </w:divBdr>
    </w:div>
    <w:div w:id="162164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89/fneur.2020.00463" TargetMode="External"/><Relationship Id="rId13" Type="http://schemas.openxmlformats.org/officeDocument/2006/relationships/hyperlink" Target="https://doi.org/10.9734/BJMMR/2015/15501" TargetMode="External"/><Relationship Id="rId18" Type="http://schemas.openxmlformats.org/officeDocument/2006/relationships/hyperlink" Target="https://doi.org/10.3389/fneur.2020.00165"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doi.org/10.1186/s12245-024-00707-0" TargetMode="External"/><Relationship Id="rId7" Type="http://schemas.openxmlformats.org/officeDocument/2006/relationships/image" Target="media/image1.png"/><Relationship Id="rId12" Type="http://schemas.openxmlformats.org/officeDocument/2006/relationships/hyperlink" Target="https://doi.org/10.3389/fneur.2020.00071" TargetMode="External"/><Relationship Id="rId17" Type="http://schemas.openxmlformats.org/officeDocument/2006/relationships/hyperlink" Target="https://doi.org/10.1186/s12245-026-01138-9"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doi.org/10.7759/cureus.57006" TargetMode="External"/><Relationship Id="rId20" Type="http://schemas.openxmlformats.org/officeDocument/2006/relationships/hyperlink" Target="https://doi.org/10.1002/ccr3.9346"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s44325-026-00120-x?utm_source=chatgpt.com"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doi.org/10.3389/fneur.2020.0019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oi.org/10.56557/ajocr/2024/v9i28631" TargetMode="External"/><Relationship Id="rId19" Type="http://schemas.openxmlformats.org/officeDocument/2006/relationships/hyperlink" Target="https://doi.org/10.1136/practneurol-2021-003194" TargetMode="External"/><Relationship Id="rId4" Type="http://schemas.openxmlformats.org/officeDocument/2006/relationships/webSettings" Target="webSettings.xml"/><Relationship Id="rId9" Type="http://schemas.openxmlformats.org/officeDocument/2006/relationships/hyperlink" Target="https://doi.org/10.2169/internalmedicine.7520-21" TargetMode="External"/><Relationship Id="rId14" Type="http://schemas.openxmlformats.org/officeDocument/2006/relationships/hyperlink" Target="https://doi.org/10.7759/cureus.82728"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444</TotalTime>
  <Pages>9</Pages>
  <Words>4061</Words>
  <Characters>23149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shrangagopalchandan@gmail.com</dc:creator>
  <cp:keywords/>
  <dc:description/>
  <cp:lastModifiedBy>Editor-90</cp:lastModifiedBy>
  <cp:revision>28</cp:revision>
  <dcterms:created xsi:type="dcterms:W3CDTF">2026-08-26T17:36:00Z</dcterms:created>
  <dcterms:modified xsi:type="dcterms:W3CDTF">2026-09-03T13:20:00Z</dcterms:modified>
</cp:coreProperties>
</file>